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F42E4" w14:textId="77777777" w:rsidR="00CF6E4C" w:rsidRDefault="00CF6E4C" w:rsidP="00CF6E4C">
      <w:pPr>
        <w:autoSpaceDE w:val="0"/>
        <w:autoSpaceDN w:val="0"/>
        <w:adjustRightInd w:val="0"/>
        <w:spacing w:after="0" w:line="240" w:lineRule="auto"/>
        <w:ind w:left="709" w:hanging="709"/>
        <w:jc w:val="center"/>
        <w:rPr>
          <w:rFonts w:ascii="Times New Roman" w:hAnsi="Times New Roman" w:cs="Times New Roman"/>
          <w:b/>
          <w:sz w:val="24"/>
          <w:szCs w:val="24"/>
        </w:rPr>
      </w:pPr>
      <w:r w:rsidRPr="00BF067B">
        <w:rPr>
          <w:rFonts w:ascii="Times New Roman" w:hAnsi="Times New Roman" w:cs="Times New Roman"/>
          <w:b/>
          <w:sz w:val="24"/>
          <w:szCs w:val="24"/>
          <w:lang w:val="en-US"/>
        </w:rPr>
        <w:t>Threshold Effects of Housing Affordability and Financial Development on the House Price-Consumption Nexus</w:t>
      </w:r>
      <w:r w:rsidRPr="001C0B5E">
        <w:rPr>
          <w:rFonts w:ascii="Times New Roman" w:hAnsi="Times New Roman" w:cs="Times New Roman"/>
          <w:b/>
          <w:sz w:val="24"/>
          <w:szCs w:val="24"/>
        </w:rPr>
        <w:t xml:space="preserve"> </w:t>
      </w:r>
    </w:p>
    <w:p w14:paraId="0BE5CE6B" w14:textId="77777777" w:rsidR="00CF6E4C" w:rsidRDefault="00CF6E4C" w:rsidP="00CF6E4C">
      <w:pPr>
        <w:autoSpaceDE w:val="0"/>
        <w:autoSpaceDN w:val="0"/>
        <w:adjustRightInd w:val="0"/>
        <w:spacing w:after="0" w:line="240" w:lineRule="auto"/>
        <w:ind w:left="709" w:hanging="709"/>
        <w:jc w:val="center"/>
        <w:rPr>
          <w:rFonts w:ascii="Times New Roman" w:hAnsi="Times New Roman" w:cs="Times New Roman"/>
          <w:b/>
          <w:sz w:val="24"/>
          <w:szCs w:val="24"/>
        </w:rPr>
      </w:pPr>
    </w:p>
    <w:p w14:paraId="0A2C8B15" w14:textId="77777777" w:rsidR="00CF6E4C" w:rsidRPr="001C0B5E" w:rsidRDefault="00CF6E4C" w:rsidP="00CF6E4C">
      <w:pPr>
        <w:autoSpaceDE w:val="0"/>
        <w:autoSpaceDN w:val="0"/>
        <w:adjustRightInd w:val="0"/>
        <w:spacing w:after="0" w:line="240" w:lineRule="auto"/>
        <w:ind w:left="709" w:hanging="709"/>
        <w:jc w:val="center"/>
        <w:rPr>
          <w:rFonts w:ascii="Times New Roman" w:hAnsi="Times New Roman" w:cs="Times New Roman"/>
          <w:b/>
          <w:sz w:val="24"/>
          <w:szCs w:val="24"/>
        </w:rPr>
      </w:pPr>
    </w:p>
    <w:p w14:paraId="69E05E8C" w14:textId="77777777" w:rsidR="00CF6E4C" w:rsidRPr="001C0B5E" w:rsidRDefault="00CF6E4C" w:rsidP="00CF6E4C">
      <w:pPr>
        <w:autoSpaceDE w:val="0"/>
        <w:autoSpaceDN w:val="0"/>
        <w:adjustRightInd w:val="0"/>
        <w:spacing w:after="0" w:line="240" w:lineRule="auto"/>
        <w:ind w:left="709" w:hanging="709"/>
        <w:jc w:val="center"/>
        <w:rPr>
          <w:rFonts w:ascii="Times New Roman" w:hAnsi="Times New Roman" w:cs="Times New Roman"/>
          <w:b/>
          <w:sz w:val="24"/>
          <w:szCs w:val="24"/>
        </w:rPr>
      </w:pPr>
    </w:p>
    <w:p w14:paraId="5F980A5B" w14:textId="77777777" w:rsidR="00CF6E4C" w:rsidRPr="001C0B5E" w:rsidRDefault="00CF6E4C" w:rsidP="00CF6E4C">
      <w:pPr>
        <w:autoSpaceDE w:val="0"/>
        <w:autoSpaceDN w:val="0"/>
        <w:adjustRightInd w:val="0"/>
        <w:spacing w:after="0" w:line="240" w:lineRule="auto"/>
        <w:ind w:left="709" w:hanging="709"/>
        <w:jc w:val="center"/>
        <w:rPr>
          <w:rFonts w:ascii="Times New Roman" w:hAnsi="Times New Roman"/>
          <w:b/>
          <w:color w:val="000000" w:themeColor="text1"/>
          <w:sz w:val="24"/>
          <w:szCs w:val="24"/>
          <w:lang w:val="en-AU"/>
        </w:rPr>
      </w:pPr>
      <w:r w:rsidRPr="001C0B5E">
        <w:rPr>
          <w:rFonts w:ascii="Times New Roman" w:hAnsi="Times New Roman" w:cs="Times New Roman"/>
          <w:b/>
          <w:sz w:val="24"/>
          <w:szCs w:val="24"/>
        </w:rPr>
        <w:t>Esra Alp</w:t>
      </w:r>
      <w:r>
        <w:rPr>
          <w:rFonts w:ascii="Times New Roman" w:hAnsi="Times New Roman" w:cs="Times New Roman"/>
          <w:b/>
          <w:sz w:val="24"/>
          <w:szCs w:val="24"/>
        </w:rPr>
        <w:t xml:space="preserve"> Coskun</w:t>
      </w:r>
      <w:r>
        <w:rPr>
          <w:rStyle w:val="FootnoteReference"/>
          <w:rFonts w:ascii="Times New Roman" w:hAnsi="Times New Roman" w:cs="Times New Roman"/>
          <w:b/>
          <w:sz w:val="24"/>
          <w:szCs w:val="24"/>
        </w:rPr>
        <w:footnoteReference w:customMarkFollows="1" w:id="1"/>
        <w:t>†</w:t>
      </w:r>
      <w:r w:rsidRPr="001C0B5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C0B5E">
        <w:rPr>
          <w:rFonts w:ascii="Times New Roman" w:hAnsi="Times New Roman" w:cs="Times New Roman"/>
          <w:b/>
          <w:sz w:val="24"/>
          <w:szCs w:val="24"/>
        </w:rPr>
        <w:t>Nicholas Apergis</w:t>
      </w:r>
      <w:r>
        <w:rPr>
          <w:rStyle w:val="FootnoteReference"/>
          <w:rFonts w:ascii="Times New Roman" w:hAnsi="Times New Roman" w:cs="Times New Roman"/>
          <w:b/>
          <w:sz w:val="24"/>
          <w:szCs w:val="24"/>
        </w:rPr>
        <w:footnoteReference w:id="2"/>
      </w:r>
      <w:r>
        <w:rPr>
          <w:rFonts w:ascii="Times New Roman" w:hAnsi="Times New Roman" w:cs="Times New Roman"/>
          <w:b/>
          <w:sz w:val="24"/>
          <w:szCs w:val="24"/>
        </w:rPr>
        <w:t xml:space="preserve"> </w:t>
      </w:r>
      <w:r w:rsidRPr="001C0B5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C0B5E">
        <w:rPr>
          <w:rFonts w:ascii="Times New Roman" w:hAnsi="Times New Roman" w:cs="Times New Roman"/>
          <w:b/>
          <w:sz w:val="24"/>
          <w:szCs w:val="24"/>
        </w:rPr>
        <w:t xml:space="preserve">and </w:t>
      </w:r>
      <w:r>
        <w:rPr>
          <w:rFonts w:ascii="Times New Roman" w:hAnsi="Times New Roman" w:cs="Times New Roman"/>
          <w:b/>
          <w:sz w:val="24"/>
          <w:szCs w:val="24"/>
        </w:rPr>
        <w:t xml:space="preserve">  </w:t>
      </w:r>
      <w:r w:rsidRPr="001C0B5E">
        <w:rPr>
          <w:rFonts w:ascii="Times New Roman" w:hAnsi="Times New Roman" w:cs="Times New Roman"/>
          <w:b/>
          <w:sz w:val="24"/>
          <w:szCs w:val="24"/>
        </w:rPr>
        <w:t>Yener Coskun</w:t>
      </w:r>
      <w:r w:rsidRPr="001C0B5E">
        <w:rPr>
          <w:rStyle w:val="FootnoteReference"/>
          <w:rFonts w:ascii="Times New Roman" w:hAnsi="Times New Roman"/>
          <w:b/>
          <w:color w:val="000000" w:themeColor="text1"/>
          <w:sz w:val="24"/>
          <w:szCs w:val="24"/>
          <w:lang w:val="en-AU"/>
        </w:rPr>
        <w:footnoteReference w:customMarkFollows="1" w:id="3"/>
        <w:sym w:font="Symbol" w:char="F0AA"/>
      </w:r>
    </w:p>
    <w:p w14:paraId="66D23BAB" w14:textId="77777777" w:rsidR="00CF6E4C" w:rsidRPr="001C0B5E" w:rsidRDefault="00CF6E4C" w:rsidP="00CF6E4C">
      <w:pPr>
        <w:autoSpaceDE w:val="0"/>
        <w:autoSpaceDN w:val="0"/>
        <w:adjustRightInd w:val="0"/>
        <w:spacing w:after="0" w:line="240" w:lineRule="auto"/>
        <w:ind w:left="709" w:hanging="709"/>
        <w:jc w:val="both"/>
        <w:rPr>
          <w:rFonts w:ascii="Times New Roman" w:hAnsi="Times New Roman" w:cs="Times New Roman"/>
          <w:sz w:val="24"/>
          <w:szCs w:val="24"/>
        </w:rPr>
      </w:pPr>
    </w:p>
    <w:p w14:paraId="2A47FD91" w14:textId="77777777" w:rsidR="00CF6E4C" w:rsidRPr="008E588C" w:rsidRDefault="00CF6E4C" w:rsidP="00CF6E4C">
      <w:pPr>
        <w:autoSpaceDE w:val="0"/>
        <w:autoSpaceDN w:val="0"/>
        <w:adjustRightInd w:val="0"/>
        <w:spacing w:after="0" w:line="240" w:lineRule="auto"/>
        <w:ind w:left="709" w:hanging="709"/>
        <w:jc w:val="both"/>
        <w:rPr>
          <w:rFonts w:ascii="Times New Roman" w:hAnsi="Times New Roman" w:cs="Times New Roman"/>
          <w:b/>
          <w:sz w:val="20"/>
          <w:szCs w:val="20"/>
        </w:rPr>
      </w:pPr>
      <w:r w:rsidRPr="008E588C">
        <w:rPr>
          <w:rFonts w:ascii="Times New Roman" w:hAnsi="Times New Roman" w:cs="Times New Roman"/>
          <w:b/>
          <w:sz w:val="20"/>
          <w:szCs w:val="20"/>
        </w:rPr>
        <w:t>Abstract</w:t>
      </w:r>
    </w:p>
    <w:p w14:paraId="26D7737A" w14:textId="77777777" w:rsidR="00CF6E4C" w:rsidRPr="002C5DE1" w:rsidRDefault="00CF6E4C" w:rsidP="00CF6E4C">
      <w:pPr>
        <w:autoSpaceDE w:val="0"/>
        <w:autoSpaceDN w:val="0"/>
        <w:adjustRightInd w:val="0"/>
        <w:spacing w:before="60" w:after="0" w:line="240" w:lineRule="auto"/>
        <w:jc w:val="both"/>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The study explores the asymmetric effect of housing and financial wealth on household consumption behavior using panel data from 24 OECD countries, spanning the period 2000 to 2016 by employing a financial development (FD) index (proxy for financial deepening) and the house price-to-income (HPI) ratio (proxy for housing affordability) through a threshold empirical framework. The analysis tests certain hypotheses, such as: (</w:t>
      </w:r>
      <w:proofErr w:type="spellStart"/>
      <w:r w:rsidRPr="002C5DE1">
        <w:rPr>
          <w:rFonts w:ascii="Times New Roman" w:hAnsi="Times New Roman" w:cs="Times New Roman"/>
          <w:color w:val="000000" w:themeColor="text1"/>
          <w:sz w:val="20"/>
          <w:szCs w:val="20"/>
          <w:lang w:val="en-US"/>
        </w:rPr>
        <w:t>i</w:t>
      </w:r>
      <w:proofErr w:type="spellEnd"/>
      <w:r w:rsidRPr="002C5DE1">
        <w:rPr>
          <w:rFonts w:ascii="Times New Roman" w:hAnsi="Times New Roman" w:cs="Times New Roman"/>
          <w:color w:val="000000" w:themeColor="text1"/>
          <w:sz w:val="20"/>
          <w:szCs w:val="20"/>
          <w:lang w:val="en-US"/>
        </w:rPr>
        <w:t>) the housing wealth effect on consumption is stronger than its financial counterpart, (ii) overall wealth effects increase (decrease) during bubble (post bubble) periods, (iii) the higher level of financial development and the lower level of housing affordability ratio both result in stronger wealth effects, (iv) increasing wealth effects show a bubble formation. The results suggest that housing wealth has generally a greater positive effect on consumption. The effect of housing and financial wealth on consumption increases, depending on higher financial development and declining housing affordability. The evidence also suggests that the impact of housing and stock market wealth has increased during the dot.com and housing bubble periods.</w:t>
      </w:r>
    </w:p>
    <w:p w14:paraId="3275D3F5" w14:textId="77777777" w:rsidR="00CF6E4C" w:rsidRPr="002C5DE1" w:rsidRDefault="00CF6E4C" w:rsidP="00CF6E4C">
      <w:pPr>
        <w:autoSpaceDE w:val="0"/>
        <w:autoSpaceDN w:val="0"/>
        <w:adjustRightInd w:val="0"/>
        <w:spacing w:before="60" w:after="0" w:line="240" w:lineRule="auto"/>
        <w:jc w:val="both"/>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 xml:space="preserve"> </w:t>
      </w:r>
    </w:p>
    <w:p w14:paraId="6D51202A" w14:textId="77777777" w:rsidR="00CF6E4C" w:rsidRPr="002C5DE1" w:rsidRDefault="00CF6E4C" w:rsidP="00CF6E4C">
      <w:pPr>
        <w:autoSpaceDE w:val="0"/>
        <w:autoSpaceDN w:val="0"/>
        <w:adjustRightInd w:val="0"/>
        <w:spacing w:before="60" w:after="0" w:line="240" w:lineRule="auto"/>
        <w:jc w:val="both"/>
        <w:rPr>
          <w:rFonts w:ascii="Times New Roman" w:hAnsi="Times New Roman" w:cs="Times New Roman"/>
          <w:color w:val="000000" w:themeColor="text1"/>
          <w:sz w:val="20"/>
          <w:szCs w:val="20"/>
          <w:lang w:val="en-US"/>
        </w:rPr>
      </w:pPr>
      <w:r w:rsidRPr="002C5DE1">
        <w:rPr>
          <w:rFonts w:ascii="Times New Roman" w:hAnsi="Times New Roman" w:cs="Times New Roman"/>
          <w:b/>
          <w:color w:val="000000" w:themeColor="text1"/>
          <w:sz w:val="20"/>
          <w:szCs w:val="20"/>
          <w:lang w:val="en-US"/>
        </w:rPr>
        <w:t xml:space="preserve">Keywords: </w:t>
      </w:r>
      <w:r w:rsidRPr="002C5DE1">
        <w:rPr>
          <w:rFonts w:ascii="Times New Roman" w:hAnsi="Times New Roman" w:cs="Times New Roman"/>
          <w:color w:val="000000" w:themeColor="text1"/>
          <w:sz w:val="20"/>
          <w:szCs w:val="20"/>
          <w:lang w:val="en-US"/>
        </w:rPr>
        <w:t>Housing prices, consumption behavior, housing affordability, financial development, panel threshold</w:t>
      </w:r>
    </w:p>
    <w:p w14:paraId="5C4BD402" w14:textId="77777777" w:rsidR="00CF6E4C" w:rsidRPr="002C5DE1" w:rsidRDefault="00CF6E4C" w:rsidP="00CF6E4C">
      <w:pPr>
        <w:autoSpaceDE w:val="0"/>
        <w:autoSpaceDN w:val="0"/>
        <w:adjustRightInd w:val="0"/>
        <w:spacing w:before="60" w:after="0" w:line="240" w:lineRule="auto"/>
        <w:jc w:val="both"/>
        <w:rPr>
          <w:rFonts w:ascii="Times New Roman" w:hAnsi="Times New Roman" w:cs="Times New Roman"/>
          <w:b/>
          <w:color w:val="000000" w:themeColor="text1"/>
          <w:sz w:val="24"/>
          <w:szCs w:val="24"/>
          <w:lang w:val="en-US"/>
        </w:rPr>
      </w:pPr>
      <w:r w:rsidRPr="002C5DE1">
        <w:rPr>
          <w:rFonts w:ascii="Times New Roman" w:hAnsi="Times New Roman" w:cs="Times New Roman"/>
          <w:b/>
          <w:color w:val="000000" w:themeColor="text1"/>
          <w:sz w:val="20"/>
          <w:szCs w:val="20"/>
          <w:lang w:val="en-US"/>
        </w:rPr>
        <w:t xml:space="preserve">JEL Classification: </w:t>
      </w:r>
      <w:r w:rsidRPr="002C5DE1">
        <w:rPr>
          <w:rFonts w:ascii="Times New Roman" w:hAnsi="Times New Roman" w:cs="Times New Roman"/>
          <w:color w:val="000000" w:themeColor="text1"/>
          <w:sz w:val="20"/>
          <w:szCs w:val="20"/>
          <w:lang w:val="en-US"/>
        </w:rPr>
        <w:t>E21, E63, D91.</w:t>
      </w:r>
    </w:p>
    <w:p w14:paraId="6411282A" w14:textId="77777777" w:rsidR="00CF6E4C" w:rsidRDefault="00CF6E4C" w:rsidP="00CF6E4C">
      <w:pPr>
        <w:autoSpaceDE w:val="0"/>
        <w:autoSpaceDN w:val="0"/>
        <w:adjustRightInd w:val="0"/>
        <w:spacing w:before="60" w:after="0" w:line="240" w:lineRule="auto"/>
        <w:jc w:val="both"/>
        <w:rPr>
          <w:rFonts w:ascii="Times New Roman" w:hAnsi="Times New Roman" w:cs="Times New Roman"/>
          <w:b/>
          <w:color w:val="000000" w:themeColor="text1"/>
          <w:sz w:val="24"/>
          <w:szCs w:val="24"/>
        </w:rPr>
      </w:pPr>
    </w:p>
    <w:p w14:paraId="164C4A45" w14:textId="7FCBEF0F" w:rsidR="00CF6E4C" w:rsidRDefault="00CF6E4C" w:rsidP="00AC5AE4">
      <w:pPr>
        <w:autoSpaceDE w:val="0"/>
        <w:autoSpaceDN w:val="0"/>
        <w:adjustRightInd w:val="0"/>
        <w:spacing w:after="0" w:line="240" w:lineRule="auto"/>
        <w:ind w:left="709" w:hanging="709"/>
        <w:jc w:val="center"/>
        <w:rPr>
          <w:rFonts w:ascii="Times New Roman" w:hAnsi="Times New Roman" w:cs="Times New Roman"/>
          <w:b/>
          <w:color w:val="000000" w:themeColor="text1"/>
          <w:sz w:val="24"/>
          <w:szCs w:val="24"/>
        </w:rPr>
      </w:pPr>
    </w:p>
    <w:p w14:paraId="4D9F0BE8" w14:textId="6998AE0D" w:rsidR="00CF6E4C" w:rsidRDefault="00CF6E4C" w:rsidP="00AC5AE4">
      <w:pPr>
        <w:autoSpaceDE w:val="0"/>
        <w:autoSpaceDN w:val="0"/>
        <w:adjustRightInd w:val="0"/>
        <w:spacing w:after="0" w:line="240" w:lineRule="auto"/>
        <w:ind w:left="709" w:hanging="709"/>
        <w:jc w:val="center"/>
        <w:rPr>
          <w:rFonts w:ascii="Times New Roman" w:hAnsi="Times New Roman" w:cs="Times New Roman"/>
          <w:b/>
          <w:color w:val="000000" w:themeColor="text1"/>
          <w:sz w:val="24"/>
          <w:szCs w:val="24"/>
        </w:rPr>
      </w:pPr>
    </w:p>
    <w:p w14:paraId="215A22B5" w14:textId="19F24882" w:rsidR="00CF6E4C" w:rsidRDefault="00CF6E4C" w:rsidP="00AC5AE4">
      <w:pPr>
        <w:autoSpaceDE w:val="0"/>
        <w:autoSpaceDN w:val="0"/>
        <w:adjustRightInd w:val="0"/>
        <w:spacing w:after="0" w:line="240" w:lineRule="auto"/>
        <w:ind w:left="709" w:hanging="709"/>
        <w:jc w:val="center"/>
        <w:rPr>
          <w:rFonts w:ascii="Times New Roman" w:hAnsi="Times New Roman" w:cs="Times New Roman"/>
          <w:b/>
          <w:color w:val="000000" w:themeColor="text1"/>
          <w:sz w:val="24"/>
          <w:szCs w:val="24"/>
        </w:rPr>
      </w:pPr>
    </w:p>
    <w:p w14:paraId="7ED45307" w14:textId="32822F67" w:rsidR="00CF6E4C" w:rsidRDefault="00CF6E4C" w:rsidP="00AC5AE4">
      <w:pPr>
        <w:autoSpaceDE w:val="0"/>
        <w:autoSpaceDN w:val="0"/>
        <w:adjustRightInd w:val="0"/>
        <w:spacing w:after="0" w:line="240" w:lineRule="auto"/>
        <w:ind w:left="709" w:hanging="709"/>
        <w:jc w:val="center"/>
        <w:rPr>
          <w:rFonts w:ascii="Times New Roman" w:hAnsi="Times New Roman" w:cs="Times New Roman"/>
          <w:b/>
          <w:color w:val="000000" w:themeColor="text1"/>
          <w:sz w:val="24"/>
          <w:szCs w:val="24"/>
        </w:rPr>
      </w:pPr>
    </w:p>
    <w:p w14:paraId="47613FA2" w14:textId="78D3130C" w:rsidR="00CF6E4C" w:rsidRDefault="00CF6E4C" w:rsidP="00AC5AE4">
      <w:pPr>
        <w:autoSpaceDE w:val="0"/>
        <w:autoSpaceDN w:val="0"/>
        <w:adjustRightInd w:val="0"/>
        <w:spacing w:after="0" w:line="240" w:lineRule="auto"/>
        <w:ind w:left="709" w:hanging="709"/>
        <w:jc w:val="center"/>
        <w:rPr>
          <w:rFonts w:ascii="Times New Roman" w:hAnsi="Times New Roman" w:cs="Times New Roman"/>
          <w:b/>
          <w:color w:val="000000" w:themeColor="text1"/>
          <w:sz w:val="24"/>
          <w:szCs w:val="24"/>
        </w:rPr>
      </w:pPr>
    </w:p>
    <w:p w14:paraId="548EB476" w14:textId="01ADEB83" w:rsidR="00CF6E4C" w:rsidRDefault="00CF6E4C" w:rsidP="00AC5AE4">
      <w:pPr>
        <w:autoSpaceDE w:val="0"/>
        <w:autoSpaceDN w:val="0"/>
        <w:adjustRightInd w:val="0"/>
        <w:spacing w:after="0" w:line="240" w:lineRule="auto"/>
        <w:ind w:left="709" w:hanging="709"/>
        <w:jc w:val="center"/>
        <w:rPr>
          <w:rFonts w:ascii="Times New Roman" w:hAnsi="Times New Roman" w:cs="Times New Roman"/>
          <w:b/>
          <w:color w:val="000000" w:themeColor="text1"/>
          <w:sz w:val="24"/>
          <w:szCs w:val="24"/>
        </w:rPr>
      </w:pPr>
    </w:p>
    <w:p w14:paraId="0830AF80" w14:textId="4EC969BD" w:rsidR="00CF6E4C" w:rsidRDefault="00CF6E4C" w:rsidP="00AC5AE4">
      <w:pPr>
        <w:autoSpaceDE w:val="0"/>
        <w:autoSpaceDN w:val="0"/>
        <w:adjustRightInd w:val="0"/>
        <w:spacing w:after="0" w:line="240" w:lineRule="auto"/>
        <w:ind w:left="709" w:hanging="709"/>
        <w:jc w:val="center"/>
        <w:rPr>
          <w:rFonts w:ascii="Times New Roman" w:hAnsi="Times New Roman" w:cs="Times New Roman"/>
          <w:b/>
          <w:color w:val="000000" w:themeColor="text1"/>
          <w:sz w:val="24"/>
          <w:szCs w:val="24"/>
        </w:rPr>
      </w:pPr>
    </w:p>
    <w:p w14:paraId="1FEA56E3" w14:textId="7C1407D8" w:rsidR="00CF6E4C" w:rsidRDefault="00CF6E4C" w:rsidP="00AC5AE4">
      <w:pPr>
        <w:autoSpaceDE w:val="0"/>
        <w:autoSpaceDN w:val="0"/>
        <w:adjustRightInd w:val="0"/>
        <w:spacing w:after="0" w:line="240" w:lineRule="auto"/>
        <w:ind w:left="709" w:hanging="709"/>
        <w:jc w:val="center"/>
        <w:rPr>
          <w:rFonts w:ascii="Times New Roman" w:hAnsi="Times New Roman" w:cs="Times New Roman"/>
          <w:b/>
          <w:color w:val="000000" w:themeColor="text1"/>
          <w:sz w:val="24"/>
          <w:szCs w:val="24"/>
        </w:rPr>
      </w:pPr>
    </w:p>
    <w:p w14:paraId="277DF151" w14:textId="259F700B" w:rsidR="00CF6E4C" w:rsidRDefault="00CF6E4C" w:rsidP="00AC5AE4">
      <w:pPr>
        <w:autoSpaceDE w:val="0"/>
        <w:autoSpaceDN w:val="0"/>
        <w:adjustRightInd w:val="0"/>
        <w:spacing w:after="0" w:line="240" w:lineRule="auto"/>
        <w:ind w:left="709" w:hanging="709"/>
        <w:jc w:val="center"/>
        <w:rPr>
          <w:rFonts w:ascii="Times New Roman" w:hAnsi="Times New Roman" w:cs="Times New Roman"/>
          <w:b/>
          <w:color w:val="000000" w:themeColor="text1"/>
          <w:sz w:val="24"/>
          <w:szCs w:val="24"/>
        </w:rPr>
      </w:pPr>
    </w:p>
    <w:p w14:paraId="709A11A3" w14:textId="61A38A88" w:rsidR="00CF6E4C" w:rsidRDefault="00CF6E4C" w:rsidP="00AC5AE4">
      <w:pPr>
        <w:autoSpaceDE w:val="0"/>
        <w:autoSpaceDN w:val="0"/>
        <w:adjustRightInd w:val="0"/>
        <w:spacing w:after="0" w:line="240" w:lineRule="auto"/>
        <w:ind w:left="709" w:hanging="709"/>
        <w:jc w:val="center"/>
        <w:rPr>
          <w:rFonts w:ascii="Times New Roman" w:hAnsi="Times New Roman" w:cs="Times New Roman"/>
          <w:b/>
          <w:color w:val="000000" w:themeColor="text1"/>
          <w:sz w:val="24"/>
          <w:szCs w:val="24"/>
        </w:rPr>
      </w:pPr>
    </w:p>
    <w:p w14:paraId="5A066809" w14:textId="42D1F8F0" w:rsidR="00CF6E4C" w:rsidRDefault="00CF6E4C" w:rsidP="00AC5AE4">
      <w:pPr>
        <w:autoSpaceDE w:val="0"/>
        <w:autoSpaceDN w:val="0"/>
        <w:adjustRightInd w:val="0"/>
        <w:spacing w:after="0" w:line="240" w:lineRule="auto"/>
        <w:ind w:left="709" w:hanging="709"/>
        <w:jc w:val="center"/>
        <w:rPr>
          <w:rFonts w:ascii="Times New Roman" w:hAnsi="Times New Roman" w:cs="Times New Roman"/>
          <w:b/>
          <w:color w:val="000000" w:themeColor="text1"/>
          <w:sz w:val="24"/>
          <w:szCs w:val="24"/>
        </w:rPr>
      </w:pPr>
    </w:p>
    <w:p w14:paraId="0C47D699" w14:textId="3B006308" w:rsidR="00CF6E4C" w:rsidRDefault="00CF6E4C" w:rsidP="00AC5AE4">
      <w:pPr>
        <w:autoSpaceDE w:val="0"/>
        <w:autoSpaceDN w:val="0"/>
        <w:adjustRightInd w:val="0"/>
        <w:spacing w:after="0" w:line="240" w:lineRule="auto"/>
        <w:ind w:left="709" w:hanging="709"/>
        <w:jc w:val="center"/>
        <w:rPr>
          <w:rFonts w:ascii="Times New Roman" w:hAnsi="Times New Roman" w:cs="Times New Roman"/>
          <w:b/>
          <w:color w:val="000000" w:themeColor="text1"/>
          <w:sz w:val="24"/>
          <w:szCs w:val="24"/>
        </w:rPr>
      </w:pPr>
    </w:p>
    <w:p w14:paraId="18E3ED45" w14:textId="7B122EDA" w:rsidR="00CF6E4C" w:rsidRDefault="00CF6E4C" w:rsidP="00AC5AE4">
      <w:pPr>
        <w:autoSpaceDE w:val="0"/>
        <w:autoSpaceDN w:val="0"/>
        <w:adjustRightInd w:val="0"/>
        <w:spacing w:after="0" w:line="240" w:lineRule="auto"/>
        <w:ind w:left="709" w:hanging="709"/>
        <w:jc w:val="center"/>
        <w:rPr>
          <w:rFonts w:ascii="Times New Roman" w:hAnsi="Times New Roman" w:cs="Times New Roman"/>
          <w:b/>
          <w:color w:val="000000" w:themeColor="text1"/>
          <w:sz w:val="24"/>
          <w:szCs w:val="24"/>
        </w:rPr>
      </w:pPr>
    </w:p>
    <w:p w14:paraId="039C69A5" w14:textId="228D8994" w:rsidR="00CF6E4C" w:rsidRDefault="00CF6E4C" w:rsidP="00AC5AE4">
      <w:pPr>
        <w:autoSpaceDE w:val="0"/>
        <w:autoSpaceDN w:val="0"/>
        <w:adjustRightInd w:val="0"/>
        <w:spacing w:after="0" w:line="240" w:lineRule="auto"/>
        <w:ind w:left="709" w:hanging="709"/>
        <w:jc w:val="center"/>
        <w:rPr>
          <w:rFonts w:ascii="Times New Roman" w:hAnsi="Times New Roman" w:cs="Times New Roman"/>
          <w:b/>
          <w:color w:val="000000" w:themeColor="text1"/>
          <w:sz w:val="24"/>
          <w:szCs w:val="24"/>
        </w:rPr>
      </w:pPr>
    </w:p>
    <w:p w14:paraId="2AE3B3CE" w14:textId="7C75B2C9" w:rsidR="00CF6E4C" w:rsidRDefault="00CF6E4C" w:rsidP="00AC5AE4">
      <w:pPr>
        <w:autoSpaceDE w:val="0"/>
        <w:autoSpaceDN w:val="0"/>
        <w:adjustRightInd w:val="0"/>
        <w:spacing w:after="0" w:line="240" w:lineRule="auto"/>
        <w:ind w:left="709" w:hanging="709"/>
        <w:jc w:val="center"/>
        <w:rPr>
          <w:rFonts w:ascii="Times New Roman" w:hAnsi="Times New Roman" w:cs="Times New Roman"/>
          <w:b/>
          <w:color w:val="000000" w:themeColor="text1"/>
          <w:sz w:val="24"/>
          <w:szCs w:val="24"/>
        </w:rPr>
      </w:pPr>
    </w:p>
    <w:p w14:paraId="4A58B7C3" w14:textId="488E9FA9" w:rsidR="00CF6E4C" w:rsidRDefault="00CF6E4C" w:rsidP="00AC5AE4">
      <w:pPr>
        <w:autoSpaceDE w:val="0"/>
        <w:autoSpaceDN w:val="0"/>
        <w:adjustRightInd w:val="0"/>
        <w:spacing w:after="0" w:line="240" w:lineRule="auto"/>
        <w:ind w:left="709" w:hanging="709"/>
        <w:jc w:val="center"/>
        <w:rPr>
          <w:rFonts w:ascii="Times New Roman" w:hAnsi="Times New Roman" w:cs="Times New Roman"/>
          <w:b/>
          <w:color w:val="000000" w:themeColor="text1"/>
          <w:sz w:val="24"/>
          <w:szCs w:val="24"/>
        </w:rPr>
      </w:pPr>
    </w:p>
    <w:p w14:paraId="228FFED9" w14:textId="09308641" w:rsidR="00CF6E4C" w:rsidRDefault="00CF6E4C" w:rsidP="00AC5AE4">
      <w:pPr>
        <w:autoSpaceDE w:val="0"/>
        <w:autoSpaceDN w:val="0"/>
        <w:adjustRightInd w:val="0"/>
        <w:spacing w:after="0" w:line="240" w:lineRule="auto"/>
        <w:ind w:left="709" w:hanging="709"/>
        <w:jc w:val="center"/>
        <w:rPr>
          <w:rFonts w:ascii="Times New Roman" w:hAnsi="Times New Roman" w:cs="Times New Roman"/>
          <w:b/>
          <w:color w:val="000000" w:themeColor="text1"/>
          <w:sz w:val="24"/>
          <w:szCs w:val="24"/>
        </w:rPr>
      </w:pPr>
    </w:p>
    <w:p w14:paraId="259B20AA" w14:textId="4B40E450" w:rsidR="00CF6E4C" w:rsidRDefault="00CF6E4C" w:rsidP="00AC5AE4">
      <w:pPr>
        <w:autoSpaceDE w:val="0"/>
        <w:autoSpaceDN w:val="0"/>
        <w:adjustRightInd w:val="0"/>
        <w:spacing w:after="0" w:line="240" w:lineRule="auto"/>
        <w:ind w:left="709" w:hanging="709"/>
        <w:jc w:val="center"/>
        <w:rPr>
          <w:rFonts w:ascii="Times New Roman" w:hAnsi="Times New Roman" w:cs="Times New Roman"/>
          <w:b/>
          <w:color w:val="000000" w:themeColor="text1"/>
          <w:sz w:val="24"/>
          <w:szCs w:val="24"/>
        </w:rPr>
      </w:pPr>
    </w:p>
    <w:p w14:paraId="1383A0A4" w14:textId="3BB6634F" w:rsidR="00CF6E4C" w:rsidRDefault="00CF6E4C" w:rsidP="00AC5AE4">
      <w:pPr>
        <w:autoSpaceDE w:val="0"/>
        <w:autoSpaceDN w:val="0"/>
        <w:adjustRightInd w:val="0"/>
        <w:spacing w:after="0" w:line="240" w:lineRule="auto"/>
        <w:ind w:left="709" w:hanging="709"/>
        <w:jc w:val="center"/>
        <w:rPr>
          <w:rFonts w:ascii="Times New Roman" w:hAnsi="Times New Roman" w:cs="Times New Roman"/>
          <w:b/>
          <w:color w:val="000000" w:themeColor="text1"/>
          <w:sz w:val="24"/>
          <w:szCs w:val="24"/>
        </w:rPr>
      </w:pPr>
    </w:p>
    <w:p w14:paraId="5F0C9C39" w14:textId="01D21E56" w:rsidR="00CF6E4C" w:rsidRDefault="00CF6E4C" w:rsidP="00AC5AE4">
      <w:pPr>
        <w:autoSpaceDE w:val="0"/>
        <w:autoSpaceDN w:val="0"/>
        <w:adjustRightInd w:val="0"/>
        <w:spacing w:after="0" w:line="240" w:lineRule="auto"/>
        <w:ind w:left="709" w:hanging="709"/>
        <w:jc w:val="center"/>
        <w:rPr>
          <w:rFonts w:ascii="Times New Roman" w:hAnsi="Times New Roman" w:cs="Times New Roman"/>
          <w:b/>
          <w:color w:val="000000" w:themeColor="text1"/>
          <w:sz w:val="24"/>
          <w:szCs w:val="24"/>
        </w:rPr>
      </w:pPr>
    </w:p>
    <w:p w14:paraId="74E284BB" w14:textId="310B02AE" w:rsidR="00CF6E4C" w:rsidRDefault="00CF6E4C" w:rsidP="00AC5AE4">
      <w:pPr>
        <w:autoSpaceDE w:val="0"/>
        <w:autoSpaceDN w:val="0"/>
        <w:adjustRightInd w:val="0"/>
        <w:spacing w:after="0" w:line="240" w:lineRule="auto"/>
        <w:ind w:left="709" w:hanging="709"/>
        <w:jc w:val="center"/>
        <w:rPr>
          <w:rFonts w:ascii="Times New Roman" w:hAnsi="Times New Roman" w:cs="Times New Roman"/>
          <w:b/>
          <w:color w:val="000000" w:themeColor="text1"/>
          <w:sz w:val="24"/>
          <w:szCs w:val="24"/>
        </w:rPr>
      </w:pPr>
    </w:p>
    <w:p w14:paraId="0E72AAA6" w14:textId="6009692F" w:rsidR="00CF6E4C" w:rsidRDefault="00CF6E4C" w:rsidP="00AC5AE4">
      <w:pPr>
        <w:autoSpaceDE w:val="0"/>
        <w:autoSpaceDN w:val="0"/>
        <w:adjustRightInd w:val="0"/>
        <w:spacing w:after="0" w:line="240" w:lineRule="auto"/>
        <w:ind w:left="709" w:hanging="709"/>
        <w:jc w:val="center"/>
        <w:rPr>
          <w:rFonts w:ascii="Times New Roman" w:hAnsi="Times New Roman" w:cs="Times New Roman"/>
          <w:b/>
          <w:color w:val="000000" w:themeColor="text1"/>
          <w:sz w:val="24"/>
          <w:szCs w:val="24"/>
        </w:rPr>
      </w:pPr>
    </w:p>
    <w:p w14:paraId="641529D5" w14:textId="1AF2B097" w:rsidR="00CF6E4C" w:rsidRDefault="00CF6E4C" w:rsidP="00AC5AE4">
      <w:pPr>
        <w:autoSpaceDE w:val="0"/>
        <w:autoSpaceDN w:val="0"/>
        <w:adjustRightInd w:val="0"/>
        <w:spacing w:after="0" w:line="240" w:lineRule="auto"/>
        <w:ind w:left="709" w:hanging="709"/>
        <w:jc w:val="center"/>
        <w:rPr>
          <w:rFonts w:ascii="Times New Roman" w:hAnsi="Times New Roman" w:cs="Times New Roman"/>
          <w:b/>
          <w:color w:val="000000" w:themeColor="text1"/>
          <w:sz w:val="24"/>
          <w:szCs w:val="24"/>
        </w:rPr>
      </w:pPr>
    </w:p>
    <w:p w14:paraId="6B6D4D05" w14:textId="5B30B38C" w:rsidR="00CF6E4C" w:rsidRDefault="00CF6E4C" w:rsidP="00AC5AE4">
      <w:pPr>
        <w:autoSpaceDE w:val="0"/>
        <w:autoSpaceDN w:val="0"/>
        <w:adjustRightInd w:val="0"/>
        <w:spacing w:after="0" w:line="240" w:lineRule="auto"/>
        <w:ind w:left="709" w:hanging="709"/>
        <w:jc w:val="center"/>
        <w:rPr>
          <w:rFonts w:ascii="Times New Roman" w:hAnsi="Times New Roman" w:cs="Times New Roman"/>
          <w:b/>
          <w:color w:val="000000" w:themeColor="text1"/>
          <w:sz w:val="24"/>
          <w:szCs w:val="24"/>
        </w:rPr>
      </w:pPr>
    </w:p>
    <w:p w14:paraId="7664F013" w14:textId="195B1086" w:rsidR="00CF6E4C" w:rsidRDefault="00CF6E4C" w:rsidP="00AC5AE4">
      <w:pPr>
        <w:autoSpaceDE w:val="0"/>
        <w:autoSpaceDN w:val="0"/>
        <w:adjustRightInd w:val="0"/>
        <w:spacing w:after="0" w:line="240" w:lineRule="auto"/>
        <w:ind w:left="709" w:hanging="709"/>
        <w:jc w:val="center"/>
        <w:rPr>
          <w:rFonts w:ascii="Times New Roman" w:hAnsi="Times New Roman" w:cs="Times New Roman"/>
          <w:b/>
          <w:color w:val="000000" w:themeColor="text1"/>
          <w:sz w:val="24"/>
          <w:szCs w:val="24"/>
        </w:rPr>
      </w:pPr>
    </w:p>
    <w:p w14:paraId="480AC5C1" w14:textId="451373BF" w:rsidR="00AC5AE4" w:rsidRPr="002C5DE1" w:rsidRDefault="00BF067B" w:rsidP="00AC5AE4">
      <w:pPr>
        <w:autoSpaceDE w:val="0"/>
        <w:autoSpaceDN w:val="0"/>
        <w:adjustRightInd w:val="0"/>
        <w:spacing w:after="0" w:line="240" w:lineRule="auto"/>
        <w:ind w:left="709" w:hanging="709"/>
        <w:jc w:val="center"/>
        <w:rPr>
          <w:rFonts w:ascii="Times New Roman" w:hAnsi="Times New Roman" w:cs="Times New Roman"/>
          <w:b/>
          <w:color w:val="000000" w:themeColor="text1"/>
          <w:sz w:val="24"/>
          <w:szCs w:val="24"/>
          <w:lang w:val="en-US"/>
        </w:rPr>
      </w:pPr>
      <w:r w:rsidRPr="002C5DE1">
        <w:rPr>
          <w:rFonts w:ascii="Times New Roman" w:hAnsi="Times New Roman" w:cs="Times New Roman"/>
          <w:b/>
          <w:color w:val="000000" w:themeColor="text1"/>
          <w:sz w:val="24"/>
          <w:szCs w:val="24"/>
          <w:lang w:val="en-US"/>
        </w:rPr>
        <w:t>Threshold Effects of Housing Affordability and Financial Development on the House Price-Consumption Nexus</w:t>
      </w:r>
      <w:r w:rsidR="00AC5AE4" w:rsidRPr="002C5DE1">
        <w:rPr>
          <w:rFonts w:ascii="Times New Roman" w:hAnsi="Times New Roman" w:cs="Times New Roman"/>
          <w:b/>
          <w:color w:val="000000" w:themeColor="text1"/>
          <w:sz w:val="24"/>
          <w:szCs w:val="24"/>
          <w:lang w:val="en-US"/>
        </w:rPr>
        <w:t xml:space="preserve"> </w:t>
      </w:r>
    </w:p>
    <w:p w14:paraId="60516809" w14:textId="77777777" w:rsidR="001C0B5E" w:rsidRPr="002C5DE1" w:rsidRDefault="001C0B5E" w:rsidP="00AC5AE4">
      <w:pPr>
        <w:autoSpaceDE w:val="0"/>
        <w:autoSpaceDN w:val="0"/>
        <w:adjustRightInd w:val="0"/>
        <w:spacing w:after="0" w:line="240" w:lineRule="auto"/>
        <w:ind w:left="709" w:hanging="709"/>
        <w:jc w:val="center"/>
        <w:rPr>
          <w:rFonts w:ascii="Times New Roman" w:hAnsi="Times New Roman" w:cs="Times New Roman"/>
          <w:b/>
          <w:color w:val="000000" w:themeColor="text1"/>
          <w:sz w:val="24"/>
          <w:szCs w:val="24"/>
          <w:lang w:val="en-US"/>
        </w:rPr>
      </w:pPr>
    </w:p>
    <w:p w14:paraId="2E1102D4" w14:textId="77777777" w:rsidR="00AC5AE4" w:rsidRPr="002C5DE1" w:rsidRDefault="00AC5AE4" w:rsidP="00AC5AE4">
      <w:pPr>
        <w:autoSpaceDE w:val="0"/>
        <w:autoSpaceDN w:val="0"/>
        <w:adjustRightInd w:val="0"/>
        <w:spacing w:after="0" w:line="240" w:lineRule="auto"/>
        <w:ind w:left="709" w:hanging="709"/>
        <w:jc w:val="both"/>
        <w:rPr>
          <w:rFonts w:ascii="Times New Roman" w:hAnsi="Times New Roman" w:cs="Times New Roman"/>
          <w:b/>
          <w:color w:val="000000" w:themeColor="text1"/>
          <w:sz w:val="20"/>
          <w:szCs w:val="20"/>
          <w:lang w:val="en-US"/>
        </w:rPr>
      </w:pPr>
      <w:r w:rsidRPr="002C5DE1">
        <w:rPr>
          <w:rFonts w:ascii="Times New Roman" w:hAnsi="Times New Roman" w:cs="Times New Roman"/>
          <w:b/>
          <w:color w:val="000000" w:themeColor="text1"/>
          <w:sz w:val="20"/>
          <w:szCs w:val="20"/>
          <w:lang w:val="en-US"/>
        </w:rPr>
        <w:t>Abstract</w:t>
      </w:r>
    </w:p>
    <w:p w14:paraId="5DA64586" w14:textId="77777777" w:rsidR="00722440" w:rsidRPr="002C5DE1" w:rsidRDefault="00D456A5" w:rsidP="003D0D16">
      <w:pPr>
        <w:autoSpaceDE w:val="0"/>
        <w:autoSpaceDN w:val="0"/>
        <w:adjustRightInd w:val="0"/>
        <w:spacing w:before="60" w:after="0" w:line="240" w:lineRule="auto"/>
        <w:jc w:val="both"/>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The study</w:t>
      </w:r>
      <w:r w:rsidR="00632C06" w:rsidRPr="002C5DE1">
        <w:rPr>
          <w:rFonts w:ascii="Times New Roman" w:hAnsi="Times New Roman" w:cs="Times New Roman"/>
          <w:color w:val="000000" w:themeColor="text1"/>
          <w:sz w:val="20"/>
          <w:szCs w:val="20"/>
          <w:lang w:val="en-US"/>
        </w:rPr>
        <w:t xml:space="preserve"> explore</w:t>
      </w:r>
      <w:r w:rsidRPr="002C5DE1">
        <w:rPr>
          <w:rFonts w:ascii="Times New Roman" w:hAnsi="Times New Roman" w:cs="Times New Roman"/>
          <w:color w:val="000000" w:themeColor="text1"/>
          <w:sz w:val="20"/>
          <w:szCs w:val="20"/>
          <w:lang w:val="en-US"/>
        </w:rPr>
        <w:t>s</w:t>
      </w:r>
      <w:r w:rsidR="00632C06" w:rsidRPr="002C5DE1">
        <w:rPr>
          <w:rFonts w:ascii="Times New Roman" w:hAnsi="Times New Roman" w:cs="Times New Roman"/>
          <w:color w:val="000000" w:themeColor="text1"/>
          <w:sz w:val="20"/>
          <w:szCs w:val="20"/>
          <w:lang w:val="en-US"/>
        </w:rPr>
        <w:t xml:space="preserve"> the </w:t>
      </w:r>
      <w:r w:rsidR="00474757" w:rsidRPr="002C5DE1">
        <w:rPr>
          <w:rFonts w:ascii="Times New Roman" w:hAnsi="Times New Roman" w:cs="Times New Roman"/>
          <w:color w:val="000000" w:themeColor="text1"/>
          <w:sz w:val="20"/>
          <w:szCs w:val="20"/>
          <w:lang w:val="en-US"/>
        </w:rPr>
        <w:t>asymmetric effect</w:t>
      </w:r>
      <w:r w:rsidR="00632C06" w:rsidRPr="002C5DE1">
        <w:rPr>
          <w:rFonts w:ascii="Times New Roman" w:hAnsi="Times New Roman" w:cs="Times New Roman"/>
          <w:color w:val="000000" w:themeColor="text1"/>
          <w:sz w:val="20"/>
          <w:szCs w:val="20"/>
          <w:lang w:val="en-US"/>
        </w:rPr>
        <w:t xml:space="preserve"> of housing and financial wealth on household consumption</w:t>
      </w:r>
      <w:r w:rsidR="00455018" w:rsidRPr="002C5DE1">
        <w:rPr>
          <w:rFonts w:ascii="Times New Roman" w:hAnsi="Times New Roman" w:cs="Times New Roman"/>
          <w:color w:val="000000" w:themeColor="text1"/>
          <w:sz w:val="20"/>
          <w:szCs w:val="20"/>
          <w:lang w:val="en-US"/>
        </w:rPr>
        <w:t xml:space="preserve"> </w:t>
      </w:r>
      <w:r w:rsidR="00700218" w:rsidRPr="002C5DE1">
        <w:rPr>
          <w:rFonts w:ascii="Times New Roman" w:hAnsi="Times New Roman" w:cs="Times New Roman"/>
          <w:color w:val="000000" w:themeColor="text1"/>
          <w:sz w:val="20"/>
          <w:szCs w:val="20"/>
          <w:lang w:val="en-US"/>
        </w:rPr>
        <w:t>behavior</w:t>
      </w:r>
      <w:r w:rsidR="00632C06" w:rsidRPr="002C5DE1">
        <w:rPr>
          <w:rFonts w:ascii="Times New Roman" w:hAnsi="Times New Roman" w:cs="Times New Roman"/>
          <w:color w:val="000000" w:themeColor="text1"/>
          <w:sz w:val="20"/>
          <w:szCs w:val="20"/>
          <w:lang w:val="en-US"/>
        </w:rPr>
        <w:t xml:space="preserve"> using panel data </w:t>
      </w:r>
      <w:r w:rsidRPr="002C5DE1">
        <w:rPr>
          <w:rFonts w:ascii="Times New Roman" w:hAnsi="Times New Roman" w:cs="Times New Roman"/>
          <w:color w:val="000000" w:themeColor="text1"/>
          <w:sz w:val="20"/>
          <w:szCs w:val="20"/>
          <w:lang w:val="en-US"/>
        </w:rPr>
        <w:t>from</w:t>
      </w:r>
      <w:r w:rsidR="00632C06" w:rsidRPr="002C5DE1">
        <w:rPr>
          <w:rFonts w:ascii="Times New Roman" w:hAnsi="Times New Roman" w:cs="Times New Roman"/>
          <w:color w:val="000000" w:themeColor="text1"/>
          <w:sz w:val="20"/>
          <w:szCs w:val="20"/>
          <w:lang w:val="en-US"/>
        </w:rPr>
        <w:t xml:space="preserve"> 2</w:t>
      </w:r>
      <w:r w:rsidR="00F31019" w:rsidRPr="002C5DE1">
        <w:rPr>
          <w:rFonts w:ascii="Times New Roman" w:hAnsi="Times New Roman" w:cs="Times New Roman"/>
          <w:color w:val="000000" w:themeColor="text1"/>
          <w:sz w:val="20"/>
          <w:szCs w:val="20"/>
          <w:lang w:val="en-US"/>
        </w:rPr>
        <w:t>4</w:t>
      </w:r>
      <w:r w:rsidR="00632C06" w:rsidRPr="002C5DE1">
        <w:rPr>
          <w:rFonts w:ascii="Times New Roman" w:hAnsi="Times New Roman" w:cs="Times New Roman"/>
          <w:color w:val="000000" w:themeColor="text1"/>
          <w:sz w:val="20"/>
          <w:szCs w:val="20"/>
          <w:lang w:val="en-US"/>
        </w:rPr>
        <w:t xml:space="preserve"> OECD countries</w:t>
      </w:r>
      <w:r w:rsidRPr="002C5DE1">
        <w:rPr>
          <w:rFonts w:ascii="Times New Roman" w:hAnsi="Times New Roman" w:cs="Times New Roman"/>
          <w:color w:val="000000" w:themeColor="text1"/>
          <w:sz w:val="20"/>
          <w:szCs w:val="20"/>
          <w:lang w:val="en-US"/>
        </w:rPr>
        <w:t>, spanning</w:t>
      </w:r>
      <w:r w:rsidR="00632C06" w:rsidRPr="002C5DE1">
        <w:rPr>
          <w:rFonts w:ascii="Times New Roman" w:hAnsi="Times New Roman" w:cs="Times New Roman"/>
          <w:color w:val="000000" w:themeColor="text1"/>
          <w:sz w:val="20"/>
          <w:szCs w:val="20"/>
          <w:lang w:val="en-US"/>
        </w:rPr>
        <w:t xml:space="preserve"> the period </w:t>
      </w:r>
      <w:r w:rsidR="00D45783" w:rsidRPr="002C5DE1">
        <w:rPr>
          <w:rFonts w:ascii="Times New Roman" w:hAnsi="Times New Roman" w:cs="Times New Roman"/>
          <w:color w:val="000000" w:themeColor="text1"/>
          <w:sz w:val="20"/>
          <w:szCs w:val="20"/>
          <w:lang w:val="en-US"/>
        </w:rPr>
        <w:t>20</w:t>
      </w:r>
      <w:r w:rsidR="00D00A0F" w:rsidRPr="002C5DE1">
        <w:rPr>
          <w:rFonts w:ascii="Times New Roman" w:hAnsi="Times New Roman" w:cs="Times New Roman"/>
          <w:color w:val="000000" w:themeColor="text1"/>
          <w:sz w:val="20"/>
          <w:szCs w:val="20"/>
          <w:lang w:val="en-US"/>
        </w:rPr>
        <w:t>0</w:t>
      </w:r>
      <w:r w:rsidR="00D45783" w:rsidRPr="002C5DE1">
        <w:rPr>
          <w:rFonts w:ascii="Times New Roman" w:hAnsi="Times New Roman" w:cs="Times New Roman"/>
          <w:color w:val="000000" w:themeColor="text1"/>
          <w:sz w:val="20"/>
          <w:szCs w:val="20"/>
          <w:lang w:val="en-US"/>
        </w:rPr>
        <w:t xml:space="preserve">0 </w:t>
      </w:r>
      <w:r w:rsidRPr="002C5DE1">
        <w:rPr>
          <w:rFonts w:ascii="Times New Roman" w:hAnsi="Times New Roman" w:cs="Times New Roman"/>
          <w:color w:val="000000" w:themeColor="text1"/>
          <w:sz w:val="20"/>
          <w:szCs w:val="20"/>
          <w:lang w:val="en-US"/>
        </w:rPr>
        <w:t xml:space="preserve">to </w:t>
      </w:r>
      <w:r w:rsidR="00D45783" w:rsidRPr="002C5DE1">
        <w:rPr>
          <w:rFonts w:ascii="Times New Roman" w:hAnsi="Times New Roman" w:cs="Times New Roman"/>
          <w:color w:val="000000" w:themeColor="text1"/>
          <w:sz w:val="20"/>
          <w:szCs w:val="20"/>
          <w:lang w:val="en-US"/>
        </w:rPr>
        <w:t>2016</w:t>
      </w:r>
      <w:r w:rsidR="009658BE" w:rsidRPr="002C5DE1">
        <w:rPr>
          <w:rFonts w:ascii="Times New Roman" w:hAnsi="Times New Roman" w:cs="Times New Roman"/>
          <w:color w:val="000000" w:themeColor="text1"/>
          <w:sz w:val="20"/>
          <w:szCs w:val="20"/>
          <w:lang w:val="en-US"/>
        </w:rPr>
        <w:t xml:space="preserve"> by employing </w:t>
      </w:r>
      <w:r w:rsidRPr="002C5DE1">
        <w:rPr>
          <w:rFonts w:ascii="Times New Roman" w:hAnsi="Times New Roman" w:cs="Times New Roman"/>
          <w:color w:val="000000" w:themeColor="text1"/>
          <w:sz w:val="20"/>
          <w:szCs w:val="20"/>
          <w:lang w:val="en-US"/>
        </w:rPr>
        <w:t xml:space="preserve">a </w:t>
      </w:r>
      <w:r w:rsidR="009658BE" w:rsidRPr="002C5DE1">
        <w:rPr>
          <w:rFonts w:ascii="Times New Roman" w:hAnsi="Times New Roman" w:cs="Times New Roman"/>
          <w:color w:val="000000" w:themeColor="text1"/>
          <w:sz w:val="20"/>
          <w:szCs w:val="20"/>
          <w:lang w:val="en-US"/>
        </w:rPr>
        <w:t>financial development</w:t>
      </w:r>
      <w:r w:rsidR="00CF7EA5" w:rsidRPr="002C5DE1">
        <w:rPr>
          <w:rFonts w:ascii="Times New Roman" w:hAnsi="Times New Roman" w:cs="Times New Roman"/>
          <w:color w:val="000000" w:themeColor="text1"/>
          <w:sz w:val="20"/>
          <w:szCs w:val="20"/>
          <w:lang w:val="en-US"/>
        </w:rPr>
        <w:t xml:space="preserve"> (FD)</w:t>
      </w:r>
      <w:r w:rsidR="009658BE" w:rsidRPr="002C5DE1">
        <w:rPr>
          <w:rFonts w:ascii="Times New Roman" w:hAnsi="Times New Roman" w:cs="Times New Roman"/>
          <w:color w:val="000000" w:themeColor="text1"/>
          <w:sz w:val="20"/>
          <w:szCs w:val="20"/>
          <w:lang w:val="en-US"/>
        </w:rPr>
        <w:t xml:space="preserve"> index</w:t>
      </w:r>
      <w:r w:rsidR="002C3E56" w:rsidRPr="002C5DE1">
        <w:rPr>
          <w:rFonts w:ascii="Times New Roman" w:hAnsi="Times New Roman" w:cs="Times New Roman"/>
          <w:color w:val="000000" w:themeColor="text1"/>
          <w:sz w:val="20"/>
          <w:szCs w:val="20"/>
          <w:lang w:val="en-US"/>
        </w:rPr>
        <w:t xml:space="preserve"> (proxy for financial deepening)</w:t>
      </w:r>
      <w:r w:rsidR="009658BE" w:rsidRPr="002C5DE1">
        <w:rPr>
          <w:rFonts w:ascii="Times New Roman" w:hAnsi="Times New Roman" w:cs="Times New Roman"/>
          <w:color w:val="000000" w:themeColor="text1"/>
          <w:sz w:val="20"/>
          <w:szCs w:val="20"/>
          <w:lang w:val="en-US"/>
        </w:rPr>
        <w:t xml:space="preserve"> and </w:t>
      </w:r>
      <w:r w:rsidRPr="002C5DE1">
        <w:rPr>
          <w:rFonts w:ascii="Times New Roman" w:hAnsi="Times New Roman" w:cs="Times New Roman"/>
          <w:color w:val="000000" w:themeColor="text1"/>
          <w:sz w:val="20"/>
          <w:szCs w:val="20"/>
          <w:lang w:val="en-US"/>
        </w:rPr>
        <w:t xml:space="preserve">the </w:t>
      </w:r>
      <w:r w:rsidR="009658BE" w:rsidRPr="002C5DE1">
        <w:rPr>
          <w:rFonts w:ascii="Times New Roman" w:hAnsi="Times New Roman" w:cs="Times New Roman"/>
          <w:color w:val="000000" w:themeColor="text1"/>
          <w:sz w:val="20"/>
          <w:szCs w:val="20"/>
          <w:lang w:val="en-US"/>
        </w:rPr>
        <w:t>house price-to-income</w:t>
      </w:r>
      <w:r w:rsidR="00CF7EA5" w:rsidRPr="002C5DE1">
        <w:rPr>
          <w:rFonts w:ascii="Times New Roman" w:hAnsi="Times New Roman" w:cs="Times New Roman"/>
          <w:color w:val="000000" w:themeColor="text1"/>
          <w:sz w:val="20"/>
          <w:szCs w:val="20"/>
          <w:lang w:val="en-US"/>
        </w:rPr>
        <w:t xml:space="preserve"> (HPI)</w:t>
      </w:r>
      <w:r w:rsidR="009658BE" w:rsidRPr="002C5DE1">
        <w:rPr>
          <w:rFonts w:ascii="Times New Roman" w:hAnsi="Times New Roman" w:cs="Times New Roman"/>
          <w:color w:val="000000" w:themeColor="text1"/>
          <w:sz w:val="20"/>
          <w:szCs w:val="20"/>
          <w:lang w:val="en-US"/>
        </w:rPr>
        <w:t xml:space="preserve"> ratio</w:t>
      </w:r>
      <w:r w:rsidR="00455018" w:rsidRPr="002C5DE1">
        <w:rPr>
          <w:rFonts w:ascii="Times New Roman" w:hAnsi="Times New Roman" w:cs="Times New Roman"/>
          <w:color w:val="000000" w:themeColor="text1"/>
          <w:sz w:val="20"/>
          <w:szCs w:val="20"/>
          <w:lang w:val="en-US"/>
        </w:rPr>
        <w:t xml:space="preserve"> (</w:t>
      </w:r>
      <w:r w:rsidR="002C3E56" w:rsidRPr="002C5DE1">
        <w:rPr>
          <w:rFonts w:ascii="Times New Roman" w:hAnsi="Times New Roman" w:cs="Times New Roman"/>
          <w:color w:val="000000" w:themeColor="text1"/>
          <w:sz w:val="20"/>
          <w:szCs w:val="20"/>
          <w:lang w:val="en-US"/>
        </w:rPr>
        <w:t xml:space="preserve">proxy for </w:t>
      </w:r>
      <w:r w:rsidR="00455018" w:rsidRPr="002C5DE1">
        <w:rPr>
          <w:rFonts w:ascii="Times New Roman" w:hAnsi="Times New Roman" w:cs="Times New Roman"/>
          <w:color w:val="000000" w:themeColor="text1"/>
          <w:sz w:val="20"/>
          <w:szCs w:val="20"/>
          <w:lang w:val="en-US"/>
        </w:rPr>
        <w:t>housing affordability</w:t>
      </w:r>
      <w:r w:rsidR="0075732D" w:rsidRPr="002C5DE1">
        <w:rPr>
          <w:rFonts w:ascii="Times New Roman" w:hAnsi="Times New Roman" w:cs="Times New Roman"/>
          <w:color w:val="000000" w:themeColor="text1"/>
          <w:sz w:val="20"/>
          <w:szCs w:val="20"/>
          <w:lang w:val="en-US"/>
        </w:rPr>
        <w:t>)</w:t>
      </w:r>
      <w:r w:rsidR="009658BE" w:rsidRPr="002C5DE1">
        <w:rPr>
          <w:rFonts w:ascii="Times New Roman" w:hAnsi="Times New Roman" w:cs="Times New Roman"/>
          <w:color w:val="000000" w:themeColor="text1"/>
          <w:sz w:val="20"/>
          <w:szCs w:val="20"/>
          <w:lang w:val="en-US"/>
        </w:rPr>
        <w:t xml:space="preserve"> </w:t>
      </w:r>
      <w:r w:rsidRPr="002C5DE1">
        <w:rPr>
          <w:rFonts w:ascii="Times New Roman" w:hAnsi="Times New Roman" w:cs="Times New Roman"/>
          <w:color w:val="000000" w:themeColor="text1"/>
          <w:sz w:val="20"/>
          <w:szCs w:val="20"/>
          <w:lang w:val="en-US"/>
        </w:rPr>
        <w:t>through a</w:t>
      </w:r>
      <w:r w:rsidR="009658BE" w:rsidRPr="002C5DE1">
        <w:rPr>
          <w:rFonts w:ascii="Times New Roman" w:hAnsi="Times New Roman" w:cs="Times New Roman"/>
          <w:color w:val="000000" w:themeColor="text1"/>
          <w:sz w:val="20"/>
          <w:szCs w:val="20"/>
          <w:lang w:val="en-US"/>
        </w:rPr>
        <w:t xml:space="preserve"> threshold </w:t>
      </w:r>
      <w:r w:rsidRPr="002C5DE1">
        <w:rPr>
          <w:rFonts w:ascii="Times New Roman" w:hAnsi="Times New Roman" w:cs="Times New Roman"/>
          <w:color w:val="000000" w:themeColor="text1"/>
          <w:sz w:val="20"/>
          <w:szCs w:val="20"/>
          <w:lang w:val="en-US"/>
        </w:rPr>
        <w:t>empirical framework</w:t>
      </w:r>
      <w:r w:rsidR="00D45783" w:rsidRPr="002C5DE1">
        <w:rPr>
          <w:rFonts w:ascii="Times New Roman" w:hAnsi="Times New Roman" w:cs="Times New Roman"/>
          <w:color w:val="000000" w:themeColor="text1"/>
          <w:sz w:val="20"/>
          <w:szCs w:val="20"/>
          <w:lang w:val="en-US"/>
        </w:rPr>
        <w:t xml:space="preserve">. </w:t>
      </w:r>
      <w:r w:rsidRPr="002C5DE1">
        <w:rPr>
          <w:rFonts w:ascii="Times New Roman" w:hAnsi="Times New Roman" w:cs="Times New Roman"/>
          <w:color w:val="000000" w:themeColor="text1"/>
          <w:sz w:val="20"/>
          <w:szCs w:val="20"/>
          <w:lang w:val="en-US"/>
        </w:rPr>
        <w:t>The analysis</w:t>
      </w:r>
      <w:r w:rsidR="00D45783" w:rsidRPr="002C5DE1">
        <w:rPr>
          <w:rFonts w:ascii="Times New Roman" w:hAnsi="Times New Roman" w:cs="Times New Roman"/>
          <w:color w:val="000000" w:themeColor="text1"/>
          <w:sz w:val="20"/>
          <w:szCs w:val="20"/>
          <w:lang w:val="en-US"/>
        </w:rPr>
        <w:t xml:space="preserve"> test</w:t>
      </w:r>
      <w:r w:rsidRPr="002C5DE1">
        <w:rPr>
          <w:rFonts w:ascii="Times New Roman" w:hAnsi="Times New Roman" w:cs="Times New Roman"/>
          <w:color w:val="000000" w:themeColor="text1"/>
          <w:sz w:val="20"/>
          <w:szCs w:val="20"/>
          <w:lang w:val="en-US"/>
        </w:rPr>
        <w:t>s</w:t>
      </w:r>
      <w:r w:rsidR="00D45783" w:rsidRPr="002C5DE1">
        <w:rPr>
          <w:rFonts w:ascii="Times New Roman" w:hAnsi="Times New Roman" w:cs="Times New Roman"/>
          <w:color w:val="000000" w:themeColor="text1"/>
          <w:sz w:val="20"/>
          <w:szCs w:val="20"/>
          <w:lang w:val="en-US"/>
        </w:rPr>
        <w:t xml:space="preserve"> </w:t>
      </w:r>
      <w:r w:rsidRPr="002C5DE1">
        <w:rPr>
          <w:rFonts w:ascii="Times New Roman" w:hAnsi="Times New Roman" w:cs="Times New Roman"/>
          <w:color w:val="000000" w:themeColor="text1"/>
          <w:sz w:val="20"/>
          <w:szCs w:val="20"/>
          <w:lang w:val="en-US"/>
        </w:rPr>
        <w:t xml:space="preserve">certain </w:t>
      </w:r>
      <w:r w:rsidR="00D45783" w:rsidRPr="002C5DE1">
        <w:rPr>
          <w:rFonts w:ascii="Times New Roman" w:hAnsi="Times New Roman" w:cs="Times New Roman"/>
          <w:color w:val="000000" w:themeColor="text1"/>
          <w:sz w:val="20"/>
          <w:szCs w:val="20"/>
          <w:lang w:val="en-US"/>
        </w:rPr>
        <w:t>hypotheses</w:t>
      </w:r>
      <w:r w:rsidRPr="002C5DE1">
        <w:rPr>
          <w:rFonts w:ascii="Times New Roman" w:hAnsi="Times New Roman" w:cs="Times New Roman"/>
          <w:color w:val="000000" w:themeColor="text1"/>
          <w:sz w:val="20"/>
          <w:szCs w:val="20"/>
          <w:lang w:val="en-US"/>
        </w:rPr>
        <w:t>, such as:</w:t>
      </w:r>
      <w:r w:rsidR="00D45783" w:rsidRPr="002C5DE1">
        <w:rPr>
          <w:rFonts w:ascii="Times New Roman" w:hAnsi="Times New Roman" w:cs="Times New Roman"/>
          <w:color w:val="000000" w:themeColor="text1"/>
          <w:sz w:val="20"/>
          <w:szCs w:val="20"/>
          <w:lang w:val="en-US"/>
        </w:rPr>
        <w:t xml:space="preserve"> (</w:t>
      </w:r>
      <w:proofErr w:type="spellStart"/>
      <w:r w:rsidR="00D45783" w:rsidRPr="002C5DE1">
        <w:rPr>
          <w:rFonts w:ascii="Times New Roman" w:hAnsi="Times New Roman" w:cs="Times New Roman"/>
          <w:color w:val="000000" w:themeColor="text1"/>
          <w:sz w:val="20"/>
          <w:szCs w:val="20"/>
          <w:lang w:val="en-US"/>
        </w:rPr>
        <w:t>i</w:t>
      </w:r>
      <w:proofErr w:type="spellEnd"/>
      <w:r w:rsidR="00D45783" w:rsidRPr="002C5DE1">
        <w:rPr>
          <w:rFonts w:ascii="Times New Roman" w:hAnsi="Times New Roman" w:cs="Times New Roman"/>
          <w:color w:val="000000" w:themeColor="text1"/>
          <w:sz w:val="20"/>
          <w:szCs w:val="20"/>
          <w:lang w:val="en-US"/>
        </w:rPr>
        <w:t xml:space="preserve">) </w:t>
      </w:r>
      <w:r w:rsidRPr="002C5DE1">
        <w:rPr>
          <w:rFonts w:ascii="Times New Roman" w:hAnsi="Times New Roman" w:cs="Times New Roman"/>
          <w:color w:val="000000" w:themeColor="text1"/>
          <w:sz w:val="20"/>
          <w:szCs w:val="20"/>
          <w:lang w:val="en-US"/>
        </w:rPr>
        <w:t xml:space="preserve">the </w:t>
      </w:r>
      <w:r w:rsidR="00D45783" w:rsidRPr="002C5DE1">
        <w:rPr>
          <w:rFonts w:ascii="Times New Roman" w:hAnsi="Times New Roman" w:cs="Times New Roman"/>
          <w:color w:val="000000" w:themeColor="text1"/>
          <w:sz w:val="20"/>
          <w:szCs w:val="20"/>
          <w:lang w:val="en-US"/>
        </w:rPr>
        <w:t xml:space="preserve">housing wealth effect </w:t>
      </w:r>
      <w:r w:rsidR="00A210C0" w:rsidRPr="002C5DE1">
        <w:rPr>
          <w:rFonts w:ascii="Times New Roman" w:hAnsi="Times New Roman" w:cs="Times New Roman"/>
          <w:color w:val="000000" w:themeColor="text1"/>
          <w:sz w:val="20"/>
          <w:szCs w:val="20"/>
          <w:lang w:val="en-US"/>
        </w:rPr>
        <w:t xml:space="preserve">on consumption </w:t>
      </w:r>
      <w:r w:rsidR="00D45783" w:rsidRPr="002C5DE1">
        <w:rPr>
          <w:rFonts w:ascii="Times New Roman" w:hAnsi="Times New Roman" w:cs="Times New Roman"/>
          <w:color w:val="000000" w:themeColor="text1"/>
          <w:sz w:val="20"/>
          <w:szCs w:val="20"/>
          <w:lang w:val="en-US"/>
        </w:rPr>
        <w:t xml:space="preserve">is </w:t>
      </w:r>
      <w:r w:rsidRPr="002C5DE1">
        <w:rPr>
          <w:rFonts w:ascii="Times New Roman" w:hAnsi="Times New Roman" w:cs="Times New Roman"/>
          <w:color w:val="000000" w:themeColor="text1"/>
          <w:sz w:val="20"/>
          <w:szCs w:val="20"/>
          <w:lang w:val="en-US"/>
        </w:rPr>
        <w:t>stronger</w:t>
      </w:r>
      <w:r w:rsidR="00D45783" w:rsidRPr="002C5DE1">
        <w:rPr>
          <w:rFonts w:ascii="Times New Roman" w:hAnsi="Times New Roman" w:cs="Times New Roman"/>
          <w:color w:val="000000" w:themeColor="text1"/>
          <w:sz w:val="20"/>
          <w:szCs w:val="20"/>
          <w:lang w:val="en-US"/>
        </w:rPr>
        <w:t xml:space="preserve"> than </w:t>
      </w:r>
      <w:r w:rsidRPr="002C5DE1">
        <w:rPr>
          <w:rFonts w:ascii="Times New Roman" w:hAnsi="Times New Roman" w:cs="Times New Roman"/>
          <w:color w:val="000000" w:themeColor="text1"/>
          <w:sz w:val="20"/>
          <w:szCs w:val="20"/>
          <w:lang w:val="en-US"/>
        </w:rPr>
        <w:t xml:space="preserve">its </w:t>
      </w:r>
      <w:r w:rsidR="00D45783" w:rsidRPr="002C5DE1">
        <w:rPr>
          <w:rFonts w:ascii="Times New Roman" w:hAnsi="Times New Roman" w:cs="Times New Roman"/>
          <w:color w:val="000000" w:themeColor="text1"/>
          <w:sz w:val="20"/>
          <w:szCs w:val="20"/>
          <w:lang w:val="en-US"/>
        </w:rPr>
        <w:t xml:space="preserve">financial </w:t>
      </w:r>
      <w:r w:rsidRPr="002C5DE1">
        <w:rPr>
          <w:rFonts w:ascii="Times New Roman" w:hAnsi="Times New Roman" w:cs="Times New Roman"/>
          <w:color w:val="000000" w:themeColor="text1"/>
          <w:sz w:val="20"/>
          <w:szCs w:val="20"/>
          <w:lang w:val="en-US"/>
        </w:rPr>
        <w:t>counterpart</w:t>
      </w:r>
      <w:r w:rsidR="00D45783" w:rsidRPr="002C5DE1">
        <w:rPr>
          <w:rFonts w:ascii="Times New Roman" w:hAnsi="Times New Roman" w:cs="Times New Roman"/>
          <w:color w:val="000000" w:themeColor="text1"/>
          <w:sz w:val="20"/>
          <w:szCs w:val="20"/>
          <w:lang w:val="en-US"/>
        </w:rPr>
        <w:t>, (ii) overall</w:t>
      </w:r>
      <w:r w:rsidR="0008049C" w:rsidRPr="002C5DE1">
        <w:rPr>
          <w:rFonts w:ascii="Times New Roman" w:hAnsi="Times New Roman" w:cs="Times New Roman"/>
          <w:color w:val="000000" w:themeColor="text1"/>
          <w:sz w:val="20"/>
          <w:szCs w:val="20"/>
          <w:lang w:val="en-US"/>
        </w:rPr>
        <w:t xml:space="preserve"> wealth effects increase (decrease</w:t>
      </w:r>
      <w:r w:rsidR="00D45783" w:rsidRPr="002C5DE1">
        <w:rPr>
          <w:rFonts w:ascii="Times New Roman" w:hAnsi="Times New Roman" w:cs="Times New Roman"/>
          <w:color w:val="000000" w:themeColor="text1"/>
          <w:sz w:val="20"/>
          <w:szCs w:val="20"/>
          <w:lang w:val="en-US"/>
        </w:rPr>
        <w:t>) during</w:t>
      </w:r>
      <w:r w:rsidR="002C3E56" w:rsidRPr="002C5DE1">
        <w:rPr>
          <w:rFonts w:ascii="Times New Roman" w:hAnsi="Times New Roman" w:cs="Times New Roman"/>
          <w:color w:val="000000" w:themeColor="text1"/>
          <w:sz w:val="20"/>
          <w:szCs w:val="20"/>
          <w:lang w:val="en-US"/>
        </w:rPr>
        <w:t xml:space="preserve"> bubble</w:t>
      </w:r>
      <w:r w:rsidR="00D45783" w:rsidRPr="002C5DE1">
        <w:rPr>
          <w:rFonts w:ascii="Times New Roman" w:hAnsi="Times New Roman" w:cs="Times New Roman"/>
          <w:color w:val="000000" w:themeColor="text1"/>
          <w:sz w:val="20"/>
          <w:szCs w:val="20"/>
          <w:lang w:val="en-US"/>
        </w:rPr>
        <w:t xml:space="preserve"> (post</w:t>
      </w:r>
      <w:r w:rsidR="00D00A0F" w:rsidRPr="002C5DE1">
        <w:rPr>
          <w:rFonts w:ascii="Times New Roman" w:hAnsi="Times New Roman" w:cs="Times New Roman"/>
          <w:color w:val="000000" w:themeColor="text1"/>
          <w:sz w:val="20"/>
          <w:szCs w:val="20"/>
          <w:lang w:val="en-US"/>
        </w:rPr>
        <w:t xml:space="preserve"> </w:t>
      </w:r>
      <w:r w:rsidR="00D45783" w:rsidRPr="002C5DE1">
        <w:rPr>
          <w:rFonts w:ascii="Times New Roman" w:hAnsi="Times New Roman" w:cs="Times New Roman"/>
          <w:color w:val="000000" w:themeColor="text1"/>
          <w:sz w:val="20"/>
          <w:szCs w:val="20"/>
          <w:lang w:val="en-US"/>
        </w:rPr>
        <w:t>bubble</w:t>
      </w:r>
      <w:r w:rsidR="00D00A0F" w:rsidRPr="002C5DE1">
        <w:rPr>
          <w:rFonts w:ascii="Times New Roman" w:hAnsi="Times New Roman" w:cs="Times New Roman"/>
          <w:color w:val="000000" w:themeColor="text1"/>
          <w:sz w:val="20"/>
          <w:szCs w:val="20"/>
          <w:lang w:val="en-US"/>
        </w:rPr>
        <w:t>)</w:t>
      </w:r>
      <w:r w:rsidR="00D45783" w:rsidRPr="002C5DE1">
        <w:rPr>
          <w:rFonts w:ascii="Times New Roman" w:hAnsi="Times New Roman" w:cs="Times New Roman"/>
          <w:color w:val="000000" w:themeColor="text1"/>
          <w:sz w:val="20"/>
          <w:szCs w:val="20"/>
          <w:lang w:val="en-US"/>
        </w:rPr>
        <w:t xml:space="preserve"> periods, (iii) the higher level of financial development and </w:t>
      </w:r>
      <w:r w:rsidRPr="002C5DE1">
        <w:rPr>
          <w:rFonts w:ascii="Times New Roman" w:hAnsi="Times New Roman" w:cs="Times New Roman"/>
          <w:color w:val="000000" w:themeColor="text1"/>
          <w:sz w:val="20"/>
          <w:szCs w:val="20"/>
          <w:lang w:val="en-US"/>
        </w:rPr>
        <w:t xml:space="preserve">the </w:t>
      </w:r>
      <w:r w:rsidR="00474757" w:rsidRPr="002C5DE1">
        <w:rPr>
          <w:rFonts w:ascii="Times New Roman" w:hAnsi="Times New Roman" w:cs="Times New Roman"/>
          <w:color w:val="000000" w:themeColor="text1"/>
          <w:sz w:val="20"/>
          <w:szCs w:val="20"/>
          <w:lang w:val="en-US"/>
        </w:rPr>
        <w:t xml:space="preserve">lower level of </w:t>
      </w:r>
      <w:r w:rsidR="00D45783" w:rsidRPr="002C5DE1">
        <w:rPr>
          <w:rFonts w:ascii="Times New Roman" w:hAnsi="Times New Roman" w:cs="Times New Roman"/>
          <w:color w:val="000000" w:themeColor="text1"/>
          <w:sz w:val="20"/>
          <w:szCs w:val="20"/>
          <w:lang w:val="en-US"/>
        </w:rPr>
        <w:t>housing affordability ratio</w:t>
      </w:r>
      <w:r w:rsidR="00722440" w:rsidRPr="002C5DE1">
        <w:rPr>
          <w:rFonts w:ascii="Times New Roman" w:hAnsi="Times New Roman" w:cs="Times New Roman"/>
          <w:color w:val="000000" w:themeColor="text1"/>
          <w:sz w:val="20"/>
          <w:szCs w:val="20"/>
          <w:lang w:val="en-US"/>
        </w:rPr>
        <w:t xml:space="preserve"> both</w:t>
      </w:r>
      <w:r w:rsidR="00D45783" w:rsidRPr="002C5DE1">
        <w:rPr>
          <w:rFonts w:ascii="Times New Roman" w:hAnsi="Times New Roman" w:cs="Times New Roman"/>
          <w:color w:val="000000" w:themeColor="text1"/>
          <w:sz w:val="20"/>
          <w:szCs w:val="20"/>
          <w:lang w:val="en-US"/>
        </w:rPr>
        <w:t xml:space="preserve"> result </w:t>
      </w:r>
      <w:r w:rsidRPr="002C5DE1">
        <w:rPr>
          <w:rFonts w:ascii="Times New Roman" w:hAnsi="Times New Roman" w:cs="Times New Roman"/>
          <w:color w:val="000000" w:themeColor="text1"/>
          <w:sz w:val="20"/>
          <w:szCs w:val="20"/>
          <w:lang w:val="en-US"/>
        </w:rPr>
        <w:t>in stronger</w:t>
      </w:r>
      <w:r w:rsidR="00D45783" w:rsidRPr="002C5DE1">
        <w:rPr>
          <w:rFonts w:ascii="Times New Roman" w:hAnsi="Times New Roman" w:cs="Times New Roman"/>
          <w:color w:val="000000" w:themeColor="text1"/>
          <w:sz w:val="20"/>
          <w:szCs w:val="20"/>
          <w:lang w:val="en-US"/>
        </w:rPr>
        <w:t xml:space="preserve"> wealth effects, (iv) increasing wealth effects show </w:t>
      </w:r>
      <w:r w:rsidRPr="002C5DE1">
        <w:rPr>
          <w:rFonts w:ascii="Times New Roman" w:hAnsi="Times New Roman" w:cs="Times New Roman"/>
          <w:color w:val="000000" w:themeColor="text1"/>
          <w:sz w:val="20"/>
          <w:szCs w:val="20"/>
          <w:lang w:val="en-US"/>
        </w:rPr>
        <w:t xml:space="preserve">a </w:t>
      </w:r>
      <w:r w:rsidR="00D45783" w:rsidRPr="002C5DE1">
        <w:rPr>
          <w:rFonts w:ascii="Times New Roman" w:hAnsi="Times New Roman" w:cs="Times New Roman"/>
          <w:color w:val="000000" w:themeColor="text1"/>
          <w:sz w:val="20"/>
          <w:szCs w:val="20"/>
          <w:lang w:val="en-US"/>
        </w:rPr>
        <w:t>bubble formation.</w:t>
      </w:r>
      <w:r w:rsidR="009658BE" w:rsidRPr="002C5DE1">
        <w:rPr>
          <w:rFonts w:ascii="Times New Roman" w:hAnsi="Times New Roman" w:cs="Times New Roman"/>
          <w:color w:val="000000" w:themeColor="text1"/>
          <w:sz w:val="20"/>
          <w:szCs w:val="20"/>
          <w:lang w:val="en-US"/>
        </w:rPr>
        <w:t xml:space="preserve"> </w:t>
      </w:r>
      <w:r w:rsidRPr="002C5DE1">
        <w:rPr>
          <w:rFonts w:ascii="Times New Roman" w:hAnsi="Times New Roman" w:cs="Times New Roman"/>
          <w:color w:val="000000" w:themeColor="text1"/>
          <w:sz w:val="20"/>
          <w:szCs w:val="20"/>
          <w:lang w:val="en-US"/>
        </w:rPr>
        <w:t>The</w:t>
      </w:r>
      <w:r w:rsidR="009658BE" w:rsidRPr="002C5DE1">
        <w:rPr>
          <w:rFonts w:ascii="Times New Roman" w:hAnsi="Times New Roman" w:cs="Times New Roman"/>
          <w:color w:val="000000" w:themeColor="text1"/>
          <w:sz w:val="20"/>
          <w:szCs w:val="20"/>
          <w:lang w:val="en-US"/>
        </w:rPr>
        <w:t xml:space="preserve"> results suggest that housing wealth </w:t>
      </w:r>
      <w:r w:rsidR="00722440" w:rsidRPr="002C5DE1">
        <w:rPr>
          <w:rFonts w:ascii="Times New Roman" w:hAnsi="Times New Roman" w:cs="Times New Roman"/>
          <w:color w:val="000000" w:themeColor="text1"/>
          <w:sz w:val="20"/>
          <w:szCs w:val="20"/>
          <w:lang w:val="en-US"/>
        </w:rPr>
        <w:t xml:space="preserve">has </w:t>
      </w:r>
      <w:r w:rsidR="00844051" w:rsidRPr="002C5DE1">
        <w:rPr>
          <w:rFonts w:ascii="Times New Roman" w:hAnsi="Times New Roman" w:cs="Times New Roman"/>
          <w:color w:val="000000" w:themeColor="text1"/>
          <w:sz w:val="20"/>
          <w:szCs w:val="20"/>
          <w:lang w:val="en-US"/>
        </w:rPr>
        <w:t xml:space="preserve">generally </w:t>
      </w:r>
      <w:r w:rsidR="009658BE" w:rsidRPr="002C5DE1">
        <w:rPr>
          <w:rFonts w:ascii="Times New Roman" w:hAnsi="Times New Roman" w:cs="Times New Roman"/>
          <w:color w:val="000000" w:themeColor="text1"/>
          <w:sz w:val="20"/>
          <w:szCs w:val="20"/>
          <w:lang w:val="en-US"/>
        </w:rPr>
        <w:t>a greater positive effect on consumption</w:t>
      </w:r>
      <w:r w:rsidR="00844051" w:rsidRPr="002C5DE1">
        <w:rPr>
          <w:rFonts w:ascii="Times New Roman" w:hAnsi="Times New Roman" w:cs="Times New Roman"/>
          <w:color w:val="000000" w:themeColor="text1"/>
          <w:sz w:val="20"/>
          <w:szCs w:val="20"/>
          <w:lang w:val="en-US"/>
        </w:rPr>
        <w:t xml:space="preserve">. </w:t>
      </w:r>
      <w:r w:rsidR="00A57250" w:rsidRPr="002C5DE1">
        <w:rPr>
          <w:rFonts w:ascii="Times New Roman" w:hAnsi="Times New Roman" w:cs="Times New Roman"/>
          <w:color w:val="000000" w:themeColor="text1"/>
          <w:sz w:val="20"/>
          <w:szCs w:val="20"/>
          <w:lang w:val="en-US"/>
        </w:rPr>
        <w:t>The effect of h</w:t>
      </w:r>
      <w:r w:rsidR="00844051" w:rsidRPr="002C5DE1">
        <w:rPr>
          <w:rFonts w:ascii="Times New Roman" w:hAnsi="Times New Roman" w:cs="Times New Roman"/>
          <w:color w:val="000000" w:themeColor="text1"/>
          <w:sz w:val="20"/>
          <w:szCs w:val="20"/>
          <w:lang w:val="en-US"/>
        </w:rPr>
        <w:t>ousing</w:t>
      </w:r>
      <w:r w:rsidR="00A57250" w:rsidRPr="002C5DE1">
        <w:rPr>
          <w:rFonts w:ascii="Times New Roman" w:hAnsi="Times New Roman" w:cs="Times New Roman"/>
          <w:color w:val="000000" w:themeColor="text1"/>
          <w:sz w:val="20"/>
          <w:szCs w:val="20"/>
          <w:lang w:val="en-US"/>
        </w:rPr>
        <w:t xml:space="preserve"> and </w:t>
      </w:r>
      <w:r w:rsidR="00844051" w:rsidRPr="002C5DE1">
        <w:rPr>
          <w:rFonts w:ascii="Times New Roman" w:hAnsi="Times New Roman" w:cs="Times New Roman"/>
          <w:color w:val="000000" w:themeColor="text1"/>
          <w:sz w:val="20"/>
          <w:szCs w:val="20"/>
          <w:lang w:val="en-US"/>
        </w:rPr>
        <w:t>financial wealth</w:t>
      </w:r>
      <w:r w:rsidR="00A210C0" w:rsidRPr="002C5DE1">
        <w:rPr>
          <w:rFonts w:ascii="Times New Roman" w:hAnsi="Times New Roman" w:cs="Times New Roman"/>
          <w:color w:val="000000" w:themeColor="text1"/>
          <w:sz w:val="20"/>
          <w:szCs w:val="20"/>
          <w:lang w:val="en-US"/>
        </w:rPr>
        <w:t xml:space="preserve"> on consumption</w:t>
      </w:r>
      <w:r w:rsidR="00A57250" w:rsidRPr="002C5DE1">
        <w:rPr>
          <w:rFonts w:ascii="Times New Roman" w:hAnsi="Times New Roman" w:cs="Times New Roman"/>
          <w:color w:val="000000" w:themeColor="text1"/>
          <w:sz w:val="20"/>
          <w:szCs w:val="20"/>
          <w:lang w:val="en-US"/>
        </w:rPr>
        <w:t xml:space="preserve"> increases</w:t>
      </w:r>
      <w:r w:rsidRPr="002C5DE1">
        <w:rPr>
          <w:rFonts w:ascii="Times New Roman" w:hAnsi="Times New Roman" w:cs="Times New Roman"/>
          <w:color w:val="000000" w:themeColor="text1"/>
          <w:sz w:val="20"/>
          <w:szCs w:val="20"/>
          <w:lang w:val="en-US"/>
        </w:rPr>
        <w:t>,</w:t>
      </w:r>
      <w:r w:rsidR="00A57250" w:rsidRPr="002C5DE1">
        <w:rPr>
          <w:rFonts w:ascii="Times New Roman" w:hAnsi="Times New Roman" w:cs="Times New Roman"/>
          <w:color w:val="000000" w:themeColor="text1"/>
          <w:sz w:val="20"/>
          <w:szCs w:val="20"/>
          <w:lang w:val="en-US"/>
        </w:rPr>
        <w:t xml:space="preserve"> depending on higher financial development and declining housing affordability. The evidence also suggest</w:t>
      </w:r>
      <w:r w:rsidRPr="002C5DE1">
        <w:rPr>
          <w:rFonts w:ascii="Times New Roman" w:hAnsi="Times New Roman" w:cs="Times New Roman"/>
          <w:color w:val="000000" w:themeColor="text1"/>
          <w:sz w:val="20"/>
          <w:szCs w:val="20"/>
          <w:lang w:val="en-US"/>
        </w:rPr>
        <w:t>s</w:t>
      </w:r>
      <w:r w:rsidR="00FA361A" w:rsidRPr="002C5DE1">
        <w:rPr>
          <w:rFonts w:ascii="Times New Roman" w:hAnsi="Times New Roman" w:cs="Times New Roman"/>
          <w:color w:val="000000" w:themeColor="text1"/>
          <w:sz w:val="20"/>
          <w:szCs w:val="20"/>
          <w:lang w:val="en-US"/>
        </w:rPr>
        <w:t xml:space="preserve"> that the impact of housing and stock market wealth ha</w:t>
      </w:r>
      <w:r w:rsidRPr="002C5DE1">
        <w:rPr>
          <w:rFonts w:ascii="Times New Roman" w:hAnsi="Times New Roman" w:cs="Times New Roman"/>
          <w:color w:val="000000" w:themeColor="text1"/>
          <w:sz w:val="20"/>
          <w:szCs w:val="20"/>
          <w:lang w:val="en-US"/>
        </w:rPr>
        <w:t>s</w:t>
      </w:r>
      <w:r w:rsidR="00FA361A" w:rsidRPr="002C5DE1">
        <w:rPr>
          <w:rFonts w:ascii="Times New Roman" w:hAnsi="Times New Roman" w:cs="Times New Roman"/>
          <w:color w:val="000000" w:themeColor="text1"/>
          <w:sz w:val="20"/>
          <w:szCs w:val="20"/>
          <w:lang w:val="en-US"/>
        </w:rPr>
        <w:t xml:space="preserve"> increased during </w:t>
      </w:r>
      <w:r w:rsidRPr="002C5DE1">
        <w:rPr>
          <w:rFonts w:ascii="Times New Roman" w:hAnsi="Times New Roman" w:cs="Times New Roman"/>
          <w:color w:val="000000" w:themeColor="text1"/>
          <w:sz w:val="20"/>
          <w:szCs w:val="20"/>
          <w:lang w:val="en-US"/>
        </w:rPr>
        <w:t xml:space="preserve">the </w:t>
      </w:r>
      <w:r w:rsidR="00FA361A" w:rsidRPr="002C5DE1">
        <w:rPr>
          <w:rFonts w:ascii="Times New Roman" w:hAnsi="Times New Roman" w:cs="Times New Roman"/>
          <w:color w:val="000000" w:themeColor="text1"/>
          <w:sz w:val="20"/>
          <w:szCs w:val="20"/>
          <w:lang w:val="en-US"/>
        </w:rPr>
        <w:t>dot.com and housing bubble periods.</w:t>
      </w:r>
    </w:p>
    <w:p w14:paraId="4EC5FC99" w14:textId="77777777" w:rsidR="00FA361A" w:rsidRPr="002C5DE1" w:rsidRDefault="00196AE1" w:rsidP="003D0D16">
      <w:pPr>
        <w:autoSpaceDE w:val="0"/>
        <w:autoSpaceDN w:val="0"/>
        <w:adjustRightInd w:val="0"/>
        <w:spacing w:before="60" w:after="0" w:line="240" w:lineRule="auto"/>
        <w:jc w:val="both"/>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 xml:space="preserve"> </w:t>
      </w:r>
    </w:p>
    <w:p w14:paraId="1C784809" w14:textId="77777777" w:rsidR="00992975" w:rsidRPr="002C5DE1" w:rsidRDefault="00A57250" w:rsidP="003D0D16">
      <w:pPr>
        <w:autoSpaceDE w:val="0"/>
        <w:autoSpaceDN w:val="0"/>
        <w:adjustRightInd w:val="0"/>
        <w:spacing w:before="60" w:after="0" w:line="240" w:lineRule="auto"/>
        <w:jc w:val="both"/>
        <w:rPr>
          <w:rFonts w:ascii="Times New Roman" w:hAnsi="Times New Roman" w:cs="Times New Roman"/>
          <w:color w:val="000000" w:themeColor="text1"/>
          <w:sz w:val="20"/>
          <w:szCs w:val="20"/>
          <w:lang w:val="en-US"/>
        </w:rPr>
      </w:pPr>
      <w:r w:rsidRPr="002C5DE1">
        <w:rPr>
          <w:rFonts w:ascii="Times New Roman" w:hAnsi="Times New Roman" w:cs="Times New Roman"/>
          <w:b/>
          <w:color w:val="000000" w:themeColor="text1"/>
          <w:sz w:val="20"/>
          <w:szCs w:val="20"/>
          <w:lang w:val="en-US"/>
        </w:rPr>
        <w:t>Key</w:t>
      </w:r>
      <w:r w:rsidR="00D71162" w:rsidRPr="002C5DE1">
        <w:rPr>
          <w:rFonts w:ascii="Times New Roman" w:hAnsi="Times New Roman" w:cs="Times New Roman"/>
          <w:b/>
          <w:color w:val="000000" w:themeColor="text1"/>
          <w:sz w:val="20"/>
          <w:szCs w:val="20"/>
          <w:lang w:val="en-US"/>
        </w:rPr>
        <w:t>w</w:t>
      </w:r>
      <w:r w:rsidRPr="002C5DE1">
        <w:rPr>
          <w:rFonts w:ascii="Times New Roman" w:hAnsi="Times New Roman" w:cs="Times New Roman"/>
          <w:b/>
          <w:color w:val="000000" w:themeColor="text1"/>
          <w:sz w:val="20"/>
          <w:szCs w:val="20"/>
          <w:lang w:val="en-US"/>
        </w:rPr>
        <w:t xml:space="preserve">ords: </w:t>
      </w:r>
      <w:r w:rsidR="001911A0" w:rsidRPr="002C5DE1">
        <w:rPr>
          <w:rFonts w:ascii="Times New Roman" w:hAnsi="Times New Roman" w:cs="Times New Roman"/>
          <w:color w:val="000000" w:themeColor="text1"/>
          <w:sz w:val="20"/>
          <w:szCs w:val="20"/>
          <w:lang w:val="en-US"/>
        </w:rPr>
        <w:t xml:space="preserve">Housing prices, consumption </w:t>
      </w:r>
      <w:r w:rsidR="00700218" w:rsidRPr="002C5DE1">
        <w:rPr>
          <w:rFonts w:ascii="Times New Roman" w:hAnsi="Times New Roman" w:cs="Times New Roman"/>
          <w:color w:val="000000" w:themeColor="text1"/>
          <w:sz w:val="20"/>
          <w:szCs w:val="20"/>
          <w:lang w:val="en-US"/>
        </w:rPr>
        <w:t>behavior</w:t>
      </w:r>
      <w:r w:rsidR="001911A0" w:rsidRPr="002C5DE1">
        <w:rPr>
          <w:rFonts w:ascii="Times New Roman" w:hAnsi="Times New Roman" w:cs="Times New Roman"/>
          <w:color w:val="000000" w:themeColor="text1"/>
          <w:sz w:val="20"/>
          <w:szCs w:val="20"/>
          <w:lang w:val="en-US"/>
        </w:rPr>
        <w:t>, housing affordability, financial development, panel threshold</w:t>
      </w:r>
    </w:p>
    <w:p w14:paraId="4D703B90" w14:textId="77777777" w:rsidR="00D71162" w:rsidRPr="002C5DE1" w:rsidRDefault="00D71162" w:rsidP="003D0D16">
      <w:pPr>
        <w:autoSpaceDE w:val="0"/>
        <w:autoSpaceDN w:val="0"/>
        <w:adjustRightInd w:val="0"/>
        <w:spacing w:before="60" w:after="0" w:line="240" w:lineRule="auto"/>
        <w:jc w:val="both"/>
        <w:rPr>
          <w:rFonts w:ascii="Times New Roman" w:hAnsi="Times New Roman" w:cs="Times New Roman"/>
          <w:b/>
          <w:color w:val="000000" w:themeColor="text1"/>
          <w:sz w:val="24"/>
          <w:szCs w:val="24"/>
          <w:lang w:val="en-US"/>
        </w:rPr>
      </w:pPr>
      <w:r w:rsidRPr="002C5DE1">
        <w:rPr>
          <w:rFonts w:ascii="Times New Roman" w:hAnsi="Times New Roman" w:cs="Times New Roman"/>
          <w:b/>
          <w:color w:val="000000" w:themeColor="text1"/>
          <w:sz w:val="20"/>
          <w:szCs w:val="20"/>
          <w:lang w:val="en-US"/>
        </w:rPr>
        <w:t>JEL Classification:</w:t>
      </w:r>
      <w:r w:rsidR="001911A0" w:rsidRPr="002C5DE1">
        <w:rPr>
          <w:rFonts w:ascii="Times New Roman" w:hAnsi="Times New Roman" w:cs="Times New Roman"/>
          <w:b/>
          <w:color w:val="000000" w:themeColor="text1"/>
          <w:sz w:val="20"/>
          <w:szCs w:val="20"/>
          <w:lang w:val="en-US"/>
        </w:rPr>
        <w:t xml:space="preserve"> </w:t>
      </w:r>
      <w:r w:rsidR="00656D62" w:rsidRPr="002C5DE1">
        <w:rPr>
          <w:rFonts w:ascii="Times New Roman" w:hAnsi="Times New Roman" w:cs="Times New Roman"/>
          <w:color w:val="000000" w:themeColor="text1"/>
          <w:sz w:val="20"/>
          <w:szCs w:val="20"/>
          <w:lang w:val="en-US"/>
        </w:rPr>
        <w:t>E21, E63</w:t>
      </w:r>
      <w:r w:rsidR="00167E49" w:rsidRPr="002C5DE1">
        <w:rPr>
          <w:rFonts w:ascii="Times New Roman" w:hAnsi="Times New Roman" w:cs="Times New Roman"/>
          <w:color w:val="000000" w:themeColor="text1"/>
          <w:sz w:val="20"/>
          <w:szCs w:val="20"/>
          <w:lang w:val="en-US"/>
        </w:rPr>
        <w:t>, D</w:t>
      </w:r>
      <w:r w:rsidR="009B1D24" w:rsidRPr="002C5DE1">
        <w:rPr>
          <w:rFonts w:ascii="Times New Roman" w:hAnsi="Times New Roman" w:cs="Times New Roman"/>
          <w:color w:val="000000" w:themeColor="text1"/>
          <w:sz w:val="20"/>
          <w:szCs w:val="20"/>
          <w:lang w:val="en-US"/>
        </w:rPr>
        <w:t>91</w:t>
      </w:r>
      <w:r w:rsidR="003D0316" w:rsidRPr="002C5DE1">
        <w:rPr>
          <w:rFonts w:ascii="Times New Roman" w:hAnsi="Times New Roman" w:cs="Times New Roman"/>
          <w:color w:val="000000" w:themeColor="text1"/>
          <w:sz w:val="20"/>
          <w:szCs w:val="20"/>
          <w:lang w:val="en-US"/>
        </w:rPr>
        <w:t>.</w:t>
      </w:r>
    </w:p>
    <w:p w14:paraId="65A9E94A" w14:textId="77777777" w:rsidR="00D71162" w:rsidRPr="002C5DE1" w:rsidRDefault="00D71162" w:rsidP="003D0D16">
      <w:pPr>
        <w:autoSpaceDE w:val="0"/>
        <w:autoSpaceDN w:val="0"/>
        <w:adjustRightInd w:val="0"/>
        <w:spacing w:before="60" w:after="0" w:line="240" w:lineRule="auto"/>
        <w:jc w:val="both"/>
        <w:rPr>
          <w:rFonts w:ascii="Times New Roman" w:hAnsi="Times New Roman" w:cs="Times New Roman"/>
          <w:b/>
          <w:color w:val="000000" w:themeColor="text1"/>
          <w:sz w:val="24"/>
          <w:szCs w:val="24"/>
          <w:lang w:val="en-US"/>
        </w:rPr>
      </w:pPr>
    </w:p>
    <w:p w14:paraId="42679DE4" w14:textId="77777777" w:rsidR="00AC5AE4" w:rsidRPr="002C5DE1" w:rsidRDefault="00AC5AE4" w:rsidP="00AC5AE4">
      <w:pPr>
        <w:spacing w:after="0" w:line="240" w:lineRule="auto"/>
        <w:rPr>
          <w:rFonts w:ascii="Times New Roman" w:hAnsi="Times New Roman" w:cs="Times New Roman"/>
          <w:b/>
          <w:color w:val="000000" w:themeColor="text1"/>
          <w:sz w:val="24"/>
          <w:szCs w:val="24"/>
          <w:lang w:val="en-US"/>
        </w:rPr>
      </w:pPr>
    </w:p>
    <w:p w14:paraId="1C20FDC9" w14:textId="77777777" w:rsidR="00AC5AE4" w:rsidRPr="002C5DE1" w:rsidRDefault="00AC5AE4" w:rsidP="00BD7B0D">
      <w:pPr>
        <w:pStyle w:val="Heading1"/>
        <w:spacing w:before="0" w:after="120" w:line="240" w:lineRule="auto"/>
        <w:rPr>
          <w:rFonts w:ascii="Times New Roman" w:hAnsi="Times New Roman" w:cs="Times New Roman"/>
          <w:b/>
          <w:color w:val="000000" w:themeColor="text1"/>
          <w:sz w:val="24"/>
          <w:szCs w:val="24"/>
          <w:lang w:val="en-US"/>
        </w:rPr>
      </w:pPr>
      <w:r w:rsidRPr="002C5DE1">
        <w:rPr>
          <w:rFonts w:ascii="Times New Roman" w:hAnsi="Times New Roman" w:cs="Times New Roman"/>
          <w:b/>
          <w:color w:val="000000" w:themeColor="text1"/>
          <w:sz w:val="24"/>
          <w:szCs w:val="24"/>
          <w:lang w:val="en-US"/>
        </w:rPr>
        <w:t>1. Introduction</w:t>
      </w:r>
    </w:p>
    <w:p w14:paraId="38B4C636" w14:textId="77777777" w:rsidR="000A4BC2" w:rsidRPr="002C5DE1" w:rsidRDefault="0081548C" w:rsidP="00A613D0">
      <w:pPr>
        <w:spacing w:after="0" w:line="276" w:lineRule="auto"/>
        <w:ind w:firstLine="357"/>
        <w:jc w:val="both"/>
        <w:rPr>
          <w:rFonts w:ascii="Times New Roman" w:hAnsi="Times New Roman" w:cs="Times New Roman"/>
          <w:color w:val="000000" w:themeColor="text1"/>
          <w:sz w:val="24"/>
          <w:szCs w:val="24"/>
          <w:shd w:val="clear" w:color="auto" w:fill="FFFFFF"/>
          <w:lang w:val="en-US"/>
        </w:rPr>
      </w:pPr>
      <w:r w:rsidRPr="002C5DE1">
        <w:rPr>
          <w:rFonts w:ascii="Times New Roman" w:hAnsi="Times New Roman" w:cs="Times New Roman"/>
          <w:color w:val="000000" w:themeColor="text1"/>
          <w:sz w:val="24"/>
          <w:szCs w:val="24"/>
          <w:lang w:val="en-US"/>
        </w:rPr>
        <w:t>Housing and financial wealth are the major components of household</w:t>
      </w:r>
      <w:r w:rsidR="00924638" w:rsidRPr="002C5DE1">
        <w:rPr>
          <w:rFonts w:ascii="Times New Roman" w:hAnsi="Times New Roman" w:cs="Times New Roman"/>
          <w:color w:val="000000" w:themeColor="text1"/>
          <w:sz w:val="24"/>
          <w:szCs w:val="24"/>
          <w:lang w:val="en-US"/>
        </w:rPr>
        <w:t>’s</w:t>
      </w:r>
      <w:r w:rsidRPr="002C5DE1">
        <w:rPr>
          <w:rFonts w:ascii="Times New Roman" w:hAnsi="Times New Roman" w:cs="Times New Roman"/>
          <w:color w:val="000000" w:themeColor="text1"/>
          <w:sz w:val="24"/>
          <w:szCs w:val="24"/>
          <w:lang w:val="en-US"/>
        </w:rPr>
        <w:t xml:space="preserve"> wealth</w:t>
      </w:r>
      <w:r w:rsidR="00C508C8" w:rsidRPr="002C5DE1">
        <w:rPr>
          <w:rFonts w:ascii="Times New Roman" w:hAnsi="Times New Roman" w:cs="Times New Roman"/>
          <w:color w:val="000000" w:themeColor="text1"/>
          <w:sz w:val="24"/>
          <w:szCs w:val="24"/>
          <w:lang w:val="en-US"/>
        </w:rPr>
        <w:t xml:space="preserve"> and tend to move </w:t>
      </w:r>
      <w:r w:rsidR="00722440" w:rsidRPr="002C5DE1">
        <w:rPr>
          <w:rFonts w:ascii="Times New Roman" w:hAnsi="Times New Roman" w:cs="Times New Roman"/>
          <w:color w:val="000000" w:themeColor="text1"/>
          <w:sz w:val="24"/>
          <w:szCs w:val="24"/>
          <w:lang w:val="en-US"/>
        </w:rPr>
        <w:t>along</w:t>
      </w:r>
      <w:r w:rsidR="00C508C8" w:rsidRPr="002C5DE1">
        <w:rPr>
          <w:rFonts w:ascii="Times New Roman" w:hAnsi="Times New Roman" w:cs="Times New Roman"/>
          <w:color w:val="000000" w:themeColor="text1"/>
          <w:sz w:val="24"/>
          <w:szCs w:val="24"/>
          <w:lang w:val="en-US"/>
        </w:rPr>
        <w:t xml:space="preserve"> with household</w:t>
      </w:r>
      <w:r w:rsidR="00924638" w:rsidRPr="002C5DE1">
        <w:rPr>
          <w:rFonts w:ascii="Times New Roman" w:hAnsi="Times New Roman" w:cs="Times New Roman"/>
          <w:color w:val="000000" w:themeColor="text1"/>
          <w:sz w:val="24"/>
          <w:szCs w:val="24"/>
          <w:lang w:val="en-US"/>
        </w:rPr>
        <w:t>’</w:t>
      </w:r>
      <w:r w:rsidR="00C508C8" w:rsidRPr="002C5DE1">
        <w:rPr>
          <w:rFonts w:ascii="Times New Roman" w:hAnsi="Times New Roman" w:cs="Times New Roman"/>
          <w:color w:val="000000" w:themeColor="text1"/>
          <w:sz w:val="24"/>
          <w:szCs w:val="24"/>
          <w:lang w:val="en-US"/>
        </w:rPr>
        <w:t>s consumption</w:t>
      </w:r>
      <w:r w:rsidR="002B6FC0" w:rsidRPr="002C5DE1">
        <w:rPr>
          <w:rFonts w:ascii="Times New Roman" w:hAnsi="Times New Roman" w:cs="Times New Roman"/>
          <w:color w:val="000000" w:themeColor="text1"/>
          <w:sz w:val="24"/>
          <w:szCs w:val="24"/>
          <w:lang w:val="en-US"/>
        </w:rPr>
        <w:t xml:space="preserve"> (Poterba, 2000; Case et al., 2005; Marquez et al., 2013 among others)</w:t>
      </w:r>
      <w:r w:rsidR="00C508C8" w:rsidRPr="002C5DE1">
        <w:rPr>
          <w:rFonts w:ascii="Times New Roman" w:hAnsi="Times New Roman" w:cs="Times New Roman"/>
          <w:color w:val="000000" w:themeColor="text1"/>
          <w:sz w:val="24"/>
          <w:szCs w:val="24"/>
          <w:lang w:val="en-US"/>
        </w:rPr>
        <w:t>. This framework was in the particular interests of policymakers</w:t>
      </w:r>
      <w:r w:rsidR="00924638" w:rsidRPr="002C5DE1">
        <w:rPr>
          <w:rFonts w:ascii="Times New Roman" w:hAnsi="Times New Roman" w:cs="Times New Roman"/>
          <w:color w:val="000000" w:themeColor="text1"/>
          <w:sz w:val="24"/>
          <w:szCs w:val="24"/>
          <w:lang w:val="en-US"/>
        </w:rPr>
        <w:t>,</w:t>
      </w:r>
      <w:r w:rsidR="00C508C8" w:rsidRPr="002C5DE1">
        <w:rPr>
          <w:rFonts w:ascii="Times New Roman" w:hAnsi="Times New Roman" w:cs="Times New Roman"/>
          <w:color w:val="000000" w:themeColor="text1"/>
          <w:sz w:val="24"/>
          <w:szCs w:val="24"/>
          <w:lang w:val="en-US"/>
        </w:rPr>
        <w:t xml:space="preserve"> specifically after </w:t>
      </w:r>
      <w:r w:rsidR="00924638" w:rsidRPr="002C5DE1">
        <w:rPr>
          <w:rFonts w:ascii="Times New Roman" w:hAnsi="Times New Roman" w:cs="Times New Roman"/>
          <w:color w:val="000000" w:themeColor="text1"/>
          <w:sz w:val="24"/>
          <w:szCs w:val="24"/>
          <w:lang w:val="en-US"/>
        </w:rPr>
        <w:t xml:space="preserve">the </w:t>
      </w:r>
      <w:r w:rsidR="00C508C8" w:rsidRPr="002C5DE1">
        <w:rPr>
          <w:rFonts w:ascii="Times New Roman" w:hAnsi="Times New Roman" w:cs="Times New Roman"/>
          <w:color w:val="000000" w:themeColor="text1"/>
          <w:sz w:val="24"/>
          <w:szCs w:val="24"/>
          <w:lang w:val="en-US"/>
        </w:rPr>
        <w:t xml:space="preserve">mid-1990’s in the </w:t>
      </w:r>
      <w:r w:rsidR="009A3495" w:rsidRPr="002C5DE1">
        <w:rPr>
          <w:rFonts w:ascii="Times New Roman" w:hAnsi="Times New Roman" w:cs="Times New Roman"/>
          <w:color w:val="000000" w:themeColor="text1"/>
          <w:sz w:val="24"/>
          <w:szCs w:val="24"/>
          <w:lang w:val="en-US"/>
        </w:rPr>
        <w:t>US</w:t>
      </w:r>
      <w:r w:rsidR="00C508C8" w:rsidRPr="002C5DE1">
        <w:rPr>
          <w:rFonts w:ascii="Times New Roman" w:hAnsi="Times New Roman" w:cs="Times New Roman"/>
          <w:color w:val="000000" w:themeColor="text1"/>
          <w:sz w:val="24"/>
          <w:szCs w:val="24"/>
          <w:lang w:val="en-US"/>
        </w:rPr>
        <w:t xml:space="preserve"> </w:t>
      </w:r>
      <w:r w:rsidR="009A3495" w:rsidRPr="002C5DE1">
        <w:rPr>
          <w:rFonts w:ascii="Times New Roman" w:hAnsi="Times New Roman" w:cs="Times New Roman"/>
          <w:color w:val="000000" w:themeColor="text1"/>
          <w:sz w:val="24"/>
          <w:szCs w:val="24"/>
          <w:lang w:val="en-US"/>
        </w:rPr>
        <w:t xml:space="preserve">and other major economies </w:t>
      </w:r>
      <w:r w:rsidR="00C508C8" w:rsidRPr="002C5DE1">
        <w:rPr>
          <w:rFonts w:ascii="Times New Roman" w:hAnsi="Times New Roman" w:cs="Times New Roman"/>
          <w:color w:val="000000" w:themeColor="text1"/>
          <w:sz w:val="24"/>
          <w:szCs w:val="24"/>
          <w:lang w:val="en-US"/>
        </w:rPr>
        <w:t>who were focusing on the bright side of the positive wealth effect arising from stock and housing markets</w:t>
      </w:r>
      <w:r w:rsidR="00D57F31" w:rsidRPr="002C5DE1">
        <w:rPr>
          <w:rFonts w:ascii="Times New Roman" w:hAnsi="Times New Roman" w:cs="Times New Roman"/>
          <w:color w:val="000000" w:themeColor="text1"/>
          <w:sz w:val="24"/>
          <w:szCs w:val="24"/>
          <w:lang w:val="en-US"/>
        </w:rPr>
        <w:t xml:space="preserve"> and inducing personal consumption expenditure (</w:t>
      </w:r>
      <w:r w:rsidR="00D57F31" w:rsidRPr="002C5DE1">
        <w:rPr>
          <w:rFonts w:ascii="Times New Roman" w:hAnsi="Times New Roman" w:cs="Times New Roman"/>
          <w:color w:val="000000" w:themeColor="text1"/>
          <w:sz w:val="24"/>
          <w:szCs w:val="24"/>
          <w:shd w:val="clear" w:color="auto" w:fill="FFFFFF"/>
          <w:lang w:val="en-US"/>
        </w:rPr>
        <w:t>Case and Shiller, 2003</w:t>
      </w:r>
      <w:r w:rsidR="00D57F31" w:rsidRPr="002C5DE1">
        <w:rPr>
          <w:rFonts w:ascii="Times New Roman" w:hAnsi="Times New Roman" w:cs="Times New Roman"/>
          <w:color w:val="000000" w:themeColor="text1"/>
          <w:sz w:val="24"/>
          <w:szCs w:val="24"/>
          <w:lang w:val="en-US"/>
        </w:rPr>
        <w:t>).</w:t>
      </w:r>
      <w:r w:rsidR="00331938" w:rsidRPr="002C5DE1">
        <w:rPr>
          <w:rFonts w:ascii="Times New Roman" w:hAnsi="Times New Roman" w:cs="Times New Roman"/>
          <w:color w:val="000000" w:themeColor="text1"/>
          <w:sz w:val="24"/>
          <w:szCs w:val="24"/>
          <w:lang w:val="en-US"/>
        </w:rPr>
        <w:t xml:space="preserve"> </w:t>
      </w:r>
      <w:r w:rsidR="009A3495" w:rsidRPr="002C5DE1">
        <w:rPr>
          <w:rFonts w:ascii="Times New Roman" w:hAnsi="Times New Roman" w:cs="Times New Roman"/>
          <w:color w:val="000000" w:themeColor="text1"/>
          <w:sz w:val="24"/>
          <w:szCs w:val="24"/>
          <w:lang w:val="en-US"/>
        </w:rPr>
        <w:t>However</w:t>
      </w:r>
      <w:r w:rsidR="00924638" w:rsidRPr="002C5DE1">
        <w:rPr>
          <w:rFonts w:ascii="Times New Roman" w:hAnsi="Times New Roman" w:cs="Times New Roman"/>
          <w:color w:val="000000" w:themeColor="text1"/>
          <w:sz w:val="24"/>
          <w:szCs w:val="24"/>
          <w:lang w:val="en-US"/>
        </w:rPr>
        <w:t>,</w:t>
      </w:r>
      <w:r w:rsidR="009A3495" w:rsidRPr="002C5DE1">
        <w:rPr>
          <w:rFonts w:ascii="Times New Roman" w:hAnsi="Times New Roman" w:cs="Times New Roman"/>
          <w:color w:val="000000" w:themeColor="text1"/>
          <w:sz w:val="24"/>
          <w:szCs w:val="24"/>
          <w:lang w:val="en-US"/>
        </w:rPr>
        <w:t xml:space="preserve"> </w:t>
      </w:r>
      <w:r w:rsidR="00924638" w:rsidRPr="002C5DE1">
        <w:rPr>
          <w:rFonts w:ascii="Times New Roman" w:hAnsi="Times New Roman" w:cs="Times New Roman"/>
          <w:color w:val="000000" w:themeColor="text1"/>
          <w:sz w:val="24"/>
          <w:szCs w:val="24"/>
          <w:lang w:val="en-US"/>
        </w:rPr>
        <w:t xml:space="preserve">the </w:t>
      </w:r>
      <w:r w:rsidR="009A3495" w:rsidRPr="002C5DE1">
        <w:rPr>
          <w:rFonts w:ascii="Times New Roman" w:hAnsi="Times New Roman" w:cs="Times New Roman"/>
          <w:color w:val="000000" w:themeColor="text1"/>
          <w:sz w:val="24"/>
          <w:szCs w:val="24"/>
          <w:lang w:val="en-US"/>
        </w:rPr>
        <w:t>dot</w:t>
      </w:r>
      <w:r w:rsidR="00924638" w:rsidRPr="002C5DE1">
        <w:rPr>
          <w:rFonts w:ascii="Times New Roman" w:hAnsi="Times New Roman" w:cs="Times New Roman"/>
          <w:color w:val="000000" w:themeColor="text1"/>
          <w:sz w:val="24"/>
          <w:szCs w:val="24"/>
          <w:lang w:val="en-US"/>
        </w:rPr>
        <w:t>.</w:t>
      </w:r>
      <w:r w:rsidR="009A3495" w:rsidRPr="002C5DE1">
        <w:rPr>
          <w:rFonts w:ascii="Times New Roman" w:hAnsi="Times New Roman" w:cs="Times New Roman"/>
          <w:color w:val="000000" w:themeColor="text1"/>
          <w:sz w:val="24"/>
          <w:szCs w:val="24"/>
          <w:lang w:val="en-US"/>
        </w:rPr>
        <w:t xml:space="preserve">com </w:t>
      </w:r>
      <w:r w:rsidR="00826F90" w:rsidRPr="002C5DE1">
        <w:rPr>
          <w:rFonts w:ascii="Times New Roman" w:hAnsi="Times New Roman" w:cs="Times New Roman"/>
          <w:color w:val="000000" w:themeColor="text1"/>
          <w:sz w:val="24"/>
          <w:szCs w:val="24"/>
          <w:lang w:val="en-US"/>
        </w:rPr>
        <w:t xml:space="preserve">bubble </w:t>
      </w:r>
      <w:r w:rsidR="009A3495" w:rsidRPr="002C5DE1">
        <w:rPr>
          <w:rFonts w:ascii="Times New Roman" w:hAnsi="Times New Roman" w:cs="Times New Roman"/>
          <w:color w:val="000000" w:themeColor="text1"/>
          <w:sz w:val="24"/>
          <w:szCs w:val="24"/>
          <w:lang w:val="en-US"/>
        </w:rPr>
        <w:t xml:space="preserve">and </w:t>
      </w:r>
      <w:r w:rsidR="00924638" w:rsidRPr="002C5DE1">
        <w:rPr>
          <w:rFonts w:ascii="Times New Roman" w:hAnsi="Times New Roman" w:cs="Times New Roman"/>
          <w:color w:val="000000" w:themeColor="text1"/>
          <w:sz w:val="24"/>
          <w:szCs w:val="24"/>
          <w:lang w:val="en-US"/>
        </w:rPr>
        <w:t xml:space="preserve">the </w:t>
      </w:r>
      <w:r w:rsidR="009A3495" w:rsidRPr="002C5DE1">
        <w:rPr>
          <w:rFonts w:ascii="Times New Roman" w:hAnsi="Times New Roman" w:cs="Times New Roman"/>
          <w:color w:val="000000" w:themeColor="text1"/>
          <w:sz w:val="24"/>
          <w:szCs w:val="24"/>
          <w:lang w:val="en-US"/>
        </w:rPr>
        <w:t>housing bubble</w:t>
      </w:r>
      <w:r w:rsidR="00826F90" w:rsidRPr="002C5DE1">
        <w:rPr>
          <w:rFonts w:ascii="Times New Roman" w:hAnsi="Times New Roman" w:cs="Times New Roman"/>
          <w:color w:val="000000" w:themeColor="text1"/>
          <w:sz w:val="24"/>
          <w:szCs w:val="24"/>
          <w:lang w:val="en-US"/>
        </w:rPr>
        <w:t xml:space="preserve"> </w:t>
      </w:r>
      <w:r w:rsidR="00722440" w:rsidRPr="002C5DE1">
        <w:rPr>
          <w:rFonts w:ascii="Times New Roman" w:hAnsi="Times New Roman" w:cs="Times New Roman"/>
          <w:color w:val="000000" w:themeColor="text1"/>
          <w:sz w:val="24"/>
          <w:szCs w:val="24"/>
          <w:lang w:val="en-US"/>
        </w:rPr>
        <w:t xml:space="preserve">events </w:t>
      </w:r>
      <w:r w:rsidR="009A3495" w:rsidRPr="002C5DE1">
        <w:rPr>
          <w:rFonts w:ascii="Times New Roman" w:hAnsi="Times New Roman" w:cs="Times New Roman"/>
          <w:color w:val="000000" w:themeColor="text1"/>
          <w:sz w:val="24"/>
          <w:szCs w:val="24"/>
          <w:lang w:val="en-US"/>
        </w:rPr>
        <w:t xml:space="preserve">have </w:t>
      </w:r>
      <w:r w:rsidR="00826F90" w:rsidRPr="002C5DE1">
        <w:rPr>
          <w:rFonts w:ascii="Times New Roman" w:hAnsi="Times New Roman" w:cs="Times New Roman"/>
          <w:color w:val="000000" w:themeColor="text1"/>
          <w:sz w:val="24"/>
          <w:szCs w:val="24"/>
          <w:lang w:val="en-US"/>
        </w:rPr>
        <w:t>colle</w:t>
      </w:r>
      <w:r w:rsidR="00341DEF" w:rsidRPr="002C5DE1">
        <w:rPr>
          <w:rFonts w:ascii="Times New Roman" w:hAnsi="Times New Roman" w:cs="Times New Roman"/>
          <w:color w:val="000000" w:themeColor="text1"/>
          <w:sz w:val="24"/>
          <w:szCs w:val="24"/>
          <w:lang w:val="en-US"/>
        </w:rPr>
        <w:t>c</w:t>
      </w:r>
      <w:r w:rsidR="00826F90" w:rsidRPr="002C5DE1">
        <w:rPr>
          <w:rFonts w:ascii="Times New Roman" w:hAnsi="Times New Roman" w:cs="Times New Roman"/>
          <w:color w:val="000000" w:themeColor="text1"/>
          <w:sz w:val="24"/>
          <w:szCs w:val="24"/>
          <w:lang w:val="en-US"/>
        </w:rPr>
        <w:t xml:space="preserve">tively showed </w:t>
      </w:r>
      <w:r w:rsidR="009A3495" w:rsidRPr="002C5DE1">
        <w:rPr>
          <w:rFonts w:ascii="Times New Roman" w:hAnsi="Times New Roman" w:cs="Times New Roman"/>
          <w:color w:val="000000" w:themeColor="text1"/>
          <w:sz w:val="24"/>
          <w:szCs w:val="24"/>
          <w:lang w:val="en-US"/>
        </w:rPr>
        <w:t xml:space="preserve">that </w:t>
      </w:r>
      <w:r w:rsidR="00A613D0" w:rsidRPr="002C5DE1">
        <w:rPr>
          <w:rFonts w:ascii="Times New Roman" w:hAnsi="Times New Roman" w:cs="Times New Roman"/>
          <w:color w:val="000000" w:themeColor="text1"/>
          <w:sz w:val="24"/>
          <w:szCs w:val="24"/>
          <w:lang w:val="en-US"/>
        </w:rPr>
        <w:t xml:space="preserve">using wealth effect as a tool for </w:t>
      </w:r>
      <w:r w:rsidR="00826F90" w:rsidRPr="002C5DE1">
        <w:rPr>
          <w:rFonts w:ascii="Times New Roman" w:hAnsi="Times New Roman" w:cs="Times New Roman"/>
          <w:color w:val="000000" w:themeColor="text1"/>
          <w:sz w:val="24"/>
          <w:szCs w:val="24"/>
          <w:lang w:val="en-US"/>
        </w:rPr>
        <w:t>s</w:t>
      </w:r>
      <w:r w:rsidR="009A3495" w:rsidRPr="002C5DE1">
        <w:rPr>
          <w:rFonts w:ascii="Times New Roman" w:hAnsi="Times New Roman" w:cs="Times New Roman"/>
          <w:color w:val="000000" w:themeColor="text1"/>
          <w:sz w:val="24"/>
          <w:szCs w:val="24"/>
          <w:lang w:val="en-US"/>
        </w:rPr>
        <w:t>hort</w:t>
      </w:r>
      <w:r w:rsidR="00924638" w:rsidRPr="002C5DE1">
        <w:rPr>
          <w:rFonts w:ascii="Times New Roman" w:hAnsi="Times New Roman" w:cs="Times New Roman"/>
          <w:color w:val="000000" w:themeColor="text1"/>
          <w:sz w:val="24"/>
          <w:szCs w:val="24"/>
          <w:lang w:val="en-US"/>
        </w:rPr>
        <w:t>-</w:t>
      </w:r>
      <w:r w:rsidR="009A3495" w:rsidRPr="002C5DE1">
        <w:rPr>
          <w:rFonts w:ascii="Times New Roman" w:hAnsi="Times New Roman" w:cs="Times New Roman"/>
          <w:color w:val="000000" w:themeColor="text1"/>
          <w:sz w:val="24"/>
          <w:szCs w:val="24"/>
          <w:lang w:val="en-US"/>
        </w:rPr>
        <w:t xml:space="preserve">term </w:t>
      </w:r>
      <w:r w:rsidR="00826F90" w:rsidRPr="002C5DE1">
        <w:rPr>
          <w:rFonts w:ascii="Times New Roman" w:hAnsi="Times New Roman" w:cs="Times New Roman"/>
          <w:color w:val="000000" w:themeColor="text1"/>
          <w:sz w:val="24"/>
          <w:szCs w:val="24"/>
          <w:lang w:val="en-US"/>
        </w:rPr>
        <w:t xml:space="preserve">consumption and economic </w:t>
      </w:r>
      <w:r w:rsidR="009A3495" w:rsidRPr="002C5DE1">
        <w:rPr>
          <w:rFonts w:ascii="Times New Roman" w:hAnsi="Times New Roman" w:cs="Times New Roman"/>
          <w:color w:val="000000" w:themeColor="text1"/>
          <w:sz w:val="24"/>
          <w:szCs w:val="24"/>
          <w:lang w:val="en-US"/>
        </w:rPr>
        <w:t>growth</w:t>
      </w:r>
      <w:r w:rsidR="00826F90" w:rsidRPr="002C5DE1">
        <w:rPr>
          <w:rFonts w:ascii="Times New Roman" w:hAnsi="Times New Roman" w:cs="Times New Roman"/>
          <w:color w:val="000000" w:themeColor="text1"/>
          <w:sz w:val="24"/>
          <w:szCs w:val="24"/>
          <w:lang w:val="en-US"/>
        </w:rPr>
        <w:t xml:space="preserve"> may eventually result</w:t>
      </w:r>
      <w:r w:rsidR="00D55460" w:rsidRPr="002C5DE1">
        <w:rPr>
          <w:rFonts w:ascii="Times New Roman" w:hAnsi="Times New Roman" w:cs="Times New Roman"/>
          <w:color w:val="000000" w:themeColor="text1"/>
          <w:sz w:val="24"/>
          <w:szCs w:val="24"/>
          <w:lang w:val="en-US"/>
        </w:rPr>
        <w:t xml:space="preserve"> </w:t>
      </w:r>
      <w:r w:rsidR="00924638" w:rsidRPr="002C5DE1">
        <w:rPr>
          <w:rFonts w:ascii="Times New Roman" w:hAnsi="Times New Roman" w:cs="Times New Roman"/>
          <w:color w:val="000000" w:themeColor="text1"/>
          <w:sz w:val="24"/>
          <w:szCs w:val="24"/>
          <w:lang w:val="en-US"/>
        </w:rPr>
        <w:t xml:space="preserve">in </w:t>
      </w:r>
      <w:r w:rsidR="00D55460" w:rsidRPr="002C5DE1">
        <w:rPr>
          <w:rFonts w:ascii="Times New Roman" w:hAnsi="Times New Roman" w:cs="Times New Roman"/>
          <w:color w:val="000000" w:themeColor="text1"/>
          <w:sz w:val="24"/>
          <w:szCs w:val="24"/>
          <w:lang w:val="en-US"/>
        </w:rPr>
        <w:t>a bubble formation</w:t>
      </w:r>
      <w:r w:rsidR="00826F90" w:rsidRPr="002C5DE1">
        <w:rPr>
          <w:rFonts w:ascii="Times New Roman" w:hAnsi="Times New Roman" w:cs="Times New Roman"/>
          <w:color w:val="000000" w:themeColor="text1"/>
          <w:sz w:val="24"/>
          <w:szCs w:val="24"/>
          <w:lang w:val="en-US"/>
        </w:rPr>
        <w:t xml:space="preserve">. </w:t>
      </w:r>
      <w:proofErr w:type="spellStart"/>
      <w:r w:rsidR="00D55460" w:rsidRPr="002C5DE1">
        <w:rPr>
          <w:rFonts w:ascii="Times New Roman" w:hAnsi="Times New Roman" w:cs="Times New Roman"/>
          <w:color w:val="000000" w:themeColor="text1"/>
          <w:sz w:val="24"/>
          <w:szCs w:val="24"/>
          <w:shd w:val="clear" w:color="auto" w:fill="FFFFFF"/>
          <w:lang w:val="en-US"/>
        </w:rPr>
        <w:t>Buiter</w:t>
      </w:r>
      <w:proofErr w:type="spellEnd"/>
      <w:r w:rsidR="00D55460" w:rsidRPr="002C5DE1">
        <w:rPr>
          <w:rFonts w:ascii="Times New Roman" w:hAnsi="Times New Roman" w:cs="Times New Roman"/>
          <w:color w:val="000000" w:themeColor="text1"/>
          <w:sz w:val="24"/>
          <w:szCs w:val="24"/>
          <w:shd w:val="clear" w:color="auto" w:fill="FFFFFF"/>
          <w:lang w:val="en-US"/>
        </w:rPr>
        <w:t xml:space="preserve"> (2008) discusses </w:t>
      </w:r>
      <w:r w:rsidR="008D24B0" w:rsidRPr="002C5DE1">
        <w:rPr>
          <w:rFonts w:ascii="Times New Roman" w:hAnsi="Times New Roman" w:cs="Times New Roman"/>
          <w:color w:val="000000" w:themeColor="text1"/>
          <w:sz w:val="24"/>
          <w:szCs w:val="24"/>
          <w:shd w:val="clear" w:color="auto" w:fill="FFFFFF"/>
          <w:lang w:val="en-US"/>
        </w:rPr>
        <w:t xml:space="preserve">that there is a pure wealth effect on consumption from a change in house prices if this reflects a change in the speculative bubble component of house prices. </w:t>
      </w:r>
      <w:r w:rsidR="00341DEF" w:rsidRPr="002C5DE1">
        <w:rPr>
          <w:rFonts w:ascii="Times New Roman" w:hAnsi="Times New Roman" w:cs="Times New Roman"/>
          <w:color w:val="000000" w:themeColor="text1"/>
          <w:sz w:val="24"/>
          <w:szCs w:val="24"/>
          <w:lang w:val="en-US"/>
        </w:rPr>
        <w:t xml:space="preserve">From the perspective of </w:t>
      </w:r>
      <w:r w:rsidR="00924638" w:rsidRPr="002C5DE1">
        <w:rPr>
          <w:rFonts w:ascii="Times New Roman" w:hAnsi="Times New Roman" w:cs="Times New Roman"/>
          <w:color w:val="000000" w:themeColor="text1"/>
          <w:sz w:val="24"/>
          <w:szCs w:val="24"/>
          <w:lang w:val="en-US"/>
        </w:rPr>
        <w:t xml:space="preserve">the </w:t>
      </w:r>
      <w:r w:rsidR="00341DEF" w:rsidRPr="002C5DE1">
        <w:rPr>
          <w:rFonts w:ascii="Times New Roman" w:hAnsi="Times New Roman" w:cs="Times New Roman"/>
          <w:color w:val="000000" w:themeColor="text1"/>
          <w:sz w:val="24"/>
          <w:szCs w:val="24"/>
          <w:lang w:val="en-US"/>
        </w:rPr>
        <w:t>consumption-wealth effect nexus,</w:t>
      </w:r>
      <w:r w:rsidR="00927D0E" w:rsidRPr="002C5DE1">
        <w:rPr>
          <w:rFonts w:ascii="Times New Roman" w:hAnsi="Times New Roman" w:cs="Times New Roman"/>
          <w:color w:val="000000" w:themeColor="text1"/>
          <w:sz w:val="24"/>
          <w:szCs w:val="24"/>
          <w:lang w:val="en-US"/>
        </w:rPr>
        <w:t xml:space="preserve"> </w:t>
      </w:r>
      <w:r w:rsidR="00341DEF" w:rsidRPr="002C5DE1">
        <w:rPr>
          <w:rFonts w:ascii="Times New Roman" w:hAnsi="Times New Roman" w:cs="Times New Roman"/>
          <w:color w:val="000000" w:themeColor="text1"/>
          <w:sz w:val="24"/>
          <w:szCs w:val="24"/>
          <w:shd w:val="clear" w:color="auto" w:fill="FFFFFF"/>
          <w:lang w:val="en-US"/>
        </w:rPr>
        <w:t>Martin and Ventura</w:t>
      </w:r>
      <w:r w:rsidR="00662BDF" w:rsidRPr="002C5DE1">
        <w:rPr>
          <w:rFonts w:ascii="Times New Roman" w:hAnsi="Times New Roman" w:cs="Times New Roman"/>
          <w:color w:val="000000" w:themeColor="text1"/>
          <w:sz w:val="24"/>
          <w:szCs w:val="24"/>
          <w:shd w:val="clear" w:color="auto" w:fill="FFFFFF"/>
          <w:lang w:val="en-US"/>
        </w:rPr>
        <w:t xml:space="preserve"> (</w:t>
      </w:r>
      <w:r w:rsidR="00341DEF" w:rsidRPr="002C5DE1">
        <w:rPr>
          <w:rFonts w:ascii="Times New Roman" w:hAnsi="Times New Roman" w:cs="Times New Roman"/>
          <w:color w:val="000000" w:themeColor="text1"/>
          <w:sz w:val="24"/>
          <w:szCs w:val="24"/>
          <w:shd w:val="clear" w:color="auto" w:fill="FFFFFF"/>
          <w:lang w:val="en-US"/>
        </w:rPr>
        <w:t>2012</w:t>
      </w:r>
      <w:r w:rsidR="00662BDF" w:rsidRPr="002C5DE1">
        <w:rPr>
          <w:rFonts w:ascii="Times New Roman" w:hAnsi="Times New Roman" w:cs="Times New Roman"/>
          <w:color w:val="000000" w:themeColor="text1"/>
          <w:sz w:val="24"/>
          <w:szCs w:val="24"/>
          <w:shd w:val="clear" w:color="auto" w:fill="FFFFFF"/>
          <w:lang w:val="en-US"/>
        </w:rPr>
        <w:t>)</w:t>
      </w:r>
      <w:r w:rsidR="00341DEF" w:rsidRPr="002C5DE1">
        <w:rPr>
          <w:rFonts w:ascii="Times New Roman" w:hAnsi="Times New Roman" w:cs="Times New Roman"/>
          <w:color w:val="000000" w:themeColor="text1"/>
          <w:sz w:val="24"/>
          <w:szCs w:val="24"/>
          <w:shd w:val="clear" w:color="auto" w:fill="FFFFFF"/>
          <w:lang w:val="en-US"/>
        </w:rPr>
        <w:t xml:space="preserve"> </w:t>
      </w:r>
      <w:r w:rsidR="00722440" w:rsidRPr="002C5DE1">
        <w:rPr>
          <w:rFonts w:ascii="Times New Roman" w:hAnsi="Times New Roman" w:cs="Times New Roman"/>
          <w:color w:val="000000" w:themeColor="text1"/>
          <w:sz w:val="24"/>
          <w:szCs w:val="24"/>
          <w:shd w:val="clear" w:color="auto" w:fill="FFFFFF"/>
          <w:lang w:val="en-US"/>
        </w:rPr>
        <w:t>document</w:t>
      </w:r>
      <w:r w:rsidR="00341DEF" w:rsidRPr="002C5DE1">
        <w:rPr>
          <w:rFonts w:ascii="Times New Roman" w:hAnsi="Times New Roman" w:cs="Times New Roman"/>
          <w:color w:val="000000" w:themeColor="text1"/>
          <w:sz w:val="24"/>
          <w:szCs w:val="24"/>
          <w:shd w:val="clear" w:color="auto" w:fill="FFFFFF"/>
          <w:lang w:val="en-US"/>
        </w:rPr>
        <w:t xml:space="preserve"> </w:t>
      </w:r>
      <w:r w:rsidR="00924638" w:rsidRPr="002C5DE1">
        <w:rPr>
          <w:rFonts w:ascii="Times New Roman" w:hAnsi="Times New Roman" w:cs="Times New Roman"/>
          <w:color w:val="000000" w:themeColor="text1"/>
          <w:sz w:val="24"/>
          <w:szCs w:val="24"/>
          <w:shd w:val="clear" w:color="auto" w:fill="FFFFFF"/>
          <w:lang w:val="en-US"/>
        </w:rPr>
        <w:t>that although</w:t>
      </w:r>
      <w:r w:rsidR="00341DEF" w:rsidRPr="002C5DE1">
        <w:rPr>
          <w:rFonts w:ascii="Times New Roman" w:hAnsi="Times New Roman" w:cs="Times New Roman"/>
          <w:color w:val="000000" w:themeColor="text1"/>
          <w:sz w:val="24"/>
          <w:szCs w:val="24"/>
          <w:shd w:val="clear" w:color="auto" w:fill="FFFFFF"/>
          <w:lang w:val="en-US"/>
        </w:rPr>
        <w:t xml:space="preserve"> bubbly episodes may expand consumption, </w:t>
      </w:r>
      <w:r w:rsidR="00927D0E" w:rsidRPr="002C5DE1">
        <w:rPr>
          <w:rFonts w:ascii="Times New Roman" w:hAnsi="Times New Roman" w:cs="Times New Roman"/>
          <w:color w:val="000000" w:themeColor="text1"/>
          <w:sz w:val="24"/>
          <w:szCs w:val="24"/>
          <w:shd w:val="clear" w:color="auto" w:fill="FFFFFF"/>
          <w:lang w:val="en-US"/>
        </w:rPr>
        <w:t>their ultimate result is fall in consumption, the capital stock, and output.</w:t>
      </w:r>
      <w:r w:rsidR="00341DEF" w:rsidRPr="002C5DE1">
        <w:rPr>
          <w:rFonts w:ascii="Times New Roman" w:hAnsi="Times New Roman" w:cs="Times New Roman"/>
          <w:color w:val="000000" w:themeColor="text1"/>
          <w:sz w:val="24"/>
          <w:szCs w:val="24"/>
          <w:shd w:val="clear" w:color="auto" w:fill="FFFFFF"/>
          <w:lang w:val="en-US"/>
        </w:rPr>
        <w:t xml:space="preserve"> </w:t>
      </w:r>
      <w:r w:rsidR="00D55460" w:rsidRPr="002C5DE1">
        <w:rPr>
          <w:rFonts w:ascii="Times New Roman" w:hAnsi="Times New Roman" w:cs="Times New Roman"/>
          <w:color w:val="000000" w:themeColor="text1"/>
          <w:sz w:val="24"/>
          <w:szCs w:val="24"/>
          <w:shd w:val="clear" w:color="auto" w:fill="FFFFFF"/>
          <w:lang w:val="en-US"/>
        </w:rPr>
        <w:t xml:space="preserve">Moreover, </w:t>
      </w:r>
      <w:r w:rsidR="00924638" w:rsidRPr="002C5DE1">
        <w:rPr>
          <w:rFonts w:ascii="Times New Roman" w:hAnsi="Times New Roman" w:cs="Times New Roman"/>
          <w:color w:val="000000" w:themeColor="text1"/>
          <w:sz w:val="24"/>
          <w:szCs w:val="24"/>
          <w:shd w:val="clear" w:color="auto" w:fill="FFFFFF"/>
          <w:lang w:val="en-US"/>
        </w:rPr>
        <w:t xml:space="preserve">a </w:t>
      </w:r>
      <w:r w:rsidR="009D4322" w:rsidRPr="002C5DE1">
        <w:rPr>
          <w:rFonts w:ascii="Times New Roman" w:hAnsi="Times New Roman" w:cs="Times New Roman"/>
          <w:color w:val="000000" w:themeColor="text1"/>
          <w:sz w:val="24"/>
          <w:szCs w:val="24"/>
          <w:shd w:val="clear" w:color="auto" w:fill="FFFFFF"/>
          <w:lang w:val="en-US"/>
        </w:rPr>
        <w:t xml:space="preserve">positive relation between </w:t>
      </w:r>
      <w:r w:rsidR="00D55460" w:rsidRPr="002C5DE1">
        <w:rPr>
          <w:rFonts w:ascii="Times New Roman" w:hAnsi="Times New Roman" w:cs="Times New Roman"/>
          <w:color w:val="000000" w:themeColor="text1"/>
          <w:sz w:val="24"/>
          <w:szCs w:val="24"/>
          <w:lang w:val="en-US"/>
        </w:rPr>
        <w:t>housing wealth</w:t>
      </w:r>
      <w:r w:rsidR="008001F6" w:rsidRPr="002C5DE1">
        <w:rPr>
          <w:rFonts w:ascii="Times New Roman" w:hAnsi="Times New Roman" w:cs="Times New Roman"/>
          <w:color w:val="000000" w:themeColor="text1"/>
          <w:sz w:val="24"/>
          <w:szCs w:val="24"/>
          <w:lang w:val="en-US"/>
        </w:rPr>
        <w:t>, stock wealth</w:t>
      </w:r>
      <w:r w:rsidR="00D55460" w:rsidRPr="002C5DE1">
        <w:rPr>
          <w:rFonts w:ascii="Times New Roman" w:hAnsi="Times New Roman" w:cs="Times New Roman"/>
          <w:color w:val="000000" w:themeColor="text1"/>
          <w:sz w:val="24"/>
          <w:szCs w:val="24"/>
          <w:lang w:val="en-US"/>
        </w:rPr>
        <w:t xml:space="preserve"> and consumption would be larger in developed </w:t>
      </w:r>
      <w:r w:rsidR="009D4322" w:rsidRPr="002C5DE1">
        <w:rPr>
          <w:rFonts w:ascii="Times New Roman" w:hAnsi="Times New Roman" w:cs="Times New Roman"/>
          <w:color w:val="000000" w:themeColor="text1"/>
          <w:sz w:val="24"/>
          <w:szCs w:val="24"/>
          <w:lang w:val="en-US"/>
        </w:rPr>
        <w:t>financial markets</w:t>
      </w:r>
      <w:r w:rsidR="00D55460" w:rsidRPr="002C5DE1">
        <w:rPr>
          <w:rFonts w:ascii="Times New Roman" w:hAnsi="Times New Roman" w:cs="Times New Roman"/>
          <w:color w:val="000000" w:themeColor="text1"/>
          <w:sz w:val="24"/>
          <w:szCs w:val="24"/>
          <w:lang w:val="en-US"/>
        </w:rPr>
        <w:t xml:space="preserve"> (</w:t>
      </w:r>
      <w:r w:rsidR="009D4322" w:rsidRPr="002C5DE1">
        <w:rPr>
          <w:rFonts w:ascii="Times New Roman" w:hAnsi="Times New Roman" w:cs="Times New Roman"/>
          <w:color w:val="000000" w:themeColor="text1"/>
          <w:sz w:val="24"/>
          <w:szCs w:val="24"/>
          <w:lang w:val="en-US"/>
        </w:rPr>
        <w:t xml:space="preserve">Case et al., 2005; </w:t>
      </w:r>
      <w:r w:rsidR="008001F6" w:rsidRPr="002C5DE1">
        <w:rPr>
          <w:rFonts w:ascii="Times New Roman" w:hAnsi="Times New Roman" w:cs="Times New Roman"/>
          <w:color w:val="000000" w:themeColor="text1"/>
          <w:sz w:val="24"/>
          <w:szCs w:val="24"/>
          <w:lang w:val="en-US"/>
        </w:rPr>
        <w:t xml:space="preserve">Poterba, 2000; </w:t>
      </w:r>
      <w:proofErr w:type="spellStart"/>
      <w:r w:rsidR="00D55460" w:rsidRPr="002C5DE1">
        <w:rPr>
          <w:rFonts w:ascii="Times New Roman" w:hAnsi="Times New Roman" w:cs="Times New Roman"/>
          <w:color w:val="000000" w:themeColor="text1"/>
          <w:sz w:val="24"/>
          <w:szCs w:val="24"/>
          <w:shd w:val="clear" w:color="auto" w:fill="FFFFFF"/>
          <w:lang w:val="en-US"/>
        </w:rPr>
        <w:t>Iacoviello</w:t>
      </w:r>
      <w:proofErr w:type="spellEnd"/>
      <w:r w:rsidR="00D55460" w:rsidRPr="002C5DE1">
        <w:rPr>
          <w:rFonts w:ascii="Times New Roman" w:hAnsi="Times New Roman" w:cs="Times New Roman"/>
          <w:color w:val="000000" w:themeColor="text1"/>
          <w:sz w:val="24"/>
          <w:szCs w:val="24"/>
          <w:shd w:val="clear" w:color="auto" w:fill="FFFFFF"/>
          <w:lang w:val="en-US"/>
        </w:rPr>
        <w:t>, 2011</w:t>
      </w:r>
      <w:r w:rsidR="000A4BC2" w:rsidRPr="002C5DE1">
        <w:rPr>
          <w:rFonts w:ascii="Times New Roman" w:hAnsi="Times New Roman" w:cs="Times New Roman"/>
          <w:color w:val="000000" w:themeColor="text1"/>
          <w:sz w:val="24"/>
          <w:szCs w:val="24"/>
          <w:shd w:val="clear" w:color="auto" w:fill="FFFFFF"/>
          <w:lang w:val="en-US"/>
        </w:rPr>
        <w:t xml:space="preserve">; </w:t>
      </w:r>
      <w:proofErr w:type="spellStart"/>
      <w:r w:rsidR="000A4BC2" w:rsidRPr="002C5DE1">
        <w:rPr>
          <w:rFonts w:ascii="Times New Roman" w:hAnsi="Times New Roman" w:cs="Times New Roman"/>
          <w:color w:val="000000" w:themeColor="text1"/>
          <w:sz w:val="24"/>
          <w:szCs w:val="24"/>
          <w:lang w:val="en-US"/>
        </w:rPr>
        <w:t>Šonje</w:t>
      </w:r>
      <w:proofErr w:type="spellEnd"/>
      <w:r w:rsidR="000A4BC2" w:rsidRPr="002C5DE1">
        <w:rPr>
          <w:rFonts w:ascii="Times New Roman" w:hAnsi="Times New Roman" w:cs="Times New Roman"/>
          <w:color w:val="000000" w:themeColor="text1"/>
          <w:sz w:val="24"/>
          <w:szCs w:val="24"/>
          <w:lang w:val="en-US"/>
        </w:rPr>
        <w:t xml:space="preserve"> et al., 2014)</w:t>
      </w:r>
      <w:r w:rsidR="00D57F31" w:rsidRPr="002C5DE1">
        <w:rPr>
          <w:rFonts w:ascii="Times New Roman" w:hAnsi="Times New Roman" w:cs="Times New Roman"/>
          <w:color w:val="000000" w:themeColor="text1"/>
          <w:sz w:val="24"/>
          <w:szCs w:val="24"/>
          <w:lang w:val="en-US"/>
        </w:rPr>
        <w:t>.</w:t>
      </w:r>
      <w:r w:rsidR="00924638" w:rsidRPr="002C5DE1">
        <w:rPr>
          <w:rFonts w:ascii="Times New Roman" w:hAnsi="Times New Roman" w:cs="Times New Roman"/>
          <w:color w:val="000000" w:themeColor="text1"/>
          <w:sz w:val="24"/>
          <w:szCs w:val="24"/>
          <w:lang w:val="en-US"/>
        </w:rPr>
        <w:t xml:space="preserve"> </w:t>
      </w:r>
    </w:p>
    <w:p w14:paraId="0A24D652" w14:textId="77777777" w:rsidR="00E455AD" w:rsidRPr="002C5DE1" w:rsidRDefault="00923AF7" w:rsidP="008E588C">
      <w:pPr>
        <w:spacing w:before="120" w:after="120" w:line="276" w:lineRule="auto"/>
        <w:ind w:firstLine="357"/>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 xml:space="preserve">A rich prior literature generally estimates </w:t>
      </w:r>
      <w:r w:rsidR="00826F90" w:rsidRPr="002C5DE1">
        <w:rPr>
          <w:rFonts w:ascii="Times New Roman" w:hAnsi="Times New Roman" w:cs="Times New Roman"/>
          <w:color w:val="000000" w:themeColor="text1"/>
          <w:sz w:val="24"/>
          <w:szCs w:val="24"/>
          <w:lang w:val="en-US"/>
        </w:rPr>
        <w:t>the positive linkage between housing</w:t>
      </w:r>
      <w:r w:rsidR="00A272D6" w:rsidRPr="002C5DE1">
        <w:rPr>
          <w:rFonts w:ascii="Times New Roman" w:hAnsi="Times New Roman" w:cs="Times New Roman"/>
          <w:color w:val="000000" w:themeColor="text1"/>
          <w:sz w:val="24"/>
          <w:szCs w:val="24"/>
          <w:lang w:val="en-US"/>
        </w:rPr>
        <w:t>/</w:t>
      </w:r>
      <w:r w:rsidR="00C9197F" w:rsidRPr="002C5DE1">
        <w:rPr>
          <w:rFonts w:ascii="Times New Roman" w:hAnsi="Times New Roman" w:cs="Times New Roman"/>
          <w:color w:val="000000" w:themeColor="text1"/>
          <w:sz w:val="24"/>
          <w:szCs w:val="24"/>
          <w:lang w:val="en-US"/>
        </w:rPr>
        <w:t>financial wealth</w:t>
      </w:r>
      <w:r w:rsidR="00A272D6" w:rsidRPr="002C5DE1">
        <w:rPr>
          <w:rFonts w:ascii="Times New Roman" w:hAnsi="Times New Roman" w:cs="Times New Roman"/>
          <w:color w:val="000000" w:themeColor="text1"/>
          <w:sz w:val="24"/>
          <w:szCs w:val="24"/>
          <w:lang w:val="en-US"/>
        </w:rPr>
        <w:t>, income and consumption.</w:t>
      </w:r>
      <w:r w:rsidR="00826F90" w:rsidRPr="002C5DE1">
        <w:rPr>
          <w:rFonts w:ascii="Times New Roman" w:hAnsi="Times New Roman" w:cs="Times New Roman"/>
          <w:color w:val="000000" w:themeColor="text1"/>
          <w:sz w:val="24"/>
          <w:szCs w:val="24"/>
          <w:lang w:val="en-US"/>
        </w:rPr>
        <w:t xml:space="preserve"> </w:t>
      </w:r>
      <w:r w:rsidR="00A272D6" w:rsidRPr="002C5DE1">
        <w:rPr>
          <w:rFonts w:ascii="Times New Roman" w:hAnsi="Times New Roman" w:cs="Times New Roman"/>
          <w:color w:val="000000" w:themeColor="text1"/>
          <w:sz w:val="24"/>
          <w:szCs w:val="24"/>
          <w:lang w:val="en-US"/>
        </w:rPr>
        <w:t xml:space="preserve">However, </w:t>
      </w:r>
      <w:r w:rsidR="00924638" w:rsidRPr="002C5DE1">
        <w:rPr>
          <w:rFonts w:ascii="Times New Roman" w:hAnsi="Times New Roman" w:cs="Times New Roman"/>
          <w:color w:val="000000" w:themeColor="text1"/>
          <w:sz w:val="24"/>
          <w:szCs w:val="24"/>
          <w:lang w:val="en-US"/>
        </w:rPr>
        <w:t xml:space="preserve">the </w:t>
      </w:r>
      <w:r w:rsidR="00826F90" w:rsidRPr="002C5DE1">
        <w:rPr>
          <w:rFonts w:ascii="Times New Roman" w:hAnsi="Times New Roman" w:cs="Times New Roman"/>
          <w:color w:val="000000" w:themeColor="text1"/>
          <w:sz w:val="24"/>
          <w:szCs w:val="24"/>
          <w:lang w:val="en-US"/>
        </w:rPr>
        <w:t>existing empirical literature does not provide a</w:t>
      </w:r>
      <w:r w:rsidR="00924638" w:rsidRPr="002C5DE1">
        <w:rPr>
          <w:rFonts w:ascii="Times New Roman" w:hAnsi="Times New Roman" w:cs="Times New Roman"/>
          <w:color w:val="000000" w:themeColor="text1"/>
          <w:sz w:val="24"/>
          <w:szCs w:val="24"/>
          <w:lang w:val="en-US"/>
        </w:rPr>
        <w:t xml:space="preserve"> clear</w:t>
      </w:r>
      <w:r w:rsidR="00826F90" w:rsidRPr="002C5DE1">
        <w:rPr>
          <w:rFonts w:ascii="Times New Roman" w:hAnsi="Times New Roman" w:cs="Times New Roman"/>
          <w:color w:val="000000" w:themeColor="text1"/>
          <w:sz w:val="24"/>
          <w:szCs w:val="24"/>
          <w:lang w:val="en-US"/>
        </w:rPr>
        <w:t xml:space="preserve"> answer</w:t>
      </w:r>
      <w:r w:rsidR="00A272D6" w:rsidRPr="002C5DE1">
        <w:rPr>
          <w:rFonts w:ascii="Times New Roman" w:hAnsi="Times New Roman" w:cs="Times New Roman"/>
          <w:color w:val="000000" w:themeColor="text1"/>
          <w:sz w:val="24"/>
          <w:szCs w:val="24"/>
          <w:lang w:val="en-US"/>
        </w:rPr>
        <w:t xml:space="preserve"> on the variations in the magnitude of both wealth effects during different stages of the economies</w:t>
      </w:r>
      <w:r w:rsidR="00924638" w:rsidRPr="002C5DE1">
        <w:rPr>
          <w:rFonts w:ascii="Times New Roman" w:hAnsi="Times New Roman" w:cs="Times New Roman"/>
          <w:color w:val="000000" w:themeColor="text1"/>
          <w:sz w:val="24"/>
          <w:szCs w:val="24"/>
          <w:lang w:val="en-US"/>
        </w:rPr>
        <w:t>,</w:t>
      </w:r>
      <w:r w:rsidR="00A272D6" w:rsidRPr="002C5DE1">
        <w:rPr>
          <w:rFonts w:ascii="Times New Roman" w:hAnsi="Times New Roman" w:cs="Times New Roman"/>
          <w:color w:val="000000" w:themeColor="text1"/>
          <w:sz w:val="24"/>
          <w:szCs w:val="24"/>
          <w:lang w:val="en-US"/>
        </w:rPr>
        <w:t xml:space="preserve"> </w:t>
      </w:r>
      <w:r w:rsidR="003A4039" w:rsidRPr="002C5DE1">
        <w:rPr>
          <w:rFonts w:ascii="Times New Roman" w:hAnsi="Times New Roman" w:cs="Times New Roman"/>
          <w:color w:val="000000" w:themeColor="text1"/>
          <w:sz w:val="24"/>
          <w:szCs w:val="24"/>
          <w:lang w:val="en-US"/>
        </w:rPr>
        <w:t xml:space="preserve">such as </w:t>
      </w:r>
      <w:r w:rsidR="00924638" w:rsidRPr="002C5DE1">
        <w:rPr>
          <w:rFonts w:ascii="Times New Roman" w:hAnsi="Times New Roman" w:cs="Times New Roman"/>
          <w:color w:val="000000" w:themeColor="text1"/>
          <w:sz w:val="24"/>
          <w:szCs w:val="24"/>
          <w:lang w:val="en-US"/>
        </w:rPr>
        <w:t xml:space="preserve">the </w:t>
      </w:r>
      <w:r w:rsidR="003A4039" w:rsidRPr="002C5DE1">
        <w:rPr>
          <w:rFonts w:ascii="Times New Roman" w:hAnsi="Times New Roman" w:cs="Times New Roman"/>
          <w:color w:val="000000" w:themeColor="text1"/>
          <w:sz w:val="24"/>
          <w:szCs w:val="24"/>
          <w:lang w:val="en-US"/>
        </w:rPr>
        <w:t>pre/post bubble periods</w:t>
      </w:r>
      <w:r w:rsidR="00924638" w:rsidRPr="002C5DE1">
        <w:rPr>
          <w:rFonts w:ascii="Times New Roman" w:hAnsi="Times New Roman" w:cs="Times New Roman"/>
          <w:color w:val="000000" w:themeColor="text1"/>
          <w:sz w:val="24"/>
          <w:szCs w:val="24"/>
          <w:lang w:val="en-US"/>
        </w:rPr>
        <w:t>,</w:t>
      </w:r>
      <w:r w:rsidR="00A272D6" w:rsidRPr="002C5DE1">
        <w:rPr>
          <w:rFonts w:ascii="Times New Roman" w:hAnsi="Times New Roman" w:cs="Times New Roman"/>
          <w:color w:val="000000" w:themeColor="text1"/>
          <w:sz w:val="24"/>
          <w:szCs w:val="24"/>
          <w:lang w:val="en-US"/>
        </w:rPr>
        <w:t xml:space="preserve"> based on specific thresholds.</w:t>
      </w:r>
      <w:r w:rsidR="006D3E0D" w:rsidRPr="002C5DE1">
        <w:rPr>
          <w:rFonts w:ascii="Times New Roman" w:hAnsi="Times New Roman" w:cs="Times New Roman"/>
          <w:color w:val="000000" w:themeColor="text1"/>
          <w:sz w:val="24"/>
          <w:szCs w:val="24"/>
          <w:lang w:val="en-US"/>
        </w:rPr>
        <w:t xml:space="preserve"> </w:t>
      </w:r>
      <w:r w:rsidR="00256729" w:rsidRPr="002C5DE1">
        <w:rPr>
          <w:rFonts w:ascii="Times New Roman" w:hAnsi="Times New Roman" w:cs="Times New Roman"/>
          <w:color w:val="000000" w:themeColor="text1"/>
          <w:sz w:val="24"/>
          <w:szCs w:val="24"/>
          <w:lang w:val="en-US"/>
        </w:rPr>
        <w:t xml:space="preserve">This paper addresses two complimentary sets of questions. </w:t>
      </w:r>
      <w:r w:rsidR="00924638" w:rsidRPr="002C5DE1">
        <w:rPr>
          <w:rFonts w:ascii="Times New Roman" w:hAnsi="Times New Roman" w:cs="Times New Roman"/>
          <w:color w:val="000000" w:themeColor="text1"/>
          <w:sz w:val="24"/>
          <w:szCs w:val="24"/>
          <w:lang w:val="en-US"/>
        </w:rPr>
        <w:t>The f</w:t>
      </w:r>
      <w:r w:rsidR="00256729" w:rsidRPr="002C5DE1">
        <w:rPr>
          <w:rFonts w:ascii="Times New Roman" w:hAnsi="Times New Roman" w:cs="Times New Roman"/>
          <w:color w:val="000000" w:themeColor="text1"/>
          <w:sz w:val="24"/>
          <w:szCs w:val="24"/>
          <w:lang w:val="en-US"/>
        </w:rPr>
        <w:t xml:space="preserve">irst </w:t>
      </w:r>
      <w:r w:rsidR="008005A1" w:rsidRPr="002C5DE1">
        <w:rPr>
          <w:rFonts w:ascii="Times New Roman" w:hAnsi="Times New Roman" w:cs="Times New Roman"/>
          <w:color w:val="000000" w:themeColor="text1"/>
          <w:sz w:val="24"/>
          <w:szCs w:val="24"/>
          <w:lang w:val="en-US"/>
        </w:rPr>
        <w:t xml:space="preserve">set of questions </w:t>
      </w:r>
      <w:r w:rsidR="00256729" w:rsidRPr="002C5DE1">
        <w:rPr>
          <w:rFonts w:ascii="Times New Roman" w:hAnsi="Times New Roman" w:cs="Times New Roman"/>
          <w:color w:val="000000" w:themeColor="text1"/>
          <w:sz w:val="24"/>
          <w:szCs w:val="24"/>
          <w:lang w:val="en-US"/>
        </w:rPr>
        <w:t>concerns</w:t>
      </w:r>
      <w:r w:rsidR="00603871" w:rsidRPr="002C5DE1">
        <w:rPr>
          <w:rFonts w:ascii="Times New Roman" w:hAnsi="Times New Roman" w:cs="Times New Roman"/>
          <w:color w:val="000000" w:themeColor="text1"/>
          <w:sz w:val="24"/>
          <w:szCs w:val="24"/>
          <w:lang w:val="en-US"/>
        </w:rPr>
        <w:t xml:space="preserve"> </w:t>
      </w:r>
      <w:r w:rsidR="00924638" w:rsidRPr="002C5DE1">
        <w:rPr>
          <w:rFonts w:ascii="Times New Roman" w:hAnsi="Times New Roman" w:cs="Times New Roman"/>
          <w:color w:val="000000" w:themeColor="text1"/>
          <w:sz w:val="24"/>
          <w:szCs w:val="24"/>
          <w:lang w:val="en-US"/>
        </w:rPr>
        <w:t xml:space="preserve">with </w:t>
      </w:r>
      <w:r w:rsidR="008005A1" w:rsidRPr="002C5DE1">
        <w:rPr>
          <w:rFonts w:ascii="Times New Roman" w:hAnsi="Times New Roman" w:cs="Times New Roman"/>
          <w:color w:val="000000" w:themeColor="text1"/>
          <w:sz w:val="24"/>
          <w:szCs w:val="24"/>
          <w:lang w:val="en-US"/>
        </w:rPr>
        <w:t xml:space="preserve">the series of interrelated field classical and innovative research </w:t>
      </w:r>
      <w:r w:rsidR="00380D7F" w:rsidRPr="002C5DE1">
        <w:rPr>
          <w:rFonts w:ascii="Times New Roman" w:hAnsi="Times New Roman" w:cs="Times New Roman"/>
          <w:color w:val="000000" w:themeColor="text1"/>
          <w:sz w:val="24"/>
          <w:szCs w:val="24"/>
          <w:lang w:val="en-US"/>
        </w:rPr>
        <w:t>questions;</w:t>
      </w:r>
      <w:r w:rsidR="008005A1" w:rsidRPr="002C5DE1">
        <w:rPr>
          <w:rFonts w:ascii="Times New Roman" w:hAnsi="Times New Roman" w:cs="Times New Roman"/>
          <w:color w:val="000000" w:themeColor="text1"/>
          <w:sz w:val="24"/>
          <w:szCs w:val="24"/>
          <w:lang w:val="en-US"/>
        </w:rPr>
        <w:t xml:space="preserve"> such as d</w:t>
      </w:r>
      <w:r w:rsidR="00603871" w:rsidRPr="002C5DE1">
        <w:rPr>
          <w:rFonts w:ascii="Times New Roman" w:hAnsi="Times New Roman" w:cs="Times New Roman"/>
          <w:color w:val="000000" w:themeColor="text1"/>
          <w:sz w:val="24"/>
          <w:szCs w:val="24"/>
          <w:lang w:val="en-US"/>
        </w:rPr>
        <w:t xml:space="preserve">oes </w:t>
      </w:r>
      <w:r w:rsidR="00924638" w:rsidRPr="002C5DE1">
        <w:rPr>
          <w:rFonts w:ascii="Times New Roman" w:hAnsi="Times New Roman" w:cs="Times New Roman"/>
          <w:color w:val="000000" w:themeColor="text1"/>
          <w:sz w:val="24"/>
          <w:szCs w:val="24"/>
          <w:lang w:val="en-US"/>
        </w:rPr>
        <w:t xml:space="preserve">the </w:t>
      </w:r>
      <w:r w:rsidR="00603871" w:rsidRPr="002C5DE1">
        <w:rPr>
          <w:rFonts w:ascii="Times New Roman" w:hAnsi="Times New Roman" w:cs="Times New Roman"/>
          <w:color w:val="000000" w:themeColor="text1"/>
          <w:sz w:val="24"/>
          <w:szCs w:val="24"/>
          <w:lang w:val="en-US"/>
        </w:rPr>
        <w:t>housing</w:t>
      </w:r>
      <w:r w:rsidR="008005A1" w:rsidRPr="002C5DE1">
        <w:rPr>
          <w:rFonts w:ascii="Times New Roman" w:hAnsi="Times New Roman" w:cs="Times New Roman"/>
          <w:color w:val="000000" w:themeColor="text1"/>
          <w:sz w:val="24"/>
          <w:szCs w:val="24"/>
          <w:lang w:val="en-US"/>
        </w:rPr>
        <w:t xml:space="preserve"> </w:t>
      </w:r>
      <w:r w:rsidR="00603871" w:rsidRPr="002C5DE1">
        <w:rPr>
          <w:rFonts w:ascii="Times New Roman" w:hAnsi="Times New Roman" w:cs="Times New Roman"/>
          <w:color w:val="000000" w:themeColor="text1"/>
          <w:sz w:val="24"/>
          <w:szCs w:val="24"/>
          <w:lang w:val="en-US"/>
        </w:rPr>
        <w:t xml:space="preserve">wealth effect is more </w:t>
      </w:r>
      <w:r w:rsidR="00924638" w:rsidRPr="002C5DE1">
        <w:rPr>
          <w:rFonts w:ascii="Times New Roman" w:hAnsi="Times New Roman" w:cs="Times New Roman"/>
          <w:color w:val="000000" w:themeColor="text1"/>
          <w:sz w:val="24"/>
          <w:szCs w:val="24"/>
          <w:lang w:val="en-US"/>
        </w:rPr>
        <w:t>prominent</w:t>
      </w:r>
      <w:r w:rsidR="00603871" w:rsidRPr="002C5DE1">
        <w:rPr>
          <w:rFonts w:ascii="Times New Roman" w:hAnsi="Times New Roman" w:cs="Times New Roman"/>
          <w:color w:val="000000" w:themeColor="text1"/>
          <w:sz w:val="24"/>
          <w:szCs w:val="24"/>
          <w:lang w:val="en-US"/>
        </w:rPr>
        <w:t xml:space="preserve"> than the stock market </w:t>
      </w:r>
      <w:r w:rsidR="00394B14" w:rsidRPr="002C5DE1">
        <w:rPr>
          <w:rFonts w:ascii="Times New Roman" w:hAnsi="Times New Roman" w:cs="Times New Roman"/>
          <w:color w:val="000000" w:themeColor="text1"/>
          <w:sz w:val="24"/>
          <w:szCs w:val="24"/>
          <w:lang w:val="en-US"/>
        </w:rPr>
        <w:t>wealth effect? How wealth</w:t>
      </w:r>
      <w:r w:rsidR="00603871" w:rsidRPr="002C5DE1">
        <w:rPr>
          <w:rFonts w:ascii="Times New Roman" w:hAnsi="Times New Roman" w:cs="Times New Roman"/>
          <w:color w:val="000000" w:themeColor="text1"/>
          <w:sz w:val="24"/>
          <w:szCs w:val="24"/>
          <w:lang w:val="en-US"/>
        </w:rPr>
        <w:t>-driven consumption may change depending on the changing magnitudes of hous</w:t>
      </w:r>
      <w:r w:rsidR="008005A1" w:rsidRPr="002C5DE1">
        <w:rPr>
          <w:rFonts w:ascii="Times New Roman" w:hAnsi="Times New Roman" w:cs="Times New Roman"/>
          <w:color w:val="000000" w:themeColor="text1"/>
          <w:sz w:val="24"/>
          <w:szCs w:val="24"/>
          <w:lang w:val="en-US"/>
        </w:rPr>
        <w:t>ing</w:t>
      </w:r>
      <w:r w:rsidR="00603871" w:rsidRPr="002C5DE1">
        <w:rPr>
          <w:rFonts w:ascii="Times New Roman" w:hAnsi="Times New Roman" w:cs="Times New Roman"/>
          <w:color w:val="000000" w:themeColor="text1"/>
          <w:sz w:val="24"/>
          <w:szCs w:val="24"/>
          <w:lang w:val="en-US"/>
        </w:rPr>
        <w:t xml:space="preserve"> and stock </w:t>
      </w:r>
      <w:r w:rsidR="008005A1" w:rsidRPr="002C5DE1">
        <w:rPr>
          <w:rFonts w:ascii="Times New Roman" w:hAnsi="Times New Roman" w:cs="Times New Roman"/>
          <w:color w:val="000000" w:themeColor="text1"/>
          <w:sz w:val="24"/>
          <w:szCs w:val="24"/>
          <w:lang w:val="en-US"/>
        </w:rPr>
        <w:t xml:space="preserve">market </w:t>
      </w:r>
      <w:r w:rsidR="00603871" w:rsidRPr="002C5DE1">
        <w:rPr>
          <w:rFonts w:ascii="Times New Roman" w:hAnsi="Times New Roman" w:cs="Times New Roman"/>
          <w:color w:val="000000" w:themeColor="text1"/>
          <w:sz w:val="24"/>
          <w:szCs w:val="24"/>
          <w:lang w:val="en-US"/>
        </w:rPr>
        <w:t>prices? How, and to what extent, do housing and stock wealth effects show different patterns during pre</w:t>
      </w:r>
      <w:r w:rsidR="00924638" w:rsidRPr="002C5DE1">
        <w:rPr>
          <w:rFonts w:ascii="Times New Roman" w:hAnsi="Times New Roman" w:cs="Times New Roman"/>
          <w:color w:val="000000" w:themeColor="text1"/>
          <w:sz w:val="24"/>
          <w:szCs w:val="24"/>
          <w:lang w:val="en-US"/>
        </w:rPr>
        <w:t>-</w:t>
      </w:r>
      <w:r w:rsidR="008005A1" w:rsidRPr="002C5DE1">
        <w:rPr>
          <w:rFonts w:ascii="Times New Roman" w:hAnsi="Times New Roman" w:cs="Times New Roman"/>
          <w:color w:val="000000" w:themeColor="text1"/>
          <w:sz w:val="24"/>
          <w:szCs w:val="24"/>
          <w:lang w:val="en-US"/>
        </w:rPr>
        <w:t xml:space="preserve"> and </w:t>
      </w:r>
      <w:r w:rsidR="00603871" w:rsidRPr="002C5DE1">
        <w:rPr>
          <w:rFonts w:ascii="Times New Roman" w:hAnsi="Times New Roman" w:cs="Times New Roman"/>
          <w:color w:val="000000" w:themeColor="text1"/>
          <w:sz w:val="24"/>
          <w:szCs w:val="24"/>
          <w:lang w:val="en-US"/>
        </w:rPr>
        <w:t>post</w:t>
      </w:r>
      <w:r w:rsidR="00924638" w:rsidRPr="002C5DE1">
        <w:rPr>
          <w:rFonts w:ascii="Times New Roman" w:hAnsi="Times New Roman" w:cs="Times New Roman"/>
          <w:color w:val="000000" w:themeColor="text1"/>
          <w:sz w:val="24"/>
          <w:szCs w:val="24"/>
          <w:lang w:val="en-US"/>
        </w:rPr>
        <w:t>-</w:t>
      </w:r>
      <w:r w:rsidR="00603871" w:rsidRPr="002C5DE1">
        <w:rPr>
          <w:rFonts w:ascii="Times New Roman" w:hAnsi="Times New Roman" w:cs="Times New Roman"/>
          <w:color w:val="000000" w:themeColor="text1"/>
          <w:sz w:val="24"/>
          <w:szCs w:val="24"/>
          <w:lang w:val="en-US"/>
        </w:rPr>
        <w:t xml:space="preserve">bubble periods? Does </w:t>
      </w:r>
      <w:r w:rsidR="00FA26E5" w:rsidRPr="002C5DE1">
        <w:rPr>
          <w:rFonts w:ascii="Times New Roman" w:hAnsi="Times New Roman" w:cs="Times New Roman"/>
          <w:color w:val="000000" w:themeColor="text1"/>
          <w:sz w:val="24"/>
          <w:szCs w:val="24"/>
          <w:lang w:val="en-US"/>
        </w:rPr>
        <w:t xml:space="preserve">different </w:t>
      </w:r>
      <w:r w:rsidR="00603871" w:rsidRPr="002C5DE1">
        <w:rPr>
          <w:rFonts w:ascii="Times New Roman" w:hAnsi="Times New Roman" w:cs="Times New Roman"/>
          <w:color w:val="000000" w:themeColor="text1"/>
          <w:sz w:val="24"/>
          <w:szCs w:val="24"/>
          <w:lang w:val="en-US"/>
        </w:rPr>
        <w:t>level</w:t>
      </w:r>
      <w:r w:rsidR="00FA26E5" w:rsidRPr="002C5DE1">
        <w:rPr>
          <w:rFonts w:ascii="Times New Roman" w:hAnsi="Times New Roman" w:cs="Times New Roman"/>
          <w:color w:val="000000" w:themeColor="text1"/>
          <w:sz w:val="24"/>
          <w:szCs w:val="24"/>
          <w:lang w:val="en-US"/>
        </w:rPr>
        <w:t>s</w:t>
      </w:r>
      <w:r w:rsidR="00603871" w:rsidRPr="002C5DE1">
        <w:rPr>
          <w:rFonts w:ascii="Times New Roman" w:hAnsi="Times New Roman" w:cs="Times New Roman"/>
          <w:color w:val="000000" w:themeColor="text1"/>
          <w:sz w:val="24"/>
          <w:szCs w:val="24"/>
          <w:lang w:val="en-US"/>
        </w:rPr>
        <w:t xml:space="preserve"> </w:t>
      </w:r>
      <w:r w:rsidR="00FA26E5" w:rsidRPr="002C5DE1">
        <w:rPr>
          <w:rFonts w:ascii="Times New Roman" w:hAnsi="Times New Roman" w:cs="Times New Roman"/>
          <w:color w:val="000000" w:themeColor="text1"/>
          <w:sz w:val="24"/>
          <w:szCs w:val="24"/>
          <w:lang w:val="en-US"/>
        </w:rPr>
        <w:t xml:space="preserve">in financial development and </w:t>
      </w:r>
      <w:r w:rsidR="00FA26E5" w:rsidRPr="002C5DE1">
        <w:rPr>
          <w:rFonts w:ascii="Times New Roman" w:hAnsi="Times New Roman" w:cs="Times New Roman"/>
          <w:color w:val="000000" w:themeColor="text1"/>
          <w:sz w:val="24"/>
          <w:szCs w:val="24"/>
          <w:lang w:val="en-US"/>
        </w:rPr>
        <w:lastRenderedPageBreak/>
        <w:t xml:space="preserve">housing affordability matter for the </w:t>
      </w:r>
      <w:r w:rsidRPr="002C5DE1">
        <w:rPr>
          <w:rFonts w:ascii="Times New Roman" w:hAnsi="Times New Roman" w:cs="Times New Roman"/>
          <w:color w:val="000000" w:themeColor="text1"/>
          <w:sz w:val="24"/>
          <w:szCs w:val="24"/>
          <w:lang w:val="en-US"/>
        </w:rPr>
        <w:t xml:space="preserve">wealth transmission channels? The second set of questions </w:t>
      </w:r>
      <w:r w:rsidR="00325E0C">
        <w:rPr>
          <w:rFonts w:ascii="Times New Roman" w:hAnsi="Times New Roman" w:cs="Times New Roman"/>
          <w:color w:val="000000" w:themeColor="text1"/>
          <w:sz w:val="24"/>
          <w:szCs w:val="24"/>
          <w:lang w:val="en-US"/>
        </w:rPr>
        <w:t>concern</w:t>
      </w:r>
      <w:r w:rsidRPr="002C5DE1">
        <w:rPr>
          <w:rFonts w:ascii="Times New Roman" w:hAnsi="Times New Roman" w:cs="Times New Roman"/>
          <w:color w:val="000000" w:themeColor="text1"/>
          <w:sz w:val="24"/>
          <w:szCs w:val="24"/>
          <w:lang w:val="en-US"/>
        </w:rPr>
        <w:t xml:space="preserve"> the attempts to measure the relation between </w:t>
      </w:r>
      <w:r w:rsidR="00924638" w:rsidRPr="002C5DE1">
        <w:rPr>
          <w:rFonts w:ascii="Times New Roman" w:hAnsi="Times New Roman" w:cs="Times New Roman"/>
          <w:color w:val="000000" w:themeColor="text1"/>
          <w:sz w:val="24"/>
          <w:szCs w:val="24"/>
          <w:lang w:val="en-US"/>
        </w:rPr>
        <w:t xml:space="preserve">the </w:t>
      </w:r>
      <w:r w:rsidRPr="002C5DE1">
        <w:rPr>
          <w:rFonts w:ascii="Times New Roman" w:hAnsi="Times New Roman" w:cs="Times New Roman"/>
          <w:color w:val="000000" w:themeColor="text1"/>
          <w:sz w:val="24"/>
          <w:szCs w:val="24"/>
          <w:lang w:val="en-US"/>
        </w:rPr>
        <w:t xml:space="preserve">wealth effect and </w:t>
      </w:r>
      <w:r w:rsidR="00924638" w:rsidRPr="002C5DE1">
        <w:rPr>
          <w:rFonts w:ascii="Times New Roman" w:hAnsi="Times New Roman" w:cs="Times New Roman"/>
          <w:color w:val="000000" w:themeColor="text1"/>
          <w:sz w:val="24"/>
          <w:szCs w:val="24"/>
          <w:lang w:val="en-US"/>
        </w:rPr>
        <w:t xml:space="preserve">the </w:t>
      </w:r>
      <w:r w:rsidRPr="002C5DE1">
        <w:rPr>
          <w:rFonts w:ascii="Times New Roman" w:hAnsi="Times New Roman" w:cs="Times New Roman"/>
          <w:color w:val="000000" w:themeColor="text1"/>
          <w:sz w:val="24"/>
          <w:szCs w:val="24"/>
          <w:lang w:val="en-US"/>
        </w:rPr>
        <w:t xml:space="preserve">formation of bubbles. </w:t>
      </w:r>
      <w:r w:rsidR="00924638" w:rsidRPr="002C5DE1">
        <w:rPr>
          <w:rFonts w:ascii="Times New Roman" w:hAnsi="Times New Roman" w:cs="Times New Roman"/>
          <w:color w:val="000000" w:themeColor="text1"/>
          <w:sz w:val="24"/>
          <w:szCs w:val="24"/>
          <w:lang w:val="en-US"/>
        </w:rPr>
        <w:t>Hence</w:t>
      </w:r>
      <w:r w:rsidR="0052714F" w:rsidRPr="002C5DE1">
        <w:rPr>
          <w:rFonts w:ascii="Times New Roman" w:hAnsi="Times New Roman" w:cs="Times New Roman"/>
          <w:color w:val="000000" w:themeColor="text1"/>
          <w:sz w:val="24"/>
          <w:szCs w:val="24"/>
          <w:lang w:val="en-US"/>
        </w:rPr>
        <w:t xml:space="preserve">, </w:t>
      </w:r>
      <w:r w:rsidRPr="002C5DE1">
        <w:rPr>
          <w:rFonts w:ascii="Times New Roman" w:hAnsi="Times New Roman" w:cs="Times New Roman"/>
          <w:color w:val="000000" w:themeColor="text1"/>
          <w:sz w:val="24"/>
          <w:szCs w:val="24"/>
          <w:lang w:val="en-US"/>
        </w:rPr>
        <w:t xml:space="preserve">this paper </w:t>
      </w:r>
      <w:r w:rsidR="008005A1" w:rsidRPr="002C5DE1">
        <w:rPr>
          <w:rFonts w:ascii="Times New Roman" w:hAnsi="Times New Roman" w:cs="Times New Roman"/>
          <w:color w:val="000000" w:themeColor="text1"/>
          <w:sz w:val="24"/>
          <w:szCs w:val="24"/>
          <w:lang w:val="en-US"/>
        </w:rPr>
        <w:t xml:space="preserve">furtherly </w:t>
      </w:r>
      <w:r w:rsidRPr="002C5DE1">
        <w:rPr>
          <w:rFonts w:ascii="Times New Roman" w:hAnsi="Times New Roman" w:cs="Times New Roman"/>
          <w:color w:val="000000" w:themeColor="text1"/>
          <w:sz w:val="24"/>
          <w:szCs w:val="24"/>
          <w:lang w:val="en-US"/>
        </w:rPr>
        <w:t xml:space="preserve">asks </w:t>
      </w:r>
      <w:r w:rsidR="001C6587" w:rsidRPr="002C5DE1">
        <w:rPr>
          <w:rFonts w:ascii="Times New Roman" w:hAnsi="Times New Roman" w:cs="Times New Roman"/>
          <w:color w:val="000000" w:themeColor="text1"/>
          <w:sz w:val="24"/>
          <w:szCs w:val="24"/>
          <w:lang w:val="en-US"/>
        </w:rPr>
        <w:t xml:space="preserve">whether </w:t>
      </w:r>
      <w:r w:rsidRPr="002C5DE1">
        <w:rPr>
          <w:rFonts w:ascii="Times New Roman" w:hAnsi="Times New Roman" w:cs="Times New Roman"/>
          <w:color w:val="000000" w:themeColor="text1"/>
          <w:sz w:val="24"/>
          <w:szCs w:val="24"/>
          <w:lang w:val="en-US"/>
        </w:rPr>
        <w:t xml:space="preserve">changing </w:t>
      </w:r>
      <w:r w:rsidR="001C6587" w:rsidRPr="002C5DE1">
        <w:rPr>
          <w:rFonts w:ascii="Times New Roman" w:hAnsi="Times New Roman" w:cs="Times New Roman"/>
          <w:color w:val="000000" w:themeColor="text1"/>
          <w:sz w:val="24"/>
          <w:szCs w:val="24"/>
          <w:lang w:val="en-US"/>
        </w:rPr>
        <w:t xml:space="preserve">patterns </w:t>
      </w:r>
      <w:r w:rsidRPr="002C5DE1">
        <w:rPr>
          <w:rFonts w:ascii="Times New Roman" w:hAnsi="Times New Roman" w:cs="Times New Roman"/>
          <w:color w:val="000000" w:themeColor="text1"/>
          <w:sz w:val="24"/>
          <w:szCs w:val="24"/>
          <w:lang w:val="en-US"/>
        </w:rPr>
        <w:t xml:space="preserve">in wealth effects </w:t>
      </w:r>
      <w:r w:rsidR="008005A1" w:rsidRPr="002C5DE1">
        <w:rPr>
          <w:rFonts w:ascii="Times New Roman" w:hAnsi="Times New Roman" w:cs="Times New Roman"/>
          <w:color w:val="000000" w:themeColor="text1"/>
          <w:sz w:val="24"/>
          <w:szCs w:val="24"/>
          <w:lang w:val="en-US"/>
        </w:rPr>
        <w:t xml:space="preserve">during bubble periods </w:t>
      </w:r>
      <w:r w:rsidR="001C6587" w:rsidRPr="002C5DE1">
        <w:rPr>
          <w:rFonts w:ascii="Times New Roman" w:hAnsi="Times New Roman" w:cs="Times New Roman"/>
          <w:color w:val="000000" w:themeColor="text1"/>
          <w:sz w:val="24"/>
          <w:szCs w:val="24"/>
          <w:lang w:val="en-US"/>
        </w:rPr>
        <w:t>have specific impacts o</w:t>
      </w:r>
      <w:r w:rsidR="00924638" w:rsidRPr="002C5DE1">
        <w:rPr>
          <w:rFonts w:ascii="Times New Roman" w:hAnsi="Times New Roman" w:cs="Times New Roman"/>
          <w:color w:val="000000" w:themeColor="text1"/>
          <w:sz w:val="24"/>
          <w:szCs w:val="24"/>
          <w:lang w:val="en-US"/>
        </w:rPr>
        <w:t>n</w:t>
      </w:r>
      <w:r w:rsidR="001C6587" w:rsidRPr="002C5DE1">
        <w:rPr>
          <w:rFonts w:ascii="Times New Roman" w:hAnsi="Times New Roman" w:cs="Times New Roman"/>
          <w:color w:val="000000" w:themeColor="text1"/>
          <w:sz w:val="24"/>
          <w:szCs w:val="24"/>
          <w:lang w:val="en-US"/>
        </w:rPr>
        <w:t xml:space="preserve"> </w:t>
      </w:r>
      <w:r w:rsidR="00DA73A9" w:rsidRPr="002C5DE1">
        <w:rPr>
          <w:rFonts w:ascii="Times New Roman" w:hAnsi="Times New Roman" w:cs="Times New Roman"/>
          <w:color w:val="000000" w:themeColor="text1"/>
          <w:sz w:val="24"/>
          <w:szCs w:val="24"/>
          <w:lang w:val="en-US"/>
        </w:rPr>
        <w:t>household</w:t>
      </w:r>
      <w:r w:rsidR="00924638" w:rsidRPr="002C5DE1">
        <w:rPr>
          <w:rFonts w:ascii="Times New Roman" w:hAnsi="Times New Roman" w:cs="Times New Roman"/>
          <w:color w:val="000000" w:themeColor="text1"/>
          <w:sz w:val="24"/>
          <w:szCs w:val="24"/>
          <w:lang w:val="en-US"/>
        </w:rPr>
        <w:t>’s</w:t>
      </w:r>
      <w:r w:rsidR="00DA73A9" w:rsidRPr="002C5DE1">
        <w:rPr>
          <w:rFonts w:ascii="Times New Roman" w:hAnsi="Times New Roman" w:cs="Times New Roman"/>
          <w:color w:val="000000" w:themeColor="text1"/>
          <w:sz w:val="24"/>
          <w:szCs w:val="24"/>
          <w:lang w:val="en-US"/>
        </w:rPr>
        <w:t xml:space="preserve"> consumption and eventually </w:t>
      </w:r>
      <w:r w:rsidR="00924638" w:rsidRPr="002C5DE1">
        <w:rPr>
          <w:rFonts w:ascii="Times New Roman" w:hAnsi="Times New Roman" w:cs="Times New Roman"/>
          <w:color w:val="000000" w:themeColor="text1"/>
          <w:sz w:val="24"/>
          <w:szCs w:val="24"/>
          <w:lang w:val="en-US"/>
        </w:rPr>
        <w:t xml:space="preserve">on </w:t>
      </w:r>
      <w:r w:rsidR="001C6587" w:rsidRPr="002C5DE1">
        <w:rPr>
          <w:rFonts w:ascii="Times New Roman" w:hAnsi="Times New Roman" w:cs="Times New Roman"/>
          <w:color w:val="000000" w:themeColor="text1"/>
          <w:sz w:val="24"/>
          <w:szCs w:val="24"/>
          <w:lang w:val="en-US"/>
        </w:rPr>
        <w:t>bubble formation?</w:t>
      </w:r>
      <w:r w:rsidR="00DA73A9" w:rsidRPr="002C5DE1">
        <w:rPr>
          <w:rFonts w:ascii="Times New Roman" w:hAnsi="Times New Roman" w:cs="Times New Roman"/>
          <w:color w:val="000000" w:themeColor="text1"/>
          <w:sz w:val="24"/>
          <w:szCs w:val="24"/>
          <w:lang w:val="en-US"/>
        </w:rPr>
        <w:t xml:space="preserve"> </w:t>
      </w:r>
      <w:r w:rsidRPr="002C5DE1">
        <w:rPr>
          <w:rFonts w:ascii="Times New Roman" w:hAnsi="Times New Roman" w:cs="Times New Roman"/>
          <w:color w:val="000000" w:themeColor="text1"/>
          <w:sz w:val="24"/>
          <w:szCs w:val="24"/>
          <w:lang w:val="en-US"/>
        </w:rPr>
        <w:t>D</w:t>
      </w:r>
      <w:r w:rsidR="0052714F" w:rsidRPr="002C5DE1">
        <w:rPr>
          <w:rFonts w:ascii="Times New Roman" w:hAnsi="Times New Roman" w:cs="Times New Roman"/>
          <w:color w:val="000000" w:themeColor="text1"/>
          <w:sz w:val="24"/>
          <w:szCs w:val="24"/>
          <w:lang w:val="en-US"/>
        </w:rPr>
        <w:t>o</w:t>
      </w:r>
      <w:r w:rsidR="00924638" w:rsidRPr="002C5DE1">
        <w:rPr>
          <w:rFonts w:ascii="Times New Roman" w:hAnsi="Times New Roman" w:cs="Times New Roman"/>
          <w:color w:val="000000" w:themeColor="text1"/>
          <w:sz w:val="24"/>
          <w:szCs w:val="24"/>
          <w:lang w:val="en-US"/>
        </w:rPr>
        <w:t>es</w:t>
      </w:r>
      <w:r w:rsidRPr="002C5DE1">
        <w:rPr>
          <w:rFonts w:ascii="Times New Roman" w:hAnsi="Times New Roman" w:cs="Times New Roman"/>
          <w:color w:val="000000" w:themeColor="text1"/>
          <w:sz w:val="24"/>
          <w:szCs w:val="24"/>
          <w:lang w:val="en-US"/>
        </w:rPr>
        <w:t xml:space="preserve"> the level of financial development and housing affordability </w:t>
      </w:r>
      <w:r w:rsidR="0052714F" w:rsidRPr="002C5DE1">
        <w:rPr>
          <w:rFonts w:ascii="Times New Roman" w:hAnsi="Times New Roman" w:cs="Times New Roman"/>
          <w:color w:val="000000" w:themeColor="text1"/>
          <w:sz w:val="24"/>
          <w:szCs w:val="24"/>
          <w:lang w:val="en-US"/>
        </w:rPr>
        <w:t>would</w:t>
      </w:r>
      <w:r w:rsidRPr="002C5DE1">
        <w:rPr>
          <w:rFonts w:ascii="Times New Roman" w:hAnsi="Times New Roman" w:cs="Times New Roman"/>
          <w:color w:val="000000" w:themeColor="text1"/>
          <w:sz w:val="24"/>
          <w:szCs w:val="24"/>
          <w:lang w:val="en-US"/>
        </w:rPr>
        <w:t xml:space="preserve"> </w:t>
      </w:r>
      <w:r w:rsidR="0052714F" w:rsidRPr="002C5DE1">
        <w:rPr>
          <w:rFonts w:ascii="Times New Roman" w:hAnsi="Times New Roman" w:cs="Times New Roman"/>
          <w:color w:val="000000" w:themeColor="text1"/>
          <w:sz w:val="24"/>
          <w:szCs w:val="24"/>
          <w:lang w:val="en-US"/>
        </w:rPr>
        <w:t>contribute</w:t>
      </w:r>
      <w:r w:rsidRPr="002C5DE1">
        <w:rPr>
          <w:rFonts w:ascii="Times New Roman" w:hAnsi="Times New Roman" w:cs="Times New Roman"/>
          <w:color w:val="000000" w:themeColor="text1"/>
          <w:sz w:val="24"/>
          <w:szCs w:val="24"/>
          <w:lang w:val="en-US"/>
        </w:rPr>
        <w:t xml:space="preserve"> </w:t>
      </w:r>
      <w:r w:rsidR="00924638" w:rsidRPr="002C5DE1">
        <w:rPr>
          <w:rFonts w:ascii="Times New Roman" w:hAnsi="Times New Roman" w:cs="Times New Roman"/>
          <w:color w:val="000000" w:themeColor="text1"/>
          <w:sz w:val="24"/>
          <w:szCs w:val="24"/>
          <w:lang w:val="en-US"/>
        </w:rPr>
        <w:t xml:space="preserve">to the </w:t>
      </w:r>
      <w:r w:rsidRPr="002C5DE1">
        <w:rPr>
          <w:rFonts w:ascii="Times New Roman" w:hAnsi="Times New Roman" w:cs="Times New Roman"/>
          <w:color w:val="000000" w:themeColor="text1"/>
          <w:sz w:val="24"/>
          <w:szCs w:val="24"/>
          <w:lang w:val="en-US"/>
        </w:rPr>
        <w:t>wealth tran</w:t>
      </w:r>
      <w:r w:rsidR="00700218">
        <w:rPr>
          <w:rFonts w:ascii="Times New Roman" w:hAnsi="Times New Roman" w:cs="Times New Roman"/>
          <w:color w:val="000000" w:themeColor="text1"/>
          <w:sz w:val="24"/>
          <w:szCs w:val="24"/>
          <w:lang w:val="en-US"/>
        </w:rPr>
        <w:t>s</w:t>
      </w:r>
      <w:r w:rsidRPr="002C5DE1">
        <w:rPr>
          <w:rFonts w:ascii="Times New Roman" w:hAnsi="Times New Roman" w:cs="Times New Roman"/>
          <w:color w:val="000000" w:themeColor="text1"/>
          <w:sz w:val="24"/>
          <w:szCs w:val="24"/>
          <w:lang w:val="en-US"/>
        </w:rPr>
        <w:t xml:space="preserve">mission channels and bubble formation?   </w:t>
      </w:r>
    </w:p>
    <w:p w14:paraId="423EACF4" w14:textId="77777777" w:rsidR="00F46895" w:rsidRPr="002C5DE1" w:rsidRDefault="007E755E" w:rsidP="008E588C">
      <w:pPr>
        <w:spacing w:after="0" w:line="276" w:lineRule="auto"/>
        <w:ind w:firstLine="357"/>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Th</w:t>
      </w:r>
      <w:r w:rsidR="00924638" w:rsidRPr="002C5DE1">
        <w:rPr>
          <w:rFonts w:ascii="Times New Roman" w:hAnsi="Times New Roman" w:cs="Times New Roman"/>
          <w:color w:val="000000" w:themeColor="text1"/>
          <w:sz w:val="24"/>
          <w:szCs w:val="24"/>
          <w:lang w:val="en-US"/>
        </w:rPr>
        <w:t>e</w:t>
      </w:r>
      <w:r w:rsidRPr="002C5DE1">
        <w:rPr>
          <w:rFonts w:ascii="Times New Roman" w:hAnsi="Times New Roman" w:cs="Times New Roman"/>
          <w:color w:val="000000" w:themeColor="text1"/>
          <w:sz w:val="24"/>
          <w:szCs w:val="24"/>
          <w:lang w:val="en-US"/>
        </w:rPr>
        <w:t xml:space="preserve"> paper fills the two research gaps currently </w:t>
      </w:r>
      <w:r w:rsidR="00722440" w:rsidRPr="002C5DE1">
        <w:rPr>
          <w:rFonts w:ascii="Times New Roman" w:hAnsi="Times New Roman" w:cs="Times New Roman"/>
          <w:color w:val="000000" w:themeColor="text1"/>
          <w:sz w:val="24"/>
          <w:szCs w:val="24"/>
          <w:lang w:val="en-US"/>
        </w:rPr>
        <w:t>present</w:t>
      </w:r>
      <w:r w:rsidRPr="002C5DE1">
        <w:rPr>
          <w:rFonts w:ascii="Times New Roman" w:hAnsi="Times New Roman" w:cs="Times New Roman"/>
          <w:color w:val="000000" w:themeColor="text1"/>
          <w:sz w:val="24"/>
          <w:szCs w:val="24"/>
          <w:lang w:val="en-US"/>
        </w:rPr>
        <w:t xml:space="preserve"> in the literature. In this respect, f</w:t>
      </w:r>
      <w:r w:rsidR="00DD5FF1" w:rsidRPr="002C5DE1">
        <w:rPr>
          <w:rFonts w:ascii="Times New Roman" w:hAnsi="Times New Roman" w:cs="Times New Roman"/>
          <w:color w:val="000000" w:themeColor="text1"/>
          <w:sz w:val="24"/>
          <w:szCs w:val="24"/>
          <w:lang w:val="en-US"/>
        </w:rPr>
        <w:t xml:space="preserve">ollowing </w:t>
      </w:r>
      <w:r w:rsidR="00DD5FF1" w:rsidRPr="002C5DE1">
        <w:rPr>
          <w:rFonts w:ascii="Times New Roman TUR" w:hAnsi="Times New Roman TUR" w:cs="Times New Roman TUR"/>
          <w:color w:val="000000" w:themeColor="text1"/>
          <w:sz w:val="24"/>
          <w:szCs w:val="24"/>
          <w:lang w:val="en-US"/>
        </w:rPr>
        <w:t xml:space="preserve">Hansen (1999), Caner and Hansen (2004), and Kremer et al. (2013), </w:t>
      </w:r>
      <w:r w:rsidR="00DD5FF1" w:rsidRPr="002C5DE1">
        <w:rPr>
          <w:rFonts w:ascii="Times New Roman" w:hAnsi="Times New Roman" w:cs="Times New Roman"/>
          <w:color w:val="000000" w:themeColor="text1"/>
          <w:sz w:val="24"/>
          <w:szCs w:val="24"/>
          <w:lang w:val="en-US"/>
        </w:rPr>
        <w:t>t</w:t>
      </w:r>
      <w:r w:rsidR="0052714F" w:rsidRPr="002C5DE1">
        <w:rPr>
          <w:rFonts w:ascii="Times New Roman" w:hAnsi="Times New Roman" w:cs="Times New Roman"/>
          <w:color w:val="000000" w:themeColor="text1"/>
          <w:sz w:val="24"/>
          <w:szCs w:val="24"/>
          <w:lang w:val="en-US"/>
        </w:rPr>
        <w:t xml:space="preserve">his </w:t>
      </w:r>
      <w:r w:rsidR="00722440" w:rsidRPr="002C5DE1">
        <w:rPr>
          <w:rFonts w:ascii="Times New Roman" w:hAnsi="Times New Roman" w:cs="Times New Roman"/>
          <w:color w:val="000000" w:themeColor="text1"/>
          <w:sz w:val="24"/>
          <w:szCs w:val="24"/>
          <w:lang w:val="en-US"/>
        </w:rPr>
        <w:t>work</w:t>
      </w:r>
      <w:r w:rsidR="0052714F" w:rsidRPr="002C5DE1">
        <w:rPr>
          <w:rFonts w:ascii="Times New Roman" w:hAnsi="Times New Roman" w:cs="Times New Roman"/>
          <w:color w:val="000000" w:themeColor="text1"/>
          <w:sz w:val="24"/>
          <w:szCs w:val="24"/>
          <w:lang w:val="en-US"/>
        </w:rPr>
        <w:t xml:space="preserve"> is the first</w:t>
      </w:r>
      <w:r w:rsidR="00722440" w:rsidRPr="002C5DE1">
        <w:rPr>
          <w:rFonts w:ascii="Times New Roman" w:hAnsi="Times New Roman" w:cs="Times New Roman"/>
          <w:color w:val="000000" w:themeColor="text1"/>
          <w:sz w:val="24"/>
          <w:szCs w:val="24"/>
          <w:lang w:val="en-US"/>
        </w:rPr>
        <w:t>, to the best of our knowledge,</w:t>
      </w:r>
      <w:r w:rsidR="00DD5FF1" w:rsidRPr="002C5DE1">
        <w:rPr>
          <w:rFonts w:ascii="Times New Roman" w:hAnsi="Times New Roman" w:cs="Times New Roman"/>
          <w:color w:val="000000" w:themeColor="text1"/>
          <w:sz w:val="24"/>
          <w:szCs w:val="24"/>
          <w:lang w:val="en-US"/>
        </w:rPr>
        <w:t xml:space="preserve"> in the wealth effect-consumption nexus</w:t>
      </w:r>
      <w:r w:rsidR="00DD5FF1" w:rsidRPr="002C5DE1">
        <w:rPr>
          <w:rFonts w:ascii="Times New Roman TUR" w:hAnsi="Times New Roman TUR" w:cs="Times New Roman TUR"/>
          <w:color w:val="000000" w:themeColor="text1"/>
          <w:sz w:val="24"/>
          <w:szCs w:val="24"/>
          <w:lang w:val="en-US"/>
        </w:rPr>
        <w:t xml:space="preserve"> to implement threshold regression estimation</w:t>
      </w:r>
      <w:r w:rsidR="00924638" w:rsidRPr="002C5DE1">
        <w:rPr>
          <w:rFonts w:ascii="Times New Roman TUR" w:hAnsi="Times New Roman TUR" w:cs="Times New Roman TUR"/>
          <w:color w:val="000000" w:themeColor="text1"/>
          <w:sz w:val="24"/>
          <w:szCs w:val="24"/>
          <w:lang w:val="en-US"/>
        </w:rPr>
        <w:t>s</w:t>
      </w:r>
      <w:r w:rsidR="00DD5FF1" w:rsidRPr="002C5DE1">
        <w:rPr>
          <w:rFonts w:ascii="Times New Roman TUR" w:hAnsi="Times New Roman TUR" w:cs="Times New Roman TUR"/>
          <w:color w:val="000000" w:themeColor="text1"/>
          <w:sz w:val="24"/>
          <w:szCs w:val="24"/>
          <w:lang w:val="en-US"/>
        </w:rPr>
        <w:t xml:space="preserve"> </w:t>
      </w:r>
      <w:r w:rsidR="00341DEF" w:rsidRPr="002C5DE1">
        <w:rPr>
          <w:rFonts w:ascii="Times New Roman TUR" w:hAnsi="Times New Roman TUR" w:cs="Times New Roman TUR"/>
          <w:color w:val="000000" w:themeColor="text1"/>
          <w:sz w:val="24"/>
          <w:szCs w:val="24"/>
          <w:lang w:val="en-US"/>
        </w:rPr>
        <w:t>with the GMM approach</w:t>
      </w:r>
      <w:r w:rsidR="00924638" w:rsidRPr="002C5DE1">
        <w:rPr>
          <w:rFonts w:ascii="Times New Roman TUR" w:hAnsi="Times New Roman TUR" w:cs="Times New Roman TUR"/>
          <w:color w:val="000000" w:themeColor="text1"/>
          <w:sz w:val="24"/>
          <w:szCs w:val="24"/>
          <w:lang w:val="en-US"/>
        </w:rPr>
        <w:t>,</w:t>
      </w:r>
      <w:r w:rsidR="00341DEF" w:rsidRPr="002C5DE1">
        <w:rPr>
          <w:rFonts w:ascii="Times New Roman TUR" w:hAnsi="Times New Roman TUR" w:cs="Times New Roman TUR"/>
          <w:color w:val="000000" w:themeColor="text1"/>
          <w:sz w:val="24"/>
          <w:szCs w:val="24"/>
          <w:lang w:val="en-US"/>
        </w:rPr>
        <w:t xml:space="preserve"> </w:t>
      </w:r>
      <w:r w:rsidR="00DD5FF1" w:rsidRPr="002C5DE1">
        <w:rPr>
          <w:rFonts w:ascii="Times New Roman TUR" w:hAnsi="Times New Roman TUR" w:cs="Times New Roman TUR"/>
          <w:color w:val="000000" w:themeColor="text1"/>
          <w:sz w:val="24"/>
          <w:szCs w:val="24"/>
          <w:lang w:val="en-US"/>
        </w:rPr>
        <w:t xml:space="preserve">to test asymmetric effects of housing prices on </w:t>
      </w:r>
      <w:r w:rsidR="00341DEF" w:rsidRPr="002C5DE1">
        <w:rPr>
          <w:rFonts w:ascii="Times New Roman TUR" w:hAnsi="Times New Roman TUR" w:cs="Times New Roman TUR"/>
          <w:color w:val="000000" w:themeColor="text1"/>
          <w:sz w:val="24"/>
          <w:szCs w:val="24"/>
          <w:lang w:val="en-US"/>
        </w:rPr>
        <w:t xml:space="preserve">household </w:t>
      </w:r>
      <w:r w:rsidR="00DD5FF1" w:rsidRPr="002C5DE1">
        <w:rPr>
          <w:rFonts w:ascii="Times New Roman TUR" w:hAnsi="Times New Roman TUR" w:cs="Times New Roman TUR"/>
          <w:color w:val="000000" w:themeColor="text1"/>
          <w:sz w:val="24"/>
          <w:szCs w:val="24"/>
          <w:lang w:val="en-US"/>
        </w:rPr>
        <w:t xml:space="preserve">consumption </w:t>
      </w:r>
      <w:r w:rsidR="00722440" w:rsidRPr="002C5DE1">
        <w:rPr>
          <w:rFonts w:ascii="Times New Roman TUR" w:hAnsi="Times New Roman TUR" w:cs="Times New Roman TUR"/>
          <w:color w:val="000000" w:themeColor="text1"/>
          <w:sz w:val="24"/>
          <w:szCs w:val="24"/>
          <w:lang w:val="en-US"/>
        </w:rPr>
        <w:t>across</w:t>
      </w:r>
      <w:r w:rsidR="00341DEF" w:rsidRPr="002C5DE1">
        <w:rPr>
          <w:rFonts w:ascii="Times New Roman TUR" w:hAnsi="Times New Roman TUR" w:cs="Times New Roman TUR"/>
          <w:color w:val="000000" w:themeColor="text1"/>
          <w:sz w:val="24"/>
          <w:szCs w:val="24"/>
          <w:lang w:val="en-US"/>
        </w:rPr>
        <w:t xml:space="preserve"> different regimes</w:t>
      </w:r>
      <w:r w:rsidR="009F1982" w:rsidRPr="002C5DE1">
        <w:rPr>
          <w:rFonts w:ascii="Times New Roman TUR" w:hAnsi="Times New Roman TUR" w:cs="Times New Roman TUR"/>
          <w:color w:val="000000" w:themeColor="text1"/>
          <w:sz w:val="24"/>
          <w:szCs w:val="24"/>
          <w:lang w:val="en-US"/>
        </w:rPr>
        <w:t xml:space="preserve"> </w:t>
      </w:r>
      <w:r w:rsidR="00E455AD" w:rsidRPr="002C5DE1">
        <w:rPr>
          <w:rFonts w:ascii="Times New Roman" w:hAnsi="Times New Roman" w:cs="Times New Roman"/>
          <w:color w:val="000000" w:themeColor="text1"/>
          <w:sz w:val="24"/>
          <w:szCs w:val="24"/>
          <w:lang w:val="en-US"/>
        </w:rPr>
        <w:t xml:space="preserve">by using </w:t>
      </w:r>
      <w:r w:rsidR="00924638" w:rsidRPr="002C5DE1">
        <w:rPr>
          <w:rFonts w:ascii="Times New Roman" w:hAnsi="Times New Roman" w:cs="Times New Roman"/>
          <w:color w:val="000000" w:themeColor="text1"/>
          <w:sz w:val="24"/>
          <w:szCs w:val="24"/>
          <w:lang w:val="en-US"/>
        </w:rPr>
        <w:t xml:space="preserve">the </w:t>
      </w:r>
      <w:r w:rsidR="00E455AD" w:rsidRPr="002C5DE1">
        <w:rPr>
          <w:rFonts w:ascii="Times New Roman" w:hAnsi="Times New Roman" w:cs="Times New Roman"/>
          <w:color w:val="000000" w:themeColor="text1"/>
          <w:sz w:val="24"/>
          <w:szCs w:val="24"/>
          <w:lang w:val="en-US"/>
        </w:rPr>
        <w:t>financial development index</w:t>
      </w:r>
      <w:r w:rsidR="003C2300" w:rsidRPr="002C5DE1">
        <w:rPr>
          <w:rFonts w:ascii="Times New Roman" w:hAnsi="Times New Roman" w:cs="Times New Roman"/>
          <w:color w:val="000000" w:themeColor="text1"/>
          <w:sz w:val="24"/>
          <w:szCs w:val="24"/>
          <w:lang w:val="en-US"/>
        </w:rPr>
        <w:t xml:space="preserve"> (FD)</w:t>
      </w:r>
      <w:r w:rsidR="00924638" w:rsidRPr="002C5DE1">
        <w:rPr>
          <w:rFonts w:ascii="Times New Roman" w:hAnsi="Times New Roman" w:cs="Times New Roman"/>
          <w:color w:val="000000" w:themeColor="text1"/>
          <w:sz w:val="24"/>
          <w:szCs w:val="24"/>
          <w:lang w:val="en-US"/>
        </w:rPr>
        <w:t>, as well as</w:t>
      </w:r>
      <w:r w:rsidR="00E455AD" w:rsidRPr="002C5DE1">
        <w:rPr>
          <w:rFonts w:ascii="Times New Roman" w:hAnsi="Times New Roman" w:cs="Times New Roman"/>
          <w:color w:val="000000" w:themeColor="text1"/>
          <w:sz w:val="24"/>
          <w:szCs w:val="24"/>
          <w:lang w:val="en-US"/>
        </w:rPr>
        <w:t xml:space="preserve"> </w:t>
      </w:r>
      <w:r w:rsidR="00924638" w:rsidRPr="002C5DE1">
        <w:rPr>
          <w:rFonts w:ascii="Times New Roman" w:hAnsi="Times New Roman" w:cs="Times New Roman"/>
          <w:color w:val="000000" w:themeColor="text1"/>
          <w:sz w:val="24"/>
          <w:szCs w:val="24"/>
          <w:lang w:val="en-US"/>
        </w:rPr>
        <w:t>the</w:t>
      </w:r>
      <w:r w:rsidR="003C2300" w:rsidRPr="002C5DE1">
        <w:rPr>
          <w:rFonts w:ascii="Times New Roman" w:hAnsi="Times New Roman" w:cs="Times New Roman"/>
          <w:color w:val="000000" w:themeColor="text1"/>
          <w:sz w:val="24"/>
          <w:szCs w:val="24"/>
          <w:lang w:val="en-US"/>
        </w:rPr>
        <w:t xml:space="preserve"> </w:t>
      </w:r>
      <w:r w:rsidR="00E455AD" w:rsidRPr="002C5DE1">
        <w:rPr>
          <w:rFonts w:ascii="Times New Roman" w:hAnsi="Times New Roman" w:cs="Times New Roman"/>
          <w:color w:val="000000" w:themeColor="text1"/>
          <w:sz w:val="24"/>
          <w:szCs w:val="24"/>
          <w:lang w:val="en-US"/>
        </w:rPr>
        <w:t>house price-to-income</w:t>
      </w:r>
      <w:r w:rsidR="003C2300" w:rsidRPr="002C5DE1">
        <w:rPr>
          <w:rFonts w:ascii="Times New Roman" w:hAnsi="Times New Roman" w:cs="Times New Roman"/>
          <w:color w:val="000000" w:themeColor="text1"/>
          <w:sz w:val="24"/>
          <w:szCs w:val="24"/>
          <w:lang w:val="en-US"/>
        </w:rPr>
        <w:t xml:space="preserve"> (HPI)</w:t>
      </w:r>
      <w:r w:rsidR="00E455AD" w:rsidRPr="002C5DE1">
        <w:rPr>
          <w:rFonts w:ascii="Times New Roman" w:hAnsi="Times New Roman" w:cs="Times New Roman"/>
          <w:color w:val="000000" w:themeColor="text1"/>
          <w:sz w:val="24"/>
          <w:szCs w:val="24"/>
          <w:lang w:val="en-US"/>
        </w:rPr>
        <w:t xml:space="preserve"> ratio</w:t>
      </w:r>
      <w:r w:rsidR="009F1982" w:rsidRPr="002C5DE1">
        <w:rPr>
          <w:rFonts w:ascii="Times New Roman" w:hAnsi="Times New Roman" w:cs="Times New Roman"/>
          <w:color w:val="000000" w:themeColor="text1"/>
          <w:sz w:val="24"/>
          <w:szCs w:val="24"/>
          <w:lang w:val="en-US"/>
        </w:rPr>
        <w:t xml:space="preserve"> </w:t>
      </w:r>
      <w:r w:rsidR="003C2300" w:rsidRPr="002C5DE1">
        <w:rPr>
          <w:rFonts w:ascii="Times New Roman" w:hAnsi="Times New Roman" w:cs="Times New Roman"/>
          <w:color w:val="000000" w:themeColor="text1"/>
          <w:sz w:val="24"/>
          <w:szCs w:val="24"/>
          <w:lang w:val="en-US"/>
        </w:rPr>
        <w:t xml:space="preserve">(housing affordability) </w:t>
      </w:r>
      <w:r w:rsidR="009F1982" w:rsidRPr="002C5DE1">
        <w:rPr>
          <w:rFonts w:ascii="Times New Roman" w:hAnsi="Times New Roman" w:cs="Times New Roman"/>
          <w:color w:val="000000" w:themeColor="text1"/>
          <w:sz w:val="24"/>
          <w:szCs w:val="24"/>
          <w:lang w:val="en-US"/>
        </w:rPr>
        <w:t xml:space="preserve">as </w:t>
      </w:r>
      <w:r w:rsidR="00924638" w:rsidRPr="002C5DE1">
        <w:rPr>
          <w:rFonts w:ascii="Times New Roman" w:hAnsi="Times New Roman" w:cs="Times New Roman"/>
          <w:color w:val="000000" w:themeColor="text1"/>
          <w:sz w:val="24"/>
          <w:szCs w:val="24"/>
          <w:lang w:val="en-US"/>
        </w:rPr>
        <w:t xml:space="preserve">explicit </w:t>
      </w:r>
      <w:r w:rsidR="009F1982" w:rsidRPr="002C5DE1">
        <w:rPr>
          <w:rFonts w:ascii="Times New Roman" w:hAnsi="Times New Roman" w:cs="Times New Roman"/>
          <w:color w:val="000000" w:themeColor="text1"/>
          <w:sz w:val="24"/>
          <w:szCs w:val="24"/>
          <w:lang w:val="en-US"/>
        </w:rPr>
        <w:t>thresholds.</w:t>
      </w:r>
      <w:r w:rsidRPr="002C5DE1">
        <w:rPr>
          <w:rFonts w:ascii="Times New Roman" w:hAnsi="Times New Roman" w:cs="Times New Roman"/>
          <w:color w:val="000000" w:themeColor="text1"/>
          <w:sz w:val="24"/>
          <w:szCs w:val="24"/>
          <w:lang w:val="en-US"/>
        </w:rPr>
        <w:t xml:space="preserve"> Secondly, </w:t>
      </w:r>
      <w:r w:rsidR="00924638" w:rsidRPr="002C5DE1">
        <w:rPr>
          <w:rFonts w:ascii="Times New Roman" w:hAnsi="Times New Roman" w:cs="Times New Roman"/>
          <w:color w:val="000000" w:themeColor="text1"/>
          <w:sz w:val="24"/>
          <w:szCs w:val="24"/>
          <w:lang w:val="en-US"/>
        </w:rPr>
        <w:t>it</w:t>
      </w:r>
      <w:r w:rsidRPr="002C5DE1">
        <w:rPr>
          <w:rFonts w:ascii="Times New Roman" w:hAnsi="Times New Roman" w:cs="Times New Roman"/>
          <w:color w:val="000000" w:themeColor="text1"/>
          <w:sz w:val="24"/>
          <w:szCs w:val="24"/>
          <w:lang w:val="en-US"/>
        </w:rPr>
        <w:t xml:space="preserve"> also </w:t>
      </w:r>
      <w:r w:rsidR="00700218" w:rsidRPr="002C5DE1">
        <w:rPr>
          <w:rFonts w:ascii="Times New Roman" w:hAnsi="Times New Roman" w:cs="Times New Roman"/>
          <w:color w:val="000000" w:themeColor="text1"/>
          <w:sz w:val="24"/>
          <w:szCs w:val="24"/>
          <w:lang w:val="en-US"/>
        </w:rPr>
        <w:t>addresses</w:t>
      </w:r>
      <w:r w:rsidRPr="002C5DE1">
        <w:rPr>
          <w:rFonts w:ascii="Times New Roman" w:hAnsi="Times New Roman" w:cs="Times New Roman"/>
          <w:color w:val="000000" w:themeColor="text1"/>
          <w:sz w:val="24"/>
          <w:szCs w:val="24"/>
          <w:lang w:val="en-US"/>
        </w:rPr>
        <w:t xml:space="preserve"> </w:t>
      </w:r>
      <w:r w:rsidR="00ED554C" w:rsidRPr="002C5DE1">
        <w:rPr>
          <w:rFonts w:ascii="Times New Roman" w:hAnsi="Times New Roman" w:cs="Times New Roman"/>
          <w:color w:val="000000" w:themeColor="text1"/>
          <w:sz w:val="24"/>
          <w:szCs w:val="24"/>
          <w:lang w:val="en-US"/>
        </w:rPr>
        <w:t xml:space="preserve">how </w:t>
      </w:r>
      <w:r w:rsidR="00444C12" w:rsidRPr="002C5DE1">
        <w:rPr>
          <w:rFonts w:ascii="Times New Roman" w:hAnsi="Times New Roman" w:cs="Times New Roman"/>
          <w:color w:val="000000" w:themeColor="text1"/>
          <w:sz w:val="24"/>
          <w:szCs w:val="24"/>
          <w:lang w:val="en-US"/>
        </w:rPr>
        <w:t>housing and stock</w:t>
      </w:r>
      <w:r w:rsidR="00ED554C" w:rsidRPr="002C5DE1">
        <w:rPr>
          <w:rFonts w:ascii="Times New Roman" w:hAnsi="Times New Roman" w:cs="Times New Roman"/>
          <w:color w:val="000000" w:themeColor="text1"/>
          <w:sz w:val="24"/>
          <w:szCs w:val="24"/>
          <w:lang w:val="en-US"/>
        </w:rPr>
        <w:t xml:space="preserve"> wealth channels vary</w:t>
      </w:r>
      <w:r w:rsidR="00444C12" w:rsidRPr="002C5DE1">
        <w:rPr>
          <w:rFonts w:ascii="Times New Roman" w:hAnsi="Times New Roman" w:cs="Times New Roman"/>
          <w:color w:val="000000" w:themeColor="text1"/>
          <w:sz w:val="24"/>
          <w:szCs w:val="24"/>
          <w:lang w:val="en-US"/>
        </w:rPr>
        <w:t xml:space="preserve"> during pre/post</w:t>
      </w:r>
      <w:r w:rsidR="00924638" w:rsidRPr="002C5DE1">
        <w:rPr>
          <w:rFonts w:ascii="Times New Roman" w:hAnsi="Times New Roman" w:cs="Times New Roman"/>
          <w:color w:val="000000" w:themeColor="text1"/>
          <w:sz w:val="24"/>
          <w:szCs w:val="24"/>
          <w:lang w:val="en-US"/>
        </w:rPr>
        <w:t>-</w:t>
      </w:r>
      <w:r w:rsidR="00444C12" w:rsidRPr="002C5DE1">
        <w:rPr>
          <w:rFonts w:ascii="Times New Roman" w:hAnsi="Times New Roman" w:cs="Times New Roman"/>
          <w:color w:val="000000" w:themeColor="text1"/>
          <w:sz w:val="24"/>
          <w:szCs w:val="24"/>
          <w:lang w:val="en-US"/>
        </w:rPr>
        <w:t xml:space="preserve">bubble periods. Therefore, </w:t>
      </w:r>
      <w:r w:rsidR="00924638" w:rsidRPr="002C5DE1">
        <w:rPr>
          <w:rFonts w:ascii="Times New Roman" w:hAnsi="Times New Roman" w:cs="Times New Roman"/>
          <w:color w:val="000000" w:themeColor="text1"/>
          <w:sz w:val="24"/>
          <w:szCs w:val="24"/>
          <w:lang w:val="en-US"/>
        </w:rPr>
        <w:t>the analysis</w:t>
      </w:r>
      <w:r w:rsidR="00444C12" w:rsidRPr="002C5DE1">
        <w:rPr>
          <w:rFonts w:ascii="Times New Roman" w:hAnsi="Times New Roman" w:cs="Times New Roman"/>
          <w:color w:val="000000" w:themeColor="text1"/>
          <w:sz w:val="24"/>
          <w:szCs w:val="24"/>
          <w:lang w:val="en-US"/>
        </w:rPr>
        <w:t xml:space="preserve"> present</w:t>
      </w:r>
      <w:r w:rsidR="00924638" w:rsidRPr="002C5DE1">
        <w:rPr>
          <w:rFonts w:ascii="Times New Roman" w:hAnsi="Times New Roman" w:cs="Times New Roman"/>
          <w:color w:val="000000" w:themeColor="text1"/>
          <w:sz w:val="24"/>
          <w:szCs w:val="24"/>
          <w:lang w:val="en-US"/>
        </w:rPr>
        <w:t>s</w:t>
      </w:r>
      <w:r w:rsidR="008D77DD" w:rsidRPr="002C5DE1">
        <w:rPr>
          <w:rFonts w:ascii="Times New Roman" w:hAnsi="Times New Roman" w:cs="Times New Roman"/>
          <w:color w:val="000000" w:themeColor="text1"/>
          <w:sz w:val="24"/>
          <w:szCs w:val="24"/>
          <w:lang w:val="en-US"/>
        </w:rPr>
        <w:t xml:space="preserve"> a new venue of discussion in th</w:t>
      </w:r>
      <w:r w:rsidR="00924638" w:rsidRPr="002C5DE1">
        <w:rPr>
          <w:rFonts w:ascii="Times New Roman" w:hAnsi="Times New Roman" w:cs="Times New Roman"/>
          <w:color w:val="000000" w:themeColor="text1"/>
          <w:sz w:val="24"/>
          <w:szCs w:val="24"/>
          <w:lang w:val="en-US"/>
        </w:rPr>
        <w:t>e relevant</w:t>
      </w:r>
      <w:r w:rsidR="008D77DD" w:rsidRPr="002C5DE1">
        <w:rPr>
          <w:rFonts w:ascii="Times New Roman" w:hAnsi="Times New Roman" w:cs="Times New Roman"/>
          <w:color w:val="000000" w:themeColor="text1"/>
          <w:sz w:val="24"/>
          <w:szCs w:val="24"/>
          <w:lang w:val="en-US"/>
        </w:rPr>
        <w:t xml:space="preserve"> literature by combining </w:t>
      </w:r>
      <w:r w:rsidR="009C51A3" w:rsidRPr="002C5DE1">
        <w:rPr>
          <w:rFonts w:ascii="Times New Roman" w:hAnsi="Times New Roman" w:cs="Times New Roman"/>
          <w:color w:val="000000" w:themeColor="text1"/>
          <w:sz w:val="24"/>
          <w:szCs w:val="24"/>
          <w:lang w:val="en-US"/>
        </w:rPr>
        <w:t xml:space="preserve">the relations among </w:t>
      </w:r>
      <w:r w:rsidR="004A4DAB" w:rsidRPr="002C5DE1">
        <w:rPr>
          <w:rFonts w:ascii="Times New Roman" w:hAnsi="Times New Roman" w:cs="Times New Roman"/>
          <w:color w:val="000000" w:themeColor="text1"/>
          <w:sz w:val="24"/>
          <w:szCs w:val="24"/>
          <w:lang w:val="en-US"/>
        </w:rPr>
        <w:t>overvaluations in</w:t>
      </w:r>
      <w:r w:rsidR="009C51A3" w:rsidRPr="002C5DE1">
        <w:rPr>
          <w:rFonts w:ascii="Times New Roman" w:hAnsi="Times New Roman" w:cs="Times New Roman"/>
          <w:color w:val="000000" w:themeColor="text1"/>
          <w:sz w:val="24"/>
          <w:szCs w:val="24"/>
          <w:lang w:val="en-US"/>
        </w:rPr>
        <w:t xml:space="preserve"> housing/stock markets, </w:t>
      </w:r>
      <w:r w:rsidR="00924638" w:rsidRPr="002C5DE1">
        <w:rPr>
          <w:rFonts w:ascii="Times New Roman" w:hAnsi="Times New Roman" w:cs="Times New Roman"/>
          <w:color w:val="000000" w:themeColor="text1"/>
          <w:sz w:val="24"/>
          <w:szCs w:val="24"/>
          <w:lang w:val="en-US"/>
        </w:rPr>
        <w:t xml:space="preserve">the </w:t>
      </w:r>
      <w:r w:rsidR="004A4DAB" w:rsidRPr="002C5DE1">
        <w:rPr>
          <w:rFonts w:ascii="Times New Roman" w:hAnsi="Times New Roman" w:cs="Times New Roman"/>
          <w:color w:val="000000" w:themeColor="text1"/>
          <w:sz w:val="24"/>
          <w:szCs w:val="24"/>
          <w:lang w:val="en-US"/>
        </w:rPr>
        <w:t>growth</w:t>
      </w:r>
      <w:r w:rsidR="00F54C0C" w:rsidRPr="002C5DE1">
        <w:rPr>
          <w:rFonts w:ascii="Times New Roman" w:hAnsi="Times New Roman" w:cs="Times New Roman"/>
          <w:color w:val="000000" w:themeColor="text1"/>
          <w:sz w:val="24"/>
          <w:szCs w:val="24"/>
          <w:lang w:val="en-US"/>
        </w:rPr>
        <w:t xml:space="preserve"> in </w:t>
      </w:r>
      <w:r w:rsidR="00924638" w:rsidRPr="002C5DE1">
        <w:rPr>
          <w:rFonts w:ascii="Times New Roman" w:hAnsi="Times New Roman" w:cs="Times New Roman"/>
          <w:color w:val="000000" w:themeColor="text1"/>
          <w:sz w:val="24"/>
          <w:szCs w:val="24"/>
          <w:lang w:val="en-US"/>
        </w:rPr>
        <w:t xml:space="preserve">the </w:t>
      </w:r>
      <w:r w:rsidR="00F54C0C" w:rsidRPr="002C5DE1">
        <w:rPr>
          <w:rFonts w:ascii="Times New Roman" w:hAnsi="Times New Roman" w:cs="Times New Roman"/>
          <w:color w:val="000000" w:themeColor="text1"/>
          <w:sz w:val="24"/>
          <w:szCs w:val="24"/>
          <w:lang w:val="en-US"/>
        </w:rPr>
        <w:t>wealth effect components, income, and hence household consumption</w:t>
      </w:r>
      <w:r w:rsidR="004A4DAB" w:rsidRPr="002C5DE1">
        <w:rPr>
          <w:rFonts w:ascii="Times New Roman" w:hAnsi="Times New Roman" w:cs="Times New Roman"/>
          <w:color w:val="000000" w:themeColor="text1"/>
          <w:sz w:val="24"/>
          <w:szCs w:val="24"/>
          <w:lang w:val="en-US"/>
        </w:rPr>
        <w:t>, and the periods of bubble.</w:t>
      </w:r>
    </w:p>
    <w:p w14:paraId="797DEA13" w14:textId="77777777" w:rsidR="00316FE6" w:rsidRPr="002C5DE1" w:rsidRDefault="0006658E" w:rsidP="00D41A0D">
      <w:pPr>
        <w:spacing w:before="60" w:after="0" w:line="276" w:lineRule="auto"/>
        <w:ind w:firstLine="357"/>
        <w:jc w:val="both"/>
        <w:rPr>
          <w:rFonts w:ascii="Times New Roman" w:hAnsi="Times New Roman" w:cs="Times New Roman"/>
          <w:color w:val="000000" w:themeColor="text1"/>
          <w:sz w:val="24"/>
          <w:szCs w:val="24"/>
          <w:shd w:val="clear" w:color="auto" w:fill="FFFFFF"/>
          <w:lang w:val="en-US"/>
        </w:rPr>
      </w:pPr>
      <w:r w:rsidRPr="002C5DE1">
        <w:rPr>
          <w:rFonts w:ascii="Times New Roman" w:hAnsi="Times New Roman" w:cs="Times New Roman"/>
          <w:color w:val="000000" w:themeColor="text1"/>
          <w:sz w:val="24"/>
          <w:szCs w:val="24"/>
          <w:lang w:val="en-US"/>
        </w:rPr>
        <w:t>The main findings indicate the following evidence: (</w:t>
      </w:r>
      <w:proofErr w:type="spellStart"/>
      <w:r w:rsidRPr="002C5DE1">
        <w:rPr>
          <w:rFonts w:ascii="Times New Roman" w:hAnsi="Times New Roman" w:cs="Times New Roman"/>
          <w:color w:val="000000" w:themeColor="text1"/>
          <w:sz w:val="24"/>
          <w:szCs w:val="24"/>
          <w:lang w:val="en-US"/>
        </w:rPr>
        <w:t>i</w:t>
      </w:r>
      <w:proofErr w:type="spellEnd"/>
      <w:r w:rsidRPr="002C5DE1">
        <w:rPr>
          <w:rFonts w:ascii="Times New Roman" w:hAnsi="Times New Roman" w:cs="Times New Roman"/>
          <w:color w:val="000000" w:themeColor="text1"/>
          <w:sz w:val="24"/>
          <w:szCs w:val="24"/>
          <w:lang w:val="en-US"/>
        </w:rPr>
        <w:t xml:space="preserve">) </w:t>
      </w:r>
      <w:r w:rsidRPr="002C5DE1">
        <w:rPr>
          <w:rFonts w:ascii="Times New Roman TUR" w:hAnsi="Times New Roman TUR" w:cs="Times New Roman TUR"/>
          <w:color w:val="000000" w:themeColor="text1"/>
          <w:sz w:val="24"/>
          <w:szCs w:val="24"/>
          <w:lang w:val="en-US"/>
        </w:rPr>
        <w:t>income, housing wealth and stock wealth had a positive relation with household consumption, (ii) income was the predominant variable to explain household consumption, (iii) housing wealth had a greater positive effect on households’ consumption vis-a-vis the stock wealth effect, (iv) higher financial development/deepening and declining housing affordability had a significantly positive impact on housing/stock wealth effects, (v) similarly to the impact of income, the impact of housing/stock wealth effect had increased during bubble periods (namely, during dot.com and housing bubble</w:t>
      </w:r>
      <w:r w:rsidR="00D00495" w:rsidRPr="002C5DE1">
        <w:rPr>
          <w:rFonts w:ascii="Times New Roman TUR" w:hAnsi="Times New Roman TUR" w:cs="Times New Roman TUR"/>
          <w:color w:val="000000" w:themeColor="text1"/>
          <w:sz w:val="24"/>
          <w:szCs w:val="24"/>
          <w:lang w:val="en-US"/>
        </w:rPr>
        <w:t xml:space="preserve"> periods</w:t>
      </w:r>
      <w:r w:rsidRPr="002C5DE1">
        <w:rPr>
          <w:rFonts w:ascii="Times New Roman TUR" w:hAnsi="Times New Roman TUR" w:cs="Times New Roman TUR"/>
          <w:color w:val="000000" w:themeColor="text1"/>
          <w:sz w:val="24"/>
          <w:szCs w:val="24"/>
          <w:lang w:val="en-US"/>
        </w:rPr>
        <w:t xml:space="preserve">) in comparison with the entire sample, in the global financial crisis (GFC) and post-GFC periods, (vi) in the post-GFC period, </w:t>
      </w:r>
      <w:r w:rsidRPr="002C5DE1">
        <w:rPr>
          <w:rFonts w:ascii="Times New Roman" w:hAnsi="Times New Roman" w:cs="Times New Roman"/>
          <w:color w:val="000000" w:themeColor="text1"/>
          <w:sz w:val="24"/>
          <w:szCs w:val="24"/>
          <w:lang w:val="en-US"/>
        </w:rPr>
        <w:t xml:space="preserve">consumption patterns have not increased to their pre-crisis levels, probably depending on the increase in inequality and its potential outcomes affecting consumers’ behavior, (vii) the findings did not support the two phenomena known as the “Ratchet effect” and “keeping up with the Joneses” for the post-GFC period, (viii) the sensitivity of household consumption to both thresholds (financial development and housing affordability) increased based on declining threshold values. </w:t>
      </w:r>
      <w:r w:rsidR="00D41A0D" w:rsidRPr="002C5DE1">
        <w:rPr>
          <w:rFonts w:ascii="Times New Roman" w:hAnsi="Times New Roman" w:cs="Times New Roman"/>
          <w:color w:val="000000" w:themeColor="text1"/>
          <w:sz w:val="24"/>
          <w:szCs w:val="24"/>
          <w:lang w:val="en-US"/>
        </w:rPr>
        <w:t xml:space="preserve">Overall, our key findings imply that specifically for the housing as the generally stronger asset transmission channel, wealth effect induced consumption </w:t>
      </w:r>
      <w:r w:rsidR="00D00495" w:rsidRPr="002C5DE1">
        <w:rPr>
          <w:rFonts w:ascii="Times New Roman" w:hAnsi="Times New Roman" w:cs="Times New Roman"/>
          <w:color w:val="000000" w:themeColor="text1"/>
          <w:sz w:val="24"/>
          <w:szCs w:val="24"/>
          <w:lang w:val="en-US"/>
        </w:rPr>
        <w:t xml:space="preserve">may </w:t>
      </w:r>
      <w:r w:rsidR="00D41A0D" w:rsidRPr="002C5DE1">
        <w:rPr>
          <w:rFonts w:ascii="Times New Roman" w:hAnsi="Times New Roman" w:cs="Times New Roman"/>
          <w:color w:val="000000" w:themeColor="text1"/>
          <w:sz w:val="24"/>
          <w:szCs w:val="24"/>
          <w:lang w:val="en-US"/>
        </w:rPr>
        <w:t xml:space="preserve">contribute imbalances such as </w:t>
      </w:r>
      <w:r w:rsidR="00D00495" w:rsidRPr="002C5DE1">
        <w:rPr>
          <w:rFonts w:ascii="Times New Roman" w:hAnsi="Times New Roman" w:cs="Times New Roman"/>
          <w:color w:val="000000" w:themeColor="text1"/>
          <w:sz w:val="24"/>
          <w:szCs w:val="24"/>
          <w:lang w:val="en-US"/>
        </w:rPr>
        <w:t xml:space="preserve">asymmetric </w:t>
      </w:r>
      <w:r w:rsidR="00D41A0D" w:rsidRPr="002C5DE1">
        <w:rPr>
          <w:rFonts w:ascii="Times New Roman" w:hAnsi="Times New Roman" w:cs="Times New Roman"/>
          <w:color w:val="000000" w:themeColor="text1"/>
          <w:sz w:val="24"/>
          <w:szCs w:val="24"/>
          <w:lang w:val="en-US"/>
        </w:rPr>
        <w:t>consumption</w:t>
      </w:r>
      <w:r w:rsidR="00D00495" w:rsidRPr="002C5DE1">
        <w:rPr>
          <w:rFonts w:ascii="Times New Roman" w:hAnsi="Times New Roman" w:cs="Times New Roman"/>
          <w:color w:val="000000" w:themeColor="text1"/>
          <w:sz w:val="24"/>
          <w:szCs w:val="24"/>
          <w:lang w:val="en-US"/>
        </w:rPr>
        <w:t xml:space="preserve"> and</w:t>
      </w:r>
      <w:r w:rsidR="00D41A0D" w:rsidRPr="002C5DE1">
        <w:rPr>
          <w:rFonts w:ascii="Times New Roman" w:hAnsi="Times New Roman" w:cs="Times New Roman"/>
          <w:color w:val="000000" w:themeColor="text1"/>
          <w:sz w:val="24"/>
          <w:szCs w:val="24"/>
          <w:lang w:val="en-US"/>
        </w:rPr>
        <w:t xml:space="preserve"> </w:t>
      </w:r>
      <w:r w:rsidR="00D00495" w:rsidRPr="002C5DE1">
        <w:rPr>
          <w:rFonts w:ascii="Times New Roman" w:hAnsi="Times New Roman" w:cs="Times New Roman"/>
          <w:color w:val="000000" w:themeColor="text1"/>
          <w:sz w:val="24"/>
          <w:szCs w:val="24"/>
          <w:lang w:val="en-US"/>
        </w:rPr>
        <w:t xml:space="preserve">price </w:t>
      </w:r>
      <w:r w:rsidR="00D41A0D" w:rsidRPr="002C5DE1">
        <w:rPr>
          <w:rFonts w:ascii="Times New Roman" w:hAnsi="Times New Roman" w:cs="Times New Roman"/>
          <w:color w:val="000000" w:themeColor="text1"/>
          <w:sz w:val="24"/>
          <w:szCs w:val="24"/>
          <w:lang w:val="en-US"/>
        </w:rPr>
        <w:t xml:space="preserve">bubble </w:t>
      </w:r>
      <w:r w:rsidR="00D00495" w:rsidRPr="002C5DE1">
        <w:rPr>
          <w:rFonts w:ascii="Times New Roman" w:hAnsi="Times New Roman" w:cs="Times New Roman"/>
          <w:color w:val="000000" w:themeColor="text1"/>
          <w:sz w:val="24"/>
          <w:szCs w:val="24"/>
          <w:lang w:val="en-US"/>
        </w:rPr>
        <w:t>formations</w:t>
      </w:r>
      <w:r w:rsidR="00D41A0D" w:rsidRPr="002C5DE1">
        <w:rPr>
          <w:rFonts w:ascii="Times New Roman" w:hAnsi="Times New Roman" w:cs="Times New Roman"/>
          <w:color w:val="000000" w:themeColor="text1"/>
          <w:sz w:val="24"/>
          <w:szCs w:val="24"/>
          <w:lang w:val="en-US"/>
        </w:rPr>
        <w:t xml:space="preserve">. </w:t>
      </w:r>
      <w:r w:rsidR="00316FE6" w:rsidRPr="002C5DE1">
        <w:rPr>
          <w:rFonts w:ascii="Times New Roman" w:hAnsi="Times New Roman" w:cs="Times New Roman"/>
          <w:color w:val="000000" w:themeColor="text1"/>
          <w:sz w:val="24"/>
          <w:szCs w:val="24"/>
          <w:lang w:val="en-US"/>
        </w:rPr>
        <w:t xml:space="preserve">This paper also </w:t>
      </w:r>
      <w:r w:rsidR="002C3E56" w:rsidRPr="002C5DE1">
        <w:rPr>
          <w:rFonts w:ascii="Times New Roman" w:hAnsi="Times New Roman" w:cs="Times New Roman"/>
          <w:color w:val="000000" w:themeColor="text1"/>
          <w:sz w:val="24"/>
          <w:szCs w:val="24"/>
          <w:lang w:val="en-US"/>
        </w:rPr>
        <w:t>argues</w:t>
      </w:r>
      <w:r w:rsidR="00316FE6" w:rsidRPr="002C5DE1">
        <w:rPr>
          <w:rFonts w:ascii="Times New Roman" w:hAnsi="Times New Roman" w:cs="Times New Roman"/>
          <w:color w:val="000000" w:themeColor="text1"/>
          <w:sz w:val="24"/>
          <w:szCs w:val="24"/>
          <w:lang w:val="en-US"/>
        </w:rPr>
        <w:t xml:space="preserve"> that the best way to deal with uncertainty periods in an economy would be to develop some income and wealth effect related social responses.</w:t>
      </w:r>
    </w:p>
    <w:p w14:paraId="6E89C825" w14:textId="77777777" w:rsidR="00F46895" w:rsidRPr="002C5DE1" w:rsidRDefault="00F46895" w:rsidP="008E588C">
      <w:pPr>
        <w:spacing w:before="120" w:after="120" w:line="276" w:lineRule="auto"/>
        <w:ind w:firstLine="357"/>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 xml:space="preserve">The remainder of the paper is organized as follows. The next section documents </w:t>
      </w:r>
      <w:r w:rsidR="00924638" w:rsidRPr="002C5DE1">
        <w:rPr>
          <w:rFonts w:ascii="Times New Roman" w:hAnsi="Times New Roman" w:cs="Times New Roman"/>
          <w:color w:val="000000" w:themeColor="text1"/>
          <w:sz w:val="24"/>
          <w:szCs w:val="24"/>
          <w:lang w:val="en-US"/>
        </w:rPr>
        <w:t xml:space="preserve">the </w:t>
      </w:r>
      <w:r w:rsidR="00F009B3" w:rsidRPr="002C5DE1">
        <w:rPr>
          <w:rFonts w:ascii="Times New Roman" w:hAnsi="Times New Roman" w:cs="Times New Roman"/>
          <w:color w:val="000000" w:themeColor="text1"/>
          <w:sz w:val="24"/>
          <w:szCs w:val="24"/>
          <w:lang w:val="en-US"/>
        </w:rPr>
        <w:t xml:space="preserve">outlook for the economy in selected countries. </w:t>
      </w:r>
      <w:r w:rsidRPr="002C5DE1">
        <w:rPr>
          <w:rFonts w:ascii="Times New Roman" w:hAnsi="Times New Roman" w:cs="Times New Roman"/>
          <w:color w:val="000000" w:themeColor="text1"/>
          <w:sz w:val="24"/>
          <w:szCs w:val="24"/>
          <w:lang w:val="en-US"/>
        </w:rPr>
        <w:t xml:space="preserve">The following section </w:t>
      </w:r>
      <w:r w:rsidR="00722440" w:rsidRPr="002C5DE1">
        <w:rPr>
          <w:rFonts w:ascii="Times New Roman" w:hAnsi="Times New Roman" w:cs="Times New Roman"/>
          <w:color w:val="000000" w:themeColor="text1"/>
          <w:sz w:val="24"/>
          <w:szCs w:val="24"/>
          <w:lang w:val="en-US"/>
        </w:rPr>
        <w:t>provides the</w:t>
      </w:r>
      <w:r w:rsidR="00F009B3" w:rsidRPr="002C5DE1">
        <w:rPr>
          <w:rFonts w:ascii="Times New Roman" w:hAnsi="Times New Roman" w:cs="Times New Roman"/>
          <w:color w:val="000000" w:themeColor="text1"/>
          <w:sz w:val="24"/>
          <w:szCs w:val="24"/>
          <w:lang w:val="en-US"/>
        </w:rPr>
        <w:t xml:space="preserve"> literature review related to </w:t>
      </w:r>
      <w:r w:rsidR="00722440" w:rsidRPr="002C5DE1">
        <w:rPr>
          <w:rFonts w:ascii="Times New Roman" w:hAnsi="Times New Roman" w:cs="Times New Roman"/>
          <w:color w:val="000000" w:themeColor="text1"/>
          <w:sz w:val="24"/>
          <w:szCs w:val="24"/>
          <w:lang w:val="en-US"/>
        </w:rPr>
        <w:t xml:space="preserve">the </w:t>
      </w:r>
      <w:r w:rsidR="00F009B3" w:rsidRPr="002C5DE1">
        <w:rPr>
          <w:rFonts w:ascii="Times New Roman" w:hAnsi="Times New Roman" w:cs="Times New Roman"/>
          <w:color w:val="000000" w:themeColor="text1"/>
          <w:sz w:val="24"/>
          <w:szCs w:val="24"/>
          <w:lang w:val="en-US"/>
        </w:rPr>
        <w:t>asymmetric relationship between household consumption and its explanatory variables</w:t>
      </w:r>
      <w:r w:rsidR="00722440" w:rsidRPr="002C5DE1">
        <w:rPr>
          <w:rFonts w:ascii="Times New Roman" w:hAnsi="Times New Roman" w:cs="Times New Roman"/>
          <w:color w:val="000000" w:themeColor="text1"/>
          <w:sz w:val="24"/>
          <w:szCs w:val="24"/>
          <w:lang w:val="en-US"/>
        </w:rPr>
        <w:t>,</w:t>
      </w:r>
      <w:r w:rsidR="00F009B3" w:rsidRPr="002C5DE1">
        <w:rPr>
          <w:rFonts w:ascii="Times New Roman" w:hAnsi="Times New Roman" w:cs="Times New Roman"/>
          <w:color w:val="000000" w:themeColor="text1"/>
          <w:sz w:val="24"/>
          <w:szCs w:val="24"/>
          <w:lang w:val="en-US"/>
        </w:rPr>
        <w:t xml:space="preserve"> in particularly</w:t>
      </w:r>
      <w:r w:rsidR="00722440" w:rsidRPr="002C5DE1">
        <w:rPr>
          <w:rFonts w:ascii="Times New Roman" w:hAnsi="Times New Roman" w:cs="Times New Roman"/>
          <w:color w:val="000000" w:themeColor="text1"/>
          <w:sz w:val="24"/>
          <w:szCs w:val="24"/>
          <w:lang w:val="en-US"/>
        </w:rPr>
        <w:t>,</w:t>
      </w:r>
      <w:r w:rsidR="00F009B3" w:rsidRPr="002C5DE1">
        <w:rPr>
          <w:rFonts w:ascii="Times New Roman" w:hAnsi="Times New Roman" w:cs="Times New Roman"/>
          <w:color w:val="000000" w:themeColor="text1"/>
          <w:sz w:val="24"/>
          <w:szCs w:val="24"/>
          <w:lang w:val="en-US"/>
        </w:rPr>
        <w:t xml:space="preserve"> house price/housing wealth. Thereinafter,</w:t>
      </w:r>
      <w:r w:rsidRPr="002C5DE1">
        <w:rPr>
          <w:rFonts w:ascii="Times New Roman" w:hAnsi="Times New Roman" w:cs="Times New Roman"/>
          <w:color w:val="000000" w:themeColor="text1"/>
          <w:sz w:val="24"/>
          <w:szCs w:val="24"/>
          <w:lang w:val="en-US"/>
        </w:rPr>
        <w:t xml:space="preserve"> data and </w:t>
      </w:r>
      <w:r w:rsidR="00924638" w:rsidRPr="002C5DE1">
        <w:rPr>
          <w:rFonts w:ascii="Times New Roman" w:hAnsi="Times New Roman" w:cs="Times New Roman"/>
          <w:color w:val="000000" w:themeColor="text1"/>
          <w:sz w:val="24"/>
          <w:szCs w:val="24"/>
          <w:lang w:val="en-US"/>
        </w:rPr>
        <w:t xml:space="preserve">the </w:t>
      </w:r>
      <w:r w:rsidRPr="002C5DE1">
        <w:rPr>
          <w:rFonts w:ascii="Times New Roman" w:hAnsi="Times New Roman" w:cs="Times New Roman"/>
          <w:color w:val="000000" w:themeColor="text1"/>
          <w:sz w:val="24"/>
          <w:szCs w:val="24"/>
          <w:lang w:val="en-US"/>
        </w:rPr>
        <w:t>modelling strategy</w:t>
      </w:r>
      <w:r w:rsidR="00F009B3" w:rsidRPr="002C5DE1">
        <w:rPr>
          <w:rFonts w:ascii="Times New Roman" w:hAnsi="Times New Roman" w:cs="Times New Roman"/>
          <w:color w:val="000000" w:themeColor="text1"/>
          <w:sz w:val="24"/>
          <w:szCs w:val="24"/>
          <w:lang w:val="en-US"/>
        </w:rPr>
        <w:t xml:space="preserve"> </w:t>
      </w:r>
      <w:r w:rsidR="00722440" w:rsidRPr="002C5DE1">
        <w:rPr>
          <w:rFonts w:ascii="Times New Roman" w:hAnsi="Times New Roman" w:cs="Times New Roman"/>
          <w:color w:val="000000" w:themeColor="text1"/>
          <w:sz w:val="24"/>
          <w:szCs w:val="24"/>
          <w:lang w:val="en-US"/>
        </w:rPr>
        <w:t>are</w:t>
      </w:r>
      <w:r w:rsidR="00F009B3" w:rsidRPr="002C5DE1">
        <w:rPr>
          <w:rFonts w:ascii="Times New Roman" w:hAnsi="Times New Roman" w:cs="Times New Roman"/>
          <w:color w:val="000000" w:themeColor="text1"/>
          <w:sz w:val="24"/>
          <w:szCs w:val="24"/>
          <w:lang w:val="en-US"/>
        </w:rPr>
        <w:t xml:space="preserve"> explained</w:t>
      </w:r>
      <w:r w:rsidR="006853FA" w:rsidRPr="002C5DE1">
        <w:rPr>
          <w:rFonts w:ascii="Times New Roman" w:hAnsi="Times New Roman" w:cs="Times New Roman"/>
          <w:color w:val="000000" w:themeColor="text1"/>
          <w:sz w:val="24"/>
          <w:szCs w:val="24"/>
          <w:lang w:val="en-US"/>
        </w:rPr>
        <w:t xml:space="preserve">. Section </w:t>
      </w:r>
      <w:r w:rsidR="00506742" w:rsidRPr="002C5DE1">
        <w:rPr>
          <w:rFonts w:ascii="Times New Roman" w:hAnsi="Times New Roman" w:cs="Times New Roman"/>
          <w:color w:val="000000" w:themeColor="text1"/>
          <w:sz w:val="24"/>
          <w:szCs w:val="24"/>
          <w:lang w:val="en-US"/>
        </w:rPr>
        <w:t>5</w:t>
      </w:r>
      <w:r w:rsidR="006853FA" w:rsidRPr="002C5DE1">
        <w:rPr>
          <w:rFonts w:ascii="Times New Roman" w:hAnsi="Times New Roman" w:cs="Times New Roman"/>
          <w:color w:val="000000" w:themeColor="text1"/>
          <w:sz w:val="24"/>
          <w:szCs w:val="24"/>
          <w:lang w:val="en-US"/>
        </w:rPr>
        <w:t xml:space="preserve"> analyses model results and </w:t>
      </w:r>
      <w:r w:rsidR="00506742" w:rsidRPr="002C5DE1">
        <w:rPr>
          <w:rFonts w:ascii="Times New Roman" w:hAnsi="Times New Roman" w:cs="Times New Roman"/>
          <w:color w:val="000000" w:themeColor="text1"/>
          <w:sz w:val="24"/>
          <w:szCs w:val="24"/>
          <w:lang w:val="en-US"/>
        </w:rPr>
        <w:t xml:space="preserve">provides a brief discussion with several </w:t>
      </w:r>
      <w:r w:rsidR="006853FA" w:rsidRPr="002C5DE1">
        <w:rPr>
          <w:rFonts w:ascii="Times New Roman" w:hAnsi="Times New Roman" w:cs="Times New Roman"/>
          <w:color w:val="000000" w:themeColor="text1"/>
          <w:sz w:val="24"/>
          <w:szCs w:val="24"/>
          <w:lang w:val="en-US"/>
        </w:rPr>
        <w:t>implication</w:t>
      </w:r>
      <w:r w:rsidR="00E21A9B" w:rsidRPr="002C5DE1">
        <w:rPr>
          <w:rFonts w:ascii="Times New Roman" w:hAnsi="Times New Roman" w:cs="Times New Roman"/>
          <w:color w:val="000000" w:themeColor="text1"/>
          <w:sz w:val="24"/>
          <w:szCs w:val="24"/>
          <w:lang w:val="en-US"/>
        </w:rPr>
        <w:t>s, while the</w:t>
      </w:r>
      <w:r w:rsidR="006853FA" w:rsidRPr="002C5DE1">
        <w:rPr>
          <w:rFonts w:ascii="Times New Roman" w:hAnsi="Times New Roman" w:cs="Times New Roman"/>
          <w:color w:val="000000" w:themeColor="text1"/>
          <w:sz w:val="24"/>
          <w:szCs w:val="24"/>
          <w:lang w:val="en-US"/>
        </w:rPr>
        <w:t xml:space="preserve"> last section concludes.</w:t>
      </w:r>
    </w:p>
    <w:p w14:paraId="36D02D5A" w14:textId="77777777" w:rsidR="00435D5B" w:rsidRPr="002C5DE1" w:rsidRDefault="00435D5B" w:rsidP="005A153C">
      <w:pPr>
        <w:pStyle w:val="Heading1"/>
        <w:spacing w:after="120" w:line="276" w:lineRule="auto"/>
        <w:rPr>
          <w:rFonts w:ascii="Times New Roman" w:hAnsi="Times New Roman" w:cs="Times New Roman"/>
          <w:b/>
          <w:color w:val="000000" w:themeColor="text1"/>
          <w:sz w:val="24"/>
          <w:szCs w:val="24"/>
          <w:lang w:val="en-US"/>
        </w:rPr>
      </w:pPr>
      <w:r w:rsidRPr="002C5DE1">
        <w:rPr>
          <w:rFonts w:ascii="Times New Roman" w:hAnsi="Times New Roman" w:cs="Times New Roman"/>
          <w:b/>
          <w:color w:val="000000" w:themeColor="text1"/>
          <w:sz w:val="24"/>
          <w:szCs w:val="24"/>
          <w:lang w:val="en-US"/>
        </w:rPr>
        <w:lastRenderedPageBreak/>
        <w:t xml:space="preserve">2. Macroeconomic Conjuncture During </w:t>
      </w:r>
      <w:r w:rsidR="00EB28E5" w:rsidRPr="002C5DE1">
        <w:rPr>
          <w:rFonts w:ascii="Times New Roman" w:hAnsi="Times New Roman" w:cs="Times New Roman"/>
          <w:b/>
          <w:color w:val="000000" w:themeColor="text1"/>
          <w:sz w:val="24"/>
          <w:szCs w:val="24"/>
          <w:lang w:val="en-US"/>
        </w:rPr>
        <w:t xml:space="preserve">the </w:t>
      </w:r>
      <w:r w:rsidRPr="002C5DE1">
        <w:rPr>
          <w:rFonts w:ascii="Times New Roman" w:hAnsi="Times New Roman" w:cs="Times New Roman"/>
          <w:b/>
          <w:color w:val="000000" w:themeColor="text1"/>
          <w:sz w:val="24"/>
          <w:szCs w:val="24"/>
          <w:lang w:val="en-US"/>
        </w:rPr>
        <w:t>Observation Period</w:t>
      </w:r>
    </w:p>
    <w:p w14:paraId="6B689D8D" w14:textId="77777777" w:rsidR="00EB10C1" w:rsidRPr="002C5DE1" w:rsidRDefault="00441F85" w:rsidP="008E588C">
      <w:pPr>
        <w:spacing w:after="120" w:line="276" w:lineRule="auto"/>
        <w:ind w:firstLine="357"/>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 xml:space="preserve">In many countries </w:t>
      </w:r>
      <w:r w:rsidR="00EB10C1" w:rsidRPr="002C5DE1">
        <w:rPr>
          <w:rFonts w:ascii="Times New Roman" w:hAnsi="Times New Roman" w:cs="Times New Roman"/>
          <w:color w:val="000000" w:themeColor="text1"/>
          <w:sz w:val="24"/>
          <w:szCs w:val="24"/>
          <w:lang w:val="en-US"/>
        </w:rPr>
        <w:t xml:space="preserve">during </w:t>
      </w:r>
      <w:r w:rsidR="00EB28E5" w:rsidRPr="002C5DE1">
        <w:rPr>
          <w:rFonts w:ascii="Times New Roman" w:hAnsi="Times New Roman" w:cs="Times New Roman"/>
          <w:color w:val="000000" w:themeColor="text1"/>
          <w:sz w:val="24"/>
          <w:szCs w:val="24"/>
          <w:lang w:val="en-US"/>
        </w:rPr>
        <w:t xml:space="preserve">the </w:t>
      </w:r>
      <w:r w:rsidR="00EB10C1" w:rsidRPr="002C5DE1">
        <w:rPr>
          <w:rFonts w:ascii="Times New Roman" w:hAnsi="Times New Roman" w:cs="Times New Roman"/>
          <w:color w:val="000000" w:themeColor="text1"/>
          <w:sz w:val="24"/>
          <w:szCs w:val="24"/>
          <w:lang w:val="en-US"/>
        </w:rPr>
        <w:t>housing bubble period (2003-2007</w:t>
      </w:r>
      <w:r w:rsidR="00A5706C" w:rsidRPr="002C5DE1">
        <w:rPr>
          <w:rFonts w:ascii="Times New Roman" w:hAnsi="Times New Roman" w:cs="Times New Roman"/>
          <w:color w:val="000000" w:themeColor="text1"/>
          <w:sz w:val="24"/>
          <w:szCs w:val="24"/>
          <w:lang w:val="en-US"/>
        </w:rPr>
        <w:t>Q2</w:t>
      </w:r>
      <w:r w:rsidR="00EB10C1" w:rsidRPr="002C5DE1">
        <w:rPr>
          <w:rFonts w:ascii="Times New Roman" w:hAnsi="Times New Roman" w:cs="Times New Roman"/>
          <w:color w:val="000000" w:themeColor="text1"/>
          <w:sz w:val="24"/>
          <w:szCs w:val="24"/>
          <w:lang w:val="en-US"/>
        </w:rPr>
        <w:t>)</w:t>
      </w:r>
      <w:r w:rsidR="00EB28E5" w:rsidRPr="002C5DE1">
        <w:rPr>
          <w:rFonts w:ascii="Times New Roman" w:hAnsi="Times New Roman" w:cs="Times New Roman"/>
          <w:color w:val="000000" w:themeColor="text1"/>
          <w:sz w:val="24"/>
          <w:szCs w:val="24"/>
          <w:lang w:val="en-US"/>
        </w:rPr>
        <w:t>,</w:t>
      </w:r>
      <w:r w:rsidR="00EB10C1" w:rsidRPr="002C5DE1">
        <w:rPr>
          <w:rFonts w:ascii="Times New Roman" w:hAnsi="Times New Roman" w:cs="Times New Roman"/>
          <w:color w:val="000000" w:themeColor="text1"/>
          <w:sz w:val="24"/>
          <w:szCs w:val="24"/>
          <w:lang w:val="en-US"/>
        </w:rPr>
        <w:t xml:space="preserve"> both financial and housing wealth increased in conjunction with</w:t>
      </w:r>
      <w:r w:rsidR="00351AB9" w:rsidRPr="002C5DE1">
        <w:rPr>
          <w:rFonts w:ascii="Times New Roman" w:hAnsi="Times New Roman" w:cs="Times New Roman"/>
          <w:color w:val="000000" w:themeColor="text1"/>
          <w:sz w:val="24"/>
          <w:szCs w:val="24"/>
          <w:lang w:val="en-US"/>
        </w:rPr>
        <w:t xml:space="preserve"> the increase in</w:t>
      </w:r>
      <w:r w:rsidR="00EB10C1" w:rsidRPr="002C5DE1">
        <w:rPr>
          <w:rFonts w:ascii="Times New Roman" w:hAnsi="Times New Roman" w:cs="Times New Roman"/>
          <w:color w:val="000000" w:themeColor="text1"/>
          <w:sz w:val="24"/>
          <w:szCs w:val="24"/>
          <w:lang w:val="en-US"/>
        </w:rPr>
        <w:t xml:space="preserve"> financial </w:t>
      </w:r>
      <w:r w:rsidR="00D00A0F" w:rsidRPr="002C5DE1">
        <w:rPr>
          <w:rFonts w:ascii="Times New Roman" w:hAnsi="Times New Roman" w:cs="Times New Roman"/>
          <w:color w:val="000000" w:themeColor="text1"/>
          <w:sz w:val="24"/>
          <w:szCs w:val="24"/>
          <w:lang w:val="en-US"/>
        </w:rPr>
        <w:t>development/</w:t>
      </w:r>
      <w:r w:rsidR="00EB10C1" w:rsidRPr="002C5DE1">
        <w:rPr>
          <w:rFonts w:ascii="Times New Roman" w:hAnsi="Times New Roman" w:cs="Times New Roman"/>
          <w:color w:val="000000" w:themeColor="text1"/>
          <w:sz w:val="24"/>
          <w:szCs w:val="24"/>
          <w:lang w:val="en-US"/>
        </w:rPr>
        <w:t xml:space="preserve">deepening. </w:t>
      </w:r>
      <w:r w:rsidR="00BC5E68" w:rsidRPr="002C5DE1">
        <w:rPr>
          <w:rFonts w:ascii="Times New Roman" w:hAnsi="Times New Roman" w:cs="Times New Roman"/>
          <w:color w:val="000000" w:themeColor="text1"/>
          <w:sz w:val="24"/>
          <w:szCs w:val="24"/>
          <w:lang w:val="en-US"/>
        </w:rPr>
        <w:t>However, in the same period</w:t>
      </w:r>
      <w:r w:rsidR="00CD0065" w:rsidRPr="002C5DE1">
        <w:rPr>
          <w:rFonts w:ascii="Times New Roman" w:hAnsi="Times New Roman" w:cs="Times New Roman"/>
          <w:color w:val="000000" w:themeColor="text1"/>
          <w:sz w:val="24"/>
          <w:szCs w:val="24"/>
          <w:lang w:val="en-US"/>
        </w:rPr>
        <w:t>, housing affordability declined</w:t>
      </w:r>
      <w:r w:rsidR="00BC5E68" w:rsidRPr="002C5DE1">
        <w:rPr>
          <w:rFonts w:ascii="Times New Roman" w:hAnsi="Times New Roman" w:cs="Times New Roman"/>
          <w:color w:val="000000" w:themeColor="text1"/>
          <w:sz w:val="24"/>
          <w:szCs w:val="24"/>
          <w:lang w:val="en-US"/>
        </w:rPr>
        <w:t xml:space="preserve"> which is denoted by</w:t>
      </w:r>
      <w:r w:rsidR="00D00A0F" w:rsidRPr="002C5DE1">
        <w:rPr>
          <w:rFonts w:ascii="Times New Roman" w:hAnsi="Times New Roman" w:cs="Times New Roman"/>
          <w:color w:val="000000" w:themeColor="text1"/>
          <w:sz w:val="24"/>
          <w:szCs w:val="24"/>
          <w:lang w:val="en-US"/>
        </w:rPr>
        <w:t xml:space="preserve"> </w:t>
      </w:r>
      <w:r w:rsidR="0087170E" w:rsidRPr="002C5DE1">
        <w:rPr>
          <w:rFonts w:ascii="Times New Roman" w:hAnsi="Times New Roman" w:cs="Times New Roman"/>
          <w:color w:val="000000" w:themeColor="text1"/>
          <w:sz w:val="24"/>
          <w:szCs w:val="24"/>
          <w:lang w:val="en-US"/>
        </w:rPr>
        <w:t xml:space="preserve">an </w:t>
      </w:r>
      <w:r w:rsidR="00D00A0F" w:rsidRPr="002C5DE1">
        <w:rPr>
          <w:rFonts w:ascii="Times New Roman" w:hAnsi="Times New Roman" w:cs="Times New Roman"/>
          <w:color w:val="000000" w:themeColor="text1"/>
          <w:sz w:val="24"/>
          <w:szCs w:val="24"/>
          <w:lang w:val="en-US"/>
        </w:rPr>
        <w:t>increasing</w:t>
      </w:r>
      <w:r w:rsidR="00BC5E68" w:rsidRPr="002C5DE1">
        <w:rPr>
          <w:rFonts w:ascii="Times New Roman" w:hAnsi="Times New Roman" w:cs="Times New Roman"/>
          <w:color w:val="000000" w:themeColor="text1"/>
          <w:sz w:val="24"/>
          <w:szCs w:val="24"/>
          <w:lang w:val="en-US"/>
        </w:rPr>
        <w:t xml:space="preserve"> </w:t>
      </w:r>
      <w:r w:rsidR="00D00A0F" w:rsidRPr="002C5DE1">
        <w:rPr>
          <w:rFonts w:ascii="Times New Roman" w:hAnsi="Times New Roman" w:cs="Times New Roman"/>
          <w:color w:val="000000" w:themeColor="text1"/>
          <w:sz w:val="24"/>
          <w:szCs w:val="24"/>
          <w:lang w:val="en-US"/>
        </w:rPr>
        <w:t>house price-to-income</w:t>
      </w:r>
      <w:r w:rsidR="00DC3759" w:rsidRPr="002C5DE1">
        <w:rPr>
          <w:rFonts w:ascii="Times New Roman" w:hAnsi="Times New Roman" w:cs="Times New Roman"/>
          <w:color w:val="000000" w:themeColor="text1"/>
          <w:sz w:val="24"/>
          <w:szCs w:val="24"/>
          <w:lang w:val="en-US"/>
        </w:rPr>
        <w:t xml:space="preserve"> (</w:t>
      </w:r>
      <w:r w:rsidR="00BC5E68" w:rsidRPr="002C5DE1">
        <w:rPr>
          <w:rFonts w:ascii="Times New Roman" w:hAnsi="Times New Roman" w:cs="Times New Roman"/>
          <w:color w:val="000000" w:themeColor="text1"/>
          <w:sz w:val="24"/>
          <w:szCs w:val="24"/>
          <w:lang w:val="en-US"/>
        </w:rPr>
        <w:t>HPI</w:t>
      </w:r>
      <w:r w:rsidR="00DC3759" w:rsidRPr="002C5DE1">
        <w:rPr>
          <w:rFonts w:ascii="Times New Roman" w:hAnsi="Times New Roman" w:cs="Times New Roman"/>
          <w:color w:val="000000" w:themeColor="text1"/>
          <w:sz w:val="24"/>
          <w:szCs w:val="24"/>
          <w:lang w:val="en-US"/>
        </w:rPr>
        <w:t>)</w:t>
      </w:r>
      <w:r w:rsidR="00D00A0F" w:rsidRPr="002C5DE1">
        <w:rPr>
          <w:rFonts w:ascii="Times New Roman" w:hAnsi="Times New Roman" w:cs="Times New Roman"/>
          <w:color w:val="000000" w:themeColor="text1"/>
          <w:sz w:val="24"/>
          <w:szCs w:val="24"/>
          <w:lang w:val="en-US"/>
        </w:rPr>
        <w:t xml:space="preserve"> ratio</w:t>
      </w:r>
      <w:r w:rsidR="00DC3759" w:rsidRPr="002C5DE1">
        <w:rPr>
          <w:rFonts w:ascii="Times New Roman" w:hAnsi="Times New Roman" w:cs="Times New Roman"/>
          <w:color w:val="000000" w:themeColor="text1"/>
          <w:sz w:val="24"/>
          <w:szCs w:val="24"/>
          <w:lang w:val="en-US"/>
        </w:rPr>
        <w:t xml:space="preserve">. </w:t>
      </w:r>
      <w:r w:rsidR="002169F8" w:rsidRPr="002C5DE1">
        <w:rPr>
          <w:rFonts w:ascii="Times New Roman" w:hAnsi="Times New Roman" w:cs="Times New Roman"/>
          <w:color w:val="000000" w:themeColor="text1"/>
          <w:sz w:val="24"/>
          <w:szCs w:val="24"/>
          <w:lang w:val="en-US"/>
        </w:rPr>
        <w:t xml:space="preserve">After the global financial crisis (GFC), two key aspects draw attention. First, financial deepening dramatically declines after </w:t>
      </w:r>
      <w:r w:rsidR="00EB28E5" w:rsidRPr="002C5DE1">
        <w:rPr>
          <w:rFonts w:ascii="Times New Roman" w:hAnsi="Times New Roman" w:cs="Times New Roman"/>
          <w:color w:val="000000" w:themeColor="text1"/>
          <w:sz w:val="24"/>
          <w:szCs w:val="24"/>
          <w:lang w:val="en-US"/>
        </w:rPr>
        <w:t xml:space="preserve">the </w:t>
      </w:r>
      <w:r w:rsidR="002169F8" w:rsidRPr="002C5DE1">
        <w:rPr>
          <w:rFonts w:ascii="Times New Roman" w:hAnsi="Times New Roman" w:cs="Times New Roman"/>
          <w:color w:val="000000" w:themeColor="text1"/>
          <w:sz w:val="24"/>
          <w:szCs w:val="24"/>
          <w:lang w:val="en-US"/>
        </w:rPr>
        <w:t xml:space="preserve">GFC period. Second, the case of housing affordability </w:t>
      </w:r>
      <w:r w:rsidR="001018A2" w:rsidRPr="002C5DE1">
        <w:rPr>
          <w:rFonts w:ascii="Times New Roman" w:hAnsi="Times New Roman" w:cs="Times New Roman"/>
          <w:color w:val="000000" w:themeColor="text1"/>
          <w:sz w:val="24"/>
          <w:szCs w:val="24"/>
          <w:lang w:val="en-US"/>
        </w:rPr>
        <w:t>ha</w:t>
      </w:r>
      <w:r w:rsidR="00EB28E5" w:rsidRPr="002C5DE1">
        <w:rPr>
          <w:rFonts w:ascii="Times New Roman" w:hAnsi="Times New Roman" w:cs="Times New Roman"/>
          <w:color w:val="000000" w:themeColor="text1"/>
          <w:sz w:val="24"/>
          <w:szCs w:val="24"/>
          <w:lang w:val="en-US"/>
        </w:rPr>
        <w:t>s</w:t>
      </w:r>
      <w:r w:rsidR="001018A2" w:rsidRPr="002C5DE1">
        <w:rPr>
          <w:rFonts w:ascii="Times New Roman" w:hAnsi="Times New Roman" w:cs="Times New Roman"/>
          <w:color w:val="000000" w:themeColor="text1"/>
          <w:sz w:val="24"/>
          <w:szCs w:val="24"/>
          <w:lang w:val="en-US"/>
        </w:rPr>
        <w:t xml:space="preserve"> a reverse situation</w:t>
      </w:r>
      <w:r w:rsidR="005E3955" w:rsidRPr="002C5DE1">
        <w:rPr>
          <w:rFonts w:ascii="Times New Roman" w:hAnsi="Times New Roman" w:cs="Times New Roman"/>
          <w:color w:val="000000" w:themeColor="text1"/>
          <w:sz w:val="24"/>
          <w:szCs w:val="24"/>
          <w:lang w:val="en-US"/>
        </w:rPr>
        <w:t xml:space="preserve"> in contrast with </w:t>
      </w:r>
      <w:r w:rsidR="00EB28E5" w:rsidRPr="002C5DE1">
        <w:rPr>
          <w:rFonts w:ascii="Times New Roman" w:hAnsi="Times New Roman" w:cs="Times New Roman"/>
          <w:color w:val="000000" w:themeColor="text1"/>
          <w:sz w:val="24"/>
          <w:szCs w:val="24"/>
          <w:lang w:val="en-US"/>
        </w:rPr>
        <w:t xml:space="preserve">the </w:t>
      </w:r>
      <w:r w:rsidR="005E3955" w:rsidRPr="002C5DE1">
        <w:rPr>
          <w:rFonts w:ascii="Times New Roman" w:hAnsi="Times New Roman" w:cs="Times New Roman"/>
          <w:color w:val="000000" w:themeColor="text1"/>
          <w:sz w:val="24"/>
          <w:szCs w:val="24"/>
          <w:lang w:val="en-US"/>
        </w:rPr>
        <w:t xml:space="preserve">housing bubble period. </w:t>
      </w:r>
      <w:r w:rsidR="00A3657D" w:rsidRPr="002C5DE1">
        <w:rPr>
          <w:rFonts w:ascii="Times New Roman" w:hAnsi="Times New Roman" w:cs="Times New Roman"/>
          <w:color w:val="000000" w:themeColor="text1"/>
          <w:sz w:val="24"/>
          <w:szCs w:val="24"/>
          <w:lang w:val="en-US"/>
        </w:rPr>
        <w:t xml:space="preserve">For instance, </w:t>
      </w:r>
      <w:r w:rsidR="003E4A05" w:rsidRPr="002C5DE1">
        <w:rPr>
          <w:rFonts w:ascii="Times New Roman" w:hAnsi="Times New Roman" w:cs="Times New Roman"/>
          <w:color w:val="000000" w:themeColor="text1"/>
          <w:sz w:val="24"/>
          <w:szCs w:val="24"/>
          <w:lang w:val="en-US"/>
        </w:rPr>
        <w:t>affordability increase</w:t>
      </w:r>
      <w:r w:rsidR="00EB28E5" w:rsidRPr="002C5DE1">
        <w:rPr>
          <w:rFonts w:ascii="Times New Roman" w:hAnsi="Times New Roman" w:cs="Times New Roman"/>
          <w:color w:val="000000" w:themeColor="text1"/>
          <w:sz w:val="24"/>
          <w:szCs w:val="24"/>
          <w:lang w:val="en-US"/>
        </w:rPr>
        <w:t>d</w:t>
      </w:r>
      <w:r w:rsidR="00394B14" w:rsidRPr="002C5DE1">
        <w:rPr>
          <w:rStyle w:val="FootnoteReference"/>
          <w:rFonts w:ascii="Times New Roman" w:hAnsi="Times New Roman" w:cs="Times New Roman"/>
          <w:color w:val="000000" w:themeColor="text1"/>
          <w:sz w:val="24"/>
          <w:szCs w:val="24"/>
          <w:lang w:val="en-US"/>
        </w:rPr>
        <w:footnoteReference w:id="4"/>
      </w:r>
      <w:r w:rsidR="003E4A05" w:rsidRPr="002C5DE1">
        <w:rPr>
          <w:rFonts w:ascii="Times New Roman" w:hAnsi="Times New Roman" w:cs="Times New Roman"/>
          <w:color w:val="000000" w:themeColor="text1"/>
          <w:sz w:val="24"/>
          <w:szCs w:val="24"/>
          <w:lang w:val="en-US"/>
        </w:rPr>
        <w:t xml:space="preserve"> </w:t>
      </w:r>
      <w:r w:rsidR="00A3657D" w:rsidRPr="002C5DE1">
        <w:rPr>
          <w:rFonts w:ascii="Times New Roman" w:hAnsi="Times New Roman" w:cs="Times New Roman"/>
          <w:color w:val="000000" w:themeColor="text1"/>
          <w:sz w:val="24"/>
          <w:szCs w:val="24"/>
          <w:lang w:val="en-US"/>
        </w:rPr>
        <w:t>only in a few</w:t>
      </w:r>
      <w:r w:rsidR="00EB28E5" w:rsidRPr="002C5DE1">
        <w:rPr>
          <w:rFonts w:ascii="Times New Roman" w:hAnsi="Times New Roman" w:cs="Times New Roman"/>
          <w:color w:val="000000" w:themeColor="text1"/>
          <w:sz w:val="24"/>
          <w:szCs w:val="24"/>
          <w:lang w:val="en-US"/>
        </w:rPr>
        <w:t>,</w:t>
      </w:r>
      <w:r w:rsidR="003E4A05" w:rsidRPr="002C5DE1">
        <w:rPr>
          <w:rFonts w:ascii="Times New Roman" w:hAnsi="Times New Roman" w:cs="Times New Roman"/>
          <w:color w:val="000000" w:themeColor="text1"/>
          <w:sz w:val="24"/>
          <w:szCs w:val="24"/>
          <w:lang w:val="en-US"/>
        </w:rPr>
        <w:t xml:space="preserve"> mostly</w:t>
      </w:r>
      <w:r w:rsidR="00A3657D" w:rsidRPr="002C5DE1">
        <w:rPr>
          <w:rFonts w:ascii="Times New Roman" w:hAnsi="Times New Roman" w:cs="Times New Roman"/>
          <w:color w:val="000000" w:themeColor="text1"/>
          <w:sz w:val="24"/>
          <w:szCs w:val="24"/>
          <w:lang w:val="en-US"/>
        </w:rPr>
        <w:t xml:space="preserve"> developed</w:t>
      </w:r>
      <w:r w:rsidR="00EB28E5" w:rsidRPr="002C5DE1">
        <w:rPr>
          <w:rFonts w:ascii="Times New Roman" w:hAnsi="Times New Roman" w:cs="Times New Roman"/>
          <w:color w:val="000000" w:themeColor="text1"/>
          <w:sz w:val="24"/>
          <w:szCs w:val="24"/>
          <w:lang w:val="en-US"/>
        </w:rPr>
        <w:t>,</w:t>
      </w:r>
      <w:r w:rsidR="00A3657D" w:rsidRPr="002C5DE1">
        <w:rPr>
          <w:rFonts w:ascii="Times New Roman" w:hAnsi="Times New Roman" w:cs="Times New Roman"/>
          <w:color w:val="000000" w:themeColor="text1"/>
          <w:sz w:val="24"/>
          <w:szCs w:val="24"/>
          <w:lang w:val="en-US"/>
        </w:rPr>
        <w:t xml:space="preserve"> countries before GFC</w:t>
      </w:r>
      <w:r w:rsidR="00EB28E5" w:rsidRPr="002C5DE1">
        <w:rPr>
          <w:rFonts w:ascii="Times New Roman" w:hAnsi="Times New Roman" w:cs="Times New Roman"/>
          <w:color w:val="000000" w:themeColor="text1"/>
          <w:sz w:val="24"/>
          <w:szCs w:val="24"/>
          <w:lang w:val="en-US"/>
        </w:rPr>
        <w:t>;</w:t>
      </w:r>
      <w:r w:rsidR="00A3657D" w:rsidRPr="002C5DE1">
        <w:rPr>
          <w:rFonts w:ascii="Times New Roman" w:hAnsi="Times New Roman" w:cs="Times New Roman"/>
          <w:color w:val="000000" w:themeColor="text1"/>
          <w:sz w:val="24"/>
          <w:szCs w:val="24"/>
          <w:lang w:val="en-US"/>
        </w:rPr>
        <w:t xml:space="preserve"> </w:t>
      </w:r>
      <w:r w:rsidR="00EB28E5" w:rsidRPr="002C5DE1">
        <w:rPr>
          <w:rFonts w:ascii="Times New Roman" w:hAnsi="Times New Roman" w:cs="Times New Roman"/>
          <w:color w:val="000000" w:themeColor="text1"/>
          <w:sz w:val="24"/>
          <w:szCs w:val="24"/>
          <w:lang w:val="en-US"/>
        </w:rPr>
        <w:t>by contrast,</w:t>
      </w:r>
      <w:r w:rsidR="00A3657D" w:rsidRPr="002C5DE1">
        <w:rPr>
          <w:rFonts w:ascii="Times New Roman" w:hAnsi="Times New Roman" w:cs="Times New Roman"/>
          <w:color w:val="000000" w:themeColor="text1"/>
          <w:sz w:val="24"/>
          <w:szCs w:val="24"/>
          <w:lang w:val="en-US"/>
        </w:rPr>
        <w:t xml:space="preserve"> after GFC, </w:t>
      </w:r>
      <w:r w:rsidR="003E4A05" w:rsidRPr="002C5DE1">
        <w:rPr>
          <w:rFonts w:ascii="Times New Roman" w:hAnsi="Times New Roman" w:cs="Times New Roman"/>
          <w:color w:val="000000" w:themeColor="text1"/>
          <w:sz w:val="24"/>
          <w:szCs w:val="24"/>
          <w:lang w:val="en-US"/>
        </w:rPr>
        <w:t>affordability increase</w:t>
      </w:r>
      <w:r w:rsidR="00EB28E5" w:rsidRPr="002C5DE1">
        <w:rPr>
          <w:rFonts w:ascii="Times New Roman" w:hAnsi="Times New Roman" w:cs="Times New Roman"/>
          <w:color w:val="000000" w:themeColor="text1"/>
          <w:sz w:val="24"/>
          <w:szCs w:val="24"/>
          <w:lang w:val="en-US"/>
        </w:rPr>
        <w:t>d</w:t>
      </w:r>
      <w:r w:rsidR="003E4A05" w:rsidRPr="002C5DE1">
        <w:rPr>
          <w:rFonts w:ascii="Times New Roman" w:hAnsi="Times New Roman" w:cs="Times New Roman"/>
          <w:color w:val="000000" w:themeColor="text1"/>
          <w:sz w:val="24"/>
          <w:szCs w:val="24"/>
          <w:lang w:val="en-US"/>
        </w:rPr>
        <w:t xml:space="preserve"> </w:t>
      </w:r>
      <w:r w:rsidR="00A3657D" w:rsidRPr="002C5DE1">
        <w:rPr>
          <w:rFonts w:ascii="Times New Roman" w:hAnsi="Times New Roman" w:cs="Times New Roman"/>
          <w:color w:val="000000" w:themeColor="text1"/>
          <w:sz w:val="24"/>
          <w:szCs w:val="24"/>
          <w:lang w:val="en-US"/>
        </w:rPr>
        <w:t>only in a few</w:t>
      </w:r>
      <w:r w:rsidR="00EB28E5" w:rsidRPr="002C5DE1">
        <w:rPr>
          <w:rFonts w:ascii="Times New Roman" w:hAnsi="Times New Roman" w:cs="Times New Roman"/>
          <w:color w:val="000000" w:themeColor="text1"/>
          <w:sz w:val="24"/>
          <w:szCs w:val="24"/>
          <w:lang w:val="en-US"/>
        </w:rPr>
        <w:t>,</w:t>
      </w:r>
      <w:r w:rsidR="003E4A05" w:rsidRPr="002C5DE1">
        <w:rPr>
          <w:rFonts w:ascii="Times New Roman" w:hAnsi="Times New Roman" w:cs="Times New Roman"/>
          <w:color w:val="000000" w:themeColor="text1"/>
          <w:sz w:val="24"/>
          <w:szCs w:val="24"/>
          <w:lang w:val="en-US"/>
        </w:rPr>
        <w:t xml:space="preserve"> mostly</w:t>
      </w:r>
      <w:r w:rsidR="00A3657D" w:rsidRPr="002C5DE1">
        <w:rPr>
          <w:rFonts w:ascii="Times New Roman" w:hAnsi="Times New Roman" w:cs="Times New Roman"/>
          <w:color w:val="000000" w:themeColor="text1"/>
          <w:sz w:val="24"/>
          <w:szCs w:val="24"/>
          <w:lang w:val="en-US"/>
        </w:rPr>
        <w:t xml:space="preserve"> less developed or developing countries.</w:t>
      </w:r>
      <w:r w:rsidR="00185B54" w:rsidRPr="002C5DE1">
        <w:rPr>
          <w:rFonts w:ascii="Times New Roman" w:hAnsi="Times New Roman" w:cs="Times New Roman"/>
          <w:color w:val="000000" w:themeColor="text1"/>
          <w:sz w:val="24"/>
          <w:szCs w:val="24"/>
          <w:lang w:val="en-US"/>
        </w:rPr>
        <w:t xml:space="preserve"> Nevertheless, housing affordability ha</w:t>
      </w:r>
      <w:r w:rsidR="00EB28E5" w:rsidRPr="002C5DE1">
        <w:rPr>
          <w:rFonts w:ascii="Times New Roman" w:hAnsi="Times New Roman" w:cs="Times New Roman"/>
          <w:color w:val="000000" w:themeColor="text1"/>
          <w:sz w:val="24"/>
          <w:szCs w:val="24"/>
          <w:lang w:val="en-US"/>
        </w:rPr>
        <w:t>s</w:t>
      </w:r>
      <w:r w:rsidR="00185B54" w:rsidRPr="002C5DE1">
        <w:rPr>
          <w:rFonts w:ascii="Times New Roman" w:hAnsi="Times New Roman" w:cs="Times New Roman"/>
          <w:color w:val="000000" w:themeColor="text1"/>
          <w:sz w:val="24"/>
          <w:szCs w:val="24"/>
          <w:lang w:val="en-US"/>
        </w:rPr>
        <w:t xml:space="preserve"> a </w:t>
      </w:r>
      <w:r w:rsidR="00442481" w:rsidRPr="002C5DE1">
        <w:rPr>
          <w:rFonts w:ascii="Times New Roman" w:hAnsi="Times New Roman" w:cs="Times New Roman"/>
          <w:color w:val="000000" w:themeColor="text1"/>
          <w:sz w:val="24"/>
          <w:szCs w:val="24"/>
          <w:lang w:val="en-US"/>
        </w:rPr>
        <w:t xml:space="preserve">general </w:t>
      </w:r>
      <w:r w:rsidR="00185B54" w:rsidRPr="002C5DE1">
        <w:rPr>
          <w:rFonts w:ascii="Times New Roman" w:hAnsi="Times New Roman" w:cs="Times New Roman"/>
          <w:color w:val="000000" w:themeColor="text1"/>
          <w:sz w:val="24"/>
          <w:szCs w:val="24"/>
          <w:lang w:val="en-US"/>
        </w:rPr>
        <w:t>tendency to dec</w:t>
      </w:r>
      <w:r w:rsidR="00442481" w:rsidRPr="002C5DE1">
        <w:rPr>
          <w:rFonts w:ascii="Times New Roman" w:hAnsi="Times New Roman" w:cs="Times New Roman"/>
          <w:color w:val="000000" w:themeColor="text1"/>
          <w:sz w:val="24"/>
          <w:szCs w:val="24"/>
          <w:lang w:val="en-US"/>
        </w:rPr>
        <w:t>line</w:t>
      </w:r>
      <w:r w:rsidR="00185B54" w:rsidRPr="002C5DE1">
        <w:rPr>
          <w:rFonts w:ascii="Times New Roman" w:hAnsi="Times New Roman" w:cs="Times New Roman"/>
          <w:color w:val="000000" w:themeColor="text1"/>
          <w:sz w:val="24"/>
          <w:szCs w:val="24"/>
          <w:lang w:val="en-US"/>
        </w:rPr>
        <w:t xml:space="preserve"> in most countries in both </w:t>
      </w:r>
      <w:r w:rsidR="00EB28E5" w:rsidRPr="002C5DE1">
        <w:rPr>
          <w:rFonts w:ascii="Times New Roman" w:hAnsi="Times New Roman" w:cs="Times New Roman"/>
          <w:color w:val="000000" w:themeColor="text1"/>
          <w:sz w:val="24"/>
          <w:szCs w:val="24"/>
          <w:lang w:val="en-US"/>
        </w:rPr>
        <w:t>prior</w:t>
      </w:r>
      <w:r w:rsidR="00185B54" w:rsidRPr="002C5DE1">
        <w:rPr>
          <w:rFonts w:ascii="Times New Roman" w:hAnsi="Times New Roman" w:cs="Times New Roman"/>
          <w:color w:val="000000" w:themeColor="text1"/>
          <w:sz w:val="24"/>
          <w:szCs w:val="24"/>
          <w:lang w:val="en-US"/>
        </w:rPr>
        <w:t xml:space="preserve"> and after </w:t>
      </w:r>
      <w:r w:rsidR="00EB28E5" w:rsidRPr="002C5DE1">
        <w:rPr>
          <w:rFonts w:ascii="Times New Roman" w:hAnsi="Times New Roman" w:cs="Times New Roman"/>
          <w:color w:val="000000" w:themeColor="text1"/>
          <w:sz w:val="24"/>
          <w:szCs w:val="24"/>
          <w:lang w:val="en-US"/>
        </w:rPr>
        <w:t xml:space="preserve">the </w:t>
      </w:r>
      <w:r w:rsidR="00185B54" w:rsidRPr="002C5DE1">
        <w:rPr>
          <w:rFonts w:ascii="Times New Roman" w:hAnsi="Times New Roman" w:cs="Times New Roman"/>
          <w:color w:val="000000" w:themeColor="text1"/>
          <w:sz w:val="24"/>
          <w:szCs w:val="24"/>
          <w:lang w:val="en-US"/>
        </w:rPr>
        <w:t>GFC period.</w:t>
      </w:r>
      <w:r w:rsidR="00CD0065" w:rsidRPr="002C5DE1">
        <w:rPr>
          <w:rFonts w:ascii="Times New Roman" w:hAnsi="Times New Roman" w:cs="Times New Roman"/>
          <w:color w:val="000000" w:themeColor="text1"/>
          <w:sz w:val="24"/>
          <w:szCs w:val="24"/>
          <w:lang w:val="en-US"/>
        </w:rPr>
        <w:t xml:space="preserve"> </w:t>
      </w:r>
    </w:p>
    <w:p w14:paraId="27710B7B" w14:textId="77777777" w:rsidR="00CD0065" w:rsidRPr="002C5DE1" w:rsidRDefault="00CD0065" w:rsidP="008E588C">
      <w:pPr>
        <w:spacing w:after="120" w:line="276" w:lineRule="auto"/>
        <w:ind w:firstLine="357"/>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 xml:space="preserve">Moreover, in the relevant literature, it has long been recognized that the total effect of changes in the rate of interest on the readiness to spend on present consumption is complex and uncertain (Coskun et al., 2018). Keynes (1936) discussed how it was convenient to </w:t>
      </w:r>
      <w:r w:rsidR="00EB28E5" w:rsidRPr="002C5DE1">
        <w:rPr>
          <w:rFonts w:ascii="Times New Roman" w:hAnsi="Times New Roman" w:cs="Times New Roman"/>
          <w:color w:val="000000" w:themeColor="text1"/>
          <w:sz w:val="24"/>
          <w:szCs w:val="24"/>
          <w:lang w:val="en-US"/>
        </w:rPr>
        <w:t xml:space="preserve">assume </w:t>
      </w:r>
      <w:r w:rsidRPr="002C5DE1">
        <w:rPr>
          <w:rFonts w:ascii="Times New Roman" w:hAnsi="Times New Roman" w:cs="Times New Roman"/>
          <w:color w:val="000000" w:themeColor="text1"/>
          <w:sz w:val="24"/>
          <w:szCs w:val="24"/>
          <w:lang w:val="en-US"/>
        </w:rPr>
        <w:t xml:space="preserve">negative relations between consumption and interest rates according to </w:t>
      </w:r>
      <w:r w:rsidR="00EB28E5" w:rsidRPr="002C5DE1">
        <w:rPr>
          <w:rFonts w:ascii="Times New Roman" w:hAnsi="Times New Roman" w:cs="Times New Roman"/>
          <w:color w:val="000000" w:themeColor="text1"/>
          <w:sz w:val="24"/>
          <w:szCs w:val="24"/>
          <w:lang w:val="en-US"/>
        </w:rPr>
        <w:t xml:space="preserve">the </w:t>
      </w:r>
      <w:r w:rsidRPr="002C5DE1">
        <w:rPr>
          <w:rFonts w:ascii="Times New Roman" w:hAnsi="Times New Roman" w:cs="Times New Roman"/>
          <w:color w:val="000000" w:themeColor="text1"/>
          <w:sz w:val="24"/>
          <w:szCs w:val="24"/>
          <w:lang w:val="en-US"/>
        </w:rPr>
        <w:t xml:space="preserve">classical theory; </w:t>
      </w:r>
      <w:r w:rsidR="00EB28E5" w:rsidRPr="002C5DE1">
        <w:rPr>
          <w:rFonts w:ascii="Times New Roman" w:hAnsi="Times New Roman" w:cs="Times New Roman"/>
          <w:color w:val="000000" w:themeColor="text1"/>
          <w:sz w:val="24"/>
          <w:szCs w:val="24"/>
          <w:lang w:val="en-US"/>
        </w:rPr>
        <w:t>however,</w:t>
      </w:r>
      <w:r w:rsidRPr="002C5DE1">
        <w:rPr>
          <w:rFonts w:ascii="Times New Roman" w:hAnsi="Times New Roman" w:cs="Times New Roman"/>
          <w:color w:val="000000" w:themeColor="text1"/>
          <w:sz w:val="24"/>
          <w:szCs w:val="24"/>
          <w:lang w:val="en-US"/>
        </w:rPr>
        <w:t xml:space="preserve"> </w:t>
      </w:r>
      <w:r w:rsidR="00EB28E5" w:rsidRPr="002C5DE1">
        <w:rPr>
          <w:rFonts w:ascii="Times New Roman" w:hAnsi="Times New Roman" w:cs="Times New Roman"/>
          <w:color w:val="000000" w:themeColor="text1"/>
          <w:sz w:val="24"/>
          <w:szCs w:val="24"/>
          <w:lang w:val="en-US"/>
        </w:rPr>
        <w:t xml:space="preserve">the </w:t>
      </w:r>
      <w:r w:rsidRPr="002C5DE1">
        <w:rPr>
          <w:rFonts w:ascii="Times New Roman" w:hAnsi="Times New Roman" w:cs="Times New Roman"/>
          <w:color w:val="000000" w:themeColor="text1"/>
          <w:sz w:val="24"/>
          <w:szCs w:val="24"/>
          <w:lang w:val="en-US"/>
        </w:rPr>
        <w:t xml:space="preserve">empirical literature also reveals that the evidence is mixed for the impact of interest rates on consumption. </w:t>
      </w:r>
      <w:r w:rsidR="00B24417" w:rsidRPr="002C5DE1">
        <w:rPr>
          <w:rFonts w:ascii="Times New Roman" w:hAnsi="Times New Roman" w:cs="Times New Roman"/>
          <w:color w:val="000000" w:themeColor="text1"/>
          <w:sz w:val="24"/>
          <w:szCs w:val="24"/>
          <w:lang w:val="en-US"/>
        </w:rPr>
        <w:t>Although,</w:t>
      </w:r>
      <w:r w:rsidR="006409C5" w:rsidRPr="002C5DE1">
        <w:rPr>
          <w:rFonts w:ascii="Times New Roman" w:hAnsi="Times New Roman" w:cs="Times New Roman"/>
          <w:color w:val="000000" w:themeColor="text1"/>
          <w:sz w:val="24"/>
          <w:szCs w:val="24"/>
          <w:lang w:val="en-US"/>
        </w:rPr>
        <w:t xml:space="preserve"> we did</w:t>
      </w:r>
      <w:r w:rsidR="00EB28E5" w:rsidRPr="002C5DE1">
        <w:rPr>
          <w:rFonts w:ascii="Times New Roman" w:hAnsi="Times New Roman" w:cs="Times New Roman"/>
          <w:color w:val="000000" w:themeColor="text1"/>
          <w:sz w:val="24"/>
          <w:szCs w:val="24"/>
          <w:lang w:val="en-US"/>
        </w:rPr>
        <w:t xml:space="preserve"> </w:t>
      </w:r>
      <w:r w:rsidR="006409C5" w:rsidRPr="002C5DE1">
        <w:rPr>
          <w:rFonts w:ascii="Times New Roman" w:hAnsi="Times New Roman" w:cs="Times New Roman"/>
          <w:color w:val="000000" w:themeColor="text1"/>
          <w:sz w:val="24"/>
          <w:szCs w:val="24"/>
          <w:lang w:val="en-US"/>
        </w:rPr>
        <w:t>n</w:t>
      </w:r>
      <w:r w:rsidR="00EB28E5" w:rsidRPr="002C5DE1">
        <w:rPr>
          <w:rFonts w:ascii="Times New Roman" w:hAnsi="Times New Roman" w:cs="Times New Roman"/>
          <w:color w:val="000000" w:themeColor="text1"/>
          <w:sz w:val="24"/>
          <w:szCs w:val="24"/>
          <w:lang w:val="en-US"/>
        </w:rPr>
        <w:t>o</w:t>
      </w:r>
      <w:r w:rsidR="006409C5" w:rsidRPr="002C5DE1">
        <w:rPr>
          <w:rFonts w:ascii="Times New Roman" w:hAnsi="Times New Roman" w:cs="Times New Roman"/>
          <w:color w:val="000000" w:themeColor="text1"/>
          <w:sz w:val="24"/>
          <w:szCs w:val="24"/>
          <w:lang w:val="en-US"/>
        </w:rPr>
        <w:t>t include interest rate</w:t>
      </w:r>
      <w:r w:rsidR="00EB28E5" w:rsidRPr="002C5DE1">
        <w:rPr>
          <w:rFonts w:ascii="Times New Roman" w:hAnsi="Times New Roman" w:cs="Times New Roman"/>
          <w:color w:val="000000" w:themeColor="text1"/>
          <w:sz w:val="24"/>
          <w:szCs w:val="24"/>
          <w:lang w:val="en-US"/>
        </w:rPr>
        <w:t>s</w:t>
      </w:r>
      <w:r w:rsidR="006409C5" w:rsidRPr="002C5DE1">
        <w:rPr>
          <w:rFonts w:ascii="Times New Roman" w:hAnsi="Times New Roman" w:cs="Times New Roman"/>
          <w:color w:val="000000" w:themeColor="text1"/>
          <w:sz w:val="24"/>
          <w:szCs w:val="24"/>
          <w:lang w:val="en-US"/>
        </w:rPr>
        <w:t xml:space="preserve"> in our </w:t>
      </w:r>
      <w:r w:rsidR="00EB28E5" w:rsidRPr="002C5DE1">
        <w:rPr>
          <w:rFonts w:ascii="Times New Roman" w:hAnsi="Times New Roman" w:cs="Times New Roman"/>
          <w:color w:val="000000" w:themeColor="text1"/>
          <w:sz w:val="24"/>
          <w:szCs w:val="24"/>
          <w:lang w:val="en-US"/>
        </w:rPr>
        <w:t>empirical</w:t>
      </w:r>
      <w:r w:rsidR="006409C5" w:rsidRPr="002C5DE1">
        <w:rPr>
          <w:rFonts w:ascii="Times New Roman" w:hAnsi="Times New Roman" w:cs="Times New Roman"/>
          <w:color w:val="000000" w:themeColor="text1"/>
          <w:sz w:val="24"/>
          <w:szCs w:val="24"/>
          <w:lang w:val="en-US"/>
        </w:rPr>
        <w:t xml:space="preserve"> model</w:t>
      </w:r>
      <w:r w:rsidR="00EB28E5" w:rsidRPr="002C5DE1">
        <w:rPr>
          <w:rFonts w:ascii="Times New Roman" w:hAnsi="Times New Roman" w:cs="Times New Roman"/>
          <w:color w:val="000000" w:themeColor="text1"/>
          <w:sz w:val="24"/>
          <w:szCs w:val="24"/>
          <w:lang w:val="en-US"/>
        </w:rPr>
        <w:t>;</w:t>
      </w:r>
      <w:r w:rsidR="006409C5" w:rsidRPr="002C5DE1">
        <w:rPr>
          <w:rFonts w:ascii="Times New Roman" w:hAnsi="Times New Roman" w:cs="Times New Roman"/>
          <w:color w:val="000000" w:themeColor="text1"/>
          <w:sz w:val="24"/>
          <w:szCs w:val="24"/>
          <w:lang w:val="en-US"/>
        </w:rPr>
        <w:t xml:space="preserve"> i</w:t>
      </w:r>
      <w:r w:rsidRPr="002C5DE1">
        <w:rPr>
          <w:rFonts w:ascii="Times New Roman" w:hAnsi="Times New Roman" w:cs="Times New Roman"/>
          <w:color w:val="000000" w:themeColor="text1"/>
          <w:sz w:val="24"/>
          <w:szCs w:val="24"/>
          <w:lang w:val="en-US"/>
        </w:rPr>
        <w:t xml:space="preserve">t can be seen from </w:t>
      </w:r>
      <w:r w:rsidR="00EB28E5" w:rsidRPr="002C5DE1">
        <w:rPr>
          <w:rFonts w:ascii="Times New Roman" w:hAnsi="Times New Roman" w:cs="Times New Roman"/>
          <w:color w:val="000000" w:themeColor="text1"/>
          <w:sz w:val="24"/>
          <w:szCs w:val="24"/>
          <w:lang w:val="en-US"/>
        </w:rPr>
        <w:t>F</w:t>
      </w:r>
      <w:r w:rsidRPr="002C5DE1">
        <w:rPr>
          <w:rFonts w:ascii="Times New Roman" w:hAnsi="Times New Roman" w:cs="Times New Roman"/>
          <w:color w:val="000000" w:themeColor="text1"/>
          <w:sz w:val="24"/>
          <w:szCs w:val="24"/>
          <w:lang w:val="en-US"/>
        </w:rPr>
        <w:t>igure</w:t>
      </w:r>
      <w:r w:rsidR="00EB28E5" w:rsidRPr="002C5DE1">
        <w:rPr>
          <w:rFonts w:ascii="Times New Roman" w:hAnsi="Times New Roman" w:cs="Times New Roman"/>
          <w:color w:val="000000" w:themeColor="text1"/>
          <w:sz w:val="24"/>
          <w:szCs w:val="24"/>
          <w:lang w:val="en-US"/>
        </w:rPr>
        <w:t>s</w:t>
      </w:r>
      <w:r w:rsidRPr="002C5DE1">
        <w:rPr>
          <w:rFonts w:ascii="Times New Roman" w:hAnsi="Times New Roman" w:cs="Times New Roman"/>
          <w:color w:val="000000" w:themeColor="text1"/>
          <w:sz w:val="24"/>
          <w:szCs w:val="24"/>
          <w:lang w:val="en-US"/>
        </w:rPr>
        <w:t xml:space="preserve"> </w:t>
      </w:r>
      <w:r w:rsidR="000524FC" w:rsidRPr="002C5DE1">
        <w:rPr>
          <w:rFonts w:ascii="Times New Roman" w:hAnsi="Times New Roman" w:cs="Times New Roman"/>
          <w:color w:val="000000" w:themeColor="text1"/>
          <w:sz w:val="24"/>
          <w:szCs w:val="24"/>
          <w:lang w:val="en-US"/>
        </w:rPr>
        <w:t>A</w:t>
      </w:r>
      <w:r w:rsidRPr="002C5DE1">
        <w:rPr>
          <w:rFonts w:ascii="Times New Roman" w:hAnsi="Times New Roman" w:cs="Times New Roman"/>
          <w:color w:val="000000" w:themeColor="text1"/>
          <w:sz w:val="24"/>
          <w:szCs w:val="24"/>
          <w:lang w:val="en-US"/>
        </w:rPr>
        <w:t xml:space="preserve">3a and </w:t>
      </w:r>
      <w:r w:rsidR="000524FC" w:rsidRPr="002C5DE1">
        <w:rPr>
          <w:rFonts w:ascii="Times New Roman" w:hAnsi="Times New Roman" w:cs="Times New Roman"/>
          <w:color w:val="000000" w:themeColor="text1"/>
          <w:sz w:val="24"/>
          <w:szCs w:val="24"/>
          <w:lang w:val="en-US"/>
        </w:rPr>
        <w:t>A</w:t>
      </w:r>
      <w:r w:rsidRPr="002C5DE1">
        <w:rPr>
          <w:rFonts w:ascii="Times New Roman" w:hAnsi="Times New Roman" w:cs="Times New Roman"/>
          <w:color w:val="000000" w:themeColor="text1"/>
          <w:sz w:val="24"/>
          <w:szCs w:val="24"/>
          <w:lang w:val="en-US"/>
        </w:rPr>
        <w:t>3b that interest rates decline</w:t>
      </w:r>
      <w:r w:rsidR="00EB28E5" w:rsidRPr="002C5DE1">
        <w:rPr>
          <w:rFonts w:ascii="Times New Roman" w:hAnsi="Times New Roman" w:cs="Times New Roman"/>
          <w:color w:val="000000" w:themeColor="text1"/>
          <w:sz w:val="24"/>
          <w:szCs w:val="24"/>
          <w:lang w:val="en-US"/>
        </w:rPr>
        <w:t>d</w:t>
      </w:r>
      <w:r w:rsidRPr="002C5DE1">
        <w:rPr>
          <w:rFonts w:ascii="Times New Roman" w:hAnsi="Times New Roman" w:cs="Times New Roman"/>
          <w:color w:val="000000" w:themeColor="text1"/>
          <w:sz w:val="24"/>
          <w:szCs w:val="24"/>
          <w:lang w:val="en-US"/>
        </w:rPr>
        <w:t xml:space="preserve"> both </w:t>
      </w:r>
      <w:r w:rsidR="00EB28E5" w:rsidRPr="002C5DE1">
        <w:rPr>
          <w:rFonts w:ascii="Times New Roman" w:hAnsi="Times New Roman" w:cs="Times New Roman"/>
          <w:color w:val="000000" w:themeColor="text1"/>
          <w:sz w:val="24"/>
          <w:szCs w:val="24"/>
          <w:lang w:val="en-US"/>
        </w:rPr>
        <w:t>prior</w:t>
      </w:r>
      <w:r w:rsidRPr="002C5DE1">
        <w:rPr>
          <w:rFonts w:ascii="Times New Roman" w:hAnsi="Times New Roman" w:cs="Times New Roman"/>
          <w:color w:val="000000" w:themeColor="text1"/>
          <w:sz w:val="24"/>
          <w:szCs w:val="24"/>
          <w:lang w:val="en-US"/>
        </w:rPr>
        <w:t xml:space="preserve"> and after </w:t>
      </w:r>
      <w:r w:rsidR="00EB28E5" w:rsidRPr="002C5DE1">
        <w:rPr>
          <w:rFonts w:ascii="Times New Roman" w:hAnsi="Times New Roman" w:cs="Times New Roman"/>
          <w:color w:val="000000" w:themeColor="text1"/>
          <w:sz w:val="24"/>
          <w:szCs w:val="24"/>
          <w:lang w:val="en-US"/>
        </w:rPr>
        <w:t xml:space="preserve">the </w:t>
      </w:r>
      <w:r w:rsidRPr="002C5DE1">
        <w:rPr>
          <w:rFonts w:ascii="Times New Roman" w:hAnsi="Times New Roman" w:cs="Times New Roman"/>
          <w:color w:val="000000" w:themeColor="text1"/>
          <w:sz w:val="24"/>
          <w:szCs w:val="24"/>
          <w:lang w:val="en-US"/>
        </w:rPr>
        <w:t xml:space="preserve">GFC period. </w:t>
      </w:r>
      <w:r w:rsidR="00EF0DC9" w:rsidRPr="002C5DE1">
        <w:rPr>
          <w:rFonts w:ascii="Times New Roman" w:hAnsi="Times New Roman" w:cs="Times New Roman"/>
          <w:color w:val="000000" w:themeColor="text1"/>
          <w:sz w:val="24"/>
          <w:szCs w:val="24"/>
          <w:lang w:val="en-US"/>
        </w:rPr>
        <w:t xml:space="preserve">In other words, </w:t>
      </w:r>
      <w:r w:rsidR="00EB28E5" w:rsidRPr="002C5DE1">
        <w:rPr>
          <w:rFonts w:ascii="Times New Roman" w:hAnsi="Times New Roman" w:cs="Times New Roman"/>
          <w:color w:val="000000" w:themeColor="text1"/>
          <w:sz w:val="24"/>
          <w:szCs w:val="24"/>
          <w:lang w:val="en-US"/>
        </w:rPr>
        <w:t>the</w:t>
      </w:r>
      <w:r w:rsidR="006409C5" w:rsidRPr="002C5DE1">
        <w:rPr>
          <w:rFonts w:ascii="Times New Roman" w:hAnsi="Times New Roman" w:cs="Times New Roman"/>
          <w:color w:val="000000" w:themeColor="text1"/>
          <w:sz w:val="24"/>
          <w:szCs w:val="24"/>
          <w:lang w:val="en-US"/>
        </w:rPr>
        <w:t xml:space="preserve"> interest rate</w:t>
      </w:r>
      <w:r w:rsidR="00EB28E5" w:rsidRPr="002C5DE1">
        <w:rPr>
          <w:rFonts w:ascii="Times New Roman" w:hAnsi="Times New Roman" w:cs="Times New Roman"/>
          <w:color w:val="000000" w:themeColor="text1"/>
          <w:sz w:val="24"/>
          <w:szCs w:val="24"/>
          <w:lang w:val="en-US"/>
        </w:rPr>
        <w:t>s</w:t>
      </w:r>
      <w:r w:rsidR="006409C5" w:rsidRPr="002C5DE1">
        <w:rPr>
          <w:rFonts w:ascii="Times New Roman" w:hAnsi="Times New Roman" w:cs="Times New Roman"/>
          <w:color w:val="000000" w:themeColor="text1"/>
          <w:sz w:val="24"/>
          <w:szCs w:val="24"/>
          <w:lang w:val="en-US"/>
        </w:rPr>
        <w:t xml:space="preserve"> have the same</w:t>
      </w:r>
      <w:r w:rsidR="00EC3C55" w:rsidRPr="002C5DE1">
        <w:rPr>
          <w:rFonts w:ascii="Times New Roman" w:hAnsi="Times New Roman" w:cs="Times New Roman"/>
          <w:color w:val="000000" w:themeColor="text1"/>
          <w:sz w:val="24"/>
          <w:szCs w:val="24"/>
          <w:lang w:val="en-US"/>
        </w:rPr>
        <w:t xml:space="preserve"> declining</w:t>
      </w:r>
      <w:r w:rsidR="006409C5" w:rsidRPr="002C5DE1">
        <w:rPr>
          <w:rFonts w:ascii="Times New Roman" w:hAnsi="Times New Roman" w:cs="Times New Roman"/>
          <w:color w:val="000000" w:themeColor="text1"/>
          <w:sz w:val="24"/>
          <w:szCs w:val="24"/>
          <w:lang w:val="en-US"/>
        </w:rPr>
        <w:t xml:space="preserve"> tendency</w:t>
      </w:r>
      <w:r w:rsidR="003F20E7" w:rsidRPr="002C5DE1">
        <w:rPr>
          <w:rFonts w:ascii="Times New Roman" w:hAnsi="Times New Roman" w:cs="Times New Roman"/>
          <w:color w:val="000000" w:themeColor="text1"/>
          <w:sz w:val="24"/>
          <w:szCs w:val="24"/>
          <w:lang w:val="en-US"/>
        </w:rPr>
        <w:t xml:space="preserve"> </w:t>
      </w:r>
      <w:r w:rsidR="00EB28E5" w:rsidRPr="002C5DE1">
        <w:rPr>
          <w:rFonts w:ascii="Times New Roman" w:hAnsi="Times New Roman" w:cs="Times New Roman"/>
          <w:color w:val="000000" w:themeColor="text1"/>
          <w:sz w:val="24"/>
          <w:szCs w:val="24"/>
          <w:lang w:val="en-US"/>
        </w:rPr>
        <w:t>across</w:t>
      </w:r>
      <w:r w:rsidR="003F20E7" w:rsidRPr="002C5DE1">
        <w:rPr>
          <w:rFonts w:ascii="Times New Roman" w:hAnsi="Times New Roman" w:cs="Times New Roman"/>
          <w:color w:val="000000" w:themeColor="text1"/>
          <w:sz w:val="24"/>
          <w:szCs w:val="24"/>
          <w:lang w:val="en-US"/>
        </w:rPr>
        <w:t xml:space="preserve"> all countries </w:t>
      </w:r>
      <w:r w:rsidR="00EB28E5" w:rsidRPr="002C5DE1">
        <w:rPr>
          <w:rFonts w:ascii="Times New Roman" w:hAnsi="Times New Roman" w:cs="Times New Roman"/>
          <w:color w:val="000000" w:themeColor="text1"/>
          <w:sz w:val="24"/>
          <w:szCs w:val="24"/>
          <w:lang w:val="en-US"/>
        </w:rPr>
        <w:t>in</w:t>
      </w:r>
      <w:r w:rsidR="003F20E7" w:rsidRPr="002C5DE1">
        <w:rPr>
          <w:rFonts w:ascii="Times New Roman" w:hAnsi="Times New Roman" w:cs="Times New Roman"/>
          <w:color w:val="000000" w:themeColor="text1"/>
          <w:sz w:val="24"/>
          <w:szCs w:val="24"/>
          <w:lang w:val="en-US"/>
        </w:rPr>
        <w:t xml:space="preserve"> the overall period.</w:t>
      </w:r>
      <w:r w:rsidR="00442481" w:rsidRPr="002C5DE1">
        <w:rPr>
          <w:rFonts w:ascii="Times New Roman" w:hAnsi="Times New Roman" w:cs="Times New Roman"/>
          <w:color w:val="000000" w:themeColor="text1"/>
          <w:sz w:val="24"/>
          <w:szCs w:val="24"/>
          <w:lang w:val="en-US"/>
        </w:rPr>
        <w:t xml:space="preserve"> Below, we summarize how financial wealth, financial development, housing wealth, housing affordability and interest rate change during housing bubble period (2003-2007Q2) and post GFC period (2011-2016).</w:t>
      </w:r>
    </w:p>
    <w:p w14:paraId="36D23ED5" w14:textId="77777777" w:rsidR="00435D5B" w:rsidRPr="002C5DE1" w:rsidRDefault="00442481" w:rsidP="005A153C">
      <w:pPr>
        <w:spacing w:after="120" w:line="276" w:lineRule="auto"/>
        <w:jc w:val="both"/>
        <w:rPr>
          <w:rFonts w:ascii="Times New Roman" w:hAnsi="Times New Roman" w:cs="Times New Roman"/>
          <w:b/>
          <w:i/>
          <w:color w:val="000000" w:themeColor="text1"/>
          <w:sz w:val="24"/>
          <w:szCs w:val="24"/>
          <w:lang w:val="en-US"/>
        </w:rPr>
      </w:pPr>
      <w:r w:rsidRPr="002C5DE1">
        <w:rPr>
          <w:rFonts w:ascii="Times New Roman" w:hAnsi="Times New Roman" w:cs="Times New Roman"/>
          <w:b/>
          <w:i/>
          <w:color w:val="000000" w:themeColor="text1"/>
          <w:sz w:val="24"/>
          <w:szCs w:val="24"/>
          <w:lang w:val="en-US"/>
        </w:rPr>
        <w:t>Housing bubble</w:t>
      </w:r>
      <w:r w:rsidR="009A420E" w:rsidRPr="002C5DE1">
        <w:rPr>
          <w:rFonts w:ascii="Times New Roman" w:hAnsi="Times New Roman" w:cs="Times New Roman"/>
          <w:b/>
          <w:i/>
          <w:color w:val="000000" w:themeColor="text1"/>
          <w:sz w:val="24"/>
          <w:szCs w:val="24"/>
          <w:lang w:val="en-US"/>
        </w:rPr>
        <w:t xml:space="preserve"> /prior GFC</w:t>
      </w:r>
      <w:r w:rsidR="00435D5B" w:rsidRPr="002C5DE1">
        <w:rPr>
          <w:rFonts w:ascii="Times New Roman" w:hAnsi="Times New Roman" w:cs="Times New Roman"/>
          <w:b/>
          <w:i/>
          <w:color w:val="000000" w:themeColor="text1"/>
          <w:sz w:val="24"/>
          <w:szCs w:val="24"/>
          <w:lang w:val="en-US"/>
        </w:rPr>
        <w:t xml:space="preserve"> period (2003-2007</w:t>
      </w:r>
      <w:r w:rsidRPr="002C5DE1">
        <w:rPr>
          <w:rFonts w:ascii="Times New Roman" w:hAnsi="Times New Roman" w:cs="Times New Roman"/>
          <w:b/>
          <w:i/>
          <w:color w:val="000000" w:themeColor="text1"/>
          <w:sz w:val="24"/>
          <w:szCs w:val="24"/>
          <w:lang w:val="en-US"/>
        </w:rPr>
        <w:t>Q2</w:t>
      </w:r>
      <w:r w:rsidR="00435D5B" w:rsidRPr="002C5DE1">
        <w:rPr>
          <w:rFonts w:ascii="Times New Roman" w:hAnsi="Times New Roman" w:cs="Times New Roman"/>
          <w:b/>
          <w:i/>
          <w:color w:val="000000" w:themeColor="text1"/>
          <w:sz w:val="24"/>
          <w:szCs w:val="24"/>
          <w:lang w:val="en-US"/>
        </w:rPr>
        <w:t>)</w:t>
      </w:r>
    </w:p>
    <w:p w14:paraId="3AC1405B" w14:textId="77777777" w:rsidR="006C09D4" w:rsidRPr="002C5DE1" w:rsidRDefault="00435D5B" w:rsidP="005A153C">
      <w:pPr>
        <w:pStyle w:val="ListParagraph"/>
        <w:numPr>
          <w:ilvl w:val="0"/>
          <w:numId w:val="3"/>
        </w:numPr>
        <w:spacing w:after="120" w:line="276" w:lineRule="auto"/>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Financial wealth: In all countries</w:t>
      </w:r>
      <w:r w:rsidR="00EB28E5" w:rsidRPr="002C5DE1">
        <w:rPr>
          <w:rFonts w:ascii="Times New Roman" w:hAnsi="Times New Roman" w:cs="Times New Roman"/>
          <w:color w:val="000000" w:themeColor="text1"/>
          <w:sz w:val="24"/>
          <w:szCs w:val="24"/>
          <w:lang w:val="en-US"/>
        </w:rPr>
        <w:t>,</w:t>
      </w:r>
      <w:r w:rsidRPr="002C5DE1">
        <w:rPr>
          <w:rFonts w:ascii="Times New Roman" w:hAnsi="Times New Roman" w:cs="Times New Roman"/>
          <w:color w:val="000000" w:themeColor="text1"/>
          <w:sz w:val="24"/>
          <w:szCs w:val="24"/>
          <w:lang w:val="en-US"/>
        </w:rPr>
        <w:t xml:space="preserve"> financial wealth increases in the </w:t>
      </w:r>
      <w:r w:rsidR="002A11C7" w:rsidRPr="002C5DE1">
        <w:rPr>
          <w:rFonts w:ascii="Times New Roman" w:hAnsi="Times New Roman" w:cs="Times New Roman"/>
          <w:color w:val="000000" w:themeColor="text1"/>
          <w:sz w:val="24"/>
          <w:szCs w:val="24"/>
          <w:lang w:val="en-US"/>
        </w:rPr>
        <w:t>housing bubble</w:t>
      </w:r>
      <w:r w:rsidRPr="002C5DE1">
        <w:rPr>
          <w:rFonts w:ascii="Times New Roman" w:hAnsi="Times New Roman" w:cs="Times New Roman"/>
          <w:color w:val="000000" w:themeColor="text1"/>
          <w:sz w:val="24"/>
          <w:szCs w:val="24"/>
          <w:lang w:val="en-US"/>
        </w:rPr>
        <w:t xml:space="preserve"> period</w:t>
      </w:r>
      <w:r w:rsidR="00C159C9" w:rsidRPr="002C5DE1">
        <w:rPr>
          <w:rFonts w:ascii="Times New Roman" w:hAnsi="Times New Roman" w:cs="Times New Roman"/>
          <w:color w:val="000000" w:themeColor="text1"/>
          <w:sz w:val="24"/>
          <w:szCs w:val="24"/>
          <w:lang w:val="en-US"/>
        </w:rPr>
        <w:t xml:space="preserve"> (Figure A1).</w:t>
      </w:r>
    </w:p>
    <w:p w14:paraId="22CEA7C5" w14:textId="77777777" w:rsidR="006C09D4" w:rsidRPr="002C5DE1" w:rsidRDefault="00435D5B" w:rsidP="005A153C">
      <w:pPr>
        <w:pStyle w:val="ListParagraph"/>
        <w:numPr>
          <w:ilvl w:val="0"/>
          <w:numId w:val="3"/>
        </w:numPr>
        <w:spacing w:after="120" w:line="276" w:lineRule="auto"/>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 xml:space="preserve">Financial development: </w:t>
      </w:r>
      <w:r w:rsidR="002A11C7" w:rsidRPr="002C5DE1">
        <w:rPr>
          <w:rFonts w:ascii="Times New Roman" w:hAnsi="Times New Roman" w:cs="Times New Roman"/>
          <w:color w:val="000000" w:themeColor="text1"/>
          <w:sz w:val="24"/>
          <w:szCs w:val="24"/>
          <w:lang w:val="en-US"/>
        </w:rPr>
        <w:t>During bubble period, f</w:t>
      </w:r>
      <w:r w:rsidRPr="002C5DE1">
        <w:rPr>
          <w:rFonts w:ascii="Times New Roman" w:hAnsi="Times New Roman" w:cs="Times New Roman"/>
          <w:color w:val="000000" w:themeColor="text1"/>
          <w:sz w:val="24"/>
          <w:szCs w:val="24"/>
          <w:lang w:val="en-US"/>
        </w:rPr>
        <w:t>inancial de</w:t>
      </w:r>
      <w:r w:rsidR="00EF0DC9" w:rsidRPr="002C5DE1">
        <w:rPr>
          <w:rFonts w:ascii="Times New Roman" w:hAnsi="Times New Roman" w:cs="Times New Roman"/>
          <w:color w:val="000000" w:themeColor="text1"/>
          <w:sz w:val="24"/>
          <w:szCs w:val="24"/>
          <w:lang w:val="en-US"/>
        </w:rPr>
        <w:t>velopment index</w:t>
      </w:r>
      <w:r w:rsidRPr="002C5DE1">
        <w:rPr>
          <w:rFonts w:ascii="Times New Roman" w:hAnsi="Times New Roman" w:cs="Times New Roman"/>
          <w:color w:val="000000" w:themeColor="text1"/>
          <w:sz w:val="24"/>
          <w:szCs w:val="24"/>
          <w:lang w:val="en-US"/>
        </w:rPr>
        <w:t xml:space="preserve"> increases in all countries</w:t>
      </w:r>
      <w:r w:rsidR="00EB28E5" w:rsidRPr="002C5DE1">
        <w:rPr>
          <w:rFonts w:ascii="Times New Roman" w:hAnsi="Times New Roman" w:cs="Times New Roman"/>
          <w:color w:val="000000" w:themeColor="text1"/>
          <w:sz w:val="24"/>
          <w:szCs w:val="24"/>
          <w:lang w:val="en-US"/>
        </w:rPr>
        <w:t>,</w:t>
      </w:r>
      <w:r w:rsidRPr="002C5DE1">
        <w:rPr>
          <w:rFonts w:ascii="Times New Roman" w:hAnsi="Times New Roman" w:cs="Times New Roman"/>
          <w:color w:val="000000" w:themeColor="text1"/>
          <w:sz w:val="24"/>
          <w:szCs w:val="24"/>
          <w:lang w:val="en-US"/>
        </w:rPr>
        <w:t xml:space="preserve"> except </w:t>
      </w:r>
      <w:r w:rsidR="00EB28E5" w:rsidRPr="002C5DE1">
        <w:rPr>
          <w:rFonts w:ascii="Times New Roman" w:hAnsi="Times New Roman" w:cs="Times New Roman"/>
          <w:color w:val="000000" w:themeColor="text1"/>
          <w:sz w:val="24"/>
          <w:szCs w:val="24"/>
          <w:lang w:val="en-US"/>
        </w:rPr>
        <w:t xml:space="preserve">in </w:t>
      </w:r>
      <w:r w:rsidRPr="002C5DE1">
        <w:rPr>
          <w:rFonts w:ascii="Times New Roman" w:hAnsi="Times New Roman" w:cs="Times New Roman"/>
          <w:color w:val="000000" w:themeColor="text1"/>
          <w:sz w:val="24"/>
          <w:szCs w:val="24"/>
          <w:lang w:val="en-US"/>
        </w:rPr>
        <w:t>Switzerland</w:t>
      </w:r>
      <w:r w:rsidR="00C159C9" w:rsidRPr="002C5DE1">
        <w:rPr>
          <w:rFonts w:ascii="Times New Roman" w:hAnsi="Times New Roman" w:cs="Times New Roman"/>
          <w:color w:val="000000" w:themeColor="text1"/>
          <w:sz w:val="24"/>
          <w:szCs w:val="24"/>
          <w:lang w:val="en-US"/>
        </w:rPr>
        <w:t xml:space="preserve"> (Figure A1).</w:t>
      </w:r>
    </w:p>
    <w:p w14:paraId="6D06F9B2" w14:textId="77777777" w:rsidR="006C09D4" w:rsidRPr="002C5DE1" w:rsidRDefault="00435D5B" w:rsidP="005A153C">
      <w:pPr>
        <w:pStyle w:val="ListParagraph"/>
        <w:numPr>
          <w:ilvl w:val="0"/>
          <w:numId w:val="3"/>
        </w:numPr>
        <w:spacing w:after="120" w:line="276" w:lineRule="auto"/>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 xml:space="preserve">Housing wealth: In </w:t>
      </w:r>
      <w:r w:rsidR="00EB28E5" w:rsidRPr="002C5DE1">
        <w:rPr>
          <w:rFonts w:ascii="Times New Roman" w:hAnsi="Times New Roman" w:cs="Times New Roman"/>
          <w:color w:val="000000" w:themeColor="text1"/>
          <w:sz w:val="24"/>
          <w:szCs w:val="24"/>
          <w:lang w:val="en-US"/>
        </w:rPr>
        <w:t>F</w:t>
      </w:r>
      <w:r w:rsidRPr="002C5DE1">
        <w:rPr>
          <w:rFonts w:ascii="Times New Roman" w:hAnsi="Times New Roman" w:cs="Times New Roman"/>
          <w:color w:val="000000" w:themeColor="text1"/>
          <w:sz w:val="24"/>
          <w:szCs w:val="24"/>
          <w:lang w:val="en-US"/>
        </w:rPr>
        <w:t xml:space="preserve">igure </w:t>
      </w:r>
      <w:r w:rsidR="00C159C9" w:rsidRPr="002C5DE1">
        <w:rPr>
          <w:rFonts w:ascii="Times New Roman" w:hAnsi="Times New Roman" w:cs="Times New Roman"/>
          <w:color w:val="000000" w:themeColor="text1"/>
          <w:sz w:val="24"/>
          <w:szCs w:val="24"/>
          <w:lang w:val="en-US"/>
        </w:rPr>
        <w:t>A</w:t>
      </w:r>
      <w:r w:rsidRPr="002C5DE1">
        <w:rPr>
          <w:rFonts w:ascii="Times New Roman" w:hAnsi="Times New Roman" w:cs="Times New Roman"/>
          <w:color w:val="000000" w:themeColor="text1"/>
          <w:sz w:val="24"/>
          <w:szCs w:val="24"/>
          <w:lang w:val="en-US"/>
        </w:rPr>
        <w:t xml:space="preserve">2, it can be seen that housing wealth increases in </w:t>
      </w:r>
      <w:r w:rsidR="002A11C7" w:rsidRPr="002C5DE1">
        <w:rPr>
          <w:rFonts w:ascii="Times New Roman" w:hAnsi="Times New Roman" w:cs="Times New Roman"/>
          <w:color w:val="000000" w:themeColor="text1"/>
          <w:sz w:val="24"/>
          <w:szCs w:val="24"/>
          <w:lang w:val="en-US"/>
        </w:rPr>
        <w:t>the majority of</w:t>
      </w:r>
      <w:r w:rsidRPr="002C5DE1">
        <w:rPr>
          <w:rFonts w:ascii="Times New Roman" w:hAnsi="Times New Roman" w:cs="Times New Roman"/>
          <w:color w:val="000000" w:themeColor="text1"/>
          <w:sz w:val="24"/>
          <w:szCs w:val="24"/>
          <w:lang w:val="en-US"/>
        </w:rPr>
        <w:t xml:space="preserve"> countries (i.e.</w:t>
      </w:r>
      <w:r w:rsidR="00EB28E5" w:rsidRPr="002C5DE1">
        <w:rPr>
          <w:rFonts w:ascii="Times New Roman" w:hAnsi="Times New Roman" w:cs="Times New Roman"/>
          <w:color w:val="000000" w:themeColor="text1"/>
          <w:sz w:val="24"/>
          <w:szCs w:val="24"/>
          <w:lang w:val="en-US"/>
        </w:rPr>
        <w:t>,</w:t>
      </w:r>
      <w:r w:rsidRPr="002C5DE1">
        <w:rPr>
          <w:rFonts w:ascii="Times New Roman" w:hAnsi="Times New Roman" w:cs="Times New Roman"/>
          <w:color w:val="000000" w:themeColor="text1"/>
          <w:sz w:val="24"/>
          <w:szCs w:val="24"/>
          <w:lang w:val="en-US"/>
        </w:rPr>
        <w:t xml:space="preserve"> Australia, France, UK). Housing wealth is </w:t>
      </w:r>
      <w:r w:rsidR="001D32F1" w:rsidRPr="002C5DE1">
        <w:rPr>
          <w:rFonts w:ascii="Times New Roman" w:hAnsi="Times New Roman" w:cs="Times New Roman"/>
          <w:color w:val="000000" w:themeColor="text1"/>
          <w:sz w:val="24"/>
          <w:szCs w:val="24"/>
          <w:lang w:val="en-US"/>
        </w:rPr>
        <w:t xml:space="preserve">positively correlated with </w:t>
      </w:r>
      <w:r w:rsidR="00EB28E5" w:rsidRPr="002C5DE1">
        <w:rPr>
          <w:rFonts w:ascii="Times New Roman" w:hAnsi="Times New Roman" w:cs="Times New Roman"/>
          <w:color w:val="000000" w:themeColor="text1"/>
          <w:sz w:val="24"/>
          <w:szCs w:val="24"/>
          <w:lang w:val="en-US"/>
        </w:rPr>
        <w:t xml:space="preserve">the </w:t>
      </w:r>
      <w:r w:rsidR="001D32F1" w:rsidRPr="002C5DE1">
        <w:rPr>
          <w:rFonts w:ascii="Times New Roman" w:hAnsi="Times New Roman" w:cs="Times New Roman"/>
          <w:color w:val="000000" w:themeColor="text1"/>
          <w:sz w:val="24"/>
          <w:szCs w:val="24"/>
          <w:lang w:val="en-US"/>
        </w:rPr>
        <w:t xml:space="preserve">HPI ratio and </w:t>
      </w:r>
      <w:r w:rsidRPr="002C5DE1">
        <w:rPr>
          <w:rFonts w:ascii="Times New Roman" w:hAnsi="Times New Roman" w:cs="Times New Roman"/>
          <w:color w:val="000000" w:themeColor="text1"/>
          <w:sz w:val="24"/>
          <w:szCs w:val="24"/>
          <w:lang w:val="en-US"/>
        </w:rPr>
        <w:t>negatively correlated with housing affordabili</w:t>
      </w:r>
      <w:r w:rsidR="009D5E31" w:rsidRPr="002C5DE1">
        <w:rPr>
          <w:rFonts w:ascii="Times New Roman" w:hAnsi="Times New Roman" w:cs="Times New Roman"/>
          <w:color w:val="000000" w:themeColor="text1"/>
          <w:sz w:val="24"/>
          <w:szCs w:val="24"/>
          <w:lang w:val="en-US"/>
        </w:rPr>
        <w:t>ty</w:t>
      </w:r>
      <w:r w:rsidRPr="002C5DE1">
        <w:rPr>
          <w:rFonts w:ascii="Times New Roman" w:hAnsi="Times New Roman" w:cs="Times New Roman"/>
          <w:color w:val="000000" w:themeColor="text1"/>
          <w:sz w:val="24"/>
          <w:szCs w:val="24"/>
          <w:lang w:val="en-US"/>
        </w:rPr>
        <w:t xml:space="preserve">. </w:t>
      </w:r>
      <w:r w:rsidR="002A11C7" w:rsidRPr="002C5DE1">
        <w:rPr>
          <w:rFonts w:ascii="Times New Roman" w:hAnsi="Times New Roman" w:cs="Times New Roman"/>
          <w:color w:val="000000" w:themeColor="text1"/>
          <w:sz w:val="24"/>
          <w:szCs w:val="24"/>
          <w:lang w:val="en-US"/>
        </w:rPr>
        <w:t>During bubble</w:t>
      </w:r>
      <w:r w:rsidRPr="002C5DE1">
        <w:rPr>
          <w:rFonts w:ascii="Times New Roman" w:hAnsi="Times New Roman" w:cs="Times New Roman"/>
          <w:color w:val="000000" w:themeColor="text1"/>
          <w:sz w:val="24"/>
          <w:szCs w:val="24"/>
          <w:lang w:val="en-US"/>
        </w:rPr>
        <w:t xml:space="preserve"> period, </w:t>
      </w:r>
      <w:r w:rsidR="002A11C7" w:rsidRPr="002C5DE1">
        <w:rPr>
          <w:rFonts w:ascii="Times New Roman" w:hAnsi="Times New Roman" w:cs="Times New Roman"/>
          <w:color w:val="000000" w:themeColor="text1"/>
          <w:sz w:val="24"/>
          <w:szCs w:val="24"/>
          <w:lang w:val="en-US"/>
        </w:rPr>
        <w:t xml:space="preserve">housing wealth declines </w:t>
      </w:r>
      <w:r w:rsidRPr="002C5DE1">
        <w:rPr>
          <w:rFonts w:ascii="Times New Roman" w:hAnsi="Times New Roman" w:cs="Times New Roman"/>
          <w:color w:val="000000" w:themeColor="text1"/>
          <w:sz w:val="24"/>
          <w:szCs w:val="24"/>
          <w:lang w:val="en-US"/>
        </w:rPr>
        <w:t xml:space="preserve">only in </w:t>
      </w:r>
      <w:r w:rsidR="002A021B" w:rsidRPr="002C5DE1">
        <w:rPr>
          <w:rFonts w:ascii="Times New Roman" w:hAnsi="Times New Roman" w:cs="Times New Roman"/>
          <w:color w:val="000000" w:themeColor="text1"/>
          <w:sz w:val="24"/>
          <w:szCs w:val="24"/>
          <w:lang w:val="en-US"/>
        </w:rPr>
        <w:t xml:space="preserve">Austria, </w:t>
      </w:r>
      <w:r w:rsidRPr="002C5DE1">
        <w:rPr>
          <w:rFonts w:ascii="Times New Roman" w:hAnsi="Times New Roman" w:cs="Times New Roman"/>
          <w:color w:val="000000" w:themeColor="text1"/>
          <w:sz w:val="24"/>
          <w:szCs w:val="24"/>
          <w:lang w:val="en-US"/>
        </w:rPr>
        <w:t>Germany, Israel, Japan and Portugal.</w:t>
      </w:r>
    </w:p>
    <w:p w14:paraId="3FA6064B" w14:textId="77777777" w:rsidR="006C09D4" w:rsidRPr="002C5DE1" w:rsidRDefault="00435D5B" w:rsidP="005A153C">
      <w:pPr>
        <w:pStyle w:val="ListParagraph"/>
        <w:numPr>
          <w:ilvl w:val="0"/>
          <w:numId w:val="3"/>
        </w:numPr>
        <w:spacing w:after="120" w:line="276" w:lineRule="auto"/>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Housing Affordability: The higher HPI</w:t>
      </w:r>
      <w:r w:rsidR="00EB28E5" w:rsidRPr="002C5DE1">
        <w:rPr>
          <w:rFonts w:ascii="Times New Roman" w:hAnsi="Times New Roman" w:cs="Times New Roman"/>
          <w:color w:val="000000" w:themeColor="text1"/>
          <w:sz w:val="24"/>
          <w:szCs w:val="24"/>
          <w:lang w:val="en-US"/>
        </w:rPr>
        <w:t>,</w:t>
      </w:r>
      <w:r w:rsidRPr="002C5DE1">
        <w:rPr>
          <w:rFonts w:ascii="Times New Roman" w:hAnsi="Times New Roman" w:cs="Times New Roman"/>
          <w:color w:val="000000" w:themeColor="text1"/>
          <w:sz w:val="24"/>
          <w:szCs w:val="24"/>
          <w:lang w:val="en-US"/>
        </w:rPr>
        <w:t xml:space="preserve"> the lower housing affordability and vice versa. In parallel with the above statement, only in </w:t>
      </w:r>
      <w:r w:rsidR="002A021B" w:rsidRPr="002C5DE1">
        <w:rPr>
          <w:rFonts w:ascii="Times New Roman" w:hAnsi="Times New Roman" w:cs="Times New Roman"/>
          <w:color w:val="000000" w:themeColor="text1"/>
          <w:sz w:val="24"/>
          <w:szCs w:val="24"/>
          <w:lang w:val="en-US"/>
        </w:rPr>
        <w:t xml:space="preserve">Austria, </w:t>
      </w:r>
      <w:r w:rsidRPr="002C5DE1">
        <w:rPr>
          <w:rFonts w:ascii="Times New Roman" w:hAnsi="Times New Roman" w:cs="Times New Roman"/>
          <w:color w:val="000000" w:themeColor="text1"/>
          <w:sz w:val="24"/>
          <w:szCs w:val="24"/>
          <w:lang w:val="en-US"/>
        </w:rPr>
        <w:t>Germany, Israel, Japan and Portugal, housing affordability increases</w:t>
      </w:r>
      <w:r w:rsidR="00EB28E5" w:rsidRPr="002C5DE1">
        <w:rPr>
          <w:rFonts w:ascii="Times New Roman" w:hAnsi="Times New Roman" w:cs="Times New Roman"/>
          <w:color w:val="000000" w:themeColor="text1"/>
          <w:sz w:val="24"/>
          <w:szCs w:val="24"/>
          <w:lang w:val="en-US"/>
        </w:rPr>
        <w:t>,</w:t>
      </w:r>
      <w:r w:rsidRPr="002C5DE1">
        <w:rPr>
          <w:rFonts w:ascii="Times New Roman" w:hAnsi="Times New Roman" w:cs="Times New Roman"/>
          <w:color w:val="000000" w:themeColor="text1"/>
          <w:sz w:val="24"/>
          <w:szCs w:val="24"/>
          <w:lang w:val="en-US"/>
        </w:rPr>
        <w:t xml:space="preserve"> while housing wealth declines</w:t>
      </w:r>
      <w:r w:rsidR="00C159C9" w:rsidRPr="002C5DE1">
        <w:rPr>
          <w:rFonts w:ascii="Times New Roman" w:hAnsi="Times New Roman" w:cs="Times New Roman"/>
          <w:color w:val="000000" w:themeColor="text1"/>
          <w:sz w:val="24"/>
          <w:szCs w:val="24"/>
          <w:lang w:val="en-US"/>
        </w:rPr>
        <w:t xml:space="preserve"> (Figure A2)</w:t>
      </w:r>
      <w:r w:rsidR="00EB28E5" w:rsidRPr="002C5DE1">
        <w:rPr>
          <w:rFonts w:ascii="Times New Roman" w:hAnsi="Times New Roman" w:cs="Times New Roman"/>
          <w:color w:val="000000" w:themeColor="text1"/>
          <w:sz w:val="24"/>
          <w:szCs w:val="24"/>
          <w:lang w:val="en-US"/>
        </w:rPr>
        <w:t>.</w:t>
      </w:r>
    </w:p>
    <w:p w14:paraId="5F4C42FC" w14:textId="77777777" w:rsidR="00435D5B" w:rsidRPr="002C5DE1" w:rsidRDefault="00435D5B" w:rsidP="006C09D4">
      <w:pPr>
        <w:pStyle w:val="ListParagraph"/>
        <w:numPr>
          <w:ilvl w:val="0"/>
          <w:numId w:val="3"/>
        </w:numPr>
        <w:spacing w:after="120" w:line="276" w:lineRule="auto"/>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 xml:space="preserve">Interest rates: Figures </w:t>
      </w:r>
      <w:r w:rsidR="00C159C9" w:rsidRPr="002C5DE1">
        <w:rPr>
          <w:rFonts w:ascii="Times New Roman" w:hAnsi="Times New Roman" w:cs="Times New Roman"/>
          <w:color w:val="000000" w:themeColor="text1"/>
          <w:sz w:val="24"/>
          <w:szCs w:val="24"/>
          <w:lang w:val="en-US"/>
        </w:rPr>
        <w:t>A</w:t>
      </w:r>
      <w:r w:rsidRPr="002C5DE1">
        <w:rPr>
          <w:rFonts w:ascii="Times New Roman" w:hAnsi="Times New Roman" w:cs="Times New Roman"/>
          <w:color w:val="000000" w:themeColor="text1"/>
          <w:sz w:val="24"/>
          <w:szCs w:val="24"/>
          <w:lang w:val="en-US"/>
        </w:rPr>
        <w:t xml:space="preserve">3a and </w:t>
      </w:r>
      <w:r w:rsidR="00C159C9" w:rsidRPr="002C5DE1">
        <w:rPr>
          <w:rFonts w:ascii="Times New Roman" w:hAnsi="Times New Roman" w:cs="Times New Roman"/>
          <w:color w:val="000000" w:themeColor="text1"/>
          <w:sz w:val="24"/>
          <w:szCs w:val="24"/>
          <w:lang w:val="en-US"/>
        </w:rPr>
        <w:t>A</w:t>
      </w:r>
      <w:r w:rsidRPr="002C5DE1">
        <w:rPr>
          <w:rFonts w:ascii="Times New Roman" w:hAnsi="Times New Roman" w:cs="Times New Roman"/>
          <w:color w:val="000000" w:themeColor="text1"/>
          <w:sz w:val="24"/>
          <w:szCs w:val="24"/>
          <w:lang w:val="en-US"/>
        </w:rPr>
        <w:t>3b</w:t>
      </w:r>
      <w:r w:rsidR="00EB28E5" w:rsidRPr="002C5DE1">
        <w:rPr>
          <w:rFonts w:ascii="Times New Roman" w:hAnsi="Times New Roman" w:cs="Times New Roman"/>
          <w:color w:val="000000" w:themeColor="text1"/>
          <w:sz w:val="24"/>
          <w:szCs w:val="24"/>
          <w:lang w:val="en-US"/>
        </w:rPr>
        <w:t xml:space="preserve"> illustrate</w:t>
      </w:r>
      <w:r w:rsidRPr="002C5DE1">
        <w:rPr>
          <w:rFonts w:ascii="Times New Roman" w:hAnsi="Times New Roman" w:cs="Times New Roman"/>
          <w:color w:val="000000" w:themeColor="text1"/>
          <w:sz w:val="24"/>
          <w:szCs w:val="24"/>
          <w:lang w:val="en-US"/>
        </w:rPr>
        <w:t xml:space="preserve"> real interest rates o</w:t>
      </w:r>
      <w:r w:rsidR="00EB28E5" w:rsidRPr="002C5DE1">
        <w:rPr>
          <w:rFonts w:ascii="Times New Roman" w:hAnsi="Times New Roman" w:cs="Times New Roman"/>
          <w:color w:val="000000" w:themeColor="text1"/>
          <w:sz w:val="24"/>
          <w:szCs w:val="24"/>
          <w:lang w:val="en-US"/>
        </w:rPr>
        <w:t>n</w:t>
      </w:r>
      <w:r w:rsidRPr="002C5DE1">
        <w:rPr>
          <w:rFonts w:ascii="Times New Roman" w:hAnsi="Times New Roman" w:cs="Times New Roman"/>
          <w:color w:val="000000" w:themeColor="text1"/>
          <w:sz w:val="24"/>
          <w:szCs w:val="24"/>
          <w:lang w:val="en-US"/>
        </w:rPr>
        <w:t xml:space="preserve"> </w:t>
      </w:r>
      <w:r w:rsidR="00EB28E5" w:rsidRPr="002C5DE1">
        <w:rPr>
          <w:rFonts w:ascii="Times New Roman" w:hAnsi="Times New Roman" w:cs="Times New Roman"/>
          <w:color w:val="000000" w:themeColor="text1"/>
          <w:sz w:val="24"/>
          <w:szCs w:val="24"/>
          <w:lang w:val="en-US"/>
        </w:rPr>
        <w:t xml:space="preserve">10-year </w:t>
      </w:r>
      <w:r w:rsidRPr="002C5DE1">
        <w:rPr>
          <w:rFonts w:ascii="Times New Roman" w:hAnsi="Times New Roman" w:cs="Times New Roman"/>
          <w:color w:val="000000" w:themeColor="text1"/>
          <w:sz w:val="24"/>
          <w:szCs w:val="24"/>
          <w:lang w:val="en-US"/>
        </w:rPr>
        <w:t xml:space="preserve">Government Bonds. As we can see from </w:t>
      </w:r>
      <w:r w:rsidR="00EB28E5" w:rsidRPr="002C5DE1">
        <w:rPr>
          <w:rFonts w:ascii="Times New Roman" w:hAnsi="Times New Roman" w:cs="Times New Roman"/>
          <w:color w:val="000000" w:themeColor="text1"/>
          <w:sz w:val="24"/>
          <w:szCs w:val="24"/>
          <w:lang w:val="en-US"/>
        </w:rPr>
        <w:t>F</w:t>
      </w:r>
      <w:r w:rsidRPr="002C5DE1">
        <w:rPr>
          <w:rFonts w:ascii="Times New Roman" w:hAnsi="Times New Roman" w:cs="Times New Roman"/>
          <w:color w:val="000000" w:themeColor="text1"/>
          <w:sz w:val="24"/>
          <w:szCs w:val="24"/>
          <w:lang w:val="en-US"/>
        </w:rPr>
        <w:t xml:space="preserve">igure </w:t>
      </w:r>
      <w:r w:rsidR="00C159C9" w:rsidRPr="002C5DE1">
        <w:rPr>
          <w:rFonts w:ascii="Times New Roman" w:hAnsi="Times New Roman" w:cs="Times New Roman"/>
          <w:color w:val="000000" w:themeColor="text1"/>
          <w:sz w:val="24"/>
          <w:szCs w:val="24"/>
          <w:lang w:val="en-US"/>
        </w:rPr>
        <w:t>A</w:t>
      </w:r>
      <w:r w:rsidRPr="002C5DE1">
        <w:rPr>
          <w:rFonts w:ascii="Times New Roman" w:hAnsi="Times New Roman" w:cs="Times New Roman"/>
          <w:color w:val="000000" w:themeColor="text1"/>
          <w:sz w:val="24"/>
          <w:szCs w:val="24"/>
          <w:lang w:val="en-US"/>
        </w:rPr>
        <w:t>3a, in mostly developed and high income countries</w:t>
      </w:r>
      <w:r w:rsidR="00EB28E5" w:rsidRPr="002C5DE1">
        <w:rPr>
          <w:rFonts w:ascii="Times New Roman" w:hAnsi="Times New Roman" w:cs="Times New Roman"/>
          <w:color w:val="000000" w:themeColor="text1"/>
          <w:sz w:val="24"/>
          <w:szCs w:val="24"/>
          <w:lang w:val="en-US"/>
        </w:rPr>
        <w:t>,</w:t>
      </w:r>
      <w:r w:rsidRPr="002C5DE1">
        <w:rPr>
          <w:rFonts w:ascii="Times New Roman" w:hAnsi="Times New Roman" w:cs="Times New Roman"/>
          <w:color w:val="000000" w:themeColor="text1"/>
          <w:sz w:val="24"/>
          <w:szCs w:val="24"/>
          <w:lang w:val="en-US"/>
        </w:rPr>
        <w:t xml:space="preserve"> real interest rate</w:t>
      </w:r>
      <w:r w:rsidR="00EB28E5" w:rsidRPr="002C5DE1">
        <w:rPr>
          <w:rFonts w:ascii="Times New Roman" w:hAnsi="Times New Roman" w:cs="Times New Roman"/>
          <w:color w:val="000000" w:themeColor="text1"/>
          <w:sz w:val="24"/>
          <w:szCs w:val="24"/>
          <w:lang w:val="en-US"/>
        </w:rPr>
        <w:t>s</w:t>
      </w:r>
      <w:r w:rsidRPr="002C5DE1">
        <w:rPr>
          <w:rFonts w:ascii="Times New Roman" w:hAnsi="Times New Roman" w:cs="Times New Roman"/>
          <w:color w:val="000000" w:themeColor="text1"/>
          <w:sz w:val="24"/>
          <w:szCs w:val="24"/>
          <w:lang w:val="en-US"/>
        </w:rPr>
        <w:t xml:space="preserve"> have a tendency to decrease. However, it appears to be more volatile </w:t>
      </w:r>
      <w:r w:rsidRPr="002C5DE1">
        <w:rPr>
          <w:rFonts w:ascii="Times New Roman" w:hAnsi="Times New Roman" w:cs="Times New Roman"/>
          <w:color w:val="000000" w:themeColor="text1"/>
          <w:sz w:val="24"/>
          <w:szCs w:val="24"/>
          <w:lang w:val="en-US"/>
        </w:rPr>
        <w:lastRenderedPageBreak/>
        <w:t xml:space="preserve">in </w:t>
      </w:r>
      <w:r w:rsidR="00EB28E5" w:rsidRPr="002C5DE1">
        <w:rPr>
          <w:rFonts w:ascii="Times New Roman" w:hAnsi="Times New Roman" w:cs="Times New Roman"/>
          <w:color w:val="000000" w:themeColor="text1"/>
          <w:sz w:val="24"/>
          <w:szCs w:val="24"/>
          <w:lang w:val="en-US"/>
        </w:rPr>
        <w:t xml:space="preserve">the case of the </w:t>
      </w:r>
      <w:r w:rsidRPr="002C5DE1">
        <w:rPr>
          <w:rFonts w:ascii="Times New Roman" w:hAnsi="Times New Roman" w:cs="Times New Roman"/>
          <w:color w:val="000000" w:themeColor="text1"/>
          <w:sz w:val="24"/>
          <w:szCs w:val="24"/>
          <w:lang w:val="en-US"/>
        </w:rPr>
        <w:t>GIIPS</w:t>
      </w:r>
      <w:r w:rsidR="00EB28E5" w:rsidRPr="002C5DE1">
        <w:rPr>
          <w:rFonts w:ascii="Times New Roman" w:hAnsi="Times New Roman" w:cs="Times New Roman"/>
          <w:color w:val="000000" w:themeColor="text1"/>
          <w:sz w:val="24"/>
          <w:szCs w:val="24"/>
          <w:lang w:val="en-US"/>
        </w:rPr>
        <w:t xml:space="preserve">, </w:t>
      </w:r>
      <w:r w:rsidRPr="002C5DE1">
        <w:rPr>
          <w:rFonts w:ascii="Times New Roman" w:hAnsi="Times New Roman" w:cs="Times New Roman"/>
          <w:color w:val="000000" w:themeColor="text1"/>
          <w:sz w:val="24"/>
          <w:szCs w:val="24"/>
          <w:lang w:val="en-US"/>
        </w:rPr>
        <w:t>Israel</w:t>
      </w:r>
      <w:r w:rsidR="00EB28E5" w:rsidRPr="002C5DE1">
        <w:rPr>
          <w:rFonts w:ascii="Times New Roman" w:hAnsi="Times New Roman" w:cs="Times New Roman"/>
          <w:color w:val="000000" w:themeColor="text1"/>
          <w:sz w:val="24"/>
          <w:szCs w:val="24"/>
          <w:lang w:val="en-US"/>
        </w:rPr>
        <w:t xml:space="preserve">, and </w:t>
      </w:r>
      <w:r w:rsidRPr="002C5DE1">
        <w:rPr>
          <w:rFonts w:ascii="Times New Roman" w:hAnsi="Times New Roman" w:cs="Times New Roman"/>
          <w:color w:val="000000" w:themeColor="text1"/>
          <w:sz w:val="24"/>
          <w:szCs w:val="24"/>
          <w:lang w:val="en-US"/>
        </w:rPr>
        <w:t>South Africa</w:t>
      </w:r>
      <w:r w:rsidR="00EF0DC9" w:rsidRPr="002C5DE1">
        <w:rPr>
          <w:rFonts w:ascii="Times New Roman" w:hAnsi="Times New Roman" w:cs="Times New Roman"/>
          <w:color w:val="000000" w:themeColor="text1"/>
          <w:sz w:val="24"/>
          <w:szCs w:val="24"/>
          <w:lang w:val="en-US"/>
        </w:rPr>
        <w:t>.</w:t>
      </w:r>
      <w:r w:rsidR="005058A3" w:rsidRPr="002C5DE1">
        <w:rPr>
          <w:rFonts w:ascii="Times New Roman" w:hAnsi="Times New Roman" w:cs="Times New Roman"/>
          <w:color w:val="000000" w:themeColor="text1"/>
          <w:sz w:val="24"/>
          <w:szCs w:val="24"/>
          <w:lang w:val="en-US"/>
        </w:rPr>
        <w:t xml:space="preserve"> </w:t>
      </w:r>
      <w:r w:rsidR="00EF0DC9" w:rsidRPr="002C5DE1">
        <w:rPr>
          <w:rFonts w:ascii="Times New Roman" w:hAnsi="Times New Roman" w:cs="Times New Roman"/>
          <w:color w:val="000000" w:themeColor="text1"/>
          <w:sz w:val="24"/>
          <w:szCs w:val="24"/>
          <w:lang w:val="en-US"/>
        </w:rPr>
        <w:t>I</w:t>
      </w:r>
      <w:r w:rsidRPr="002C5DE1">
        <w:rPr>
          <w:rFonts w:ascii="Times New Roman" w:hAnsi="Times New Roman" w:cs="Times New Roman"/>
          <w:color w:val="000000" w:themeColor="text1"/>
          <w:sz w:val="24"/>
          <w:szCs w:val="24"/>
          <w:lang w:val="en-US"/>
        </w:rPr>
        <w:t>n all countries it decline</w:t>
      </w:r>
      <w:r w:rsidR="005058A3" w:rsidRPr="002C5DE1">
        <w:rPr>
          <w:rFonts w:ascii="Times New Roman" w:hAnsi="Times New Roman" w:cs="Times New Roman"/>
          <w:color w:val="000000" w:themeColor="text1"/>
          <w:sz w:val="24"/>
          <w:szCs w:val="24"/>
          <w:lang w:val="en-US"/>
        </w:rPr>
        <w:t>d</w:t>
      </w:r>
      <w:r w:rsidRPr="002C5DE1">
        <w:rPr>
          <w:rFonts w:ascii="Times New Roman" w:hAnsi="Times New Roman" w:cs="Times New Roman"/>
          <w:color w:val="000000" w:themeColor="text1"/>
          <w:sz w:val="24"/>
          <w:szCs w:val="24"/>
          <w:lang w:val="en-US"/>
        </w:rPr>
        <w:t xml:space="preserve"> in the </w:t>
      </w:r>
      <w:r w:rsidR="00934843" w:rsidRPr="002C5DE1">
        <w:rPr>
          <w:rFonts w:ascii="Times New Roman" w:hAnsi="Times New Roman" w:cs="Times New Roman"/>
          <w:color w:val="000000" w:themeColor="text1"/>
          <w:sz w:val="24"/>
          <w:szCs w:val="24"/>
          <w:lang w:val="en-US"/>
        </w:rPr>
        <w:t>bubble</w:t>
      </w:r>
      <w:r w:rsidRPr="002C5DE1">
        <w:rPr>
          <w:rFonts w:ascii="Times New Roman" w:hAnsi="Times New Roman" w:cs="Times New Roman"/>
          <w:color w:val="000000" w:themeColor="text1"/>
          <w:sz w:val="24"/>
          <w:szCs w:val="24"/>
          <w:lang w:val="en-US"/>
        </w:rPr>
        <w:t xml:space="preserve"> period and increase</w:t>
      </w:r>
      <w:r w:rsidR="005058A3" w:rsidRPr="002C5DE1">
        <w:rPr>
          <w:rFonts w:ascii="Times New Roman" w:hAnsi="Times New Roman" w:cs="Times New Roman"/>
          <w:color w:val="000000" w:themeColor="text1"/>
          <w:sz w:val="24"/>
          <w:szCs w:val="24"/>
          <w:lang w:val="en-US"/>
        </w:rPr>
        <w:t>d</w:t>
      </w:r>
      <w:r w:rsidRPr="002C5DE1">
        <w:rPr>
          <w:rFonts w:ascii="Times New Roman" w:hAnsi="Times New Roman" w:cs="Times New Roman"/>
          <w:color w:val="000000" w:themeColor="text1"/>
          <w:sz w:val="24"/>
          <w:szCs w:val="24"/>
          <w:lang w:val="en-US"/>
        </w:rPr>
        <w:t xml:space="preserve"> remarkably in the </w:t>
      </w:r>
      <w:r w:rsidR="00934843" w:rsidRPr="002C5DE1">
        <w:rPr>
          <w:rFonts w:ascii="Times New Roman" w:hAnsi="Times New Roman" w:cs="Times New Roman"/>
          <w:color w:val="000000" w:themeColor="text1"/>
          <w:sz w:val="24"/>
          <w:szCs w:val="24"/>
          <w:lang w:val="en-US"/>
        </w:rPr>
        <w:t>GFC</w:t>
      </w:r>
      <w:r w:rsidRPr="002C5DE1">
        <w:rPr>
          <w:rFonts w:ascii="Times New Roman" w:hAnsi="Times New Roman" w:cs="Times New Roman"/>
          <w:color w:val="000000" w:themeColor="text1"/>
          <w:sz w:val="24"/>
          <w:szCs w:val="24"/>
          <w:lang w:val="en-US"/>
        </w:rPr>
        <w:t xml:space="preserve"> period.</w:t>
      </w:r>
    </w:p>
    <w:p w14:paraId="0BB2B24A" w14:textId="77777777" w:rsidR="00435D5B" w:rsidRPr="002C5DE1" w:rsidRDefault="00435D5B" w:rsidP="005A153C">
      <w:pPr>
        <w:spacing w:after="120" w:line="276" w:lineRule="auto"/>
        <w:jc w:val="both"/>
        <w:rPr>
          <w:rFonts w:ascii="Times New Roman" w:hAnsi="Times New Roman" w:cs="Times New Roman"/>
          <w:b/>
          <w:i/>
          <w:color w:val="000000" w:themeColor="text1"/>
          <w:sz w:val="24"/>
          <w:szCs w:val="24"/>
          <w:lang w:val="en-US"/>
        </w:rPr>
      </w:pPr>
      <w:r w:rsidRPr="002C5DE1">
        <w:rPr>
          <w:rFonts w:ascii="Times New Roman" w:hAnsi="Times New Roman" w:cs="Times New Roman"/>
          <w:b/>
          <w:i/>
          <w:color w:val="000000" w:themeColor="text1"/>
          <w:sz w:val="24"/>
          <w:szCs w:val="24"/>
          <w:lang w:val="en-US"/>
        </w:rPr>
        <w:t>Post-</w:t>
      </w:r>
      <w:r w:rsidR="00934843" w:rsidRPr="002C5DE1">
        <w:rPr>
          <w:rFonts w:ascii="Times New Roman" w:hAnsi="Times New Roman" w:cs="Times New Roman"/>
          <w:b/>
          <w:i/>
          <w:color w:val="000000" w:themeColor="text1"/>
          <w:sz w:val="24"/>
          <w:szCs w:val="24"/>
          <w:lang w:val="en-US"/>
        </w:rPr>
        <w:t>GFC</w:t>
      </w:r>
      <w:r w:rsidRPr="002C5DE1">
        <w:rPr>
          <w:rFonts w:ascii="Times New Roman" w:hAnsi="Times New Roman" w:cs="Times New Roman"/>
          <w:b/>
          <w:i/>
          <w:color w:val="000000" w:themeColor="text1"/>
          <w:sz w:val="24"/>
          <w:szCs w:val="24"/>
          <w:lang w:val="en-US"/>
        </w:rPr>
        <w:t xml:space="preserve"> period (2011-2016)</w:t>
      </w:r>
    </w:p>
    <w:p w14:paraId="616E7435" w14:textId="77777777" w:rsidR="006C09D4" w:rsidRPr="002C5DE1" w:rsidRDefault="00435D5B" w:rsidP="005A153C">
      <w:pPr>
        <w:pStyle w:val="ListParagraph"/>
        <w:numPr>
          <w:ilvl w:val="0"/>
          <w:numId w:val="4"/>
        </w:numPr>
        <w:spacing w:after="120" w:line="276" w:lineRule="auto"/>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Financial wealth:</w:t>
      </w:r>
      <w:r w:rsidR="00934843" w:rsidRPr="002C5DE1">
        <w:rPr>
          <w:rFonts w:ascii="Times New Roman" w:hAnsi="Times New Roman" w:cs="Times New Roman"/>
          <w:color w:val="000000" w:themeColor="text1"/>
          <w:sz w:val="24"/>
          <w:szCs w:val="24"/>
          <w:lang w:val="en-US"/>
        </w:rPr>
        <w:t xml:space="preserve"> </w:t>
      </w:r>
      <w:r w:rsidR="00C87842" w:rsidRPr="002C5DE1">
        <w:rPr>
          <w:rFonts w:ascii="Times New Roman" w:hAnsi="Times New Roman" w:cs="Times New Roman"/>
          <w:color w:val="000000" w:themeColor="text1"/>
          <w:sz w:val="24"/>
          <w:szCs w:val="24"/>
          <w:lang w:val="en-US"/>
        </w:rPr>
        <w:t>During the post-GFC period f</w:t>
      </w:r>
      <w:r w:rsidRPr="002C5DE1">
        <w:rPr>
          <w:rFonts w:ascii="Times New Roman" w:hAnsi="Times New Roman" w:cs="Times New Roman"/>
          <w:color w:val="000000" w:themeColor="text1"/>
          <w:sz w:val="24"/>
          <w:szCs w:val="24"/>
          <w:lang w:val="en-US"/>
        </w:rPr>
        <w:t xml:space="preserve">inancial wealth is greater than its </w:t>
      </w:r>
      <w:r w:rsidR="00934843" w:rsidRPr="002C5DE1">
        <w:rPr>
          <w:rFonts w:ascii="Times New Roman" w:hAnsi="Times New Roman" w:cs="Times New Roman"/>
          <w:color w:val="000000" w:themeColor="text1"/>
          <w:sz w:val="24"/>
          <w:szCs w:val="24"/>
          <w:lang w:val="en-US"/>
        </w:rPr>
        <w:t>bubble period</w:t>
      </w:r>
      <w:r w:rsidRPr="002C5DE1">
        <w:rPr>
          <w:rFonts w:ascii="Times New Roman" w:hAnsi="Times New Roman" w:cs="Times New Roman"/>
          <w:color w:val="000000" w:themeColor="text1"/>
          <w:sz w:val="24"/>
          <w:szCs w:val="24"/>
          <w:lang w:val="en-US"/>
        </w:rPr>
        <w:t xml:space="preserve"> levels</w:t>
      </w:r>
      <w:r w:rsidR="00934843" w:rsidRPr="002C5DE1">
        <w:rPr>
          <w:rFonts w:ascii="Times New Roman" w:hAnsi="Times New Roman" w:cs="Times New Roman"/>
          <w:color w:val="000000" w:themeColor="text1"/>
          <w:sz w:val="24"/>
          <w:szCs w:val="24"/>
          <w:lang w:val="en-US"/>
        </w:rPr>
        <w:t xml:space="preserve"> in the majority of countries</w:t>
      </w:r>
      <w:r w:rsidRPr="002C5DE1">
        <w:rPr>
          <w:rFonts w:ascii="Times New Roman" w:hAnsi="Times New Roman" w:cs="Times New Roman"/>
          <w:color w:val="000000" w:themeColor="text1"/>
          <w:sz w:val="24"/>
          <w:szCs w:val="24"/>
          <w:lang w:val="en-US"/>
        </w:rPr>
        <w:t>. Only in Greece, Italy, Finland, Netherlands, Portugal and Spain, there is a remarkable decline in financial wealth.</w:t>
      </w:r>
      <w:r w:rsidR="00C87842" w:rsidRPr="002C5DE1">
        <w:rPr>
          <w:rFonts w:ascii="Times New Roman" w:hAnsi="Times New Roman" w:cs="Times New Roman"/>
          <w:color w:val="000000" w:themeColor="text1"/>
          <w:sz w:val="24"/>
          <w:szCs w:val="24"/>
          <w:lang w:val="en-US"/>
        </w:rPr>
        <w:t xml:space="preserve"> </w:t>
      </w:r>
      <w:r w:rsidRPr="002C5DE1">
        <w:rPr>
          <w:rFonts w:ascii="Times New Roman" w:hAnsi="Times New Roman" w:cs="Times New Roman"/>
          <w:color w:val="000000" w:themeColor="text1"/>
          <w:sz w:val="24"/>
          <w:szCs w:val="24"/>
          <w:lang w:val="en-US"/>
        </w:rPr>
        <w:t>For other countries</w:t>
      </w:r>
      <w:r w:rsidR="005058A3" w:rsidRPr="002C5DE1">
        <w:rPr>
          <w:rFonts w:ascii="Times New Roman" w:hAnsi="Times New Roman" w:cs="Times New Roman"/>
          <w:color w:val="000000" w:themeColor="text1"/>
          <w:sz w:val="24"/>
          <w:szCs w:val="24"/>
          <w:lang w:val="en-US"/>
        </w:rPr>
        <w:t>,</w:t>
      </w:r>
      <w:r w:rsidRPr="002C5DE1">
        <w:rPr>
          <w:rFonts w:ascii="Times New Roman" w:hAnsi="Times New Roman" w:cs="Times New Roman"/>
          <w:color w:val="000000" w:themeColor="text1"/>
          <w:sz w:val="24"/>
          <w:szCs w:val="24"/>
          <w:lang w:val="en-US"/>
        </w:rPr>
        <w:t xml:space="preserve"> </w:t>
      </w:r>
      <w:r w:rsidR="00934843" w:rsidRPr="002C5DE1">
        <w:rPr>
          <w:rFonts w:ascii="Times New Roman" w:hAnsi="Times New Roman" w:cs="Times New Roman"/>
          <w:color w:val="000000" w:themeColor="text1"/>
          <w:sz w:val="24"/>
          <w:szCs w:val="24"/>
          <w:lang w:val="en-US"/>
        </w:rPr>
        <w:t>in the bubble</w:t>
      </w:r>
      <w:r w:rsidRPr="002C5DE1">
        <w:rPr>
          <w:rFonts w:ascii="Times New Roman" w:hAnsi="Times New Roman" w:cs="Times New Roman"/>
          <w:color w:val="000000" w:themeColor="text1"/>
          <w:sz w:val="24"/>
          <w:szCs w:val="24"/>
          <w:lang w:val="en-US"/>
        </w:rPr>
        <w:t xml:space="preserve"> and post-</w:t>
      </w:r>
      <w:r w:rsidR="00934843" w:rsidRPr="002C5DE1">
        <w:rPr>
          <w:rFonts w:ascii="Times New Roman" w:hAnsi="Times New Roman" w:cs="Times New Roman"/>
          <w:color w:val="000000" w:themeColor="text1"/>
          <w:sz w:val="24"/>
          <w:szCs w:val="24"/>
          <w:lang w:val="en-US"/>
        </w:rPr>
        <w:t>GFC</w:t>
      </w:r>
      <w:r w:rsidRPr="002C5DE1">
        <w:rPr>
          <w:rFonts w:ascii="Times New Roman" w:hAnsi="Times New Roman" w:cs="Times New Roman"/>
          <w:color w:val="000000" w:themeColor="text1"/>
          <w:sz w:val="24"/>
          <w:szCs w:val="24"/>
          <w:lang w:val="en-US"/>
        </w:rPr>
        <w:t xml:space="preserve"> </w:t>
      </w:r>
      <w:r w:rsidR="00934843" w:rsidRPr="002C5DE1">
        <w:rPr>
          <w:rFonts w:ascii="Times New Roman" w:hAnsi="Times New Roman" w:cs="Times New Roman"/>
          <w:color w:val="000000" w:themeColor="text1"/>
          <w:sz w:val="24"/>
          <w:szCs w:val="24"/>
          <w:lang w:val="en-US"/>
        </w:rPr>
        <w:t xml:space="preserve">periods </w:t>
      </w:r>
      <w:r w:rsidRPr="002C5DE1">
        <w:rPr>
          <w:rFonts w:ascii="Times New Roman" w:hAnsi="Times New Roman" w:cs="Times New Roman"/>
          <w:color w:val="000000" w:themeColor="text1"/>
          <w:sz w:val="24"/>
          <w:szCs w:val="24"/>
          <w:lang w:val="en-US"/>
        </w:rPr>
        <w:t xml:space="preserve">financial wealth levels </w:t>
      </w:r>
      <w:r w:rsidR="005058A3" w:rsidRPr="002C5DE1">
        <w:rPr>
          <w:rFonts w:ascii="Times New Roman" w:hAnsi="Times New Roman" w:cs="Times New Roman"/>
          <w:color w:val="000000" w:themeColor="text1"/>
          <w:sz w:val="24"/>
          <w:szCs w:val="24"/>
          <w:lang w:val="en-US"/>
        </w:rPr>
        <w:t xml:space="preserve">are </w:t>
      </w:r>
      <w:r w:rsidRPr="002C5DE1">
        <w:rPr>
          <w:rFonts w:ascii="Times New Roman" w:hAnsi="Times New Roman" w:cs="Times New Roman"/>
          <w:color w:val="000000" w:themeColor="text1"/>
          <w:sz w:val="24"/>
          <w:szCs w:val="24"/>
          <w:lang w:val="en-US"/>
        </w:rPr>
        <w:t>approximately the same</w:t>
      </w:r>
      <w:r w:rsidR="00C159C9" w:rsidRPr="002C5DE1">
        <w:rPr>
          <w:rFonts w:ascii="Times New Roman" w:hAnsi="Times New Roman" w:cs="Times New Roman"/>
          <w:color w:val="000000" w:themeColor="text1"/>
          <w:sz w:val="24"/>
          <w:szCs w:val="24"/>
          <w:lang w:val="en-US"/>
        </w:rPr>
        <w:t xml:space="preserve"> (Figure A1)</w:t>
      </w:r>
      <w:r w:rsidR="005058A3" w:rsidRPr="002C5DE1">
        <w:rPr>
          <w:rFonts w:ascii="Times New Roman" w:hAnsi="Times New Roman" w:cs="Times New Roman"/>
          <w:color w:val="000000" w:themeColor="text1"/>
          <w:sz w:val="24"/>
          <w:szCs w:val="24"/>
          <w:lang w:val="en-US"/>
        </w:rPr>
        <w:t>.</w:t>
      </w:r>
    </w:p>
    <w:p w14:paraId="656CFF5A" w14:textId="77777777" w:rsidR="006C09D4" w:rsidRPr="002C5DE1" w:rsidRDefault="00435D5B" w:rsidP="005A153C">
      <w:pPr>
        <w:pStyle w:val="ListParagraph"/>
        <w:numPr>
          <w:ilvl w:val="0"/>
          <w:numId w:val="4"/>
        </w:numPr>
        <w:spacing w:after="120" w:line="276" w:lineRule="auto"/>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 xml:space="preserve">Financial development: </w:t>
      </w:r>
      <w:r w:rsidR="00934843" w:rsidRPr="002C5DE1">
        <w:rPr>
          <w:rFonts w:ascii="Times New Roman" w:hAnsi="Times New Roman" w:cs="Times New Roman"/>
          <w:color w:val="000000" w:themeColor="text1"/>
          <w:sz w:val="24"/>
          <w:szCs w:val="24"/>
          <w:lang w:val="en-US"/>
        </w:rPr>
        <w:t>I</w:t>
      </w:r>
      <w:r w:rsidRPr="002C5DE1">
        <w:rPr>
          <w:rFonts w:ascii="Times New Roman" w:hAnsi="Times New Roman" w:cs="Times New Roman"/>
          <w:color w:val="000000" w:themeColor="text1"/>
          <w:sz w:val="24"/>
          <w:szCs w:val="24"/>
          <w:lang w:val="en-US"/>
        </w:rPr>
        <w:t xml:space="preserve">t can be seen </w:t>
      </w:r>
      <w:r w:rsidR="00934843" w:rsidRPr="002C5DE1">
        <w:rPr>
          <w:rFonts w:ascii="Times New Roman" w:hAnsi="Times New Roman" w:cs="Times New Roman"/>
          <w:color w:val="000000" w:themeColor="text1"/>
          <w:sz w:val="24"/>
          <w:szCs w:val="24"/>
          <w:lang w:val="en-US"/>
        </w:rPr>
        <w:t xml:space="preserve">from figure A1 </w:t>
      </w:r>
      <w:r w:rsidRPr="002C5DE1">
        <w:rPr>
          <w:rFonts w:ascii="Times New Roman" w:hAnsi="Times New Roman" w:cs="Times New Roman"/>
          <w:color w:val="000000" w:themeColor="text1"/>
          <w:sz w:val="24"/>
          <w:szCs w:val="24"/>
          <w:lang w:val="en-US"/>
        </w:rPr>
        <w:t xml:space="preserve">that there is a dramatically decline in </w:t>
      </w:r>
      <w:r w:rsidR="0045102F" w:rsidRPr="002C5DE1">
        <w:rPr>
          <w:rFonts w:ascii="Times New Roman" w:hAnsi="Times New Roman" w:cs="Times New Roman"/>
          <w:color w:val="000000" w:themeColor="text1"/>
          <w:sz w:val="24"/>
          <w:szCs w:val="24"/>
          <w:lang w:val="en-US"/>
        </w:rPr>
        <w:t>financial development index (</w:t>
      </w:r>
      <w:r w:rsidRPr="002C5DE1">
        <w:rPr>
          <w:rFonts w:ascii="Times New Roman" w:hAnsi="Times New Roman" w:cs="Times New Roman"/>
          <w:color w:val="000000" w:themeColor="text1"/>
          <w:sz w:val="24"/>
          <w:szCs w:val="24"/>
          <w:lang w:val="en-US"/>
        </w:rPr>
        <w:t>FD</w:t>
      </w:r>
      <w:r w:rsidR="0045102F" w:rsidRPr="002C5DE1">
        <w:rPr>
          <w:rFonts w:ascii="Times New Roman" w:hAnsi="Times New Roman" w:cs="Times New Roman"/>
          <w:color w:val="000000" w:themeColor="text1"/>
          <w:sz w:val="24"/>
          <w:szCs w:val="24"/>
          <w:lang w:val="en-US"/>
        </w:rPr>
        <w:t>)</w:t>
      </w:r>
      <w:r w:rsidRPr="002C5DE1">
        <w:rPr>
          <w:rFonts w:ascii="Times New Roman" w:hAnsi="Times New Roman" w:cs="Times New Roman"/>
          <w:color w:val="000000" w:themeColor="text1"/>
          <w:sz w:val="24"/>
          <w:szCs w:val="24"/>
          <w:lang w:val="en-US"/>
        </w:rPr>
        <w:t xml:space="preserve"> in the post-</w:t>
      </w:r>
      <w:r w:rsidR="00934843" w:rsidRPr="002C5DE1">
        <w:rPr>
          <w:rFonts w:ascii="Times New Roman" w:hAnsi="Times New Roman" w:cs="Times New Roman"/>
          <w:color w:val="000000" w:themeColor="text1"/>
          <w:sz w:val="24"/>
          <w:szCs w:val="24"/>
          <w:lang w:val="en-US"/>
        </w:rPr>
        <w:t>GFC</w:t>
      </w:r>
      <w:r w:rsidRPr="002C5DE1">
        <w:rPr>
          <w:rFonts w:ascii="Times New Roman" w:hAnsi="Times New Roman" w:cs="Times New Roman"/>
          <w:color w:val="000000" w:themeColor="text1"/>
          <w:sz w:val="24"/>
          <w:szCs w:val="24"/>
          <w:lang w:val="en-US"/>
        </w:rPr>
        <w:t xml:space="preserve"> period</w:t>
      </w:r>
      <w:r w:rsidR="005058A3" w:rsidRPr="002C5DE1">
        <w:rPr>
          <w:rFonts w:ascii="Times New Roman" w:hAnsi="Times New Roman" w:cs="Times New Roman"/>
          <w:color w:val="000000" w:themeColor="text1"/>
          <w:sz w:val="24"/>
          <w:szCs w:val="24"/>
          <w:lang w:val="en-US"/>
        </w:rPr>
        <w:t>,</w:t>
      </w:r>
      <w:r w:rsidRPr="002C5DE1">
        <w:rPr>
          <w:rFonts w:ascii="Times New Roman" w:hAnsi="Times New Roman" w:cs="Times New Roman"/>
          <w:color w:val="000000" w:themeColor="text1"/>
          <w:sz w:val="24"/>
          <w:szCs w:val="24"/>
          <w:lang w:val="en-US"/>
        </w:rPr>
        <w:t xml:space="preserve"> particularly</w:t>
      </w:r>
      <w:r w:rsidR="005058A3" w:rsidRPr="002C5DE1">
        <w:rPr>
          <w:rFonts w:ascii="Times New Roman" w:hAnsi="Times New Roman" w:cs="Times New Roman"/>
          <w:color w:val="000000" w:themeColor="text1"/>
          <w:sz w:val="24"/>
          <w:szCs w:val="24"/>
          <w:lang w:val="en-US"/>
        </w:rPr>
        <w:t>,</w:t>
      </w:r>
      <w:r w:rsidRPr="002C5DE1">
        <w:rPr>
          <w:rFonts w:ascii="Times New Roman" w:hAnsi="Times New Roman" w:cs="Times New Roman"/>
          <w:color w:val="000000" w:themeColor="text1"/>
          <w:sz w:val="24"/>
          <w:szCs w:val="24"/>
          <w:lang w:val="en-US"/>
        </w:rPr>
        <w:t xml:space="preserve"> in Australia, Germany and </w:t>
      </w:r>
      <w:r w:rsidR="005058A3" w:rsidRPr="002C5DE1">
        <w:rPr>
          <w:rFonts w:ascii="Times New Roman" w:hAnsi="Times New Roman" w:cs="Times New Roman"/>
          <w:color w:val="000000" w:themeColor="text1"/>
          <w:sz w:val="24"/>
          <w:szCs w:val="24"/>
          <w:lang w:val="en-US"/>
        </w:rPr>
        <w:t xml:space="preserve">the </w:t>
      </w:r>
      <w:r w:rsidRPr="002C5DE1">
        <w:rPr>
          <w:rFonts w:ascii="Times New Roman" w:hAnsi="Times New Roman" w:cs="Times New Roman"/>
          <w:color w:val="000000" w:themeColor="text1"/>
          <w:sz w:val="24"/>
          <w:szCs w:val="24"/>
          <w:lang w:val="en-US"/>
        </w:rPr>
        <w:t xml:space="preserve">UK. Moreover, there is mostly a decline in FD </w:t>
      </w:r>
      <w:r w:rsidR="005058A3" w:rsidRPr="002C5DE1">
        <w:rPr>
          <w:rFonts w:ascii="Times New Roman" w:hAnsi="Times New Roman" w:cs="Times New Roman"/>
          <w:color w:val="000000" w:themeColor="text1"/>
          <w:sz w:val="24"/>
          <w:szCs w:val="24"/>
          <w:lang w:val="en-US"/>
        </w:rPr>
        <w:t>in the remaining</w:t>
      </w:r>
      <w:r w:rsidRPr="002C5DE1">
        <w:rPr>
          <w:rFonts w:ascii="Times New Roman" w:hAnsi="Times New Roman" w:cs="Times New Roman"/>
          <w:color w:val="000000" w:themeColor="text1"/>
          <w:sz w:val="24"/>
          <w:szCs w:val="24"/>
          <w:lang w:val="en-US"/>
        </w:rPr>
        <w:t xml:space="preserve"> countries </w:t>
      </w:r>
      <w:r w:rsidR="005058A3" w:rsidRPr="002C5DE1">
        <w:rPr>
          <w:rFonts w:ascii="Times New Roman" w:hAnsi="Times New Roman" w:cs="Times New Roman"/>
          <w:color w:val="000000" w:themeColor="text1"/>
          <w:sz w:val="24"/>
          <w:szCs w:val="24"/>
          <w:lang w:val="en-US"/>
        </w:rPr>
        <w:t xml:space="preserve">as well, </w:t>
      </w:r>
      <w:r w:rsidRPr="002C5DE1">
        <w:rPr>
          <w:rFonts w:ascii="Times New Roman" w:hAnsi="Times New Roman" w:cs="Times New Roman"/>
          <w:color w:val="000000" w:themeColor="text1"/>
          <w:sz w:val="24"/>
          <w:szCs w:val="24"/>
          <w:lang w:val="en-US"/>
        </w:rPr>
        <w:t xml:space="preserve">in the same period. Only in Korea, New Zealand, South Africa and </w:t>
      </w:r>
      <w:r w:rsidR="005058A3" w:rsidRPr="002C5DE1">
        <w:rPr>
          <w:rFonts w:ascii="Times New Roman" w:hAnsi="Times New Roman" w:cs="Times New Roman"/>
          <w:color w:val="000000" w:themeColor="text1"/>
          <w:sz w:val="24"/>
          <w:szCs w:val="24"/>
          <w:lang w:val="en-US"/>
        </w:rPr>
        <w:t xml:space="preserve">the </w:t>
      </w:r>
      <w:r w:rsidRPr="002C5DE1">
        <w:rPr>
          <w:rFonts w:ascii="Times New Roman" w:hAnsi="Times New Roman" w:cs="Times New Roman"/>
          <w:color w:val="000000" w:themeColor="text1"/>
          <w:sz w:val="24"/>
          <w:szCs w:val="24"/>
          <w:lang w:val="en-US"/>
        </w:rPr>
        <w:t>US, financial de</w:t>
      </w:r>
      <w:r w:rsidR="00C87842" w:rsidRPr="002C5DE1">
        <w:rPr>
          <w:rFonts w:ascii="Times New Roman" w:hAnsi="Times New Roman" w:cs="Times New Roman"/>
          <w:color w:val="000000" w:themeColor="text1"/>
          <w:sz w:val="24"/>
          <w:szCs w:val="24"/>
          <w:lang w:val="en-US"/>
        </w:rPr>
        <w:t>velopment</w:t>
      </w:r>
      <w:r w:rsidRPr="002C5DE1">
        <w:rPr>
          <w:rFonts w:ascii="Times New Roman" w:hAnsi="Times New Roman" w:cs="Times New Roman"/>
          <w:color w:val="000000" w:themeColor="text1"/>
          <w:sz w:val="24"/>
          <w:szCs w:val="24"/>
          <w:lang w:val="en-US"/>
        </w:rPr>
        <w:t xml:space="preserve"> increases after </w:t>
      </w:r>
      <w:r w:rsidR="005058A3" w:rsidRPr="002C5DE1">
        <w:rPr>
          <w:rFonts w:ascii="Times New Roman" w:hAnsi="Times New Roman" w:cs="Times New Roman"/>
          <w:color w:val="000000" w:themeColor="text1"/>
          <w:sz w:val="24"/>
          <w:szCs w:val="24"/>
          <w:lang w:val="en-US"/>
        </w:rPr>
        <w:t xml:space="preserve">the </w:t>
      </w:r>
      <w:r w:rsidR="00C11107" w:rsidRPr="002C5DE1">
        <w:rPr>
          <w:rFonts w:ascii="Times New Roman" w:hAnsi="Times New Roman" w:cs="Times New Roman"/>
          <w:color w:val="000000" w:themeColor="text1"/>
          <w:sz w:val="24"/>
          <w:szCs w:val="24"/>
          <w:lang w:val="en-US"/>
        </w:rPr>
        <w:t>GFC</w:t>
      </w:r>
      <w:r w:rsidR="005058A3" w:rsidRPr="002C5DE1">
        <w:rPr>
          <w:rFonts w:ascii="Times New Roman" w:hAnsi="Times New Roman" w:cs="Times New Roman"/>
          <w:color w:val="000000" w:themeColor="text1"/>
          <w:sz w:val="24"/>
          <w:szCs w:val="24"/>
          <w:lang w:val="en-US"/>
        </w:rPr>
        <w:t xml:space="preserve"> period</w:t>
      </w:r>
      <w:r w:rsidRPr="002C5DE1">
        <w:rPr>
          <w:rFonts w:ascii="Times New Roman" w:hAnsi="Times New Roman" w:cs="Times New Roman"/>
          <w:color w:val="000000" w:themeColor="text1"/>
          <w:sz w:val="24"/>
          <w:szCs w:val="24"/>
          <w:lang w:val="en-US"/>
        </w:rPr>
        <w:t>.</w:t>
      </w:r>
    </w:p>
    <w:p w14:paraId="218D0154" w14:textId="77777777" w:rsidR="006C09D4" w:rsidRPr="002C5DE1" w:rsidRDefault="00435D5B" w:rsidP="00934843">
      <w:pPr>
        <w:pStyle w:val="ListParagraph"/>
        <w:numPr>
          <w:ilvl w:val="0"/>
          <w:numId w:val="4"/>
        </w:numPr>
        <w:spacing w:after="120" w:line="276" w:lineRule="auto"/>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 xml:space="preserve">Housing wealth: Figure </w:t>
      </w:r>
      <w:r w:rsidR="00C159C9" w:rsidRPr="002C5DE1">
        <w:rPr>
          <w:rFonts w:ascii="Times New Roman" w:hAnsi="Times New Roman" w:cs="Times New Roman"/>
          <w:color w:val="000000" w:themeColor="text1"/>
          <w:sz w:val="24"/>
          <w:szCs w:val="24"/>
          <w:lang w:val="en-US"/>
        </w:rPr>
        <w:t>A</w:t>
      </w:r>
      <w:r w:rsidRPr="002C5DE1">
        <w:rPr>
          <w:rFonts w:ascii="Times New Roman" w:hAnsi="Times New Roman" w:cs="Times New Roman"/>
          <w:color w:val="000000" w:themeColor="text1"/>
          <w:sz w:val="24"/>
          <w:szCs w:val="24"/>
          <w:lang w:val="en-US"/>
        </w:rPr>
        <w:t xml:space="preserve">2 indicates that in 15 countries, there is an increase in housing wealth </w:t>
      </w:r>
      <w:r w:rsidR="005058A3" w:rsidRPr="002C5DE1">
        <w:rPr>
          <w:rFonts w:ascii="Times New Roman" w:hAnsi="Times New Roman" w:cs="Times New Roman"/>
          <w:color w:val="000000" w:themeColor="text1"/>
          <w:sz w:val="24"/>
          <w:szCs w:val="24"/>
          <w:lang w:val="en-US"/>
        </w:rPr>
        <w:t>along</w:t>
      </w:r>
      <w:r w:rsidR="002A021B" w:rsidRPr="002C5DE1">
        <w:rPr>
          <w:rFonts w:ascii="Times New Roman" w:hAnsi="Times New Roman" w:cs="Times New Roman"/>
          <w:color w:val="000000" w:themeColor="text1"/>
          <w:sz w:val="24"/>
          <w:szCs w:val="24"/>
          <w:lang w:val="en-US"/>
        </w:rPr>
        <w:t xml:space="preserve"> with</w:t>
      </w:r>
      <w:r w:rsidRPr="002C5DE1">
        <w:rPr>
          <w:rFonts w:ascii="Times New Roman" w:hAnsi="Times New Roman" w:cs="Times New Roman"/>
          <w:color w:val="000000" w:themeColor="text1"/>
          <w:sz w:val="24"/>
          <w:szCs w:val="24"/>
          <w:lang w:val="en-US"/>
        </w:rPr>
        <w:t xml:space="preserve"> the decline in affordability. Comparing to </w:t>
      </w:r>
      <w:r w:rsidR="005058A3" w:rsidRPr="002C5DE1">
        <w:rPr>
          <w:rFonts w:ascii="Times New Roman" w:hAnsi="Times New Roman" w:cs="Times New Roman"/>
          <w:color w:val="000000" w:themeColor="text1"/>
          <w:sz w:val="24"/>
          <w:szCs w:val="24"/>
          <w:lang w:val="en-US"/>
        </w:rPr>
        <w:t xml:space="preserve">the </w:t>
      </w:r>
      <w:r w:rsidR="00934843" w:rsidRPr="002C5DE1">
        <w:rPr>
          <w:rFonts w:ascii="Times New Roman" w:hAnsi="Times New Roman" w:cs="Times New Roman"/>
          <w:color w:val="000000" w:themeColor="text1"/>
          <w:sz w:val="24"/>
          <w:szCs w:val="24"/>
          <w:lang w:val="en-US"/>
        </w:rPr>
        <w:t>bubble</w:t>
      </w:r>
      <w:r w:rsidRPr="002C5DE1">
        <w:rPr>
          <w:rFonts w:ascii="Times New Roman" w:hAnsi="Times New Roman" w:cs="Times New Roman"/>
          <w:color w:val="000000" w:themeColor="text1"/>
          <w:sz w:val="24"/>
          <w:szCs w:val="24"/>
          <w:lang w:val="en-US"/>
        </w:rPr>
        <w:t xml:space="preserve"> period</w:t>
      </w:r>
      <w:r w:rsidR="005058A3" w:rsidRPr="002C5DE1">
        <w:rPr>
          <w:rFonts w:ascii="Times New Roman" w:hAnsi="Times New Roman" w:cs="Times New Roman"/>
          <w:color w:val="000000" w:themeColor="text1"/>
          <w:sz w:val="24"/>
          <w:szCs w:val="24"/>
          <w:lang w:val="en-US"/>
        </w:rPr>
        <w:t>,</w:t>
      </w:r>
      <w:r w:rsidRPr="002C5DE1">
        <w:rPr>
          <w:rFonts w:ascii="Times New Roman" w:hAnsi="Times New Roman" w:cs="Times New Roman"/>
          <w:color w:val="000000" w:themeColor="text1"/>
          <w:sz w:val="24"/>
          <w:szCs w:val="24"/>
          <w:lang w:val="en-US"/>
        </w:rPr>
        <w:t xml:space="preserve"> the housing wealth </w:t>
      </w:r>
      <w:r w:rsidR="005058A3" w:rsidRPr="002C5DE1">
        <w:rPr>
          <w:rFonts w:ascii="Times New Roman" w:hAnsi="Times New Roman" w:cs="Times New Roman"/>
          <w:color w:val="000000" w:themeColor="text1"/>
          <w:sz w:val="24"/>
          <w:szCs w:val="24"/>
          <w:lang w:val="en-US"/>
        </w:rPr>
        <w:t>is</w:t>
      </w:r>
      <w:r w:rsidRPr="002C5DE1">
        <w:rPr>
          <w:rFonts w:ascii="Times New Roman" w:hAnsi="Times New Roman" w:cs="Times New Roman"/>
          <w:color w:val="000000" w:themeColor="text1"/>
          <w:sz w:val="24"/>
          <w:szCs w:val="24"/>
          <w:lang w:val="en-US"/>
        </w:rPr>
        <w:t xml:space="preserve"> higher in the post-</w:t>
      </w:r>
      <w:r w:rsidR="00934843" w:rsidRPr="002C5DE1">
        <w:rPr>
          <w:rFonts w:ascii="Times New Roman" w:hAnsi="Times New Roman" w:cs="Times New Roman"/>
          <w:color w:val="000000" w:themeColor="text1"/>
          <w:sz w:val="24"/>
          <w:szCs w:val="24"/>
          <w:lang w:val="en-US"/>
        </w:rPr>
        <w:t>GFC</w:t>
      </w:r>
      <w:r w:rsidRPr="002C5DE1">
        <w:rPr>
          <w:rFonts w:ascii="Times New Roman" w:hAnsi="Times New Roman" w:cs="Times New Roman"/>
          <w:color w:val="000000" w:themeColor="text1"/>
          <w:sz w:val="24"/>
          <w:szCs w:val="24"/>
          <w:lang w:val="en-US"/>
        </w:rPr>
        <w:t xml:space="preserve"> period. An increase in hous</w:t>
      </w:r>
      <w:r w:rsidR="005058A3" w:rsidRPr="002C5DE1">
        <w:rPr>
          <w:rFonts w:ascii="Times New Roman" w:hAnsi="Times New Roman" w:cs="Times New Roman"/>
          <w:color w:val="000000" w:themeColor="text1"/>
          <w:sz w:val="24"/>
          <w:szCs w:val="24"/>
          <w:lang w:val="en-US"/>
        </w:rPr>
        <w:t>ing</w:t>
      </w:r>
      <w:r w:rsidRPr="002C5DE1">
        <w:rPr>
          <w:rFonts w:ascii="Times New Roman" w:hAnsi="Times New Roman" w:cs="Times New Roman"/>
          <w:color w:val="000000" w:themeColor="text1"/>
          <w:sz w:val="24"/>
          <w:szCs w:val="24"/>
          <w:lang w:val="en-US"/>
        </w:rPr>
        <w:t xml:space="preserve"> prices might have affected affordability negatively </w:t>
      </w:r>
      <w:r w:rsidR="00934843" w:rsidRPr="002C5DE1">
        <w:rPr>
          <w:rFonts w:ascii="Times New Roman" w:hAnsi="Times New Roman" w:cs="Times New Roman"/>
          <w:color w:val="000000" w:themeColor="text1"/>
          <w:sz w:val="24"/>
          <w:szCs w:val="24"/>
          <w:lang w:val="en-US"/>
        </w:rPr>
        <w:t>(</w:t>
      </w:r>
      <w:proofErr w:type="spellStart"/>
      <w:r w:rsidR="00934843" w:rsidRPr="002C5DE1">
        <w:rPr>
          <w:rFonts w:ascii="Times New Roman" w:hAnsi="Times New Roman" w:cs="Times New Roman"/>
          <w:color w:val="000000" w:themeColor="text1"/>
          <w:sz w:val="24"/>
          <w:szCs w:val="24"/>
          <w:lang w:val="en-US"/>
        </w:rPr>
        <w:t>Mengjie</w:t>
      </w:r>
      <w:proofErr w:type="spellEnd"/>
      <w:r w:rsidR="00934843" w:rsidRPr="002C5DE1">
        <w:rPr>
          <w:rFonts w:ascii="Times New Roman" w:hAnsi="Times New Roman" w:cs="Times New Roman"/>
          <w:color w:val="000000" w:themeColor="text1"/>
          <w:sz w:val="24"/>
          <w:szCs w:val="24"/>
          <w:lang w:val="en-US"/>
        </w:rPr>
        <w:t xml:space="preserve"> et. al., 2008; </w:t>
      </w:r>
      <w:proofErr w:type="spellStart"/>
      <w:r w:rsidR="00934843" w:rsidRPr="002C5DE1">
        <w:rPr>
          <w:rFonts w:ascii="Times New Roman" w:hAnsi="Times New Roman" w:cs="Times New Roman"/>
          <w:color w:val="000000" w:themeColor="text1"/>
          <w:sz w:val="24"/>
          <w:szCs w:val="24"/>
          <w:lang w:val="en-US"/>
        </w:rPr>
        <w:t>Meen</w:t>
      </w:r>
      <w:proofErr w:type="spellEnd"/>
      <w:r w:rsidR="00934843" w:rsidRPr="002C5DE1">
        <w:rPr>
          <w:rFonts w:ascii="Times New Roman" w:hAnsi="Times New Roman" w:cs="Times New Roman"/>
          <w:color w:val="000000" w:themeColor="text1"/>
          <w:sz w:val="24"/>
          <w:szCs w:val="24"/>
          <w:lang w:val="en-US"/>
        </w:rPr>
        <w:t xml:space="preserve">, 2008; </w:t>
      </w:r>
      <w:proofErr w:type="spellStart"/>
      <w:r w:rsidR="00934843" w:rsidRPr="002C5DE1">
        <w:rPr>
          <w:rFonts w:ascii="Times New Roman" w:hAnsi="Times New Roman" w:cs="Times New Roman"/>
          <w:color w:val="000000" w:themeColor="text1"/>
          <w:sz w:val="24"/>
          <w:szCs w:val="24"/>
          <w:lang w:val="en-US"/>
        </w:rPr>
        <w:t>Duan</w:t>
      </w:r>
      <w:proofErr w:type="spellEnd"/>
      <w:r w:rsidR="00934843" w:rsidRPr="002C5DE1">
        <w:rPr>
          <w:rFonts w:ascii="Times New Roman" w:hAnsi="Times New Roman" w:cs="Times New Roman"/>
          <w:color w:val="000000" w:themeColor="text1"/>
          <w:sz w:val="24"/>
          <w:szCs w:val="24"/>
          <w:lang w:val="en-US"/>
        </w:rPr>
        <w:t xml:space="preserve">, 2011; Lin et al., 2014; </w:t>
      </w:r>
      <w:proofErr w:type="spellStart"/>
      <w:r w:rsidR="00934843" w:rsidRPr="002C5DE1">
        <w:rPr>
          <w:rFonts w:ascii="Times New Roman" w:hAnsi="Times New Roman" w:cs="Times New Roman"/>
          <w:color w:val="000000" w:themeColor="text1"/>
          <w:sz w:val="24"/>
          <w:szCs w:val="24"/>
          <w:lang w:val="en-US"/>
        </w:rPr>
        <w:t>Bourussa</w:t>
      </w:r>
      <w:proofErr w:type="spellEnd"/>
      <w:r w:rsidR="00934843" w:rsidRPr="002C5DE1">
        <w:rPr>
          <w:rFonts w:ascii="Times New Roman" w:hAnsi="Times New Roman" w:cs="Times New Roman"/>
          <w:color w:val="000000" w:themeColor="text1"/>
          <w:sz w:val="24"/>
          <w:szCs w:val="24"/>
          <w:lang w:val="en-US"/>
        </w:rPr>
        <w:t xml:space="preserve"> and </w:t>
      </w:r>
      <w:proofErr w:type="spellStart"/>
      <w:r w:rsidR="00934843" w:rsidRPr="002C5DE1">
        <w:rPr>
          <w:rFonts w:ascii="Times New Roman" w:hAnsi="Times New Roman" w:cs="Times New Roman"/>
          <w:color w:val="000000" w:themeColor="text1"/>
          <w:sz w:val="24"/>
          <w:szCs w:val="24"/>
          <w:lang w:val="en-US"/>
        </w:rPr>
        <w:t>Haurin</w:t>
      </w:r>
      <w:proofErr w:type="spellEnd"/>
      <w:r w:rsidR="00934843" w:rsidRPr="002C5DE1">
        <w:rPr>
          <w:rFonts w:ascii="Times New Roman" w:hAnsi="Times New Roman" w:cs="Times New Roman"/>
          <w:color w:val="000000" w:themeColor="text1"/>
          <w:sz w:val="24"/>
          <w:szCs w:val="24"/>
          <w:lang w:val="en-US"/>
        </w:rPr>
        <w:t xml:space="preserve">, 2017) </w:t>
      </w:r>
      <w:r w:rsidRPr="002C5DE1">
        <w:rPr>
          <w:rFonts w:ascii="Times New Roman" w:hAnsi="Times New Roman" w:cs="Times New Roman"/>
          <w:color w:val="000000" w:themeColor="text1"/>
          <w:sz w:val="24"/>
          <w:szCs w:val="24"/>
          <w:lang w:val="en-US"/>
        </w:rPr>
        <w:t xml:space="preserve">and housing wealth positively. </w:t>
      </w:r>
      <w:r w:rsidR="005A5F4B" w:rsidRPr="002C5DE1">
        <w:rPr>
          <w:rFonts w:ascii="Times New Roman" w:hAnsi="Times New Roman" w:cs="Times New Roman"/>
          <w:color w:val="000000" w:themeColor="text1"/>
          <w:sz w:val="24"/>
          <w:szCs w:val="24"/>
          <w:lang w:val="en-US"/>
        </w:rPr>
        <w:t>Due to various factors such as housing ownership ratios</w:t>
      </w:r>
      <w:r w:rsidR="00EA6902" w:rsidRPr="002C5DE1">
        <w:rPr>
          <w:rStyle w:val="FootnoteReference"/>
          <w:rFonts w:ascii="Times New Roman" w:hAnsi="Times New Roman" w:cs="Times New Roman"/>
          <w:color w:val="000000" w:themeColor="text1"/>
          <w:sz w:val="24"/>
          <w:szCs w:val="24"/>
          <w:lang w:val="en-US"/>
        </w:rPr>
        <w:footnoteReference w:id="5"/>
      </w:r>
      <w:r w:rsidR="005A5F4B" w:rsidRPr="002C5DE1">
        <w:rPr>
          <w:rFonts w:ascii="Times New Roman" w:hAnsi="Times New Roman" w:cs="Times New Roman"/>
          <w:color w:val="000000" w:themeColor="text1"/>
          <w:sz w:val="24"/>
          <w:szCs w:val="24"/>
          <w:lang w:val="en-US"/>
        </w:rPr>
        <w:t>, access to mortgage credits</w:t>
      </w:r>
      <w:r w:rsidR="00E6296C" w:rsidRPr="002C5DE1">
        <w:rPr>
          <w:rStyle w:val="FootnoteReference"/>
          <w:rFonts w:ascii="Times New Roman" w:hAnsi="Times New Roman" w:cs="Times New Roman"/>
          <w:color w:val="000000" w:themeColor="text1"/>
          <w:sz w:val="24"/>
          <w:szCs w:val="24"/>
          <w:lang w:val="en-US"/>
        </w:rPr>
        <w:footnoteReference w:id="6"/>
      </w:r>
      <w:r w:rsidR="005A5F4B" w:rsidRPr="002C5DE1">
        <w:rPr>
          <w:rFonts w:ascii="Times New Roman" w:hAnsi="Times New Roman" w:cs="Times New Roman"/>
          <w:color w:val="000000" w:themeColor="text1"/>
          <w:sz w:val="24"/>
          <w:szCs w:val="24"/>
          <w:lang w:val="en-US"/>
        </w:rPr>
        <w:t xml:space="preserve"> t</w:t>
      </w:r>
      <w:r w:rsidRPr="002C5DE1">
        <w:rPr>
          <w:rFonts w:ascii="Times New Roman" w:hAnsi="Times New Roman" w:cs="Times New Roman"/>
          <w:color w:val="000000" w:themeColor="text1"/>
          <w:sz w:val="24"/>
          <w:szCs w:val="24"/>
          <w:lang w:val="en-US"/>
        </w:rPr>
        <w:t>his m</w:t>
      </w:r>
      <w:r w:rsidR="00873DE9" w:rsidRPr="002C5DE1">
        <w:rPr>
          <w:rFonts w:ascii="Times New Roman" w:hAnsi="Times New Roman" w:cs="Times New Roman"/>
          <w:color w:val="000000" w:themeColor="text1"/>
          <w:sz w:val="24"/>
          <w:szCs w:val="24"/>
          <w:lang w:val="en-US"/>
        </w:rPr>
        <w:t>ay</w:t>
      </w:r>
      <w:r w:rsidRPr="002C5DE1">
        <w:rPr>
          <w:rFonts w:ascii="Times New Roman" w:hAnsi="Times New Roman" w:cs="Times New Roman"/>
          <w:color w:val="000000" w:themeColor="text1"/>
          <w:sz w:val="24"/>
          <w:szCs w:val="24"/>
          <w:lang w:val="en-US"/>
        </w:rPr>
        <w:t xml:space="preserve"> have</w:t>
      </w:r>
      <w:r w:rsidR="005058A3" w:rsidRPr="002C5DE1">
        <w:rPr>
          <w:rFonts w:ascii="Times New Roman" w:hAnsi="Times New Roman" w:cs="Times New Roman"/>
          <w:color w:val="000000" w:themeColor="text1"/>
          <w:sz w:val="24"/>
          <w:szCs w:val="24"/>
          <w:lang w:val="en-US"/>
        </w:rPr>
        <w:t xml:space="preserve"> </w:t>
      </w:r>
      <w:r w:rsidRPr="002C5DE1">
        <w:rPr>
          <w:rFonts w:ascii="Times New Roman" w:hAnsi="Times New Roman" w:cs="Times New Roman"/>
          <w:color w:val="000000" w:themeColor="text1"/>
          <w:sz w:val="24"/>
          <w:szCs w:val="24"/>
          <w:lang w:val="en-US"/>
        </w:rPr>
        <w:t xml:space="preserve">result </w:t>
      </w:r>
      <w:r w:rsidR="005A5F4B" w:rsidRPr="002C5DE1">
        <w:rPr>
          <w:rFonts w:ascii="Times New Roman" w:hAnsi="Times New Roman" w:cs="Times New Roman"/>
          <w:color w:val="000000" w:themeColor="text1"/>
          <w:sz w:val="24"/>
          <w:szCs w:val="24"/>
          <w:lang w:val="en-US"/>
        </w:rPr>
        <w:t xml:space="preserve">with </w:t>
      </w:r>
      <w:r w:rsidRPr="002C5DE1">
        <w:rPr>
          <w:rFonts w:ascii="Times New Roman" w:hAnsi="Times New Roman" w:cs="Times New Roman"/>
          <w:color w:val="000000" w:themeColor="text1"/>
          <w:sz w:val="24"/>
          <w:szCs w:val="24"/>
          <w:lang w:val="en-US"/>
        </w:rPr>
        <w:t>an increase in inequality</w:t>
      </w:r>
      <w:r w:rsidR="00BB731F" w:rsidRPr="002C5DE1">
        <w:rPr>
          <w:rStyle w:val="FootnoteReference"/>
          <w:rFonts w:ascii="Times New Roman" w:hAnsi="Times New Roman" w:cs="Times New Roman"/>
          <w:color w:val="000000" w:themeColor="text1"/>
          <w:sz w:val="24"/>
          <w:szCs w:val="24"/>
          <w:lang w:val="en-US"/>
        </w:rPr>
        <w:footnoteReference w:id="7"/>
      </w:r>
      <w:r w:rsidR="00934843" w:rsidRPr="002C5DE1">
        <w:rPr>
          <w:rFonts w:ascii="Times New Roman" w:hAnsi="Times New Roman" w:cs="Times New Roman"/>
          <w:color w:val="000000" w:themeColor="text1"/>
          <w:sz w:val="24"/>
          <w:szCs w:val="24"/>
          <w:lang w:val="en-US"/>
        </w:rPr>
        <w:t>.</w:t>
      </w:r>
      <w:r w:rsidRPr="002C5DE1">
        <w:rPr>
          <w:rFonts w:ascii="Times New Roman" w:hAnsi="Times New Roman" w:cs="Times New Roman"/>
          <w:color w:val="000000" w:themeColor="text1"/>
          <w:sz w:val="24"/>
          <w:szCs w:val="24"/>
          <w:lang w:val="en-US"/>
        </w:rPr>
        <w:t xml:space="preserve"> </w:t>
      </w:r>
    </w:p>
    <w:p w14:paraId="3978C0FE" w14:textId="77777777" w:rsidR="006C09D4" w:rsidRPr="002C5DE1" w:rsidRDefault="00435D5B" w:rsidP="00E26478">
      <w:pPr>
        <w:pStyle w:val="ListParagraph"/>
        <w:numPr>
          <w:ilvl w:val="0"/>
          <w:numId w:val="4"/>
        </w:numPr>
        <w:spacing w:after="120" w:line="276" w:lineRule="auto"/>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 xml:space="preserve">Housing Affordability: Figure </w:t>
      </w:r>
      <w:r w:rsidR="00C159C9" w:rsidRPr="002C5DE1">
        <w:rPr>
          <w:rFonts w:ascii="Times New Roman" w:hAnsi="Times New Roman" w:cs="Times New Roman"/>
          <w:color w:val="000000" w:themeColor="text1"/>
          <w:sz w:val="24"/>
          <w:szCs w:val="24"/>
          <w:lang w:val="en-US"/>
        </w:rPr>
        <w:t>A</w:t>
      </w:r>
      <w:r w:rsidRPr="002C5DE1">
        <w:rPr>
          <w:rFonts w:ascii="Times New Roman" w:hAnsi="Times New Roman" w:cs="Times New Roman"/>
          <w:color w:val="000000" w:themeColor="text1"/>
          <w:sz w:val="24"/>
          <w:szCs w:val="24"/>
          <w:lang w:val="en-US"/>
        </w:rPr>
        <w:t>2 illustrates that in 15 countries (i.e.</w:t>
      </w:r>
      <w:r w:rsidR="004B0992" w:rsidRPr="002C5DE1">
        <w:rPr>
          <w:rFonts w:ascii="Times New Roman" w:hAnsi="Times New Roman" w:cs="Times New Roman"/>
          <w:color w:val="000000" w:themeColor="text1"/>
          <w:sz w:val="24"/>
          <w:szCs w:val="24"/>
          <w:lang w:val="en-US"/>
        </w:rPr>
        <w:t>,</w:t>
      </w:r>
      <w:r w:rsidRPr="002C5DE1">
        <w:rPr>
          <w:rFonts w:ascii="Times New Roman" w:hAnsi="Times New Roman" w:cs="Times New Roman"/>
          <w:color w:val="000000" w:themeColor="text1"/>
          <w:sz w:val="24"/>
          <w:szCs w:val="24"/>
          <w:lang w:val="en-US"/>
        </w:rPr>
        <w:t xml:space="preserve"> Austria, Canada, Germany, Norway, </w:t>
      </w:r>
      <w:r w:rsidR="004B0992" w:rsidRPr="002C5DE1">
        <w:rPr>
          <w:rFonts w:ascii="Times New Roman" w:hAnsi="Times New Roman" w:cs="Times New Roman"/>
          <w:color w:val="000000" w:themeColor="text1"/>
          <w:sz w:val="24"/>
          <w:szCs w:val="24"/>
          <w:lang w:val="en-US"/>
        </w:rPr>
        <w:t xml:space="preserve">the </w:t>
      </w:r>
      <w:r w:rsidRPr="002C5DE1">
        <w:rPr>
          <w:rFonts w:ascii="Times New Roman" w:hAnsi="Times New Roman" w:cs="Times New Roman"/>
          <w:color w:val="000000" w:themeColor="text1"/>
          <w:sz w:val="24"/>
          <w:szCs w:val="24"/>
          <w:lang w:val="en-US"/>
        </w:rPr>
        <w:t>U</w:t>
      </w:r>
      <w:r w:rsidR="004B0992" w:rsidRPr="002C5DE1">
        <w:rPr>
          <w:rFonts w:ascii="Times New Roman" w:hAnsi="Times New Roman" w:cs="Times New Roman"/>
          <w:color w:val="000000" w:themeColor="text1"/>
          <w:sz w:val="24"/>
          <w:szCs w:val="24"/>
          <w:lang w:val="en-US"/>
        </w:rPr>
        <w:t>K</w:t>
      </w:r>
      <w:r w:rsidR="009D146F" w:rsidRPr="002C5DE1">
        <w:rPr>
          <w:rFonts w:ascii="Times New Roman" w:hAnsi="Times New Roman" w:cs="Times New Roman"/>
          <w:color w:val="000000" w:themeColor="text1"/>
          <w:sz w:val="24"/>
          <w:szCs w:val="24"/>
          <w:lang w:val="en-US"/>
        </w:rPr>
        <w:t>,</w:t>
      </w:r>
      <w:r w:rsidR="004B0992" w:rsidRPr="002C5DE1">
        <w:rPr>
          <w:rFonts w:ascii="Times New Roman" w:hAnsi="Times New Roman" w:cs="Times New Roman"/>
          <w:color w:val="000000" w:themeColor="text1"/>
          <w:sz w:val="24"/>
          <w:szCs w:val="24"/>
          <w:lang w:val="en-US"/>
        </w:rPr>
        <w:t xml:space="preserve"> the</w:t>
      </w:r>
      <w:r w:rsidRPr="002C5DE1">
        <w:rPr>
          <w:rFonts w:ascii="Times New Roman" w:hAnsi="Times New Roman" w:cs="Times New Roman"/>
          <w:color w:val="000000" w:themeColor="text1"/>
          <w:sz w:val="24"/>
          <w:szCs w:val="24"/>
          <w:lang w:val="en-US"/>
        </w:rPr>
        <w:t xml:space="preserve"> US</w:t>
      </w:r>
      <w:r w:rsidR="009D146F" w:rsidRPr="002C5DE1">
        <w:rPr>
          <w:rFonts w:ascii="Times New Roman" w:hAnsi="Times New Roman" w:cs="Times New Roman"/>
          <w:color w:val="000000" w:themeColor="text1"/>
          <w:sz w:val="24"/>
          <w:szCs w:val="24"/>
          <w:lang w:val="en-US"/>
        </w:rPr>
        <w:t>)</w:t>
      </w:r>
      <w:r w:rsidRPr="002C5DE1">
        <w:rPr>
          <w:rFonts w:ascii="Times New Roman" w:hAnsi="Times New Roman" w:cs="Times New Roman"/>
          <w:color w:val="000000" w:themeColor="text1"/>
          <w:sz w:val="24"/>
          <w:szCs w:val="24"/>
          <w:lang w:val="en-US"/>
        </w:rPr>
        <w:t xml:space="preserve"> HPI</w:t>
      </w:r>
      <w:r w:rsidR="000D3BDD" w:rsidRPr="002C5DE1">
        <w:rPr>
          <w:rFonts w:ascii="Times New Roman" w:hAnsi="Times New Roman" w:cs="Times New Roman"/>
          <w:color w:val="000000" w:themeColor="text1"/>
          <w:sz w:val="24"/>
          <w:szCs w:val="24"/>
          <w:lang w:val="en-US"/>
        </w:rPr>
        <w:t>/housing wealth</w:t>
      </w:r>
      <w:r w:rsidRPr="002C5DE1">
        <w:rPr>
          <w:rFonts w:ascii="Times New Roman" w:hAnsi="Times New Roman" w:cs="Times New Roman"/>
          <w:color w:val="000000" w:themeColor="text1"/>
          <w:sz w:val="24"/>
          <w:szCs w:val="24"/>
          <w:lang w:val="en-US"/>
        </w:rPr>
        <w:t xml:space="preserve"> ha</w:t>
      </w:r>
      <w:r w:rsidR="004B0992" w:rsidRPr="002C5DE1">
        <w:rPr>
          <w:rFonts w:ascii="Times New Roman" w:hAnsi="Times New Roman" w:cs="Times New Roman"/>
          <w:color w:val="000000" w:themeColor="text1"/>
          <w:sz w:val="24"/>
          <w:szCs w:val="24"/>
          <w:lang w:val="en-US"/>
        </w:rPr>
        <w:t>s</w:t>
      </w:r>
      <w:r w:rsidRPr="002C5DE1">
        <w:rPr>
          <w:rFonts w:ascii="Times New Roman" w:hAnsi="Times New Roman" w:cs="Times New Roman"/>
          <w:color w:val="000000" w:themeColor="text1"/>
          <w:sz w:val="24"/>
          <w:szCs w:val="24"/>
          <w:lang w:val="en-US"/>
        </w:rPr>
        <w:t xml:space="preserve"> been increas</w:t>
      </w:r>
      <w:r w:rsidR="004B0992" w:rsidRPr="002C5DE1">
        <w:rPr>
          <w:rFonts w:ascii="Times New Roman" w:hAnsi="Times New Roman" w:cs="Times New Roman"/>
          <w:color w:val="000000" w:themeColor="text1"/>
          <w:sz w:val="24"/>
          <w:szCs w:val="24"/>
          <w:lang w:val="en-US"/>
        </w:rPr>
        <w:t>ing,</w:t>
      </w:r>
      <w:r w:rsidRPr="002C5DE1">
        <w:rPr>
          <w:rFonts w:ascii="Times New Roman" w:hAnsi="Times New Roman" w:cs="Times New Roman"/>
          <w:color w:val="000000" w:themeColor="text1"/>
          <w:sz w:val="24"/>
          <w:szCs w:val="24"/>
          <w:lang w:val="en-US"/>
        </w:rPr>
        <w:t xml:space="preserve"> which </w:t>
      </w:r>
      <w:r w:rsidR="004B0992" w:rsidRPr="002C5DE1">
        <w:rPr>
          <w:rFonts w:ascii="Times New Roman" w:hAnsi="Times New Roman" w:cs="Times New Roman"/>
          <w:color w:val="000000" w:themeColor="text1"/>
          <w:sz w:val="24"/>
          <w:szCs w:val="24"/>
          <w:lang w:val="en-US"/>
        </w:rPr>
        <w:t>indicates that</w:t>
      </w:r>
      <w:r w:rsidRPr="002C5DE1">
        <w:rPr>
          <w:rFonts w:ascii="Times New Roman" w:hAnsi="Times New Roman" w:cs="Times New Roman"/>
          <w:color w:val="000000" w:themeColor="text1"/>
          <w:sz w:val="24"/>
          <w:szCs w:val="24"/>
          <w:lang w:val="en-US"/>
        </w:rPr>
        <w:t xml:space="preserve"> housing affordability ha</w:t>
      </w:r>
      <w:r w:rsidR="004B0992" w:rsidRPr="002C5DE1">
        <w:rPr>
          <w:rFonts w:ascii="Times New Roman" w:hAnsi="Times New Roman" w:cs="Times New Roman"/>
          <w:color w:val="000000" w:themeColor="text1"/>
          <w:sz w:val="24"/>
          <w:szCs w:val="24"/>
          <w:lang w:val="en-US"/>
        </w:rPr>
        <w:t>s</w:t>
      </w:r>
      <w:r w:rsidRPr="002C5DE1">
        <w:rPr>
          <w:rFonts w:ascii="Times New Roman" w:hAnsi="Times New Roman" w:cs="Times New Roman"/>
          <w:color w:val="000000" w:themeColor="text1"/>
          <w:sz w:val="24"/>
          <w:szCs w:val="24"/>
          <w:lang w:val="en-US"/>
        </w:rPr>
        <w:t xml:space="preserve"> been decreas</w:t>
      </w:r>
      <w:r w:rsidR="004B0992" w:rsidRPr="002C5DE1">
        <w:rPr>
          <w:rFonts w:ascii="Times New Roman" w:hAnsi="Times New Roman" w:cs="Times New Roman"/>
          <w:color w:val="000000" w:themeColor="text1"/>
          <w:sz w:val="24"/>
          <w:szCs w:val="24"/>
          <w:lang w:val="en-US"/>
        </w:rPr>
        <w:t>ing</w:t>
      </w:r>
      <w:r w:rsidRPr="002C5DE1">
        <w:rPr>
          <w:rFonts w:ascii="Times New Roman" w:hAnsi="Times New Roman" w:cs="Times New Roman"/>
          <w:color w:val="000000" w:themeColor="text1"/>
          <w:sz w:val="24"/>
          <w:szCs w:val="24"/>
          <w:lang w:val="en-US"/>
        </w:rPr>
        <w:t xml:space="preserve"> in the post-</w:t>
      </w:r>
      <w:r w:rsidR="009D146F" w:rsidRPr="002C5DE1">
        <w:rPr>
          <w:rFonts w:ascii="Times New Roman" w:hAnsi="Times New Roman" w:cs="Times New Roman"/>
          <w:color w:val="000000" w:themeColor="text1"/>
          <w:sz w:val="24"/>
          <w:szCs w:val="24"/>
          <w:lang w:val="en-US"/>
        </w:rPr>
        <w:t>GFC</w:t>
      </w:r>
      <w:r w:rsidRPr="002C5DE1">
        <w:rPr>
          <w:rFonts w:ascii="Times New Roman" w:hAnsi="Times New Roman" w:cs="Times New Roman"/>
          <w:color w:val="000000" w:themeColor="text1"/>
          <w:sz w:val="24"/>
          <w:szCs w:val="24"/>
          <w:lang w:val="en-US"/>
        </w:rPr>
        <w:t xml:space="preserve"> period. In </w:t>
      </w:r>
      <w:r w:rsidR="002A021B" w:rsidRPr="002C5DE1">
        <w:rPr>
          <w:rFonts w:ascii="Times New Roman" w:hAnsi="Times New Roman" w:cs="Times New Roman"/>
          <w:color w:val="000000" w:themeColor="text1"/>
          <w:sz w:val="24"/>
          <w:szCs w:val="24"/>
          <w:lang w:val="en-US"/>
        </w:rPr>
        <w:t xml:space="preserve">Austria, </w:t>
      </w:r>
      <w:r w:rsidRPr="002C5DE1">
        <w:rPr>
          <w:rFonts w:ascii="Times New Roman" w:hAnsi="Times New Roman" w:cs="Times New Roman"/>
          <w:color w:val="000000" w:themeColor="text1"/>
          <w:sz w:val="24"/>
          <w:szCs w:val="24"/>
          <w:lang w:val="en-US"/>
        </w:rPr>
        <w:t>Germany, Israel, Japan and Portugal, housing affordability tends to decline</w:t>
      </w:r>
      <w:r w:rsidR="004B0992" w:rsidRPr="002C5DE1">
        <w:rPr>
          <w:rFonts w:ascii="Times New Roman" w:hAnsi="Times New Roman" w:cs="Times New Roman"/>
          <w:color w:val="000000" w:themeColor="text1"/>
          <w:sz w:val="24"/>
          <w:szCs w:val="24"/>
          <w:lang w:val="en-US"/>
        </w:rPr>
        <w:t>,</w:t>
      </w:r>
      <w:r w:rsidRPr="002C5DE1">
        <w:rPr>
          <w:rFonts w:ascii="Times New Roman" w:hAnsi="Times New Roman" w:cs="Times New Roman"/>
          <w:color w:val="000000" w:themeColor="text1"/>
          <w:sz w:val="24"/>
          <w:szCs w:val="24"/>
          <w:lang w:val="en-US"/>
        </w:rPr>
        <w:t xml:space="preserve"> while housing wealth</w:t>
      </w:r>
      <w:r w:rsidR="009A420E" w:rsidRPr="002C5DE1">
        <w:rPr>
          <w:rFonts w:ascii="Times New Roman" w:hAnsi="Times New Roman" w:cs="Times New Roman"/>
          <w:color w:val="000000" w:themeColor="text1"/>
          <w:sz w:val="24"/>
          <w:szCs w:val="24"/>
          <w:lang w:val="en-US"/>
        </w:rPr>
        <w:t xml:space="preserve"> tends</w:t>
      </w:r>
      <w:r w:rsidRPr="002C5DE1">
        <w:rPr>
          <w:rFonts w:ascii="Times New Roman" w:hAnsi="Times New Roman" w:cs="Times New Roman"/>
          <w:color w:val="000000" w:themeColor="text1"/>
          <w:sz w:val="24"/>
          <w:szCs w:val="24"/>
          <w:lang w:val="en-US"/>
        </w:rPr>
        <w:t xml:space="preserve"> to increase </w:t>
      </w:r>
      <w:r w:rsidR="004B0992" w:rsidRPr="002C5DE1">
        <w:rPr>
          <w:rFonts w:ascii="Times New Roman" w:hAnsi="Times New Roman" w:cs="Times New Roman"/>
          <w:color w:val="000000" w:themeColor="text1"/>
          <w:sz w:val="24"/>
          <w:szCs w:val="24"/>
          <w:lang w:val="en-US"/>
        </w:rPr>
        <w:t>vis-a-vis</w:t>
      </w:r>
      <w:r w:rsidRPr="002C5DE1">
        <w:rPr>
          <w:rFonts w:ascii="Times New Roman" w:hAnsi="Times New Roman" w:cs="Times New Roman"/>
          <w:color w:val="000000" w:themeColor="text1"/>
          <w:sz w:val="24"/>
          <w:szCs w:val="24"/>
          <w:lang w:val="en-US"/>
        </w:rPr>
        <w:t xml:space="preserve"> to </w:t>
      </w:r>
      <w:r w:rsidR="004B0992" w:rsidRPr="002C5DE1">
        <w:rPr>
          <w:rFonts w:ascii="Times New Roman" w:hAnsi="Times New Roman" w:cs="Times New Roman"/>
          <w:color w:val="000000" w:themeColor="text1"/>
          <w:sz w:val="24"/>
          <w:szCs w:val="24"/>
          <w:lang w:val="en-US"/>
        </w:rPr>
        <w:t xml:space="preserve">the </w:t>
      </w:r>
      <w:r w:rsidR="00A84E9B" w:rsidRPr="002C5DE1">
        <w:rPr>
          <w:rFonts w:ascii="Times New Roman" w:hAnsi="Times New Roman" w:cs="Times New Roman"/>
          <w:color w:val="000000" w:themeColor="text1"/>
          <w:sz w:val="24"/>
          <w:szCs w:val="24"/>
          <w:lang w:val="en-US"/>
        </w:rPr>
        <w:t xml:space="preserve">bubble </w:t>
      </w:r>
      <w:r w:rsidRPr="002C5DE1">
        <w:rPr>
          <w:rFonts w:ascii="Times New Roman" w:hAnsi="Times New Roman" w:cs="Times New Roman"/>
          <w:color w:val="000000" w:themeColor="text1"/>
          <w:sz w:val="24"/>
          <w:szCs w:val="24"/>
          <w:lang w:val="en-US"/>
        </w:rPr>
        <w:t xml:space="preserve">period. In </w:t>
      </w:r>
      <w:r w:rsidR="00305AFF" w:rsidRPr="002C5DE1">
        <w:rPr>
          <w:rFonts w:ascii="Times New Roman" w:hAnsi="Times New Roman" w:cs="Times New Roman"/>
          <w:color w:val="000000" w:themeColor="text1"/>
          <w:sz w:val="24"/>
          <w:szCs w:val="24"/>
          <w:lang w:val="en-US"/>
        </w:rPr>
        <w:t xml:space="preserve">Finland, </w:t>
      </w:r>
      <w:r w:rsidRPr="002C5DE1">
        <w:rPr>
          <w:rFonts w:ascii="Times New Roman" w:hAnsi="Times New Roman" w:cs="Times New Roman"/>
          <w:color w:val="000000" w:themeColor="text1"/>
          <w:sz w:val="24"/>
          <w:szCs w:val="24"/>
          <w:lang w:val="en-US"/>
        </w:rPr>
        <w:t>Greece, Italy, Korea and South Africa</w:t>
      </w:r>
      <w:r w:rsidR="004B0992" w:rsidRPr="002C5DE1">
        <w:rPr>
          <w:rFonts w:ascii="Times New Roman" w:hAnsi="Times New Roman" w:cs="Times New Roman"/>
          <w:color w:val="000000" w:themeColor="text1"/>
          <w:sz w:val="24"/>
          <w:szCs w:val="24"/>
          <w:lang w:val="en-US"/>
        </w:rPr>
        <w:t>,</w:t>
      </w:r>
      <w:r w:rsidRPr="002C5DE1">
        <w:rPr>
          <w:rFonts w:ascii="Times New Roman" w:hAnsi="Times New Roman" w:cs="Times New Roman"/>
          <w:color w:val="000000" w:themeColor="text1"/>
          <w:sz w:val="24"/>
          <w:szCs w:val="24"/>
          <w:lang w:val="en-US"/>
        </w:rPr>
        <w:t xml:space="preserve"> housing affordability ha</w:t>
      </w:r>
      <w:r w:rsidR="004B0992" w:rsidRPr="002C5DE1">
        <w:rPr>
          <w:rFonts w:ascii="Times New Roman" w:hAnsi="Times New Roman" w:cs="Times New Roman"/>
          <w:color w:val="000000" w:themeColor="text1"/>
          <w:sz w:val="24"/>
          <w:szCs w:val="24"/>
          <w:lang w:val="en-US"/>
        </w:rPr>
        <w:t>s</w:t>
      </w:r>
      <w:r w:rsidRPr="002C5DE1">
        <w:rPr>
          <w:rFonts w:ascii="Times New Roman" w:hAnsi="Times New Roman" w:cs="Times New Roman"/>
          <w:color w:val="000000" w:themeColor="text1"/>
          <w:sz w:val="24"/>
          <w:szCs w:val="24"/>
          <w:lang w:val="en-US"/>
        </w:rPr>
        <w:t xml:space="preserve"> a tendency to increase</w:t>
      </w:r>
      <w:r w:rsidR="004B0992" w:rsidRPr="002C5DE1">
        <w:rPr>
          <w:rFonts w:ascii="Times New Roman" w:hAnsi="Times New Roman" w:cs="Times New Roman"/>
          <w:color w:val="000000" w:themeColor="text1"/>
          <w:sz w:val="24"/>
          <w:szCs w:val="24"/>
          <w:lang w:val="en-US"/>
        </w:rPr>
        <w:t>,</w:t>
      </w:r>
      <w:r w:rsidRPr="002C5DE1">
        <w:rPr>
          <w:rFonts w:ascii="Times New Roman" w:hAnsi="Times New Roman" w:cs="Times New Roman"/>
          <w:color w:val="000000" w:themeColor="text1"/>
          <w:sz w:val="24"/>
          <w:szCs w:val="24"/>
          <w:lang w:val="en-US"/>
        </w:rPr>
        <w:t xml:space="preserve"> while housing wealth decreases </w:t>
      </w:r>
      <w:r w:rsidR="004B0992" w:rsidRPr="002C5DE1">
        <w:rPr>
          <w:rFonts w:ascii="Times New Roman" w:hAnsi="Times New Roman" w:cs="Times New Roman"/>
          <w:color w:val="000000" w:themeColor="text1"/>
          <w:sz w:val="24"/>
          <w:szCs w:val="24"/>
          <w:lang w:val="en-US"/>
        </w:rPr>
        <w:t>vis-a-vis the</w:t>
      </w:r>
      <w:r w:rsidRPr="002C5DE1">
        <w:rPr>
          <w:rFonts w:ascii="Times New Roman" w:hAnsi="Times New Roman" w:cs="Times New Roman"/>
          <w:color w:val="000000" w:themeColor="text1"/>
          <w:sz w:val="24"/>
          <w:szCs w:val="24"/>
          <w:lang w:val="en-US"/>
        </w:rPr>
        <w:t xml:space="preserve"> </w:t>
      </w:r>
      <w:r w:rsidR="00A84E9B" w:rsidRPr="002C5DE1">
        <w:rPr>
          <w:rFonts w:ascii="Times New Roman" w:hAnsi="Times New Roman" w:cs="Times New Roman"/>
          <w:color w:val="000000" w:themeColor="text1"/>
          <w:sz w:val="24"/>
          <w:szCs w:val="24"/>
          <w:lang w:val="en-US"/>
        </w:rPr>
        <w:t xml:space="preserve">bubble </w:t>
      </w:r>
      <w:r w:rsidRPr="002C5DE1">
        <w:rPr>
          <w:rFonts w:ascii="Times New Roman" w:hAnsi="Times New Roman" w:cs="Times New Roman"/>
          <w:color w:val="000000" w:themeColor="text1"/>
          <w:sz w:val="24"/>
          <w:szCs w:val="24"/>
          <w:lang w:val="en-US"/>
        </w:rPr>
        <w:t>period.</w:t>
      </w:r>
    </w:p>
    <w:p w14:paraId="6890A311" w14:textId="77777777" w:rsidR="00435D5B" w:rsidRPr="002C5DE1" w:rsidRDefault="00435D5B" w:rsidP="006C09D4">
      <w:pPr>
        <w:pStyle w:val="ListParagraph"/>
        <w:numPr>
          <w:ilvl w:val="0"/>
          <w:numId w:val="4"/>
        </w:numPr>
        <w:spacing w:after="120" w:line="276" w:lineRule="auto"/>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Interest rates: In the post-</w:t>
      </w:r>
      <w:r w:rsidR="00B27AE5" w:rsidRPr="002C5DE1">
        <w:rPr>
          <w:rFonts w:ascii="Times New Roman" w:hAnsi="Times New Roman" w:cs="Times New Roman"/>
          <w:color w:val="000000" w:themeColor="text1"/>
          <w:sz w:val="24"/>
          <w:szCs w:val="24"/>
          <w:lang w:val="en-US"/>
        </w:rPr>
        <w:t>GFC</w:t>
      </w:r>
      <w:r w:rsidRPr="002C5DE1">
        <w:rPr>
          <w:rFonts w:ascii="Times New Roman" w:hAnsi="Times New Roman" w:cs="Times New Roman"/>
          <w:color w:val="000000" w:themeColor="text1"/>
          <w:sz w:val="24"/>
          <w:szCs w:val="24"/>
          <w:lang w:val="en-US"/>
        </w:rPr>
        <w:t xml:space="preserve"> period, real interest rate</w:t>
      </w:r>
      <w:r w:rsidR="004B0992" w:rsidRPr="002C5DE1">
        <w:rPr>
          <w:rFonts w:ascii="Times New Roman" w:hAnsi="Times New Roman" w:cs="Times New Roman"/>
          <w:color w:val="000000" w:themeColor="text1"/>
          <w:sz w:val="24"/>
          <w:szCs w:val="24"/>
          <w:lang w:val="en-US"/>
        </w:rPr>
        <w:t>s</w:t>
      </w:r>
      <w:r w:rsidRPr="002C5DE1">
        <w:rPr>
          <w:rFonts w:ascii="Times New Roman" w:hAnsi="Times New Roman" w:cs="Times New Roman"/>
          <w:color w:val="000000" w:themeColor="text1"/>
          <w:sz w:val="24"/>
          <w:szCs w:val="24"/>
          <w:lang w:val="en-US"/>
        </w:rPr>
        <w:t xml:space="preserve"> show </w:t>
      </w:r>
      <w:r w:rsidR="004B0992" w:rsidRPr="002C5DE1">
        <w:rPr>
          <w:rFonts w:ascii="Times New Roman" w:hAnsi="Times New Roman" w:cs="Times New Roman"/>
          <w:color w:val="000000" w:themeColor="text1"/>
          <w:sz w:val="24"/>
          <w:szCs w:val="24"/>
          <w:lang w:val="en-US"/>
        </w:rPr>
        <w:t>l</w:t>
      </w:r>
      <w:r w:rsidRPr="002C5DE1">
        <w:rPr>
          <w:rFonts w:ascii="Times New Roman" w:hAnsi="Times New Roman" w:cs="Times New Roman"/>
          <w:color w:val="000000" w:themeColor="text1"/>
          <w:sz w:val="24"/>
          <w:szCs w:val="24"/>
          <w:lang w:val="en-US"/>
        </w:rPr>
        <w:t xml:space="preserve">ower volatility and tend to decline </w:t>
      </w:r>
      <w:r w:rsidR="004B0992" w:rsidRPr="002C5DE1">
        <w:rPr>
          <w:rFonts w:ascii="Times New Roman" w:hAnsi="Times New Roman" w:cs="Times New Roman"/>
          <w:color w:val="000000" w:themeColor="text1"/>
          <w:sz w:val="24"/>
          <w:szCs w:val="24"/>
          <w:lang w:val="en-US"/>
        </w:rPr>
        <w:t>across</w:t>
      </w:r>
      <w:r w:rsidRPr="002C5DE1">
        <w:rPr>
          <w:rFonts w:ascii="Times New Roman" w:hAnsi="Times New Roman" w:cs="Times New Roman"/>
          <w:color w:val="000000" w:themeColor="text1"/>
          <w:sz w:val="24"/>
          <w:szCs w:val="24"/>
          <w:lang w:val="en-US"/>
        </w:rPr>
        <w:t xml:space="preserve"> all countries. The countries in </w:t>
      </w:r>
      <w:r w:rsidR="004B0992" w:rsidRPr="002C5DE1">
        <w:rPr>
          <w:rFonts w:ascii="Times New Roman" w:hAnsi="Times New Roman" w:cs="Times New Roman"/>
          <w:color w:val="000000" w:themeColor="text1"/>
          <w:sz w:val="24"/>
          <w:szCs w:val="24"/>
          <w:lang w:val="en-US"/>
        </w:rPr>
        <w:t>F</w:t>
      </w:r>
      <w:r w:rsidRPr="002C5DE1">
        <w:rPr>
          <w:rFonts w:ascii="Times New Roman" w:hAnsi="Times New Roman" w:cs="Times New Roman"/>
          <w:color w:val="000000" w:themeColor="text1"/>
          <w:sz w:val="24"/>
          <w:szCs w:val="24"/>
          <w:lang w:val="en-US"/>
        </w:rPr>
        <w:t xml:space="preserve">igure </w:t>
      </w:r>
      <w:r w:rsidR="00C159C9" w:rsidRPr="002C5DE1">
        <w:rPr>
          <w:rFonts w:ascii="Times New Roman" w:hAnsi="Times New Roman" w:cs="Times New Roman"/>
          <w:color w:val="000000" w:themeColor="text1"/>
          <w:sz w:val="24"/>
          <w:szCs w:val="24"/>
          <w:lang w:val="en-US"/>
        </w:rPr>
        <w:t>A</w:t>
      </w:r>
      <w:r w:rsidRPr="002C5DE1">
        <w:rPr>
          <w:rFonts w:ascii="Times New Roman" w:hAnsi="Times New Roman" w:cs="Times New Roman"/>
          <w:color w:val="000000" w:themeColor="text1"/>
          <w:sz w:val="24"/>
          <w:szCs w:val="24"/>
          <w:lang w:val="en-US"/>
        </w:rPr>
        <w:t xml:space="preserve">3a </w:t>
      </w:r>
      <w:r w:rsidR="004B0992" w:rsidRPr="002C5DE1">
        <w:rPr>
          <w:rFonts w:ascii="Times New Roman" w:hAnsi="Times New Roman" w:cs="Times New Roman"/>
          <w:color w:val="000000" w:themeColor="text1"/>
          <w:sz w:val="24"/>
          <w:szCs w:val="24"/>
          <w:lang w:val="en-US"/>
        </w:rPr>
        <w:t>display</w:t>
      </w:r>
      <w:r w:rsidRPr="002C5DE1">
        <w:rPr>
          <w:rFonts w:ascii="Times New Roman" w:hAnsi="Times New Roman" w:cs="Times New Roman"/>
          <w:color w:val="000000" w:themeColor="text1"/>
          <w:sz w:val="24"/>
          <w:szCs w:val="24"/>
          <w:lang w:val="en-US"/>
        </w:rPr>
        <w:t xml:space="preserve"> lower real interest rates than th</w:t>
      </w:r>
      <w:r w:rsidR="004B0992" w:rsidRPr="002C5DE1">
        <w:rPr>
          <w:rFonts w:ascii="Times New Roman" w:hAnsi="Times New Roman" w:cs="Times New Roman"/>
          <w:color w:val="000000" w:themeColor="text1"/>
          <w:sz w:val="24"/>
          <w:szCs w:val="24"/>
          <w:lang w:val="en-US"/>
        </w:rPr>
        <w:t>ose</w:t>
      </w:r>
      <w:r w:rsidRPr="002C5DE1">
        <w:rPr>
          <w:rFonts w:ascii="Times New Roman" w:hAnsi="Times New Roman" w:cs="Times New Roman"/>
          <w:color w:val="000000" w:themeColor="text1"/>
          <w:sz w:val="24"/>
          <w:szCs w:val="24"/>
          <w:lang w:val="en-US"/>
        </w:rPr>
        <w:t xml:space="preserve"> in </w:t>
      </w:r>
      <w:r w:rsidR="004B0992" w:rsidRPr="002C5DE1">
        <w:rPr>
          <w:rFonts w:ascii="Times New Roman" w:hAnsi="Times New Roman" w:cs="Times New Roman"/>
          <w:color w:val="000000" w:themeColor="text1"/>
          <w:sz w:val="24"/>
          <w:szCs w:val="24"/>
          <w:lang w:val="en-US"/>
        </w:rPr>
        <w:t>F</w:t>
      </w:r>
      <w:r w:rsidRPr="002C5DE1">
        <w:rPr>
          <w:rFonts w:ascii="Times New Roman" w:hAnsi="Times New Roman" w:cs="Times New Roman"/>
          <w:color w:val="000000" w:themeColor="text1"/>
          <w:sz w:val="24"/>
          <w:szCs w:val="24"/>
          <w:lang w:val="en-US"/>
        </w:rPr>
        <w:t xml:space="preserve">igure </w:t>
      </w:r>
      <w:r w:rsidR="00C159C9" w:rsidRPr="002C5DE1">
        <w:rPr>
          <w:rFonts w:ascii="Times New Roman" w:hAnsi="Times New Roman" w:cs="Times New Roman"/>
          <w:color w:val="000000" w:themeColor="text1"/>
          <w:sz w:val="24"/>
          <w:szCs w:val="24"/>
          <w:lang w:val="en-US"/>
        </w:rPr>
        <w:t>A</w:t>
      </w:r>
      <w:r w:rsidRPr="002C5DE1">
        <w:rPr>
          <w:rFonts w:ascii="Times New Roman" w:hAnsi="Times New Roman" w:cs="Times New Roman"/>
          <w:color w:val="000000" w:themeColor="text1"/>
          <w:sz w:val="24"/>
          <w:szCs w:val="24"/>
          <w:lang w:val="en-US"/>
        </w:rPr>
        <w:t xml:space="preserve">3b after </w:t>
      </w:r>
      <w:r w:rsidR="004B0992" w:rsidRPr="002C5DE1">
        <w:rPr>
          <w:rFonts w:ascii="Times New Roman" w:hAnsi="Times New Roman" w:cs="Times New Roman"/>
          <w:color w:val="000000" w:themeColor="text1"/>
          <w:sz w:val="24"/>
          <w:szCs w:val="24"/>
          <w:lang w:val="en-US"/>
        </w:rPr>
        <w:t xml:space="preserve">the </w:t>
      </w:r>
      <w:r w:rsidR="00C11107" w:rsidRPr="002C5DE1">
        <w:rPr>
          <w:rFonts w:ascii="Times New Roman" w:hAnsi="Times New Roman" w:cs="Times New Roman"/>
          <w:color w:val="000000" w:themeColor="text1"/>
          <w:sz w:val="24"/>
          <w:szCs w:val="24"/>
          <w:lang w:val="en-US"/>
        </w:rPr>
        <w:t>GFC</w:t>
      </w:r>
      <w:r w:rsidR="004B0992" w:rsidRPr="002C5DE1">
        <w:rPr>
          <w:rFonts w:ascii="Times New Roman" w:hAnsi="Times New Roman" w:cs="Times New Roman"/>
          <w:color w:val="000000" w:themeColor="text1"/>
          <w:sz w:val="24"/>
          <w:szCs w:val="24"/>
          <w:lang w:val="en-US"/>
        </w:rPr>
        <w:t xml:space="preserve"> period</w:t>
      </w:r>
      <w:r w:rsidRPr="002C5DE1">
        <w:rPr>
          <w:rFonts w:ascii="Times New Roman" w:hAnsi="Times New Roman" w:cs="Times New Roman"/>
          <w:color w:val="000000" w:themeColor="text1"/>
          <w:sz w:val="24"/>
          <w:szCs w:val="24"/>
          <w:lang w:val="en-US"/>
        </w:rPr>
        <w:t>.</w:t>
      </w:r>
    </w:p>
    <w:p w14:paraId="0FCCB85E" w14:textId="77777777" w:rsidR="00ED1890" w:rsidRPr="002C5DE1" w:rsidRDefault="00EF6F57" w:rsidP="008E588C">
      <w:pPr>
        <w:spacing w:after="120" w:line="276" w:lineRule="auto"/>
        <w:ind w:firstLine="357"/>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Overall</w:t>
      </w:r>
      <w:r w:rsidR="00485751" w:rsidRPr="002C5DE1">
        <w:rPr>
          <w:rFonts w:ascii="Times New Roman" w:hAnsi="Times New Roman" w:cs="Times New Roman"/>
          <w:color w:val="000000" w:themeColor="text1"/>
          <w:sz w:val="24"/>
          <w:szCs w:val="24"/>
          <w:lang w:val="en-US"/>
        </w:rPr>
        <w:t>,</w:t>
      </w:r>
      <w:r w:rsidR="00ED4903" w:rsidRPr="002C5DE1">
        <w:rPr>
          <w:rFonts w:ascii="Times New Roman" w:hAnsi="Times New Roman" w:cs="Times New Roman"/>
          <w:color w:val="000000" w:themeColor="text1"/>
          <w:sz w:val="24"/>
          <w:szCs w:val="24"/>
          <w:lang w:val="en-US"/>
        </w:rPr>
        <w:t xml:space="preserve"> based on the increasin</w:t>
      </w:r>
      <w:r w:rsidR="009D6AE4" w:rsidRPr="002C5DE1">
        <w:rPr>
          <w:rFonts w:ascii="Times New Roman" w:hAnsi="Times New Roman" w:cs="Times New Roman"/>
          <w:color w:val="000000" w:themeColor="text1"/>
          <w:sz w:val="24"/>
          <w:szCs w:val="24"/>
          <w:lang w:val="en-US"/>
        </w:rPr>
        <w:t>g</w:t>
      </w:r>
      <w:r w:rsidR="00ED4903" w:rsidRPr="002C5DE1">
        <w:rPr>
          <w:rFonts w:ascii="Times New Roman" w:hAnsi="Times New Roman" w:cs="Times New Roman"/>
          <w:color w:val="000000" w:themeColor="text1"/>
          <w:sz w:val="24"/>
          <w:szCs w:val="24"/>
          <w:lang w:val="en-US"/>
        </w:rPr>
        <w:t xml:space="preserve"> housing affordability, housing weal</w:t>
      </w:r>
      <w:r w:rsidR="00485751" w:rsidRPr="002C5DE1">
        <w:rPr>
          <w:rFonts w:ascii="Times New Roman" w:hAnsi="Times New Roman" w:cs="Times New Roman"/>
          <w:color w:val="000000" w:themeColor="text1"/>
          <w:sz w:val="24"/>
          <w:szCs w:val="24"/>
          <w:lang w:val="en-US"/>
        </w:rPr>
        <w:t xml:space="preserve">th decreases </w:t>
      </w:r>
      <w:r w:rsidR="007C63DE" w:rsidRPr="002C5DE1">
        <w:rPr>
          <w:rFonts w:ascii="Times New Roman" w:hAnsi="Times New Roman" w:cs="Times New Roman"/>
          <w:color w:val="000000" w:themeColor="text1"/>
          <w:sz w:val="24"/>
          <w:szCs w:val="24"/>
          <w:lang w:val="en-US"/>
        </w:rPr>
        <w:t xml:space="preserve">with simultaneously </w:t>
      </w:r>
      <w:r w:rsidR="00524863" w:rsidRPr="002C5DE1">
        <w:rPr>
          <w:rFonts w:ascii="Times New Roman" w:hAnsi="Times New Roman" w:cs="Times New Roman"/>
          <w:color w:val="000000" w:themeColor="text1"/>
          <w:sz w:val="24"/>
          <w:szCs w:val="24"/>
          <w:lang w:val="en-US"/>
        </w:rPr>
        <w:t>decreas</w:t>
      </w:r>
      <w:r w:rsidRPr="002C5DE1">
        <w:rPr>
          <w:rFonts w:ascii="Times New Roman" w:hAnsi="Times New Roman" w:cs="Times New Roman"/>
          <w:color w:val="000000" w:themeColor="text1"/>
          <w:sz w:val="24"/>
          <w:szCs w:val="24"/>
          <w:lang w:val="en-US"/>
        </w:rPr>
        <w:t>ing</w:t>
      </w:r>
      <w:r w:rsidR="00524863" w:rsidRPr="002C5DE1">
        <w:rPr>
          <w:rFonts w:ascii="Times New Roman" w:hAnsi="Times New Roman" w:cs="Times New Roman"/>
          <w:color w:val="000000" w:themeColor="text1"/>
          <w:sz w:val="24"/>
          <w:szCs w:val="24"/>
          <w:lang w:val="en-US"/>
        </w:rPr>
        <w:t xml:space="preserve"> </w:t>
      </w:r>
      <w:r w:rsidR="006207C4" w:rsidRPr="002C5DE1">
        <w:rPr>
          <w:rFonts w:ascii="Times New Roman" w:hAnsi="Times New Roman" w:cs="Times New Roman"/>
          <w:color w:val="000000" w:themeColor="text1"/>
          <w:sz w:val="24"/>
          <w:szCs w:val="24"/>
          <w:lang w:val="en-US"/>
        </w:rPr>
        <w:t>financial wealth</w:t>
      </w:r>
      <w:r w:rsidR="009D6AE4" w:rsidRPr="002C5DE1">
        <w:rPr>
          <w:rFonts w:ascii="Times New Roman" w:hAnsi="Times New Roman" w:cs="Times New Roman"/>
          <w:color w:val="000000" w:themeColor="text1"/>
          <w:sz w:val="24"/>
          <w:szCs w:val="24"/>
          <w:lang w:val="en-US"/>
        </w:rPr>
        <w:t xml:space="preserve"> only in Finland, Greece and Italy</w:t>
      </w:r>
      <w:r w:rsidR="006207C4" w:rsidRPr="002C5DE1">
        <w:rPr>
          <w:rFonts w:ascii="Times New Roman" w:hAnsi="Times New Roman" w:cs="Times New Roman"/>
          <w:color w:val="000000" w:themeColor="text1"/>
          <w:sz w:val="24"/>
          <w:szCs w:val="24"/>
          <w:lang w:val="en-US"/>
        </w:rPr>
        <w:t xml:space="preserve"> </w:t>
      </w:r>
      <w:r w:rsidR="009D6AE4" w:rsidRPr="002C5DE1">
        <w:rPr>
          <w:rFonts w:ascii="Times New Roman" w:hAnsi="Times New Roman" w:cs="Times New Roman"/>
          <w:color w:val="000000" w:themeColor="text1"/>
          <w:sz w:val="24"/>
          <w:szCs w:val="24"/>
          <w:lang w:val="en-US"/>
        </w:rPr>
        <w:t>in</w:t>
      </w:r>
      <w:r w:rsidR="00E216F0" w:rsidRPr="002C5DE1">
        <w:rPr>
          <w:rFonts w:ascii="Times New Roman" w:hAnsi="Times New Roman" w:cs="Times New Roman"/>
          <w:color w:val="000000" w:themeColor="text1"/>
          <w:sz w:val="24"/>
          <w:szCs w:val="24"/>
          <w:lang w:val="en-US"/>
        </w:rPr>
        <w:t xml:space="preserve"> the </w:t>
      </w:r>
      <w:r w:rsidR="009D6AE4" w:rsidRPr="002C5DE1">
        <w:rPr>
          <w:rFonts w:ascii="Times New Roman" w:hAnsi="Times New Roman" w:cs="Times New Roman"/>
          <w:color w:val="000000" w:themeColor="text1"/>
          <w:sz w:val="24"/>
          <w:szCs w:val="24"/>
          <w:lang w:val="en-US"/>
        </w:rPr>
        <w:t>post-</w:t>
      </w:r>
      <w:r w:rsidR="006207C4" w:rsidRPr="002C5DE1">
        <w:rPr>
          <w:rFonts w:ascii="Times New Roman" w:hAnsi="Times New Roman" w:cs="Times New Roman"/>
          <w:color w:val="000000" w:themeColor="text1"/>
          <w:sz w:val="24"/>
          <w:szCs w:val="24"/>
          <w:lang w:val="en-US"/>
        </w:rPr>
        <w:t>GFC</w:t>
      </w:r>
      <w:r w:rsidR="00E216F0" w:rsidRPr="002C5DE1">
        <w:rPr>
          <w:rFonts w:ascii="Times New Roman" w:hAnsi="Times New Roman" w:cs="Times New Roman"/>
          <w:color w:val="000000" w:themeColor="text1"/>
          <w:sz w:val="24"/>
          <w:szCs w:val="24"/>
          <w:lang w:val="en-US"/>
        </w:rPr>
        <w:t xml:space="preserve"> period</w:t>
      </w:r>
      <w:r w:rsidR="006207C4" w:rsidRPr="002C5DE1">
        <w:rPr>
          <w:rFonts w:ascii="Times New Roman" w:hAnsi="Times New Roman" w:cs="Times New Roman"/>
          <w:color w:val="000000" w:themeColor="text1"/>
          <w:sz w:val="24"/>
          <w:szCs w:val="24"/>
          <w:lang w:val="en-US"/>
        </w:rPr>
        <w:t>. In addition to these countries, financial wealth decrease</w:t>
      </w:r>
      <w:r w:rsidR="00E216F0" w:rsidRPr="002C5DE1">
        <w:rPr>
          <w:rFonts w:ascii="Times New Roman" w:hAnsi="Times New Roman" w:cs="Times New Roman"/>
          <w:color w:val="000000" w:themeColor="text1"/>
          <w:sz w:val="24"/>
          <w:szCs w:val="24"/>
          <w:lang w:val="en-US"/>
        </w:rPr>
        <w:t>d</w:t>
      </w:r>
      <w:r w:rsidR="006207C4" w:rsidRPr="002C5DE1">
        <w:rPr>
          <w:rFonts w:ascii="Times New Roman" w:hAnsi="Times New Roman" w:cs="Times New Roman"/>
          <w:color w:val="000000" w:themeColor="text1"/>
          <w:sz w:val="24"/>
          <w:szCs w:val="24"/>
          <w:lang w:val="en-US"/>
        </w:rPr>
        <w:t xml:space="preserve"> only in </w:t>
      </w:r>
      <w:r w:rsidR="00E216F0" w:rsidRPr="002C5DE1">
        <w:rPr>
          <w:rFonts w:ascii="Times New Roman" w:hAnsi="Times New Roman" w:cs="Times New Roman"/>
          <w:color w:val="000000" w:themeColor="text1"/>
          <w:sz w:val="24"/>
          <w:szCs w:val="24"/>
          <w:lang w:val="en-US"/>
        </w:rPr>
        <w:t xml:space="preserve">the </w:t>
      </w:r>
      <w:r w:rsidR="006207C4" w:rsidRPr="002C5DE1">
        <w:rPr>
          <w:rFonts w:ascii="Times New Roman" w:hAnsi="Times New Roman" w:cs="Times New Roman"/>
          <w:color w:val="000000" w:themeColor="text1"/>
          <w:sz w:val="24"/>
          <w:szCs w:val="24"/>
          <w:lang w:val="en-US"/>
        </w:rPr>
        <w:t>Netherlands, Portugal and Spain</w:t>
      </w:r>
      <w:r w:rsidR="00E216F0" w:rsidRPr="002C5DE1">
        <w:rPr>
          <w:rFonts w:ascii="Times New Roman" w:hAnsi="Times New Roman" w:cs="Times New Roman"/>
          <w:color w:val="000000" w:themeColor="text1"/>
          <w:sz w:val="24"/>
          <w:szCs w:val="24"/>
          <w:lang w:val="en-US"/>
        </w:rPr>
        <w:t>, while</w:t>
      </w:r>
      <w:r w:rsidR="006207C4" w:rsidRPr="002C5DE1">
        <w:rPr>
          <w:rFonts w:ascii="Times New Roman" w:hAnsi="Times New Roman" w:cs="Times New Roman"/>
          <w:color w:val="000000" w:themeColor="text1"/>
          <w:sz w:val="24"/>
          <w:szCs w:val="24"/>
          <w:lang w:val="en-US"/>
        </w:rPr>
        <w:t xml:space="preserve"> housing wealth decrease</w:t>
      </w:r>
      <w:r w:rsidR="00E216F0" w:rsidRPr="002C5DE1">
        <w:rPr>
          <w:rFonts w:ascii="Times New Roman" w:hAnsi="Times New Roman" w:cs="Times New Roman"/>
          <w:color w:val="000000" w:themeColor="text1"/>
          <w:sz w:val="24"/>
          <w:szCs w:val="24"/>
          <w:lang w:val="en-US"/>
        </w:rPr>
        <w:t>d</w:t>
      </w:r>
      <w:r w:rsidR="006207C4" w:rsidRPr="002C5DE1">
        <w:rPr>
          <w:rFonts w:ascii="Times New Roman" w:hAnsi="Times New Roman" w:cs="Times New Roman"/>
          <w:color w:val="000000" w:themeColor="text1"/>
          <w:sz w:val="24"/>
          <w:szCs w:val="24"/>
          <w:lang w:val="en-US"/>
        </w:rPr>
        <w:t xml:space="preserve"> only in Korea and South Africa. In other</w:t>
      </w:r>
      <w:r w:rsidR="00C30B25" w:rsidRPr="002C5DE1">
        <w:rPr>
          <w:rFonts w:ascii="Times New Roman" w:hAnsi="Times New Roman" w:cs="Times New Roman"/>
          <w:color w:val="000000" w:themeColor="text1"/>
          <w:sz w:val="24"/>
          <w:szCs w:val="24"/>
          <w:lang w:val="en-US"/>
        </w:rPr>
        <w:t xml:space="preserve"> words, in </w:t>
      </w:r>
      <w:r w:rsidR="00286FF0" w:rsidRPr="002C5DE1">
        <w:rPr>
          <w:rFonts w:ascii="Times New Roman" w:hAnsi="Times New Roman" w:cs="Times New Roman"/>
          <w:color w:val="000000" w:themeColor="text1"/>
          <w:sz w:val="24"/>
          <w:szCs w:val="24"/>
          <w:lang w:val="en-US"/>
        </w:rPr>
        <w:t xml:space="preserve">the rest of </w:t>
      </w:r>
      <w:r w:rsidR="00C30B25" w:rsidRPr="002C5DE1">
        <w:rPr>
          <w:rFonts w:ascii="Times New Roman" w:hAnsi="Times New Roman" w:cs="Times New Roman"/>
          <w:color w:val="000000" w:themeColor="text1"/>
          <w:sz w:val="24"/>
          <w:szCs w:val="24"/>
          <w:lang w:val="en-US"/>
        </w:rPr>
        <w:t>16 countries both financial and housing wealth increase</w:t>
      </w:r>
      <w:r w:rsidR="00E216F0" w:rsidRPr="002C5DE1">
        <w:rPr>
          <w:rFonts w:ascii="Times New Roman" w:hAnsi="Times New Roman" w:cs="Times New Roman"/>
          <w:color w:val="000000" w:themeColor="text1"/>
          <w:sz w:val="24"/>
          <w:szCs w:val="24"/>
          <w:lang w:val="en-US"/>
        </w:rPr>
        <w:t>d</w:t>
      </w:r>
      <w:r w:rsidR="00C30B25" w:rsidRPr="002C5DE1">
        <w:rPr>
          <w:rFonts w:ascii="Times New Roman" w:hAnsi="Times New Roman" w:cs="Times New Roman"/>
          <w:color w:val="000000" w:themeColor="text1"/>
          <w:sz w:val="24"/>
          <w:szCs w:val="24"/>
          <w:lang w:val="en-US"/>
        </w:rPr>
        <w:t xml:space="preserve"> after GFC</w:t>
      </w:r>
      <w:r w:rsidR="00E216F0" w:rsidRPr="002C5DE1">
        <w:rPr>
          <w:rFonts w:ascii="Times New Roman" w:hAnsi="Times New Roman" w:cs="Times New Roman"/>
          <w:color w:val="000000" w:themeColor="text1"/>
          <w:sz w:val="24"/>
          <w:szCs w:val="24"/>
          <w:lang w:val="en-US"/>
        </w:rPr>
        <w:t>, while</w:t>
      </w:r>
      <w:r w:rsidR="00C30B25" w:rsidRPr="002C5DE1">
        <w:rPr>
          <w:rFonts w:ascii="Times New Roman" w:hAnsi="Times New Roman" w:cs="Times New Roman"/>
          <w:color w:val="000000" w:themeColor="text1"/>
          <w:sz w:val="24"/>
          <w:szCs w:val="24"/>
          <w:lang w:val="en-US"/>
        </w:rPr>
        <w:t xml:space="preserve"> </w:t>
      </w:r>
      <w:r w:rsidR="00E216F0" w:rsidRPr="002C5DE1">
        <w:rPr>
          <w:rFonts w:ascii="Times New Roman" w:hAnsi="Times New Roman" w:cs="Times New Roman"/>
          <w:color w:val="000000" w:themeColor="text1"/>
          <w:sz w:val="24"/>
          <w:szCs w:val="24"/>
          <w:lang w:val="en-US"/>
        </w:rPr>
        <w:t xml:space="preserve">both types of </w:t>
      </w:r>
      <w:r w:rsidR="00C30B25" w:rsidRPr="002C5DE1">
        <w:rPr>
          <w:rFonts w:ascii="Times New Roman" w:hAnsi="Times New Roman" w:cs="Times New Roman"/>
          <w:color w:val="000000" w:themeColor="text1"/>
          <w:sz w:val="24"/>
          <w:szCs w:val="24"/>
          <w:lang w:val="en-US"/>
        </w:rPr>
        <w:t xml:space="preserve">wealth </w:t>
      </w:r>
      <w:r w:rsidR="00E216F0" w:rsidRPr="002C5DE1">
        <w:rPr>
          <w:rFonts w:ascii="Times New Roman" w:hAnsi="Times New Roman" w:cs="Times New Roman"/>
          <w:color w:val="000000" w:themeColor="text1"/>
          <w:sz w:val="24"/>
          <w:szCs w:val="24"/>
          <w:lang w:val="en-US"/>
        </w:rPr>
        <w:t>we</w:t>
      </w:r>
      <w:r w:rsidR="00C30B25" w:rsidRPr="002C5DE1">
        <w:rPr>
          <w:rFonts w:ascii="Times New Roman" w:hAnsi="Times New Roman" w:cs="Times New Roman"/>
          <w:color w:val="000000" w:themeColor="text1"/>
          <w:sz w:val="24"/>
          <w:szCs w:val="24"/>
          <w:lang w:val="en-US"/>
        </w:rPr>
        <w:t xml:space="preserve">re higher </w:t>
      </w:r>
      <w:r w:rsidR="00E216F0" w:rsidRPr="002C5DE1">
        <w:rPr>
          <w:rFonts w:ascii="Times New Roman" w:hAnsi="Times New Roman" w:cs="Times New Roman"/>
          <w:color w:val="000000" w:themeColor="text1"/>
          <w:sz w:val="24"/>
          <w:szCs w:val="24"/>
          <w:lang w:val="en-US"/>
        </w:rPr>
        <w:t>in that period vis-a-vis the</w:t>
      </w:r>
      <w:r w:rsidR="00C30B25" w:rsidRPr="002C5DE1">
        <w:rPr>
          <w:rFonts w:ascii="Times New Roman" w:hAnsi="Times New Roman" w:cs="Times New Roman"/>
          <w:color w:val="000000" w:themeColor="text1"/>
          <w:sz w:val="24"/>
          <w:szCs w:val="24"/>
          <w:lang w:val="en-US"/>
        </w:rPr>
        <w:t xml:space="preserve"> </w:t>
      </w:r>
      <w:r w:rsidR="009D6AE4" w:rsidRPr="002C5DE1">
        <w:rPr>
          <w:rFonts w:ascii="Times New Roman" w:hAnsi="Times New Roman" w:cs="Times New Roman"/>
          <w:color w:val="000000" w:themeColor="text1"/>
          <w:sz w:val="24"/>
          <w:szCs w:val="24"/>
          <w:lang w:val="en-US"/>
        </w:rPr>
        <w:t>bubble</w:t>
      </w:r>
      <w:r w:rsidR="00C30B25" w:rsidRPr="002C5DE1">
        <w:rPr>
          <w:rFonts w:ascii="Times New Roman" w:hAnsi="Times New Roman" w:cs="Times New Roman"/>
          <w:color w:val="000000" w:themeColor="text1"/>
          <w:sz w:val="24"/>
          <w:szCs w:val="24"/>
          <w:lang w:val="en-US"/>
        </w:rPr>
        <w:t xml:space="preserve"> period.</w:t>
      </w:r>
      <w:r w:rsidR="00612C3D" w:rsidRPr="002C5DE1">
        <w:rPr>
          <w:rFonts w:ascii="Times New Roman" w:hAnsi="Times New Roman" w:cs="Times New Roman"/>
          <w:color w:val="000000" w:themeColor="text1"/>
          <w:sz w:val="24"/>
          <w:szCs w:val="24"/>
          <w:lang w:val="en-US"/>
        </w:rPr>
        <w:t xml:space="preserve"> </w:t>
      </w:r>
      <w:r w:rsidR="0094172B" w:rsidRPr="002C5DE1">
        <w:rPr>
          <w:rFonts w:ascii="Times New Roman" w:hAnsi="Times New Roman" w:cs="Times New Roman"/>
          <w:color w:val="000000" w:themeColor="text1"/>
          <w:sz w:val="24"/>
          <w:szCs w:val="24"/>
          <w:lang w:val="en-US"/>
        </w:rPr>
        <w:t xml:space="preserve">As it can be seen from </w:t>
      </w:r>
      <w:r w:rsidR="00E216F0" w:rsidRPr="002C5DE1">
        <w:rPr>
          <w:rFonts w:ascii="Times New Roman" w:hAnsi="Times New Roman" w:cs="Times New Roman"/>
          <w:color w:val="000000" w:themeColor="text1"/>
          <w:sz w:val="24"/>
          <w:szCs w:val="24"/>
          <w:lang w:val="en-US"/>
        </w:rPr>
        <w:t>F</w:t>
      </w:r>
      <w:r w:rsidR="0094172B" w:rsidRPr="002C5DE1">
        <w:rPr>
          <w:rFonts w:ascii="Times New Roman" w:hAnsi="Times New Roman" w:cs="Times New Roman"/>
          <w:color w:val="000000" w:themeColor="text1"/>
          <w:sz w:val="24"/>
          <w:szCs w:val="24"/>
          <w:lang w:val="en-US"/>
        </w:rPr>
        <w:t>igure</w:t>
      </w:r>
      <w:r w:rsidR="00E216F0" w:rsidRPr="002C5DE1">
        <w:rPr>
          <w:rFonts w:ascii="Times New Roman" w:hAnsi="Times New Roman" w:cs="Times New Roman"/>
          <w:color w:val="000000" w:themeColor="text1"/>
          <w:sz w:val="24"/>
          <w:szCs w:val="24"/>
          <w:lang w:val="en-US"/>
        </w:rPr>
        <w:t>s</w:t>
      </w:r>
      <w:r w:rsidR="0094172B" w:rsidRPr="002C5DE1">
        <w:rPr>
          <w:rFonts w:ascii="Times New Roman" w:hAnsi="Times New Roman" w:cs="Times New Roman"/>
          <w:color w:val="000000" w:themeColor="text1"/>
          <w:sz w:val="24"/>
          <w:szCs w:val="24"/>
          <w:lang w:val="en-US"/>
        </w:rPr>
        <w:t xml:space="preserve"> </w:t>
      </w:r>
      <w:r w:rsidR="00C159C9" w:rsidRPr="002C5DE1">
        <w:rPr>
          <w:rFonts w:ascii="Times New Roman" w:hAnsi="Times New Roman" w:cs="Times New Roman"/>
          <w:color w:val="000000" w:themeColor="text1"/>
          <w:sz w:val="24"/>
          <w:szCs w:val="24"/>
          <w:lang w:val="en-US"/>
        </w:rPr>
        <w:t>A</w:t>
      </w:r>
      <w:r w:rsidR="0094172B" w:rsidRPr="002C5DE1">
        <w:rPr>
          <w:rFonts w:ascii="Times New Roman" w:hAnsi="Times New Roman" w:cs="Times New Roman"/>
          <w:color w:val="000000" w:themeColor="text1"/>
          <w:sz w:val="24"/>
          <w:szCs w:val="24"/>
          <w:lang w:val="en-US"/>
        </w:rPr>
        <w:t xml:space="preserve">3a and </w:t>
      </w:r>
      <w:r w:rsidR="00C159C9" w:rsidRPr="002C5DE1">
        <w:rPr>
          <w:rFonts w:ascii="Times New Roman" w:hAnsi="Times New Roman" w:cs="Times New Roman"/>
          <w:color w:val="000000" w:themeColor="text1"/>
          <w:sz w:val="24"/>
          <w:szCs w:val="24"/>
          <w:lang w:val="en-US"/>
        </w:rPr>
        <w:t>A</w:t>
      </w:r>
      <w:r w:rsidR="0094172B" w:rsidRPr="002C5DE1">
        <w:rPr>
          <w:rFonts w:ascii="Times New Roman" w:hAnsi="Times New Roman" w:cs="Times New Roman"/>
          <w:color w:val="000000" w:themeColor="text1"/>
          <w:sz w:val="24"/>
          <w:szCs w:val="24"/>
          <w:lang w:val="en-US"/>
        </w:rPr>
        <w:t>3b, real interest rates decline</w:t>
      </w:r>
      <w:r w:rsidR="00E216F0" w:rsidRPr="002C5DE1">
        <w:rPr>
          <w:rFonts w:ascii="Times New Roman" w:hAnsi="Times New Roman" w:cs="Times New Roman"/>
          <w:color w:val="000000" w:themeColor="text1"/>
          <w:sz w:val="24"/>
          <w:szCs w:val="24"/>
          <w:lang w:val="en-US"/>
        </w:rPr>
        <w:t>d</w:t>
      </w:r>
      <w:r w:rsidR="0094172B" w:rsidRPr="002C5DE1">
        <w:rPr>
          <w:rFonts w:ascii="Times New Roman" w:hAnsi="Times New Roman" w:cs="Times New Roman"/>
          <w:color w:val="000000" w:themeColor="text1"/>
          <w:sz w:val="24"/>
          <w:szCs w:val="24"/>
          <w:lang w:val="en-US"/>
        </w:rPr>
        <w:t xml:space="preserve"> in both </w:t>
      </w:r>
      <w:r w:rsidR="00E216F0" w:rsidRPr="002C5DE1">
        <w:rPr>
          <w:rFonts w:ascii="Times New Roman" w:hAnsi="Times New Roman" w:cs="Times New Roman"/>
          <w:color w:val="000000" w:themeColor="text1"/>
          <w:sz w:val="24"/>
          <w:szCs w:val="24"/>
          <w:lang w:val="en-US"/>
        </w:rPr>
        <w:t>periods prior</w:t>
      </w:r>
      <w:r w:rsidR="0094172B" w:rsidRPr="002C5DE1">
        <w:rPr>
          <w:rFonts w:ascii="Times New Roman" w:hAnsi="Times New Roman" w:cs="Times New Roman"/>
          <w:color w:val="000000" w:themeColor="text1"/>
          <w:sz w:val="24"/>
          <w:szCs w:val="24"/>
          <w:lang w:val="en-US"/>
        </w:rPr>
        <w:t xml:space="preserve"> and after GFC.</w:t>
      </w:r>
    </w:p>
    <w:p w14:paraId="3BC9A4EC" w14:textId="77777777" w:rsidR="001357EF" w:rsidRPr="002C5DE1" w:rsidRDefault="004F4EC0" w:rsidP="008E588C">
      <w:pPr>
        <w:spacing w:after="120" w:line="276" w:lineRule="auto"/>
        <w:ind w:firstLine="357"/>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lastRenderedPageBreak/>
        <w:t>In a theoretical basis</w:t>
      </w:r>
      <w:r w:rsidR="00E216F0" w:rsidRPr="002C5DE1">
        <w:rPr>
          <w:rFonts w:ascii="Times New Roman" w:hAnsi="Times New Roman" w:cs="Times New Roman"/>
          <w:color w:val="000000" w:themeColor="text1"/>
          <w:sz w:val="24"/>
          <w:szCs w:val="24"/>
          <w:lang w:val="en-US"/>
        </w:rPr>
        <w:t>,</w:t>
      </w:r>
      <w:r w:rsidRPr="002C5DE1">
        <w:rPr>
          <w:rFonts w:ascii="Times New Roman" w:hAnsi="Times New Roman" w:cs="Times New Roman"/>
          <w:color w:val="000000" w:themeColor="text1"/>
          <w:sz w:val="24"/>
          <w:szCs w:val="24"/>
          <w:lang w:val="en-US"/>
        </w:rPr>
        <w:t xml:space="preserve"> </w:t>
      </w:r>
      <w:r w:rsidR="00E216F0" w:rsidRPr="002C5DE1">
        <w:rPr>
          <w:rFonts w:ascii="Times New Roman" w:hAnsi="Times New Roman" w:cs="Times New Roman"/>
          <w:color w:val="000000" w:themeColor="text1"/>
          <w:sz w:val="24"/>
          <w:szCs w:val="24"/>
          <w:lang w:val="en-US"/>
        </w:rPr>
        <w:t>the analysis indicates</w:t>
      </w:r>
      <w:r w:rsidRPr="002C5DE1">
        <w:rPr>
          <w:rFonts w:ascii="Times New Roman" w:hAnsi="Times New Roman" w:cs="Times New Roman"/>
          <w:color w:val="000000" w:themeColor="text1"/>
          <w:sz w:val="24"/>
          <w:szCs w:val="24"/>
          <w:lang w:val="en-US"/>
        </w:rPr>
        <w:t xml:space="preserve"> a higher marginal propensity to consume </w:t>
      </w:r>
      <w:r w:rsidR="00E216F0" w:rsidRPr="002C5DE1">
        <w:rPr>
          <w:rFonts w:ascii="Times New Roman" w:hAnsi="Times New Roman" w:cs="Times New Roman"/>
          <w:color w:val="000000" w:themeColor="text1"/>
          <w:sz w:val="24"/>
          <w:szCs w:val="24"/>
          <w:lang w:val="en-US"/>
        </w:rPr>
        <w:t>over the</w:t>
      </w:r>
      <w:r w:rsidRPr="002C5DE1">
        <w:rPr>
          <w:rFonts w:ascii="Times New Roman" w:hAnsi="Times New Roman" w:cs="Times New Roman"/>
          <w:color w:val="000000" w:themeColor="text1"/>
          <w:sz w:val="24"/>
          <w:szCs w:val="24"/>
          <w:lang w:val="en-US"/>
        </w:rPr>
        <w:t xml:space="preserve"> post-</w:t>
      </w:r>
      <w:r w:rsidR="0024559D" w:rsidRPr="002C5DE1">
        <w:rPr>
          <w:rFonts w:ascii="Times New Roman" w:hAnsi="Times New Roman" w:cs="Times New Roman"/>
          <w:color w:val="000000" w:themeColor="text1"/>
          <w:sz w:val="24"/>
          <w:szCs w:val="24"/>
          <w:lang w:val="en-US"/>
        </w:rPr>
        <w:t>GFC</w:t>
      </w:r>
      <w:r w:rsidRPr="002C5DE1">
        <w:rPr>
          <w:rFonts w:ascii="Times New Roman" w:hAnsi="Times New Roman" w:cs="Times New Roman"/>
          <w:color w:val="000000" w:themeColor="text1"/>
          <w:sz w:val="24"/>
          <w:szCs w:val="24"/>
          <w:lang w:val="en-US"/>
        </w:rPr>
        <w:t xml:space="preserve"> period</w:t>
      </w:r>
      <w:r w:rsidR="00E216F0" w:rsidRPr="002C5DE1">
        <w:rPr>
          <w:rFonts w:ascii="Times New Roman" w:hAnsi="Times New Roman" w:cs="Times New Roman"/>
          <w:color w:val="000000" w:themeColor="text1"/>
          <w:sz w:val="24"/>
          <w:szCs w:val="24"/>
          <w:lang w:val="en-US"/>
        </w:rPr>
        <w:t>,</w:t>
      </w:r>
      <w:r w:rsidRPr="002C5DE1">
        <w:rPr>
          <w:rFonts w:ascii="Times New Roman" w:hAnsi="Times New Roman" w:cs="Times New Roman"/>
          <w:color w:val="000000" w:themeColor="text1"/>
          <w:sz w:val="24"/>
          <w:szCs w:val="24"/>
          <w:lang w:val="en-US"/>
        </w:rPr>
        <w:t xml:space="preserve"> based on the higher levels of </w:t>
      </w:r>
      <w:r w:rsidR="00D11122" w:rsidRPr="002C5DE1">
        <w:rPr>
          <w:rFonts w:ascii="Times New Roman" w:hAnsi="Times New Roman" w:cs="Times New Roman"/>
          <w:color w:val="000000" w:themeColor="text1"/>
          <w:sz w:val="24"/>
          <w:szCs w:val="24"/>
          <w:lang w:val="en-US"/>
        </w:rPr>
        <w:t xml:space="preserve">both financial and housing </w:t>
      </w:r>
      <w:r w:rsidRPr="002C5DE1">
        <w:rPr>
          <w:rFonts w:ascii="Times New Roman" w:hAnsi="Times New Roman" w:cs="Times New Roman"/>
          <w:color w:val="000000" w:themeColor="text1"/>
          <w:sz w:val="24"/>
          <w:szCs w:val="24"/>
          <w:lang w:val="en-US"/>
        </w:rPr>
        <w:t>wea</w:t>
      </w:r>
      <w:r w:rsidR="00D11122" w:rsidRPr="002C5DE1">
        <w:rPr>
          <w:rFonts w:ascii="Times New Roman" w:hAnsi="Times New Roman" w:cs="Times New Roman"/>
          <w:color w:val="000000" w:themeColor="text1"/>
          <w:sz w:val="24"/>
          <w:szCs w:val="24"/>
          <w:lang w:val="en-US"/>
        </w:rPr>
        <w:t>lth</w:t>
      </w:r>
      <w:r w:rsidR="00E216F0" w:rsidRPr="002C5DE1">
        <w:rPr>
          <w:rFonts w:ascii="Times New Roman" w:hAnsi="Times New Roman" w:cs="Times New Roman"/>
          <w:color w:val="000000" w:themeColor="text1"/>
          <w:sz w:val="24"/>
          <w:szCs w:val="24"/>
          <w:lang w:val="en-US"/>
        </w:rPr>
        <w:t xml:space="preserve"> levels</w:t>
      </w:r>
      <w:r w:rsidR="002A26F9" w:rsidRPr="002C5DE1">
        <w:rPr>
          <w:rFonts w:ascii="Times New Roman" w:hAnsi="Times New Roman" w:cs="Times New Roman"/>
          <w:color w:val="000000" w:themeColor="text1"/>
          <w:sz w:val="24"/>
          <w:szCs w:val="24"/>
          <w:lang w:val="en-US"/>
        </w:rPr>
        <w:t xml:space="preserve"> (</w:t>
      </w:r>
      <w:r w:rsidR="00DE7292" w:rsidRPr="002C5DE1">
        <w:rPr>
          <w:rFonts w:ascii="Times New Roman" w:hAnsi="Times New Roman" w:cs="Times New Roman"/>
          <w:color w:val="000000" w:themeColor="text1"/>
          <w:sz w:val="24"/>
          <w:szCs w:val="24"/>
          <w:lang w:val="en-US"/>
        </w:rPr>
        <w:t xml:space="preserve">Case et al., 2005; </w:t>
      </w:r>
      <w:r w:rsidR="002A26F9" w:rsidRPr="002C5DE1">
        <w:rPr>
          <w:rFonts w:ascii="Times New Roman" w:hAnsi="Times New Roman" w:cs="Times New Roman"/>
          <w:color w:val="000000" w:themeColor="text1"/>
          <w:sz w:val="24"/>
          <w:szCs w:val="24"/>
          <w:lang w:val="en-US"/>
        </w:rPr>
        <w:t>Carroll et al., 2011; Alp and Seven, 2019, among others)</w:t>
      </w:r>
      <w:r w:rsidR="00A5706C" w:rsidRPr="002C5DE1">
        <w:rPr>
          <w:rFonts w:ascii="Times New Roman" w:hAnsi="Times New Roman" w:cs="Times New Roman"/>
          <w:color w:val="000000" w:themeColor="text1"/>
          <w:sz w:val="24"/>
          <w:szCs w:val="24"/>
          <w:lang w:val="en-US"/>
        </w:rPr>
        <w:t>.</w:t>
      </w:r>
      <w:r w:rsidRPr="002C5DE1">
        <w:rPr>
          <w:rFonts w:ascii="Times New Roman" w:hAnsi="Times New Roman" w:cs="Times New Roman"/>
          <w:color w:val="000000" w:themeColor="text1"/>
          <w:sz w:val="24"/>
          <w:szCs w:val="24"/>
          <w:lang w:val="en-US"/>
        </w:rPr>
        <w:t xml:space="preserve"> </w:t>
      </w:r>
      <w:r w:rsidR="00286FF0" w:rsidRPr="002C5DE1">
        <w:rPr>
          <w:rFonts w:ascii="Times New Roman" w:hAnsi="Times New Roman" w:cs="Times New Roman"/>
          <w:color w:val="000000" w:themeColor="text1"/>
          <w:sz w:val="24"/>
          <w:szCs w:val="24"/>
          <w:lang w:val="en-US"/>
        </w:rPr>
        <w:t>On the other hand, b</w:t>
      </w:r>
      <w:r w:rsidR="00D11122" w:rsidRPr="002C5DE1">
        <w:rPr>
          <w:rFonts w:ascii="Times New Roman" w:hAnsi="Times New Roman" w:cs="Times New Roman"/>
          <w:color w:val="000000" w:themeColor="text1"/>
          <w:sz w:val="24"/>
          <w:szCs w:val="24"/>
          <w:lang w:val="en-US"/>
        </w:rPr>
        <w:t>ased on the relevant empirical literature</w:t>
      </w:r>
      <w:r w:rsidR="00E216F0" w:rsidRPr="002C5DE1">
        <w:rPr>
          <w:rFonts w:ascii="Times New Roman" w:hAnsi="Times New Roman" w:cs="Times New Roman"/>
          <w:color w:val="000000" w:themeColor="text1"/>
          <w:sz w:val="24"/>
          <w:szCs w:val="24"/>
          <w:lang w:val="en-US"/>
        </w:rPr>
        <w:t>,</w:t>
      </w:r>
      <w:r w:rsidR="00D11122" w:rsidRPr="002C5DE1">
        <w:rPr>
          <w:rFonts w:ascii="Times New Roman" w:hAnsi="Times New Roman" w:cs="Times New Roman"/>
          <w:color w:val="000000" w:themeColor="text1"/>
          <w:sz w:val="24"/>
          <w:szCs w:val="24"/>
          <w:lang w:val="en-US"/>
        </w:rPr>
        <w:t xml:space="preserve"> we may expect a</w:t>
      </w:r>
      <w:r w:rsidR="0024559D" w:rsidRPr="002C5DE1">
        <w:rPr>
          <w:rFonts w:ascii="Times New Roman" w:hAnsi="Times New Roman" w:cs="Times New Roman"/>
          <w:color w:val="000000" w:themeColor="text1"/>
          <w:sz w:val="24"/>
          <w:szCs w:val="24"/>
          <w:lang w:val="en-US"/>
        </w:rPr>
        <w:t>n inequality-induced</w:t>
      </w:r>
      <w:r w:rsidR="00D11122" w:rsidRPr="002C5DE1">
        <w:rPr>
          <w:rFonts w:ascii="Times New Roman" w:hAnsi="Times New Roman" w:cs="Times New Roman"/>
          <w:color w:val="000000" w:themeColor="text1"/>
          <w:sz w:val="24"/>
          <w:szCs w:val="24"/>
          <w:lang w:val="en-US"/>
        </w:rPr>
        <w:t xml:space="preserve"> </w:t>
      </w:r>
      <w:r w:rsidR="0024559D" w:rsidRPr="002C5DE1">
        <w:rPr>
          <w:rFonts w:ascii="Times New Roman" w:hAnsi="Times New Roman" w:cs="Times New Roman"/>
          <w:color w:val="000000" w:themeColor="text1"/>
          <w:sz w:val="24"/>
          <w:szCs w:val="24"/>
          <w:lang w:val="en-US"/>
        </w:rPr>
        <w:t xml:space="preserve">declining </w:t>
      </w:r>
      <w:r w:rsidR="00D11122" w:rsidRPr="002C5DE1">
        <w:rPr>
          <w:rFonts w:ascii="Times New Roman" w:hAnsi="Times New Roman" w:cs="Times New Roman"/>
          <w:color w:val="000000" w:themeColor="text1"/>
          <w:sz w:val="24"/>
          <w:szCs w:val="24"/>
          <w:lang w:val="en-US"/>
        </w:rPr>
        <w:t>consumption</w:t>
      </w:r>
      <w:r w:rsidR="00E216F0" w:rsidRPr="002C5DE1">
        <w:rPr>
          <w:rFonts w:ascii="Times New Roman" w:hAnsi="Times New Roman" w:cs="Times New Roman"/>
          <w:color w:val="000000" w:themeColor="text1"/>
          <w:sz w:val="24"/>
          <w:szCs w:val="24"/>
          <w:lang w:val="en-US"/>
        </w:rPr>
        <w:t>,</w:t>
      </w:r>
      <w:r w:rsidR="00D11122" w:rsidRPr="002C5DE1">
        <w:rPr>
          <w:rFonts w:ascii="Times New Roman" w:hAnsi="Times New Roman" w:cs="Times New Roman"/>
          <w:color w:val="000000" w:themeColor="text1"/>
          <w:sz w:val="24"/>
          <w:szCs w:val="24"/>
          <w:lang w:val="en-US"/>
        </w:rPr>
        <w:t xml:space="preserve"> depending on the dramatic</w:t>
      </w:r>
      <w:r w:rsidR="00C33478" w:rsidRPr="002C5DE1">
        <w:rPr>
          <w:rFonts w:ascii="Times New Roman" w:hAnsi="Times New Roman" w:cs="Times New Roman"/>
          <w:color w:val="000000" w:themeColor="text1"/>
          <w:sz w:val="24"/>
          <w:szCs w:val="24"/>
          <w:lang w:val="en-US"/>
        </w:rPr>
        <w:t>ally decline in financial de</w:t>
      </w:r>
      <w:r w:rsidR="00286FF0" w:rsidRPr="002C5DE1">
        <w:rPr>
          <w:rFonts w:ascii="Times New Roman" w:hAnsi="Times New Roman" w:cs="Times New Roman"/>
          <w:color w:val="000000" w:themeColor="text1"/>
          <w:sz w:val="24"/>
          <w:szCs w:val="24"/>
          <w:lang w:val="en-US"/>
        </w:rPr>
        <w:t>velopment</w:t>
      </w:r>
      <w:r w:rsidR="00C33478" w:rsidRPr="002C5DE1">
        <w:rPr>
          <w:rFonts w:ascii="Times New Roman" w:hAnsi="Times New Roman" w:cs="Times New Roman"/>
          <w:color w:val="000000" w:themeColor="text1"/>
          <w:sz w:val="24"/>
          <w:szCs w:val="24"/>
          <w:lang w:val="en-US"/>
        </w:rPr>
        <w:t xml:space="preserve"> (</w:t>
      </w:r>
      <w:r w:rsidR="0024559D" w:rsidRPr="002C5DE1">
        <w:rPr>
          <w:rFonts w:ascii="Times New Roman" w:hAnsi="Times New Roman" w:cs="Times New Roman"/>
          <w:color w:val="000000" w:themeColor="text1"/>
          <w:sz w:val="24"/>
          <w:szCs w:val="24"/>
          <w:lang w:val="en-US"/>
        </w:rPr>
        <w:t xml:space="preserve">i.e. </w:t>
      </w:r>
      <w:r w:rsidR="008619E9" w:rsidRPr="002C5DE1">
        <w:rPr>
          <w:rFonts w:ascii="Times New Roman" w:hAnsi="Times New Roman" w:cs="Times New Roman"/>
          <w:color w:val="000000" w:themeColor="text1"/>
          <w:sz w:val="24"/>
          <w:szCs w:val="24"/>
          <w:lang w:val="en-US"/>
        </w:rPr>
        <w:t xml:space="preserve">Greenwood and Jovanovic, 1990; </w:t>
      </w:r>
      <w:r w:rsidR="00C33478" w:rsidRPr="002C5DE1">
        <w:rPr>
          <w:rFonts w:ascii="Times New Roman" w:hAnsi="Times New Roman" w:cs="Times New Roman"/>
          <w:color w:val="000000" w:themeColor="text1"/>
          <w:sz w:val="24"/>
          <w:szCs w:val="24"/>
          <w:lang w:val="en-US"/>
        </w:rPr>
        <w:t>Beck</w:t>
      </w:r>
      <w:r w:rsidR="00690D06" w:rsidRPr="002C5DE1">
        <w:rPr>
          <w:rFonts w:ascii="Times New Roman" w:hAnsi="Times New Roman" w:cs="Times New Roman"/>
          <w:color w:val="000000" w:themeColor="text1"/>
          <w:sz w:val="24"/>
          <w:szCs w:val="24"/>
          <w:lang w:val="en-US"/>
        </w:rPr>
        <w:t xml:space="preserve"> et al.</w:t>
      </w:r>
      <w:r w:rsidR="00C33478" w:rsidRPr="002C5DE1">
        <w:rPr>
          <w:rFonts w:ascii="Times New Roman" w:hAnsi="Times New Roman" w:cs="Times New Roman"/>
          <w:color w:val="000000" w:themeColor="text1"/>
          <w:sz w:val="24"/>
          <w:szCs w:val="24"/>
          <w:lang w:val="en-US"/>
        </w:rPr>
        <w:t>, 2007;</w:t>
      </w:r>
      <w:r w:rsidR="008619E9" w:rsidRPr="002C5DE1">
        <w:rPr>
          <w:rFonts w:ascii="Times New Roman" w:hAnsi="Times New Roman" w:cs="Times New Roman"/>
          <w:color w:val="000000" w:themeColor="text1"/>
          <w:sz w:val="24"/>
          <w:szCs w:val="24"/>
          <w:lang w:val="en-US"/>
        </w:rPr>
        <w:t xml:space="preserve"> </w:t>
      </w:r>
      <w:r w:rsidR="001D68AB" w:rsidRPr="002C5DE1">
        <w:rPr>
          <w:rFonts w:ascii="Times New Roman" w:hAnsi="Times New Roman" w:cs="Times New Roman"/>
          <w:color w:val="000000" w:themeColor="text1"/>
          <w:sz w:val="24"/>
          <w:szCs w:val="24"/>
          <w:lang w:val="en-US"/>
        </w:rPr>
        <w:t>Seven and Coskun, 2016, among others).</w:t>
      </w:r>
      <w:r w:rsidR="00485751" w:rsidRPr="002C5DE1">
        <w:rPr>
          <w:rFonts w:ascii="Times New Roman" w:hAnsi="Times New Roman" w:cs="Times New Roman"/>
          <w:color w:val="000000" w:themeColor="text1"/>
          <w:sz w:val="24"/>
          <w:szCs w:val="24"/>
          <w:lang w:val="en-US"/>
        </w:rPr>
        <w:t xml:space="preserve"> </w:t>
      </w:r>
      <w:r w:rsidR="0069269B" w:rsidRPr="002C5DE1">
        <w:rPr>
          <w:rFonts w:ascii="Times New Roman" w:hAnsi="Times New Roman" w:cs="Times New Roman"/>
          <w:color w:val="000000" w:themeColor="text1"/>
          <w:sz w:val="24"/>
          <w:szCs w:val="24"/>
          <w:lang w:val="en-US"/>
        </w:rPr>
        <w:t>In the post-GFC period</w:t>
      </w:r>
      <w:r w:rsidR="00E378C3" w:rsidRPr="002C5DE1">
        <w:rPr>
          <w:rFonts w:ascii="Times New Roman" w:hAnsi="Times New Roman" w:cs="Times New Roman"/>
          <w:color w:val="000000" w:themeColor="text1"/>
          <w:sz w:val="24"/>
          <w:szCs w:val="24"/>
          <w:lang w:val="en-US"/>
        </w:rPr>
        <w:t>,</w:t>
      </w:r>
      <w:r w:rsidR="0069269B" w:rsidRPr="002C5DE1">
        <w:rPr>
          <w:rFonts w:ascii="Times New Roman" w:hAnsi="Times New Roman" w:cs="Times New Roman"/>
          <w:color w:val="000000" w:themeColor="text1"/>
          <w:sz w:val="24"/>
          <w:szCs w:val="24"/>
          <w:lang w:val="en-US"/>
        </w:rPr>
        <w:t xml:space="preserve"> </w:t>
      </w:r>
      <w:r w:rsidR="00E825C1" w:rsidRPr="002C5DE1">
        <w:rPr>
          <w:rFonts w:ascii="Times New Roman" w:hAnsi="Times New Roman" w:cs="Times New Roman"/>
          <w:color w:val="000000" w:themeColor="text1"/>
          <w:sz w:val="24"/>
          <w:szCs w:val="24"/>
          <w:lang w:val="en-US"/>
        </w:rPr>
        <w:t xml:space="preserve">in the majority of countries, </w:t>
      </w:r>
      <w:r w:rsidR="0069269B" w:rsidRPr="002C5DE1">
        <w:rPr>
          <w:rFonts w:ascii="Times New Roman" w:hAnsi="Times New Roman" w:cs="Times New Roman"/>
          <w:color w:val="000000" w:themeColor="text1"/>
          <w:sz w:val="24"/>
          <w:szCs w:val="24"/>
          <w:lang w:val="en-US"/>
        </w:rPr>
        <w:t>a</w:t>
      </w:r>
      <w:r w:rsidR="00D877F2" w:rsidRPr="002C5DE1">
        <w:rPr>
          <w:rFonts w:ascii="Times New Roman" w:hAnsi="Times New Roman" w:cs="Times New Roman"/>
          <w:color w:val="000000" w:themeColor="text1"/>
          <w:sz w:val="24"/>
          <w:szCs w:val="24"/>
          <w:lang w:val="en-US"/>
        </w:rPr>
        <w:t xml:space="preserve">long with the decline in housing affordability, home ownership ratios, </w:t>
      </w:r>
      <w:r w:rsidR="008459B3" w:rsidRPr="002C5DE1">
        <w:rPr>
          <w:rFonts w:ascii="Times New Roman" w:hAnsi="Times New Roman" w:cs="Times New Roman"/>
          <w:color w:val="000000" w:themeColor="text1"/>
          <w:sz w:val="24"/>
          <w:szCs w:val="24"/>
          <w:lang w:val="en-US"/>
        </w:rPr>
        <w:t>financial development</w:t>
      </w:r>
      <w:r w:rsidR="00D877F2" w:rsidRPr="002C5DE1">
        <w:rPr>
          <w:rFonts w:ascii="Times New Roman" w:hAnsi="Times New Roman" w:cs="Times New Roman"/>
          <w:color w:val="000000" w:themeColor="text1"/>
          <w:sz w:val="24"/>
          <w:szCs w:val="24"/>
          <w:lang w:val="en-US"/>
        </w:rPr>
        <w:t xml:space="preserve"> and residential loans to GDP ratio</w:t>
      </w:r>
      <w:r w:rsidR="005A6E61" w:rsidRPr="002C5DE1">
        <w:rPr>
          <w:rFonts w:ascii="Times New Roman" w:hAnsi="Times New Roman" w:cs="Times New Roman"/>
          <w:color w:val="000000" w:themeColor="text1"/>
          <w:sz w:val="24"/>
          <w:szCs w:val="24"/>
          <w:lang w:val="en-US"/>
        </w:rPr>
        <w:t>,</w:t>
      </w:r>
      <w:r w:rsidR="00D877F2" w:rsidRPr="002C5DE1">
        <w:rPr>
          <w:rFonts w:ascii="Times New Roman" w:hAnsi="Times New Roman" w:cs="Times New Roman"/>
          <w:color w:val="000000" w:themeColor="text1"/>
          <w:sz w:val="24"/>
          <w:szCs w:val="24"/>
          <w:lang w:val="en-US"/>
        </w:rPr>
        <w:t xml:space="preserve"> the increase </w:t>
      </w:r>
      <w:r w:rsidR="0077727A" w:rsidRPr="002C5DE1">
        <w:rPr>
          <w:rFonts w:ascii="Times New Roman" w:hAnsi="Times New Roman" w:cs="Times New Roman"/>
          <w:color w:val="000000" w:themeColor="text1"/>
          <w:sz w:val="24"/>
          <w:szCs w:val="24"/>
          <w:lang w:val="en-US"/>
        </w:rPr>
        <w:t xml:space="preserve">in </w:t>
      </w:r>
      <w:r w:rsidR="00D877F2" w:rsidRPr="002C5DE1">
        <w:rPr>
          <w:rFonts w:ascii="Times New Roman" w:hAnsi="Times New Roman" w:cs="Times New Roman"/>
          <w:color w:val="000000" w:themeColor="text1"/>
          <w:sz w:val="24"/>
          <w:szCs w:val="24"/>
          <w:lang w:val="en-US"/>
        </w:rPr>
        <w:t xml:space="preserve">both </w:t>
      </w:r>
      <w:r w:rsidR="008459B3" w:rsidRPr="002C5DE1">
        <w:rPr>
          <w:rFonts w:ascii="Times New Roman" w:hAnsi="Times New Roman" w:cs="Times New Roman"/>
          <w:color w:val="000000" w:themeColor="text1"/>
          <w:sz w:val="24"/>
          <w:szCs w:val="24"/>
          <w:lang w:val="en-US"/>
        </w:rPr>
        <w:t>housin</w:t>
      </w:r>
      <w:r w:rsidR="00D877F2" w:rsidRPr="002C5DE1">
        <w:rPr>
          <w:rFonts w:ascii="Times New Roman" w:hAnsi="Times New Roman" w:cs="Times New Roman"/>
          <w:color w:val="000000" w:themeColor="text1"/>
          <w:sz w:val="24"/>
          <w:szCs w:val="24"/>
          <w:lang w:val="en-US"/>
        </w:rPr>
        <w:t>g and financial wealth</w:t>
      </w:r>
      <w:r w:rsidR="005A6E61" w:rsidRPr="002C5DE1">
        <w:rPr>
          <w:rFonts w:ascii="Times New Roman" w:hAnsi="Times New Roman" w:cs="Times New Roman"/>
          <w:color w:val="000000" w:themeColor="text1"/>
          <w:sz w:val="24"/>
          <w:szCs w:val="24"/>
          <w:lang w:val="en-US"/>
        </w:rPr>
        <w:t xml:space="preserve"> </w:t>
      </w:r>
      <w:r w:rsidR="00E378C3" w:rsidRPr="002C5DE1">
        <w:rPr>
          <w:rFonts w:ascii="Times New Roman" w:hAnsi="Times New Roman" w:cs="Times New Roman"/>
          <w:color w:val="000000" w:themeColor="text1"/>
          <w:sz w:val="24"/>
          <w:szCs w:val="24"/>
          <w:lang w:val="en-US"/>
        </w:rPr>
        <w:t>may suggest an increase in</w:t>
      </w:r>
      <w:r w:rsidR="005A6E61" w:rsidRPr="002C5DE1">
        <w:rPr>
          <w:rFonts w:ascii="Times New Roman" w:hAnsi="Times New Roman" w:cs="Times New Roman"/>
          <w:color w:val="000000" w:themeColor="text1"/>
          <w:sz w:val="24"/>
          <w:szCs w:val="24"/>
          <w:lang w:val="en-US"/>
        </w:rPr>
        <w:t xml:space="preserve"> wealth inequality</w:t>
      </w:r>
      <w:r w:rsidR="00E378C3" w:rsidRPr="002C5DE1">
        <w:rPr>
          <w:rStyle w:val="FootnoteReference"/>
          <w:rFonts w:ascii="Times New Roman" w:hAnsi="Times New Roman" w:cs="Times New Roman"/>
          <w:color w:val="000000" w:themeColor="text1"/>
          <w:sz w:val="24"/>
          <w:szCs w:val="24"/>
          <w:lang w:val="en-US"/>
        </w:rPr>
        <w:footnoteReference w:id="8"/>
      </w:r>
      <w:r w:rsidR="005A6E61" w:rsidRPr="002C5DE1">
        <w:rPr>
          <w:rFonts w:ascii="Times New Roman" w:hAnsi="Times New Roman" w:cs="Times New Roman"/>
          <w:color w:val="000000" w:themeColor="text1"/>
          <w:sz w:val="24"/>
          <w:szCs w:val="24"/>
          <w:lang w:val="en-US"/>
        </w:rPr>
        <w:t>.</w:t>
      </w:r>
      <w:r w:rsidR="00E378C3" w:rsidRPr="002C5DE1">
        <w:rPr>
          <w:rFonts w:ascii="Times New Roman" w:hAnsi="Times New Roman" w:cs="Times New Roman"/>
          <w:color w:val="000000" w:themeColor="text1"/>
          <w:sz w:val="24"/>
          <w:szCs w:val="24"/>
          <w:lang w:val="en-US"/>
        </w:rPr>
        <w:t xml:space="preserve"> </w:t>
      </w:r>
      <w:r w:rsidR="0040016F" w:rsidRPr="002C5DE1">
        <w:rPr>
          <w:rFonts w:ascii="Times New Roman" w:hAnsi="Times New Roman" w:cs="Times New Roman"/>
          <w:color w:val="000000" w:themeColor="text1"/>
          <w:sz w:val="24"/>
          <w:szCs w:val="24"/>
          <w:lang w:val="en-US"/>
        </w:rPr>
        <w:t>Based on the general overview of the selected indicators</w:t>
      </w:r>
      <w:r w:rsidR="00CD62FB" w:rsidRPr="002C5DE1">
        <w:rPr>
          <w:rFonts w:ascii="Times New Roman" w:hAnsi="Times New Roman" w:cs="Times New Roman"/>
          <w:color w:val="000000" w:themeColor="text1"/>
          <w:sz w:val="24"/>
          <w:szCs w:val="24"/>
          <w:lang w:val="en-US"/>
        </w:rPr>
        <w:t xml:space="preserve">, </w:t>
      </w:r>
      <w:r w:rsidR="0040016F" w:rsidRPr="002C5DE1">
        <w:rPr>
          <w:rFonts w:ascii="Times New Roman" w:hAnsi="Times New Roman" w:cs="Times New Roman"/>
          <w:color w:val="000000" w:themeColor="text1"/>
          <w:sz w:val="24"/>
          <w:szCs w:val="24"/>
          <w:lang w:val="en-US"/>
        </w:rPr>
        <w:t xml:space="preserve">the </w:t>
      </w:r>
      <w:r w:rsidR="00CD62FB" w:rsidRPr="002C5DE1">
        <w:rPr>
          <w:rFonts w:ascii="Times New Roman" w:hAnsi="Times New Roman" w:cs="Times New Roman"/>
          <w:color w:val="000000" w:themeColor="text1"/>
          <w:sz w:val="24"/>
          <w:szCs w:val="24"/>
          <w:lang w:val="en-US"/>
        </w:rPr>
        <w:t xml:space="preserve">expected result from our framework is twofold: </w:t>
      </w:r>
      <w:proofErr w:type="spellStart"/>
      <w:r w:rsidR="00CD62FB" w:rsidRPr="002C5DE1">
        <w:rPr>
          <w:rFonts w:ascii="Times New Roman" w:hAnsi="Times New Roman" w:cs="Times New Roman"/>
          <w:color w:val="000000" w:themeColor="text1"/>
          <w:sz w:val="24"/>
          <w:szCs w:val="24"/>
          <w:lang w:val="en-US"/>
        </w:rPr>
        <w:t>i</w:t>
      </w:r>
      <w:proofErr w:type="spellEnd"/>
      <w:r w:rsidR="00CD62FB" w:rsidRPr="002C5DE1">
        <w:rPr>
          <w:rFonts w:ascii="Times New Roman" w:hAnsi="Times New Roman" w:cs="Times New Roman"/>
          <w:color w:val="000000" w:themeColor="text1"/>
          <w:sz w:val="24"/>
          <w:szCs w:val="24"/>
          <w:lang w:val="en-US"/>
        </w:rPr>
        <w:t xml:space="preserve">) </w:t>
      </w:r>
      <w:r w:rsidR="0040016F" w:rsidRPr="002C5DE1">
        <w:rPr>
          <w:rFonts w:ascii="Times New Roman" w:hAnsi="Times New Roman" w:cs="Times New Roman"/>
          <w:color w:val="000000" w:themeColor="text1"/>
          <w:sz w:val="24"/>
          <w:szCs w:val="24"/>
          <w:lang w:val="en-US"/>
        </w:rPr>
        <w:t xml:space="preserve">increase </w:t>
      </w:r>
      <w:r w:rsidR="00CD62FB" w:rsidRPr="002C5DE1">
        <w:rPr>
          <w:rFonts w:ascii="Times New Roman" w:hAnsi="Times New Roman" w:cs="Times New Roman"/>
          <w:color w:val="000000" w:themeColor="text1"/>
          <w:sz w:val="24"/>
          <w:szCs w:val="24"/>
          <w:lang w:val="en-US"/>
        </w:rPr>
        <w:t xml:space="preserve">in wealth may result with an increase in consumption </w:t>
      </w:r>
      <w:r w:rsidR="00B42944" w:rsidRPr="002C5DE1">
        <w:rPr>
          <w:rFonts w:ascii="Times New Roman" w:hAnsi="Times New Roman" w:cs="Times New Roman"/>
          <w:color w:val="000000" w:themeColor="text1"/>
          <w:sz w:val="24"/>
          <w:szCs w:val="24"/>
          <w:lang w:val="en-US"/>
        </w:rPr>
        <w:t xml:space="preserve">in parallel with the literature </w:t>
      </w:r>
      <w:r w:rsidR="00CD62FB" w:rsidRPr="002C5DE1">
        <w:rPr>
          <w:rFonts w:ascii="Times New Roman" w:hAnsi="Times New Roman" w:cs="Times New Roman"/>
          <w:color w:val="000000" w:themeColor="text1"/>
          <w:sz w:val="24"/>
          <w:szCs w:val="24"/>
          <w:lang w:val="en-US"/>
        </w:rPr>
        <w:t>ii) consumption may not increase sufficientl</w:t>
      </w:r>
      <w:r w:rsidR="00B42944" w:rsidRPr="002C5DE1">
        <w:rPr>
          <w:rFonts w:ascii="Times New Roman" w:hAnsi="Times New Roman" w:cs="Times New Roman"/>
          <w:color w:val="000000" w:themeColor="text1"/>
          <w:sz w:val="24"/>
          <w:szCs w:val="24"/>
          <w:lang w:val="en-US"/>
        </w:rPr>
        <w:t>y if the wealth distribution does not approach equality. However</w:t>
      </w:r>
      <w:r w:rsidR="00700218">
        <w:rPr>
          <w:rFonts w:ascii="Times New Roman" w:hAnsi="Times New Roman" w:cs="Times New Roman"/>
          <w:color w:val="000000" w:themeColor="text1"/>
          <w:sz w:val="24"/>
          <w:szCs w:val="24"/>
          <w:lang w:val="en-US"/>
        </w:rPr>
        <w:t>,</w:t>
      </w:r>
      <w:r w:rsidR="00B42944" w:rsidRPr="002C5DE1">
        <w:rPr>
          <w:rFonts w:ascii="Times New Roman" w:hAnsi="Times New Roman" w:cs="Times New Roman"/>
          <w:color w:val="000000" w:themeColor="text1"/>
          <w:sz w:val="24"/>
          <w:szCs w:val="24"/>
          <w:lang w:val="en-US"/>
        </w:rPr>
        <w:t xml:space="preserve"> it is not easy to measure the distribution of wealth, because people do not report their total wealth routinely (</w:t>
      </w:r>
      <w:proofErr w:type="spellStart"/>
      <w:r w:rsidR="00B42944" w:rsidRPr="002C5DE1">
        <w:rPr>
          <w:rFonts w:ascii="Times New Roman" w:hAnsi="Times New Roman" w:cs="Times New Roman"/>
          <w:color w:val="000000" w:themeColor="text1"/>
          <w:sz w:val="24"/>
          <w:szCs w:val="24"/>
          <w:lang w:val="en-US"/>
        </w:rPr>
        <w:t>Drăgulescu</w:t>
      </w:r>
      <w:proofErr w:type="spellEnd"/>
      <w:r w:rsidR="00B42944" w:rsidRPr="002C5DE1">
        <w:rPr>
          <w:rFonts w:ascii="Times New Roman" w:hAnsi="Times New Roman" w:cs="Times New Roman"/>
          <w:color w:val="000000" w:themeColor="text1"/>
          <w:sz w:val="24"/>
          <w:szCs w:val="24"/>
          <w:lang w:val="en-US"/>
        </w:rPr>
        <w:t xml:space="preserve"> and Yakovenko, 2001), the analyze of consumption </w:t>
      </w:r>
      <w:proofErr w:type="spellStart"/>
      <w:r w:rsidR="00B42944" w:rsidRPr="002C5DE1">
        <w:rPr>
          <w:rFonts w:ascii="Times New Roman" w:hAnsi="Times New Roman" w:cs="Times New Roman"/>
          <w:color w:val="000000" w:themeColor="text1"/>
          <w:sz w:val="24"/>
          <w:szCs w:val="24"/>
          <w:lang w:val="en-US"/>
        </w:rPr>
        <w:t>behaviour</w:t>
      </w:r>
      <w:proofErr w:type="spellEnd"/>
      <w:r w:rsidR="00B42944" w:rsidRPr="002C5DE1">
        <w:rPr>
          <w:rFonts w:ascii="Times New Roman" w:hAnsi="Times New Roman" w:cs="Times New Roman"/>
          <w:color w:val="000000" w:themeColor="text1"/>
          <w:sz w:val="24"/>
          <w:szCs w:val="24"/>
          <w:lang w:val="en-US"/>
        </w:rPr>
        <w:t xml:space="preserve"> may give some insights to make</w:t>
      </w:r>
      <w:r w:rsidR="00780D58" w:rsidRPr="002C5DE1">
        <w:rPr>
          <w:rFonts w:ascii="Times New Roman" w:hAnsi="Times New Roman" w:cs="Times New Roman"/>
          <w:color w:val="000000" w:themeColor="text1"/>
          <w:sz w:val="24"/>
          <w:szCs w:val="24"/>
          <w:lang w:val="en-US"/>
        </w:rPr>
        <w:t xml:space="preserve"> an inference on the case of</w:t>
      </w:r>
      <w:r w:rsidR="00B42944" w:rsidRPr="002C5DE1">
        <w:rPr>
          <w:rFonts w:ascii="Times New Roman" w:hAnsi="Times New Roman" w:cs="Times New Roman"/>
          <w:color w:val="000000" w:themeColor="text1"/>
          <w:sz w:val="24"/>
          <w:szCs w:val="24"/>
          <w:lang w:val="en-US"/>
        </w:rPr>
        <w:t xml:space="preserve"> wealth inequality.</w:t>
      </w:r>
    </w:p>
    <w:p w14:paraId="41C8C31B" w14:textId="77777777" w:rsidR="00AC5AE4" w:rsidRPr="002C5DE1" w:rsidRDefault="00435D5B" w:rsidP="001564A9">
      <w:pPr>
        <w:pStyle w:val="Heading1"/>
        <w:spacing w:after="120" w:line="276" w:lineRule="auto"/>
        <w:rPr>
          <w:rFonts w:ascii="Times New Roman" w:hAnsi="Times New Roman" w:cs="Times New Roman"/>
          <w:b/>
          <w:color w:val="000000" w:themeColor="text1"/>
          <w:sz w:val="24"/>
          <w:szCs w:val="24"/>
          <w:lang w:val="en-US"/>
        </w:rPr>
      </w:pPr>
      <w:r w:rsidRPr="002C5DE1">
        <w:rPr>
          <w:rFonts w:ascii="Times New Roman" w:hAnsi="Times New Roman" w:cs="Times New Roman"/>
          <w:b/>
          <w:color w:val="000000" w:themeColor="text1"/>
          <w:sz w:val="24"/>
          <w:szCs w:val="24"/>
          <w:lang w:val="en-US"/>
        </w:rPr>
        <w:t>3</w:t>
      </w:r>
      <w:r w:rsidR="00AC5AE4" w:rsidRPr="002C5DE1">
        <w:rPr>
          <w:rFonts w:ascii="Times New Roman" w:hAnsi="Times New Roman" w:cs="Times New Roman"/>
          <w:b/>
          <w:color w:val="000000" w:themeColor="text1"/>
          <w:sz w:val="24"/>
          <w:szCs w:val="24"/>
          <w:lang w:val="en-US"/>
        </w:rPr>
        <w:t>. Literature Review</w:t>
      </w:r>
    </w:p>
    <w:p w14:paraId="4DF1C6B0" w14:textId="77777777" w:rsidR="000D1264" w:rsidRPr="002C5DE1" w:rsidRDefault="005F4664" w:rsidP="008E588C">
      <w:pPr>
        <w:spacing w:after="120" w:line="276" w:lineRule="auto"/>
        <w:ind w:firstLine="357"/>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From a</w:t>
      </w:r>
      <w:r w:rsidRPr="002C5DE1">
        <w:rPr>
          <w:color w:val="000000" w:themeColor="text1"/>
          <w:lang w:val="en-US"/>
        </w:rPr>
        <w:t xml:space="preserve"> </w:t>
      </w:r>
      <w:r w:rsidR="000D1264" w:rsidRPr="002C5DE1">
        <w:rPr>
          <w:rFonts w:ascii="Times New Roman" w:hAnsi="Times New Roman" w:cs="Times New Roman"/>
          <w:color w:val="000000" w:themeColor="text1"/>
          <w:sz w:val="24"/>
          <w:szCs w:val="24"/>
          <w:lang w:val="en-US"/>
        </w:rPr>
        <w:t xml:space="preserve">theoretical </w:t>
      </w:r>
      <w:r w:rsidRPr="002C5DE1">
        <w:rPr>
          <w:rFonts w:ascii="Times New Roman" w:hAnsi="Times New Roman" w:cs="Times New Roman"/>
          <w:color w:val="000000" w:themeColor="text1"/>
          <w:sz w:val="24"/>
          <w:szCs w:val="24"/>
          <w:lang w:val="en-US"/>
        </w:rPr>
        <w:t>perspective, t</w:t>
      </w:r>
      <w:r w:rsidR="006C09D4" w:rsidRPr="002C5DE1">
        <w:rPr>
          <w:rFonts w:ascii="Times New Roman" w:hAnsi="Times New Roman" w:cs="Times New Roman"/>
          <w:color w:val="000000" w:themeColor="text1"/>
          <w:sz w:val="24"/>
          <w:szCs w:val="24"/>
          <w:lang w:val="en-US"/>
        </w:rPr>
        <w:t>he</w:t>
      </w:r>
      <w:r w:rsidRPr="002C5DE1">
        <w:rPr>
          <w:rFonts w:ascii="Times New Roman" w:hAnsi="Times New Roman" w:cs="Times New Roman"/>
          <w:color w:val="000000" w:themeColor="text1"/>
          <w:sz w:val="24"/>
          <w:szCs w:val="24"/>
          <w:lang w:val="en-US"/>
        </w:rPr>
        <w:t xml:space="preserve"> analys</w:t>
      </w:r>
      <w:r w:rsidR="006C09D4" w:rsidRPr="002C5DE1">
        <w:rPr>
          <w:rFonts w:ascii="Times New Roman" w:hAnsi="Times New Roman" w:cs="Times New Roman"/>
          <w:color w:val="000000" w:themeColor="text1"/>
          <w:sz w:val="24"/>
          <w:szCs w:val="24"/>
          <w:lang w:val="en-US"/>
        </w:rPr>
        <w:t>is of</w:t>
      </w:r>
      <w:r w:rsidRPr="002C5DE1">
        <w:rPr>
          <w:rFonts w:ascii="Times New Roman" w:hAnsi="Times New Roman" w:cs="Times New Roman"/>
          <w:color w:val="000000" w:themeColor="text1"/>
          <w:sz w:val="24"/>
          <w:szCs w:val="24"/>
          <w:lang w:val="en-US"/>
        </w:rPr>
        <w:t xml:space="preserve"> </w:t>
      </w:r>
      <w:r w:rsidR="000D1264" w:rsidRPr="002C5DE1">
        <w:rPr>
          <w:rFonts w:ascii="Times New Roman" w:hAnsi="Times New Roman" w:cs="Times New Roman"/>
          <w:color w:val="000000" w:themeColor="text1"/>
          <w:sz w:val="24"/>
          <w:szCs w:val="24"/>
          <w:lang w:val="en-US"/>
        </w:rPr>
        <w:t xml:space="preserve">the </w:t>
      </w:r>
      <w:r w:rsidRPr="002C5DE1">
        <w:rPr>
          <w:rFonts w:ascii="Times New Roman" w:hAnsi="Times New Roman" w:cs="Times New Roman"/>
          <w:color w:val="000000" w:themeColor="text1"/>
          <w:sz w:val="24"/>
          <w:szCs w:val="24"/>
          <w:lang w:val="en-US"/>
        </w:rPr>
        <w:t xml:space="preserve">relationship between consumption, income and </w:t>
      </w:r>
      <w:r w:rsidR="000D1264" w:rsidRPr="002C5DE1">
        <w:rPr>
          <w:rFonts w:ascii="Times New Roman" w:hAnsi="Times New Roman" w:cs="Times New Roman"/>
          <w:color w:val="000000" w:themeColor="text1"/>
          <w:sz w:val="24"/>
          <w:szCs w:val="24"/>
          <w:lang w:val="en-US"/>
        </w:rPr>
        <w:t xml:space="preserve">wealth is based on the life cycle model proposed by Modigliani and </w:t>
      </w:r>
      <w:proofErr w:type="spellStart"/>
      <w:r w:rsidR="000D1264" w:rsidRPr="002C5DE1">
        <w:rPr>
          <w:rFonts w:ascii="Times New Roman" w:hAnsi="Times New Roman" w:cs="Times New Roman"/>
          <w:color w:val="000000" w:themeColor="text1"/>
          <w:sz w:val="24"/>
          <w:szCs w:val="24"/>
          <w:lang w:val="en-US"/>
        </w:rPr>
        <w:t>Brumberg</w:t>
      </w:r>
      <w:proofErr w:type="spellEnd"/>
      <w:r w:rsidR="000D1264" w:rsidRPr="002C5DE1">
        <w:rPr>
          <w:rFonts w:ascii="Times New Roman" w:hAnsi="Times New Roman" w:cs="Times New Roman"/>
          <w:color w:val="000000" w:themeColor="text1"/>
          <w:sz w:val="24"/>
          <w:szCs w:val="24"/>
          <w:lang w:val="en-US"/>
        </w:rPr>
        <w:t>, (1954</w:t>
      </w:r>
      <w:r w:rsidR="00A5620A" w:rsidRPr="002C5DE1">
        <w:rPr>
          <w:rFonts w:ascii="Times New Roman" w:hAnsi="Times New Roman" w:cs="Times New Roman"/>
          <w:color w:val="000000" w:themeColor="text1"/>
          <w:sz w:val="24"/>
          <w:szCs w:val="24"/>
          <w:lang w:val="en-US"/>
        </w:rPr>
        <w:t>; 1979</w:t>
      </w:r>
      <w:r w:rsidR="000D1264" w:rsidRPr="002C5DE1">
        <w:rPr>
          <w:rFonts w:ascii="Times New Roman" w:hAnsi="Times New Roman" w:cs="Times New Roman"/>
          <w:color w:val="000000" w:themeColor="text1"/>
          <w:sz w:val="24"/>
          <w:szCs w:val="24"/>
          <w:lang w:val="en-US"/>
        </w:rPr>
        <w:t>)</w:t>
      </w:r>
      <w:r w:rsidR="00A5620A" w:rsidRPr="002C5DE1">
        <w:rPr>
          <w:rFonts w:ascii="Times New Roman" w:hAnsi="Times New Roman" w:cs="Times New Roman"/>
          <w:color w:val="000000" w:themeColor="text1"/>
          <w:sz w:val="24"/>
          <w:szCs w:val="24"/>
          <w:lang w:val="en-US"/>
        </w:rPr>
        <w:t>,</w:t>
      </w:r>
      <w:r w:rsidR="000D1264" w:rsidRPr="002C5DE1">
        <w:rPr>
          <w:rFonts w:ascii="Times New Roman" w:hAnsi="Times New Roman" w:cs="Times New Roman"/>
          <w:color w:val="000000" w:themeColor="text1"/>
          <w:sz w:val="24"/>
          <w:szCs w:val="24"/>
          <w:lang w:val="en-US"/>
        </w:rPr>
        <w:t xml:space="preserve"> Ando and Modigliani (1963) and the </w:t>
      </w:r>
      <w:r w:rsidRPr="002C5DE1">
        <w:rPr>
          <w:rFonts w:ascii="Times New Roman" w:hAnsi="Times New Roman" w:cs="Times New Roman"/>
          <w:color w:val="000000" w:themeColor="text1"/>
          <w:sz w:val="24"/>
          <w:szCs w:val="24"/>
          <w:lang w:val="en-US"/>
        </w:rPr>
        <w:t xml:space="preserve">permanent income hypothesis suggested by Friedman (1957). </w:t>
      </w:r>
      <w:r w:rsidR="009A19D8" w:rsidRPr="002C5DE1">
        <w:rPr>
          <w:rFonts w:ascii="Times New Roman" w:hAnsi="Times New Roman" w:cs="Times New Roman"/>
          <w:color w:val="000000" w:themeColor="text1"/>
          <w:sz w:val="24"/>
          <w:szCs w:val="24"/>
          <w:lang w:val="en-US"/>
        </w:rPr>
        <w:t>Accordingly, households are assumed to us</w:t>
      </w:r>
      <w:r w:rsidR="00515F28" w:rsidRPr="002C5DE1">
        <w:rPr>
          <w:rFonts w:ascii="Times New Roman" w:hAnsi="Times New Roman" w:cs="Times New Roman"/>
          <w:color w:val="000000" w:themeColor="text1"/>
          <w:sz w:val="24"/>
          <w:szCs w:val="24"/>
          <w:lang w:val="en-US"/>
        </w:rPr>
        <w:t>e</w:t>
      </w:r>
      <w:r w:rsidR="009A19D8" w:rsidRPr="002C5DE1">
        <w:rPr>
          <w:rFonts w:ascii="Times New Roman" w:hAnsi="Times New Roman" w:cs="Times New Roman"/>
          <w:color w:val="000000" w:themeColor="text1"/>
          <w:sz w:val="24"/>
          <w:szCs w:val="24"/>
          <w:lang w:val="en-US"/>
        </w:rPr>
        <w:t xml:space="preserve"> both </w:t>
      </w:r>
      <w:proofErr w:type="spellStart"/>
      <w:r w:rsidR="009A19D8" w:rsidRPr="002C5DE1">
        <w:rPr>
          <w:rFonts w:ascii="Times New Roman" w:hAnsi="Times New Roman" w:cs="Times New Roman"/>
          <w:color w:val="000000" w:themeColor="text1"/>
          <w:sz w:val="24"/>
          <w:szCs w:val="24"/>
          <w:lang w:val="en-US"/>
        </w:rPr>
        <w:t>labour</w:t>
      </w:r>
      <w:proofErr w:type="spellEnd"/>
      <w:r w:rsidR="009A19D8" w:rsidRPr="002C5DE1">
        <w:rPr>
          <w:rFonts w:ascii="Times New Roman" w:hAnsi="Times New Roman" w:cs="Times New Roman"/>
          <w:color w:val="000000" w:themeColor="text1"/>
          <w:sz w:val="24"/>
          <w:szCs w:val="24"/>
          <w:lang w:val="en-US"/>
        </w:rPr>
        <w:t xml:space="preserve"> income and financial and non-financial assets for their lifetime consumption</w:t>
      </w:r>
      <w:r w:rsidR="00515F28" w:rsidRPr="002C5DE1">
        <w:rPr>
          <w:rFonts w:ascii="Times New Roman" w:hAnsi="Times New Roman" w:cs="Times New Roman"/>
          <w:color w:val="000000" w:themeColor="text1"/>
          <w:sz w:val="24"/>
          <w:szCs w:val="24"/>
          <w:lang w:val="en-US"/>
        </w:rPr>
        <w:t xml:space="preserve"> expenses</w:t>
      </w:r>
      <w:r w:rsidR="009A19D8" w:rsidRPr="002C5DE1">
        <w:rPr>
          <w:rFonts w:ascii="Times New Roman" w:hAnsi="Times New Roman" w:cs="Times New Roman"/>
          <w:color w:val="000000" w:themeColor="text1"/>
          <w:sz w:val="24"/>
          <w:szCs w:val="24"/>
          <w:lang w:val="en-US"/>
        </w:rPr>
        <w:t>.</w:t>
      </w:r>
    </w:p>
    <w:p w14:paraId="4F602CA5" w14:textId="77777777" w:rsidR="00AA4002" w:rsidRPr="002C5DE1" w:rsidRDefault="00ED707A" w:rsidP="008E588C">
      <w:pPr>
        <w:spacing w:after="120" w:line="276" w:lineRule="auto"/>
        <w:ind w:firstLine="357"/>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A</w:t>
      </w:r>
      <w:r w:rsidR="00F42A06" w:rsidRPr="002C5DE1">
        <w:rPr>
          <w:rFonts w:ascii="Times New Roman" w:hAnsi="Times New Roman" w:cs="Times New Roman"/>
          <w:color w:val="000000" w:themeColor="text1"/>
          <w:sz w:val="24"/>
          <w:szCs w:val="24"/>
          <w:lang w:val="en-US"/>
        </w:rPr>
        <w:t>s it is summarized in table 1, a</w:t>
      </w:r>
      <w:r w:rsidRPr="002C5DE1">
        <w:rPr>
          <w:rFonts w:ascii="Times New Roman" w:hAnsi="Times New Roman" w:cs="Times New Roman"/>
          <w:color w:val="000000" w:themeColor="text1"/>
          <w:sz w:val="24"/>
          <w:szCs w:val="24"/>
          <w:lang w:val="en-US"/>
        </w:rPr>
        <w:t xml:space="preserve"> number of studies have examined</w:t>
      </w:r>
      <w:r w:rsidRPr="002C5DE1" w:rsidDel="00ED707A">
        <w:rPr>
          <w:color w:val="000000" w:themeColor="text1"/>
          <w:lang w:val="en-US"/>
        </w:rPr>
        <w:t xml:space="preserve"> </w:t>
      </w:r>
      <w:r w:rsidRPr="002C5DE1">
        <w:rPr>
          <w:rFonts w:ascii="Times New Roman" w:hAnsi="Times New Roman" w:cs="Times New Roman"/>
          <w:color w:val="000000" w:themeColor="text1"/>
          <w:sz w:val="24"/>
          <w:szCs w:val="24"/>
          <w:lang w:val="en-US"/>
        </w:rPr>
        <w:t xml:space="preserve">the </w:t>
      </w:r>
      <w:r w:rsidR="001564A9" w:rsidRPr="002C5DE1">
        <w:rPr>
          <w:rFonts w:ascii="Times New Roman" w:hAnsi="Times New Roman" w:cs="Times New Roman"/>
          <w:color w:val="000000" w:themeColor="text1"/>
          <w:sz w:val="24"/>
          <w:szCs w:val="24"/>
          <w:lang w:val="en-US"/>
        </w:rPr>
        <w:t xml:space="preserve">household consumption and wealth channels </w:t>
      </w:r>
      <w:r w:rsidR="00475A8B" w:rsidRPr="002C5DE1">
        <w:rPr>
          <w:rFonts w:ascii="Times New Roman" w:hAnsi="Times New Roman" w:cs="Times New Roman"/>
          <w:color w:val="000000" w:themeColor="text1"/>
          <w:sz w:val="24"/>
          <w:szCs w:val="24"/>
          <w:lang w:val="en-US"/>
        </w:rPr>
        <w:t xml:space="preserve">by employing several methods. </w:t>
      </w:r>
      <w:r w:rsidR="00384F96" w:rsidRPr="002C5DE1">
        <w:rPr>
          <w:rFonts w:ascii="Times New Roman" w:hAnsi="Times New Roman" w:cs="Times New Roman"/>
          <w:color w:val="000000" w:themeColor="text1"/>
          <w:sz w:val="24"/>
          <w:szCs w:val="24"/>
          <w:lang w:val="en-US"/>
        </w:rPr>
        <w:t>Furthermore, a</w:t>
      </w:r>
      <w:r w:rsidR="00D438BA" w:rsidRPr="002C5DE1">
        <w:rPr>
          <w:rFonts w:ascii="Times New Roman" w:hAnsi="Times New Roman" w:cs="Times New Roman"/>
          <w:color w:val="000000" w:themeColor="text1"/>
          <w:sz w:val="24"/>
          <w:szCs w:val="24"/>
          <w:lang w:val="en-US"/>
        </w:rPr>
        <w:t xml:space="preserve"> considerable amount of </w:t>
      </w:r>
      <w:r w:rsidR="00515F28" w:rsidRPr="002C5DE1">
        <w:rPr>
          <w:rFonts w:ascii="Times New Roman" w:hAnsi="Times New Roman" w:cs="Times New Roman"/>
          <w:color w:val="000000" w:themeColor="text1"/>
          <w:sz w:val="24"/>
          <w:szCs w:val="24"/>
          <w:lang w:val="en-US"/>
        </w:rPr>
        <w:t xml:space="preserve">the </w:t>
      </w:r>
      <w:r w:rsidR="00D438BA" w:rsidRPr="002C5DE1">
        <w:rPr>
          <w:rFonts w:ascii="Times New Roman" w:hAnsi="Times New Roman" w:cs="Times New Roman"/>
          <w:color w:val="000000" w:themeColor="text1"/>
          <w:sz w:val="24"/>
          <w:szCs w:val="24"/>
          <w:lang w:val="en-US"/>
        </w:rPr>
        <w:t xml:space="preserve">literature has been published on the asymmetric effects of various factors on </w:t>
      </w:r>
      <w:r w:rsidR="007B4191" w:rsidRPr="002C5DE1">
        <w:rPr>
          <w:rFonts w:ascii="Times New Roman" w:hAnsi="Times New Roman" w:cs="Times New Roman"/>
          <w:color w:val="000000" w:themeColor="text1"/>
          <w:sz w:val="24"/>
          <w:szCs w:val="24"/>
          <w:lang w:val="en-US"/>
        </w:rPr>
        <w:t xml:space="preserve">household </w:t>
      </w:r>
      <w:r w:rsidR="00D438BA" w:rsidRPr="002C5DE1">
        <w:rPr>
          <w:rFonts w:ascii="Times New Roman" w:hAnsi="Times New Roman" w:cs="Times New Roman"/>
          <w:color w:val="000000" w:themeColor="text1"/>
          <w:sz w:val="24"/>
          <w:szCs w:val="24"/>
          <w:lang w:val="en-US"/>
        </w:rPr>
        <w:t xml:space="preserve">consumption. </w:t>
      </w:r>
      <w:r w:rsidR="00F16D59" w:rsidRPr="002C5DE1">
        <w:rPr>
          <w:rFonts w:ascii="Times New Roman" w:hAnsi="Times New Roman" w:cs="Times New Roman"/>
          <w:color w:val="000000" w:themeColor="text1"/>
          <w:sz w:val="24"/>
          <w:szCs w:val="24"/>
          <w:lang w:val="en-US"/>
        </w:rPr>
        <w:t xml:space="preserve">Apergis and Miller (2006) examine </w:t>
      </w:r>
      <w:r w:rsidR="00515F28" w:rsidRPr="002C5DE1">
        <w:rPr>
          <w:rFonts w:ascii="Times New Roman" w:hAnsi="Times New Roman" w:cs="Times New Roman"/>
          <w:color w:val="000000" w:themeColor="text1"/>
          <w:sz w:val="24"/>
          <w:szCs w:val="24"/>
          <w:lang w:val="en-US"/>
        </w:rPr>
        <w:t xml:space="preserve">the role of </w:t>
      </w:r>
      <w:r w:rsidR="00F36CCE" w:rsidRPr="002C5DE1">
        <w:rPr>
          <w:rFonts w:ascii="Times New Roman" w:hAnsi="Times New Roman" w:cs="Times New Roman"/>
          <w:color w:val="000000" w:themeColor="text1"/>
          <w:sz w:val="24"/>
          <w:szCs w:val="24"/>
          <w:lang w:val="en-US"/>
        </w:rPr>
        <w:t>ratchet effects between U.S. stock market value</w:t>
      </w:r>
      <w:r w:rsidR="00515F28" w:rsidRPr="002C5DE1">
        <w:rPr>
          <w:rFonts w:ascii="Times New Roman" w:hAnsi="Times New Roman" w:cs="Times New Roman"/>
          <w:color w:val="000000" w:themeColor="text1"/>
          <w:sz w:val="24"/>
          <w:szCs w:val="24"/>
          <w:lang w:val="en-US"/>
        </w:rPr>
        <w:t>s</w:t>
      </w:r>
      <w:r w:rsidR="00F36CCE" w:rsidRPr="002C5DE1">
        <w:rPr>
          <w:rFonts w:ascii="Times New Roman" w:hAnsi="Times New Roman" w:cs="Times New Roman"/>
          <w:color w:val="000000" w:themeColor="text1"/>
          <w:sz w:val="24"/>
          <w:szCs w:val="24"/>
          <w:lang w:val="en-US"/>
        </w:rPr>
        <w:t xml:space="preserve"> and consumption</w:t>
      </w:r>
      <w:r w:rsidR="00C66E86" w:rsidRPr="002C5DE1">
        <w:rPr>
          <w:rFonts w:ascii="Times New Roman" w:hAnsi="Times New Roman" w:cs="Times New Roman"/>
          <w:color w:val="000000" w:themeColor="text1"/>
          <w:sz w:val="24"/>
          <w:szCs w:val="24"/>
          <w:lang w:val="en-US"/>
        </w:rPr>
        <w:t xml:space="preserve"> by u</w:t>
      </w:r>
      <w:r w:rsidR="00F16D59" w:rsidRPr="002C5DE1">
        <w:rPr>
          <w:rFonts w:ascii="Times New Roman" w:hAnsi="Times New Roman" w:cs="Times New Roman"/>
          <w:color w:val="000000" w:themeColor="text1"/>
          <w:sz w:val="24"/>
          <w:szCs w:val="24"/>
          <w:lang w:val="en-US"/>
        </w:rPr>
        <w:t>sing cointegration and error-correction method</w:t>
      </w:r>
      <w:r w:rsidR="00515F28" w:rsidRPr="002C5DE1">
        <w:rPr>
          <w:rFonts w:ascii="Times New Roman" w:hAnsi="Times New Roman" w:cs="Times New Roman"/>
          <w:color w:val="000000" w:themeColor="text1"/>
          <w:sz w:val="24"/>
          <w:szCs w:val="24"/>
          <w:lang w:val="en-US"/>
        </w:rPr>
        <w:t>s</w:t>
      </w:r>
      <w:r w:rsidR="00C66E86" w:rsidRPr="002C5DE1">
        <w:rPr>
          <w:rFonts w:ascii="Times New Roman" w:hAnsi="Times New Roman" w:cs="Times New Roman"/>
          <w:color w:val="000000" w:themeColor="text1"/>
          <w:sz w:val="24"/>
          <w:szCs w:val="24"/>
          <w:lang w:val="en-US"/>
        </w:rPr>
        <w:t>. T</w:t>
      </w:r>
      <w:r w:rsidR="00F16D59" w:rsidRPr="002C5DE1">
        <w:rPr>
          <w:rFonts w:ascii="Times New Roman" w:hAnsi="Times New Roman" w:cs="Times New Roman"/>
          <w:color w:val="000000" w:themeColor="text1"/>
          <w:sz w:val="24"/>
          <w:szCs w:val="24"/>
          <w:lang w:val="en-US"/>
        </w:rPr>
        <w:t>he</w:t>
      </w:r>
      <w:r w:rsidR="00515F28" w:rsidRPr="002C5DE1">
        <w:rPr>
          <w:rFonts w:ascii="Times New Roman" w:hAnsi="Times New Roman" w:cs="Times New Roman"/>
          <w:color w:val="000000" w:themeColor="text1"/>
          <w:sz w:val="24"/>
          <w:szCs w:val="24"/>
          <w:lang w:val="en-US"/>
        </w:rPr>
        <w:t>ir</w:t>
      </w:r>
      <w:r w:rsidR="00F16D59" w:rsidRPr="002C5DE1">
        <w:rPr>
          <w:rFonts w:ascii="Times New Roman" w:hAnsi="Times New Roman" w:cs="Times New Roman"/>
          <w:color w:val="000000" w:themeColor="text1"/>
          <w:sz w:val="24"/>
          <w:szCs w:val="24"/>
          <w:lang w:val="en-US"/>
        </w:rPr>
        <w:t xml:space="preserve"> results confirm that stock-market value</w:t>
      </w:r>
      <w:r w:rsidR="00515F28" w:rsidRPr="002C5DE1">
        <w:rPr>
          <w:rFonts w:ascii="Times New Roman" w:hAnsi="Times New Roman" w:cs="Times New Roman"/>
          <w:color w:val="000000" w:themeColor="text1"/>
          <w:sz w:val="24"/>
          <w:szCs w:val="24"/>
          <w:lang w:val="en-US"/>
        </w:rPr>
        <w:t>s</w:t>
      </w:r>
      <w:r w:rsidR="00F16D59" w:rsidRPr="002C5DE1">
        <w:rPr>
          <w:rFonts w:ascii="Times New Roman" w:hAnsi="Times New Roman" w:cs="Times New Roman"/>
          <w:color w:val="000000" w:themeColor="text1"/>
          <w:sz w:val="24"/>
          <w:szCs w:val="24"/>
          <w:lang w:val="en-US"/>
        </w:rPr>
        <w:t xml:space="preserve"> asymmetrically affect real per capita consumption. Negative “news” affect</w:t>
      </w:r>
      <w:r w:rsidR="00515F28" w:rsidRPr="002C5DE1">
        <w:rPr>
          <w:rFonts w:ascii="Times New Roman" w:hAnsi="Times New Roman" w:cs="Times New Roman"/>
          <w:color w:val="000000" w:themeColor="text1"/>
          <w:sz w:val="24"/>
          <w:szCs w:val="24"/>
          <w:lang w:val="en-US"/>
        </w:rPr>
        <w:t>s</w:t>
      </w:r>
      <w:r w:rsidR="00F16D59" w:rsidRPr="002C5DE1">
        <w:rPr>
          <w:rFonts w:ascii="Times New Roman" w:hAnsi="Times New Roman" w:cs="Times New Roman"/>
          <w:color w:val="000000" w:themeColor="text1"/>
          <w:sz w:val="24"/>
          <w:szCs w:val="24"/>
          <w:lang w:val="en-US"/>
        </w:rPr>
        <w:t xml:space="preserve"> consumption more than positive “news</w:t>
      </w:r>
      <w:r w:rsidR="00384F96" w:rsidRPr="002C5DE1">
        <w:rPr>
          <w:rFonts w:ascii="Times New Roman" w:hAnsi="Times New Roman" w:cs="Times New Roman"/>
          <w:color w:val="000000" w:themeColor="text1"/>
          <w:sz w:val="24"/>
          <w:szCs w:val="24"/>
          <w:lang w:val="en-US"/>
        </w:rPr>
        <w:t>”</w:t>
      </w:r>
      <w:r w:rsidR="00F16D59" w:rsidRPr="002C5DE1">
        <w:rPr>
          <w:rFonts w:ascii="Times New Roman" w:hAnsi="Times New Roman" w:cs="Times New Roman"/>
          <w:color w:val="000000" w:themeColor="text1"/>
          <w:sz w:val="24"/>
          <w:szCs w:val="24"/>
          <w:lang w:val="en-US"/>
        </w:rPr>
        <w:t>.</w:t>
      </w:r>
      <w:r w:rsidR="00F16D59" w:rsidRPr="002C5DE1" w:rsidDel="00475A8B">
        <w:rPr>
          <w:rFonts w:ascii="Times New Roman" w:hAnsi="Times New Roman" w:cs="Times New Roman"/>
          <w:color w:val="000000" w:themeColor="text1"/>
          <w:sz w:val="24"/>
          <w:szCs w:val="24"/>
          <w:lang w:val="en-US"/>
        </w:rPr>
        <w:t xml:space="preserve"> </w:t>
      </w:r>
      <w:r w:rsidR="00917F3F" w:rsidRPr="002C5DE1">
        <w:rPr>
          <w:rFonts w:ascii="Times New Roman" w:hAnsi="Times New Roman" w:cs="Times New Roman"/>
          <w:color w:val="000000" w:themeColor="text1"/>
          <w:sz w:val="24"/>
          <w:szCs w:val="24"/>
          <w:lang w:val="en-US"/>
        </w:rPr>
        <w:t xml:space="preserve">Van </w:t>
      </w:r>
      <w:proofErr w:type="spellStart"/>
      <w:r w:rsidR="00917F3F" w:rsidRPr="002C5DE1">
        <w:rPr>
          <w:rFonts w:ascii="Times New Roman" w:hAnsi="Times New Roman" w:cs="Times New Roman"/>
          <w:color w:val="000000" w:themeColor="text1"/>
          <w:sz w:val="24"/>
          <w:szCs w:val="24"/>
          <w:lang w:val="en-US"/>
        </w:rPr>
        <w:t>Treeck</w:t>
      </w:r>
      <w:proofErr w:type="spellEnd"/>
      <w:r w:rsidR="002B33A9" w:rsidRPr="002C5DE1">
        <w:rPr>
          <w:rFonts w:ascii="Times New Roman" w:hAnsi="Times New Roman" w:cs="Times New Roman"/>
          <w:color w:val="000000" w:themeColor="text1"/>
          <w:sz w:val="24"/>
          <w:szCs w:val="24"/>
          <w:lang w:val="en-US"/>
        </w:rPr>
        <w:t xml:space="preserve"> (2008) </w:t>
      </w:r>
      <w:r w:rsidR="00700218" w:rsidRPr="002C5DE1">
        <w:rPr>
          <w:rFonts w:ascii="Times New Roman" w:hAnsi="Times New Roman" w:cs="Times New Roman"/>
          <w:color w:val="000000" w:themeColor="text1"/>
          <w:sz w:val="24"/>
          <w:szCs w:val="24"/>
          <w:lang w:val="en-US"/>
        </w:rPr>
        <w:t>analyses</w:t>
      </w:r>
      <w:r w:rsidR="002B33A9" w:rsidRPr="002C5DE1">
        <w:rPr>
          <w:rFonts w:ascii="Times New Roman" w:hAnsi="Times New Roman" w:cs="Times New Roman"/>
          <w:color w:val="000000" w:themeColor="text1"/>
          <w:sz w:val="24"/>
          <w:szCs w:val="24"/>
          <w:lang w:val="en-US"/>
        </w:rPr>
        <w:t xml:space="preserve"> the relationship between personal consumption, income and wealth by using a single data set for </w:t>
      </w:r>
      <w:r w:rsidR="00515F28" w:rsidRPr="002C5DE1">
        <w:rPr>
          <w:rFonts w:ascii="Times New Roman" w:hAnsi="Times New Roman" w:cs="Times New Roman"/>
          <w:color w:val="000000" w:themeColor="text1"/>
          <w:sz w:val="24"/>
          <w:szCs w:val="24"/>
          <w:lang w:val="en-US"/>
        </w:rPr>
        <w:t xml:space="preserve">the </w:t>
      </w:r>
      <w:r w:rsidR="002B33A9" w:rsidRPr="002C5DE1">
        <w:rPr>
          <w:rFonts w:ascii="Times New Roman" w:hAnsi="Times New Roman" w:cs="Times New Roman"/>
          <w:color w:val="000000" w:themeColor="text1"/>
          <w:sz w:val="24"/>
          <w:szCs w:val="24"/>
          <w:lang w:val="en-US"/>
        </w:rPr>
        <w:t xml:space="preserve">US to test the effects of loss aversion or liquidity constraints. </w:t>
      </w:r>
      <w:r w:rsidR="00917F3F" w:rsidRPr="002C5DE1">
        <w:rPr>
          <w:rFonts w:ascii="Times New Roman" w:hAnsi="Times New Roman" w:cs="Times New Roman"/>
          <w:color w:val="000000" w:themeColor="text1"/>
          <w:sz w:val="24"/>
          <w:szCs w:val="24"/>
          <w:lang w:val="en-US"/>
        </w:rPr>
        <w:t>It has been shown that in the short run, a decline in income and wealth can have very substantial negative effects on consumption, and hence</w:t>
      </w:r>
      <w:r w:rsidR="00515F28" w:rsidRPr="002C5DE1">
        <w:rPr>
          <w:rFonts w:ascii="Times New Roman" w:hAnsi="Times New Roman" w:cs="Times New Roman"/>
          <w:color w:val="000000" w:themeColor="text1"/>
          <w:sz w:val="24"/>
          <w:szCs w:val="24"/>
          <w:lang w:val="en-US"/>
        </w:rPr>
        <w:t>,</w:t>
      </w:r>
      <w:r w:rsidR="00917F3F" w:rsidRPr="002C5DE1">
        <w:rPr>
          <w:rFonts w:ascii="Times New Roman" w:hAnsi="Times New Roman" w:cs="Times New Roman"/>
          <w:color w:val="000000" w:themeColor="text1"/>
          <w:sz w:val="24"/>
          <w:szCs w:val="24"/>
          <w:lang w:val="en-US"/>
        </w:rPr>
        <w:t xml:space="preserve"> on economic activity. However, in the long run, households seem to have managed to translate income and wealth increases into relatively large increases in consumption expenditure.</w:t>
      </w:r>
      <w:r w:rsidR="00515F28" w:rsidRPr="002C5DE1">
        <w:rPr>
          <w:rFonts w:ascii="Times New Roman" w:hAnsi="Times New Roman" w:cs="Times New Roman"/>
          <w:color w:val="000000" w:themeColor="text1"/>
          <w:sz w:val="24"/>
          <w:szCs w:val="24"/>
          <w:lang w:val="en-US"/>
        </w:rPr>
        <w:t xml:space="preserve"> </w:t>
      </w:r>
      <w:r w:rsidR="00F918DF" w:rsidRPr="002C5DE1">
        <w:rPr>
          <w:rFonts w:ascii="Times New Roman" w:hAnsi="Times New Roman" w:cs="Times New Roman"/>
          <w:color w:val="000000" w:themeColor="text1"/>
          <w:sz w:val="24"/>
          <w:szCs w:val="24"/>
          <w:lang w:val="en-US"/>
        </w:rPr>
        <w:t xml:space="preserve">Chen et al. (2010) </w:t>
      </w:r>
      <w:r w:rsidR="00947235" w:rsidRPr="002C5DE1">
        <w:rPr>
          <w:rFonts w:ascii="Times New Roman" w:hAnsi="Times New Roman" w:cs="Times New Roman"/>
          <w:color w:val="000000" w:themeColor="text1"/>
          <w:sz w:val="24"/>
          <w:szCs w:val="24"/>
          <w:lang w:val="en-US"/>
        </w:rPr>
        <w:t>investigate</w:t>
      </w:r>
      <w:r w:rsidR="00F918DF" w:rsidRPr="002C5DE1">
        <w:rPr>
          <w:rFonts w:ascii="Times New Roman" w:hAnsi="Times New Roman" w:cs="Times New Roman"/>
          <w:color w:val="000000" w:themeColor="text1"/>
          <w:sz w:val="24"/>
          <w:szCs w:val="24"/>
          <w:lang w:val="en-US"/>
        </w:rPr>
        <w:t xml:space="preserve"> the asymmetric effect of house prices on various categories of consumption under constrained and unconstrained regimes</w:t>
      </w:r>
      <w:r w:rsidR="00F918DF" w:rsidRPr="002C5DE1" w:rsidDel="00475A8B">
        <w:rPr>
          <w:rFonts w:ascii="Times New Roman" w:hAnsi="Times New Roman" w:cs="Times New Roman"/>
          <w:color w:val="000000" w:themeColor="text1"/>
          <w:sz w:val="24"/>
          <w:szCs w:val="24"/>
          <w:lang w:val="en-US"/>
        </w:rPr>
        <w:t xml:space="preserve"> </w:t>
      </w:r>
      <w:r w:rsidR="00F918DF" w:rsidRPr="002C5DE1">
        <w:rPr>
          <w:rFonts w:ascii="Times New Roman" w:hAnsi="Times New Roman" w:cs="Times New Roman"/>
          <w:color w:val="000000" w:themeColor="text1"/>
          <w:sz w:val="24"/>
          <w:szCs w:val="24"/>
          <w:lang w:val="en-US"/>
        </w:rPr>
        <w:t xml:space="preserve">by presenting a simple theoretical model based on </w:t>
      </w:r>
      <w:proofErr w:type="spellStart"/>
      <w:r w:rsidR="00F918DF" w:rsidRPr="002C5DE1">
        <w:rPr>
          <w:rFonts w:ascii="Times New Roman" w:hAnsi="Times New Roman" w:cs="Times New Roman"/>
          <w:color w:val="000000" w:themeColor="text1"/>
          <w:sz w:val="24"/>
          <w:szCs w:val="24"/>
          <w:lang w:val="en-US"/>
        </w:rPr>
        <w:t>Iacoviello</w:t>
      </w:r>
      <w:proofErr w:type="spellEnd"/>
      <w:r w:rsidR="00F918DF" w:rsidRPr="002C5DE1">
        <w:rPr>
          <w:rFonts w:ascii="Times New Roman" w:hAnsi="Times New Roman" w:cs="Times New Roman"/>
          <w:color w:val="000000" w:themeColor="text1"/>
          <w:sz w:val="24"/>
          <w:szCs w:val="24"/>
          <w:lang w:val="en-US"/>
        </w:rPr>
        <w:t xml:space="preserve"> (2004) and </w:t>
      </w:r>
      <w:proofErr w:type="spellStart"/>
      <w:r w:rsidR="00F918DF" w:rsidRPr="002C5DE1">
        <w:rPr>
          <w:rFonts w:ascii="Times New Roman" w:hAnsi="Times New Roman" w:cs="Times New Roman"/>
          <w:color w:val="000000" w:themeColor="text1"/>
          <w:sz w:val="24"/>
          <w:szCs w:val="24"/>
          <w:lang w:val="en-US"/>
        </w:rPr>
        <w:t>Luengo</w:t>
      </w:r>
      <w:proofErr w:type="spellEnd"/>
      <w:r w:rsidR="00F918DF" w:rsidRPr="002C5DE1">
        <w:rPr>
          <w:rFonts w:ascii="Times New Roman" w:hAnsi="Times New Roman" w:cs="Times New Roman"/>
          <w:color w:val="000000" w:themeColor="text1"/>
          <w:sz w:val="24"/>
          <w:szCs w:val="24"/>
          <w:lang w:val="en-US"/>
        </w:rPr>
        <w:t xml:space="preserve">-Prado (2006). </w:t>
      </w:r>
      <w:r w:rsidR="00947235" w:rsidRPr="002C5DE1">
        <w:rPr>
          <w:rFonts w:ascii="Times New Roman" w:hAnsi="Times New Roman" w:cs="Times New Roman"/>
          <w:color w:val="000000" w:themeColor="text1"/>
          <w:sz w:val="24"/>
          <w:szCs w:val="24"/>
          <w:lang w:val="en-US"/>
        </w:rPr>
        <w:t>The</w:t>
      </w:r>
      <w:r w:rsidR="00515F28" w:rsidRPr="002C5DE1">
        <w:rPr>
          <w:rFonts w:ascii="Times New Roman" w:hAnsi="Times New Roman" w:cs="Times New Roman"/>
          <w:color w:val="000000" w:themeColor="text1"/>
          <w:sz w:val="24"/>
          <w:szCs w:val="24"/>
          <w:lang w:val="en-US"/>
        </w:rPr>
        <w:t>ir</w:t>
      </w:r>
      <w:r w:rsidR="00947235" w:rsidRPr="002C5DE1">
        <w:rPr>
          <w:rFonts w:ascii="Times New Roman" w:hAnsi="Times New Roman" w:cs="Times New Roman"/>
          <w:color w:val="000000" w:themeColor="text1"/>
          <w:sz w:val="24"/>
          <w:szCs w:val="24"/>
          <w:lang w:val="en-US"/>
        </w:rPr>
        <w:t xml:space="preserve"> study reveals</w:t>
      </w:r>
      <w:r w:rsidR="00F918DF" w:rsidRPr="002C5DE1">
        <w:rPr>
          <w:rFonts w:ascii="Times New Roman" w:hAnsi="Times New Roman" w:cs="Times New Roman"/>
          <w:color w:val="000000" w:themeColor="text1"/>
          <w:sz w:val="24"/>
          <w:szCs w:val="24"/>
          <w:lang w:val="en-US"/>
        </w:rPr>
        <w:t xml:space="preserve"> that LC-PIH holds only under the unconstrained regime </w:t>
      </w:r>
      <w:r w:rsidR="00515F28" w:rsidRPr="002C5DE1">
        <w:rPr>
          <w:rFonts w:ascii="Times New Roman" w:hAnsi="Times New Roman" w:cs="Times New Roman"/>
          <w:color w:val="000000" w:themeColor="text1"/>
          <w:sz w:val="24"/>
          <w:szCs w:val="24"/>
          <w:lang w:val="en-US"/>
        </w:rPr>
        <w:t>through</w:t>
      </w:r>
      <w:r w:rsidR="00F918DF" w:rsidRPr="002C5DE1">
        <w:rPr>
          <w:rFonts w:ascii="Times New Roman" w:hAnsi="Times New Roman" w:cs="Times New Roman"/>
          <w:color w:val="000000" w:themeColor="text1"/>
          <w:sz w:val="24"/>
          <w:szCs w:val="24"/>
          <w:lang w:val="en-US"/>
        </w:rPr>
        <w:t xml:space="preserve"> a threshold regression model</w:t>
      </w:r>
      <w:r w:rsidR="00AA4002" w:rsidRPr="002C5DE1">
        <w:rPr>
          <w:rFonts w:ascii="Times New Roman" w:hAnsi="Times New Roman" w:cs="Times New Roman"/>
          <w:color w:val="000000" w:themeColor="text1"/>
          <w:sz w:val="24"/>
          <w:szCs w:val="24"/>
          <w:lang w:val="en-US"/>
        </w:rPr>
        <w:t xml:space="preserve"> </w:t>
      </w:r>
      <w:r w:rsidR="00CF77D3" w:rsidRPr="002C5DE1">
        <w:rPr>
          <w:rFonts w:ascii="Times New Roman" w:hAnsi="Times New Roman" w:cs="Times New Roman"/>
          <w:color w:val="000000" w:themeColor="text1"/>
          <w:sz w:val="24"/>
          <w:szCs w:val="24"/>
          <w:lang w:val="en-US"/>
        </w:rPr>
        <w:t xml:space="preserve">based on Caner and Hansen (2004) </w:t>
      </w:r>
      <w:r w:rsidR="00AA4002" w:rsidRPr="002C5DE1">
        <w:rPr>
          <w:rFonts w:ascii="Times New Roman" w:hAnsi="Times New Roman" w:cs="Times New Roman"/>
          <w:color w:val="000000" w:themeColor="text1"/>
          <w:sz w:val="24"/>
          <w:szCs w:val="24"/>
          <w:lang w:val="en-US"/>
        </w:rPr>
        <w:t xml:space="preserve">and </w:t>
      </w:r>
      <w:r w:rsidR="00515F28" w:rsidRPr="002C5DE1">
        <w:rPr>
          <w:rFonts w:ascii="Times New Roman" w:hAnsi="Times New Roman" w:cs="Times New Roman"/>
          <w:color w:val="000000" w:themeColor="text1"/>
          <w:sz w:val="24"/>
          <w:szCs w:val="24"/>
          <w:lang w:val="en-US"/>
        </w:rPr>
        <w:t xml:space="preserve">a </w:t>
      </w:r>
      <w:r w:rsidR="00FD360D" w:rsidRPr="002C5DE1">
        <w:rPr>
          <w:rFonts w:ascii="Times New Roman" w:hAnsi="Times New Roman" w:cs="Times New Roman"/>
          <w:color w:val="000000" w:themeColor="text1"/>
          <w:sz w:val="24"/>
          <w:szCs w:val="24"/>
          <w:lang w:val="en-US"/>
        </w:rPr>
        <w:t>seasonal error-correction model (</w:t>
      </w:r>
      <w:r w:rsidR="00AA4002" w:rsidRPr="002C5DE1">
        <w:rPr>
          <w:rFonts w:ascii="Times New Roman" w:hAnsi="Times New Roman" w:cs="Times New Roman"/>
          <w:color w:val="000000" w:themeColor="text1"/>
          <w:sz w:val="24"/>
          <w:szCs w:val="24"/>
          <w:lang w:val="en-US"/>
        </w:rPr>
        <w:t>ECM</w:t>
      </w:r>
      <w:r w:rsidR="00FD360D" w:rsidRPr="002C5DE1">
        <w:rPr>
          <w:rFonts w:ascii="Times New Roman" w:hAnsi="Times New Roman" w:cs="Times New Roman"/>
          <w:color w:val="000000" w:themeColor="text1"/>
          <w:sz w:val="24"/>
          <w:szCs w:val="24"/>
          <w:lang w:val="en-US"/>
        </w:rPr>
        <w:t>)</w:t>
      </w:r>
      <w:r w:rsidR="00CF77D3" w:rsidRPr="002C5DE1">
        <w:rPr>
          <w:rFonts w:ascii="Times New Roman" w:hAnsi="Times New Roman" w:cs="Times New Roman"/>
          <w:color w:val="000000" w:themeColor="text1"/>
          <w:sz w:val="24"/>
          <w:szCs w:val="24"/>
          <w:lang w:val="en-US"/>
        </w:rPr>
        <w:t xml:space="preserve"> based on Johansen and Schaumberg (1999)</w:t>
      </w:r>
      <w:r w:rsidR="00F918DF" w:rsidRPr="002C5DE1">
        <w:rPr>
          <w:rFonts w:ascii="Times New Roman" w:hAnsi="Times New Roman" w:cs="Times New Roman"/>
          <w:color w:val="000000" w:themeColor="text1"/>
          <w:sz w:val="24"/>
          <w:szCs w:val="24"/>
          <w:lang w:val="en-US"/>
        </w:rPr>
        <w:t>. Moreover, the</w:t>
      </w:r>
      <w:r w:rsidR="00515F28" w:rsidRPr="002C5DE1">
        <w:rPr>
          <w:rFonts w:ascii="Times New Roman" w:hAnsi="Times New Roman" w:cs="Times New Roman"/>
          <w:color w:val="000000" w:themeColor="text1"/>
          <w:sz w:val="24"/>
          <w:szCs w:val="24"/>
          <w:lang w:val="en-US"/>
        </w:rPr>
        <w:t>ir</w:t>
      </w:r>
      <w:r w:rsidR="00F918DF" w:rsidRPr="002C5DE1">
        <w:rPr>
          <w:rFonts w:ascii="Times New Roman" w:hAnsi="Times New Roman" w:cs="Times New Roman"/>
          <w:color w:val="000000" w:themeColor="text1"/>
          <w:sz w:val="24"/>
          <w:szCs w:val="24"/>
          <w:lang w:val="en-US"/>
        </w:rPr>
        <w:t xml:space="preserve"> findings imply that durable </w:t>
      </w:r>
      <w:r w:rsidR="00F918DF" w:rsidRPr="002C5DE1">
        <w:rPr>
          <w:rFonts w:ascii="Times New Roman" w:hAnsi="Times New Roman" w:cs="Times New Roman"/>
          <w:color w:val="000000" w:themeColor="text1"/>
          <w:sz w:val="24"/>
          <w:szCs w:val="24"/>
          <w:lang w:val="en-US"/>
        </w:rPr>
        <w:lastRenderedPageBreak/>
        <w:t>consumption exhibit</w:t>
      </w:r>
      <w:r w:rsidR="00515F28" w:rsidRPr="002C5DE1">
        <w:rPr>
          <w:rFonts w:ascii="Times New Roman" w:hAnsi="Times New Roman" w:cs="Times New Roman"/>
          <w:color w:val="000000" w:themeColor="text1"/>
          <w:sz w:val="24"/>
          <w:szCs w:val="24"/>
          <w:lang w:val="en-US"/>
        </w:rPr>
        <w:t>s</w:t>
      </w:r>
      <w:r w:rsidR="00F918DF" w:rsidRPr="002C5DE1">
        <w:rPr>
          <w:rFonts w:ascii="Times New Roman" w:hAnsi="Times New Roman" w:cs="Times New Roman"/>
          <w:color w:val="000000" w:themeColor="text1"/>
          <w:sz w:val="24"/>
          <w:szCs w:val="24"/>
          <w:lang w:val="en-US"/>
        </w:rPr>
        <w:t xml:space="preserve"> a very strong asymmetric effect in response to changes in house prices, while other categories of consumption do not </w:t>
      </w:r>
      <w:r w:rsidR="00515F28" w:rsidRPr="002C5DE1">
        <w:rPr>
          <w:rFonts w:ascii="Times New Roman" w:hAnsi="Times New Roman" w:cs="Times New Roman"/>
          <w:color w:val="000000" w:themeColor="text1"/>
          <w:sz w:val="24"/>
          <w:szCs w:val="24"/>
          <w:lang w:val="en-US"/>
        </w:rPr>
        <w:t>support</w:t>
      </w:r>
      <w:r w:rsidR="00F918DF" w:rsidRPr="002C5DE1">
        <w:rPr>
          <w:rFonts w:ascii="Times New Roman" w:hAnsi="Times New Roman" w:cs="Times New Roman"/>
          <w:color w:val="000000" w:themeColor="text1"/>
          <w:sz w:val="24"/>
          <w:szCs w:val="24"/>
          <w:lang w:val="en-US"/>
        </w:rPr>
        <w:t xml:space="preserve"> this asymmetry.</w:t>
      </w:r>
      <w:r w:rsidR="00F918DF" w:rsidRPr="002C5DE1" w:rsidDel="00475A8B">
        <w:rPr>
          <w:rFonts w:ascii="Times New Roman" w:hAnsi="Times New Roman" w:cs="Times New Roman"/>
          <w:color w:val="000000" w:themeColor="text1"/>
          <w:sz w:val="24"/>
          <w:szCs w:val="24"/>
          <w:lang w:val="en-US"/>
        </w:rPr>
        <w:t xml:space="preserve"> </w:t>
      </w:r>
    </w:p>
    <w:p w14:paraId="379DA68F" w14:textId="77777777" w:rsidR="00B328C5" w:rsidRPr="002C5DE1" w:rsidRDefault="00947235" w:rsidP="008E588C">
      <w:pPr>
        <w:spacing w:after="120" w:line="276" w:lineRule="auto"/>
        <w:ind w:firstLine="357"/>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To determine the effects of age,</w:t>
      </w:r>
      <w:r w:rsidR="00B328C5" w:rsidRPr="002C5DE1">
        <w:rPr>
          <w:rFonts w:ascii="Times New Roman" w:hAnsi="Times New Roman" w:cs="Times New Roman"/>
          <w:color w:val="000000" w:themeColor="text1"/>
          <w:sz w:val="24"/>
          <w:szCs w:val="24"/>
          <w:lang w:val="en-US"/>
        </w:rPr>
        <w:t xml:space="preserve"> </w:t>
      </w:r>
      <w:proofErr w:type="spellStart"/>
      <w:r w:rsidR="00B328C5" w:rsidRPr="002C5DE1">
        <w:rPr>
          <w:rFonts w:ascii="Times New Roman" w:hAnsi="Times New Roman" w:cs="Times New Roman"/>
          <w:color w:val="000000" w:themeColor="text1"/>
          <w:sz w:val="24"/>
          <w:szCs w:val="24"/>
          <w:lang w:val="en-US"/>
        </w:rPr>
        <w:t>Tobing</w:t>
      </w:r>
      <w:proofErr w:type="spellEnd"/>
      <w:r w:rsidR="00B328C5" w:rsidRPr="002C5DE1">
        <w:rPr>
          <w:rFonts w:ascii="Times New Roman" w:hAnsi="Times New Roman" w:cs="Times New Roman"/>
          <w:color w:val="000000" w:themeColor="text1"/>
          <w:sz w:val="24"/>
          <w:szCs w:val="24"/>
          <w:lang w:val="en-US"/>
        </w:rPr>
        <w:t xml:space="preserve"> (2012)</w:t>
      </w:r>
      <w:r w:rsidRPr="002C5DE1">
        <w:rPr>
          <w:rFonts w:ascii="Times New Roman" w:hAnsi="Times New Roman" w:cs="Times New Roman"/>
          <w:color w:val="000000" w:themeColor="text1"/>
          <w:sz w:val="24"/>
          <w:szCs w:val="24"/>
          <w:lang w:val="en-US"/>
        </w:rPr>
        <w:t xml:space="preserve"> examine</w:t>
      </w:r>
      <w:r w:rsidR="00515F28" w:rsidRPr="002C5DE1">
        <w:rPr>
          <w:rFonts w:ascii="Times New Roman" w:hAnsi="Times New Roman" w:cs="Times New Roman"/>
          <w:color w:val="000000" w:themeColor="text1"/>
          <w:sz w:val="24"/>
          <w:szCs w:val="24"/>
          <w:lang w:val="en-US"/>
        </w:rPr>
        <w:t>s</w:t>
      </w:r>
      <w:r w:rsidR="00B328C5" w:rsidRPr="002C5DE1">
        <w:rPr>
          <w:rFonts w:ascii="Times New Roman" w:hAnsi="Times New Roman" w:cs="Times New Roman"/>
          <w:color w:val="000000" w:themeColor="text1"/>
          <w:sz w:val="24"/>
          <w:szCs w:val="24"/>
          <w:lang w:val="en-US"/>
        </w:rPr>
        <w:t xml:space="preserve"> whether the marginal propensity to consume out of housing wealth is constant across age. </w:t>
      </w:r>
      <w:r w:rsidR="00515F28" w:rsidRPr="002C5DE1">
        <w:rPr>
          <w:rFonts w:ascii="Times New Roman" w:hAnsi="Times New Roman" w:cs="Times New Roman"/>
          <w:color w:val="000000" w:themeColor="text1"/>
          <w:sz w:val="24"/>
          <w:szCs w:val="24"/>
          <w:lang w:val="en-US"/>
        </w:rPr>
        <w:t>His</w:t>
      </w:r>
      <w:r w:rsidR="00B328C5" w:rsidRPr="002C5DE1">
        <w:rPr>
          <w:rFonts w:ascii="Times New Roman" w:hAnsi="Times New Roman" w:cs="Times New Roman"/>
          <w:color w:val="000000" w:themeColor="text1"/>
          <w:sz w:val="24"/>
          <w:szCs w:val="24"/>
          <w:lang w:val="en-US"/>
        </w:rPr>
        <w:t xml:space="preserve"> study </w:t>
      </w:r>
      <w:r w:rsidR="00515F28" w:rsidRPr="002C5DE1">
        <w:rPr>
          <w:rFonts w:ascii="Times New Roman" w:hAnsi="Times New Roman" w:cs="Times New Roman"/>
          <w:color w:val="000000" w:themeColor="text1"/>
          <w:sz w:val="24"/>
          <w:szCs w:val="24"/>
          <w:lang w:val="en-US"/>
        </w:rPr>
        <w:t xml:space="preserve">applies </w:t>
      </w:r>
      <w:r w:rsidR="00B328C5" w:rsidRPr="002C5DE1">
        <w:rPr>
          <w:rFonts w:ascii="Times New Roman" w:hAnsi="Times New Roman" w:cs="Times New Roman"/>
          <w:color w:val="000000" w:themeColor="text1"/>
          <w:sz w:val="24"/>
          <w:szCs w:val="24"/>
          <w:lang w:val="en-US"/>
        </w:rPr>
        <w:t>threshold estimation</w:t>
      </w:r>
      <w:r w:rsidR="00515F28" w:rsidRPr="002C5DE1">
        <w:rPr>
          <w:rFonts w:ascii="Times New Roman" w:hAnsi="Times New Roman" w:cs="Times New Roman"/>
          <w:color w:val="000000" w:themeColor="text1"/>
          <w:sz w:val="24"/>
          <w:szCs w:val="24"/>
          <w:lang w:val="en-US"/>
        </w:rPr>
        <w:t>s,</w:t>
      </w:r>
      <w:r w:rsidR="00B328C5" w:rsidRPr="002C5DE1">
        <w:rPr>
          <w:rFonts w:ascii="Times New Roman" w:hAnsi="Times New Roman" w:cs="Times New Roman"/>
          <w:color w:val="000000" w:themeColor="text1"/>
          <w:sz w:val="24"/>
          <w:szCs w:val="24"/>
          <w:lang w:val="en-US"/>
        </w:rPr>
        <w:t xml:space="preserve"> as in Hansen (1999)</w:t>
      </w:r>
      <w:r w:rsidR="00515F28" w:rsidRPr="002C5DE1">
        <w:rPr>
          <w:rFonts w:ascii="Times New Roman" w:hAnsi="Times New Roman" w:cs="Times New Roman"/>
          <w:color w:val="000000" w:themeColor="text1"/>
          <w:sz w:val="24"/>
          <w:szCs w:val="24"/>
          <w:lang w:val="en-US"/>
        </w:rPr>
        <w:t>,</w:t>
      </w:r>
      <w:r w:rsidR="00B328C5" w:rsidRPr="002C5DE1">
        <w:rPr>
          <w:rFonts w:ascii="Times New Roman" w:hAnsi="Times New Roman" w:cs="Times New Roman"/>
          <w:color w:val="000000" w:themeColor="text1"/>
          <w:sz w:val="24"/>
          <w:szCs w:val="24"/>
          <w:lang w:val="en-US"/>
        </w:rPr>
        <w:t xml:space="preserve"> to investigate the presence of threshold effects with respect to age. </w:t>
      </w:r>
      <w:r w:rsidR="00515F28" w:rsidRPr="002C5DE1">
        <w:rPr>
          <w:rFonts w:ascii="Times New Roman" w:hAnsi="Times New Roman" w:cs="Times New Roman"/>
          <w:color w:val="000000" w:themeColor="text1"/>
          <w:sz w:val="24"/>
          <w:szCs w:val="24"/>
          <w:lang w:val="en-US"/>
        </w:rPr>
        <w:t>His</w:t>
      </w:r>
      <w:r w:rsidR="00464561" w:rsidRPr="002C5DE1">
        <w:rPr>
          <w:rFonts w:ascii="Times New Roman" w:hAnsi="Times New Roman" w:cs="Times New Roman"/>
          <w:color w:val="000000" w:themeColor="text1"/>
          <w:sz w:val="24"/>
          <w:szCs w:val="24"/>
          <w:lang w:val="en-US"/>
        </w:rPr>
        <w:t xml:space="preserve"> results imply that there are three significant threshold age groups</w:t>
      </w:r>
      <w:r w:rsidR="00C65D72" w:rsidRPr="002C5DE1">
        <w:rPr>
          <w:rFonts w:ascii="Times New Roman" w:hAnsi="Times New Roman" w:cs="Times New Roman"/>
          <w:color w:val="000000" w:themeColor="text1"/>
          <w:sz w:val="24"/>
          <w:szCs w:val="24"/>
          <w:lang w:val="en-US"/>
        </w:rPr>
        <w:t>, those of</w:t>
      </w:r>
      <w:r w:rsidR="00464561" w:rsidRPr="002C5DE1">
        <w:rPr>
          <w:rFonts w:ascii="Times New Roman" w:hAnsi="Times New Roman" w:cs="Times New Roman"/>
          <w:color w:val="000000" w:themeColor="text1"/>
          <w:sz w:val="24"/>
          <w:szCs w:val="24"/>
          <w:lang w:val="en-US"/>
        </w:rPr>
        <w:t xml:space="preserve"> 49, 55 and 65. </w:t>
      </w:r>
      <w:r w:rsidRPr="002C5DE1">
        <w:rPr>
          <w:rFonts w:ascii="Times New Roman" w:hAnsi="Times New Roman" w:cs="Times New Roman"/>
          <w:color w:val="000000" w:themeColor="text1"/>
          <w:sz w:val="24"/>
          <w:szCs w:val="24"/>
          <w:lang w:val="en-US"/>
        </w:rPr>
        <w:t>It has been suggested that f</w:t>
      </w:r>
      <w:r w:rsidR="00225810" w:rsidRPr="002C5DE1">
        <w:rPr>
          <w:rFonts w:ascii="Times New Roman" w:hAnsi="Times New Roman" w:cs="Times New Roman"/>
          <w:color w:val="000000" w:themeColor="text1"/>
          <w:sz w:val="24"/>
          <w:szCs w:val="24"/>
          <w:lang w:val="en-US"/>
        </w:rPr>
        <w:t>or individuals aged between 49 and 55, a</w:t>
      </w:r>
      <w:r w:rsidR="00464561" w:rsidRPr="002C5DE1">
        <w:rPr>
          <w:rFonts w:ascii="Times New Roman" w:hAnsi="Times New Roman" w:cs="Times New Roman"/>
          <w:color w:val="000000" w:themeColor="text1"/>
          <w:sz w:val="24"/>
          <w:szCs w:val="24"/>
          <w:lang w:val="en-US"/>
        </w:rPr>
        <w:t>n increase in housing wealth by $1 increases consumption by 2.9 cents</w:t>
      </w:r>
      <w:r w:rsidR="00C65D72" w:rsidRPr="002C5DE1">
        <w:rPr>
          <w:rFonts w:ascii="Times New Roman" w:hAnsi="Times New Roman" w:cs="Times New Roman"/>
          <w:color w:val="000000" w:themeColor="text1"/>
          <w:sz w:val="24"/>
          <w:szCs w:val="24"/>
          <w:lang w:val="en-US"/>
        </w:rPr>
        <w:t>, while it</w:t>
      </w:r>
      <w:r w:rsidR="00464561" w:rsidRPr="002C5DE1">
        <w:rPr>
          <w:rFonts w:ascii="Times New Roman" w:hAnsi="Times New Roman" w:cs="Times New Roman"/>
          <w:color w:val="000000" w:themeColor="text1"/>
          <w:sz w:val="24"/>
          <w:szCs w:val="24"/>
          <w:lang w:val="en-US"/>
        </w:rPr>
        <w:t xml:space="preserve"> reduces consumption by 2.3 cents for individuals older than 65 years. If age is below 49 and between 55 and 65 years, the effect of housing wealth on consumption is insignificant. </w:t>
      </w:r>
    </w:p>
    <w:p w14:paraId="360B9604" w14:textId="77777777" w:rsidR="00926C3B" w:rsidRPr="002C5DE1" w:rsidRDefault="002C610B" w:rsidP="008E588C">
      <w:pPr>
        <w:spacing w:after="120" w:line="276" w:lineRule="auto"/>
        <w:ind w:firstLine="357"/>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 xml:space="preserve">In an analysis of </w:t>
      </w:r>
      <w:r w:rsidR="00C65D72" w:rsidRPr="002C5DE1">
        <w:rPr>
          <w:rFonts w:ascii="Times New Roman" w:hAnsi="Times New Roman" w:cs="Times New Roman"/>
          <w:color w:val="000000" w:themeColor="text1"/>
          <w:sz w:val="24"/>
          <w:szCs w:val="24"/>
          <w:lang w:val="en-US"/>
        </w:rPr>
        <w:t xml:space="preserve">the </w:t>
      </w:r>
      <w:r w:rsidRPr="002C5DE1">
        <w:rPr>
          <w:rFonts w:ascii="Times New Roman" w:hAnsi="Times New Roman" w:cs="Times New Roman"/>
          <w:color w:val="000000" w:themeColor="text1"/>
          <w:sz w:val="24"/>
          <w:szCs w:val="24"/>
          <w:lang w:val="en-US"/>
        </w:rPr>
        <w:t>housing wealth effect on private consumption in European post-transition countries (</w:t>
      </w:r>
      <w:r w:rsidR="00C65D72" w:rsidRPr="002C5DE1">
        <w:rPr>
          <w:rFonts w:ascii="Times New Roman" w:hAnsi="Times New Roman" w:cs="Times New Roman"/>
          <w:color w:val="000000" w:themeColor="text1"/>
          <w:sz w:val="24"/>
          <w:szCs w:val="24"/>
          <w:lang w:val="en-US"/>
        </w:rPr>
        <w:t xml:space="preserve">i.e., </w:t>
      </w:r>
      <w:r w:rsidRPr="002C5DE1">
        <w:rPr>
          <w:rFonts w:ascii="Times New Roman" w:hAnsi="Times New Roman" w:cs="Times New Roman"/>
          <w:color w:val="000000" w:themeColor="text1"/>
          <w:sz w:val="24"/>
          <w:szCs w:val="24"/>
          <w:lang w:val="en-US"/>
        </w:rPr>
        <w:t xml:space="preserve">Bulgaria, Croatia, Estonia and Czech Republic), </w:t>
      </w:r>
      <w:proofErr w:type="spellStart"/>
      <w:r w:rsidR="00EC1F23" w:rsidRPr="002C5DE1">
        <w:rPr>
          <w:rFonts w:ascii="Times New Roman" w:hAnsi="Times New Roman" w:cs="Times New Roman"/>
          <w:color w:val="000000" w:themeColor="text1"/>
          <w:sz w:val="24"/>
          <w:szCs w:val="24"/>
          <w:lang w:val="en-US"/>
        </w:rPr>
        <w:t>Šonje</w:t>
      </w:r>
      <w:proofErr w:type="spellEnd"/>
      <w:r w:rsidRPr="002C5DE1">
        <w:rPr>
          <w:rFonts w:ascii="Times New Roman" w:hAnsi="Times New Roman" w:cs="Times New Roman"/>
          <w:color w:val="000000" w:themeColor="text1"/>
          <w:sz w:val="24"/>
          <w:szCs w:val="24"/>
          <w:lang w:val="en-US"/>
        </w:rPr>
        <w:t xml:space="preserve"> et al. (2012) </w:t>
      </w:r>
      <w:r w:rsidR="00D41CB3" w:rsidRPr="002C5DE1">
        <w:rPr>
          <w:rFonts w:ascii="Times New Roman" w:hAnsi="Times New Roman" w:cs="Times New Roman"/>
          <w:color w:val="000000" w:themeColor="text1"/>
          <w:sz w:val="24"/>
          <w:szCs w:val="24"/>
          <w:lang w:val="en-US"/>
        </w:rPr>
        <w:t xml:space="preserve">apply vector error correction and threshold error correction models to </w:t>
      </w:r>
      <w:proofErr w:type="spellStart"/>
      <w:r w:rsidR="00496E72" w:rsidRPr="002C5DE1">
        <w:rPr>
          <w:rFonts w:ascii="Times New Roman" w:hAnsi="Times New Roman" w:cs="Times New Roman"/>
          <w:color w:val="000000" w:themeColor="text1"/>
          <w:sz w:val="24"/>
          <w:szCs w:val="24"/>
          <w:lang w:val="en-US"/>
        </w:rPr>
        <w:t>analyse</w:t>
      </w:r>
      <w:proofErr w:type="spellEnd"/>
      <w:r w:rsidR="00496E72" w:rsidRPr="002C5DE1">
        <w:rPr>
          <w:rFonts w:ascii="Times New Roman" w:hAnsi="Times New Roman" w:cs="Times New Roman"/>
          <w:color w:val="000000" w:themeColor="text1"/>
          <w:sz w:val="24"/>
          <w:szCs w:val="24"/>
          <w:lang w:val="en-US"/>
        </w:rPr>
        <w:t xml:space="preserve"> the </w:t>
      </w:r>
      <w:r w:rsidR="00D41CB3" w:rsidRPr="002C5DE1">
        <w:rPr>
          <w:rFonts w:ascii="Times New Roman" w:hAnsi="Times New Roman" w:cs="Times New Roman"/>
          <w:color w:val="000000" w:themeColor="text1"/>
          <w:sz w:val="24"/>
          <w:szCs w:val="24"/>
          <w:lang w:val="en-US"/>
        </w:rPr>
        <w:t>threshold impacts of changes in housing wealth and to determine</w:t>
      </w:r>
      <w:r w:rsidR="00496E72" w:rsidRPr="002C5DE1">
        <w:rPr>
          <w:rFonts w:ascii="Times New Roman" w:hAnsi="Times New Roman" w:cs="Times New Roman"/>
          <w:color w:val="000000" w:themeColor="text1"/>
          <w:sz w:val="24"/>
          <w:szCs w:val="24"/>
          <w:lang w:val="en-US"/>
        </w:rPr>
        <w:t xml:space="preserve"> the</w:t>
      </w:r>
      <w:r w:rsidR="00D41CB3" w:rsidRPr="002C5DE1">
        <w:rPr>
          <w:rFonts w:ascii="Times New Roman" w:hAnsi="Times New Roman" w:cs="Times New Roman"/>
          <w:color w:val="000000" w:themeColor="text1"/>
          <w:sz w:val="24"/>
          <w:szCs w:val="24"/>
          <w:lang w:val="en-US"/>
        </w:rPr>
        <w:t xml:space="preserve"> short- and long-run marginal propensities to consume out of housing wealth.</w:t>
      </w:r>
      <w:r w:rsidR="00C73032" w:rsidRPr="002C5DE1">
        <w:rPr>
          <w:rFonts w:ascii="Times New Roman" w:hAnsi="Times New Roman" w:cs="Times New Roman"/>
          <w:color w:val="000000" w:themeColor="text1"/>
          <w:sz w:val="24"/>
          <w:szCs w:val="24"/>
          <w:lang w:val="en-US"/>
        </w:rPr>
        <w:t xml:space="preserve"> According to the</w:t>
      </w:r>
      <w:r w:rsidR="00C65D72" w:rsidRPr="002C5DE1">
        <w:rPr>
          <w:rFonts w:ascii="Times New Roman" w:hAnsi="Times New Roman" w:cs="Times New Roman"/>
          <w:color w:val="000000" w:themeColor="text1"/>
          <w:sz w:val="24"/>
          <w:szCs w:val="24"/>
          <w:lang w:val="en-US"/>
        </w:rPr>
        <w:t>ir</w:t>
      </w:r>
      <w:r w:rsidR="00C73032" w:rsidRPr="002C5DE1">
        <w:rPr>
          <w:rFonts w:ascii="Times New Roman" w:hAnsi="Times New Roman" w:cs="Times New Roman"/>
          <w:color w:val="000000" w:themeColor="text1"/>
          <w:sz w:val="24"/>
          <w:szCs w:val="24"/>
          <w:lang w:val="en-US"/>
        </w:rPr>
        <w:t xml:space="preserve"> findings, the response of private consumption to changes in income and housing wealth is </w:t>
      </w:r>
      <w:r w:rsidR="00700218" w:rsidRPr="002C5DE1">
        <w:rPr>
          <w:rFonts w:ascii="Times New Roman" w:hAnsi="Times New Roman" w:cs="Times New Roman"/>
          <w:color w:val="000000" w:themeColor="text1"/>
          <w:sz w:val="24"/>
          <w:szCs w:val="24"/>
          <w:lang w:val="en-US"/>
        </w:rPr>
        <w:t>characterized</w:t>
      </w:r>
      <w:r w:rsidR="00C73032" w:rsidRPr="002C5DE1">
        <w:rPr>
          <w:rFonts w:ascii="Times New Roman" w:hAnsi="Times New Roman" w:cs="Times New Roman"/>
          <w:color w:val="000000" w:themeColor="text1"/>
          <w:sz w:val="24"/>
          <w:szCs w:val="24"/>
          <w:lang w:val="en-US"/>
        </w:rPr>
        <w:t xml:space="preserve"> by non</w:t>
      </w:r>
      <w:r w:rsidR="00C65D72" w:rsidRPr="002C5DE1">
        <w:rPr>
          <w:rFonts w:ascii="Times New Roman" w:hAnsi="Times New Roman" w:cs="Times New Roman"/>
          <w:color w:val="000000" w:themeColor="text1"/>
          <w:sz w:val="24"/>
          <w:szCs w:val="24"/>
          <w:lang w:val="en-US"/>
        </w:rPr>
        <w:t>-</w:t>
      </w:r>
      <w:r w:rsidR="00C73032" w:rsidRPr="002C5DE1">
        <w:rPr>
          <w:rFonts w:ascii="Times New Roman" w:hAnsi="Times New Roman" w:cs="Times New Roman"/>
          <w:color w:val="000000" w:themeColor="text1"/>
          <w:sz w:val="24"/>
          <w:szCs w:val="24"/>
          <w:lang w:val="en-US"/>
        </w:rPr>
        <w:t xml:space="preserve">linear </w:t>
      </w:r>
      <w:r w:rsidR="007B1CE4" w:rsidRPr="002C5DE1">
        <w:rPr>
          <w:rFonts w:ascii="Times New Roman" w:hAnsi="Times New Roman" w:cs="Times New Roman"/>
          <w:color w:val="000000" w:themeColor="text1"/>
          <w:sz w:val="24"/>
          <w:szCs w:val="24"/>
          <w:lang w:val="en-US"/>
        </w:rPr>
        <w:t>properties in three countries (</w:t>
      </w:r>
      <w:r w:rsidR="00C65D72" w:rsidRPr="002C5DE1">
        <w:rPr>
          <w:rFonts w:ascii="Times New Roman" w:hAnsi="Times New Roman" w:cs="Times New Roman"/>
          <w:color w:val="000000" w:themeColor="text1"/>
          <w:sz w:val="24"/>
          <w:szCs w:val="24"/>
          <w:lang w:val="en-US"/>
        </w:rPr>
        <w:t xml:space="preserve">i.e., </w:t>
      </w:r>
      <w:r w:rsidR="007B1CE4" w:rsidRPr="002C5DE1">
        <w:rPr>
          <w:rFonts w:ascii="Times New Roman" w:hAnsi="Times New Roman" w:cs="Times New Roman"/>
          <w:color w:val="000000" w:themeColor="text1"/>
          <w:sz w:val="24"/>
          <w:szCs w:val="24"/>
          <w:lang w:val="en-US"/>
        </w:rPr>
        <w:t xml:space="preserve">Bulgaria, Croatia and Estonia). </w:t>
      </w:r>
      <w:r w:rsidR="00254425" w:rsidRPr="002C5DE1">
        <w:rPr>
          <w:rFonts w:ascii="Times New Roman" w:hAnsi="Times New Roman" w:cs="Times New Roman"/>
          <w:color w:val="000000" w:themeColor="text1"/>
          <w:sz w:val="24"/>
          <w:szCs w:val="24"/>
          <w:lang w:val="en-US"/>
        </w:rPr>
        <w:t xml:space="preserve">Marquez et al., (2013) investigate the </w:t>
      </w:r>
      <w:r w:rsidR="00C65D72" w:rsidRPr="002C5DE1">
        <w:rPr>
          <w:rFonts w:ascii="Times New Roman" w:hAnsi="Times New Roman" w:cs="Times New Roman"/>
          <w:color w:val="000000" w:themeColor="text1"/>
          <w:sz w:val="24"/>
          <w:szCs w:val="24"/>
          <w:lang w:val="en-US"/>
        </w:rPr>
        <w:t>presence</w:t>
      </w:r>
      <w:r w:rsidR="00254425" w:rsidRPr="002C5DE1">
        <w:rPr>
          <w:rFonts w:ascii="Times New Roman" w:hAnsi="Times New Roman" w:cs="Times New Roman"/>
          <w:color w:val="000000" w:themeColor="text1"/>
          <w:sz w:val="24"/>
          <w:szCs w:val="24"/>
          <w:lang w:val="en-US"/>
        </w:rPr>
        <w:t xml:space="preserve"> of wealth effects in the UK economy, taking into account the credit conditions of financial markets and whether consumption responds asymmetrically to positive or negative financial and housing wealth shocks by employing </w:t>
      </w:r>
      <w:r w:rsidR="0079554B" w:rsidRPr="002C5DE1">
        <w:rPr>
          <w:rFonts w:ascii="Times New Roman" w:hAnsi="Times New Roman" w:cs="Times New Roman"/>
          <w:color w:val="000000" w:themeColor="text1"/>
          <w:sz w:val="24"/>
          <w:szCs w:val="24"/>
          <w:lang w:val="en-US"/>
        </w:rPr>
        <w:t xml:space="preserve">M-TAR methodology </w:t>
      </w:r>
      <w:r w:rsidR="00C65D72" w:rsidRPr="002C5DE1">
        <w:rPr>
          <w:rFonts w:ascii="Times New Roman" w:hAnsi="Times New Roman" w:cs="Times New Roman"/>
          <w:color w:val="000000" w:themeColor="text1"/>
          <w:sz w:val="24"/>
          <w:szCs w:val="24"/>
          <w:lang w:val="en-US"/>
        </w:rPr>
        <w:t>(as in</w:t>
      </w:r>
      <w:r w:rsidR="0079554B" w:rsidRPr="002C5DE1">
        <w:rPr>
          <w:rFonts w:ascii="Times New Roman" w:hAnsi="Times New Roman" w:cs="Times New Roman"/>
          <w:color w:val="000000" w:themeColor="text1"/>
          <w:sz w:val="24"/>
          <w:szCs w:val="24"/>
          <w:lang w:val="en-US"/>
        </w:rPr>
        <w:t xml:space="preserve"> Enders and </w:t>
      </w:r>
      <w:proofErr w:type="spellStart"/>
      <w:r w:rsidR="0079554B" w:rsidRPr="002C5DE1">
        <w:rPr>
          <w:rFonts w:ascii="Times New Roman" w:hAnsi="Times New Roman" w:cs="Times New Roman"/>
          <w:color w:val="000000" w:themeColor="text1"/>
          <w:sz w:val="24"/>
          <w:szCs w:val="24"/>
          <w:lang w:val="en-US"/>
        </w:rPr>
        <w:t>Siklos</w:t>
      </w:r>
      <w:proofErr w:type="spellEnd"/>
      <w:r w:rsidR="0079554B" w:rsidRPr="002C5DE1">
        <w:rPr>
          <w:rFonts w:ascii="Times New Roman" w:hAnsi="Times New Roman" w:cs="Times New Roman"/>
          <w:color w:val="000000" w:themeColor="text1"/>
          <w:sz w:val="24"/>
          <w:szCs w:val="24"/>
          <w:lang w:val="en-US"/>
        </w:rPr>
        <w:t xml:space="preserve"> (2001) and </w:t>
      </w:r>
      <w:proofErr w:type="spellStart"/>
      <w:r w:rsidR="0079554B" w:rsidRPr="002C5DE1">
        <w:rPr>
          <w:rFonts w:ascii="Times New Roman" w:hAnsi="Times New Roman" w:cs="Times New Roman"/>
          <w:color w:val="000000" w:themeColor="text1"/>
          <w:sz w:val="24"/>
          <w:szCs w:val="24"/>
          <w:lang w:val="en-US"/>
        </w:rPr>
        <w:t>Stevans</w:t>
      </w:r>
      <w:proofErr w:type="spellEnd"/>
      <w:r w:rsidR="0079554B" w:rsidRPr="002C5DE1">
        <w:rPr>
          <w:rFonts w:ascii="Times New Roman" w:hAnsi="Times New Roman" w:cs="Times New Roman"/>
          <w:color w:val="000000" w:themeColor="text1"/>
          <w:sz w:val="24"/>
          <w:szCs w:val="24"/>
          <w:lang w:val="en-US"/>
        </w:rPr>
        <w:t xml:space="preserve"> (2004)</w:t>
      </w:r>
      <w:r w:rsidR="00C65D72" w:rsidRPr="002C5DE1">
        <w:rPr>
          <w:rFonts w:ascii="Times New Roman" w:hAnsi="Times New Roman" w:cs="Times New Roman"/>
          <w:color w:val="000000" w:themeColor="text1"/>
          <w:sz w:val="24"/>
          <w:szCs w:val="24"/>
          <w:lang w:val="en-US"/>
        </w:rPr>
        <w:t>)</w:t>
      </w:r>
      <w:r w:rsidR="0079554B" w:rsidRPr="002C5DE1">
        <w:rPr>
          <w:rFonts w:ascii="Times New Roman" w:hAnsi="Times New Roman" w:cs="Times New Roman"/>
          <w:color w:val="000000" w:themeColor="text1"/>
          <w:sz w:val="24"/>
          <w:szCs w:val="24"/>
          <w:lang w:val="en-US"/>
        </w:rPr>
        <w:t xml:space="preserve">. </w:t>
      </w:r>
      <w:r w:rsidR="0021188E" w:rsidRPr="002C5DE1">
        <w:rPr>
          <w:rFonts w:ascii="Times New Roman" w:hAnsi="Times New Roman" w:cs="Times New Roman"/>
          <w:color w:val="000000" w:themeColor="text1"/>
          <w:sz w:val="24"/>
          <w:szCs w:val="24"/>
          <w:lang w:val="en-US"/>
        </w:rPr>
        <w:t>The</w:t>
      </w:r>
      <w:r w:rsidR="00C65D72" w:rsidRPr="002C5DE1">
        <w:rPr>
          <w:rFonts w:ascii="Times New Roman" w:hAnsi="Times New Roman" w:cs="Times New Roman"/>
          <w:color w:val="000000" w:themeColor="text1"/>
          <w:sz w:val="24"/>
          <w:szCs w:val="24"/>
          <w:lang w:val="en-US"/>
        </w:rPr>
        <w:t>ir</w:t>
      </w:r>
      <w:r w:rsidR="0021188E" w:rsidRPr="002C5DE1">
        <w:rPr>
          <w:rFonts w:ascii="Times New Roman" w:hAnsi="Times New Roman" w:cs="Times New Roman"/>
          <w:color w:val="000000" w:themeColor="text1"/>
          <w:sz w:val="24"/>
          <w:szCs w:val="24"/>
          <w:lang w:val="en-US"/>
        </w:rPr>
        <w:t xml:space="preserve"> results impl</w:t>
      </w:r>
      <w:r w:rsidR="00C65D72" w:rsidRPr="002C5DE1">
        <w:rPr>
          <w:rFonts w:ascii="Times New Roman" w:hAnsi="Times New Roman" w:cs="Times New Roman"/>
          <w:color w:val="000000" w:themeColor="text1"/>
          <w:sz w:val="24"/>
          <w:szCs w:val="24"/>
          <w:lang w:val="en-US"/>
        </w:rPr>
        <w:t>y</w:t>
      </w:r>
      <w:r w:rsidR="0021188E" w:rsidRPr="002C5DE1">
        <w:rPr>
          <w:rFonts w:ascii="Times New Roman" w:hAnsi="Times New Roman" w:cs="Times New Roman"/>
          <w:color w:val="000000" w:themeColor="text1"/>
          <w:sz w:val="24"/>
          <w:szCs w:val="24"/>
          <w:lang w:val="en-US"/>
        </w:rPr>
        <w:t xml:space="preserve"> that UK consumption responses to wealth shocks seem to have been asymmetric for the considered period (</w:t>
      </w:r>
      <w:proofErr w:type="gramStart"/>
      <w:r w:rsidR="0021188E" w:rsidRPr="002C5DE1">
        <w:rPr>
          <w:rFonts w:ascii="Times New Roman" w:hAnsi="Times New Roman" w:cs="Times New Roman"/>
          <w:color w:val="000000" w:themeColor="text1"/>
          <w:sz w:val="24"/>
          <w:szCs w:val="24"/>
          <w:lang w:val="en-US"/>
        </w:rPr>
        <w:t>1976:</w:t>
      </w:r>
      <w:r w:rsidR="00C65D72" w:rsidRPr="002C5DE1">
        <w:rPr>
          <w:rFonts w:ascii="Times New Roman" w:hAnsi="Times New Roman" w:cs="Times New Roman"/>
          <w:color w:val="000000" w:themeColor="text1"/>
          <w:sz w:val="24"/>
          <w:szCs w:val="24"/>
          <w:lang w:val="en-US"/>
        </w:rPr>
        <w:t>q</w:t>
      </w:r>
      <w:proofErr w:type="gramEnd"/>
      <w:r w:rsidR="0021188E" w:rsidRPr="002C5DE1">
        <w:rPr>
          <w:rFonts w:ascii="Times New Roman" w:hAnsi="Times New Roman" w:cs="Times New Roman"/>
          <w:color w:val="000000" w:themeColor="text1"/>
          <w:sz w:val="24"/>
          <w:szCs w:val="24"/>
          <w:lang w:val="en-US"/>
        </w:rPr>
        <w:t>1-2009:</w:t>
      </w:r>
      <w:r w:rsidR="00C65D72" w:rsidRPr="002C5DE1">
        <w:rPr>
          <w:rFonts w:ascii="Times New Roman" w:hAnsi="Times New Roman" w:cs="Times New Roman"/>
          <w:color w:val="000000" w:themeColor="text1"/>
          <w:sz w:val="24"/>
          <w:szCs w:val="24"/>
          <w:lang w:val="en-US"/>
        </w:rPr>
        <w:t>q</w:t>
      </w:r>
      <w:r w:rsidR="0021188E" w:rsidRPr="002C5DE1">
        <w:rPr>
          <w:rFonts w:ascii="Times New Roman" w:hAnsi="Times New Roman" w:cs="Times New Roman"/>
          <w:color w:val="000000" w:themeColor="text1"/>
          <w:sz w:val="24"/>
          <w:szCs w:val="24"/>
          <w:lang w:val="en-US"/>
        </w:rPr>
        <w:t>4).</w:t>
      </w:r>
      <w:r w:rsidR="00C65D72" w:rsidRPr="002C5DE1">
        <w:rPr>
          <w:rFonts w:ascii="Times New Roman" w:hAnsi="Times New Roman" w:cs="Times New Roman"/>
          <w:color w:val="000000" w:themeColor="text1"/>
          <w:sz w:val="24"/>
          <w:szCs w:val="24"/>
          <w:lang w:val="en-US"/>
        </w:rPr>
        <w:t xml:space="preserve"> </w:t>
      </w:r>
      <w:r w:rsidR="00926C3B" w:rsidRPr="002C5DE1">
        <w:rPr>
          <w:rFonts w:ascii="Times New Roman" w:hAnsi="Times New Roman" w:cs="Times New Roman"/>
          <w:color w:val="000000" w:themeColor="text1"/>
          <w:sz w:val="24"/>
          <w:szCs w:val="24"/>
          <w:lang w:val="en-US"/>
        </w:rPr>
        <w:t>Khalifa et al. (2013) stud</w:t>
      </w:r>
      <w:r w:rsidR="00C65D72" w:rsidRPr="002C5DE1">
        <w:rPr>
          <w:rFonts w:ascii="Times New Roman" w:hAnsi="Times New Roman" w:cs="Times New Roman"/>
          <w:color w:val="000000" w:themeColor="text1"/>
          <w:sz w:val="24"/>
          <w:szCs w:val="24"/>
          <w:lang w:val="en-US"/>
        </w:rPr>
        <w:t>y</w:t>
      </w:r>
      <w:r w:rsidR="00926C3B" w:rsidRPr="002C5DE1">
        <w:rPr>
          <w:rFonts w:ascii="Times New Roman" w:hAnsi="Times New Roman" w:cs="Times New Roman"/>
          <w:color w:val="000000" w:themeColor="text1"/>
          <w:sz w:val="24"/>
          <w:szCs w:val="24"/>
          <w:lang w:val="en-US"/>
        </w:rPr>
        <w:t xml:space="preserve"> the housing wealth effect of households </w:t>
      </w:r>
      <w:r w:rsidR="00C65D72" w:rsidRPr="002C5DE1">
        <w:rPr>
          <w:rFonts w:ascii="Times New Roman" w:hAnsi="Times New Roman" w:cs="Times New Roman"/>
          <w:color w:val="000000" w:themeColor="text1"/>
          <w:sz w:val="24"/>
          <w:szCs w:val="24"/>
          <w:lang w:val="en-US"/>
        </w:rPr>
        <w:t>across</w:t>
      </w:r>
      <w:r w:rsidR="00926C3B" w:rsidRPr="002C5DE1">
        <w:rPr>
          <w:rFonts w:ascii="Times New Roman" w:hAnsi="Times New Roman" w:cs="Times New Roman"/>
          <w:color w:val="000000" w:themeColor="text1"/>
          <w:sz w:val="24"/>
          <w:szCs w:val="24"/>
          <w:lang w:val="en-US"/>
        </w:rPr>
        <w:t xml:space="preserve"> different income levels. In order to split the sample by income levels endogenously, the threshold estimation </w:t>
      </w:r>
      <w:r w:rsidR="00C65D72" w:rsidRPr="002C5DE1">
        <w:rPr>
          <w:rFonts w:ascii="Times New Roman" w:hAnsi="Times New Roman" w:cs="Times New Roman"/>
          <w:color w:val="000000" w:themeColor="text1"/>
          <w:sz w:val="24"/>
          <w:szCs w:val="24"/>
          <w:lang w:val="en-US"/>
        </w:rPr>
        <w:t>method, developed by Hansen (1999),</w:t>
      </w:r>
      <w:r w:rsidR="00926C3B" w:rsidRPr="002C5DE1">
        <w:rPr>
          <w:rFonts w:ascii="Times New Roman" w:hAnsi="Times New Roman" w:cs="Times New Roman"/>
          <w:color w:val="000000" w:themeColor="text1"/>
          <w:sz w:val="24"/>
          <w:szCs w:val="24"/>
          <w:lang w:val="en-US"/>
        </w:rPr>
        <w:t xml:space="preserve"> has been applied for non-dynamic panels with individual-specific fixed effects. </w:t>
      </w:r>
      <w:r w:rsidR="00D41333" w:rsidRPr="002C5DE1">
        <w:rPr>
          <w:rFonts w:ascii="Times New Roman" w:hAnsi="Times New Roman" w:cs="Times New Roman"/>
          <w:color w:val="000000" w:themeColor="text1"/>
          <w:sz w:val="24"/>
          <w:szCs w:val="24"/>
          <w:lang w:val="en-US"/>
        </w:rPr>
        <w:t>It has been found that there are two significant threshold income levels of $74</w:t>
      </w:r>
      <w:r w:rsidR="00C65D72" w:rsidRPr="002C5DE1">
        <w:rPr>
          <w:rFonts w:ascii="Times New Roman" w:hAnsi="Times New Roman" w:cs="Times New Roman"/>
          <w:color w:val="000000" w:themeColor="text1"/>
          <w:sz w:val="24"/>
          <w:szCs w:val="24"/>
          <w:lang w:val="en-US"/>
        </w:rPr>
        <w:t>,</w:t>
      </w:r>
      <w:r w:rsidR="00D41333" w:rsidRPr="002C5DE1">
        <w:rPr>
          <w:rFonts w:ascii="Times New Roman" w:hAnsi="Times New Roman" w:cs="Times New Roman"/>
          <w:color w:val="000000" w:themeColor="text1"/>
          <w:sz w:val="24"/>
          <w:szCs w:val="24"/>
          <w:lang w:val="en-US"/>
        </w:rPr>
        <w:t>046 and $501</w:t>
      </w:r>
      <w:r w:rsidR="00C65D72" w:rsidRPr="002C5DE1">
        <w:rPr>
          <w:rFonts w:ascii="Times New Roman" w:hAnsi="Times New Roman" w:cs="Times New Roman"/>
          <w:color w:val="000000" w:themeColor="text1"/>
          <w:sz w:val="24"/>
          <w:szCs w:val="24"/>
          <w:lang w:val="en-US"/>
        </w:rPr>
        <w:t>,</w:t>
      </w:r>
      <w:r w:rsidR="00D41333" w:rsidRPr="002C5DE1">
        <w:rPr>
          <w:rFonts w:ascii="Times New Roman" w:hAnsi="Times New Roman" w:cs="Times New Roman"/>
          <w:color w:val="000000" w:themeColor="text1"/>
          <w:sz w:val="24"/>
          <w:szCs w:val="24"/>
          <w:lang w:val="en-US"/>
        </w:rPr>
        <w:t>000. Housing wealth has a significant effect on consumption, if income is below $74</w:t>
      </w:r>
      <w:r w:rsidR="00C65D72" w:rsidRPr="002C5DE1">
        <w:rPr>
          <w:rFonts w:ascii="Times New Roman" w:hAnsi="Times New Roman" w:cs="Times New Roman"/>
          <w:color w:val="000000" w:themeColor="text1"/>
          <w:sz w:val="24"/>
          <w:szCs w:val="24"/>
          <w:lang w:val="en-US"/>
        </w:rPr>
        <w:t>,</w:t>
      </w:r>
      <w:r w:rsidR="00D41333" w:rsidRPr="002C5DE1">
        <w:rPr>
          <w:rFonts w:ascii="Times New Roman" w:hAnsi="Times New Roman" w:cs="Times New Roman"/>
          <w:color w:val="000000" w:themeColor="text1"/>
          <w:sz w:val="24"/>
          <w:szCs w:val="24"/>
          <w:lang w:val="en-US"/>
        </w:rPr>
        <w:t>046. It is also significant if income is between $74</w:t>
      </w:r>
      <w:r w:rsidR="00C65D72" w:rsidRPr="002C5DE1">
        <w:rPr>
          <w:rFonts w:ascii="Times New Roman" w:hAnsi="Times New Roman" w:cs="Times New Roman"/>
          <w:color w:val="000000" w:themeColor="text1"/>
          <w:sz w:val="24"/>
          <w:szCs w:val="24"/>
          <w:lang w:val="en-US"/>
        </w:rPr>
        <w:t>,</w:t>
      </w:r>
      <w:r w:rsidR="00D41333" w:rsidRPr="002C5DE1">
        <w:rPr>
          <w:rFonts w:ascii="Times New Roman" w:hAnsi="Times New Roman" w:cs="Times New Roman"/>
          <w:color w:val="000000" w:themeColor="text1"/>
          <w:sz w:val="24"/>
          <w:szCs w:val="24"/>
          <w:lang w:val="en-US"/>
        </w:rPr>
        <w:t>046 and $501</w:t>
      </w:r>
      <w:r w:rsidR="00C65D72" w:rsidRPr="002C5DE1">
        <w:rPr>
          <w:rFonts w:ascii="Times New Roman" w:hAnsi="Times New Roman" w:cs="Times New Roman"/>
          <w:color w:val="000000" w:themeColor="text1"/>
          <w:sz w:val="24"/>
          <w:szCs w:val="24"/>
          <w:lang w:val="en-US"/>
        </w:rPr>
        <w:t>,</w:t>
      </w:r>
      <w:r w:rsidR="00D41333" w:rsidRPr="002C5DE1">
        <w:rPr>
          <w:rFonts w:ascii="Times New Roman" w:hAnsi="Times New Roman" w:cs="Times New Roman"/>
          <w:color w:val="000000" w:themeColor="text1"/>
          <w:sz w:val="24"/>
          <w:szCs w:val="24"/>
          <w:lang w:val="en-US"/>
        </w:rPr>
        <w:t>000. For incomes above $501</w:t>
      </w:r>
      <w:r w:rsidR="00C65D72" w:rsidRPr="002C5DE1">
        <w:rPr>
          <w:rFonts w:ascii="Times New Roman" w:hAnsi="Times New Roman" w:cs="Times New Roman"/>
          <w:color w:val="000000" w:themeColor="text1"/>
          <w:sz w:val="24"/>
          <w:szCs w:val="24"/>
          <w:lang w:val="en-US"/>
        </w:rPr>
        <w:t>,</w:t>
      </w:r>
      <w:r w:rsidR="00D41333" w:rsidRPr="002C5DE1">
        <w:rPr>
          <w:rFonts w:ascii="Times New Roman" w:hAnsi="Times New Roman" w:cs="Times New Roman"/>
          <w:color w:val="000000" w:themeColor="text1"/>
          <w:sz w:val="24"/>
          <w:szCs w:val="24"/>
          <w:lang w:val="en-US"/>
        </w:rPr>
        <w:t xml:space="preserve">000, the coefficient </w:t>
      </w:r>
      <w:r w:rsidR="00C65D72" w:rsidRPr="002C5DE1">
        <w:rPr>
          <w:rFonts w:ascii="Times New Roman" w:hAnsi="Times New Roman" w:cs="Times New Roman"/>
          <w:color w:val="000000" w:themeColor="text1"/>
          <w:sz w:val="24"/>
          <w:szCs w:val="24"/>
          <w:lang w:val="en-US"/>
        </w:rPr>
        <w:t>turns out to be</w:t>
      </w:r>
      <w:r w:rsidR="00D41333" w:rsidRPr="002C5DE1">
        <w:rPr>
          <w:rFonts w:ascii="Times New Roman" w:hAnsi="Times New Roman" w:cs="Times New Roman"/>
          <w:color w:val="000000" w:themeColor="text1"/>
          <w:sz w:val="24"/>
          <w:szCs w:val="24"/>
          <w:lang w:val="en-US"/>
        </w:rPr>
        <w:t xml:space="preserve"> not statistically significant.</w:t>
      </w:r>
    </w:p>
    <w:p w14:paraId="7586D7AA" w14:textId="77777777" w:rsidR="006C09D4" w:rsidRPr="002C5DE1" w:rsidRDefault="002F7730" w:rsidP="008E588C">
      <w:pPr>
        <w:spacing w:after="120" w:line="276" w:lineRule="auto"/>
        <w:ind w:firstLine="357"/>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The relationship between housing price</w:t>
      </w:r>
      <w:r w:rsidR="00C65D72" w:rsidRPr="002C5DE1">
        <w:rPr>
          <w:rFonts w:ascii="Times New Roman" w:hAnsi="Times New Roman" w:cs="Times New Roman"/>
          <w:color w:val="000000" w:themeColor="text1"/>
          <w:sz w:val="24"/>
          <w:szCs w:val="24"/>
          <w:lang w:val="en-US"/>
        </w:rPr>
        <w:t>s</w:t>
      </w:r>
      <w:r w:rsidRPr="002C5DE1">
        <w:rPr>
          <w:rFonts w:ascii="Times New Roman" w:hAnsi="Times New Roman" w:cs="Times New Roman"/>
          <w:color w:val="000000" w:themeColor="text1"/>
          <w:sz w:val="24"/>
          <w:szCs w:val="24"/>
          <w:lang w:val="en-US"/>
        </w:rPr>
        <w:t xml:space="preserve"> and consumption has been investigated</w:t>
      </w:r>
      <w:r w:rsidR="00027C24" w:rsidRPr="002C5DE1">
        <w:rPr>
          <w:rFonts w:ascii="Times New Roman" w:hAnsi="Times New Roman" w:cs="Times New Roman"/>
          <w:color w:val="000000" w:themeColor="text1"/>
          <w:sz w:val="24"/>
          <w:szCs w:val="24"/>
          <w:lang w:val="en-US"/>
        </w:rPr>
        <w:t xml:space="preserve"> by Dong et al. (2017</w:t>
      </w:r>
      <w:r w:rsidRPr="002C5DE1">
        <w:rPr>
          <w:rFonts w:ascii="Times New Roman" w:hAnsi="Times New Roman" w:cs="Times New Roman"/>
          <w:color w:val="000000" w:themeColor="text1"/>
          <w:sz w:val="24"/>
          <w:szCs w:val="24"/>
          <w:lang w:val="en-US"/>
        </w:rPr>
        <w:t>) for 35 major Chinese cities</w:t>
      </w:r>
      <w:r w:rsidR="00C65D72" w:rsidRPr="002C5DE1">
        <w:rPr>
          <w:rFonts w:ascii="Times New Roman" w:hAnsi="Times New Roman" w:cs="Times New Roman"/>
          <w:color w:val="000000" w:themeColor="text1"/>
          <w:sz w:val="24"/>
          <w:szCs w:val="24"/>
          <w:lang w:val="en-US"/>
        </w:rPr>
        <w:t xml:space="preserve"> and with respect to the presence of</w:t>
      </w:r>
      <w:r w:rsidRPr="002C5DE1">
        <w:rPr>
          <w:rFonts w:ascii="Times New Roman" w:hAnsi="Times New Roman" w:cs="Times New Roman"/>
          <w:color w:val="000000" w:themeColor="text1"/>
          <w:sz w:val="24"/>
          <w:szCs w:val="24"/>
          <w:lang w:val="en-US"/>
        </w:rPr>
        <w:t xml:space="preserve"> heterogeneity </w:t>
      </w:r>
      <w:r w:rsidR="00C65D72" w:rsidRPr="002C5DE1">
        <w:rPr>
          <w:rFonts w:ascii="Times New Roman" w:hAnsi="Times New Roman" w:cs="Times New Roman"/>
          <w:color w:val="000000" w:themeColor="text1"/>
          <w:sz w:val="24"/>
          <w:szCs w:val="24"/>
          <w:lang w:val="en-US"/>
        </w:rPr>
        <w:t>regarding</w:t>
      </w:r>
      <w:r w:rsidRPr="002C5DE1">
        <w:rPr>
          <w:rFonts w:ascii="Times New Roman" w:hAnsi="Times New Roman" w:cs="Times New Roman"/>
          <w:color w:val="000000" w:themeColor="text1"/>
          <w:sz w:val="24"/>
          <w:szCs w:val="24"/>
          <w:lang w:val="en-US"/>
        </w:rPr>
        <w:t xml:space="preserve"> housing and financial markets. </w:t>
      </w:r>
      <w:r w:rsidR="000A79FF" w:rsidRPr="002C5DE1">
        <w:rPr>
          <w:rFonts w:ascii="Times New Roman" w:hAnsi="Times New Roman" w:cs="Times New Roman"/>
          <w:color w:val="000000" w:themeColor="text1"/>
          <w:sz w:val="24"/>
          <w:szCs w:val="24"/>
          <w:lang w:val="en-US"/>
        </w:rPr>
        <w:t>The</w:t>
      </w:r>
      <w:r w:rsidR="00C65D72" w:rsidRPr="002C5DE1">
        <w:rPr>
          <w:rFonts w:ascii="Times New Roman" w:hAnsi="Times New Roman" w:cs="Times New Roman"/>
          <w:color w:val="000000" w:themeColor="text1"/>
          <w:sz w:val="24"/>
          <w:szCs w:val="24"/>
          <w:lang w:val="en-US"/>
        </w:rPr>
        <w:t>ir</w:t>
      </w:r>
      <w:r w:rsidR="000A79FF" w:rsidRPr="002C5DE1">
        <w:rPr>
          <w:rFonts w:ascii="Times New Roman" w:hAnsi="Times New Roman" w:cs="Times New Roman"/>
          <w:color w:val="000000" w:themeColor="text1"/>
          <w:sz w:val="24"/>
          <w:szCs w:val="24"/>
          <w:lang w:val="en-US"/>
        </w:rPr>
        <w:t xml:space="preserve"> study employs </w:t>
      </w:r>
      <w:r w:rsidR="00C65D72" w:rsidRPr="002C5DE1">
        <w:rPr>
          <w:rFonts w:ascii="Times New Roman" w:hAnsi="Times New Roman" w:cs="Times New Roman"/>
          <w:color w:val="000000" w:themeColor="text1"/>
          <w:sz w:val="24"/>
          <w:szCs w:val="24"/>
          <w:lang w:val="en-US"/>
        </w:rPr>
        <w:t>a</w:t>
      </w:r>
      <w:r w:rsidR="000A79FF" w:rsidRPr="002C5DE1">
        <w:rPr>
          <w:rFonts w:ascii="Times New Roman" w:hAnsi="Times New Roman" w:cs="Times New Roman"/>
          <w:color w:val="000000" w:themeColor="text1"/>
          <w:sz w:val="24"/>
          <w:szCs w:val="24"/>
          <w:lang w:val="en-US"/>
        </w:rPr>
        <w:t xml:space="preserve"> threshold regression model to </w:t>
      </w:r>
      <w:r w:rsidR="00700218" w:rsidRPr="002C5DE1">
        <w:rPr>
          <w:rFonts w:ascii="Times New Roman" w:hAnsi="Times New Roman" w:cs="Times New Roman"/>
          <w:color w:val="000000" w:themeColor="text1"/>
          <w:sz w:val="24"/>
          <w:szCs w:val="24"/>
          <w:lang w:val="en-US"/>
        </w:rPr>
        <w:t>analyze</w:t>
      </w:r>
      <w:r w:rsidR="000A79FF" w:rsidRPr="002C5DE1">
        <w:rPr>
          <w:rFonts w:ascii="Times New Roman" w:hAnsi="Times New Roman" w:cs="Times New Roman"/>
          <w:color w:val="000000" w:themeColor="text1"/>
          <w:sz w:val="24"/>
          <w:szCs w:val="24"/>
          <w:lang w:val="en-US"/>
        </w:rPr>
        <w:t xml:space="preserve"> two important effects: wealth and substitution effect</w:t>
      </w:r>
      <w:r w:rsidR="00C65D72" w:rsidRPr="002C5DE1">
        <w:rPr>
          <w:rFonts w:ascii="Times New Roman" w:hAnsi="Times New Roman" w:cs="Times New Roman"/>
          <w:color w:val="000000" w:themeColor="text1"/>
          <w:sz w:val="24"/>
          <w:szCs w:val="24"/>
          <w:lang w:val="en-US"/>
        </w:rPr>
        <w:t>s</w:t>
      </w:r>
      <w:r w:rsidR="000A79FF" w:rsidRPr="002C5DE1">
        <w:rPr>
          <w:rFonts w:ascii="Times New Roman" w:hAnsi="Times New Roman" w:cs="Times New Roman"/>
          <w:color w:val="000000" w:themeColor="text1"/>
          <w:sz w:val="24"/>
          <w:szCs w:val="24"/>
          <w:lang w:val="en-US"/>
        </w:rPr>
        <w:t xml:space="preserve">. </w:t>
      </w:r>
      <w:r w:rsidR="009E2041" w:rsidRPr="002C5DE1">
        <w:rPr>
          <w:rFonts w:ascii="Times New Roman" w:hAnsi="Times New Roman" w:cs="Times New Roman"/>
          <w:color w:val="000000" w:themeColor="text1"/>
          <w:sz w:val="24"/>
          <w:szCs w:val="24"/>
          <w:lang w:val="en-US"/>
        </w:rPr>
        <w:t xml:space="preserve">Two threshold variables have been identified: the ratio of housing price to income as a proxy variable to the “affordability” status of </w:t>
      </w:r>
      <w:r w:rsidR="00C65D72" w:rsidRPr="002C5DE1">
        <w:rPr>
          <w:rFonts w:ascii="Times New Roman" w:hAnsi="Times New Roman" w:cs="Times New Roman"/>
          <w:color w:val="000000" w:themeColor="text1"/>
          <w:sz w:val="24"/>
          <w:szCs w:val="24"/>
          <w:lang w:val="en-US"/>
        </w:rPr>
        <w:t xml:space="preserve">the </w:t>
      </w:r>
      <w:r w:rsidR="009E2041" w:rsidRPr="002C5DE1">
        <w:rPr>
          <w:rFonts w:ascii="Times New Roman" w:hAnsi="Times New Roman" w:cs="Times New Roman"/>
          <w:color w:val="000000" w:themeColor="text1"/>
          <w:sz w:val="24"/>
          <w:szCs w:val="24"/>
          <w:lang w:val="en-US"/>
        </w:rPr>
        <w:t>housing market and the ratio of deposit</w:t>
      </w:r>
      <w:r w:rsidR="00C65D72" w:rsidRPr="002C5DE1">
        <w:rPr>
          <w:rFonts w:ascii="Times New Roman" w:hAnsi="Times New Roman" w:cs="Times New Roman"/>
          <w:color w:val="000000" w:themeColor="text1"/>
          <w:sz w:val="24"/>
          <w:szCs w:val="24"/>
          <w:lang w:val="en-US"/>
        </w:rPr>
        <w:t>s</w:t>
      </w:r>
      <w:r w:rsidR="009E2041" w:rsidRPr="002C5DE1">
        <w:rPr>
          <w:rFonts w:ascii="Times New Roman" w:hAnsi="Times New Roman" w:cs="Times New Roman"/>
          <w:color w:val="000000" w:themeColor="text1"/>
          <w:sz w:val="24"/>
          <w:szCs w:val="24"/>
          <w:lang w:val="en-US"/>
        </w:rPr>
        <w:t xml:space="preserve"> of financial institutions to GDP as a proxy variable to the regional financial development. </w:t>
      </w:r>
      <w:r w:rsidR="008929E0" w:rsidRPr="002C5DE1">
        <w:rPr>
          <w:rFonts w:ascii="Times New Roman" w:hAnsi="Times New Roman" w:cs="Times New Roman"/>
          <w:color w:val="000000" w:themeColor="text1"/>
          <w:sz w:val="24"/>
          <w:szCs w:val="24"/>
          <w:lang w:val="en-US"/>
        </w:rPr>
        <w:t>Based on the</w:t>
      </w:r>
      <w:r w:rsidR="00C65D72" w:rsidRPr="002C5DE1">
        <w:rPr>
          <w:rFonts w:ascii="Times New Roman" w:hAnsi="Times New Roman" w:cs="Times New Roman"/>
          <w:color w:val="000000" w:themeColor="text1"/>
          <w:sz w:val="24"/>
          <w:szCs w:val="24"/>
          <w:lang w:val="en-US"/>
        </w:rPr>
        <w:t>ir</w:t>
      </w:r>
      <w:r w:rsidR="008929E0" w:rsidRPr="002C5DE1">
        <w:rPr>
          <w:rFonts w:ascii="Times New Roman" w:hAnsi="Times New Roman" w:cs="Times New Roman"/>
          <w:color w:val="000000" w:themeColor="text1"/>
          <w:sz w:val="24"/>
          <w:szCs w:val="24"/>
          <w:lang w:val="en-US"/>
        </w:rPr>
        <w:t xml:space="preserve"> results, the wealth effect is significant in the healthy housing market regime where </w:t>
      </w:r>
      <w:r w:rsidR="00C65D72" w:rsidRPr="002C5DE1">
        <w:rPr>
          <w:rFonts w:ascii="Times New Roman" w:hAnsi="Times New Roman" w:cs="Times New Roman"/>
          <w:color w:val="000000" w:themeColor="text1"/>
          <w:sz w:val="24"/>
          <w:szCs w:val="24"/>
          <w:lang w:val="en-US"/>
        </w:rPr>
        <w:t xml:space="preserve">the </w:t>
      </w:r>
      <w:r w:rsidR="008929E0" w:rsidRPr="002C5DE1">
        <w:rPr>
          <w:rFonts w:ascii="Times New Roman" w:hAnsi="Times New Roman" w:cs="Times New Roman"/>
          <w:color w:val="000000" w:themeColor="text1"/>
          <w:sz w:val="24"/>
          <w:szCs w:val="24"/>
          <w:lang w:val="en-US"/>
        </w:rPr>
        <w:t xml:space="preserve">housing price-to-income ratio is </w:t>
      </w:r>
      <w:r w:rsidR="00306327" w:rsidRPr="002C5DE1">
        <w:rPr>
          <w:rFonts w:ascii="Times New Roman" w:hAnsi="Times New Roman" w:cs="Times New Roman"/>
          <w:color w:val="000000" w:themeColor="text1"/>
          <w:sz w:val="24"/>
          <w:szCs w:val="24"/>
          <w:lang w:val="en-US"/>
        </w:rPr>
        <w:t xml:space="preserve">smaller than 5.0882. </w:t>
      </w:r>
      <w:r w:rsidR="00C65D72" w:rsidRPr="002C5DE1">
        <w:rPr>
          <w:rFonts w:ascii="Times New Roman" w:hAnsi="Times New Roman" w:cs="Times New Roman"/>
          <w:color w:val="000000" w:themeColor="text1"/>
          <w:sz w:val="24"/>
          <w:szCs w:val="24"/>
          <w:lang w:val="en-US"/>
        </w:rPr>
        <w:t>In contrast</w:t>
      </w:r>
      <w:r w:rsidR="008929E0" w:rsidRPr="002C5DE1">
        <w:rPr>
          <w:rFonts w:ascii="Times New Roman" w:hAnsi="Times New Roman" w:cs="Times New Roman"/>
          <w:color w:val="000000" w:themeColor="text1"/>
          <w:sz w:val="24"/>
          <w:szCs w:val="24"/>
          <w:lang w:val="en-US"/>
        </w:rPr>
        <w:t xml:space="preserve">, the </w:t>
      </w:r>
      <w:r w:rsidR="00306327" w:rsidRPr="002C5DE1">
        <w:rPr>
          <w:rFonts w:ascii="Times New Roman" w:hAnsi="Times New Roman" w:cs="Times New Roman"/>
          <w:color w:val="000000" w:themeColor="text1"/>
          <w:sz w:val="24"/>
          <w:szCs w:val="24"/>
          <w:lang w:val="en-US"/>
        </w:rPr>
        <w:t>substitution effect becomes</w:t>
      </w:r>
      <w:r w:rsidR="008929E0" w:rsidRPr="002C5DE1">
        <w:rPr>
          <w:rFonts w:ascii="Times New Roman" w:hAnsi="Times New Roman" w:cs="Times New Roman"/>
          <w:color w:val="000000" w:themeColor="text1"/>
          <w:sz w:val="24"/>
          <w:szCs w:val="24"/>
          <w:lang w:val="en-US"/>
        </w:rPr>
        <w:t xml:space="preserve"> dominant in the regime where </w:t>
      </w:r>
      <w:r w:rsidR="00C65D72" w:rsidRPr="002C5DE1">
        <w:rPr>
          <w:rFonts w:ascii="Times New Roman" w:hAnsi="Times New Roman" w:cs="Times New Roman"/>
          <w:color w:val="000000" w:themeColor="text1"/>
          <w:sz w:val="24"/>
          <w:szCs w:val="24"/>
          <w:lang w:val="en-US"/>
        </w:rPr>
        <w:t xml:space="preserve">the </w:t>
      </w:r>
      <w:r w:rsidR="008929E0" w:rsidRPr="002C5DE1">
        <w:rPr>
          <w:rFonts w:ascii="Times New Roman" w:hAnsi="Times New Roman" w:cs="Times New Roman"/>
          <w:color w:val="000000" w:themeColor="text1"/>
          <w:sz w:val="24"/>
          <w:szCs w:val="24"/>
          <w:lang w:val="en-US"/>
        </w:rPr>
        <w:t>housing price-to-income ratio lies between 5.0882 and 5.9625.</w:t>
      </w:r>
      <w:r w:rsidR="00C65D72" w:rsidRPr="002C5DE1">
        <w:rPr>
          <w:rFonts w:ascii="Times New Roman" w:hAnsi="Times New Roman" w:cs="Times New Roman"/>
          <w:color w:val="000000" w:themeColor="text1"/>
          <w:sz w:val="24"/>
          <w:szCs w:val="24"/>
          <w:lang w:val="en-US"/>
        </w:rPr>
        <w:t xml:space="preserve"> </w:t>
      </w:r>
      <w:r w:rsidR="001C34A1" w:rsidRPr="002C5DE1">
        <w:rPr>
          <w:rFonts w:ascii="Times New Roman" w:hAnsi="Times New Roman" w:cs="Times New Roman"/>
          <w:color w:val="000000" w:themeColor="text1"/>
          <w:sz w:val="24"/>
          <w:szCs w:val="24"/>
          <w:lang w:val="en-US"/>
        </w:rPr>
        <w:t xml:space="preserve">Hui et al. (2018) </w:t>
      </w:r>
      <w:r w:rsidR="00700218" w:rsidRPr="002C5DE1">
        <w:rPr>
          <w:rFonts w:ascii="Times New Roman" w:hAnsi="Times New Roman" w:cs="Times New Roman"/>
          <w:color w:val="000000" w:themeColor="text1"/>
          <w:sz w:val="24"/>
          <w:szCs w:val="24"/>
          <w:lang w:val="en-US"/>
        </w:rPr>
        <w:t>analyze</w:t>
      </w:r>
      <w:r w:rsidR="001C34A1" w:rsidRPr="002C5DE1">
        <w:rPr>
          <w:rFonts w:ascii="Times New Roman" w:hAnsi="Times New Roman" w:cs="Times New Roman"/>
          <w:color w:val="000000" w:themeColor="text1"/>
          <w:sz w:val="24"/>
          <w:szCs w:val="24"/>
          <w:lang w:val="en-US"/>
        </w:rPr>
        <w:t xml:space="preserve"> how housing price</w:t>
      </w:r>
      <w:r w:rsidR="00C65D72" w:rsidRPr="002C5DE1">
        <w:rPr>
          <w:rFonts w:ascii="Times New Roman" w:hAnsi="Times New Roman" w:cs="Times New Roman"/>
          <w:color w:val="000000" w:themeColor="text1"/>
          <w:sz w:val="24"/>
          <w:szCs w:val="24"/>
          <w:lang w:val="en-US"/>
        </w:rPr>
        <w:t>s</w:t>
      </w:r>
      <w:r w:rsidR="001C34A1" w:rsidRPr="002C5DE1">
        <w:rPr>
          <w:rFonts w:ascii="Times New Roman" w:hAnsi="Times New Roman" w:cs="Times New Roman"/>
          <w:color w:val="000000" w:themeColor="text1"/>
          <w:sz w:val="24"/>
          <w:szCs w:val="24"/>
          <w:lang w:val="en-US"/>
        </w:rPr>
        <w:t xml:space="preserve"> and housing market sentiment</w:t>
      </w:r>
      <w:r w:rsidR="00C65D72" w:rsidRPr="002C5DE1">
        <w:rPr>
          <w:rFonts w:ascii="Times New Roman" w:hAnsi="Times New Roman" w:cs="Times New Roman"/>
          <w:color w:val="000000" w:themeColor="text1"/>
          <w:sz w:val="24"/>
          <w:szCs w:val="24"/>
          <w:lang w:val="en-US"/>
        </w:rPr>
        <w:t>s</w:t>
      </w:r>
      <w:r w:rsidR="001C34A1" w:rsidRPr="002C5DE1">
        <w:rPr>
          <w:rFonts w:ascii="Times New Roman" w:hAnsi="Times New Roman" w:cs="Times New Roman"/>
          <w:color w:val="000000" w:themeColor="text1"/>
          <w:sz w:val="24"/>
          <w:szCs w:val="24"/>
          <w:lang w:val="en-US"/>
        </w:rPr>
        <w:t xml:space="preserve"> affect non-housing consumption distributions among owners and renters during their life cycles in China by employing </w:t>
      </w:r>
      <w:r w:rsidR="00C65D72" w:rsidRPr="002C5DE1">
        <w:rPr>
          <w:rFonts w:ascii="Times New Roman" w:hAnsi="Times New Roman" w:cs="Times New Roman"/>
          <w:color w:val="000000" w:themeColor="text1"/>
          <w:sz w:val="24"/>
          <w:szCs w:val="24"/>
          <w:lang w:val="en-US"/>
        </w:rPr>
        <w:t xml:space="preserve">a </w:t>
      </w:r>
      <w:r w:rsidR="001C34A1" w:rsidRPr="002C5DE1">
        <w:rPr>
          <w:rFonts w:ascii="Times New Roman" w:hAnsi="Times New Roman" w:cs="Times New Roman"/>
          <w:color w:val="000000" w:themeColor="text1"/>
          <w:sz w:val="24"/>
          <w:szCs w:val="24"/>
          <w:lang w:val="en-US"/>
        </w:rPr>
        <w:t>quantile regression for panel data (QRPD). The</w:t>
      </w:r>
      <w:r w:rsidR="00C65D72" w:rsidRPr="002C5DE1">
        <w:rPr>
          <w:rFonts w:ascii="Times New Roman" w:hAnsi="Times New Roman" w:cs="Times New Roman"/>
          <w:color w:val="000000" w:themeColor="text1"/>
          <w:sz w:val="24"/>
          <w:szCs w:val="24"/>
          <w:lang w:val="en-US"/>
        </w:rPr>
        <w:t>ir</w:t>
      </w:r>
      <w:r w:rsidR="001C34A1" w:rsidRPr="002C5DE1">
        <w:rPr>
          <w:rFonts w:ascii="Times New Roman" w:hAnsi="Times New Roman" w:cs="Times New Roman"/>
          <w:color w:val="000000" w:themeColor="text1"/>
          <w:sz w:val="24"/>
          <w:szCs w:val="24"/>
          <w:lang w:val="en-US"/>
        </w:rPr>
        <w:t xml:space="preserve"> </w:t>
      </w:r>
      <w:r w:rsidR="00C65D72" w:rsidRPr="002C5DE1">
        <w:rPr>
          <w:rFonts w:ascii="Times New Roman" w:hAnsi="Times New Roman" w:cs="Times New Roman"/>
          <w:color w:val="000000" w:themeColor="text1"/>
          <w:sz w:val="24"/>
          <w:szCs w:val="24"/>
          <w:lang w:val="en-US"/>
        </w:rPr>
        <w:t>findings document</w:t>
      </w:r>
      <w:r w:rsidR="001C34A1" w:rsidRPr="002C5DE1">
        <w:rPr>
          <w:rFonts w:ascii="Times New Roman" w:hAnsi="Times New Roman" w:cs="Times New Roman"/>
          <w:color w:val="000000" w:themeColor="text1"/>
          <w:sz w:val="24"/>
          <w:szCs w:val="24"/>
          <w:lang w:val="en-US"/>
        </w:rPr>
        <w:t xml:space="preserve"> that </w:t>
      </w:r>
      <w:r w:rsidR="004F7ACA" w:rsidRPr="002C5DE1">
        <w:rPr>
          <w:rFonts w:ascii="Times New Roman" w:hAnsi="Times New Roman" w:cs="Times New Roman"/>
          <w:color w:val="000000" w:themeColor="text1"/>
          <w:sz w:val="24"/>
          <w:szCs w:val="24"/>
          <w:lang w:val="en-US"/>
        </w:rPr>
        <w:t xml:space="preserve">the positive effect of housing </w:t>
      </w:r>
      <w:r w:rsidR="004F7ACA" w:rsidRPr="002C5DE1">
        <w:rPr>
          <w:rFonts w:ascii="Times New Roman" w:hAnsi="Times New Roman" w:cs="Times New Roman"/>
          <w:color w:val="000000" w:themeColor="text1"/>
          <w:sz w:val="24"/>
          <w:szCs w:val="24"/>
          <w:lang w:val="en-US"/>
        </w:rPr>
        <w:lastRenderedPageBreak/>
        <w:t>price</w:t>
      </w:r>
      <w:r w:rsidR="00C65D72" w:rsidRPr="002C5DE1">
        <w:rPr>
          <w:rFonts w:ascii="Times New Roman" w:hAnsi="Times New Roman" w:cs="Times New Roman"/>
          <w:color w:val="000000" w:themeColor="text1"/>
          <w:sz w:val="24"/>
          <w:szCs w:val="24"/>
          <w:lang w:val="en-US"/>
        </w:rPr>
        <w:t>s</w:t>
      </w:r>
      <w:r w:rsidR="004F7ACA" w:rsidRPr="002C5DE1">
        <w:rPr>
          <w:rFonts w:ascii="Times New Roman" w:hAnsi="Times New Roman" w:cs="Times New Roman"/>
          <w:color w:val="000000" w:themeColor="text1"/>
          <w:sz w:val="24"/>
          <w:szCs w:val="24"/>
          <w:lang w:val="en-US"/>
        </w:rPr>
        <w:t xml:space="preserve"> on consumption is stronger at the higher and lower parts of the distribution</w:t>
      </w:r>
      <w:r w:rsidR="00736FE8" w:rsidRPr="002C5DE1">
        <w:rPr>
          <w:rFonts w:ascii="Times New Roman" w:hAnsi="Times New Roman" w:cs="Times New Roman"/>
          <w:color w:val="000000" w:themeColor="text1"/>
          <w:sz w:val="24"/>
          <w:szCs w:val="24"/>
          <w:lang w:val="en-US"/>
        </w:rPr>
        <w:t>, with</w:t>
      </w:r>
      <w:r w:rsidR="004F7ACA" w:rsidRPr="002C5DE1">
        <w:rPr>
          <w:rFonts w:ascii="Times New Roman" w:hAnsi="Times New Roman" w:cs="Times New Roman"/>
          <w:color w:val="000000" w:themeColor="text1"/>
          <w:sz w:val="24"/>
          <w:szCs w:val="24"/>
          <w:lang w:val="en-US"/>
        </w:rPr>
        <w:t xml:space="preserve"> the differences </w:t>
      </w:r>
      <w:r w:rsidR="00736FE8" w:rsidRPr="002C5DE1">
        <w:rPr>
          <w:rFonts w:ascii="Times New Roman" w:hAnsi="Times New Roman" w:cs="Times New Roman"/>
          <w:color w:val="000000" w:themeColor="text1"/>
          <w:sz w:val="24"/>
          <w:szCs w:val="24"/>
          <w:lang w:val="en-US"/>
        </w:rPr>
        <w:t xml:space="preserve">being </w:t>
      </w:r>
      <w:r w:rsidR="004F7ACA" w:rsidRPr="002C5DE1">
        <w:rPr>
          <w:rFonts w:ascii="Times New Roman" w:hAnsi="Times New Roman" w:cs="Times New Roman"/>
          <w:color w:val="000000" w:themeColor="text1"/>
          <w:sz w:val="24"/>
          <w:szCs w:val="24"/>
          <w:lang w:val="en-US"/>
        </w:rPr>
        <w:t>caused by ages</w:t>
      </w:r>
      <w:r w:rsidR="00736FE8" w:rsidRPr="002C5DE1">
        <w:rPr>
          <w:rFonts w:ascii="Times New Roman" w:hAnsi="Times New Roman" w:cs="Times New Roman"/>
          <w:color w:val="000000" w:themeColor="text1"/>
          <w:sz w:val="24"/>
          <w:szCs w:val="24"/>
          <w:lang w:val="en-US"/>
        </w:rPr>
        <w:t>; these findings</w:t>
      </w:r>
      <w:r w:rsidR="004F7ACA" w:rsidRPr="002C5DE1">
        <w:rPr>
          <w:rFonts w:ascii="Times New Roman" w:hAnsi="Times New Roman" w:cs="Times New Roman"/>
          <w:color w:val="000000" w:themeColor="text1"/>
          <w:sz w:val="24"/>
          <w:szCs w:val="24"/>
          <w:lang w:val="en-US"/>
        </w:rPr>
        <w:t xml:space="preserve"> are more significant for </w:t>
      </w:r>
      <w:r w:rsidR="00736FE8" w:rsidRPr="002C5DE1">
        <w:rPr>
          <w:rFonts w:ascii="Times New Roman" w:hAnsi="Times New Roman" w:cs="Times New Roman"/>
          <w:color w:val="000000" w:themeColor="text1"/>
          <w:sz w:val="24"/>
          <w:szCs w:val="24"/>
          <w:lang w:val="en-US"/>
        </w:rPr>
        <w:t xml:space="preserve">the case of </w:t>
      </w:r>
      <w:r w:rsidR="004F7ACA" w:rsidRPr="002C5DE1">
        <w:rPr>
          <w:rFonts w:ascii="Times New Roman" w:hAnsi="Times New Roman" w:cs="Times New Roman"/>
          <w:color w:val="000000" w:themeColor="text1"/>
          <w:sz w:val="24"/>
          <w:szCs w:val="24"/>
          <w:lang w:val="en-US"/>
        </w:rPr>
        <w:t>homeowners. Moreover, the housing market sentiment plays a significant role in owners' and highest-consuming renters' consumption.</w:t>
      </w:r>
      <w:r w:rsidR="005F627E" w:rsidRPr="002C5DE1">
        <w:rPr>
          <w:rFonts w:ascii="Times New Roman" w:hAnsi="Times New Roman" w:cs="Times New Roman"/>
          <w:color w:val="000000" w:themeColor="text1"/>
          <w:sz w:val="24"/>
          <w:szCs w:val="24"/>
          <w:lang w:val="en-US"/>
        </w:rPr>
        <w:t xml:space="preserve"> Table 1 summarizes the literature review.</w:t>
      </w:r>
    </w:p>
    <w:p w14:paraId="510C8826" w14:textId="77777777" w:rsidR="00C505DF" w:rsidRPr="002C5DE1" w:rsidRDefault="00C505DF" w:rsidP="00C505DF">
      <w:pPr>
        <w:spacing w:after="120" w:line="276" w:lineRule="auto"/>
        <w:ind w:firstLine="357"/>
        <w:jc w:val="center"/>
        <w:rPr>
          <w:rFonts w:ascii="Times New Roman" w:hAnsi="Times New Roman" w:cs="Times New Roman"/>
          <w:b/>
          <w:color w:val="000000" w:themeColor="text1"/>
          <w:sz w:val="24"/>
          <w:szCs w:val="24"/>
          <w:lang w:val="en-US"/>
        </w:rPr>
      </w:pPr>
      <w:r w:rsidRPr="002C5DE1">
        <w:rPr>
          <w:rFonts w:ascii="Times New Roman" w:hAnsi="Times New Roman" w:cs="Times New Roman"/>
          <w:b/>
          <w:color w:val="000000" w:themeColor="text1"/>
          <w:sz w:val="24"/>
          <w:szCs w:val="24"/>
          <w:lang w:val="en-US"/>
        </w:rPr>
        <w:t>[</w:t>
      </w:r>
      <w:r w:rsidRPr="002C5DE1">
        <w:rPr>
          <w:rFonts w:ascii="Times New Roman" w:hAnsi="Times New Roman" w:cs="Times New Roman"/>
          <w:b/>
          <w:color w:val="000000" w:themeColor="text1"/>
          <w:sz w:val="24"/>
          <w:szCs w:val="24"/>
          <w:shd w:val="clear" w:color="auto" w:fill="FFFFFF"/>
          <w:lang w:val="en-US"/>
        </w:rPr>
        <w:t>Place Table 1 Here</w:t>
      </w:r>
      <w:r w:rsidRPr="002C5DE1">
        <w:rPr>
          <w:rFonts w:ascii="Times New Roman" w:hAnsi="Times New Roman" w:cs="Times New Roman"/>
          <w:b/>
          <w:color w:val="000000" w:themeColor="text1"/>
          <w:sz w:val="24"/>
          <w:szCs w:val="24"/>
          <w:lang w:val="en-US"/>
        </w:rPr>
        <w:t>]</w:t>
      </w:r>
    </w:p>
    <w:p w14:paraId="68CFE927" w14:textId="77777777" w:rsidR="00AC5AE4" w:rsidRPr="002C5DE1" w:rsidRDefault="005F627E" w:rsidP="008E588C">
      <w:pPr>
        <w:spacing w:line="276" w:lineRule="auto"/>
        <w:ind w:firstLine="357"/>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 xml:space="preserve">As it is stated above, in </w:t>
      </w:r>
      <w:r w:rsidR="00C74BDD" w:rsidRPr="002C5DE1">
        <w:rPr>
          <w:rFonts w:ascii="Times New Roman" w:hAnsi="Times New Roman" w:cs="Times New Roman"/>
          <w:color w:val="000000" w:themeColor="text1"/>
          <w:sz w:val="24"/>
          <w:szCs w:val="24"/>
          <w:lang w:val="en-US"/>
        </w:rPr>
        <w:t xml:space="preserve">the </w:t>
      </w:r>
      <w:r w:rsidRPr="002C5DE1">
        <w:rPr>
          <w:rFonts w:ascii="Times New Roman" w:hAnsi="Times New Roman" w:cs="Times New Roman"/>
          <w:color w:val="000000" w:themeColor="text1"/>
          <w:sz w:val="24"/>
          <w:szCs w:val="24"/>
          <w:lang w:val="en-US"/>
        </w:rPr>
        <w:t>existing literature there are several studies that focus on the asymmetric relationship between consumption and various explanatory variables</w:t>
      </w:r>
      <w:r w:rsidR="00C74BDD" w:rsidRPr="002C5DE1">
        <w:rPr>
          <w:rFonts w:ascii="Times New Roman" w:hAnsi="Times New Roman" w:cs="Times New Roman"/>
          <w:color w:val="000000" w:themeColor="text1"/>
          <w:sz w:val="24"/>
          <w:szCs w:val="24"/>
          <w:lang w:val="en-US"/>
        </w:rPr>
        <w:t>,</w:t>
      </w:r>
      <w:r w:rsidRPr="002C5DE1">
        <w:rPr>
          <w:rFonts w:ascii="Times New Roman" w:hAnsi="Times New Roman" w:cs="Times New Roman"/>
          <w:color w:val="000000" w:themeColor="text1"/>
          <w:sz w:val="24"/>
          <w:szCs w:val="24"/>
          <w:lang w:val="en-US"/>
        </w:rPr>
        <w:t xml:space="preserve"> such as income </w:t>
      </w:r>
      <w:r w:rsidR="00274E23" w:rsidRPr="002C5DE1">
        <w:rPr>
          <w:rFonts w:ascii="Times New Roman" w:hAnsi="Times New Roman" w:cs="Times New Roman"/>
          <w:color w:val="000000" w:themeColor="text1"/>
          <w:sz w:val="24"/>
          <w:szCs w:val="24"/>
          <w:lang w:val="en-US"/>
        </w:rPr>
        <w:t xml:space="preserve">and </w:t>
      </w:r>
      <w:r w:rsidR="00C74BDD" w:rsidRPr="002C5DE1">
        <w:rPr>
          <w:rFonts w:ascii="Times New Roman" w:hAnsi="Times New Roman" w:cs="Times New Roman"/>
          <w:color w:val="000000" w:themeColor="text1"/>
          <w:sz w:val="24"/>
          <w:szCs w:val="24"/>
          <w:lang w:val="en-US"/>
        </w:rPr>
        <w:t xml:space="preserve">certain </w:t>
      </w:r>
      <w:r w:rsidR="00274E23" w:rsidRPr="002C5DE1">
        <w:rPr>
          <w:rFonts w:ascii="Times New Roman" w:hAnsi="Times New Roman" w:cs="Times New Roman"/>
          <w:color w:val="000000" w:themeColor="text1"/>
          <w:sz w:val="24"/>
          <w:szCs w:val="24"/>
          <w:lang w:val="en-US"/>
        </w:rPr>
        <w:t xml:space="preserve">wealth components. Most studies on </w:t>
      </w:r>
      <w:r w:rsidR="00C74BDD" w:rsidRPr="002C5DE1">
        <w:rPr>
          <w:rFonts w:ascii="Times New Roman" w:hAnsi="Times New Roman" w:cs="Times New Roman"/>
          <w:color w:val="000000" w:themeColor="text1"/>
          <w:sz w:val="24"/>
          <w:szCs w:val="24"/>
          <w:lang w:val="en-US"/>
        </w:rPr>
        <w:t xml:space="preserve">the </w:t>
      </w:r>
      <w:r w:rsidR="00274E23" w:rsidRPr="002C5DE1">
        <w:rPr>
          <w:rFonts w:ascii="Times New Roman" w:hAnsi="Times New Roman" w:cs="Times New Roman"/>
          <w:color w:val="000000" w:themeColor="text1"/>
          <w:sz w:val="24"/>
          <w:szCs w:val="24"/>
          <w:lang w:val="en-US"/>
        </w:rPr>
        <w:t xml:space="preserve">asymmetric responses of consumption to changes in wealth have only been carried out in a small number of areas. A few of them investigate the </w:t>
      </w:r>
      <w:r w:rsidR="00E1259B" w:rsidRPr="002C5DE1">
        <w:rPr>
          <w:rFonts w:ascii="Times New Roman" w:hAnsi="Times New Roman" w:cs="Times New Roman"/>
          <w:color w:val="000000" w:themeColor="text1"/>
          <w:sz w:val="24"/>
          <w:szCs w:val="24"/>
          <w:lang w:val="en-US"/>
        </w:rPr>
        <w:t xml:space="preserve">asymmetric </w:t>
      </w:r>
      <w:r w:rsidR="00274E23" w:rsidRPr="002C5DE1">
        <w:rPr>
          <w:rFonts w:ascii="Times New Roman" w:hAnsi="Times New Roman" w:cs="Times New Roman"/>
          <w:color w:val="000000" w:themeColor="text1"/>
          <w:sz w:val="24"/>
          <w:szCs w:val="24"/>
          <w:lang w:val="en-US"/>
        </w:rPr>
        <w:t>effect of income or wealth increases/decreases</w:t>
      </w:r>
      <w:r w:rsidR="00E1259B" w:rsidRPr="002C5DE1">
        <w:rPr>
          <w:rFonts w:ascii="Times New Roman" w:hAnsi="Times New Roman" w:cs="Times New Roman"/>
          <w:color w:val="000000" w:themeColor="text1"/>
          <w:sz w:val="24"/>
          <w:szCs w:val="24"/>
          <w:lang w:val="en-US"/>
        </w:rPr>
        <w:t xml:space="preserve"> on consumption</w:t>
      </w:r>
      <w:r w:rsidR="00C74BDD" w:rsidRPr="002C5DE1">
        <w:rPr>
          <w:rFonts w:ascii="Times New Roman" w:hAnsi="Times New Roman" w:cs="Times New Roman"/>
          <w:color w:val="000000" w:themeColor="text1"/>
          <w:sz w:val="24"/>
          <w:szCs w:val="24"/>
          <w:lang w:val="en-US"/>
        </w:rPr>
        <w:t>,</w:t>
      </w:r>
      <w:r w:rsidR="00E1259B" w:rsidRPr="002C5DE1">
        <w:rPr>
          <w:rFonts w:ascii="Times New Roman" w:hAnsi="Times New Roman" w:cs="Times New Roman"/>
          <w:color w:val="000000" w:themeColor="text1"/>
          <w:sz w:val="24"/>
          <w:szCs w:val="24"/>
          <w:lang w:val="en-US"/>
        </w:rPr>
        <w:t xml:space="preserve"> while the rest of them address the other possible reasons of </w:t>
      </w:r>
      <w:r w:rsidR="00C74BDD" w:rsidRPr="002C5DE1">
        <w:rPr>
          <w:rFonts w:ascii="Times New Roman" w:hAnsi="Times New Roman" w:cs="Times New Roman"/>
          <w:color w:val="000000" w:themeColor="text1"/>
          <w:sz w:val="24"/>
          <w:szCs w:val="24"/>
          <w:lang w:val="en-US"/>
        </w:rPr>
        <w:t>such an</w:t>
      </w:r>
      <w:r w:rsidR="00E1259B" w:rsidRPr="002C5DE1">
        <w:rPr>
          <w:rFonts w:ascii="Times New Roman" w:hAnsi="Times New Roman" w:cs="Times New Roman"/>
          <w:color w:val="000000" w:themeColor="text1"/>
          <w:sz w:val="24"/>
          <w:szCs w:val="24"/>
          <w:lang w:val="en-US"/>
        </w:rPr>
        <w:t xml:space="preserve"> asymmetric </w:t>
      </w:r>
      <w:proofErr w:type="spellStart"/>
      <w:r w:rsidR="00E1259B" w:rsidRPr="002C5DE1">
        <w:rPr>
          <w:rFonts w:ascii="Times New Roman" w:hAnsi="Times New Roman" w:cs="Times New Roman"/>
          <w:color w:val="000000" w:themeColor="text1"/>
          <w:sz w:val="24"/>
          <w:szCs w:val="24"/>
          <w:lang w:val="en-US"/>
        </w:rPr>
        <w:t>behaviour</w:t>
      </w:r>
      <w:proofErr w:type="spellEnd"/>
      <w:r w:rsidR="00E1259B" w:rsidRPr="002C5DE1">
        <w:rPr>
          <w:rFonts w:ascii="Times New Roman" w:hAnsi="Times New Roman" w:cs="Times New Roman"/>
          <w:color w:val="000000" w:themeColor="text1"/>
          <w:sz w:val="24"/>
          <w:szCs w:val="24"/>
          <w:lang w:val="en-US"/>
        </w:rPr>
        <w:t xml:space="preserve"> of individuals</w:t>
      </w:r>
      <w:r w:rsidR="00C74BDD" w:rsidRPr="002C5DE1">
        <w:rPr>
          <w:rFonts w:ascii="Times New Roman" w:hAnsi="Times New Roman" w:cs="Times New Roman"/>
          <w:color w:val="000000" w:themeColor="text1"/>
          <w:sz w:val="24"/>
          <w:szCs w:val="24"/>
          <w:lang w:val="en-US"/>
        </w:rPr>
        <w:t>,</w:t>
      </w:r>
      <w:r w:rsidR="00E1259B" w:rsidRPr="002C5DE1">
        <w:rPr>
          <w:rFonts w:ascii="Times New Roman" w:hAnsi="Times New Roman" w:cs="Times New Roman"/>
          <w:color w:val="000000" w:themeColor="text1"/>
          <w:sz w:val="24"/>
          <w:szCs w:val="24"/>
          <w:lang w:val="en-US"/>
        </w:rPr>
        <w:t xml:space="preserve"> such as age, stock mar</w:t>
      </w:r>
      <w:r w:rsidR="00016F41" w:rsidRPr="002C5DE1">
        <w:rPr>
          <w:rFonts w:ascii="Times New Roman" w:hAnsi="Times New Roman" w:cs="Times New Roman"/>
          <w:color w:val="000000" w:themeColor="text1"/>
          <w:sz w:val="24"/>
          <w:szCs w:val="24"/>
          <w:lang w:val="en-US"/>
        </w:rPr>
        <w:t xml:space="preserve">ket </w:t>
      </w:r>
      <w:r w:rsidR="00C74BDD" w:rsidRPr="002C5DE1">
        <w:rPr>
          <w:rFonts w:ascii="Times New Roman" w:hAnsi="Times New Roman" w:cs="Times New Roman"/>
          <w:color w:val="000000" w:themeColor="text1"/>
          <w:sz w:val="24"/>
          <w:szCs w:val="24"/>
          <w:lang w:val="en-US"/>
        </w:rPr>
        <w:t>news</w:t>
      </w:r>
      <w:r w:rsidR="00016F41" w:rsidRPr="002C5DE1">
        <w:rPr>
          <w:rFonts w:ascii="Times New Roman" w:hAnsi="Times New Roman" w:cs="Times New Roman"/>
          <w:color w:val="000000" w:themeColor="text1"/>
          <w:sz w:val="24"/>
          <w:szCs w:val="24"/>
          <w:lang w:val="en-US"/>
        </w:rPr>
        <w:t xml:space="preserve">, </w:t>
      </w:r>
      <w:r w:rsidR="00C74BDD" w:rsidRPr="002C5DE1">
        <w:rPr>
          <w:rFonts w:ascii="Times New Roman" w:hAnsi="Times New Roman" w:cs="Times New Roman"/>
          <w:color w:val="000000" w:themeColor="text1"/>
          <w:sz w:val="24"/>
          <w:szCs w:val="24"/>
          <w:lang w:val="en-US"/>
        </w:rPr>
        <w:t xml:space="preserve">and </w:t>
      </w:r>
      <w:r w:rsidR="00016F41" w:rsidRPr="002C5DE1">
        <w:rPr>
          <w:rFonts w:ascii="Times New Roman" w:hAnsi="Times New Roman" w:cs="Times New Roman"/>
          <w:color w:val="000000" w:themeColor="text1"/>
          <w:sz w:val="24"/>
          <w:szCs w:val="24"/>
          <w:lang w:val="en-US"/>
        </w:rPr>
        <w:t>housing</w:t>
      </w:r>
      <w:r w:rsidR="00E1259B" w:rsidRPr="002C5DE1">
        <w:rPr>
          <w:rFonts w:ascii="Times New Roman" w:hAnsi="Times New Roman" w:cs="Times New Roman"/>
          <w:color w:val="000000" w:themeColor="text1"/>
          <w:sz w:val="24"/>
          <w:szCs w:val="24"/>
          <w:lang w:val="en-US"/>
        </w:rPr>
        <w:t xml:space="preserve"> prices.</w:t>
      </w:r>
      <w:r w:rsidR="00405D9B" w:rsidRPr="002C5DE1">
        <w:rPr>
          <w:rFonts w:ascii="Times New Roman" w:hAnsi="Times New Roman" w:cs="Times New Roman"/>
          <w:color w:val="000000" w:themeColor="text1"/>
          <w:sz w:val="24"/>
          <w:szCs w:val="24"/>
          <w:lang w:val="en-US"/>
        </w:rPr>
        <w:t xml:space="preserve"> Although some research has been carried out on the asymmetric </w:t>
      </w:r>
      <w:proofErr w:type="spellStart"/>
      <w:r w:rsidR="00405D9B" w:rsidRPr="002C5DE1">
        <w:rPr>
          <w:rFonts w:ascii="Times New Roman" w:hAnsi="Times New Roman" w:cs="Times New Roman"/>
          <w:color w:val="000000" w:themeColor="text1"/>
          <w:sz w:val="24"/>
          <w:szCs w:val="24"/>
          <w:lang w:val="en-US"/>
        </w:rPr>
        <w:t>behavio</w:t>
      </w:r>
      <w:r w:rsidR="00016F41" w:rsidRPr="002C5DE1">
        <w:rPr>
          <w:rFonts w:ascii="Times New Roman" w:hAnsi="Times New Roman" w:cs="Times New Roman"/>
          <w:color w:val="000000" w:themeColor="text1"/>
          <w:sz w:val="24"/>
          <w:szCs w:val="24"/>
          <w:lang w:val="en-US"/>
        </w:rPr>
        <w:t>ur</w:t>
      </w:r>
      <w:proofErr w:type="spellEnd"/>
      <w:r w:rsidR="00016F41" w:rsidRPr="002C5DE1">
        <w:rPr>
          <w:rFonts w:ascii="Times New Roman" w:hAnsi="Times New Roman" w:cs="Times New Roman"/>
          <w:color w:val="000000" w:themeColor="text1"/>
          <w:sz w:val="24"/>
          <w:szCs w:val="24"/>
          <w:lang w:val="en-US"/>
        </w:rPr>
        <w:t xml:space="preserve"> of consumers based on numerous factors, there have been only a </w:t>
      </w:r>
      <w:r w:rsidR="00C74BDD" w:rsidRPr="002C5DE1">
        <w:rPr>
          <w:rFonts w:ascii="Times New Roman" w:hAnsi="Times New Roman" w:cs="Times New Roman"/>
          <w:color w:val="000000" w:themeColor="text1"/>
          <w:sz w:val="24"/>
          <w:szCs w:val="24"/>
          <w:lang w:val="en-US"/>
        </w:rPr>
        <w:t>handful of them</w:t>
      </w:r>
      <w:r w:rsidR="00016F41" w:rsidRPr="002C5DE1">
        <w:rPr>
          <w:rFonts w:ascii="Times New Roman" w:hAnsi="Times New Roman" w:cs="Times New Roman"/>
          <w:color w:val="000000" w:themeColor="text1"/>
          <w:sz w:val="24"/>
          <w:szCs w:val="24"/>
          <w:lang w:val="en-US"/>
        </w:rPr>
        <w:t xml:space="preserve"> investigating the asymmetric effects of housing prices</w:t>
      </w:r>
      <w:r w:rsidR="00966E16" w:rsidRPr="002C5DE1">
        <w:rPr>
          <w:rFonts w:ascii="Times New Roman" w:hAnsi="Times New Roman" w:cs="Times New Roman"/>
          <w:color w:val="000000" w:themeColor="text1"/>
          <w:sz w:val="24"/>
          <w:szCs w:val="24"/>
          <w:lang w:val="en-US"/>
        </w:rPr>
        <w:t xml:space="preserve"> on consumption (i.e.</w:t>
      </w:r>
      <w:r w:rsidR="00C74BDD" w:rsidRPr="002C5DE1">
        <w:rPr>
          <w:rFonts w:ascii="Times New Roman" w:hAnsi="Times New Roman" w:cs="Times New Roman"/>
          <w:color w:val="000000" w:themeColor="text1"/>
          <w:sz w:val="24"/>
          <w:szCs w:val="24"/>
          <w:lang w:val="en-US"/>
        </w:rPr>
        <w:t>,</w:t>
      </w:r>
      <w:r w:rsidR="00966E16" w:rsidRPr="002C5DE1">
        <w:rPr>
          <w:rFonts w:ascii="Times New Roman" w:hAnsi="Times New Roman" w:cs="Times New Roman"/>
          <w:color w:val="000000" w:themeColor="text1"/>
          <w:sz w:val="24"/>
          <w:szCs w:val="24"/>
          <w:lang w:val="en-US"/>
        </w:rPr>
        <w:t xml:space="preserve"> Dong et al., 2017; Hui et al., 2018).</w:t>
      </w:r>
      <w:r w:rsidR="00604D5D" w:rsidRPr="002C5DE1">
        <w:rPr>
          <w:rFonts w:ascii="Times New Roman" w:hAnsi="Times New Roman" w:cs="Times New Roman"/>
          <w:color w:val="000000" w:themeColor="text1"/>
          <w:sz w:val="24"/>
          <w:szCs w:val="24"/>
          <w:lang w:val="en-US"/>
        </w:rPr>
        <w:t xml:space="preserve"> In addition, </w:t>
      </w:r>
      <w:r w:rsidR="00D14A39" w:rsidRPr="002C5DE1">
        <w:rPr>
          <w:rFonts w:ascii="Times New Roman" w:hAnsi="Times New Roman" w:cs="Times New Roman"/>
          <w:color w:val="000000" w:themeColor="text1"/>
          <w:sz w:val="24"/>
          <w:szCs w:val="24"/>
          <w:lang w:val="en-US"/>
        </w:rPr>
        <w:t xml:space="preserve">to the best of our knowledge, </w:t>
      </w:r>
      <w:r w:rsidR="00604D5D" w:rsidRPr="002C5DE1">
        <w:rPr>
          <w:rFonts w:ascii="Times New Roman" w:hAnsi="Times New Roman" w:cs="Times New Roman"/>
          <w:color w:val="000000" w:themeColor="text1"/>
          <w:sz w:val="24"/>
          <w:szCs w:val="24"/>
          <w:lang w:val="en-US"/>
        </w:rPr>
        <w:t xml:space="preserve">no research has been found that </w:t>
      </w:r>
      <w:r w:rsidR="00CC2F59" w:rsidRPr="002C5DE1">
        <w:rPr>
          <w:rFonts w:ascii="Times New Roman" w:hAnsi="Times New Roman" w:cs="Times New Roman"/>
          <w:color w:val="000000" w:themeColor="text1"/>
          <w:sz w:val="24"/>
          <w:szCs w:val="24"/>
          <w:lang w:val="en-US"/>
        </w:rPr>
        <w:t>employs the threshold regression model which is developed by Hansen (1999) and extended by Caner and Hansen (2004) and Kremer et al. (2013) to investigate</w:t>
      </w:r>
      <w:r w:rsidR="0037643B" w:rsidRPr="002C5DE1">
        <w:rPr>
          <w:rFonts w:ascii="Times New Roman" w:hAnsi="Times New Roman" w:cs="Times New Roman"/>
          <w:color w:val="000000" w:themeColor="text1"/>
          <w:sz w:val="24"/>
          <w:szCs w:val="24"/>
          <w:lang w:val="en-US"/>
        </w:rPr>
        <w:t xml:space="preserve"> the asymmetric effects of housing prices on consumption</w:t>
      </w:r>
      <w:r w:rsidR="00CC2F59" w:rsidRPr="002C5DE1">
        <w:rPr>
          <w:rFonts w:ascii="Times New Roman" w:hAnsi="Times New Roman" w:cs="Times New Roman"/>
          <w:color w:val="000000" w:themeColor="text1"/>
          <w:sz w:val="24"/>
          <w:szCs w:val="24"/>
          <w:lang w:val="en-US"/>
        </w:rPr>
        <w:t xml:space="preserve"> </w:t>
      </w:r>
      <w:r w:rsidR="0037643B" w:rsidRPr="002C5DE1">
        <w:rPr>
          <w:rFonts w:ascii="Times New Roman" w:hAnsi="Times New Roman" w:cs="Times New Roman"/>
          <w:color w:val="000000" w:themeColor="text1"/>
          <w:sz w:val="24"/>
          <w:szCs w:val="24"/>
          <w:lang w:val="en-US"/>
        </w:rPr>
        <w:t>across a wide range of countries.</w:t>
      </w:r>
      <w:r w:rsidR="009A4453" w:rsidRPr="002C5DE1">
        <w:rPr>
          <w:rFonts w:ascii="Times New Roman" w:hAnsi="Times New Roman" w:cs="Times New Roman"/>
          <w:color w:val="000000" w:themeColor="text1"/>
          <w:sz w:val="24"/>
          <w:szCs w:val="24"/>
          <w:lang w:val="en-US"/>
        </w:rPr>
        <w:t xml:space="preserve"> </w:t>
      </w:r>
      <w:r w:rsidR="001F0747" w:rsidRPr="002C5DE1">
        <w:rPr>
          <w:rFonts w:ascii="Times New Roman" w:hAnsi="Times New Roman" w:cs="Times New Roman"/>
          <w:color w:val="000000" w:themeColor="text1"/>
          <w:sz w:val="24"/>
          <w:szCs w:val="24"/>
          <w:lang w:val="en-US"/>
        </w:rPr>
        <w:t xml:space="preserve">The </w:t>
      </w:r>
      <w:r w:rsidR="00C74BDD" w:rsidRPr="002C5DE1">
        <w:rPr>
          <w:rFonts w:ascii="Times New Roman" w:hAnsi="Times New Roman" w:cs="Times New Roman"/>
          <w:color w:val="000000" w:themeColor="text1"/>
          <w:sz w:val="24"/>
          <w:szCs w:val="24"/>
          <w:lang w:val="en-US"/>
        </w:rPr>
        <w:t>goal</w:t>
      </w:r>
      <w:r w:rsidR="001F0747" w:rsidRPr="002C5DE1">
        <w:rPr>
          <w:rFonts w:ascii="Times New Roman" w:hAnsi="Times New Roman" w:cs="Times New Roman"/>
          <w:color w:val="000000" w:themeColor="text1"/>
          <w:sz w:val="24"/>
          <w:szCs w:val="24"/>
          <w:lang w:val="en-US"/>
        </w:rPr>
        <w:t xml:space="preserve"> of this study is to sh</w:t>
      </w:r>
      <w:r w:rsidR="00C74BDD" w:rsidRPr="002C5DE1">
        <w:rPr>
          <w:rFonts w:ascii="Times New Roman" w:hAnsi="Times New Roman" w:cs="Times New Roman"/>
          <w:color w:val="000000" w:themeColor="text1"/>
          <w:sz w:val="24"/>
          <w:szCs w:val="24"/>
          <w:lang w:val="en-US"/>
        </w:rPr>
        <w:t>ed</w:t>
      </w:r>
      <w:r w:rsidR="001F0747" w:rsidRPr="002C5DE1">
        <w:rPr>
          <w:rFonts w:ascii="Times New Roman" w:hAnsi="Times New Roman" w:cs="Times New Roman"/>
          <w:color w:val="000000" w:themeColor="text1"/>
          <w:sz w:val="24"/>
          <w:szCs w:val="24"/>
          <w:lang w:val="en-US"/>
        </w:rPr>
        <w:t xml:space="preserve"> new light on these debates through an examination of the threshold effects arising from financial development and housing affordability. Moreover, </w:t>
      </w:r>
      <w:r w:rsidR="00C74BDD" w:rsidRPr="002C5DE1">
        <w:rPr>
          <w:rFonts w:ascii="Times New Roman" w:hAnsi="Times New Roman" w:cs="Times New Roman"/>
          <w:color w:val="000000" w:themeColor="text1"/>
          <w:sz w:val="24"/>
          <w:szCs w:val="24"/>
          <w:lang w:val="en-US"/>
        </w:rPr>
        <w:t>it</w:t>
      </w:r>
      <w:r w:rsidR="001F0747" w:rsidRPr="002C5DE1">
        <w:rPr>
          <w:rFonts w:ascii="Times New Roman" w:hAnsi="Times New Roman" w:cs="Times New Roman"/>
          <w:color w:val="000000" w:themeColor="text1"/>
          <w:sz w:val="24"/>
          <w:szCs w:val="24"/>
          <w:lang w:val="en-US"/>
        </w:rPr>
        <w:t xml:space="preserve"> attempt</w:t>
      </w:r>
      <w:r w:rsidR="00C74BDD" w:rsidRPr="002C5DE1">
        <w:rPr>
          <w:rFonts w:ascii="Times New Roman" w:hAnsi="Times New Roman" w:cs="Times New Roman"/>
          <w:color w:val="000000" w:themeColor="text1"/>
          <w:sz w:val="24"/>
          <w:szCs w:val="24"/>
          <w:lang w:val="en-US"/>
        </w:rPr>
        <w:t>s</w:t>
      </w:r>
      <w:r w:rsidR="001F0747" w:rsidRPr="002C5DE1">
        <w:rPr>
          <w:rFonts w:ascii="Times New Roman" w:hAnsi="Times New Roman" w:cs="Times New Roman"/>
          <w:color w:val="000000" w:themeColor="text1"/>
          <w:sz w:val="24"/>
          <w:szCs w:val="24"/>
          <w:lang w:val="en-US"/>
        </w:rPr>
        <w:t xml:space="preserve"> to offer an insight into</w:t>
      </w:r>
      <w:r w:rsidR="00637E5F" w:rsidRPr="002C5DE1">
        <w:rPr>
          <w:rFonts w:ascii="Times New Roman" w:hAnsi="Times New Roman" w:cs="Times New Roman"/>
          <w:color w:val="000000" w:themeColor="text1"/>
          <w:sz w:val="24"/>
          <w:szCs w:val="24"/>
          <w:lang w:val="en-US"/>
        </w:rPr>
        <w:t xml:space="preserve"> </w:t>
      </w:r>
      <w:r w:rsidR="00C85F3E" w:rsidRPr="002C5DE1">
        <w:rPr>
          <w:rFonts w:ascii="Times New Roman" w:hAnsi="Times New Roman" w:cs="Times New Roman"/>
          <w:color w:val="000000" w:themeColor="text1"/>
          <w:sz w:val="24"/>
          <w:szCs w:val="24"/>
          <w:lang w:val="en-US"/>
        </w:rPr>
        <w:t xml:space="preserve">the underlying </w:t>
      </w:r>
      <w:r w:rsidR="00637E5F" w:rsidRPr="002C5DE1">
        <w:rPr>
          <w:rFonts w:ascii="Times New Roman" w:hAnsi="Times New Roman" w:cs="Times New Roman"/>
          <w:color w:val="000000" w:themeColor="text1"/>
          <w:sz w:val="24"/>
          <w:szCs w:val="24"/>
          <w:lang w:val="en-US"/>
        </w:rPr>
        <w:t>behavioral a</w:t>
      </w:r>
      <w:r w:rsidR="00FF5690" w:rsidRPr="002C5DE1">
        <w:rPr>
          <w:rFonts w:ascii="Times New Roman" w:hAnsi="Times New Roman" w:cs="Times New Roman"/>
          <w:color w:val="000000" w:themeColor="text1"/>
          <w:sz w:val="24"/>
          <w:szCs w:val="24"/>
          <w:lang w:val="en-US"/>
        </w:rPr>
        <w:t>spects.</w:t>
      </w:r>
    </w:p>
    <w:p w14:paraId="0B3064B9" w14:textId="77777777" w:rsidR="00AC5AE4" w:rsidRPr="002C5DE1" w:rsidRDefault="00435D5B" w:rsidP="001564A9">
      <w:pPr>
        <w:pStyle w:val="Heading1"/>
        <w:spacing w:before="120" w:after="120" w:line="276" w:lineRule="auto"/>
        <w:rPr>
          <w:rFonts w:ascii="Times New Roman" w:hAnsi="Times New Roman" w:cs="Times New Roman"/>
          <w:b/>
          <w:color w:val="000000" w:themeColor="text1"/>
          <w:sz w:val="24"/>
          <w:szCs w:val="24"/>
          <w:lang w:val="en-US"/>
        </w:rPr>
      </w:pPr>
      <w:r w:rsidRPr="002C5DE1">
        <w:rPr>
          <w:rFonts w:ascii="Times New Roman" w:hAnsi="Times New Roman" w:cs="Times New Roman"/>
          <w:b/>
          <w:color w:val="000000" w:themeColor="text1"/>
          <w:sz w:val="24"/>
          <w:szCs w:val="24"/>
          <w:lang w:val="en-US"/>
        </w:rPr>
        <w:t>4</w:t>
      </w:r>
      <w:r w:rsidR="00AC5AE4" w:rsidRPr="002C5DE1">
        <w:rPr>
          <w:rFonts w:ascii="Times New Roman" w:hAnsi="Times New Roman" w:cs="Times New Roman"/>
          <w:b/>
          <w:color w:val="000000" w:themeColor="text1"/>
          <w:sz w:val="24"/>
          <w:szCs w:val="24"/>
          <w:lang w:val="en-US"/>
        </w:rPr>
        <w:t>. Data and Modelling Strategy</w:t>
      </w:r>
    </w:p>
    <w:p w14:paraId="5A94C1BB" w14:textId="77777777" w:rsidR="00AC5AE4" w:rsidRPr="002C5DE1" w:rsidRDefault="00435D5B" w:rsidP="001564A9">
      <w:pPr>
        <w:pStyle w:val="Heading2"/>
        <w:spacing w:before="120" w:after="120" w:line="276" w:lineRule="auto"/>
        <w:rPr>
          <w:rFonts w:ascii="Times New Roman" w:hAnsi="Times New Roman" w:cs="Times New Roman"/>
          <w:b/>
          <w:color w:val="000000" w:themeColor="text1"/>
          <w:sz w:val="24"/>
          <w:szCs w:val="24"/>
          <w:lang w:val="en-US"/>
        </w:rPr>
      </w:pPr>
      <w:r w:rsidRPr="002C5DE1">
        <w:rPr>
          <w:rFonts w:ascii="Times New Roman" w:hAnsi="Times New Roman" w:cs="Times New Roman"/>
          <w:b/>
          <w:color w:val="000000" w:themeColor="text1"/>
          <w:sz w:val="24"/>
          <w:szCs w:val="24"/>
          <w:lang w:val="en-US"/>
        </w:rPr>
        <w:t>4</w:t>
      </w:r>
      <w:r w:rsidR="00733E3B" w:rsidRPr="002C5DE1">
        <w:rPr>
          <w:rFonts w:ascii="Times New Roman" w:hAnsi="Times New Roman" w:cs="Times New Roman"/>
          <w:b/>
          <w:color w:val="000000" w:themeColor="text1"/>
          <w:sz w:val="24"/>
          <w:szCs w:val="24"/>
          <w:lang w:val="en-US"/>
        </w:rPr>
        <w:t xml:space="preserve">.1. </w:t>
      </w:r>
      <w:r w:rsidR="00AC5AE4" w:rsidRPr="002C5DE1">
        <w:rPr>
          <w:rFonts w:ascii="Times New Roman" w:hAnsi="Times New Roman" w:cs="Times New Roman"/>
          <w:b/>
          <w:color w:val="000000" w:themeColor="text1"/>
          <w:sz w:val="24"/>
          <w:szCs w:val="24"/>
          <w:lang w:val="en-US"/>
        </w:rPr>
        <w:t>Data</w:t>
      </w:r>
    </w:p>
    <w:p w14:paraId="17D90970" w14:textId="77777777" w:rsidR="00F31019" w:rsidRPr="002C5DE1" w:rsidRDefault="00E71758" w:rsidP="00110707">
      <w:pPr>
        <w:spacing w:before="120" w:after="120" w:line="276" w:lineRule="auto"/>
        <w:ind w:firstLine="357"/>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 xml:space="preserve">This section describes the data and outlines the selection of data. </w:t>
      </w:r>
      <w:r w:rsidR="00C74BDD" w:rsidRPr="002C5DE1">
        <w:rPr>
          <w:rFonts w:ascii="Times New Roman" w:hAnsi="Times New Roman" w:cs="Times New Roman"/>
          <w:color w:val="000000" w:themeColor="text1"/>
          <w:sz w:val="24"/>
          <w:szCs w:val="24"/>
          <w:lang w:val="en-US"/>
        </w:rPr>
        <w:t>The</w:t>
      </w:r>
      <w:r w:rsidR="007C2921" w:rsidRPr="002C5DE1">
        <w:rPr>
          <w:rFonts w:ascii="Times New Roman" w:hAnsi="Times New Roman" w:cs="Times New Roman"/>
          <w:color w:val="000000" w:themeColor="text1"/>
          <w:sz w:val="24"/>
          <w:szCs w:val="24"/>
          <w:lang w:val="en-US"/>
        </w:rPr>
        <w:t xml:space="preserve"> analysis involves an unbalanced panel of 24 countries</w:t>
      </w:r>
      <w:r w:rsidR="0053686B" w:rsidRPr="002C5DE1">
        <w:rPr>
          <w:rStyle w:val="FootnoteReference"/>
          <w:rFonts w:ascii="Times New Roman" w:hAnsi="Times New Roman" w:cs="Times New Roman"/>
          <w:color w:val="000000" w:themeColor="text1"/>
          <w:sz w:val="24"/>
          <w:szCs w:val="24"/>
          <w:lang w:val="en-US"/>
        </w:rPr>
        <w:footnoteReference w:id="9"/>
      </w:r>
      <w:r w:rsidR="00C74BDD" w:rsidRPr="002C5DE1">
        <w:rPr>
          <w:rFonts w:ascii="Times New Roman" w:hAnsi="Times New Roman" w:cs="Times New Roman"/>
          <w:color w:val="000000" w:themeColor="text1"/>
          <w:sz w:val="24"/>
          <w:szCs w:val="24"/>
          <w:lang w:val="en-US"/>
        </w:rPr>
        <w:t>, spanning</w:t>
      </w:r>
      <w:r w:rsidR="007C2921" w:rsidRPr="002C5DE1">
        <w:rPr>
          <w:rFonts w:ascii="Times New Roman" w:hAnsi="Times New Roman" w:cs="Times New Roman"/>
          <w:color w:val="000000" w:themeColor="text1"/>
          <w:sz w:val="24"/>
          <w:szCs w:val="24"/>
          <w:lang w:val="en-US"/>
        </w:rPr>
        <w:t xml:space="preserve"> the period 2000</w:t>
      </w:r>
      <w:r w:rsidR="006A3DCB" w:rsidRPr="002C5DE1">
        <w:rPr>
          <w:rFonts w:ascii="Times New Roman" w:hAnsi="Times New Roman" w:cs="Times New Roman"/>
          <w:color w:val="000000" w:themeColor="text1"/>
          <w:sz w:val="24"/>
          <w:szCs w:val="24"/>
          <w:lang w:val="en-US"/>
        </w:rPr>
        <w:t>Q</w:t>
      </w:r>
      <w:r w:rsidR="007C2921" w:rsidRPr="002C5DE1">
        <w:rPr>
          <w:rFonts w:ascii="Times New Roman" w:hAnsi="Times New Roman" w:cs="Times New Roman"/>
          <w:color w:val="000000" w:themeColor="text1"/>
          <w:sz w:val="24"/>
          <w:szCs w:val="24"/>
          <w:lang w:val="en-US"/>
        </w:rPr>
        <w:t>1–2016</w:t>
      </w:r>
      <w:r w:rsidR="006A3DCB" w:rsidRPr="002C5DE1">
        <w:rPr>
          <w:rFonts w:ascii="Times New Roman" w:hAnsi="Times New Roman" w:cs="Times New Roman"/>
          <w:color w:val="000000" w:themeColor="text1"/>
          <w:sz w:val="24"/>
          <w:szCs w:val="24"/>
          <w:lang w:val="en-US"/>
        </w:rPr>
        <w:t>Q</w:t>
      </w:r>
      <w:r w:rsidR="007C2921" w:rsidRPr="002C5DE1">
        <w:rPr>
          <w:rFonts w:ascii="Times New Roman" w:hAnsi="Times New Roman" w:cs="Times New Roman"/>
          <w:color w:val="000000" w:themeColor="text1"/>
          <w:sz w:val="24"/>
          <w:szCs w:val="24"/>
          <w:lang w:val="en-US"/>
        </w:rPr>
        <w:t xml:space="preserve">4. The time span and selection of countries used </w:t>
      </w:r>
      <w:r w:rsidR="00C74BDD" w:rsidRPr="002C5DE1">
        <w:rPr>
          <w:rFonts w:ascii="Times New Roman" w:hAnsi="Times New Roman" w:cs="Times New Roman"/>
          <w:color w:val="000000" w:themeColor="text1"/>
          <w:sz w:val="24"/>
          <w:szCs w:val="24"/>
          <w:lang w:val="en-US"/>
        </w:rPr>
        <w:t>a</w:t>
      </w:r>
      <w:r w:rsidR="007C2921" w:rsidRPr="002C5DE1">
        <w:rPr>
          <w:rFonts w:ascii="Times New Roman" w:hAnsi="Times New Roman" w:cs="Times New Roman"/>
          <w:color w:val="000000" w:themeColor="text1"/>
          <w:sz w:val="24"/>
          <w:szCs w:val="24"/>
          <w:lang w:val="en-US"/>
        </w:rPr>
        <w:t xml:space="preserve">re constrained by </w:t>
      </w:r>
      <w:r w:rsidR="00C74BDD" w:rsidRPr="002C5DE1">
        <w:rPr>
          <w:rFonts w:ascii="Times New Roman" w:hAnsi="Times New Roman" w:cs="Times New Roman"/>
          <w:color w:val="000000" w:themeColor="text1"/>
          <w:sz w:val="24"/>
          <w:szCs w:val="24"/>
          <w:lang w:val="en-US"/>
        </w:rPr>
        <w:t>data</w:t>
      </w:r>
      <w:r w:rsidR="007C2921" w:rsidRPr="002C5DE1">
        <w:rPr>
          <w:rFonts w:ascii="Times New Roman" w:hAnsi="Times New Roman" w:cs="Times New Roman"/>
          <w:color w:val="000000" w:themeColor="text1"/>
          <w:sz w:val="24"/>
          <w:szCs w:val="24"/>
          <w:lang w:val="en-US"/>
        </w:rPr>
        <w:t xml:space="preserve"> availability. </w:t>
      </w:r>
      <w:r w:rsidR="001F0A53" w:rsidRPr="002C5DE1">
        <w:rPr>
          <w:rFonts w:ascii="Times New Roman" w:hAnsi="Times New Roman" w:cs="Times New Roman"/>
          <w:color w:val="000000" w:themeColor="text1"/>
          <w:sz w:val="24"/>
          <w:szCs w:val="24"/>
          <w:lang w:val="en-US"/>
        </w:rPr>
        <w:t>The research data in this study</w:t>
      </w:r>
      <w:r w:rsidR="00110707" w:rsidRPr="002C5DE1">
        <w:rPr>
          <w:rFonts w:ascii="Times New Roman" w:hAnsi="Times New Roman" w:cs="Times New Roman"/>
          <w:color w:val="000000" w:themeColor="text1"/>
          <w:sz w:val="24"/>
          <w:szCs w:val="24"/>
          <w:lang w:val="en-US"/>
        </w:rPr>
        <w:t xml:space="preserve"> is </w:t>
      </w:r>
      <w:r w:rsidR="00F95C6A" w:rsidRPr="002C5DE1">
        <w:rPr>
          <w:rFonts w:ascii="Times New Roman" w:hAnsi="Times New Roman" w:cs="Times New Roman"/>
          <w:color w:val="000000" w:themeColor="text1"/>
          <w:sz w:val="24"/>
          <w:szCs w:val="24"/>
          <w:lang w:val="en-US"/>
        </w:rPr>
        <w:t xml:space="preserve">quarterly and </w:t>
      </w:r>
      <w:r w:rsidR="007C2921" w:rsidRPr="002C5DE1">
        <w:rPr>
          <w:rFonts w:ascii="Times New Roman" w:hAnsi="Times New Roman" w:cs="Times New Roman"/>
          <w:color w:val="000000" w:themeColor="text1"/>
          <w:sz w:val="24"/>
          <w:szCs w:val="24"/>
          <w:lang w:val="en-US"/>
        </w:rPr>
        <w:t>drawn from two</w:t>
      </w:r>
      <w:r w:rsidR="001F0A53" w:rsidRPr="002C5DE1">
        <w:rPr>
          <w:rFonts w:ascii="Times New Roman" w:hAnsi="Times New Roman" w:cs="Times New Roman"/>
          <w:color w:val="000000" w:themeColor="text1"/>
          <w:sz w:val="24"/>
          <w:szCs w:val="24"/>
          <w:lang w:val="en-US"/>
        </w:rPr>
        <w:t xml:space="preserve"> main sources: International Monetary Fund (IMF) and </w:t>
      </w:r>
      <w:r w:rsidR="00C74BDD" w:rsidRPr="002C5DE1">
        <w:rPr>
          <w:rFonts w:ascii="Times New Roman" w:hAnsi="Times New Roman" w:cs="Times New Roman"/>
          <w:color w:val="000000" w:themeColor="text1"/>
          <w:sz w:val="24"/>
          <w:szCs w:val="24"/>
          <w:lang w:val="en-US"/>
        </w:rPr>
        <w:t xml:space="preserve">the </w:t>
      </w:r>
      <w:r w:rsidR="00700218" w:rsidRPr="002C5DE1">
        <w:rPr>
          <w:rFonts w:ascii="Times New Roman" w:hAnsi="Times New Roman" w:cs="Times New Roman"/>
          <w:color w:val="000000" w:themeColor="text1"/>
          <w:sz w:val="24"/>
          <w:szCs w:val="24"/>
          <w:lang w:val="en-US"/>
        </w:rPr>
        <w:t>Organization</w:t>
      </w:r>
      <w:r w:rsidR="001F0A53" w:rsidRPr="002C5DE1">
        <w:rPr>
          <w:rFonts w:ascii="Times New Roman" w:hAnsi="Times New Roman" w:cs="Times New Roman"/>
          <w:color w:val="000000" w:themeColor="text1"/>
          <w:sz w:val="24"/>
          <w:szCs w:val="24"/>
          <w:lang w:val="en-US"/>
        </w:rPr>
        <w:t xml:space="preserve"> for Economic Co-operation and Development (OECD).</w:t>
      </w:r>
      <w:r w:rsidR="00B16FBD" w:rsidRPr="002C5DE1">
        <w:rPr>
          <w:rFonts w:ascii="Times New Roman" w:hAnsi="Times New Roman" w:cs="Times New Roman"/>
          <w:color w:val="000000" w:themeColor="text1"/>
          <w:sz w:val="24"/>
          <w:szCs w:val="24"/>
          <w:lang w:val="en-US"/>
        </w:rPr>
        <w:t xml:space="preserve"> </w:t>
      </w:r>
      <w:r w:rsidR="007C2921" w:rsidRPr="002C5DE1">
        <w:rPr>
          <w:rFonts w:ascii="Times New Roman" w:hAnsi="Times New Roman" w:cs="Times New Roman"/>
          <w:color w:val="000000" w:themeColor="text1"/>
          <w:sz w:val="24"/>
          <w:szCs w:val="24"/>
          <w:lang w:val="en-US"/>
        </w:rPr>
        <w:t>The consumption data are households’ final consumption</w:t>
      </w:r>
      <w:r w:rsidR="001973E9" w:rsidRPr="002C5DE1">
        <w:rPr>
          <w:rFonts w:ascii="Times New Roman" w:hAnsi="Times New Roman" w:cs="Times New Roman"/>
          <w:color w:val="000000" w:themeColor="text1"/>
          <w:sz w:val="24"/>
          <w:szCs w:val="24"/>
          <w:lang w:val="en-US"/>
        </w:rPr>
        <w:t xml:space="preserve"> and the proxy variable for income is GDP</w:t>
      </w:r>
      <w:r w:rsidR="00CF7C50" w:rsidRPr="002C5DE1">
        <w:rPr>
          <w:rFonts w:ascii="Times New Roman" w:hAnsi="Times New Roman" w:cs="Times New Roman"/>
          <w:color w:val="000000" w:themeColor="text1"/>
          <w:sz w:val="24"/>
          <w:szCs w:val="24"/>
          <w:lang w:val="en-US"/>
        </w:rPr>
        <w:t xml:space="preserve"> per capita</w:t>
      </w:r>
      <w:r w:rsidR="001973E9" w:rsidRPr="002C5DE1">
        <w:rPr>
          <w:rFonts w:ascii="Times New Roman" w:hAnsi="Times New Roman" w:cs="Times New Roman"/>
          <w:color w:val="000000" w:themeColor="text1"/>
          <w:sz w:val="24"/>
          <w:szCs w:val="24"/>
          <w:lang w:val="en-US"/>
        </w:rPr>
        <w:t xml:space="preserve">. Both </w:t>
      </w:r>
      <w:r w:rsidR="00C74BDD" w:rsidRPr="002C5DE1">
        <w:rPr>
          <w:rFonts w:ascii="Times New Roman" w:hAnsi="Times New Roman" w:cs="Times New Roman"/>
          <w:color w:val="000000" w:themeColor="text1"/>
          <w:sz w:val="24"/>
          <w:szCs w:val="24"/>
          <w:lang w:val="en-US"/>
        </w:rPr>
        <w:t xml:space="preserve">types of </w:t>
      </w:r>
      <w:r w:rsidR="001973E9" w:rsidRPr="002C5DE1">
        <w:rPr>
          <w:rFonts w:ascii="Times New Roman" w:hAnsi="Times New Roman" w:cs="Times New Roman"/>
          <w:color w:val="000000" w:themeColor="text1"/>
          <w:sz w:val="24"/>
          <w:szCs w:val="24"/>
          <w:lang w:val="en-US"/>
        </w:rPr>
        <w:t xml:space="preserve">data are collected from </w:t>
      </w:r>
      <w:r w:rsidR="00C74BDD" w:rsidRPr="002C5DE1">
        <w:rPr>
          <w:rFonts w:ascii="Times New Roman" w:hAnsi="Times New Roman" w:cs="Times New Roman"/>
          <w:color w:val="000000" w:themeColor="text1"/>
          <w:sz w:val="24"/>
          <w:szCs w:val="24"/>
          <w:lang w:val="en-US"/>
        </w:rPr>
        <w:t xml:space="preserve">the </w:t>
      </w:r>
      <w:r w:rsidR="00300245" w:rsidRPr="002C5DE1">
        <w:rPr>
          <w:rFonts w:ascii="Times New Roman" w:hAnsi="Times New Roman" w:cs="Times New Roman"/>
          <w:color w:val="000000" w:themeColor="text1"/>
          <w:sz w:val="24"/>
          <w:szCs w:val="24"/>
          <w:lang w:val="en-US"/>
        </w:rPr>
        <w:t>IMF a</w:t>
      </w:r>
      <w:r w:rsidR="00C74BDD" w:rsidRPr="002C5DE1">
        <w:rPr>
          <w:rFonts w:ascii="Times New Roman" w:hAnsi="Times New Roman" w:cs="Times New Roman"/>
          <w:color w:val="000000" w:themeColor="text1"/>
          <w:sz w:val="24"/>
          <w:szCs w:val="24"/>
          <w:lang w:val="en-US"/>
        </w:rPr>
        <w:t>nd are</w:t>
      </w:r>
      <w:r w:rsidR="00300245" w:rsidRPr="002C5DE1">
        <w:rPr>
          <w:rFonts w:ascii="Times New Roman" w:hAnsi="Times New Roman" w:cs="Times New Roman"/>
          <w:color w:val="000000" w:themeColor="text1"/>
          <w:sz w:val="24"/>
          <w:szCs w:val="24"/>
          <w:lang w:val="en-US"/>
        </w:rPr>
        <w:t xml:space="preserve"> seasonally adjusted.</w:t>
      </w:r>
      <w:r w:rsidR="00CF7C50" w:rsidRPr="002C5DE1">
        <w:rPr>
          <w:rFonts w:ascii="Times New Roman" w:hAnsi="Times New Roman" w:cs="Times New Roman"/>
          <w:color w:val="000000" w:themeColor="text1"/>
          <w:sz w:val="24"/>
          <w:szCs w:val="24"/>
          <w:lang w:val="en-US"/>
        </w:rPr>
        <w:t xml:space="preserve"> </w:t>
      </w:r>
    </w:p>
    <w:p w14:paraId="7C4BD3BE" w14:textId="77777777" w:rsidR="00300245" w:rsidRPr="002C5DE1" w:rsidRDefault="00300245" w:rsidP="008E588C">
      <w:pPr>
        <w:spacing w:before="120" w:after="120" w:line="276" w:lineRule="auto"/>
        <w:ind w:firstLine="357"/>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T</w:t>
      </w:r>
      <w:r w:rsidR="00C74BDD" w:rsidRPr="002C5DE1">
        <w:rPr>
          <w:rFonts w:ascii="Times New Roman" w:hAnsi="Times New Roman" w:cs="Times New Roman"/>
          <w:color w:val="000000" w:themeColor="text1"/>
          <w:sz w:val="24"/>
          <w:szCs w:val="24"/>
          <w:lang w:val="en-US"/>
        </w:rPr>
        <w:t>he t</w:t>
      </w:r>
      <w:r w:rsidRPr="002C5DE1">
        <w:rPr>
          <w:rFonts w:ascii="Times New Roman" w:hAnsi="Times New Roman" w:cs="Times New Roman"/>
          <w:color w:val="000000" w:themeColor="text1"/>
          <w:sz w:val="24"/>
          <w:szCs w:val="24"/>
          <w:lang w:val="en-US"/>
        </w:rPr>
        <w:t xml:space="preserve">wo wealth components of households are financial and housing wealth. </w:t>
      </w:r>
      <w:r w:rsidR="00C74BDD" w:rsidRPr="002C5DE1">
        <w:rPr>
          <w:rFonts w:ascii="Times New Roman" w:hAnsi="Times New Roman" w:cs="Times New Roman"/>
          <w:color w:val="000000" w:themeColor="text1"/>
          <w:sz w:val="24"/>
          <w:szCs w:val="24"/>
          <w:lang w:val="en-US"/>
        </w:rPr>
        <w:t xml:space="preserve">The stock </w:t>
      </w:r>
      <w:r w:rsidRPr="002C5DE1">
        <w:rPr>
          <w:rFonts w:ascii="Times New Roman" w:hAnsi="Times New Roman" w:cs="Times New Roman"/>
          <w:color w:val="000000" w:themeColor="text1"/>
          <w:sz w:val="24"/>
          <w:szCs w:val="24"/>
          <w:lang w:val="en-US"/>
        </w:rPr>
        <w:t xml:space="preserve">price index and </w:t>
      </w:r>
      <w:r w:rsidR="00C74BDD" w:rsidRPr="002C5DE1">
        <w:rPr>
          <w:rFonts w:ascii="Times New Roman" w:hAnsi="Times New Roman" w:cs="Times New Roman"/>
          <w:color w:val="000000" w:themeColor="text1"/>
          <w:sz w:val="24"/>
          <w:szCs w:val="24"/>
          <w:lang w:val="en-US"/>
        </w:rPr>
        <w:t xml:space="preserve">the </w:t>
      </w:r>
      <w:r w:rsidRPr="002C5DE1">
        <w:rPr>
          <w:rFonts w:ascii="Times New Roman" w:hAnsi="Times New Roman" w:cs="Times New Roman"/>
          <w:color w:val="000000" w:themeColor="text1"/>
          <w:sz w:val="24"/>
          <w:szCs w:val="24"/>
          <w:lang w:val="en-US"/>
        </w:rPr>
        <w:t>real house price index</w:t>
      </w:r>
      <w:r w:rsidR="000436A0" w:rsidRPr="002C5DE1">
        <w:rPr>
          <w:rStyle w:val="FootnoteReference"/>
          <w:rFonts w:ascii="Times New Roman" w:hAnsi="Times New Roman" w:cs="Times New Roman"/>
          <w:color w:val="000000" w:themeColor="text1"/>
          <w:sz w:val="24"/>
          <w:szCs w:val="24"/>
          <w:lang w:val="en-US"/>
        </w:rPr>
        <w:footnoteReference w:id="10"/>
      </w:r>
      <w:r w:rsidRPr="002C5DE1">
        <w:rPr>
          <w:rFonts w:ascii="Times New Roman" w:hAnsi="Times New Roman" w:cs="Times New Roman"/>
          <w:color w:val="000000" w:themeColor="text1"/>
          <w:sz w:val="24"/>
          <w:szCs w:val="24"/>
          <w:lang w:val="en-US"/>
        </w:rPr>
        <w:t xml:space="preserve"> are used as proxy variables for financial and housing wealth</w:t>
      </w:r>
      <w:r w:rsidR="00C74BDD" w:rsidRPr="002C5DE1">
        <w:rPr>
          <w:rFonts w:ascii="Times New Roman" w:hAnsi="Times New Roman" w:cs="Times New Roman"/>
          <w:color w:val="000000" w:themeColor="text1"/>
          <w:sz w:val="24"/>
          <w:szCs w:val="24"/>
          <w:lang w:val="en-US"/>
        </w:rPr>
        <w:t>,</w:t>
      </w:r>
      <w:r w:rsidRPr="002C5DE1">
        <w:rPr>
          <w:rFonts w:ascii="Times New Roman" w:hAnsi="Times New Roman" w:cs="Times New Roman"/>
          <w:color w:val="000000" w:themeColor="text1"/>
          <w:sz w:val="24"/>
          <w:szCs w:val="24"/>
          <w:lang w:val="en-US"/>
        </w:rPr>
        <w:t xml:space="preserve"> respectively.</w:t>
      </w:r>
      <w:r w:rsidR="00317673" w:rsidRPr="002C5DE1">
        <w:rPr>
          <w:rFonts w:ascii="Times New Roman" w:hAnsi="Times New Roman" w:cs="Times New Roman"/>
          <w:color w:val="000000" w:themeColor="text1"/>
          <w:sz w:val="24"/>
          <w:szCs w:val="24"/>
          <w:lang w:val="en-US"/>
        </w:rPr>
        <w:t xml:space="preserve"> </w:t>
      </w:r>
      <w:r w:rsidR="004A2E57" w:rsidRPr="002C5DE1">
        <w:rPr>
          <w:rFonts w:ascii="Times New Roman" w:hAnsi="Times New Roman" w:cs="Times New Roman"/>
          <w:color w:val="000000" w:themeColor="text1"/>
          <w:sz w:val="24"/>
          <w:szCs w:val="24"/>
          <w:lang w:val="en-US"/>
        </w:rPr>
        <w:t>S</w:t>
      </w:r>
      <w:r w:rsidR="00C74BDD" w:rsidRPr="002C5DE1">
        <w:rPr>
          <w:rFonts w:ascii="Times New Roman" w:hAnsi="Times New Roman" w:cs="Times New Roman"/>
          <w:color w:val="000000" w:themeColor="text1"/>
          <w:sz w:val="24"/>
          <w:szCs w:val="24"/>
          <w:lang w:val="en-US"/>
        </w:rPr>
        <w:t>tock</w:t>
      </w:r>
      <w:r w:rsidR="004A2E57" w:rsidRPr="002C5DE1">
        <w:rPr>
          <w:rFonts w:ascii="Times New Roman" w:hAnsi="Times New Roman" w:cs="Times New Roman"/>
          <w:color w:val="000000" w:themeColor="text1"/>
          <w:sz w:val="24"/>
          <w:szCs w:val="24"/>
          <w:lang w:val="en-US"/>
        </w:rPr>
        <w:t xml:space="preserve"> price indices are calculated from the prices of common s</w:t>
      </w:r>
      <w:r w:rsidR="00C74BDD" w:rsidRPr="002C5DE1">
        <w:rPr>
          <w:rFonts w:ascii="Times New Roman" w:hAnsi="Times New Roman" w:cs="Times New Roman"/>
          <w:color w:val="000000" w:themeColor="text1"/>
          <w:sz w:val="24"/>
          <w:szCs w:val="24"/>
          <w:lang w:val="en-US"/>
        </w:rPr>
        <w:t>tock</w:t>
      </w:r>
      <w:r w:rsidR="004A2E57" w:rsidRPr="002C5DE1">
        <w:rPr>
          <w:rFonts w:ascii="Times New Roman" w:hAnsi="Times New Roman" w:cs="Times New Roman"/>
          <w:color w:val="000000" w:themeColor="text1"/>
          <w:sz w:val="24"/>
          <w:szCs w:val="24"/>
          <w:lang w:val="en-US"/>
        </w:rPr>
        <w:t xml:space="preserve"> of companies traded on national or foreign stock exchanges. </w:t>
      </w:r>
      <w:r w:rsidR="00061B2A" w:rsidRPr="002C5DE1">
        <w:rPr>
          <w:rFonts w:ascii="Times New Roman" w:hAnsi="Times New Roman" w:cs="Times New Roman"/>
          <w:color w:val="000000" w:themeColor="text1"/>
          <w:sz w:val="24"/>
          <w:szCs w:val="24"/>
          <w:lang w:val="en-US"/>
        </w:rPr>
        <w:t xml:space="preserve">Real house price index series are seasonally adjusted. </w:t>
      </w:r>
      <w:r w:rsidR="00317673" w:rsidRPr="002C5DE1">
        <w:rPr>
          <w:rFonts w:ascii="Times New Roman" w:hAnsi="Times New Roman" w:cs="Times New Roman"/>
          <w:color w:val="000000" w:themeColor="text1"/>
          <w:sz w:val="24"/>
          <w:szCs w:val="24"/>
          <w:lang w:val="en-US"/>
        </w:rPr>
        <w:t xml:space="preserve">The data are </w:t>
      </w:r>
      <w:r w:rsidR="00C74BDD" w:rsidRPr="002C5DE1">
        <w:rPr>
          <w:rFonts w:ascii="Times New Roman" w:hAnsi="Times New Roman" w:cs="Times New Roman"/>
          <w:color w:val="000000" w:themeColor="text1"/>
          <w:sz w:val="24"/>
          <w:szCs w:val="24"/>
          <w:lang w:val="en-US"/>
        </w:rPr>
        <w:t>obtained</w:t>
      </w:r>
      <w:r w:rsidR="00317673" w:rsidRPr="002C5DE1">
        <w:rPr>
          <w:rFonts w:ascii="Times New Roman" w:hAnsi="Times New Roman" w:cs="Times New Roman"/>
          <w:color w:val="000000" w:themeColor="text1"/>
          <w:sz w:val="24"/>
          <w:szCs w:val="24"/>
          <w:lang w:val="en-US"/>
        </w:rPr>
        <w:t xml:space="preserve"> from </w:t>
      </w:r>
      <w:r w:rsidR="00C74BDD" w:rsidRPr="002C5DE1">
        <w:rPr>
          <w:rFonts w:ascii="Times New Roman" w:hAnsi="Times New Roman" w:cs="Times New Roman"/>
          <w:color w:val="000000" w:themeColor="text1"/>
          <w:sz w:val="24"/>
          <w:szCs w:val="24"/>
          <w:lang w:val="en-US"/>
        </w:rPr>
        <w:t xml:space="preserve">the </w:t>
      </w:r>
      <w:r w:rsidR="00317673" w:rsidRPr="002C5DE1">
        <w:rPr>
          <w:rFonts w:ascii="Times New Roman" w:hAnsi="Times New Roman" w:cs="Times New Roman"/>
          <w:color w:val="000000" w:themeColor="text1"/>
          <w:sz w:val="24"/>
          <w:szCs w:val="24"/>
          <w:lang w:val="en-US"/>
        </w:rPr>
        <w:t>OECD</w:t>
      </w:r>
      <w:r w:rsidR="00E31987" w:rsidRPr="002C5DE1">
        <w:rPr>
          <w:rFonts w:ascii="Times New Roman" w:hAnsi="Times New Roman" w:cs="Times New Roman"/>
          <w:color w:val="000000" w:themeColor="text1"/>
          <w:sz w:val="24"/>
          <w:szCs w:val="24"/>
          <w:lang w:val="en-US"/>
        </w:rPr>
        <w:t xml:space="preserve"> database</w:t>
      </w:r>
      <w:r w:rsidR="00C400A2" w:rsidRPr="002C5DE1">
        <w:rPr>
          <w:rFonts w:ascii="Times New Roman" w:hAnsi="Times New Roman" w:cs="Times New Roman"/>
          <w:color w:val="000000" w:themeColor="text1"/>
          <w:sz w:val="24"/>
          <w:szCs w:val="24"/>
          <w:lang w:val="en-US"/>
        </w:rPr>
        <w:t xml:space="preserve">. </w:t>
      </w:r>
      <w:r w:rsidR="00C74BDD" w:rsidRPr="002C5DE1">
        <w:rPr>
          <w:rFonts w:ascii="Times New Roman" w:hAnsi="Times New Roman" w:cs="Times New Roman"/>
          <w:color w:val="000000" w:themeColor="text1"/>
          <w:sz w:val="24"/>
          <w:szCs w:val="24"/>
          <w:lang w:val="en-US"/>
        </w:rPr>
        <w:t>This</w:t>
      </w:r>
      <w:r w:rsidR="00C400A2" w:rsidRPr="002C5DE1">
        <w:rPr>
          <w:rFonts w:ascii="Times New Roman" w:hAnsi="Times New Roman" w:cs="Times New Roman"/>
          <w:color w:val="000000" w:themeColor="text1"/>
          <w:sz w:val="24"/>
          <w:szCs w:val="24"/>
          <w:lang w:val="en-US"/>
        </w:rPr>
        <w:t xml:space="preserve"> study </w:t>
      </w:r>
      <w:r w:rsidR="00C74BDD" w:rsidRPr="002C5DE1">
        <w:rPr>
          <w:rFonts w:ascii="Times New Roman" w:hAnsi="Times New Roman" w:cs="Times New Roman"/>
          <w:color w:val="000000" w:themeColor="text1"/>
          <w:sz w:val="24"/>
          <w:szCs w:val="24"/>
          <w:lang w:val="en-US"/>
        </w:rPr>
        <w:t>employs</w:t>
      </w:r>
      <w:r w:rsidR="00C400A2" w:rsidRPr="002C5DE1">
        <w:rPr>
          <w:rFonts w:ascii="Times New Roman" w:hAnsi="Times New Roman" w:cs="Times New Roman"/>
          <w:color w:val="000000" w:themeColor="text1"/>
          <w:sz w:val="24"/>
          <w:szCs w:val="24"/>
          <w:lang w:val="en-US"/>
        </w:rPr>
        <w:t xml:space="preserve"> two threshold variables to </w:t>
      </w:r>
      <w:r w:rsidR="00700218" w:rsidRPr="002C5DE1">
        <w:rPr>
          <w:rFonts w:ascii="Times New Roman" w:hAnsi="Times New Roman" w:cs="Times New Roman"/>
          <w:color w:val="000000" w:themeColor="text1"/>
          <w:sz w:val="24"/>
          <w:szCs w:val="24"/>
          <w:lang w:val="en-US"/>
        </w:rPr>
        <w:t>analyze</w:t>
      </w:r>
      <w:r w:rsidR="00C400A2" w:rsidRPr="002C5DE1">
        <w:rPr>
          <w:rFonts w:ascii="Times New Roman" w:hAnsi="Times New Roman" w:cs="Times New Roman"/>
          <w:color w:val="000000" w:themeColor="text1"/>
          <w:sz w:val="24"/>
          <w:szCs w:val="24"/>
          <w:lang w:val="en-US"/>
        </w:rPr>
        <w:t xml:space="preserve"> the effect of housing affordability and financial deepening </w:t>
      </w:r>
      <w:r w:rsidR="00EA328F" w:rsidRPr="002C5DE1">
        <w:rPr>
          <w:rFonts w:ascii="Times New Roman" w:hAnsi="Times New Roman" w:cs="Times New Roman"/>
          <w:color w:val="000000" w:themeColor="text1"/>
          <w:sz w:val="24"/>
          <w:szCs w:val="24"/>
          <w:lang w:val="en-US"/>
        </w:rPr>
        <w:t xml:space="preserve">(FD) </w:t>
      </w:r>
      <w:r w:rsidR="00C400A2" w:rsidRPr="002C5DE1">
        <w:rPr>
          <w:rFonts w:ascii="Times New Roman" w:hAnsi="Times New Roman" w:cs="Times New Roman"/>
          <w:color w:val="000000" w:themeColor="text1"/>
          <w:sz w:val="24"/>
          <w:szCs w:val="24"/>
          <w:lang w:val="en-US"/>
        </w:rPr>
        <w:lastRenderedPageBreak/>
        <w:t xml:space="preserve">on households’ consumption. </w:t>
      </w:r>
      <w:r w:rsidR="00C74BDD" w:rsidRPr="002C5DE1">
        <w:rPr>
          <w:rFonts w:ascii="Times New Roman" w:hAnsi="Times New Roman" w:cs="Times New Roman"/>
          <w:color w:val="000000" w:themeColor="text1"/>
          <w:sz w:val="24"/>
          <w:szCs w:val="24"/>
          <w:lang w:val="en-US"/>
        </w:rPr>
        <w:t xml:space="preserve">The </w:t>
      </w:r>
      <w:r w:rsidR="00700218" w:rsidRPr="002C5DE1">
        <w:rPr>
          <w:rFonts w:ascii="Times New Roman" w:hAnsi="Times New Roman" w:cs="Times New Roman"/>
          <w:color w:val="000000" w:themeColor="text1"/>
          <w:sz w:val="24"/>
          <w:szCs w:val="24"/>
          <w:lang w:val="en-US"/>
        </w:rPr>
        <w:t>standardized</w:t>
      </w:r>
      <w:r w:rsidR="00BF6562" w:rsidRPr="002C5DE1">
        <w:rPr>
          <w:rFonts w:ascii="Times New Roman" w:hAnsi="Times New Roman" w:cs="Times New Roman"/>
          <w:color w:val="000000" w:themeColor="text1"/>
          <w:sz w:val="24"/>
          <w:szCs w:val="24"/>
          <w:lang w:val="en-US"/>
        </w:rPr>
        <w:t xml:space="preserve"> house price to income r</w:t>
      </w:r>
      <w:r w:rsidR="00CF2BC7" w:rsidRPr="002C5DE1">
        <w:rPr>
          <w:rFonts w:ascii="Times New Roman" w:hAnsi="Times New Roman" w:cs="Times New Roman"/>
          <w:color w:val="000000" w:themeColor="text1"/>
          <w:sz w:val="24"/>
          <w:szCs w:val="24"/>
          <w:lang w:val="en-US"/>
        </w:rPr>
        <w:t>atio</w:t>
      </w:r>
      <w:r w:rsidR="000436A0" w:rsidRPr="002C5DE1">
        <w:rPr>
          <w:rStyle w:val="FootnoteReference"/>
          <w:rFonts w:ascii="Times New Roman" w:hAnsi="Times New Roman" w:cs="Times New Roman"/>
          <w:color w:val="000000" w:themeColor="text1"/>
          <w:sz w:val="24"/>
          <w:szCs w:val="24"/>
          <w:lang w:val="en-US"/>
        </w:rPr>
        <w:footnoteReference w:id="11"/>
      </w:r>
      <w:r w:rsidR="00CF2BC7" w:rsidRPr="002C5DE1">
        <w:rPr>
          <w:rFonts w:ascii="Times New Roman" w:hAnsi="Times New Roman" w:cs="Times New Roman"/>
          <w:color w:val="000000" w:themeColor="text1"/>
          <w:sz w:val="24"/>
          <w:szCs w:val="24"/>
          <w:lang w:val="en-US"/>
        </w:rPr>
        <w:t xml:space="preserve"> indicates the housing affordability which is provided by OECD.</w:t>
      </w:r>
      <w:r w:rsidR="00F814DE" w:rsidRPr="002C5DE1">
        <w:rPr>
          <w:rFonts w:ascii="Times New Roman" w:hAnsi="Times New Roman" w:cs="Times New Roman"/>
          <w:color w:val="000000" w:themeColor="text1"/>
          <w:sz w:val="24"/>
          <w:szCs w:val="24"/>
          <w:lang w:val="en-US"/>
        </w:rPr>
        <w:t xml:space="preserve"> </w:t>
      </w:r>
      <w:r w:rsidR="00EA328F" w:rsidRPr="002C5DE1">
        <w:rPr>
          <w:rFonts w:ascii="Times New Roman" w:hAnsi="Times New Roman" w:cs="Times New Roman"/>
          <w:color w:val="000000" w:themeColor="text1"/>
          <w:sz w:val="24"/>
          <w:szCs w:val="24"/>
          <w:lang w:val="en-US"/>
        </w:rPr>
        <w:t xml:space="preserve">The </w:t>
      </w:r>
      <w:r w:rsidR="00F814DE" w:rsidRPr="002C5DE1">
        <w:rPr>
          <w:rFonts w:ascii="Times New Roman" w:hAnsi="Times New Roman" w:cs="Times New Roman"/>
          <w:color w:val="000000" w:themeColor="text1"/>
          <w:sz w:val="24"/>
          <w:szCs w:val="24"/>
          <w:lang w:val="en-US"/>
        </w:rPr>
        <w:t>FD</w:t>
      </w:r>
      <w:r w:rsidR="00EA328F" w:rsidRPr="002C5DE1">
        <w:rPr>
          <w:rFonts w:ascii="Times New Roman" w:hAnsi="Times New Roman" w:cs="Times New Roman"/>
          <w:color w:val="000000" w:themeColor="text1"/>
          <w:sz w:val="24"/>
          <w:szCs w:val="24"/>
          <w:lang w:val="en-US"/>
        </w:rPr>
        <w:t xml:space="preserve"> </w:t>
      </w:r>
      <w:r w:rsidR="00F95C6A" w:rsidRPr="002C5DE1">
        <w:rPr>
          <w:rFonts w:ascii="Times New Roman" w:hAnsi="Times New Roman" w:cs="Times New Roman"/>
          <w:color w:val="000000" w:themeColor="text1"/>
          <w:sz w:val="24"/>
          <w:szCs w:val="24"/>
          <w:lang w:val="en-US"/>
        </w:rPr>
        <w:t>ranking retrieved from</w:t>
      </w:r>
      <w:r w:rsidR="00EA328F" w:rsidRPr="002C5DE1">
        <w:rPr>
          <w:rFonts w:ascii="Times New Roman" w:hAnsi="Times New Roman" w:cs="Times New Roman"/>
          <w:color w:val="000000" w:themeColor="text1"/>
          <w:sz w:val="24"/>
          <w:szCs w:val="24"/>
          <w:lang w:val="en-US"/>
        </w:rPr>
        <w:t xml:space="preserve"> IMF,</w:t>
      </w:r>
      <w:r w:rsidR="00F814DE" w:rsidRPr="002C5DE1">
        <w:rPr>
          <w:rFonts w:ascii="Times New Roman" w:hAnsi="Times New Roman" w:cs="Times New Roman"/>
          <w:color w:val="000000" w:themeColor="text1"/>
          <w:sz w:val="24"/>
          <w:szCs w:val="24"/>
          <w:lang w:val="en-US"/>
        </w:rPr>
        <w:t xml:space="preserve"> is a relative ranking of countries on the depth, access, and efficiency of their financial institutions and financial markets</w:t>
      </w:r>
      <w:r w:rsidR="00AE0EAA" w:rsidRPr="002C5DE1">
        <w:rPr>
          <w:rFonts w:ascii="Times New Roman" w:hAnsi="Times New Roman" w:cs="Times New Roman"/>
          <w:color w:val="000000" w:themeColor="text1"/>
          <w:sz w:val="24"/>
          <w:szCs w:val="24"/>
          <w:lang w:val="en-US"/>
        </w:rPr>
        <w:t xml:space="preserve"> (</w:t>
      </w:r>
      <w:r w:rsidR="00EC1F23" w:rsidRPr="002C5DE1">
        <w:rPr>
          <w:rFonts w:ascii="Times New Roman" w:hAnsi="Times New Roman" w:cs="Times New Roman"/>
          <w:color w:val="000000" w:themeColor="text1"/>
          <w:sz w:val="24"/>
          <w:szCs w:val="24"/>
          <w:shd w:val="clear" w:color="auto" w:fill="FFFFFF"/>
          <w:lang w:val="en-US"/>
        </w:rPr>
        <w:t xml:space="preserve">Sahay et al., 2015; </w:t>
      </w:r>
      <w:proofErr w:type="spellStart"/>
      <w:r w:rsidR="00EC1F23" w:rsidRPr="002C5DE1">
        <w:rPr>
          <w:rFonts w:ascii="Times New Roman" w:hAnsi="Times New Roman" w:cs="Times New Roman"/>
          <w:color w:val="000000" w:themeColor="text1"/>
          <w:sz w:val="24"/>
          <w:szCs w:val="24"/>
          <w:shd w:val="clear" w:color="auto" w:fill="FFFFFF"/>
          <w:lang w:val="en-US"/>
        </w:rPr>
        <w:t>Svirydzenka</w:t>
      </w:r>
      <w:proofErr w:type="spellEnd"/>
      <w:r w:rsidR="00EC1F23" w:rsidRPr="002C5DE1">
        <w:rPr>
          <w:rFonts w:ascii="Times New Roman" w:hAnsi="Times New Roman" w:cs="Times New Roman"/>
          <w:color w:val="000000" w:themeColor="text1"/>
          <w:sz w:val="24"/>
          <w:szCs w:val="24"/>
          <w:shd w:val="clear" w:color="auto" w:fill="FFFFFF"/>
          <w:lang w:val="en-US"/>
        </w:rPr>
        <w:t>, 2016</w:t>
      </w:r>
      <w:r w:rsidR="00AE0EAA" w:rsidRPr="002C5DE1">
        <w:rPr>
          <w:rFonts w:ascii="Times New Roman" w:hAnsi="Times New Roman" w:cs="Times New Roman"/>
          <w:color w:val="000000" w:themeColor="text1"/>
          <w:sz w:val="24"/>
          <w:szCs w:val="24"/>
          <w:shd w:val="clear" w:color="auto" w:fill="FFFFFF"/>
          <w:lang w:val="en-US"/>
        </w:rPr>
        <w:t>)</w:t>
      </w:r>
      <w:r w:rsidR="00F814DE" w:rsidRPr="002C5DE1">
        <w:rPr>
          <w:rFonts w:ascii="Times New Roman" w:hAnsi="Times New Roman" w:cs="Times New Roman"/>
          <w:color w:val="000000" w:themeColor="text1"/>
          <w:sz w:val="24"/>
          <w:szCs w:val="24"/>
          <w:lang w:val="en-US"/>
        </w:rPr>
        <w:t>. FD is used as a threshold to determine the financial deepening</w:t>
      </w:r>
      <w:r w:rsidR="00C74BDD" w:rsidRPr="002C5DE1">
        <w:rPr>
          <w:rFonts w:ascii="Times New Roman" w:hAnsi="Times New Roman" w:cs="Times New Roman"/>
          <w:color w:val="000000" w:themeColor="text1"/>
          <w:sz w:val="24"/>
          <w:szCs w:val="24"/>
          <w:lang w:val="en-US"/>
        </w:rPr>
        <w:t>, while</w:t>
      </w:r>
      <w:r w:rsidR="00F814DE" w:rsidRPr="002C5DE1">
        <w:rPr>
          <w:rFonts w:ascii="Times New Roman" w:hAnsi="Times New Roman" w:cs="Times New Roman"/>
          <w:color w:val="000000" w:themeColor="text1"/>
          <w:sz w:val="24"/>
          <w:szCs w:val="24"/>
          <w:lang w:val="en-US"/>
        </w:rPr>
        <w:t xml:space="preserve"> the data </w:t>
      </w:r>
      <w:r w:rsidR="00C74BDD" w:rsidRPr="002C5DE1">
        <w:rPr>
          <w:rFonts w:ascii="Times New Roman" w:hAnsi="Times New Roman" w:cs="Times New Roman"/>
          <w:color w:val="000000" w:themeColor="text1"/>
          <w:sz w:val="24"/>
          <w:szCs w:val="24"/>
          <w:lang w:val="en-US"/>
        </w:rPr>
        <w:t>are retrieved</w:t>
      </w:r>
      <w:r w:rsidR="00F814DE" w:rsidRPr="002C5DE1">
        <w:rPr>
          <w:rFonts w:ascii="Times New Roman" w:hAnsi="Times New Roman" w:cs="Times New Roman"/>
          <w:color w:val="000000" w:themeColor="text1"/>
          <w:sz w:val="24"/>
          <w:szCs w:val="24"/>
          <w:lang w:val="en-US"/>
        </w:rPr>
        <w:t xml:space="preserve"> from IMF.</w:t>
      </w:r>
      <w:r w:rsidR="0024396F" w:rsidRPr="002C5DE1">
        <w:rPr>
          <w:rFonts w:ascii="Times New Roman" w:hAnsi="Times New Roman" w:cs="Times New Roman"/>
          <w:color w:val="000000" w:themeColor="text1"/>
          <w:sz w:val="24"/>
          <w:szCs w:val="24"/>
          <w:lang w:val="en-US"/>
        </w:rPr>
        <w:t xml:space="preserve"> </w:t>
      </w:r>
      <w:r w:rsidR="00464970" w:rsidRPr="002C5DE1">
        <w:rPr>
          <w:rFonts w:ascii="Times New Roman" w:hAnsi="Times New Roman" w:cs="Times New Roman"/>
          <w:color w:val="000000" w:themeColor="text1"/>
          <w:sz w:val="24"/>
          <w:szCs w:val="24"/>
          <w:lang w:val="en-US"/>
        </w:rPr>
        <w:t>The index is interpolated as quarterly data from annual data based on quadratic/ave</w:t>
      </w:r>
      <w:r w:rsidR="00217430" w:rsidRPr="002C5DE1">
        <w:rPr>
          <w:rFonts w:ascii="Times New Roman" w:hAnsi="Times New Roman" w:cs="Times New Roman"/>
          <w:color w:val="000000" w:themeColor="text1"/>
          <w:sz w:val="24"/>
          <w:szCs w:val="24"/>
          <w:lang w:val="en-US"/>
        </w:rPr>
        <w:t xml:space="preserve">rage </w:t>
      </w:r>
      <w:r w:rsidR="00C74BDD" w:rsidRPr="002C5DE1">
        <w:rPr>
          <w:rFonts w:ascii="Times New Roman" w:hAnsi="Times New Roman" w:cs="Times New Roman"/>
          <w:color w:val="000000" w:themeColor="text1"/>
          <w:sz w:val="24"/>
          <w:szCs w:val="24"/>
          <w:lang w:val="en-US"/>
        </w:rPr>
        <w:t>method</w:t>
      </w:r>
      <w:r w:rsidR="00217430" w:rsidRPr="002C5DE1">
        <w:rPr>
          <w:rFonts w:ascii="Times New Roman" w:hAnsi="Times New Roman" w:cs="Times New Roman"/>
          <w:color w:val="000000" w:themeColor="text1"/>
          <w:sz w:val="24"/>
          <w:szCs w:val="24"/>
          <w:lang w:val="en-US"/>
        </w:rPr>
        <w:t>.</w:t>
      </w:r>
    </w:p>
    <w:p w14:paraId="040719DC" w14:textId="77777777" w:rsidR="00CE7DCA" w:rsidRPr="002C5DE1" w:rsidRDefault="0024396F" w:rsidP="00EA3297">
      <w:pPr>
        <w:spacing w:before="120" w:after="120" w:line="276" w:lineRule="auto"/>
        <w:ind w:firstLine="357"/>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Al</w:t>
      </w:r>
      <w:r w:rsidR="00061B2A" w:rsidRPr="002C5DE1">
        <w:rPr>
          <w:rFonts w:ascii="Times New Roman" w:hAnsi="Times New Roman" w:cs="Times New Roman"/>
          <w:color w:val="000000" w:themeColor="text1"/>
          <w:sz w:val="24"/>
          <w:szCs w:val="24"/>
          <w:lang w:val="en-US"/>
        </w:rPr>
        <w:t xml:space="preserve">l series are deflated by </w:t>
      </w:r>
      <w:r w:rsidR="00C74BDD" w:rsidRPr="002C5DE1">
        <w:rPr>
          <w:rFonts w:ascii="Times New Roman" w:hAnsi="Times New Roman" w:cs="Times New Roman"/>
          <w:color w:val="000000" w:themeColor="text1"/>
          <w:sz w:val="24"/>
          <w:szCs w:val="24"/>
          <w:lang w:val="en-US"/>
        </w:rPr>
        <w:t xml:space="preserve">the </w:t>
      </w:r>
      <w:r w:rsidR="00CF71B7" w:rsidRPr="002C5DE1">
        <w:rPr>
          <w:rFonts w:ascii="Times New Roman" w:hAnsi="Times New Roman" w:cs="Times New Roman"/>
          <w:color w:val="000000" w:themeColor="text1"/>
          <w:sz w:val="24"/>
          <w:szCs w:val="24"/>
          <w:lang w:val="en-US"/>
        </w:rPr>
        <w:t xml:space="preserve">IMF </w:t>
      </w:r>
      <w:r w:rsidRPr="002C5DE1">
        <w:rPr>
          <w:rFonts w:ascii="Times New Roman" w:hAnsi="Times New Roman" w:cs="Times New Roman"/>
          <w:color w:val="000000" w:themeColor="text1"/>
          <w:sz w:val="24"/>
          <w:szCs w:val="24"/>
          <w:lang w:val="en-US"/>
        </w:rPr>
        <w:t>consum</w:t>
      </w:r>
      <w:r w:rsidR="00061B2A" w:rsidRPr="002C5DE1">
        <w:rPr>
          <w:rFonts w:ascii="Times New Roman" w:hAnsi="Times New Roman" w:cs="Times New Roman"/>
          <w:color w:val="000000" w:themeColor="text1"/>
          <w:sz w:val="24"/>
          <w:szCs w:val="24"/>
          <w:lang w:val="en-US"/>
        </w:rPr>
        <w:t xml:space="preserve">er </w:t>
      </w:r>
      <w:r w:rsidRPr="002C5DE1">
        <w:rPr>
          <w:rFonts w:ascii="Times New Roman" w:hAnsi="Times New Roman" w:cs="Times New Roman"/>
          <w:color w:val="000000" w:themeColor="text1"/>
          <w:sz w:val="24"/>
          <w:szCs w:val="24"/>
          <w:lang w:val="en-US"/>
        </w:rPr>
        <w:t>price index</w:t>
      </w:r>
      <w:r w:rsidR="00CF71B7" w:rsidRPr="002C5DE1">
        <w:rPr>
          <w:rFonts w:ascii="Times New Roman" w:hAnsi="Times New Roman" w:cs="Times New Roman"/>
          <w:color w:val="000000" w:themeColor="text1"/>
          <w:sz w:val="24"/>
          <w:szCs w:val="24"/>
          <w:lang w:val="en-US"/>
        </w:rPr>
        <w:t>. Consumption and income series are</w:t>
      </w:r>
      <w:r w:rsidRPr="002C5DE1">
        <w:rPr>
          <w:rFonts w:ascii="Times New Roman" w:hAnsi="Times New Roman" w:cs="Times New Roman"/>
          <w:color w:val="000000" w:themeColor="text1"/>
          <w:sz w:val="24"/>
          <w:szCs w:val="24"/>
          <w:lang w:val="en-US"/>
        </w:rPr>
        <w:t xml:space="preserve"> </w:t>
      </w:r>
      <w:r w:rsidR="00CF71B7" w:rsidRPr="002C5DE1">
        <w:rPr>
          <w:rFonts w:ascii="Times New Roman" w:hAnsi="Times New Roman" w:cs="Times New Roman"/>
          <w:color w:val="000000" w:themeColor="text1"/>
          <w:sz w:val="24"/>
          <w:szCs w:val="24"/>
          <w:lang w:val="en-US"/>
        </w:rPr>
        <w:t>converted into US Dollar terms by using exchange rates provided by IMF and expressed in per capita terms</w:t>
      </w:r>
      <w:r w:rsidRPr="002C5DE1">
        <w:rPr>
          <w:rFonts w:ascii="Times New Roman" w:hAnsi="Times New Roman" w:cs="Times New Roman"/>
          <w:color w:val="000000" w:themeColor="text1"/>
          <w:sz w:val="24"/>
          <w:szCs w:val="24"/>
          <w:lang w:val="en-US"/>
        </w:rPr>
        <w:t>. The population series are interpolated from annual data, and the sourc</w:t>
      </w:r>
      <w:r w:rsidR="00CF71B7" w:rsidRPr="002C5DE1">
        <w:rPr>
          <w:rFonts w:ascii="Times New Roman" w:hAnsi="Times New Roman" w:cs="Times New Roman"/>
          <w:color w:val="000000" w:themeColor="text1"/>
          <w:sz w:val="24"/>
          <w:szCs w:val="24"/>
          <w:lang w:val="en-US"/>
        </w:rPr>
        <w:t>e is World Bank.</w:t>
      </w:r>
      <w:r w:rsidR="00A8363F" w:rsidRPr="002C5DE1">
        <w:rPr>
          <w:rFonts w:ascii="Times New Roman" w:hAnsi="Times New Roman" w:cs="Times New Roman"/>
          <w:color w:val="000000" w:themeColor="text1"/>
          <w:sz w:val="24"/>
          <w:szCs w:val="24"/>
          <w:lang w:val="en-US"/>
        </w:rPr>
        <w:t xml:space="preserve"> All variables are expressed in natural logarithms.</w:t>
      </w:r>
      <w:r w:rsidR="00EA3297" w:rsidRPr="002C5DE1">
        <w:rPr>
          <w:rFonts w:ascii="Times New Roman" w:hAnsi="Times New Roman" w:cs="Times New Roman"/>
          <w:color w:val="000000" w:themeColor="text1"/>
          <w:sz w:val="24"/>
          <w:szCs w:val="24"/>
          <w:lang w:val="en-US"/>
        </w:rPr>
        <w:t xml:space="preserve"> </w:t>
      </w:r>
      <w:bookmarkStart w:id="0" w:name="_Hlk43898518"/>
      <w:r w:rsidR="00EA3297" w:rsidRPr="002C5DE1">
        <w:rPr>
          <w:rFonts w:ascii="Times New Roman" w:hAnsi="Times New Roman" w:cs="Times New Roman"/>
          <w:color w:val="000000" w:themeColor="text1"/>
          <w:sz w:val="24"/>
          <w:szCs w:val="24"/>
          <w:lang w:val="en-US"/>
        </w:rPr>
        <w:t xml:space="preserve">This transformation has certain advantages as the mitigation of the role of potential outliers, given that the residuals mostly suffer from the presence of a skewed distribution the transformation obtains residuals that are approximately symmetrically distributed around zero, obtaining closer to homoscedastic residuals, and when we need to better interpret the results in terms of percentage changes or elasticity. </w:t>
      </w:r>
      <w:bookmarkEnd w:id="0"/>
      <w:r w:rsidR="00AC5AE4" w:rsidRPr="002C5DE1">
        <w:rPr>
          <w:rFonts w:ascii="Times New Roman" w:hAnsi="Times New Roman" w:cs="Times New Roman"/>
          <w:color w:val="000000" w:themeColor="text1"/>
          <w:sz w:val="24"/>
          <w:szCs w:val="24"/>
          <w:lang w:val="en-US"/>
        </w:rPr>
        <w:t>Tabl</w:t>
      </w:r>
      <w:r w:rsidR="00EC5CAE" w:rsidRPr="002C5DE1">
        <w:rPr>
          <w:rFonts w:ascii="Times New Roman" w:hAnsi="Times New Roman" w:cs="Times New Roman"/>
          <w:color w:val="000000" w:themeColor="text1"/>
          <w:sz w:val="24"/>
          <w:szCs w:val="24"/>
          <w:lang w:val="en-US"/>
        </w:rPr>
        <w:t>e 2</w:t>
      </w:r>
      <w:r w:rsidR="00AC5AE4" w:rsidRPr="002C5DE1">
        <w:rPr>
          <w:rFonts w:ascii="Times New Roman" w:hAnsi="Times New Roman" w:cs="Times New Roman"/>
          <w:color w:val="000000" w:themeColor="text1"/>
          <w:sz w:val="24"/>
          <w:szCs w:val="24"/>
          <w:lang w:val="en-US"/>
        </w:rPr>
        <w:t xml:space="preserve"> provides some summary statistics.</w:t>
      </w:r>
    </w:p>
    <w:p w14:paraId="1F77CDE3" w14:textId="77777777" w:rsidR="006D1E51" w:rsidRPr="002C5DE1" w:rsidRDefault="006D1E51" w:rsidP="006D1E51">
      <w:pPr>
        <w:spacing w:after="120" w:line="276" w:lineRule="auto"/>
        <w:ind w:firstLine="357"/>
        <w:jc w:val="center"/>
        <w:rPr>
          <w:rFonts w:ascii="Times New Roman" w:hAnsi="Times New Roman" w:cs="Times New Roman"/>
          <w:b/>
          <w:color w:val="000000" w:themeColor="text1"/>
          <w:sz w:val="24"/>
          <w:szCs w:val="24"/>
          <w:lang w:val="en-US"/>
        </w:rPr>
      </w:pPr>
      <w:r w:rsidRPr="002C5DE1">
        <w:rPr>
          <w:rFonts w:ascii="Times New Roman" w:hAnsi="Times New Roman" w:cs="Times New Roman"/>
          <w:b/>
          <w:color w:val="000000" w:themeColor="text1"/>
          <w:sz w:val="24"/>
          <w:szCs w:val="24"/>
          <w:lang w:val="en-US"/>
        </w:rPr>
        <w:t>[</w:t>
      </w:r>
      <w:r w:rsidRPr="002C5DE1">
        <w:rPr>
          <w:rFonts w:ascii="Times New Roman" w:hAnsi="Times New Roman" w:cs="Times New Roman"/>
          <w:b/>
          <w:color w:val="000000" w:themeColor="text1"/>
          <w:sz w:val="24"/>
          <w:szCs w:val="24"/>
          <w:shd w:val="clear" w:color="auto" w:fill="FFFFFF"/>
          <w:lang w:val="en-US"/>
        </w:rPr>
        <w:t>Place Table 2 Here</w:t>
      </w:r>
      <w:r w:rsidRPr="002C5DE1">
        <w:rPr>
          <w:rFonts w:ascii="Times New Roman" w:hAnsi="Times New Roman" w:cs="Times New Roman"/>
          <w:b/>
          <w:color w:val="000000" w:themeColor="text1"/>
          <w:sz w:val="24"/>
          <w:szCs w:val="24"/>
          <w:lang w:val="en-US"/>
        </w:rPr>
        <w:t>]</w:t>
      </w:r>
    </w:p>
    <w:p w14:paraId="52224372" w14:textId="77777777" w:rsidR="00733E3B" w:rsidRPr="002C5DE1" w:rsidRDefault="00435D5B" w:rsidP="00BD379C">
      <w:pPr>
        <w:pStyle w:val="Heading2"/>
        <w:spacing w:before="240" w:after="120"/>
        <w:rPr>
          <w:rFonts w:ascii="Times New Roman" w:hAnsi="Times New Roman" w:cs="Times New Roman"/>
          <w:b/>
          <w:color w:val="000000" w:themeColor="text1"/>
          <w:sz w:val="24"/>
          <w:szCs w:val="24"/>
          <w:lang w:val="en-US"/>
        </w:rPr>
      </w:pPr>
      <w:r w:rsidRPr="002C5DE1">
        <w:rPr>
          <w:rFonts w:ascii="Times New Roman" w:hAnsi="Times New Roman" w:cs="Times New Roman"/>
          <w:b/>
          <w:color w:val="000000" w:themeColor="text1"/>
          <w:sz w:val="24"/>
          <w:szCs w:val="24"/>
          <w:lang w:val="en-US"/>
        </w:rPr>
        <w:t>4</w:t>
      </w:r>
      <w:r w:rsidR="00733E3B" w:rsidRPr="002C5DE1">
        <w:rPr>
          <w:rFonts w:ascii="Times New Roman" w:hAnsi="Times New Roman" w:cs="Times New Roman"/>
          <w:b/>
          <w:color w:val="000000" w:themeColor="text1"/>
          <w:sz w:val="24"/>
          <w:szCs w:val="24"/>
          <w:lang w:val="en-US"/>
        </w:rPr>
        <w:t>.2. Modelling Strategy</w:t>
      </w:r>
    </w:p>
    <w:p w14:paraId="07825F48" w14:textId="77777777" w:rsidR="00AC5AE4" w:rsidRPr="002C5DE1" w:rsidRDefault="00AC5AE4" w:rsidP="008E588C">
      <w:pPr>
        <w:spacing w:before="120" w:after="0" w:line="276" w:lineRule="auto"/>
        <w:ind w:firstLine="357"/>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 xml:space="preserve">First, the analysis sets the estimated consumption as a function of income, housing </w:t>
      </w:r>
      <w:r w:rsidR="00EB5360" w:rsidRPr="002C5DE1">
        <w:rPr>
          <w:rFonts w:ascii="Times New Roman" w:hAnsi="Times New Roman" w:cs="Times New Roman"/>
          <w:color w:val="000000" w:themeColor="text1"/>
          <w:sz w:val="24"/>
          <w:szCs w:val="24"/>
          <w:lang w:val="en-US"/>
        </w:rPr>
        <w:t>wealth</w:t>
      </w:r>
      <w:r w:rsidRPr="002C5DE1">
        <w:rPr>
          <w:rFonts w:ascii="Times New Roman" w:hAnsi="Times New Roman" w:cs="Times New Roman"/>
          <w:color w:val="000000" w:themeColor="text1"/>
          <w:sz w:val="24"/>
          <w:szCs w:val="24"/>
          <w:lang w:val="en-US"/>
        </w:rPr>
        <w:t xml:space="preserve"> and financial wealth. The model is shown as follows:</w:t>
      </w:r>
    </w:p>
    <w:p w14:paraId="2F8E1217" w14:textId="77777777" w:rsidR="00B9497C" w:rsidRPr="002C5DE1" w:rsidRDefault="004A1E44" w:rsidP="00544BA6">
      <w:pPr>
        <w:spacing w:before="120" w:after="0" w:line="276" w:lineRule="auto"/>
        <w:ind w:firstLine="708"/>
        <w:jc w:val="both"/>
        <w:rPr>
          <w:rFonts w:ascii="Times New Roman" w:hAnsi="Times New Roman" w:cs="Times New Roman"/>
          <w:color w:val="000000" w:themeColor="text1"/>
          <w:sz w:val="24"/>
          <w:szCs w:val="24"/>
          <w:lang w:val="en-US"/>
        </w:rPr>
      </w:pPr>
      <m:oMathPara>
        <m:oMath>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lncons</m:t>
              </m:r>
            </m:e>
            <m:sub>
              <m:r>
                <w:rPr>
                  <w:rFonts w:ascii="Cambria Math" w:hAnsi="Cambria Math" w:cs="Times New Roman"/>
                  <w:color w:val="000000" w:themeColor="text1"/>
                  <w:sz w:val="24"/>
                  <w:szCs w:val="24"/>
                  <w:lang w:val="en-US"/>
                </w:rPr>
                <m:t>it</m:t>
              </m:r>
            </m:sub>
          </m:sSub>
          <m:r>
            <w:rPr>
              <w:rFonts w:ascii="Cambria Math" w:hAnsi="Cambria Math" w:cs="Times New Roman"/>
              <w:color w:val="000000" w:themeColor="text1"/>
              <w:sz w:val="24"/>
              <w:szCs w:val="24"/>
              <w:lang w:val="en-US"/>
            </w:rPr>
            <m:t>=</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α</m:t>
              </m:r>
            </m:e>
            <m:sub>
              <m:r>
                <w:rPr>
                  <w:rFonts w:ascii="Cambria Math" w:hAnsi="Cambria Math" w:cs="Times New Roman"/>
                  <w:color w:val="000000" w:themeColor="text1"/>
                  <w:sz w:val="24"/>
                  <w:szCs w:val="24"/>
                  <w:lang w:val="en-US"/>
                </w:rPr>
                <m:t>i</m:t>
              </m:r>
            </m:sub>
          </m:sSub>
          <m:r>
            <w:rPr>
              <w:rFonts w:ascii="Cambria Math" w:hAnsi="Cambria Math" w:cs="Times New Roman"/>
              <w:color w:val="000000" w:themeColor="text1"/>
              <w:sz w:val="24"/>
              <w:szCs w:val="24"/>
              <w:lang w:val="en-US"/>
            </w:rPr>
            <m:t>+</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β</m:t>
              </m:r>
            </m:e>
            <m:sub>
              <m:r>
                <w:rPr>
                  <w:rFonts w:ascii="Cambria Math" w:hAnsi="Cambria Math" w:cs="Times New Roman"/>
                  <w:color w:val="000000" w:themeColor="text1"/>
                  <w:sz w:val="24"/>
                  <w:szCs w:val="24"/>
                  <w:lang w:val="en-US"/>
                </w:rPr>
                <m:t>1</m:t>
              </m:r>
            </m:sub>
          </m:sSub>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lnhp</m:t>
              </m:r>
            </m:e>
            <m:sub>
              <m:r>
                <w:rPr>
                  <w:rFonts w:ascii="Cambria Math" w:hAnsi="Cambria Math" w:cs="Times New Roman"/>
                  <w:color w:val="000000" w:themeColor="text1"/>
                  <w:sz w:val="24"/>
                  <w:szCs w:val="24"/>
                  <w:lang w:val="en-US"/>
                </w:rPr>
                <m:t>it</m:t>
              </m:r>
            </m:sub>
          </m:sSub>
          <m:r>
            <w:rPr>
              <w:rFonts w:ascii="Cambria Math" w:hAnsi="Cambria Math" w:cs="Times New Roman"/>
              <w:color w:val="000000" w:themeColor="text1"/>
              <w:sz w:val="24"/>
              <w:szCs w:val="24"/>
              <w:lang w:val="en-US"/>
            </w:rPr>
            <m:t>+</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β</m:t>
              </m:r>
            </m:e>
            <m:sub>
              <m:r>
                <w:rPr>
                  <w:rFonts w:ascii="Cambria Math" w:hAnsi="Cambria Math" w:cs="Times New Roman"/>
                  <w:color w:val="000000" w:themeColor="text1"/>
                  <w:sz w:val="24"/>
                  <w:szCs w:val="24"/>
                  <w:lang w:val="en-US"/>
                </w:rPr>
                <m:t>2</m:t>
              </m:r>
            </m:sub>
          </m:sSub>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lnypc</m:t>
              </m:r>
            </m:e>
            <m:sub>
              <m:r>
                <w:rPr>
                  <w:rFonts w:ascii="Cambria Math" w:hAnsi="Cambria Math" w:cs="Times New Roman"/>
                  <w:color w:val="000000" w:themeColor="text1"/>
                  <w:sz w:val="24"/>
                  <w:szCs w:val="24"/>
                  <w:lang w:val="en-US"/>
                </w:rPr>
                <m:t>it</m:t>
              </m:r>
            </m:sub>
          </m:sSub>
          <m:r>
            <w:rPr>
              <w:rFonts w:ascii="Cambria Math" w:hAnsi="Cambria Math" w:cs="Times New Roman"/>
              <w:color w:val="000000" w:themeColor="text1"/>
              <w:sz w:val="24"/>
              <w:szCs w:val="24"/>
              <w:lang w:val="en-US"/>
            </w:rPr>
            <m:t>+</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β</m:t>
              </m:r>
            </m:e>
            <m:sub>
              <m:r>
                <w:rPr>
                  <w:rFonts w:ascii="Cambria Math" w:hAnsi="Cambria Math" w:cs="Times New Roman"/>
                  <w:color w:val="000000" w:themeColor="text1"/>
                  <w:sz w:val="24"/>
                  <w:szCs w:val="24"/>
                  <w:lang w:val="en-US"/>
                </w:rPr>
                <m:t>3</m:t>
              </m:r>
            </m:sub>
          </m:sSub>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lnsp</m:t>
              </m:r>
            </m:e>
            <m:sub>
              <m:r>
                <w:rPr>
                  <w:rFonts w:ascii="Cambria Math" w:hAnsi="Cambria Math" w:cs="Times New Roman"/>
                  <w:color w:val="000000" w:themeColor="text1"/>
                  <w:sz w:val="24"/>
                  <w:szCs w:val="24"/>
                  <w:lang w:val="en-US"/>
                </w:rPr>
                <m:t>it</m:t>
              </m:r>
            </m:sub>
          </m:sSub>
          <m:r>
            <w:rPr>
              <w:rFonts w:ascii="Cambria Math" w:hAnsi="Cambria Math" w:cs="Times New Roman"/>
              <w:color w:val="000000" w:themeColor="text1"/>
              <w:sz w:val="24"/>
              <w:szCs w:val="24"/>
              <w:lang w:val="en-US"/>
            </w:rPr>
            <m:t>+</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ε</m:t>
              </m:r>
            </m:e>
            <m:sub>
              <m:r>
                <w:rPr>
                  <w:rFonts w:ascii="Cambria Math" w:hAnsi="Cambria Math" w:cs="Times New Roman"/>
                  <w:color w:val="000000" w:themeColor="text1"/>
                  <w:sz w:val="24"/>
                  <w:szCs w:val="24"/>
                  <w:lang w:val="en-US"/>
                </w:rPr>
                <m:t>it</m:t>
              </m:r>
            </m:sub>
          </m:sSub>
          <m:r>
            <w:rPr>
              <w:rFonts w:ascii="Cambria Math" w:eastAsiaTheme="minorEastAsia" w:hAnsi="Cambria Math" w:cs="Times New Roman"/>
              <w:color w:val="000000" w:themeColor="text1"/>
              <w:sz w:val="24"/>
              <w:szCs w:val="24"/>
              <w:lang w:val="en-US"/>
            </w:rPr>
            <m:t xml:space="preserve">                                                              (1)</m:t>
          </m:r>
        </m:oMath>
      </m:oMathPara>
    </w:p>
    <w:p w14:paraId="7858DA63" w14:textId="77777777" w:rsidR="00AC5AE4" w:rsidRPr="002C5DE1" w:rsidRDefault="00AC5AE4" w:rsidP="00B07F86">
      <w:pPr>
        <w:spacing w:before="120" w:after="0" w:line="276" w:lineRule="auto"/>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 xml:space="preserve">The subscripts </w:t>
      </w:r>
      <w:proofErr w:type="spellStart"/>
      <w:r w:rsidRPr="002C5DE1">
        <w:rPr>
          <w:rFonts w:ascii="Times New Roman" w:hAnsi="Times New Roman" w:cs="Times New Roman"/>
          <w:color w:val="000000" w:themeColor="text1"/>
          <w:sz w:val="24"/>
          <w:szCs w:val="24"/>
          <w:lang w:val="en-US"/>
        </w:rPr>
        <w:t>i</w:t>
      </w:r>
      <w:proofErr w:type="spellEnd"/>
      <w:r w:rsidRPr="002C5DE1">
        <w:rPr>
          <w:rFonts w:ascii="Times New Roman" w:hAnsi="Times New Roman" w:cs="Times New Roman"/>
          <w:color w:val="000000" w:themeColor="text1"/>
          <w:sz w:val="24"/>
          <w:szCs w:val="24"/>
          <w:lang w:val="en-US"/>
        </w:rPr>
        <w:t xml:space="preserve"> and t denote the co</w:t>
      </w:r>
      <w:r w:rsidR="00DF6DF1" w:rsidRPr="002C5DE1">
        <w:rPr>
          <w:rFonts w:ascii="Times New Roman" w:hAnsi="Times New Roman" w:cs="Times New Roman"/>
          <w:color w:val="000000" w:themeColor="text1"/>
          <w:sz w:val="24"/>
          <w:szCs w:val="24"/>
          <w:lang w:val="en-US"/>
        </w:rPr>
        <w:t>u</w:t>
      </w:r>
      <w:r w:rsidRPr="002C5DE1">
        <w:rPr>
          <w:rFonts w:ascii="Times New Roman" w:hAnsi="Times New Roman" w:cs="Times New Roman"/>
          <w:color w:val="000000" w:themeColor="text1"/>
          <w:sz w:val="24"/>
          <w:szCs w:val="24"/>
          <w:lang w:val="en-US"/>
        </w:rPr>
        <w:t>ntry and time, respectively.</w:t>
      </w:r>
      <w:r w:rsidR="00DF6DF1" w:rsidRPr="002C5DE1">
        <w:rPr>
          <w:rFonts w:ascii="Times New Roman" w:hAnsi="Times New Roman" w:cs="Times New Roman"/>
          <w:color w:val="000000" w:themeColor="text1"/>
          <w:sz w:val="24"/>
          <w:szCs w:val="24"/>
          <w:lang w:val="en-US"/>
        </w:rPr>
        <w:t xml:space="preserve"> </w:t>
      </w:r>
      <w:proofErr w:type="spellStart"/>
      <w:r w:rsidR="00DF6DF1" w:rsidRPr="002C5DE1">
        <w:rPr>
          <w:rFonts w:ascii="Times New Roman" w:hAnsi="Times New Roman" w:cs="Times New Roman"/>
          <w:color w:val="000000" w:themeColor="text1"/>
          <w:sz w:val="24"/>
          <w:szCs w:val="24"/>
          <w:lang w:val="en-US"/>
        </w:rPr>
        <w:t>lncons</w:t>
      </w:r>
      <w:proofErr w:type="spellEnd"/>
      <w:r w:rsidR="00DF6DF1" w:rsidRPr="002C5DE1">
        <w:rPr>
          <w:rFonts w:ascii="Times New Roman" w:hAnsi="Times New Roman" w:cs="Times New Roman"/>
          <w:color w:val="000000" w:themeColor="text1"/>
          <w:sz w:val="24"/>
          <w:szCs w:val="24"/>
          <w:lang w:val="en-US"/>
        </w:rPr>
        <w:t xml:space="preserve"> denotes the logarithm of household consumption</w:t>
      </w:r>
      <w:r w:rsidR="006A4417" w:rsidRPr="002C5DE1">
        <w:rPr>
          <w:rFonts w:ascii="Times New Roman" w:hAnsi="Times New Roman" w:cs="Times New Roman"/>
          <w:color w:val="000000" w:themeColor="text1"/>
          <w:sz w:val="24"/>
          <w:szCs w:val="24"/>
          <w:lang w:val="en-US"/>
        </w:rPr>
        <w:t xml:space="preserve"> per capita</w:t>
      </w:r>
      <w:r w:rsidR="00DF6DF1" w:rsidRPr="002C5DE1">
        <w:rPr>
          <w:rFonts w:ascii="Times New Roman" w:hAnsi="Times New Roman" w:cs="Times New Roman"/>
          <w:color w:val="000000" w:themeColor="text1"/>
          <w:sz w:val="24"/>
          <w:szCs w:val="24"/>
          <w:lang w:val="en-US"/>
        </w:rPr>
        <w:t>,</w:t>
      </w:r>
      <w:r w:rsidRPr="002C5DE1">
        <w:rPr>
          <w:rFonts w:ascii="Times New Roman" w:hAnsi="Times New Roman" w:cs="Times New Roman"/>
          <w:color w:val="000000" w:themeColor="text1"/>
          <w:sz w:val="24"/>
          <w:szCs w:val="24"/>
          <w:lang w:val="en-US"/>
        </w:rPr>
        <w:t xml:space="preserve"> </w:t>
      </w:r>
      <w:r w:rsidR="00F12A87" w:rsidRPr="002C5DE1">
        <w:rPr>
          <w:rFonts w:ascii="Times New Roman" w:hAnsi="Times New Roman" w:cs="Times New Roman"/>
          <w:color w:val="000000" w:themeColor="text1"/>
          <w:sz w:val="24"/>
          <w:szCs w:val="24"/>
          <w:lang w:val="en-US"/>
        </w:rPr>
        <w:t xml:space="preserve">as the proxy of housing wealth </w:t>
      </w:r>
      <w:proofErr w:type="spellStart"/>
      <w:r w:rsidRPr="002C5DE1">
        <w:rPr>
          <w:rFonts w:ascii="Times New Roman" w:hAnsi="Times New Roman" w:cs="Times New Roman"/>
          <w:color w:val="000000" w:themeColor="text1"/>
          <w:sz w:val="24"/>
          <w:szCs w:val="24"/>
          <w:lang w:val="en-US"/>
        </w:rPr>
        <w:t>lnhp</w:t>
      </w:r>
      <w:proofErr w:type="spellEnd"/>
      <w:r w:rsidRPr="002C5DE1">
        <w:rPr>
          <w:rFonts w:ascii="Times New Roman" w:hAnsi="Times New Roman" w:cs="Times New Roman"/>
          <w:color w:val="000000" w:themeColor="text1"/>
          <w:sz w:val="24"/>
          <w:szCs w:val="24"/>
          <w:lang w:val="en-US"/>
        </w:rPr>
        <w:t xml:space="preserve"> is the logarithm of housing prices, </w:t>
      </w:r>
      <w:proofErr w:type="spellStart"/>
      <w:r w:rsidRPr="002C5DE1">
        <w:rPr>
          <w:rFonts w:ascii="Times New Roman" w:hAnsi="Times New Roman" w:cs="Times New Roman"/>
          <w:color w:val="000000" w:themeColor="text1"/>
          <w:sz w:val="24"/>
          <w:szCs w:val="24"/>
          <w:lang w:val="en-US"/>
        </w:rPr>
        <w:t>lnypc</w:t>
      </w:r>
      <w:proofErr w:type="spellEnd"/>
      <w:r w:rsidRPr="002C5DE1">
        <w:rPr>
          <w:rFonts w:ascii="Times New Roman" w:hAnsi="Times New Roman" w:cs="Times New Roman"/>
          <w:color w:val="000000" w:themeColor="text1"/>
          <w:sz w:val="24"/>
          <w:szCs w:val="24"/>
          <w:lang w:val="en-US"/>
        </w:rPr>
        <w:t xml:space="preserve"> is the logarithm of income per capita, and </w:t>
      </w:r>
      <w:proofErr w:type="spellStart"/>
      <w:r w:rsidRPr="002C5DE1">
        <w:rPr>
          <w:rFonts w:ascii="Times New Roman" w:hAnsi="Times New Roman" w:cs="Times New Roman"/>
          <w:color w:val="000000" w:themeColor="text1"/>
          <w:sz w:val="24"/>
          <w:szCs w:val="24"/>
          <w:lang w:val="en-US"/>
        </w:rPr>
        <w:t>lnsp</w:t>
      </w:r>
      <w:proofErr w:type="spellEnd"/>
      <w:r w:rsidRPr="002C5DE1">
        <w:rPr>
          <w:rFonts w:ascii="Times New Roman" w:hAnsi="Times New Roman" w:cs="Times New Roman"/>
          <w:color w:val="000000" w:themeColor="text1"/>
          <w:sz w:val="24"/>
          <w:szCs w:val="24"/>
          <w:lang w:val="en-US"/>
        </w:rPr>
        <w:t xml:space="preserve"> denotes the logarithm of stock prices</w:t>
      </w:r>
      <w:r w:rsidR="00F12A87" w:rsidRPr="002C5DE1">
        <w:rPr>
          <w:rFonts w:ascii="Times New Roman" w:hAnsi="Times New Roman" w:cs="Times New Roman"/>
          <w:color w:val="000000" w:themeColor="text1"/>
          <w:sz w:val="24"/>
          <w:szCs w:val="24"/>
          <w:lang w:val="en-US"/>
        </w:rPr>
        <w:t xml:space="preserve"> as the proxy of financial wealth</w:t>
      </w:r>
      <w:r w:rsidRPr="002C5DE1">
        <w:rPr>
          <w:rFonts w:ascii="Times New Roman" w:hAnsi="Times New Roman" w:cs="Times New Roman"/>
          <w:color w:val="000000" w:themeColor="text1"/>
          <w:sz w:val="24"/>
          <w:szCs w:val="24"/>
          <w:lang w:val="en-US"/>
        </w:rPr>
        <w:t>. α</w:t>
      </w:r>
      <w:proofErr w:type="spellStart"/>
      <w:r w:rsidRPr="002C5DE1">
        <w:rPr>
          <w:rFonts w:ascii="Times New Roman" w:hAnsi="Times New Roman" w:cs="Times New Roman"/>
          <w:color w:val="000000" w:themeColor="text1"/>
          <w:sz w:val="24"/>
          <w:szCs w:val="24"/>
          <w:vertAlign w:val="subscript"/>
          <w:lang w:val="en-US"/>
        </w:rPr>
        <w:t>i</w:t>
      </w:r>
      <w:proofErr w:type="spellEnd"/>
      <w:r w:rsidRPr="002C5DE1">
        <w:rPr>
          <w:rFonts w:ascii="Times New Roman" w:hAnsi="Times New Roman" w:cs="Times New Roman"/>
          <w:color w:val="000000" w:themeColor="text1"/>
          <w:sz w:val="24"/>
          <w:szCs w:val="24"/>
          <w:lang w:val="en-US"/>
        </w:rPr>
        <w:t xml:space="preserve"> captures country fixed effects, while ε denotes the error term. </w:t>
      </w:r>
      <w:r w:rsidR="00461EF3" w:rsidRPr="002C5DE1">
        <w:rPr>
          <w:rFonts w:ascii="Times New Roman" w:hAnsi="Times New Roman" w:cs="Times New Roman"/>
          <w:i/>
          <w:iCs/>
          <w:color w:val="000000" w:themeColor="text1"/>
          <w:sz w:val="24"/>
          <w:szCs w:val="24"/>
          <w:lang w:val="en-US"/>
        </w:rPr>
        <w:t>α</w:t>
      </w:r>
      <w:proofErr w:type="spellStart"/>
      <w:r w:rsidR="00461EF3" w:rsidRPr="002C5DE1">
        <w:rPr>
          <w:rFonts w:ascii="Times New Roman" w:hAnsi="Times New Roman" w:cs="Times New Roman"/>
          <w:i/>
          <w:iCs/>
          <w:color w:val="000000" w:themeColor="text1"/>
          <w:sz w:val="24"/>
          <w:szCs w:val="24"/>
          <w:vertAlign w:val="subscript"/>
          <w:lang w:val="en-US"/>
        </w:rPr>
        <w:t>i</w:t>
      </w:r>
      <w:proofErr w:type="spellEnd"/>
      <w:r w:rsidR="00461EF3" w:rsidRPr="002C5DE1">
        <w:rPr>
          <w:rFonts w:ascii="Times New Roman" w:hAnsi="Times New Roman" w:cs="Times New Roman"/>
          <w:i/>
          <w:iCs/>
          <w:color w:val="000000" w:themeColor="text1"/>
          <w:sz w:val="24"/>
          <w:szCs w:val="24"/>
          <w:lang w:val="en-US"/>
        </w:rPr>
        <w:t xml:space="preserve"> </w:t>
      </w:r>
      <w:r w:rsidR="00461EF3" w:rsidRPr="002C5DE1">
        <w:rPr>
          <w:rFonts w:ascii="Times New Roman" w:hAnsi="Times New Roman" w:cs="Times New Roman"/>
          <w:color w:val="000000" w:themeColor="text1"/>
          <w:sz w:val="24"/>
          <w:szCs w:val="24"/>
          <w:lang w:val="en-US"/>
        </w:rPr>
        <w:t xml:space="preserve">denotes the country-specific fixed effects. </w:t>
      </w:r>
      <w:r w:rsidRPr="002C5DE1">
        <w:rPr>
          <w:rFonts w:ascii="Times New Roman" w:hAnsi="Times New Roman" w:cs="Times New Roman"/>
          <w:color w:val="000000" w:themeColor="text1"/>
          <w:sz w:val="24"/>
          <w:szCs w:val="24"/>
          <w:lang w:val="en-US"/>
        </w:rPr>
        <w:t>In order to test the asymmetric effects of housing prices on consumption under different market conditions, the analysis implements the threshold regression estimation method developed by Kremer et al. (2013), which is essentially an extension of the Hansen (1999) static set up</w:t>
      </w:r>
      <w:bookmarkStart w:id="1" w:name="_Hlk43897586"/>
      <w:r w:rsidRPr="002C5DE1">
        <w:rPr>
          <w:rFonts w:ascii="Times New Roman" w:hAnsi="Times New Roman" w:cs="Times New Roman"/>
          <w:color w:val="000000" w:themeColor="text1"/>
          <w:sz w:val="24"/>
          <w:szCs w:val="24"/>
          <w:lang w:val="en-US"/>
        </w:rPr>
        <w:t xml:space="preserve">. </w:t>
      </w:r>
      <w:r w:rsidR="00035946" w:rsidRPr="002C5DE1">
        <w:rPr>
          <w:rFonts w:ascii="Times New Roman" w:hAnsi="Times New Roman" w:cs="Times New Roman"/>
          <w:color w:val="000000" w:themeColor="text1"/>
          <w:sz w:val="24"/>
          <w:szCs w:val="24"/>
          <w:lang w:val="en-US"/>
        </w:rPr>
        <w:t>They</w:t>
      </w:r>
      <w:r w:rsidRPr="002C5DE1">
        <w:rPr>
          <w:rFonts w:ascii="Times New Roman" w:hAnsi="Times New Roman" w:cs="Times New Roman"/>
          <w:color w:val="000000" w:themeColor="text1"/>
          <w:sz w:val="24"/>
          <w:szCs w:val="24"/>
          <w:lang w:val="en-US"/>
        </w:rPr>
        <w:t xml:space="preserve"> identify </w:t>
      </w:r>
      <w:r w:rsidR="00035946" w:rsidRPr="002C5DE1">
        <w:rPr>
          <w:rFonts w:ascii="Times New Roman" w:hAnsi="Times New Roman" w:cs="Times New Roman"/>
          <w:color w:val="000000" w:themeColor="text1"/>
          <w:sz w:val="24"/>
          <w:szCs w:val="24"/>
          <w:lang w:val="en-US"/>
        </w:rPr>
        <w:t xml:space="preserve">the presence of certain </w:t>
      </w:r>
      <w:r w:rsidRPr="002C5DE1">
        <w:rPr>
          <w:rFonts w:ascii="Times New Roman" w:hAnsi="Times New Roman" w:cs="Times New Roman"/>
          <w:color w:val="000000" w:themeColor="text1"/>
          <w:sz w:val="24"/>
          <w:szCs w:val="24"/>
          <w:lang w:val="en-US"/>
        </w:rPr>
        <w:t xml:space="preserve">thresholds in the relationship between household consumption and housing prices, after controlling for </w:t>
      </w:r>
      <w:r w:rsidR="00035946" w:rsidRPr="002C5DE1">
        <w:rPr>
          <w:rFonts w:ascii="Times New Roman" w:hAnsi="Times New Roman" w:cs="Times New Roman"/>
          <w:color w:val="000000" w:themeColor="text1"/>
          <w:sz w:val="24"/>
          <w:szCs w:val="24"/>
          <w:lang w:val="en-US"/>
        </w:rPr>
        <w:t xml:space="preserve">the role </w:t>
      </w:r>
      <w:r w:rsidRPr="002C5DE1">
        <w:rPr>
          <w:rFonts w:ascii="Times New Roman" w:hAnsi="Times New Roman" w:cs="Times New Roman"/>
          <w:color w:val="000000" w:themeColor="text1"/>
          <w:sz w:val="24"/>
          <w:szCs w:val="24"/>
          <w:lang w:val="en-US"/>
        </w:rPr>
        <w:t xml:space="preserve">of income per capita and stock prices as crucial regressors. </w:t>
      </w:r>
      <w:bookmarkEnd w:id="1"/>
      <w:r w:rsidRPr="002C5DE1">
        <w:rPr>
          <w:rFonts w:ascii="Times New Roman" w:hAnsi="Times New Roman" w:cs="Times New Roman"/>
          <w:color w:val="000000" w:themeColor="text1"/>
          <w:sz w:val="24"/>
          <w:szCs w:val="24"/>
          <w:lang w:val="en-US"/>
        </w:rPr>
        <w:t>In their model, by applying the forward orthogonal deviations transformation to eliminate individual effects, they combine the instrumental variable estimation of the cross-sectional threshold model introduced by Caner and Hansen (2004) with the panel threshold model of Hansen (1999). The equation is as follows:</w:t>
      </w:r>
    </w:p>
    <w:p w14:paraId="03BF0699" w14:textId="77777777" w:rsidR="00AC5AE4" w:rsidRPr="002C5DE1" w:rsidRDefault="000F28A9" w:rsidP="008E588C">
      <w:pPr>
        <w:spacing w:before="120" w:after="0" w:line="276" w:lineRule="auto"/>
        <w:jc w:val="both"/>
        <w:rPr>
          <w:rFonts w:ascii="Times New Roman" w:hAnsi="Times New Roman" w:cs="Times New Roman"/>
          <w:color w:val="000000" w:themeColor="text1"/>
          <w:sz w:val="28"/>
          <w:szCs w:val="28"/>
          <w:lang w:val="en-US"/>
        </w:rPr>
      </w:pPr>
      <m:oMathPara>
        <m:oMath>
          <m:r>
            <w:rPr>
              <w:rFonts w:ascii="Cambria Math" w:hAnsi="Cambria Math" w:cs="Times New Roman"/>
              <w:color w:val="000000" w:themeColor="text1"/>
              <w:sz w:val="24"/>
              <w:szCs w:val="24"/>
              <w:lang w:val="en-US"/>
            </w:rPr>
            <w:lastRenderedPageBreak/>
            <m:t>ln</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c</m:t>
              </m:r>
            </m:e>
            <m:sub>
              <m:r>
                <w:rPr>
                  <w:rFonts w:ascii="Cambria Math" w:hAnsi="Cambria Math" w:cs="Times New Roman"/>
                  <w:color w:val="000000" w:themeColor="text1"/>
                  <w:sz w:val="24"/>
                  <w:szCs w:val="24"/>
                  <w:lang w:val="en-US"/>
                </w:rPr>
                <m:t>it</m:t>
              </m:r>
            </m:sub>
          </m:sSub>
          <m:r>
            <w:rPr>
              <w:rFonts w:ascii="Cambria Math" w:hAnsi="Cambria Math" w:cs="Times New Roman"/>
              <w:color w:val="000000" w:themeColor="text1"/>
              <w:sz w:val="24"/>
              <w:szCs w:val="24"/>
              <w:lang w:val="en-US"/>
            </w:rPr>
            <m:t>=</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α</m:t>
              </m:r>
            </m:e>
            <m:sub>
              <m:r>
                <w:rPr>
                  <w:rFonts w:ascii="Cambria Math" w:hAnsi="Cambria Math" w:cs="Times New Roman"/>
                  <w:color w:val="000000" w:themeColor="text1"/>
                  <w:sz w:val="24"/>
                  <w:szCs w:val="24"/>
                  <w:lang w:val="en-US"/>
                </w:rPr>
                <m:t>i</m:t>
              </m:r>
            </m:sub>
          </m:sSub>
          <m:r>
            <w:rPr>
              <w:rFonts w:ascii="Cambria Math" w:hAnsi="Cambria Math" w:cs="Times New Roman"/>
              <w:color w:val="000000" w:themeColor="text1"/>
              <w:sz w:val="24"/>
              <w:szCs w:val="24"/>
              <w:lang w:val="en-US"/>
            </w:rPr>
            <m:t>+</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θ</m:t>
              </m:r>
            </m:e>
            <m:sub>
              <m:r>
                <w:rPr>
                  <w:rFonts w:ascii="Cambria Math" w:hAnsi="Cambria Math" w:cs="Times New Roman"/>
                  <w:color w:val="000000" w:themeColor="text1"/>
                  <w:sz w:val="24"/>
                  <w:szCs w:val="24"/>
                  <w:lang w:val="en-US"/>
                </w:rPr>
                <m:t>1</m:t>
              </m:r>
            </m:sub>
          </m:sSub>
          <m:r>
            <w:rPr>
              <w:rFonts w:ascii="Cambria Math" w:hAnsi="Cambria Math" w:cs="Times New Roman"/>
              <w:color w:val="000000" w:themeColor="text1"/>
              <w:sz w:val="24"/>
              <w:szCs w:val="24"/>
              <w:lang w:val="en-US"/>
            </w:rPr>
            <m:t>ln</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hp</m:t>
              </m:r>
            </m:e>
            <m:sub>
              <m:r>
                <w:rPr>
                  <w:rFonts w:ascii="Cambria Math" w:hAnsi="Cambria Math" w:cs="Times New Roman"/>
                  <w:color w:val="000000" w:themeColor="text1"/>
                  <w:sz w:val="24"/>
                  <w:szCs w:val="24"/>
                  <w:lang w:val="en-US"/>
                </w:rPr>
                <m:t>it</m:t>
              </m:r>
            </m:sub>
          </m:sSub>
          <m:r>
            <w:rPr>
              <w:rFonts w:ascii="Cambria Math" w:hAnsi="Cambria Math" w:cs="Times New Roman"/>
              <w:color w:val="000000" w:themeColor="text1"/>
              <w:sz w:val="24"/>
              <w:szCs w:val="24"/>
              <w:lang w:val="en-US"/>
            </w:rPr>
            <m:t xml:space="preserve"> I</m:t>
          </m:r>
          <m:d>
            <m:dPr>
              <m:ctrlPr>
                <w:rPr>
                  <w:rFonts w:ascii="Cambria Math" w:hAnsi="Cambria Math" w:cs="Times New Roman"/>
                  <w:i/>
                  <w:color w:val="000000" w:themeColor="text1"/>
                  <w:sz w:val="24"/>
                  <w:szCs w:val="24"/>
                  <w:lang w:val="en-US"/>
                </w:rPr>
              </m:ctrlPr>
            </m:dPr>
            <m:e>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lnfd</m:t>
                  </m:r>
                </m:e>
                <m:sub>
                  <m:r>
                    <w:rPr>
                      <w:rFonts w:ascii="Cambria Math" w:hAnsi="Cambria Math" w:cs="Times New Roman"/>
                      <w:color w:val="000000" w:themeColor="text1"/>
                      <w:sz w:val="24"/>
                      <w:szCs w:val="24"/>
                      <w:lang w:val="en-US"/>
                    </w:rPr>
                    <m:t>it</m:t>
                  </m:r>
                </m:sub>
              </m:sSub>
              <m:r>
                <w:rPr>
                  <w:rFonts w:ascii="Cambria Math" w:hAnsi="Cambria Math" w:cs="Times New Roman"/>
                  <w:color w:val="000000" w:themeColor="text1"/>
                  <w:sz w:val="24"/>
                  <w:szCs w:val="24"/>
                  <w:lang w:val="en-US"/>
                </w:rPr>
                <m:t>≤</m:t>
              </m:r>
              <m:sSup>
                <m:sSupPr>
                  <m:ctrlPr>
                    <w:rPr>
                      <w:rFonts w:ascii="Cambria Math" w:hAnsi="Cambria Math" w:cs="Times New Roman"/>
                      <w:i/>
                      <w:color w:val="000000" w:themeColor="text1"/>
                      <w:sz w:val="24"/>
                      <w:szCs w:val="24"/>
                      <w:lang w:val="en-US"/>
                    </w:rPr>
                  </m:ctrlPr>
                </m:sSupPr>
                <m:e>
                  <m:r>
                    <w:rPr>
                      <w:rFonts w:ascii="Cambria Math" w:hAnsi="Cambria Math" w:cs="Times New Roman"/>
                      <w:color w:val="000000" w:themeColor="text1"/>
                      <w:sz w:val="24"/>
                      <w:szCs w:val="24"/>
                      <w:lang w:val="en-US"/>
                    </w:rPr>
                    <m:t>γ</m:t>
                  </m:r>
                </m:e>
                <m:sup>
                  <m:r>
                    <w:rPr>
                      <w:rFonts w:ascii="Cambria Math" w:hAnsi="Cambria Math" w:cs="Times New Roman"/>
                      <w:color w:val="000000" w:themeColor="text1"/>
                      <w:sz w:val="24"/>
                      <w:szCs w:val="24"/>
                      <w:lang w:val="en-US"/>
                    </w:rPr>
                    <m:t>1</m:t>
                  </m:r>
                </m:sup>
              </m:sSup>
            </m:e>
          </m:d>
          <m:r>
            <w:rPr>
              <w:rFonts w:ascii="Cambria Math" w:hAnsi="Cambria Math" w:cs="Times New Roman"/>
              <w:color w:val="000000" w:themeColor="text1"/>
              <w:sz w:val="24"/>
              <w:szCs w:val="24"/>
              <w:lang w:val="en-US"/>
            </w:rPr>
            <m:t>+</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δ</m:t>
              </m:r>
            </m:e>
            <m:sub>
              <m:r>
                <w:rPr>
                  <w:rFonts w:ascii="Cambria Math" w:hAnsi="Cambria Math" w:cs="Times New Roman"/>
                  <w:color w:val="000000" w:themeColor="text1"/>
                  <w:sz w:val="24"/>
                  <w:szCs w:val="24"/>
                  <w:lang w:val="en-US"/>
                </w:rPr>
                <m:t>1</m:t>
              </m:r>
            </m:sub>
          </m:sSub>
          <m:r>
            <w:rPr>
              <w:rFonts w:ascii="Cambria Math" w:hAnsi="Cambria Math" w:cs="Times New Roman"/>
              <w:color w:val="000000" w:themeColor="text1"/>
              <w:sz w:val="24"/>
              <w:szCs w:val="24"/>
              <w:lang w:val="en-US"/>
            </w:rPr>
            <m:t xml:space="preserve"> I</m:t>
          </m:r>
          <m:d>
            <m:dPr>
              <m:ctrlPr>
                <w:rPr>
                  <w:rFonts w:ascii="Cambria Math" w:hAnsi="Cambria Math" w:cs="Times New Roman"/>
                  <w:i/>
                  <w:color w:val="000000" w:themeColor="text1"/>
                  <w:sz w:val="24"/>
                  <w:szCs w:val="24"/>
                  <w:lang w:val="en-US"/>
                </w:rPr>
              </m:ctrlPr>
            </m:dPr>
            <m:e>
              <m:r>
                <w:rPr>
                  <w:rFonts w:ascii="Cambria Math" w:hAnsi="Cambria Math" w:cs="Times New Roman"/>
                  <w:color w:val="000000" w:themeColor="text1"/>
                  <w:sz w:val="24"/>
                  <w:szCs w:val="24"/>
                  <w:lang w:val="en-US"/>
                </w:rPr>
                <m:t>ln</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fd</m:t>
                  </m:r>
                </m:e>
                <m:sub>
                  <m:r>
                    <w:rPr>
                      <w:rFonts w:ascii="Cambria Math" w:hAnsi="Cambria Math" w:cs="Times New Roman"/>
                      <w:color w:val="000000" w:themeColor="text1"/>
                      <w:sz w:val="24"/>
                      <w:szCs w:val="24"/>
                      <w:lang w:val="en-US"/>
                    </w:rPr>
                    <m:t>it</m:t>
                  </m:r>
                </m:sub>
              </m:sSub>
              <m:r>
                <w:rPr>
                  <w:rFonts w:ascii="Cambria Math" w:hAnsi="Cambria Math" w:cs="Times New Roman"/>
                  <w:color w:val="000000" w:themeColor="text1"/>
                  <w:sz w:val="24"/>
                  <w:szCs w:val="24"/>
                  <w:lang w:val="en-US"/>
                </w:rPr>
                <m:t>≤</m:t>
              </m:r>
              <m:sSup>
                <m:sSupPr>
                  <m:ctrlPr>
                    <w:rPr>
                      <w:rFonts w:ascii="Cambria Math" w:hAnsi="Cambria Math" w:cs="Times New Roman"/>
                      <w:i/>
                      <w:color w:val="000000" w:themeColor="text1"/>
                      <w:sz w:val="24"/>
                      <w:szCs w:val="24"/>
                      <w:lang w:val="en-US"/>
                    </w:rPr>
                  </m:ctrlPr>
                </m:sSupPr>
                <m:e>
                  <m:r>
                    <w:rPr>
                      <w:rFonts w:ascii="Cambria Math" w:hAnsi="Cambria Math" w:cs="Times New Roman"/>
                      <w:color w:val="000000" w:themeColor="text1"/>
                      <w:sz w:val="24"/>
                      <w:szCs w:val="24"/>
                      <w:lang w:val="en-US"/>
                    </w:rPr>
                    <m:t>γ</m:t>
                  </m:r>
                </m:e>
                <m:sup>
                  <m:r>
                    <w:rPr>
                      <w:rFonts w:ascii="Cambria Math" w:hAnsi="Cambria Math" w:cs="Times New Roman"/>
                      <w:color w:val="000000" w:themeColor="text1"/>
                      <w:sz w:val="24"/>
                      <w:szCs w:val="24"/>
                      <w:lang w:val="en-US"/>
                    </w:rPr>
                    <m:t>1</m:t>
                  </m:r>
                </m:sup>
              </m:sSup>
            </m:e>
          </m:d>
          <m:r>
            <w:rPr>
              <w:rFonts w:ascii="Cambria Math" w:hAnsi="Cambria Math" w:cs="Times New Roman"/>
              <w:color w:val="000000" w:themeColor="text1"/>
              <w:sz w:val="24"/>
              <w:szCs w:val="24"/>
              <w:lang w:val="en-US"/>
            </w:rPr>
            <m:t>+</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θ</m:t>
              </m:r>
            </m:e>
            <m:sub>
              <m:r>
                <w:rPr>
                  <w:rFonts w:ascii="Cambria Math" w:hAnsi="Cambria Math" w:cs="Times New Roman"/>
                  <w:color w:val="000000" w:themeColor="text1"/>
                  <w:sz w:val="24"/>
                  <w:szCs w:val="24"/>
                  <w:lang w:val="en-US"/>
                </w:rPr>
                <m:t>2</m:t>
              </m:r>
            </m:sub>
          </m:sSub>
          <m:r>
            <w:rPr>
              <w:rFonts w:ascii="Cambria Math" w:hAnsi="Cambria Math" w:cs="Times New Roman"/>
              <w:color w:val="000000" w:themeColor="text1"/>
              <w:sz w:val="24"/>
              <w:szCs w:val="24"/>
              <w:lang w:val="en-US"/>
            </w:rPr>
            <m:t>ln</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hp</m:t>
              </m:r>
            </m:e>
            <m:sub>
              <m:r>
                <w:rPr>
                  <w:rFonts w:ascii="Cambria Math" w:hAnsi="Cambria Math" w:cs="Times New Roman"/>
                  <w:color w:val="000000" w:themeColor="text1"/>
                  <w:sz w:val="24"/>
                  <w:szCs w:val="24"/>
                  <w:lang w:val="en-US"/>
                </w:rPr>
                <m:t>it</m:t>
              </m:r>
            </m:sub>
          </m:sSub>
          <m:r>
            <w:rPr>
              <w:rFonts w:ascii="Cambria Math" w:hAnsi="Cambria Math" w:cs="Times New Roman"/>
              <w:color w:val="000000" w:themeColor="text1"/>
              <w:sz w:val="24"/>
              <w:szCs w:val="24"/>
              <w:lang w:val="en-US"/>
            </w:rPr>
            <m:t xml:space="preserve"> I</m:t>
          </m:r>
          <m:d>
            <m:dPr>
              <m:ctrlPr>
                <w:rPr>
                  <w:rFonts w:ascii="Cambria Math" w:hAnsi="Cambria Math" w:cs="Times New Roman"/>
                  <w:i/>
                  <w:color w:val="000000" w:themeColor="text1"/>
                  <w:sz w:val="24"/>
                  <w:szCs w:val="24"/>
                  <w:lang w:val="en-US"/>
                </w:rPr>
              </m:ctrlPr>
            </m:dPr>
            <m:e>
              <m:r>
                <w:rPr>
                  <w:rFonts w:ascii="Cambria Math" w:hAnsi="Cambria Math" w:cs="Times New Roman"/>
                  <w:color w:val="000000" w:themeColor="text1"/>
                  <w:sz w:val="24"/>
                  <w:szCs w:val="24"/>
                  <w:lang w:val="en-US"/>
                </w:rPr>
                <m:t>ln</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fd</m:t>
                  </m:r>
                </m:e>
                <m:sub>
                  <m:r>
                    <w:rPr>
                      <w:rFonts w:ascii="Cambria Math" w:hAnsi="Cambria Math" w:cs="Times New Roman"/>
                      <w:color w:val="000000" w:themeColor="text1"/>
                      <w:sz w:val="24"/>
                      <w:szCs w:val="24"/>
                      <w:lang w:val="en-US"/>
                    </w:rPr>
                    <m:t>it</m:t>
                  </m:r>
                </m:sub>
              </m:sSub>
              <m:r>
                <w:rPr>
                  <w:rFonts w:ascii="Cambria Math" w:hAnsi="Cambria Math" w:cs="Times New Roman"/>
                  <w:color w:val="000000" w:themeColor="text1"/>
                  <w:sz w:val="24"/>
                  <w:szCs w:val="24"/>
                  <w:lang w:val="en-US"/>
                </w:rPr>
                <m:t>&gt;</m:t>
              </m:r>
              <m:sSup>
                <m:sSupPr>
                  <m:ctrlPr>
                    <w:rPr>
                      <w:rFonts w:ascii="Cambria Math" w:hAnsi="Cambria Math" w:cs="Times New Roman"/>
                      <w:i/>
                      <w:color w:val="000000" w:themeColor="text1"/>
                      <w:sz w:val="24"/>
                      <w:szCs w:val="24"/>
                      <w:lang w:val="en-US"/>
                    </w:rPr>
                  </m:ctrlPr>
                </m:sSupPr>
                <m:e>
                  <m:r>
                    <w:rPr>
                      <w:rFonts w:ascii="Cambria Math" w:hAnsi="Cambria Math" w:cs="Times New Roman"/>
                      <w:color w:val="000000" w:themeColor="text1"/>
                      <w:sz w:val="24"/>
                      <w:szCs w:val="24"/>
                      <w:lang w:val="en-US"/>
                    </w:rPr>
                    <m:t>γ</m:t>
                  </m:r>
                </m:e>
                <m:sup>
                  <m:r>
                    <w:rPr>
                      <w:rFonts w:ascii="Cambria Math" w:hAnsi="Cambria Math" w:cs="Times New Roman"/>
                      <w:color w:val="000000" w:themeColor="text1"/>
                      <w:sz w:val="24"/>
                      <w:szCs w:val="24"/>
                      <w:lang w:val="en-US"/>
                    </w:rPr>
                    <m:t>1</m:t>
                  </m:r>
                </m:sup>
              </m:sSup>
            </m:e>
          </m:d>
          <m:r>
            <w:rPr>
              <w:rFonts w:ascii="Cambria Math" w:hAnsi="Cambria Math" w:cs="Times New Roman"/>
              <w:color w:val="000000" w:themeColor="text1"/>
              <w:sz w:val="24"/>
              <w:szCs w:val="24"/>
              <w:lang w:val="en-US"/>
            </w:rPr>
            <m:t>+</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θ</m:t>
              </m:r>
            </m:e>
            <m:sub>
              <m:r>
                <w:rPr>
                  <w:rFonts w:ascii="Cambria Math" w:hAnsi="Cambria Math" w:cs="Times New Roman"/>
                  <w:color w:val="000000" w:themeColor="text1"/>
                  <w:sz w:val="24"/>
                  <w:szCs w:val="24"/>
                  <w:lang w:val="en-US"/>
                </w:rPr>
                <m:t>3</m:t>
              </m:r>
            </m:sub>
          </m:sSub>
          <m:r>
            <w:rPr>
              <w:rFonts w:ascii="Cambria Math" w:hAnsi="Cambria Math" w:cs="Times New Roman"/>
              <w:color w:val="000000" w:themeColor="text1"/>
              <w:sz w:val="24"/>
              <w:szCs w:val="24"/>
              <w:lang w:val="en-US"/>
            </w:rPr>
            <m:t>ln</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sp</m:t>
              </m:r>
            </m:e>
            <m:sub>
              <m:r>
                <w:rPr>
                  <w:rFonts w:ascii="Cambria Math" w:hAnsi="Cambria Math" w:cs="Times New Roman"/>
                  <w:color w:val="000000" w:themeColor="text1"/>
                  <w:sz w:val="24"/>
                  <w:szCs w:val="24"/>
                  <w:lang w:val="en-US"/>
                </w:rPr>
                <m:t>it</m:t>
              </m:r>
            </m:sub>
          </m:sSub>
          <m:r>
            <w:rPr>
              <w:rFonts w:ascii="Cambria Math" w:hAnsi="Cambria Math" w:cs="Times New Roman"/>
              <w:color w:val="000000" w:themeColor="text1"/>
              <w:sz w:val="24"/>
              <w:szCs w:val="24"/>
              <w:lang w:val="en-US"/>
            </w:rPr>
            <m:t>+</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θ</m:t>
              </m:r>
            </m:e>
            <m:sub>
              <m:r>
                <w:rPr>
                  <w:rFonts w:ascii="Cambria Math" w:hAnsi="Cambria Math" w:cs="Times New Roman"/>
                  <w:color w:val="000000" w:themeColor="text1"/>
                  <w:sz w:val="24"/>
                  <w:szCs w:val="24"/>
                  <w:lang w:val="en-US"/>
                </w:rPr>
                <m:t>4ln</m:t>
              </m:r>
            </m:sub>
          </m:sSub>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ypc</m:t>
              </m:r>
            </m:e>
            <m:sub>
              <m:r>
                <w:rPr>
                  <w:rFonts w:ascii="Cambria Math" w:hAnsi="Cambria Math" w:cs="Times New Roman"/>
                  <w:color w:val="000000" w:themeColor="text1"/>
                  <w:sz w:val="24"/>
                  <w:szCs w:val="24"/>
                  <w:lang w:val="en-US"/>
                </w:rPr>
                <m:t>it</m:t>
              </m:r>
            </m:sub>
          </m:sSub>
          <m:r>
            <w:rPr>
              <w:rFonts w:ascii="Cambria Math" w:hAnsi="Cambria Math" w:cs="Times New Roman"/>
              <w:color w:val="000000" w:themeColor="text1"/>
              <w:sz w:val="24"/>
              <w:szCs w:val="24"/>
              <w:lang w:val="en-US"/>
            </w:rPr>
            <m:t>+</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ε</m:t>
              </m:r>
            </m:e>
            <m:sub>
              <m:r>
                <w:rPr>
                  <w:rFonts w:ascii="Cambria Math" w:hAnsi="Cambria Math" w:cs="Times New Roman"/>
                  <w:color w:val="000000" w:themeColor="text1"/>
                  <w:sz w:val="24"/>
                  <w:szCs w:val="24"/>
                  <w:lang w:val="en-US"/>
                </w:rPr>
                <m:t>it</m:t>
              </m:r>
            </m:sub>
          </m:sSub>
          <m:r>
            <w:rPr>
              <w:rFonts w:ascii="Cambria Math" w:hAnsi="Cambria Math" w:cs="Times New Roman"/>
              <w:color w:val="000000" w:themeColor="text1"/>
              <w:sz w:val="24"/>
              <w:szCs w:val="24"/>
              <w:lang w:val="en-US"/>
            </w:rPr>
            <m:t xml:space="preserve">                                                                                                                                                            (2)</m:t>
          </m:r>
        </m:oMath>
      </m:oMathPara>
    </w:p>
    <w:p w14:paraId="526CCE28" w14:textId="77777777" w:rsidR="00AC5AE4" w:rsidRPr="002C5DE1" w:rsidRDefault="00E06273" w:rsidP="001564A9">
      <w:pPr>
        <w:spacing w:after="0" w:line="276" w:lineRule="auto"/>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o</w:t>
      </w:r>
      <w:r w:rsidR="00AC5AE4" w:rsidRPr="002C5DE1">
        <w:rPr>
          <w:rFonts w:ascii="Times New Roman" w:hAnsi="Times New Roman" w:cs="Times New Roman"/>
          <w:color w:val="000000" w:themeColor="text1"/>
          <w:sz w:val="24"/>
          <w:szCs w:val="24"/>
          <w:lang w:val="en-US"/>
        </w:rPr>
        <w:t>r</w:t>
      </w:r>
      <w:r w:rsidRPr="002C5DE1">
        <w:rPr>
          <w:rFonts w:ascii="Times New Roman" w:hAnsi="Times New Roman" w:cs="Times New Roman"/>
          <w:color w:val="000000" w:themeColor="text1"/>
          <w:sz w:val="24"/>
          <w:szCs w:val="24"/>
          <w:lang w:val="en-US"/>
        </w:rPr>
        <w:t>,</w:t>
      </w:r>
    </w:p>
    <w:p w14:paraId="332DC5AD" w14:textId="77777777" w:rsidR="00AC5AE4" w:rsidRPr="002C5DE1" w:rsidRDefault="000F28A9" w:rsidP="001564A9">
      <w:pPr>
        <w:spacing w:after="0" w:line="276" w:lineRule="auto"/>
        <w:jc w:val="both"/>
        <w:rPr>
          <w:rFonts w:ascii="Times New Roman" w:hAnsi="Times New Roman" w:cs="Times New Roman"/>
          <w:color w:val="000000" w:themeColor="text1"/>
          <w:sz w:val="24"/>
          <w:szCs w:val="24"/>
          <w:lang w:val="en-US"/>
        </w:rPr>
      </w:pPr>
      <w:r w:rsidRPr="002C5DE1">
        <w:rPr>
          <w:rFonts w:ascii="Times New Roman" w:eastAsiaTheme="minorEastAsia" w:hAnsi="Times New Roman" w:cs="Times New Roman"/>
          <w:color w:val="000000" w:themeColor="text1"/>
          <w:sz w:val="24"/>
          <w:szCs w:val="24"/>
          <w:lang w:val="en-US"/>
        </w:rPr>
        <w:t>ln</w:t>
      </w:r>
      <m:oMath>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c</m:t>
            </m:r>
          </m:e>
          <m:sub>
            <m:r>
              <w:rPr>
                <w:rFonts w:ascii="Cambria Math" w:hAnsi="Cambria Math" w:cs="Times New Roman"/>
                <w:color w:val="000000" w:themeColor="text1"/>
                <w:sz w:val="24"/>
                <w:szCs w:val="24"/>
                <w:lang w:val="en-US"/>
              </w:rPr>
              <m:t>it</m:t>
            </m:r>
          </m:sub>
        </m:sSub>
        <m:r>
          <w:rPr>
            <w:rFonts w:ascii="Cambria Math" w:hAnsi="Cambria Math" w:cs="Times New Roman"/>
            <w:color w:val="000000" w:themeColor="text1"/>
            <w:sz w:val="24"/>
            <w:szCs w:val="24"/>
            <w:lang w:val="en-US"/>
          </w:rPr>
          <m:t>=</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α</m:t>
            </m:r>
          </m:e>
          <m:sub>
            <m:r>
              <w:rPr>
                <w:rFonts w:ascii="Cambria Math" w:hAnsi="Cambria Math" w:cs="Times New Roman"/>
                <w:color w:val="000000" w:themeColor="text1"/>
                <w:sz w:val="24"/>
                <w:szCs w:val="24"/>
                <w:lang w:val="en-US"/>
              </w:rPr>
              <m:t>i</m:t>
            </m:r>
          </m:sub>
        </m:sSub>
        <m:r>
          <w:rPr>
            <w:rFonts w:ascii="Cambria Math" w:hAnsi="Cambria Math" w:cs="Times New Roman"/>
            <w:color w:val="000000" w:themeColor="text1"/>
            <w:sz w:val="24"/>
            <w:szCs w:val="24"/>
            <w:lang w:val="en-US"/>
          </w:rPr>
          <m:t>+</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θ</m:t>
            </m:r>
          </m:e>
          <m:sub>
            <m:r>
              <w:rPr>
                <w:rFonts w:ascii="Cambria Math" w:hAnsi="Cambria Math" w:cs="Times New Roman"/>
                <w:color w:val="000000" w:themeColor="text1"/>
                <w:sz w:val="24"/>
                <w:szCs w:val="24"/>
                <w:lang w:val="en-US"/>
              </w:rPr>
              <m:t>5</m:t>
            </m:r>
          </m:sub>
        </m:sSub>
        <m:r>
          <w:rPr>
            <w:rFonts w:ascii="Cambria Math" w:hAnsi="Cambria Math" w:cs="Times New Roman"/>
            <w:color w:val="000000" w:themeColor="text1"/>
            <w:sz w:val="24"/>
            <w:szCs w:val="24"/>
            <w:lang w:val="en-US"/>
          </w:rPr>
          <m:t>ln</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hp</m:t>
            </m:r>
          </m:e>
          <m:sub>
            <m:r>
              <w:rPr>
                <w:rFonts w:ascii="Cambria Math" w:hAnsi="Cambria Math" w:cs="Times New Roman"/>
                <w:color w:val="000000" w:themeColor="text1"/>
                <w:sz w:val="24"/>
                <w:szCs w:val="24"/>
                <w:lang w:val="en-US"/>
              </w:rPr>
              <m:t>it</m:t>
            </m:r>
          </m:sub>
        </m:sSub>
        <m:r>
          <w:rPr>
            <w:rFonts w:ascii="Cambria Math" w:hAnsi="Cambria Math" w:cs="Times New Roman"/>
            <w:color w:val="000000" w:themeColor="text1"/>
            <w:sz w:val="24"/>
            <w:szCs w:val="24"/>
            <w:lang w:val="en-US"/>
          </w:rPr>
          <m:t xml:space="preserve"> I</m:t>
        </m:r>
        <m:d>
          <m:dPr>
            <m:ctrlPr>
              <w:rPr>
                <w:rFonts w:ascii="Cambria Math" w:hAnsi="Cambria Math" w:cs="Times New Roman"/>
                <w:i/>
                <w:color w:val="000000" w:themeColor="text1"/>
                <w:sz w:val="24"/>
                <w:szCs w:val="24"/>
                <w:lang w:val="en-US"/>
              </w:rPr>
            </m:ctrlPr>
          </m:dPr>
          <m:e>
            <m:r>
              <w:rPr>
                <w:rFonts w:ascii="Cambria Math" w:hAnsi="Cambria Math" w:cs="Times New Roman"/>
                <w:color w:val="000000" w:themeColor="text1"/>
                <w:sz w:val="24"/>
                <w:szCs w:val="24"/>
                <w:lang w:val="en-US"/>
              </w:rPr>
              <m:t>ln</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hpi</m:t>
                </m:r>
              </m:e>
              <m:sub>
                <m:r>
                  <w:rPr>
                    <w:rFonts w:ascii="Cambria Math" w:hAnsi="Cambria Math" w:cs="Times New Roman"/>
                    <w:color w:val="000000" w:themeColor="text1"/>
                    <w:sz w:val="24"/>
                    <w:szCs w:val="24"/>
                    <w:lang w:val="en-US"/>
                  </w:rPr>
                  <m:t>it</m:t>
                </m:r>
              </m:sub>
            </m:sSub>
            <m:r>
              <w:rPr>
                <w:rFonts w:ascii="Cambria Math" w:hAnsi="Cambria Math" w:cs="Times New Roman"/>
                <w:color w:val="000000" w:themeColor="text1"/>
                <w:sz w:val="24"/>
                <w:szCs w:val="24"/>
                <w:lang w:val="en-US"/>
              </w:rPr>
              <m:t>≤</m:t>
            </m:r>
            <m:sSup>
              <m:sSupPr>
                <m:ctrlPr>
                  <w:rPr>
                    <w:rFonts w:ascii="Cambria Math" w:hAnsi="Cambria Math" w:cs="Times New Roman"/>
                    <w:i/>
                    <w:color w:val="000000" w:themeColor="text1"/>
                    <w:sz w:val="24"/>
                    <w:szCs w:val="24"/>
                    <w:lang w:val="en-US"/>
                  </w:rPr>
                </m:ctrlPr>
              </m:sSupPr>
              <m:e>
                <m:r>
                  <w:rPr>
                    <w:rFonts w:ascii="Cambria Math" w:hAnsi="Cambria Math" w:cs="Times New Roman"/>
                    <w:color w:val="000000" w:themeColor="text1"/>
                    <w:sz w:val="24"/>
                    <w:szCs w:val="24"/>
                    <w:lang w:val="en-US"/>
                  </w:rPr>
                  <m:t>γ</m:t>
                </m:r>
              </m:e>
              <m:sup>
                <m:r>
                  <w:rPr>
                    <w:rFonts w:ascii="Cambria Math" w:hAnsi="Cambria Math" w:cs="Times New Roman"/>
                    <w:color w:val="000000" w:themeColor="text1"/>
                    <w:sz w:val="24"/>
                    <w:szCs w:val="24"/>
                    <w:lang w:val="en-US"/>
                  </w:rPr>
                  <m:t>2</m:t>
                </m:r>
              </m:sup>
            </m:sSup>
          </m:e>
        </m:d>
        <m:r>
          <w:rPr>
            <w:rFonts w:ascii="Cambria Math" w:hAnsi="Cambria Math" w:cs="Times New Roman"/>
            <w:color w:val="000000" w:themeColor="text1"/>
            <w:sz w:val="24"/>
            <w:szCs w:val="24"/>
            <w:lang w:val="en-US"/>
          </w:rPr>
          <m:t>+</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δ</m:t>
            </m:r>
          </m:e>
          <m:sub>
            <m:r>
              <w:rPr>
                <w:rFonts w:ascii="Cambria Math" w:hAnsi="Cambria Math" w:cs="Times New Roman"/>
                <w:color w:val="000000" w:themeColor="text1"/>
                <w:sz w:val="24"/>
                <w:szCs w:val="24"/>
                <w:lang w:val="en-US"/>
              </w:rPr>
              <m:t>2</m:t>
            </m:r>
          </m:sub>
        </m:sSub>
        <m:r>
          <w:rPr>
            <w:rFonts w:ascii="Cambria Math" w:hAnsi="Cambria Math" w:cs="Times New Roman"/>
            <w:color w:val="000000" w:themeColor="text1"/>
            <w:sz w:val="24"/>
            <w:szCs w:val="24"/>
            <w:lang w:val="en-US"/>
          </w:rPr>
          <m:t xml:space="preserve"> I</m:t>
        </m:r>
        <m:d>
          <m:dPr>
            <m:ctrlPr>
              <w:rPr>
                <w:rFonts w:ascii="Cambria Math" w:hAnsi="Cambria Math" w:cs="Times New Roman"/>
                <w:i/>
                <w:color w:val="000000" w:themeColor="text1"/>
                <w:sz w:val="24"/>
                <w:szCs w:val="24"/>
                <w:lang w:val="en-US"/>
              </w:rPr>
            </m:ctrlPr>
          </m:dPr>
          <m:e>
            <m:r>
              <w:rPr>
                <w:rFonts w:ascii="Cambria Math" w:hAnsi="Cambria Math" w:cs="Times New Roman"/>
                <w:color w:val="000000" w:themeColor="text1"/>
                <w:sz w:val="24"/>
                <w:szCs w:val="24"/>
                <w:lang w:val="en-US"/>
              </w:rPr>
              <m:t>ln</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hpi</m:t>
                </m:r>
              </m:e>
              <m:sub>
                <m:r>
                  <w:rPr>
                    <w:rFonts w:ascii="Cambria Math" w:hAnsi="Cambria Math" w:cs="Times New Roman"/>
                    <w:color w:val="000000" w:themeColor="text1"/>
                    <w:sz w:val="24"/>
                    <w:szCs w:val="24"/>
                    <w:lang w:val="en-US"/>
                  </w:rPr>
                  <m:t>it</m:t>
                </m:r>
              </m:sub>
            </m:sSub>
            <m:r>
              <w:rPr>
                <w:rFonts w:ascii="Cambria Math" w:hAnsi="Cambria Math" w:cs="Times New Roman"/>
                <w:color w:val="000000" w:themeColor="text1"/>
                <w:sz w:val="24"/>
                <w:szCs w:val="24"/>
                <w:lang w:val="en-US"/>
              </w:rPr>
              <m:t>≤</m:t>
            </m:r>
            <m:sSup>
              <m:sSupPr>
                <m:ctrlPr>
                  <w:rPr>
                    <w:rFonts w:ascii="Cambria Math" w:hAnsi="Cambria Math" w:cs="Times New Roman"/>
                    <w:i/>
                    <w:color w:val="000000" w:themeColor="text1"/>
                    <w:sz w:val="24"/>
                    <w:szCs w:val="24"/>
                    <w:lang w:val="en-US"/>
                  </w:rPr>
                </m:ctrlPr>
              </m:sSupPr>
              <m:e>
                <m:r>
                  <w:rPr>
                    <w:rFonts w:ascii="Cambria Math" w:hAnsi="Cambria Math" w:cs="Times New Roman"/>
                    <w:color w:val="000000" w:themeColor="text1"/>
                    <w:sz w:val="24"/>
                    <w:szCs w:val="24"/>
                    <w:lang w:val="en-US"/>
                  </w:rPr>
                  <m:t>γ</m:t>
                </m:r>
              </m:e>
              <m:sup>
                <m:r>
                  <w:rPr>
                    <w:rFonts w:ascii="Cambria Math" w:hAnsi="Cambria Math" w:cs="Times New Roman"/>
                    <w:color w:val="000000" w:themeColor="text1"/>
                    <w:sz w:val="24"/>
                    <w:szCs w:val="24"/>
                    <w:lang w:val="en-US"/>
                  </w:rPr>
                  <m:t>2</m:t>
                </m:r>
              </m:sup>
            </m:sSup>
          </m:e>
        </m:d>
        <m:r>
          <w:rPr>
            <w:rFonts w:ascii="Cambria Math" w:hAnsi="Cambria Math" w:cs="Times New Roman"/>
            <w:color w:val="000000" w:themeColor="text1"/>
            <w:sz w:val="24"/>
            <w:szCs w:val="24"/>
            <w:lang w:val="en-US"/>
          </w:rPr>
          <m:t>+</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θ</m:t>
            </m:r>
          </m:e>
          <m:sub>
            <m:r>
              <w:rPr>
                <w:rFonts w:ascii="Cambria Math" w:hAnsi="Cambria Math" w:cs="Times New Roman"/>
                <w:color w:val="000000" w:themeColor="text1"/>
                <w:sz w:val="24"/>
                <w:szCs w:val="24"/>
                <w:lang w:val="en-US"/>
              </w:rPr>
              <m:t>6</m:t>
            </m:r>
          </m:sub>
        </m:sSub>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lnhp</m:t>
            </m:r>
          </m:e>
          <m:sub>
            <m:r>
              <w:rPr>
                <w:rFonts w:ascii="Cambria Math" w:hAnsi="Cambria Math" w:cs="Times New Roman"/>
                <w:color w:val="000000" w:themeColor="text1"/>
                <w:sz w:val="24"/>
                <w:szCs w:val="24"/>
                <w:lang w:val="en-US"/>
              </w:rPr>
              <m:t>it</m:t>
            </m:r>
          </m:sub>
        </m:sSub>
        <m:r>
          <w:rPr>
            <w:rFonts w:ascii="Cambria Math" w:hAnsi="Cambria Math" w:cs="Times New Roman"/>
            <w:color w:val="000000" w:themeColor="text1"/>
            <w:sz w:val="24"/>
            <w:szCs w:val="24"/>
            <w:lang w:val="en-US"/>
          </w:rPr>
          <m:t xml:space="preserve"> I</m:t>
        </m:r>
        <m:d>
          <m:dPr>
            <m:ctrlPr>
              <w:rPr>
                <w:rFonts w:ascii="Cambria Math" w:hAnsi="Cambria Math" w:cs="Times New Roman"/>
                <w:i/>
                <w:color w:val="000000" w:themeColor="text1"/>
                <w:sz w:val="24"/>
                <w:szCs w:val="24"/>
                <w:lang w:val="en-US"/>
              </w:rPr>
            </m:ctrlPr>
          </m:dPr>
          <m:e>
            <m:r>
              <w:rPr>
                <w:rFonts w:ascii="Cambria Math" w:hAnsi="Cambria Math" w:cs="Times New Roman"/>
                <w:color w:val="000000" w:themeColor="text1"/>
                <w:sz w:val="24"/>
                <w:szCs w:val="24"/>
                <w:lang w:val="en-US"/>
              </w:rPr>
              <m:t>ln</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hpi</m:t>
                </m:r>
              </m:e>
              <m:sub>
                <m:r>
                  <w:rPr>
                    <w:rFonts w:ascii="Cambria Math" w:hAnsi="Cambria Math" w:cs="Times New Roman"/>
                    <w:color w:val="000000" w:themeColor="text1"/>
                    <w:sz w:val="24"/>
                    <w:szCs w:val="24"/>
                    <w:lang w:val="en-US"/>
                  </w:rPr>
                  <m:t>it</m:t>
                </m:r>
              </m:sub>
            </m:sSub>
            <m:r>
              <w:rPr>
                <w:rFonts w:ascii="Cambria Math" w:hAnsi="Cambria Math" w:cs="Times New Roman"/>
                <w:color w:val="000000" w:themeColor="text1"/>
                <w:sz w:val="24"/>
                <w:szCs w:val="24"/>
                <w:lang w:val="en-US"/>
              </w:rPr>
              <m:t>&gt;</m:t>
            </m:r>
            <m:sSup>
              <m:sSupPr>
                <m:ctrlPr>
                  <w:rPr>
                    <w:rFonts w:ascii="Cambria Math" w:hAnsi="Cambria Math" w:cs="Times New Roman"/>
                    <w:i/>
                    <w:color w:val="000000" w:themeColor="text1"/>
                    <w:sz w:val="24"/>
                    <w:szCs w:val="24"/>
                    <w:lang w:val="en-US"/>
                  </w:rPr>
                </m:ctrlPr>
              </m:sSupPr>
              <m:e>
                <m:r>
                  <w:rPr>
                    <w:rFonts w:ascii="Cambria Math" w:hAnsi="Cambria Math" w:cs="Times New Roman"/>
                    <w:color w:val="000000" w:themeColor="text1"/>
                    <w:sz w:val="24"/>
                    <w:szCs w:val="24"/>
                    <w:lang w:val="en-US"/>
                  </w:rPr>
                  <m:t>γ</m:t>
                </m:r>
              </m:e>
              <m:sup>
                <m:r>
                  <w:rPr>
                    <w:rFonts w:ascii="Cambria Math" w:hAnsi="Cambria Math" w:cs="Times New Roman"/>
                    <w:color w:val="000000" w:themeColor="text1"/>
                    <w:sz w:val="24"/>
                    <w:szCs w:val="24"/>
                    <w:lang w:val="en-US"/>
                  </w:rPr>
                  <m:t>2</m:t>
                </m:r>
              </m:sup>
            </m:sSup>
          </m:e>
        </m:d>
        <m:r>
          <w:rPr>
            <w:rFonts w:ascii="Cambria Math" w:hAnsi="Cambria Math" w:cs="Times New Roman"/>
            <w:color w:val="000000" w:themeColor="text1"/>
            <w:sz w:val="24"/>
            <w:szCs w:val="24"/>
            <w:lang w:val="en-US"/>
          </w:rPr>
          <m:t>+</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θ</m:t>
            </m:r>
          </m:e>
          <m:sub>
            <m:r>
              <w:rPr>
                <w:rFonts w:ascii="Cambria Math" w:hAnsi="Cambria Math" w:cs="Times New Roman"/>
                <w:color w:val="000000" w:themeColor="text1"/>
                <w:sz w:val="24"/>
                <w:szCs w:val="24"/>
                <w:lang w:val="en-US"/>
              </w:rPr>
              <m:t>7</m:t>
            </m:r>
          </m:sub>
        </m:sSub>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lnsp</m:t>
            </m:r>
          </m:e>
          <m:sub>
            <m:r>
              <w:rPr>
                <w:rFonts w:ascii="Cambria Math" w:hAnsi="Cambria Math" w:cs="Times New Roman"/>
                <w:color w:val="000000" w:themeColor="text1"/>
                <w:sz w:val="24"/>
                <w:szCs w:val="24"/>
                <w:lang w:val="en-US"/>
              </w:rPr>
              <m:t>it</m:t>
            </m:r>
          </m:sub>
        </m:sSub>
        <m:r>
          <w:rPr>
            <w:rFonts w:ascii="Cambria Math" w:hAnsi="Cambria Math" w:cs="Times New Roman"/>
            <w:color w:val="000000" w:themeColor="text1"/>
            <w:sz w:val="24"/>
            <w:szCs w:val="24"/>
            <w:lang w:val="en-US"/>
          </w:rPr>
          <m:t>+</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θ</m:t>
            </m:r>
          </m:e>
          <m:sub>
            <m:r>
              <w:rPr>
                <w:rFonts w:ascii="Cambria Math" w:hAnsi="Cambria Math" w:cs="Times New Roman"/>
                <w:color w:val="000000" w:themeColor="text1"/>
                <w:sz w:val="24"/>
                <w:szCs w:val="24"/>
                <w:lang w:val="en-US"/>
              </w:rPr>
              <m:t>8</m:t>
            </m:r>
          </m:sub>
        </m:sSub>
        <m:r>
          <w:rPr>
            <w:rFonts w:ascii="Cambria Math" w:hAnsi="Cambria Math" w:cs="Times New Roman"/>
            <w:color w:val="000000" w:themeColor="text1"/>
            <w:sz w:val="24"/>
            <w:szCs w:val="24"/>
            <w:lang w:val="en-US"/>
          </w:rPr>
          <m:t>ln</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ypc</m:t>
            </m:r>
          </m:e>
          <m:sub>
            <m:r>
              <w:rPr>
                <w:rFonts w:ascii="Cambria Math" w:hAnsi="Cambria Math" w:cs="Times New Roman"/>
                <w:color w:val="000000" w:themeColor="text1"/>
                <w:sz w:val="24"/>
                <w:szCs w:val="24"/>
                <w:lang w:val="en-US"/>
              </w:rPr>
              <m:t>it</m:t>
            </m:r>
          </m:sub>
        </m:sSub>
        <m:r>
          <w:rPr>
            <w:rFonts w:ascii="Cambria Math" w:hAnsi="Cambria Math" w:cs="Times New Roman"/>
            <w:color w:val="000000" w:themeColor="text1"/>
            <w:sz w:val="24"/>
            <w:szCs w:val="24"/>
            <w:lang w:val="en-US"/>
          </w:rPr>
          <m:t>+</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ε</m:t>
            </m:r>
          </m:e>
          <m:sub>
            <m:r>
              <w:rPr>
                <w:rFonts w:ascii="Cambria Math" w:hAnsi="Cambria Math" w:cs="Times New Roman"/>
                <w:color w:val="000000" w:themeColor="text1"/>
                <w:sz w:val="24"/>
                <w:szCs w:val="24"/>
                <w:lang w:val="en-US"/>
              </w:rPr>
              <m:t>it</m:t>
            </m:r>
          </m:sub>
        </m:sSub>
        <m:r>
          <w:rPr>
            <w:rFonts w:ascii="Cambria Math" w:hAnsi="Cambria Math" w:cs="Times New Roman"/>
            <w:color w:val="000000" w:themeColor="text1"/>
            <w:sz w:val="24"/>
            <w:szCs w:val="24"/>
            <w:lang w:val="en-US"/>
          </w:rPr>
          <m:t xml:space="preserve">                                                                                                                   (3)</m:t>
        </m:r>
      </m:oMath>
    </w:p>
    <w:p w14:paraId="7E053BF6" w14:textId="77777777" w:rsidR="00AC5AE4" w:rsidRPr="002C5DE1" w:rsidRDefault="00AC5AE4" w:rsidP="001564A9">
      <w:pPr>
        <w:spacing w:before="60" w:after="0" w:line="276" w:lineRule="auto"/>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 xml:space="preserve">where, the regime dependent variable is </w:t>
      </w:r>
      <w:r w:rsidR="000F28A9" w:rsidRPr="002C5DE1">
        <w:rPr>
          <w:rFonts w:ascii="Times New Roman" w:hAnsi="Times New Roman" w:cs="Times New Roman"/>
          <w:color w:val="000000" w:themeColor="text1"/>
          <w:sz w:val="24"/>
          <w:szCs w:val="24"/>
          <w:lang w:val="en-US"/>
        </w:rPr>
        <w:t xml:space="preserve">the log of </w:t>
      </w:r>
      <w:r w:rsidRPr="002C5DE1">
        <w:rPr>
          <w:rFonts w:ascii="Times New Roman" w:hAnsi="Times New Roman" w:cs="Times New Roman"/>
          <w:color w:val="000000" w:themeColor="text1"/>
          <w:sz w:val="24"/>
          <w:szCs w:val="24"/>
          <w:lang w:val="en-US"/>
        </w:rPr>
        <w:t>housing prices,</w:t>
      </w:r>
      <w:r w:rsidR="00271D8E" w:rsidRPr="002C5DE1">
        <w:rPr>
          <w:rStyle w:val="FootnoteReference"/>
          <w:rFonts w:ascii="Times New Roman" w:hAnsi="Times New Roman" w:cs="Times New Roman"/>
          <w:color w:val="000000" w:themeColor="text1"/>
          <w:sz w:val="24"/>
          <w:szCs w:val="24"/>
          <w:lang w:val="en-US"/>
        </w:rPr>
        <w:footnoteReference w:id="12"/>
      </w:r>
      <w:r w:rsidRPr="002C5DE1">
        <w:rPr>
          <w:rFonts w:ascii="Times New Roman" w:hAnsi="Times New Roman" w:cs="Times New Roman"/>
          <w:color w:val="000000" w:themeColor="text1"/>
          <w:sz w:val="24"/>
          <w:szCs w:val="24"/>
          <w:lang w:val="en-US"/>
        </w:rPr>
        <w:t xml:space="preserve"> </w:t>
      </w:r>
      <w:proofErr w:type="spellStart"/>
      <w:r w:rsidR="000F28A9" w:rsidRPr="002C5DE1">
        <w:rPr>
          <w:rFonts w:ascii="Times New Roman" w:hAnsi="Times New Roman" w:cs="Times New Roman"/>
          <w:color w:val="000000" w:themeColor="text1"/>
          <w:sz w:val="24"/>
          <w:szCs w:val="24"/>
          <w:lang w:val="en-US"/>
        </w:rPr>
        <w:t>ln</w:t>
      </w:r>
      <w:r w:rsidRPr="002C5DE1">
        <w:rPr>
          <w:rFonts w:ascii="Times New Roman" w:hAnsi="Times New Roman" w:cs="Times New Roman"/>
          <w:color w:val="000000" w:themeColor="text1"/>
          <w:sz w:val="24"/>
          <w:szCs w:val="24"/>
          <w:lang w:val="en-US"/>
        </w:rPr>
        <w:t>hp</w:t>
      </w:r>
      <w:r w:rsidRPr="002C5DE1">
        <w:rPr>
          <w:rFonts w:ascii="Times New Roman" w:hAnsi="Times New Roman" w:cs="Times New Roman"/>
          <w:color w:val="000000" w:themeColor="text1"/>
          <w:sz w:val="24"/>
          <w:szCs w:val="24"/>
          <w:vertAlign w:val="subscript"/>
          <w:lang w:val="en-US"/>
        </w:rPr>
        <w:t>it</w:t>
      </w:r>
      <w:proofErr w:type="spellEnd"/>
      <w:r w:rsidRPr="002C5DE1">
        <w:rPr>
          <w:rFonts w:ascii="Times New Roman" w:hAnsi="Times New Roman" w:cs="Times New Roman"/>
          <w:color w:val="000000" w:themeColor="text1"/>
          <w:sz w:val="24"/>
          <w:szCs w:val="24"/>
          <w:lang w:val="en-US"/>
        </w:rPr>
        <w:t>, I(·) is the indicator function indicating the regime defined by the threshold variable (either the</w:t>
      </w:r>
      <w:r w:rsidR="003C2300" w:rsidRPr="002C5DE1">
        <w:rPr>
          <w:rFonts w:ascii="Times New Roman" w:hAnsi="Times New Roman" w:cs="Times New Roman"/>
          <w:color w:val="000000" w:themeColor="text1"/>
          <w:sz w:val="24"/>
          <w:szCs w:val="24"/>
          <w:lang w:val="en-US"/>
        </w:rPr>
        <w:t xml:space="preserve"> FD or HPI</w:t>
      </w:r>
      <w:r w:rsidRPr="002C5DE1">
        <w:rPr>
          <w:rFonts w:ascii="Times New Roman" w:hAnsi="Times New Roman" w:cs="Times New Roman"/>
          <w:color w:val="000000" w:themeColor="text1"/>
          <w:sz w:val="24"/>
          <w:szCs w:val="24"/>
          <w:lang w:val="en-US"/>
        </w:rPr>
        <w:t>). δ</w:t>
      </w:r>
      <w:r w:rsidRPr="002C5DE1">
        <w:rPr>
          <w:rFonts w:ascii="Times New Roman" w:hAnsi="Times New Roman" w:cs="Times New Roman"/>
          <w:color w:val="000000" w:themeColor="text1"/>
          <w:sz w:val="24"/>
          <w:szCs w:val="24"/>
          <w:vertAlign w:val="subscript"/>
          <w:lang w:val="en-US"/>
        </w:rPr>
        <w:t>1</w:t>
      </w:r>
      <w:r w:rsidRPr="002C5DE1">
        <w:rPr>
          <w:rFonts w:ascii="Times New Roman" w:hAnsi="Times New Roman" w:cs="Times New Roman"/>
          <w:color w:val="000000" w:themeColor="text1"/>
          <w:sz w:val="24"/>
          <w:szCs w:val="24"/>
          <w:lang w:val="en-US"/>
        </w:rPr>
        <w:t xml:space="preserve"> is the regime intercept common to all cross-sections, as suggested by Bick (2010). Equation (2) illustrates that when the financial index is smaller than the estimated threshold value γ</w:t>
      </w:r>
      <w:r w:rsidRPr="002C5DE1">
        <w:rPr>
          <w:rFonts w:ascii="Times New Roman" w:hAnsi="Times New Roman" w:cs="Times New Roman"/>
          <w:color w:val="000000" w:themeColor="text1"/>
          <w:sz w:val="24"/>
          <w:szCs w:val="24"/>
          <w:vertAlign w:val="superscript"/>
          <w:lang w:val="en-US"/>
        </w:rPr>
        <w:t>1</w:t>
      </w:r>
      <w:r w:rsidRPr="002C5DE1">
        <w:rPr>
          <w:rFonts w:ascii="Times New Roman" w:hAnsi="Times New Roman" w:cs="Times New Roman"/>
          <w:color w:val="000000" w:themeColor="text1"/>
          <w:sz w:val="24"/>
          <w:szCs w:val="24"/>
          <w:lang w:val="en-US"/>
        </w:rPr>
        <w:t>, the elasticity of consumption to housing prices is θ</w:t>
      </w:r>
      <w:r w:rsidRPr="002C5DE1">
        <w:rPr>
          <w:rFonts w:ascii="Times New Roman" w:hAnsi="Times New Roman" w:cs="Times New Roman"/>
          <w:color w:val="000000" w:themeColor="text1"/>
          <w:sz w:val="24"/>
          <w:szCs w:val="24"/>
          <w:vertAlign w:val="subscript"/>
          <w:lang w:val="en-US"/>
        </w:rPr>
        <w:t>1</w:t>
      </w:r>
      <w:r w:rsidRPr="002C5DE1">
        <w:rPr>
          <w:rFonts w:ascii="Times New Roman" w:hAnsi="Times New Roman" w:cs="Times New Roman"/>
          <w:color w:val="000000" w:themeColor="text1"/>
          <w:sz w:val="24"/>
          <w:szCs w:val="24"/>
          <w:lang w:val="en-US"/>
        </w:rPr>
        <w:t>, while if it is larger than the estimated threshold value γ</w:t>
      </w:r>
      <w:r w:rsidRPr="002C5DE1">
        <w:rPr>
          <w:rFonts w:ascii="Times New Roman" w:hAnsi="Times New Roman" w:cs="Times New Roman"/>
          <w:color w:val="000000" w:themeColor="text1"/>
          <w:sz w:val="24"/>
          <w:szCs w:val="24"/>
          <w:vertAlign w:val="superscript"/>
          <w:lang w:val="en-US"/>
        </w:rPr>
        <w:t>1</w:t>
      </w:r>
      <w:r w:rsidRPr="002C5DE1">
        <w:rPr>
          <w:rFonts w:ascii="Times New Roman" w:hAnsi="Times New Roman" w:cs="Times New Roman"/>
          <w:color w:val="000000" w:themeColor="text1"/>
          <w:sz w:val="24"/>
          <w:szCs w:val="24"/>
          <w:lang w:val="en-US"/>
        </w:rPr>
        <w:t>, the elasticity of consumption to housing prices is θ</w:t>
      </w:r>
      <w:r w:rsidRPr="002C5DE1">
        <w:rPr>
          <w:rFonts w:ascii="Times New Roman" w:hAnsi="Times New Roman" w:cs="Times New Roman"/>
          <w:color w:val="000000" w:themeColor="text1"/>
          <w:sz w:val="24"/>
          <w:szCs w:val="24"/>
          <w:vertAlign w:val="subscript"/>
          <w:lang w:val="en-US"/>
        </w:rPr>
        <w:t>2</w:t>
      </w:r>
      <w:r w:rsidRPr="002C5DE1">
        <w:rPr>
          <w:rFonts w:ascii="Times New Roman" w:hAnsi="Times New Roman" w:cs="Times New Roman"/>
          <w:color w:val="000000" w:themeColor="text1"/>
          <w:sz w:val="24"/>
          <w:szCs w:val="24"/>
          <w:lang w:val="en-US"/>
        </w:rPr>
        <w:t xml:space="preserve">. Equation (3) shows that when the </w:t>
      </w:r>
      <w:r w:rsidR="000F28A9" w:rsidRPr="002C5DE1">
        <w:rPr>
          <w:rFonts w:ascii="Times New Roman" w:hAnsi="Times New Roman" w:cs="Times New Roman"/>
          <w:color w:val="000000" w:themeColor="text1"/>
          <w:sz w:val="24"/>
          <w:szCs w:val="24"/>
          <w:lang w:val="en-US"/>
        </w:rPr>
        <w:t xml:space="preserve">logarithm of </w:t>
      </w:r>
      <w:r w:rsidRPr="002C5DE1">
        <w:rPr>
          <w:rFonts w:ascii="Times New Roman" w:hAnsi="Times New Roman" w:cs="Times New Roman"/>
          <w:color w:val="000000" w:themeColor="text1"/>
          <w:sz w:val="24"/>
          <w:szCs w:val="24"/>
          <w:lang w:val="en-US"/>
        </w:rPr>
        <w:t>housing price to income ratio is smaller than the estimated threshold value γ</w:t>
      </w:r>
      <w:r w:rsidRPr="002C5DE1">
        <w:rPr>
          <w:rFonts w:ascii="Times New Roman" w:hAnsi="Times New Roman" w:cs="Times New Roman"/>
          <w:color w:val="000000" w:themeColor="text1"/>
          <w:sz w:val="24"/>
          <w:szCs w:val="24"/>
          <w:vertAlign w:val="superscript"/>
          <w:lang w:val="en-US"/>
        </w:rPr>
        <w:t>2</w:t>
      </w:r>
      <w:r w:rsidRPr="002C5DE1">
        <w:rPr>
          <w:rFonts w:ascii="Times New Roman" w:hAnsi="Times New Roman" w:cs="Times New Roman"/>
          <w:color w:val="000000" w:themeColor="text1"/>
          <w:sz w:val="24"/>
          <w:szCs w:val="24"/>
          <w:lang w:val="en-US"/>
        </w:rPr>
        <w:t>, then the elasticity of consumption to housing prices is θ</w:t>
      </w:r>
      <w:r w:rsidRPr="002C5DE1">
        <w:rPr>
          <w:rFonts w:ascii="Times New Roman" w:hAnsi="Times New Roman" w:cs="Times New Roman"/>
          <w:color w:val="000000" w:themeColor="text1"/>
          <w:sz w:val="24"/>
          <w:szCs w:val="24"/>
          <w:vertAlign w:val="subscript"/>
          <w:lang w:val="en-US"/>
        </w:rPr>
        <w:t>5</w:t>
      </w:r>
      <w:r w:rsidRPr="002C5DE1">
        <w:rPr>
          <w:rFonts w:ascii="Times New Roman" w:hAnsi="Times New Roman" w:cs="Times New Roman"/>
          <w:color w:val="000000" w:themeColor="text1"/>
          <w:sz w:val="24"/>
          <w:szCs w:val="24"/>
          <w:lang w:val="en-US"/>
        </w:rPr>
        <w:t xml:space="preserve">, while if this </w:t>
      </w:r>
      <w:r w:rsidR="000F28A9" w:rsidRPr="002C5DE1">
        <w:rPr>
          <w:rFonts w:ascii="Times New Roman" w:hAnsi="Times New Roman" w:cs="Times New Roman"/>
          <w:color w:val="000000" w:themeColor="text1"/>
          <w:sz w:val="24"/>
          <w:szCs w:val="24"/>
          <w:lang w:val="en-US"/>
        </w:rPr>
        <w:t xml:space="preserve">log </w:t>
      </w:r>
      <w:r w:rsidRPr="002C5DE1">
        <w:rPr>
          <w:rFonts w:ascii="Times New Roman" w:hAnsi="Times New Roman" w:cs="Times New Roman"/>
          <w:color w:val="000000" w:themeColor="text1"/>
          <w:sz w:val="24"/>
          <w:szCs w:val="24"/>
          <w:lang w:val="en-US"/>
        </w:rPr>
        <w:t>ratio is larger than the estimated threshold value γ</w:t>
      </w:r>
      <w:r w:rsidRPr="002C5DE1">
        <w:rPr>
          <w:rFonts w:ascii="Times New Roman" w:hAnsi="Times New Roman" w:cs="Times New Roman"/>
          <w:color w:val="000000" w:themeColor="text1"/>
          <w:sz w:val="24"/>
          <w:szCs w:val="24"/>
          <w:vertAlign w:val="superscript"/>
          <w:lang w:val="en-US"/>
        </w:rPr>
        <w:t>2</w:t>
      </w:r>
      <w:r w:rsidRPr="002C5DE1">
        <w:rPr>
          <w:rFonts w:ascii="Times New Roman" w:hAnsi="Times New Roman" w:cs="Times New Roman"/>
          <w:color w:val="000000" w:themeColor="text1"/>
          <w:sz w:val="24"/>
          <w:szCs w:val="24"/>
          <w:lang w:val="en-US"/>
        </w:rPr>
        <w:t>, then the elasticity of consumption to housing price is θ</w:t>
      </w:r>
      <w:r w:rsidRPr="002C5DE1">
        <w:rPr>
          <w:rFonts w:ascii="Times New Roman" w:hAnsi="Times New Roman" w:cs="Times New Roman"/>
          <w:color w:val="000000" w:themeColor="text1"/>
          <w:sz w:val="24"/>
          <w:szCs w:val="24"/>
          <w:vertAlign w:val="subscript"/>
          <w:lang w:val="en-US"/>
        </w:rPr>
        <w:t>6</w:t>
      </w:r>
      <w:r w:rsidRPr="002C5DE1">
        <w:rPr>
          <w:rFonts w:ascii="Times New Roman" w:hAnsi="Times New Roman" w:cs="Times New Roman"/>
          <w:color w:val="000000" w:themeColor="text1"/>
          <w:sz w:val="24"/>
          <w:szCs w:val="24"/>
          <w:lang w:val="en-US"/>
        </w:rPr>
        <w:t xml:space="preserve">. </w:t>
      </w:r>
    </w:p>
    <w:p w14:paraId="29DA3C76" w14:textId="77777777" w:rsidR="00AC5AE4" w:rsidRPr="002C5DE1" w:rsidRDefault="00AC5AE4" w:rsidP="008E588C">
      <w:pPr>
        <w:spacing w:before="60" w:after="0" w:line="276" w:lineRule="auto"/>
        <w:ind w:firstLine="357"/>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Following Caner and Hansen (2004) and Kremer et al. (2013), the analysis first estimates a reduced form regression of the endogenous variables on a set of instruments. The predicted values of the endogenous variables are then substituted into Equation (2) or Equation (3). In step two, Equation (2) or Equation (3) with these predicted values is estimated repeatedly by least squares for each value of the thresholds, γ. Then, the corresponding least square estimates of the parameters and the sum of squared errors, denoted by S(γ) are recorded. The estimator for the threshold parameter, γ, is chosen which minimizes the sum of squared errors, i.e.,</w:t>
      </w:r>
      <m:oMath>
        <m:r>
          <w:rPr>
            <w:rFonts w:ascii="Cambria Math" w:hAnsi="Cambria Math" w:cs="Times New Roman"/>
            <w:color w:val="000000" w:themeColor="text1"/>
            <w:sz w:val="24"/>
            <w:szCs w:val="24"/>
            <w:lang w:val="en-US"/>
          </w:rPr>
          <m:t xml:space="preserve"> γ=</m:t>
        </m:r>
        <m:func>
          <m:funcPr>
            <m:ctrlPr>
              <w:rPr>
                <w:rFonts w:ascii="Cambria Math" w:hAnsi="Cambria Math" w:cs="Times New Roman"/>
                <w:i/>
                <w:color w:val="000000" w:themeColor="text1"/>
                <w:sz w:val="24"/>
                <w:szCs w:val="24"/>
                <w:lang w:val="en-US"/>
              </w:rPr>
            </m:ctrlPr>
          </m:funcPr>
          <m:fName>
            <m:r>
              <m:rPr>
                <m:sty m:val="p"/>
              </m:rPr>
              <w:rPr>
                <w:rFonts w:ascii="Cambria Math" w:hAnsi="Cambria Math" w:cs="Times New Roman"/>
                <w:color w:val="000000" w:themeColor="text1"/>
                <w:sz w:val="24"/>
                <w:szCs w:val="24"/>
                <w:lang w:val="en-US"/>
              </w:rPr>
              <m:t>arg</m:t>
            </m:r>
          </m:fName>
          <m:e>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min</m:t>
                </m:r>
              </m:e>
              <m:sub>
                <m:r>
                  <w:rPr>
                    <w:rFonts w:ascii="Cambria Math" w:hAnsi="Cambria Math" w:cs="Times New Roman"/>
                    <w:color w:val="000000" w:themeColor="text1"/>
                    <w:sz w:val="24"/>
                    <w:szCs w:val="24"/>
                    <w:lang w:val="en-US"/>
                  </w:rPr>
                  <m:t>γ</m:t>
                </m:r>
              </m:sub>
            </m:sSub>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S</m:t>
                </m:r>
              </m:e>
              <m:sub>
                <m:r>
                  <w:rPr>
                    <w:rFonts w:ascii="Cambria Math" w:hAnsi="Cambria Math" w:cs="Times New Roman"/>
                    <w:color w:val="000000" w:themeColor="text1"/>
                    <w:sz w:val="24"/>
                    <w:szCs w:val="24"/>
                    <w:lang w:val="en-US"/>
                  </w:rPr>
                  <m:t>n</m:t>
                </m:r>
              </m:sub>
            </m:sSub>
            <m:d>
              <m:dPr>
                <m:ctrlPr>
                  <w:rPr>
                    <w:rFonts w:ascii="Cambria Math" w:hAnsi="Cambria Math" w:cs="Times New Roman"/>
                    <w:i/>
                    <w:color w:val="000000" w:themeColor="text1"/>
                    <w:sz w:val="24"/>
                    <w:szCs w:val="24"/>
                    <w:lang w:val="en-US"/>
                  </w:rPr>
                </m:ctrlPr>
              </m:dPr>
              <m:e>
                <m:r>
                  <w:rPr>
                    <w:rFonts w:ascii="Cambria Math" w:hAnsi="Cambria Math" w:cs="Times New Roman"/>
                    <w:color w:val="000000" w:themeColor="text1"/>
                    <w:sz w:val="24"/>
                    <w:szCs w:val="24"/>
                    <w:lang w:val="en-US"/>
                  </w:rPr>
                  <m:t>γ</m:t>
                </m:r>
              </m:e>
            </m:d>
          </m:e>
        </m:func>
      </m:oMath>
      <w:r w:rsidR="00377EBE" w:rsidRPr="002C5DE1">
        <w:rPr>
          <w:rFonts w:ascii="Times New Roman" w:hAnsi="Times New Roman" w:cs="Times New Roman"/>
          <w:color w:val="000000" w:themeColor="text1"/>
          <w:sz w:val="24"/>
          <w:szCs w:val="24"/>
          <w:lang w:val="en-US"/>
        </w:rPr>
        <w:t xml:space="preserve"> .</w:t>
      </w:r>
      <w:r w:rsidRPr="002C5DE1">
        <w:rPr>
          <w:rFonts w:ascii="Times New Roman" w:hAnsi="Times New Roman" w:cs="Times New Roman"/>
          <w:color w:val="000000" w:themeColor="text1"/>
          <w:sz w:val="24"/>
          <w:szCs w:val="24"/>
          <w:lang w:val="en-US"/>
        </w:rPr>
        <w:t xml:space="preserve"> In accordance with Hansen (1999) and Caner and Hansen (2004), the critical values for determining a 95% confidence interval of the threshold value are </w:t>
      </w:r>
      <m:oMath>
        <m:r>
          <w:rPr>
            <w:rFonts w:ascii="Cambria Math" w:hAnsi="Cambria Math" w:cs="Times New Roman"/>
            <w:color w:val="000000" w:themeColor="text1"/>
            <w:sz w:val="24"/>
            <w:szCs w:val="24"/>
            <w:lang w:val="en-US"/>
          </w:rPr>
          <m:t>Γ=</m:t>
        </m:r>
        <m:d>
          <m:dPr>
            <m:begChr m:val="{"/>
            <m:endChr m:val="}"/>
            <m:ctrlPr>
              <w:rPr>
                <w:rFonts w:ascii="Cambria Math" w:hAnsi="Cambria Math" w:cs="Times New Roman"/>
                <w:i/>
                <w:color w:val="000000" w:themeColor="text1"/>
                <w:sz w:val="24"/>
                <w:szCs w:val="24"/>
                <w:lang w:val="en-US"/>
              </w:rPr>
            </m:ctrlPr>
          </m:dPr>
          <m:e>
            <m:r>
              <w:rPr>
                <w:rFonts w:ascii="Cambria Math" w:hAnsi="Cambria Math" w:cs="Times New Roman"/>
                <w:color w:val="000000" w:themeColor="text1"/>
                <w:sz w:val="24"/>
                <w:szCs w:val="24"/>
                <w:lang w:val="en-US"/>
              </w:rPr>
              <m:t>γ:LR</m:t>
            </m:r>
            <m:d>
              <m:dPr>
                <m:ctrlPr>
                  <w:rPr>
                    <w:rFonts w:ascii="Cambria Math" w:hAnsi="Cambria Math" w:cs="Times New Roman"/>
                    <w:i/>
                    <w:color w:val="000000" w:themeColor="text1"/>
                    <w:sz w:val="24"/>
                    <w:szCs w:val="24"/>
                    <w:lang w:val="en-US"/>
                  </w:rPr>
                </m:ctrlPr>
              </m:dPr>
              <m:e>
                <m:r>
                  <w:rPr>
                    <w:rFonts w:ascii="Cambria Math" w:hAnsi="Cambria Math" w:cs="Times New Roman"/>
                    <w:color w:val="000000" w:themeColor="text1"/>
                    <w:sz w:val="24"/>
                    <w:szCs w:val="24"/>
                    <w:lang w:val="en-US"/>
                  </w:rPr>
                  <m:t>γ</m:t>
                </m:r>
              </m:e>
            </m:d>
            <m:r>
              <w:rPr>
                <w:rFonts w:ascii="Cambria Math" w:hAnsi="Cambria Math" w:cs="Times New Roman"/>
                <w:color w:val="000000" w:themeColor="text1"/>
                <w:sz w:val="24"/>
                <w:szCs w:val="24"/>
                <w:lang w:val="en-US"/>
              </w:rPr>
              <m:t>≤C</m:t>
            </m:r>
            <m:d>
              <m:dPr>
                <m:ctrlPr>
                  <w:rPr>
                    <w:rFonts w:ascii="Cambria Math" w:hAnsi="Cambria Math" w:cs="Times New Roman"/>
                    <w:i/>
                    <w:color w:val="000000" w:themeColor="text1"/>
                    <w:sz w:val="24"/>
                    <w:szCs w:val="24"/>
                    <w:lang w:val="en-US"/>
                  </w:rPr>
                </m:ctrlPr>
              </m:dPr>
              <m:e>
                <m:r>
                  <w:rPr>
                    <w:rFonts w:ascii="Cambria Math" w:hAnsi="Cambria Math" w:cs="Times New Roman"/>
                    <w:color w:val="000000" w:themeColor="text1"/>
                    <w:sz w:val="24"/>
                    <w:szCs w:val="24"/>
                    <w:lang w:val="en-US"/>
                  </w:rPr>
                  <m:t>α</m:t>
                </m:r>
              </m:e>
            </m:d>
          </m:e>
        </m:d>
        <m:r>
          <w:rPr>
            <w:rFonts w:ascii="Cambria Math" w:hAnsi="Cambria Math" w:cs="Times New Roman"/>
            <w:color w:val="000000" w:themeColor="text1"/>
            <w:sz w:val="24"/>
            <w:szCs w:val="24"/>
            <w:lang w:val="en-US"/>
          </w:rPr>
          <m:t>,</m:t>
        </m:r>
      </m:oMath>
      <w:r w:rsidR="00E06273" w:rsidRPr="002C5DE1">
        <w:rPr>
          <w:rFonts w:ascii="Times New Roman" w:hAnsi="Times New Roman" w:cs="Times New Roman"/>
          <w:color w:val="000000" w:themeColor="text1"/>
          <w:sz w:val="24"/>
          <w:szCs w:val="24"/>
          <w:lang w:val="en-US"/>
        </w:rPr>
        <w:t xml:space="preserve"> </w:t>
      </w:r>
      <w:r w:rsidRPr="002C5DE1">
        <w:rPr>
          <w:rFonts w:ascii="Times New Roman" w:hAnsi="Times New Roman" w:cs="Times New Roman"/>
          <w:color w:val="000000" w:themeColor="text1"/>
          <w:sz w:val="24"/>
          <w:szCs w:val="24"/>
          <w:lang w:val="en-US"/>
        </w:rPr>
        <w:t>where C(α) is the 95% percentile of the asymptotic distribution of the likelihood ratio statistic LR(γ). Finally, the slope coefficients are estimated by the GMM for the previously used instruments and the previous estimated threshold ˆγ. The important feature of this threshold model is that it captures the impact of housing prices on household consumption based on two different regimes.</w:t>
      </w:r>
    </w:p>
    <w:p w14:paraId="344E4A84" w14:textId="77777777" w:rsidR="00307D14" w:rsidRPr="002C5DE1" w:rsidRDefault="00435D5B" w:rsidP="001564A9">
      <w:pPr>
        <w:pStyle w:val="Heading1"/>
        <w:spacing w:after="120" w:line="276" w:lineRule="auto"/>
        <w:rPr>
          <w:rFonts w:ascii="Times New Roman" w:hAnsi="Times New Roman" w:cs="Times New Roman"/>
          <w:b/>
          <w:color w:val="000000" w:themeColor="text1"/>
          <w:sz w:val="24"/>
          <w:szCs w:val="24"/>
          <w:lang w:val="en-US"/>
        </w:rPr>
      </w:pPr>
      <w:r w:rsidRPr="002C5DE1">
        <w:rPr>
          <w:rFonts w:ascii="Times New Roman" w:hAnsi="Times New Roman" w:cs="Times New Roman"/>
          <w:b/>
          <w:color w:val="000000" w:themeColor="text1"/>
          <w:sz w:val="24"/>
          <w:szCs w:val="24"/>
          <w:lang w:val="en-US"/>
        </w:rPr>
        <w:t>5</w:t>
      </w:r>
      <w:r w:rsidR="00307D14" w:rsidRPr="002C5DE1">
        <w:rPr>
          <w:rFonts w:ascii="Times New Roman" w:hAnsi="Times New Roman" w:cs="Times New Roman"/>
          <w:b/>
          <w:color w:val="000000" w:themeColor="text1"/>
          <w:sz w:val="24"/>
          <w:szCs w:val="24"/>
          <w:lang w:val="en-US"/>
        </w:rPr>
        <w:t>. Model Results</w:t>
      </w:r>
      <w:r w:rsidR="00F44DC5" w:rsidRPr="002C5DE1">
        <w:rPr>
          <w:rFonts w:ascii="Times New Roman" w:hAnsi="Times New Roman" w:cs="Times New Roman"/>
          <w:b/>
          <w:color w:val="000000" w:themeColor="text1"/>
          <w:sz w:val="24"/>
          <w:szCs w:val="24"/>
          <w:lang w:val="en-US"/>
        </w:rPr>
        <w:t xml:space="preserve"> and Discussion</w:t>
      </w:r>
    </w:p>
    <w:p w14:paraId="3A8D8704" w14:textId="77777777" w:rsidR="00EF6DB7" w:rsidRPr="002C5DE1" w:rsidRDefault="00EF6DB7" w:rsidP="008E588C">
      <w:pPr>
        <w:pStyle w:val="Heading2"/>
        <w:spacing w:before="120" w:after="120"/>
        <w:rPr>
          <w:rFonts w:ascii="Times New Roman" w:hAnsi="Times New Roman" w:cs="Times New Roman"/>
          <w:b/>
          <w:color w:val="000000" w:themeColor="text1"/>
          <w:sz w:val="24"/>
          <w:szCs w:val="24"/>
          <w:lang w:val="en-US"/>
        </w:rPr>
      </w:pPr>
      <w:r w:rsidRPr="002C5DE1">
        <w:rPr>
          <w:rFonts w:ascii="Times New Roman" w:hAnsi="Times New Roman" w:cs="Times New Roman"/>
          <w:b/>
          <w:color w:val="000000" w:themeColor="text1"/>
          <w:sz w:val="24"/>
          <w:szCs w:val="24"/>
          <w:lang w:val="en-US"/>
        </w:rPr>
        <w:t>5.1. Panel Unit Root Test Results</w:t>
      </w:r>
    </w:p>
    <w:p w14:paraId="62816EDB" w14:textId="77777777" w:rsidR="006B1EB1" w:rsidRPr="002C5DE1" w:rsidRDefault="00AC5AE4" w:rsidP="008E588C">
      <w:pPr>
        <w:spacing w:after="0" w:line="276" w:lineRule="auto"/>
        <w:ind w:firstLine="357"/>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 xml:space="preserve">A second-generation panel unit root test is employed to determine the degree of integration of the respective variables. The </w:t>
      </w:r>
      <w:proofErr w:type="spellStart"/>
      <w:r w:rsidRPr="002C5DE1">
        <w:rPr>
          <w:rFonts w:ascii="Times New Roman" w:hAnsi="Times New Roman" w:cs="Times New Roman"/>
          <w:color w:val="000000" w:themeColor="text1"/>
          <w:sz w:val="24"/>
          <w:szCs w:val="24"/>
          <w:lang w:val="en-US"/>
        </w:rPr>
        <w:t>Pesaran</w:t>
      </w:r>
      <w:proofErr w:type="spellEnd"/>
      <w:r w:rsidRPr="002C5DE1">
        <w:rPr>
          <w:rFonts w:ascii="Times New Roman" w:hAnsi="Times New Roman" w:cs="Times New Roman"/>
          <w:color w:val="000000" w:themeColor="text1"/>
          <w:sz w:val="24"/>
          <w:szCs w:val="24"/>
          <w:lang w:val="en-US"/>
        </w:rPr>
        <w:t xml:space="preserve"> (2007) panel unit root test does not require the estimation of factor loading to eliminate cross-sectional dependence. Specifically, the usual ADF regression is augmented to include the lagged cross-sectional mean and its first difference to capture the cross-sectional dependence that arises through a single-factor model. The null </w:t>
      </w:r>
      <w:r w:rsidRPr="002C5DE1">
        <w:rPr>
          <w:rFonts w:ascii="Times New Roman" w:hAnsi="Times New Roman" w:cs="Times New Roman"/>
          <w:color w:val="000000" w:themeColor="text1"/>
          <w:sz w:val="24"/>
          <w:szCs w:val="24"/>
          <w:lang w:val="en-US"/>
        </w:rPr>
        <w:lastRenderedPageBreak/>
        <w:t xml:space="preserve">hypothesis is a unit root for the </w:t>
      </w:r>
      <w:proofErr w:type="spellStart"/>
      <w:r w:rsidRPr="002C5DE1">
        <w:rPr>
          <w:rFonts w:ascii="Times New Roman" w:hAnsi="Times New Roman" w:cs="Times New Roman"/>
          <w:color w:val="000000" w:themeColor="text1"/>
          <w:sz w:val="24"/>
          <w:szCs w:val="24"/>
          <w:lang w:val="en-US"/>
        </w:rPr>
        <w:t>Pesaran</w:t>
      </w:r>
      <w:proofErr w:type="spellEnd"/>
      <w:r w:rsidRPr="002C5DE1">
        <w:rPr>
          <w:rFonts w:ascii="Times New Roman" w:hAnsi="Times New Roman" w:cs="Times New Roman"/>
          <w:color w:val="000000" w:themeColor="text1"/>
          <w:sz w:val="24"/>
          <w:szCs w:val="24"/>
          <w:lang w:val="en-US"/>
        </w:rPr>
        <w:t xml:space="preserve"> (2007) test. The results of this test are reported in Table </w:t>
      </w:r>
      <w:r w:rsidR="00EC5CAE" w:rsidRPr="002C5DE1">
        <w:rPr>
          <w:rFonts w:ascii="Times New Roman" w:hAnsi="Times New Roman" w:cs="Times New Roman"/>
          <w:color w:val="000000" w:themeColor="text1"/>
          <w:sz w:val="24"/>
          <w:szCs w:val="24"/>
          <w:lang w:val="en-US"/>
        </w:rPr>
        <w:t>3</w:t>
      </w:r>
      <w:r w:rsidRPr="002C5DE1">
        <w:rPr>
          <w:rFonts w:ascii="Times New Roman" w:hAnsi="Times New Roman" w:cs="Times New Roman"/>
          <w:color w:val="000000" w:themeColor="text1"/>
          <w:sz w:val="24"/>
          <w:szCs w:val="24"/>
          <w:lang w:val="en-US"/>
        </w:rPr>
        <w:t xml:space="preserve"> and support the presence of a unit root across all panel variables.</w:t>
      </w:r>
    </w:p>
    <w:p w14:paraId="1A86AF90" w14:textId="77777777" w:rsidR="006D1E51" w:rsidRPr="002C5DE1" w:rsidRDefault="006D1E51" w:rsidP="008E588C">
      <w:pPr>
        <w:spacing w:after="0" w:line="276" w:lineRule="auto"/>
        <w:ind w:firstLine="357"/>
        <w:jc w:val="both"/>
        <w:rPr>
          <w:rFonts w:ascii="Times New Roman" w:hAnsi="Times New Roman" w:cs="Times New Roman"/>
          <w:color w:val="000000" w:themeColor="text1"/>
          <w:sz w:val="24"/>
          <w:szCs w:val="24"/>
          <w:lang w:val="en-US"/>
        </w:rPr>
      </w:pPr>
    </w:p>
    <w:p w14:paraId="3C09DF49" w14:textId="77777777" w:rsidR="006D1E51" w:rsidRPr="002C5DE1" w:rsidRDefault="006D1E51" w:rsidP="006D1E51">
      <w:pPr>
        <w:spacing w:after="120" w:line="276" w:lineRule="auto"/>
        <w:ind w:firstLine="357"/>
        <w:jc w:val="center"/>
        <w:rPr>
          <w:rFonts w:ascii="Times New Roman" w:hAnsi="Times New Roman" w:cs="Times New Roman"/>
          <w:b/>
          <w:color w:val="000000" w:themeColor="text1"/>
          <w:sz w:val="24"/>
          <w:szCs w:val="24"/>
          <w:lang w:val="en-US"/>
        </w:rPr>
      </w:pPr>
      <w:r w:rsidRPr="002C5DE1">
        <w:rPr>
          <w:rFonts w:ascii="Times New Roman" w:hAnsi="Times New Roman" w:cs="Times New Roman"/>
          <w:b/>
          <w:color w:val="000000" w:themeColor="text1"/>
          <w:sz w:val="24"/>
          <w:szCs w:val="24"/>
          <w:lang w:val="en-US"/>
        </w:rPr>
        <w:t>[</w:t>
      </w:r>
      <w:r w:rsidRPr="002C5DE1">
        <w:rPr>
          <w:rFonts w:ascii="Times New Roman" w:hAnsi="Times New Roman" w:cs="Times New Roman"/>
          <w:b/>
          <w:color w:val="000000" w:themeColor="text1"/>
          <w:sz w:val="24"/>
          <w:szCs w:val="24"/>
          <w:shd w:val="clear" w:color="auto" w:fill="FFFFFF"/>
          <w:lang w:val="en-US"/>
        </w:rPr>
        <w:t>Place Table 3 Here</w:t>
      </w:r>
      <w:r w:rsidRPr="002C5DE1">
        <w:rPr>
          <w:rFonts w:ascii="Times New Roman" w:hAnsi="Times New Roman" w:cs="Times New Roman"/>
          <w:b/>
          <w:color w:val="000000" w:themeColor="text1"/>
          <w:sz w:val="24"/>
          <w:szCs w:val="24"/>
          <w:lang w:val="en-US"/>
        </w:rPr>
        <w:t>]</w:t>
      </w:r>
    </w:p>
    <w:p w14:paraId="61C7C14B" w14:textId="77777777" w:rsidR="00307D14" w:rsidRPr="002C5DE1" w:rsidRDefault="00307D14" w:rsidP="00AC5AE4">
      <w:pPr>
        <w:spacing w:after="0" w:line="240" w:lineRule="auto"/>
        <w:jc w:val="center"/>
        <w:rPr>
          <w:rFonts w:ascii="Times New Roman" w:hAnsi="Times New Roman" w:cs="Times New Roman"/>
          <w:b/>
          <w:color w:val="000000" w:themeColor="text1"/>
          <w:sz w:val="24"/>
          <w:szCs w:val="24"/>
          <w:lang w:val="en-US"/>
        </w:rPr>
      </w:pPr>
    </w:p>
    <w:p w14:paraId="474F48EA" w14:textId="77777777" w:rsidR="00EF6DB7" w:rsidRPr="002C5DE1" w:rsidRDefault="00375D9D" w:rsidP="008E588C">
      <w:pPr>
        <w:pStyle w:val="Heading2"/>
        <w:spacing w:before="120" w:after="120"/>
        <w:rPr>
          <w:rFonts w:ascii="Times New Roman" w:hAnsi="Times New Roman" w:cs="Times New Roman"/>
          <w:b/>
          <w:color w:val="000000" w:themeColor="text1"/>
          <w:sz w:val="24"/>
          <w:szCs w:val="24"/>
          <w:lang w:val="en-US"/>
        </w:rPr>
      </w:pPr>
      <w:r w:rsidRPr="002C5DE1">
        <w:rPr>
          <w:rFonts w:ascii="Times New Roman" w:hAnsi="Times New Roman" w:cs="Times New Roman"/>
          <w:b/>
          <w:color w:val="000000" w:themeColor="text1"/>
          <w:sz w:val="24"/>
          <w:szCs w:val="24"/>
          <w:lang w:val="en-US"/>
        </w:rPr>
        <w:t xml:space="preserve">5.2. Threshold Estimation Results </w:t>
      </w:r>
      <w:r w:rsidR="00EF6DB7" w:rsidRPr="002C5DE1">
        <w:rPr>
          <w:rFonts w:ascii="Times New Roman" w:hAnsi="Times New Roman" w:cs="Times New Roman"/>
          <w:b/>
          <w:color w:val="000000" w:themeColor="text1"/>
          <w:sz w:val="24"/>
          <w:szCs w:val="24"/>
          <w:lang w:val="en-US"/>
        </w:rPr>
        <w:t>for Entire Period</w:t>
      </w:r>
    </w:p>
    <w:p w14:paraId="47AD1DB6" w14:textId="77777777" w:rsidR="00C51B7E" w:rsidRPr="002C5DE1" w:rsidRDefault="00AC5AE4" w:rsidP="008E588C">
      <w:pPr>
        <w:spacing w:after="240" w:line="276" w:lineRule="auto"/>
        <w:ind w:firstLine="357"/>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To decide the number of thresholds of the financial</w:t>
      </w:r>
      <w:r w:rsidR="00455018" w:rsidRPr="002C5DE1">
        <w:rPr>
          <w:rFonts w:ascii="Times New Roman" w:hAnsi="Times New Roman" w:cs="Times New Roman"/>
          <w:color w:val="000000" w:themeColor="text1"/>
          <w:sz w:val="24"/>
          <w:szCs w:val="24"/>
          <w:lang w:val="en-US"/>
        </w:rPr>
        <w:t xml:space="preserve"> development</w:t>
      </w:r>
      <w:r w:rsidRPr="002C5DE1">
        <w:rPr>
          <w:rFonts w:ascii="Times New Roman" w:hAnsi="Times New Roman" w:cs="Times New Roman"/>
          <w:color w:val="000000" w:themeColor="text1"/>
          <w:sz w:val="24"/>
          <w:szCs w:val="24"/>
          <w:lang w:val="en-US"/>
        </w:rPr>
        <w:t xml:space="preserve"> index and the hous</w:t>
      </w:r>
      <w:r w:rsidR="00820800" w:rsidRPr="002C5DE1">
        <w:rPr>
          <w:rFonts w:ascii="Times New Roman" w:hAnsi="Times New Roman" w:cs="Times New Roman"/>
          <w:color w:val="000000" w:themeColor="text1"/>
          <w:sz w:val="24"/>
          <w:szCs w:val="24"/>
          <w:lang w:val="en-US"/>
        </w:rPr>
        <w:t>e</w:t>
      </w:r>
      <w:r w:rsidRPr="002C5DE1">
        <w:rPr>
          <w:rFonts w:ascii="Times New Roman" w:hAnsi="Times New Roman" w:cs="Times New Roman"/>
          <w:color w:val="000000" w:themeColor="text1"/>
          <w:sz w:val="24"/>
          <w:szCs w:val="24"/>
          <w:lang w:val="en-US"/>
        </w:rPr>
        <w:t xml:space="preserve"> prices to income ratio, the fixed effect model is estimated under the hypothesis of zero, one and two thresholds. Table </w:t>
      </w:r>
      <w:r w:rsidR="00CC0609" w:rsidRPr="002C5DE1">
        <w:rPr>
          <w:rFonts w:ascii="Times New Roman" w:hAnsi="Times New Roman" w:cs="Times New Roman"/>
          <w:color w:val="000000" w:themeColor="text1"/>
          <w:sz w:val="24"/>
          <w:szCs w:val="24"/>
          <w:lang w:val="en-US"/>
        </w:rPr>
        <w:t>4</w:t>
      </w:r>
      <w:r w:rsidRPr="002C5DE1">
        <w:rPr>
          <w:rFonts w:ascii="Times New Roman" w:hAnsi="Times New Roman" w:cs="Times New Roman"/>
          <w:color w:val="000000" w:themeColor="text1"/>
          <w:sz w:val="24"/>
          <w:szCs w:val="24"/>
          <w:lang w:val="en-US"/>
        </w:rPr>
        <w:t xml:space="preserve"> highlights that both threshold variables have one threshold.</w:t>
      </w:r>
      <w:r w:rsidR="00F140D4" w:rsidRPr="002C5DE1">
        <w:rPr>
          <w:rFonts w:ascii="Times New Roman" w:hAnsi="Times New Roman" w:cs="Times New Roman"/>
          <w:color w:val="000000" w:themeColor="text1"/>
          <w:sz w:val="24"/>
          <w:szCs w:val="24"/>
          <w:lang w:val="en-US"/>
        </w:rPr>
        <w:t xml:space="preserve"> </w:t>
      </w:r>
      <w:proofErr w:type="spellStart"/>
      <w:r w:rsidR="003C2300" w:rsidRPr="002C5DE1">
        <w:rPr>
          <w:rFonts w:ascii="Times New Roman" w:hAnsi="Times New Roman" w:cs="Times New Roman"/>
          <w:color w:val="000000" w:themeColor="text1"/>
          <w:sz w:val="24"/>
          <w:szCs w:val="24"/>
          <w:lang w:val="en-US"/>
        </w:rPr>
        <w:t>Τhe</w:t>
      </w:r>
      <w:proofErr w:type="spellEnd"/>
      <w:r w:rsidR="003C2300" w:rsidRPr="002C5DE1">
        <w:rPr>
          <w:rFonts w:ascii="Times New Roman" w:hAnsi="Times New Roman" w:cs="Times New Roman"/>
          <w:color w:val="000000" w:themeColor="text1"/>
          <w:sz w:val="24"/>
          <w:szCs w:val="24"/>
          <w:lang w:val="en-US"/>
        </w:rPr>
        <w:t xml:space="preserve"> findings for the benchmark model (as described by Equations (2) and (3)), presented in Table 5, document that the marginal impact of housing prices on household consumption is regime-specific, with a significant FD (or alternatively, the HPI ratio) threshold value of around 0.58 (</w:t>
      </w:r>
      <w:r w:rsidR="00B95BCB" w:rsidRPr="002C5DE1">
        <w:rPr>
          <w:rFonts w:ascii="Times New Roman" w:hAnsi="Times New Roman" w:cs="Times New Roman"/>
          <w:color w:val="000000" w:themeColor="text1"/>
          <w:sz w:val="24"/>
          <w:szCs w:val="24"/>
          <w:lang w:val="en-US"/>
        </w:rPr>
        <w:t>1</w:t>
      </w:r>
      <w:r w:rsidR="003C2300" w:rsidRPr="002C5DE1">
        <w:rPr>
          <w:rFonts w:ascii="Times New Roman" w:hAnsi="Times New Roman" w:cs="Times New Roman"/>
          <w:color w:val="000000" w:themeColor="text1"/>
          <w:sz w:val="24"/>
          <w:szCs w:val="24"/>
          <w:lang w:val="en-US"/>
        </w:rPr>
        <w:t>.</w:t>
      </w:r>
      <w:r w:rsidR="00B95BCB" w:rsidRPr="002C5DE1">
        <w:rPr>
          <w:rFonts w:ascii="Times New Roman" w:hAnsi="Times New Roman" w:cs="Times New Roman"/>
          <w:color w:val="000000" w:themeColor="text1"/>
          <w:sz w:val="24"/>
          <w:szCs w:val="24"/>
          <w:lang w:val="en-US"/>
        </w:rPr>
        <w:t>88</w:t>
      </w:r>
      <w:r w:rsidR="003C2300" w:rsidRPr="002C5DE1">
        <w:rPr>
          <w:rFonts w:ascii="Times New Roman" w:hAnsi="Times New Roman" w:cs="Times New Roman"/>
          <w:color w:val="000000" w:themeColor="text1"/>
          <w:sz w:val="24"/>
          <w:szCs w:val="24"/>
          <w:lang w:val="en-US"/>
        </w:rPr>
        <w:t>)</w:t>
      </w:r>
      <w:r w:rsidR="0025755C" w:rsidRPr="002C5DE1">
        <w:rPr>
          <w:rFonts w:ascii="Times New Roman" w:hAnsi="Times New Roman" w:cs="Times New Roman"/>
          <w:color w:val="000000" w:themeColor="text1"/>
          <w:sz w:val="24"/>
          <w:szCs w:val="24"/>
          <w:lang w:val="en-US"/>
        </w:rPr>
        <w:t xml:space="preserve"> in the second column and first row</w:t>
      </w:r>
      <w:r w:rsidR="003C2300" w:rsidRPr="002C5DE1">
        <w:rPr>
          <w:rFonts w:ascii="Times New Roman" w:hAnsi="Times New Roman" w:cs="Times New Roman"/>
          <w:color w:val="000000" w:themeColor="text1"/>
          <w:sz w:val="24"/>
          <w:szCs w:val="24"/>
          <w:lang w:val="en-US"/>
        </w:rPr>
        <w:t xml:space="preserve"> at the 95% confidence interval ranging from [0.54–0.61] ([</w:t>
      </w:r>
      <w:r w:rsidR="00B95BCB" w:rsidRPr="002C5DE1">
        <w:rPr>
          <w:rFonts w:ascii="Times New Roman" w:hAnsi="Times New Roman" w:cs="Times New Roman"/>
          <w:color w:val="000000" w:themeColor="text1"/>
          <w:sz w:val="24"/>
          <w:szCs w:val="24"/>
          <w:lang w:val="en-US"/>
        </w:rPr>
        <w:t>1</w:t>
      </w:r>
      <w:r w:rsidR="003C2300" w:rsidRPr="002C5DE1">
        <w:rPr>
          <w:rFonts w:ascii="Times New Roman" w:hAnsi="Times New Roman" w:cs="Times New Roman"/>
          <w:color w:val="000000" w:themeColor="text1"/>
          <w:sz w:val="24"/>
          <w:szCs w:val="24"/>
          <w:lang w:val="en-US"/>
        </w:rPr>
        <w:t>.</w:t>
      </w:r>
      <w:r w:rsidR="00B95BCB" w:rsidRPr="002C5DE1">
        <w:rPr>
          <w:rFonts w:ascii="Times New Roman" w:hAnsi="Times New Roman" w:cs="Times New Roman"/>
          <w:color w:val="000000" w:themeColor="text1"/>
          <w:sz w:val="24"/>
          <w:szCs w:val="24"/>
          <w:lang w:val="en-US"/>
        </w:rPr>
        <w:t>86</w:t>
      </w:r>
      <w:r w:rsidR="003C2300" w:rsidRPr="002C5DE1">
        <w:rPr>
          <w:rFonts w:ascii="Times New Roman" w:hAnsi="Times New Roman" w:cs="Times New Roman"/>
          <w:color w:val="000000" w:themeColor="text1"/>
          <w:sz w:val="24"/>
          <w:szCs w:val="24"/>
          <w:lang w:val="en-US"/>
        </w:rPr>
        <w:t>-</w:t>
      </w:r>
      <w:r w:rsidR="00B95BCB" w:rsidRPr="002C5DE1">
        <w:rPr>
          <w:rFonts w:ascii="Times New Roman" w:hAnsi="Times New Roman" w:cs="Times New Roman"/>
          <w:color w:val="000000" w:themeColor="text1"/>
          <w:sz w:val="24"/>
          <w:szCs w:val="24"/>
          <w:lang w:val="en-US"/>
        </w:rPr>
        <w:t>1</w:t>
      </w:r>
      <w:r w:rsidR="003C2300" w:rsidRPr="002C5DE1">
        <w:rPr>
          <w:rFonts w:ascii="Times New Roman" w:hAnsi="Times New Roman" w:cs="Times New Roman"/>
          <w:color w:val="000000" w:themeColor="text1"/>
          <w:sz w:val="24"/>
          <w:szCs w:val="24"/>
          <w:lang w:val="en-US"/>
        </w:rPr>
        <w:t>.</w:t>
      </w:r>
      <w:r w:rsidR="00B95BCB" w:rsidRPr="002C5DE1">
        <w:rPr>
          <w:rFonts w:ascii="Times New Roman" w:hAnsi="Times New Roman" w:cs="Times New Roman"/>
          <w:color w:val="000000" w:themeColor="text1"/>
          <w:sz w:val="24"/>
          <w:szCs w:val="24"/>
          <w:lang w:val="en-US"/>
        </w:rPr>
        <w:t>90</w:t>
      </w:r>
      <w:r w:rsidR="003C2300" w:rsidRPr="002C5DE1">
        <w:rPr>
          <w:rFonts w:ascii="Times New Roman" w:hAnsi="Times New Roman" w:cs="Times New Roman"/>
          <w:color w:val="000000" w:themeColor="text1"/>
          <w:sz w:val="24"/>
          <w:szCs w:val="24"/>
          <w:lang w:val="en-US"/>
        </w:rPr>
        <w:t xml:space="preserve">]). </w:t>
      </w:r>
      <w:r w:rsidR="00786E39" w:rsidRPr="002C5DE1">
        <w:rPr>
          <w:rFonts w:ascii="Times New Roman" w:hAnsi="Times New Roman" w:cs="Times New Roman"/>
          <w:color w:val="000000" w:themeColor="text1"/>
          <w:sz w:val="24"/>
          <w:szCs w:val="24"/>
          <w:lang w:val="en-US"/>
        </w:rPr>
        <w:t>The single estimated threshold value</w:t>
      </w:r>
      <w:r w:rsidR="00C2229E" w:rsidRPr="002C5DE1">
        <w:rPr>
          <w:rFonts w:ascii="Times New Roman" w:hAnsi="Times New Roman" w:cs="Times New Roman"/>
          <w:color w:val="000000" w:themeColor="text1"/>
          <w:sz w:val="24"/>
          <w:szCs w:val="24"/>
          <w:lang w:val="en-US"/>
        </w:rPr>
        <w:t xml:space="preserve"> of</w:t>
      </w:r>
      <w:r w:rsidR="00786E39" w:rsidRPr="002C5DE1">
        <w:rPr>
          <w:rFonts w:ascii="Times New Roman" w:hAnsi="Times New Roman" w:cs="Times New Roman"/>
          <w:color w:val="000000" w:themeColor="text1"/>
          <w:sz w:val="24"/>
          <w:szCs w:val="24"/>
          <w:lang w:val="en-US"/>
        </w:rPr>
        <w:t xml:space="preserve"> FD</w:t>
      </w:r>
      <w:r w:rsidR="00C2229E" w:rsidRPr="002C5DE1">
        <w:rPr>
          <w:rFonts w:ascii="Times New Roman" w:hAnsi="Times New Roman" w:cs="Times New Roman"/>
          <w:color w:val="000000" w:themeColor="text1"/>
          <w:sz w:val="24"/>
          <w:szCs w:val="24"/>
          <w:lang w:val="en-US"/>
        </w:rPr>
        <w:t xml:space="preserve"> (</w:t>
      </w:r>
      <w:r w:rsidR="00786E39" w:rsidRPr="002C5DE1">
        <w:rPr>
          <w:rFonts w:ascii="Times New Roman" w:hAnsi="Times New Roman" w:cs="Times New Roman"/>
          <w:color w:val="000000" w:themeColor="text1"/>
          <w:sz w:val="24"/>
          <w:szCs w:val="24"/>
          <w:lang w:val="en-US"/>
        </w:rPr>
        <w:t>0.58</w:t>
      </w:r>
      <w:r w:rsidR="00C2229E" w:rsidRPr="002C5DE1">
        <w:rPr>
          <w:rFonts w:ascii="Times New Roman" w:hAnsi="Times New Roman" w:cs="Times New Roman"/>
          <w:color w:val="000000" w:themeColor="text1"/>
          <w:sz w:val="24"/>
          <w:szCs w:val="24"/>
          <w:lang w:val="en-US"/>
        </w:rPr>
        <w:t>) split the sample i</w:t>
      </w:r>
      <w:r w:rsidR="00786E39" w:rsidRPr="002C5DE1">
        <w:rPr>
          <w:rFonts w:ascii="Times New Roman" w:hAnsi="Times New Roman" w:cs="Times New Roman"/>
          <w:color w:val="000000" w:themeColor="text1"/>
          <w:sz w:val="24"/>
          <w:szCs w:val="24"/>
          <w:lang w:val="en-US"/>
        </w:rPr>
        <w:t>nto two regimes: the low level of financial</w:t>
      </w:r>
      <w:r w:rsidR="00C2229E" w:rsidRPr="002C5DE1">
        <w:rPr>
          <w:rFonts w:ascii="Times New Roman" w:hAnsi="Times New Roman" w:cs="Times New Roman"/>
          <w:color w:val="000000" w:themeColor="text1"/>
          <w:sz w:val="24"/>
          <w:szCs w:val="24"/>
          <w:lang w:val="en-US"/>
        </w:rPr>
        <w:t xml:space="preserve"> </w:t>
      </w:r>
      <w:r w:rsidR="00786E39" w:rsidRPr="002C5DE1">
        <w:rPr>
          <w:rFonts w:ascii="Times New Roman" w:hAnsi="Times New Roman" w:cs="Times New Roman"/>
          <w:color w:val="000000" w:themeColor="text1"/>
          <w:sz w:val="24"/>
          <w:szCs w:val="24"/>
          <w:lang w:val="en-US"/>
        </w:rPr>
        <w:t>de</w:t>
      </w:r>
      <w:r w:rsidR="00B32AF1" w:rsidRPr="002C5DE1">
        <w:rPr>
          <w:rFonts w:ascii="Times New Roman" w:hAnsi="Times New Roman" w:cs="Times New Roman"/>
          <w:color w:val="000000" w:themeColor="text1"/>
          <w:sz w:val="24"/>
          <w:szCs w:val="24"/>
          <w:lang w:val="en-US"/>
        </w:rPr>
        <w:t>velopment</w:t>
      </w:r>
      <w:r w:rsidR="00786E39" w:rsidRPr="002C5DE1">
        <w:rPr>
          <w:rFonts w:ascii="Times New Roman" w:hAnsi="Times New Roman" w:cs="Times New Roman"/>
          <w:color w:val="000000" w:themeColor="text1"/>
          <w:sz w:val="24"/>
          <w:szCs w:val="24"/>
          <w:lang w:val="en-US"/>
        </w:rPr>
        <w:t xml:space="preserve"> regime and high level of financial de</w:t>
      </w:r>
      <w:r w:rsidR="00B32AF1" w:rsidRPr="002C5DE1">
        <w:rPr>
          <w:rFonts w:ascii="Times New Roman" w:hAnsi="Times New Roman" w:cs="Times New Roman"/>
          <w:color w:val="000000" w:themeColor="text1"/>
          <w:sz w:val="24"/>
          <w:szCs w:val="24"/>
          <w:lang w:val="en-US"/>
        </w:rPr>
        <w:t>velopment</w:t>
      </w:r>
      <w:r w:rsidR="00786E39" w:rsidRPr="002C5DE1">
        <w:rPr>
          <w:rFonts w:ascii="Times New Roman" w:hAnsi="Times New Roman" w:cs="Times New Roman"/>
          <w:color w:val="000000" w:themeColor="text1"/>
          <w:sz w:val="24"/>
          <w:szCs w:val="24"/>
          <w:lang w:val="en-US"/>
        </w:rPr>
        <w:t xml:space="preserve"> regime. Similarly, the single estimated threshold value of HPI (</w:t>
      </w:r>
      <w:r w:rsidR="006D24BD" w:rsidRPr="002C5DE1">
        <w:rPr>
          <w:rFonts w:ascii="Times New Roman" w:hAnsi="Times New Roman" w:cs="Times New Roman"/>
          <w:color w:val="000000" w:themeColor="text1"/>
          <w:sz w:val="24"/>
          <w:szCs w:val="24"/>
          <w:lang w:val="en-US"/>
        </w:rPr>
        <w:t>1.8</w:t>
      </w:r>
      <w:r w:rsidR="00B95BCB" w:rsidRPr="002C5DE1">
        <w:rPr>
          <w:rFonts w:ascii="Times New Roman" w:hAnsi="Times New Roman" w:cs="Times New Roman"/>
          <w:color w:val="000000" w:themeColor="text1"/>
          <w:sz w:val="24"/>
          <w:szCs w:val="24"/>
          <w:lang w:val="en-US"/>
        </w:rPr>
        <w:t>8</w:t>
      </w:r>
      <w:r w:rsidR="00786E39" w:rsidRPr="002C5DE1">
        <w:rPr>
          <w:rFonts w:ascii="Times New Roman" w:hAnsi="Times New Roman" w:cs="Times New Roman"/>
          <w:color w:val="000000" w:themeColor="text1"/>
          <w:sz w:val="24"/>
          <w:szCs w:val="24"/>
          <w:lang w:val="en-US"/>
        </w:rPr>
        <w:t xml:space="preserve">) split the sample into two regimes: low affordability regime and high affordability regime. </w:t>
      </w:r>
      <w:r w:rsidR="003C2300" w:rsidRPr="002C5DE1">
        <w:rPr>
          <w:rFonts w:ascii="Times New Roman" w:hAnsi="Times New Roman" w:cs="Times New Roman"/>
          <w:color w:val="000000" w:themeColor="text1"/>
          <w:sz w:val="24"/>
          <w:szCs w:val="24"/>
          <w:lang w:val="en-US"/>
        </w:rPr>
        <w:t>The confidence intervals are very tight, which implies that the threshold estimates have been precisely estimated. The p-value for the Hansen J-test is 0.48 (0.43)</w:t>
      </w:r>
      <w:r w:rsidR="006D24BD" w:rsidRPr="002C5DE1">
        <w:rPr>
          <w:rFonts w:ascii="Times New Roman" w:hAnsi="Times New Roman" w:cs="Times New Roman"/>
          <w:color w:val="000000" w:themeColor="text1"/>
          <w:sz w:val="24"/>
          <w:szCs w:val="24"/>
          <w:lang w:val="en-US"/>
        </w:rPr>
        <w:t xml:space="preserve"> at the end of the second column</w:t>
      </w:r>
      <w:r w:rsidR="003C2300" w:rsidRPr="002C5DE1">
        <w:rPr>
          <w:rFonts w:ascii="Times New Roman" w:hAnsi="Times New Roman" w:cs="Times New Roman"/>
          <w:color w:val="000000" w:themeColor="text1"/>
          <w:sz w:val="24"/>
          <w:szCs w:val="24"/>
          <w:lang w:val="en-US"/>
        </w:rPr>
        <w:t>, implying that we do not reject the null hypothesis that the instruments are valid.</w:t>
      </w:r>
    </w:p>
    <w:p w14:paraId="5759ADC0" w14:textId="77777777" w:rsidR="006D1E51" w:rsidRPr="002C5DE1" w:rsidRDefault="006D1E51" w:rsidP="006D1E51">
      <w:pPr>
        <w:spacing w:after="120" w:line="276" w:lineRule="auto"/>
        <w:ind w:firstLine="357"/>
        <w:jc w:val="center"/>
        <w:rPr>
          <w:rFonts w:ascii="Times New Roman" w:hAnsi="Times New Roman" w:cs="Times New Roman"/>
          <w:b/>
          <w:color w:val="000000" w:themeColor="text1"/>
          <w:sz w:val="24"/>
          <w:szCs w:val="24"/>
          <w:lang w:val="en-US"/>
        </w:rPr>
      </w:pPr>
      <w:r w:rsidRPr="002C5DE1">
        <w:rPr>
          <w:rFonts w:ascii="Times New Roman" w:hAnsi="Times New Roman" w:cs="Times New Roman"/>
          <w:b/>
          <w:color w:val="000000" w:themeColor="text1"/>
          <w:sz w:val="24"/>
          <w:szCs w:val="24"/>
          <w:lang w:val="en-US"/>
        </w:rPr>
        <w:t>[</w:t>
      </w:r>
      <w:r w:rsidRPr="002C5DE1">
        <w:rPr>
          <w:rFonts w:ascii="Times New Roman" w:hAnsi="Times New Roman" w:cs="Times New Roman"/>
          <w:b/>
          <w:color w:val="000000" w:themeColor="text1"/>
          <w:sz w:val="24"/>
          <w:szCs w:val="24"/>
          <w:shd w:val="clear" w:color="auto" w:fill="FFFFFF"/>
          <w:lang w:val="en-US"/>
        </w:rPr>
        <w:t>Place Table 4 Here</w:t>
      </w:r>
      <w:r w:rsidRPr="002C5DE1">
        <w:rPr>
          <w:rFonts w:ascii="Times New Roman" w:hAnsi="Times New Roman" w:cs="Times New Roman"/>
          <w:b/>
          <w:color w:val="000000" w:themeColor="text1"/>
          <w:sz w:val="24"/>
          <w:szCs w:val="24"/>
          <w:lang w:val="en-US"/>
        </w:rPr>
        <w:t>]</w:t>
      </w:r>
    </w:p>
    <w:p w14:paraId="266B8867" w14:textId="77777777" w:rsidR="006D1E51" w:rsidRPr="002C5DE1" w:rsidRDefault="006D1E51" w:rsidP="006D1E51">
      <w:pPr>
        <w:spacing w:after="120" w:line="276" w:lineRule="auto"/>
        <w:ind w:firstLine="357"/>
        <w:jc w:val="center"/>
        <w:rPr>
          <w:rFonts w:ascii="Times New Roman" w:hAnsi="Times New Roman" w:cs="Times New Roman"/>
          <w:b/>
          <w:color w:val="000000" w:themeColor="text1"/>
          <w:sz w:val="24"/>
          <w:szCs w:val="24"/>
          <w:lang w:val="en-US"/>
        </w:rPr>
      </w:pPr>
      <w:r w:rsidRPr="002C5DE1">
        <w:rPr>
          <w:rFonts w:ascii="Times New Roman" w:hAnsi="Times New Roman" w:cs="Times New Roman"/>
          <w:b/>
          <w:color w:val="000000" w:themeColor="text1"/>
          <w:sz w:val="24"/>
          <w:szCs w:val="24"/>
          <w:lang w:val="en-US"/>
        </w:rPr>
        <w:t>[</w:t>
      </w:r>
      <w:r w:rsidRPr="002C5DE1">
        <w:rPr>
          <w:rFonts w:ascii="Times New Roman" w:hAnsi="Times New Roman" w:cs="Times New Roman"/>
          <w:b/>
          <w:color w:val="000000" w:themeColor="text1"/>
          <w:sz w:val="24"/>
          <w:szCs w:val="24"/>
          <w:shd w:val="clear" w:color="auto" w:fill="FFFFFF"/>
          <w:lang w:val="en-US"/>
        </w:rPr>
        <w:t>Place Table 5 Here</w:t>
      </w:r>
      <w:r w:rsidRPr="002C5DE1">
        <w:rPr>
          <w:rFonts w:ascii="Times New Roman" w:hAnsi="Times New Roman" w:cs="Times New Roman"/>
          <w:b/>
          <w:color w:val="000000" w:themeColor="text1"/>
          <w:sz w:val="24"/>
          <w:szCs w:val="24"/>
          <w:lang w:val="en-US"/>
        </w:rPr>
        <w:t>]</w:t>
      </w:r>
    </w:p>
    <w:p w14:paraId="065C8F3E" w14:textId="77777777" w:rsidR="00C51B7E" w:rsidRPr="002C5DE1" w:rsidRDefault="001528E9" w:rsidP="004413B0">
      <w:pPr>
        <w:spacing w:before="120" w:after="120" w:line="276" w:lineRule="auto"/>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 xml:space="preserve">The explanatory variables are estimated with expected signs and significance. The outcomes suggest various conclusions and interesting implications. First, they illustrate that income, housing wealth and stock market wealth have a positive relation with household’s consumption. Second, the evidence suggests in parallel to theoretical/empirical expectations that income is a predominant variable to explain household’s consumption. In this respect, income per capita has a significant positive coefficient, which confirms a Keynesian type of consumption. In general, the impact of income (and also of the housing/stock market wealth) on consumption varies, depending on the regime and the stage of the global economy and more importantly it significantly increased during bubble periods according to both thresholds criteria. </w:t>
      </w:r>
    </w:p>
    <w:p w14:paraId="27EFFD5D" w14:textId="77777777" w:rsidR="004413B0" w:rsidRPr="002C5DE1" w:rsidRDefault="003E5B1A" w:rsidP="009966C2">
      <w:pPr>
        <w:spacing w:before="120" w:after="120" w:line="276" w:lineRule="auto"/>
        <w:ind w:firstLine="357"/>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Although the baseline estimates are reasonable, it is necessary to check for robustness. We do this by</w:t>
      </w:r>
      <w:r w:rsidR="004413B0" w:rsidRPr="002C5DE1">
        <w:rPr>
          <w:rFonts w:ascii="Times New Roman" w:hAnsi="Times New Roman" w:cs="Times New Roman"/>
          <w:color w:val="000000" w:themeColor="text1"/>
          <w:sz w:val="24"/>
          <w:szCs w:val="24"/>
          <w:lang w:val="en-US"/>
        </w:rPr>
        <w:t xml:space="preserve"> empirically assess</w:t>
      </w:r>
      <w:r w:rsidRPr="002C5DE1">
        <w:rPr>
          <w:rFonts w:ascii="Times New Roman" w:hAnsi="Times New Roman" w:cs="Times New Roman"/>
          <w:color w:val="000000" w:themeColor="text1"/>
          <w:sz w:val="24"/>
          <w:szCs w:val="24"/>
          <w:lang w:val="en-US"/>
        </w:rPr>
        <w:t>ing</w:t>
      </w:r>
      <w:r w:rsidR="004413B0" w:rsidRPr="002C5DE1">
        <w:rPr>
          <w:rFonts w:ascii="Times New Roman" w:hAnsi="Times New Roman" w:cs="Times New Roman"/>
          <w:color w:val="000000" w:themeColor="text1"/>
          <w:sz w:val="24"/>
          <w:szCs w:val="24"/>
          <w:lang w:val="en-US"/>
        </w:rPr>
        <w:t xml:space="preserve"> the baseline results reported in Table 5</w:t>
      </w:r>
      <w:r w:rsidRPr="002C5DE1">
        <w:rPr>
          <w:rFonts w:ascii="Times New Roman" w:hAnsi="Times New Roman" w:cs="Times New Roman"/>
          <w:color w:val="000000" w:themeColor="text1"/>
          <w:sz w:val="24"/>
          <w:szCs w:val="24"/>
          <w:lang w:val="en-US"/>
        </w:rPr>
        <w:t xml:space="preserve"> through the</w:t>
      </w:r>
      <w:r w:rsidR="004413B0" w:rsidRPr="002C5DE1">
        <w:rPr>
          <w:rFonts w:ascii="Times New Roman" w:hAnsi="Times New Roman" w:cs="Times New Roman"/>
          <w:color w:val="000000" w:themeColor="text1"/>
          <w:sz w:val="24"/>
          <w:szCs w:val="24"/>
          <w:lang w:val="en-US"/>
        </w:rPr>
        <w:t xml:space="preserve"> use of the </w:t>
      </w:r>
      <w:r w:rsidRPr="002C5DE1">
        <w:rPr>
          <w:rFonts w:ascii="Times New Roman" w:hAnsi="Times New Roman" w:cs="Times New Roman"/>
          <w:color w:val="000000" w:themeColor="text1"/>
          <w:sz w:val="24"/>
          <w:szCs w:val="24"/>
          <w:lang w:val="en-US"/>
        </w:rPr>
        <w:t>panel smooth transition regression</w:t>
      </w:r>
      <w:r w:rsidR="007C2D4B" w:rsidRPr="002C5DE1">
        <w:rPr>
          <w:rFonts w:ascii="Times New Roman" w:hAnsi="Times New Roman" w:cs="Times New Roman"/>
          <w:color w:val="000000" w:themeColor="text1"/>
          <w:sz w:val="24"/>
          <w:szCs w:val="24"/>
          <w:lang w:val="en-US"/>
        </w:rPr>
        <w:t xml:space="preserve"> (PSTR)</w:t>
      </w:r>
      <w:r w:rsidRPr="002C5DE1">
        <w:rPr>
          <w:rFonts w:ascii="Times New Roman" w:hAnsi="Times New Roman" w:cs="Times New Roman"/>
          <w:color w:val="000000" w:themeColor="text1"/>
          <w:sz w:val="24"/>
          <w:szCs w:val="24"/>
          <w:lang w:val="en-US"/>
        </w:rPr>
        <w:t xml:space="preserve"> </w:t>
      </w:r>
      <w:r w:rsidR="007C2D4B" w:rsidRPr="002C5DE1">
        <w:rPr>
          <w:rFonts w:ascii="Times New Roman" w:hAnsi="Times New Roman" w:cs="Times New Roman"/>
          <w:color w:val="000000" w:themeColor="text1"/>
          <w:sz w:val="24"/>
          <w:szCs w:val="24"/>
          <w:lang w:val="en-US"/>
        </w:rPr>
        <w:t xml:space="preserve">modelling </w:t>
      </w:r>
      <w:r w:rsidRPr="002C5DE1">
        <w:rPr>
          <w:rFonts w:ascii="Times New Roman" w:hAnsi="Times New Roman" w:cs="Times New Roman"/>
          <w:color w:val="000000" w:themeColor="text1"/>
          <w:sz w:val="24"/>
          <w:szCs w:val="24"/>
          <w:lang w:val="en-US"/>
        </w:rPr>
        <w:t>framework</w:t>
      </w:r>
      <w:r w:rsidR="007C2D4B" w:rsidRPr="002C5DE1">
        <w:rPr>
          <w:rFonts w:ascii="Times New Roman" w:hAnsi="Times New Roman" w:cs="Times New Roman"/>
          <w:color w:val="000000" w:themeColor="text1"/>
          <w:sz w:val="24"/>
          <w:szCs w:val="24"/>
          <w:lang w:val="en-US"/>
        </w:rPr>
        <w:t>, developed by González et al. (2005), who assume that the behavior of a series changes smoothly, depending on the value of the transition variable. The PSTR model is defined through two linear parts linked by a non-linear transition function, while it allows the variable under investigation to move within two different regimes with a smooth transition process, depending on the value of a specific transition variable. The PSTR model is particularly useful for situations in which the non-linear dynamics are driven by a common regime-switching component, but where the response to this component can be different across variables.</w:t>
      </w:r>
      <w:r w:rsidR="009966C2" w:rsidRPr="002C5DE1">
        <w:rPr>
          <w:rFonts w:ascii="Times New Roman" w:hAnsi="Times New Roman" w:cs="Times New Roman"/>
          <w:color w:val="000000" w:themeColor="text1"/>
          <w:sz w:val="24"/>
          <w:szCs w:val="24"/>
          <w:lang w:val="en-US"/>
        </w:rPr>
        <w:t xml:space="preserve"> According to Wu et al. (2013), PSTR modelling </w:t>
      </w:r>
      <w:r w:rsidR="009966C2" w:rsidRPr="002C5DE1">
        <w:rPr>
          <w:rFonts w:ascii="Times New Roman" w:hAnsi="Times New Roman" w:cs="Times New Roman"/>
          <w:color w:val="000000" w:themeColor="text1"/>
          <w:sz w:val="24"/>
          <w:szCs w:val="24"/>
          <w:lang w:val="en-US"/>
        </w:rPr>
        <w:lastRenderedPageBreak/>
        <w:t>can simultaneously resolve any non-linearity and heterogeneity problems. Most importantly, PSTR models can endogenously determine the threshold value of the transition variable.</w:t>
      </w:r>
    </w:p>
    <w:p w14:paraId="3CD7A955" w14:textId="77777777" w:rsidR="009966C2" w:rsidRPr="002C5DE1" w:rsidRDefault="009966C2" w:rsidP="009966C2">
      <w:pPr>
        <w:spacing w:before="120" w:after="120" w:line="276" w:lineRule="auto"/>
        <w:ind w:firstLine="357"/>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Based on PSTR modelling, Equation (1) yields:</w:t>
      </w:r>
    </w:p>
    <w:p w14:paraId="388805D6" w14:textId="77777777" w:rsidR="009966C2" w:rsidRPr="002C5DE1" w:rsidRDefault="004A1E44" w:rsidP="009966C2">
      <w:pPr>
        <w:spacing w:before="120" w:after="0" w:line="276" w:lineRule="auto"/>
        <w:ind w:firstLine="708"/>
        <w:jc w:val="both"/>
        <w:rPr>
          <w:rFonts w:ascii="Times New Roman" w:hAnsi="Times New Roman" w:cs="Times New Roman"/>
          <w:color w:val="000000" w:themeColor="text1"/>
          <w:sz w:val="24"/>
          <w:szCs w:val="24"/>
          <w:lang w:val="en-US"/>
        </w:rPr>
      </w:pPr>
      <m:oMathPara>
        <m:oMath>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lncons</m:t>
              </m:r>
            </m:e>
            <m:sub>
              <m:r>
                <w:rPr>
                  <w:rFonts w:ascii="Cambria Math" w:hAnsi="Cambria Math" w:cs="Times New Roman"/>
                  <w:color w:val="000000" w:themeColor="text1"/>
                  <w:lang w:val="en-US"/>
                </w:rPr>
                <m:t>it</m:t>
              </m:r>
            </m:sub>
          </m:sSub>
          <m:r>
            <w:rPr>
              <w:rFonts w:ascii="Cambria Math" w:hAnsi="Cambria Math" w:cs="Times New Roman"/>
              <w:color w:val="000000" w:themeColor="text1"/>
              <w:lang w:val="en-US"/>
            </w:rPr>
            <m:t>=</m:t>
          </m:r>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α</m:t>
              </m:r>
            </m:e>
            <m:sub>
              <m:r>
                <w:rPr>
                  <w:rFonts w:ascii="Cambria Math" w:hAnsi="Cambria Math" w:cs="Times New Roman"/>
                  <w:color w:val="000000" w:themeColor="text1"/>
                  <w:lang w:val="en-US"/>
                </w:rPr>
                <m:t>i</m:t>
              </m:r>
            </m:sub>
          </m:sSub>
          <m:r>
            <w:rPr>
              <w:rFonts w:ascii="Cambria Math" w:hAnsi="Cambria Math" w:cs="Times New Roman"/>
              <w:color w:val="000000" w:themeColor="text1"/>
              <w:lang w:val="en-US"/>
            </w:rPr>
            <m:t>+</m:t>
          </m:r>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β</m:t>
              </m:r>
            </m:e>
            <m:sub>
              <m:r>
                <w:rPr>
                  <w:rFonts w:ascii="Cambria Math" w:hAnsi="Cambria Math" w:cs="Times New Roman"/>
                  <w:color w:val="000000" w:themeColor="text1"/>
                  <w:lang w:val="en-US"/>
                </w:rPr>
                <m:t>1</m:t>
              </m:r>
            </m:sub>
          </m:sSub>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lnhp</m:t>
              </m:r>
            </m:e>
            <m:sub>
              <m:r>
                <w:rPr>
                  <w:rFonts w:ascii="Cambria Math" w:hAnsi="Cambria Math" w:cs="Times New Roman"/>
                  <w:color w:val="000000" w:themeColor="text1"/>
                  <w:lang w:val="en-US"/>
                </w:rPr>
                <m:t>it</m:t>
              </m:r>
            </m:sub>
          </m:sSub>
          <m:r>
            <w:rPr>
              <w:rFonts w:ascii="Cambria Math" w:hAnsi="Cambria Math" w:cs="Times New Roman"/>
              <w:color w:val="000000" w:themeColor="text1"/>
              <w:lang w:val="en-US"/>
            </w:rPr>
            <m:t>+</m:t>
          </m:r>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β</m:t>
              </m:r>
            </m:e>
            <m:sub>
              <m:r>
                <w:rPr>
                  <w:rFonts w:ascii="Cambria Math" w:hAnsi="Cambria Math" w:cs="Times New Roman"/>
                  <w:color w:val="000000" w:themeColor="text1"/>
                  <w:lang w:val="en-US"/>
                </w:rPr>
                <m:t>2</m:t>
              </m:r>
            </m:sub>
          </m:sSub>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lnypc</m:t>
              </m:r>
            </m:e>
            <m:sub>
              <m:r>
                <w:rPr>
                  <w:rFonts w:ascii="Cambria Math" w:hAnsi="Cambria Math" w:cs="Times New Roman"/>
                  <w:color w:val="000000" w:themeColor="text1"/>
                  <w:lang w:val="en-US"/>
                </w:rPr>
                <m:t>it</m:t>
              </m:r>
            </m:sub>
          </m:sSub>
          <m:r>
            <w:rPr>
              <w:rFonts w:ascii="Cambria Math" w:hAnsi="Cambria Math" w:cs="Times New Roman"/>
              <w:color w:val="000000" w:themeColor="text1"/>
              <w:lang w:val="en-US"/>
            </w:rPr>
            <m:t>+</m:t>
          </m:r>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β</m:t>
              </m:r>
            </m:e>
            <m:sub>
              <m:r>
                <w:rPr>
                  <w:rFonts w:ascii="Cambria Math" w:hAnsi="Cambria Math" w:cs="Times New Roman"/>
                  <w:color w:val="000000" w:themeColor="text1"/>
                  <w:lang w:val="en-US"/>
                </w:rPr>
                <m:t>3</m:t>
              </m:r>
            </m:sub>
          </m:sSub>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lnsp</m:t>
              </m:r>
            </m:e>
            <m:sub>
              <m:r>
                <w:rPr>
                  <w:rFonts w:ascii="Cambria Math" w:hAnsi="Cambria Math" w:cs="Times New Roman"/>
                  <w:color w:val="000000" w:themeColor="text1"/>
                  <w:lang w:val="en-US"/>
                </w:rPr>
                <m:t>it</m:t>
              </m:r>
            </m:sub>
          </m:sSub>
          <m:r>
            <w:rPr>
              <w:rFonts w:ascii="Cambria Math" w:hAnsi="Cambria Math" w:cs="Times New Roman"/>
              <w:color w:val="000000" w:themeColor="text1"/>
              <w:lang w:val="en-US"/>
            </w:rPr>
            <m:t>+</m:t>
          </m:r>
          <m:sSub>
            <m:sSubPr>
              <m:ctrlPr>
                <w:rPr>
                  <w:rFonts w:ascii="Cambria Math" w:hAnsi="Cambria Math" w:cs="Times New Roman"/>
                  <w:i/>
                  <w:color w:val="000000" w:themeColor="text1"/>
                  <w:lang w:val="en-US"/>
                </w:rPr>
              </m:ctrlPr>
            </m:sSubPr>
            <m:e>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β</m:t>
                  </m:r>
                </m:e>
                <m:sub>
                  <m:r>
                    <w:rPr>
                      <w:rFonts w:ascii="Cambria Math" w:hAnsi="Cambria Math" w:cs="Times New Roman"/>
                      <w:color w:val="000000" w:themeColor="text1"/>
                      <w:lang w:val="en-US"/>
                    </w:rPr>
                    <m:t>4</m:t>
                  </m:r>
                </m:sub>
              </m:sSub>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lnhp</m:t>
                  </m:r>
                </m:e>
                <m:sub>
                  <m:r>
                    <w:rPr>
                      <w:rFonts w:ascii="Cambria Math" w:hAnsi="Cambria Math" w:cs="Times New Roman"/>
                      <w:color w:val="000000" w:themeColor="text1"/>
                      <w:lang w:val="en-US"/>
                    </w:rPr>
                    <m:t>it</m:t>
                  </m:r>
                </m:sub>
              </m:sSub>
              <m:r>
                <w:rPr>
                  <w:rFonts w:ascii="Cambria Math" w:hAnsi="Cambria Math" w:cs="Times New Roman"/>
                  <w:color w:val="000000" w:themeColor="text1"/>
                  <w:lang w:val="en-US"/>
                </w:rPr>
                <m:t>+</m:t>
              </m:r>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β</m:t>
                  </m:r>
                </m:e>
                <m:sub>
                  <m:r>
                    <w:rPr>
                      <w:rFonts w:ascii="Cambria Math" w:hAnsi="Cambria Math" w:cs="Times New Roman"/>
                      <w:color w:val="000000" w:themeColor="text1"/>
                      <w:lang w:val="en-US"/>
                    </w:rPr>
                    <m:t>5</m:t>
                  </m:r>
                </m:sub>
              </m:sSub>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lnypc</m:t>
                  </m:r>
                </m:e>
                <m:sub>
                  <m:r>
                    <w:rPr>
                      <w:rFonts w:ascii="Cambria Math" w:hAnsi="Cambria Math" w:cs="Times New Roman"/>
                      <w:color w:val="000000" w:themeColor="text1"/>
                      <w:lang w:val="en-US"/>
                    </w:rPr>
                    <m:t>it</m:t>
                  </m:r>
                </m:sub>
              </m:sSub>
              <m:r>
                <w:rPr>
                  <w:rFonts w:ascii="Cambria Math" w:hAnsi="Cambria Math" w:cs="Times New Roman"/>
                  <w:color w:val="000000" w:themeColor="text1"/>
                  <w:lang w:val="en-US"/>
                </w:rPr>
                <m:t>+</m:t>
              </m:r>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β</m:t>
                  </m:r>
                </m:e>
                <m:sub>
                  <m:r>
                    <w:rPr>
                      <w:rFonts w:ascii="Cambria Math" w:hAnsi="Cambria Math" w:cs="Times New Roman"/>
                      <w:color w:val="000000" w:themeColor="text1"/>
                      <w:lang w:val="en-US"/>
                    </w:rPr>
                    <m:t>6</m:t>
                  </m:r>
                </m:sub>
              </m:sSub>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lnsp</m:t>
                  </m:r>
                </m:e>
                <m:sub>
                  <m:r>
                    <w:rPr>
                      <w:rFonts w:ascii="Cambria Math" w:hAnsi="Cambria Math" w:cs="Times New Roman"/>
                      <w:color w:val="000000" w:themeColor="text1"/>
                      <w:lang w:val="en-US"/>
                    </w:rPr>
                    <m:t>it</m:t>
                  </m:r>
                </m:sub>
              </m:sSub>
              <m:r>
                <w:rPr>
                  <w:rFonts w:ascii="Cambria Math" w:hAnsi="Cambria Math" w:cs="Times New Roman"/>
                  <w:color w:val="000000" w:themeColor="text1"/>
                  <w:lang w:val="en-US"/>
                </w:rPr>
                <m:t>+W(zit;γ,c)+ε</m:t>
              </m:r>
            </m:e>
            <m:sub>
              <m:r>
                <w:rPr>
                  <w:rFonts w:ascii="Cambria Math" w:hAnsi="Cambria Math" w:cs="Times New Roman"/>
                  <w:color w:val="000000" w:themeColor="text1"/>
                  <w:lang w:val="en-US"/>
                </w:rPr>
                <m:t>it</m:t>
              </m:r>
            </m:sub>
          </m:sSub>
          <m:r>
            <w:rPr>
              <w:rFonts w:ascii="Cambria Math" w:eastAsiaTheme="minorEastAsia" w:hAnsi="Cambria Math" w:cs="Times New Roman"/>
              <w:color w:val="000000" w:themeColor="text1"/>
              <w:lang w:val="en-US"/>
            </w:rPr>
            <m:t xml:space="preserve">                                                              (4)</m:t>
          </m:r>
        </m:oMath>
      </m:oMathPara>
    </w:p>
    <w:p w14:paraId="5554A20E" w14:textId="77777777" w:rsidR="004413B0" w:rsidRPr="002C5DE1" w:rsidRDefault="00921F06" w:rsidP="00550848">
      <w:pPr>
        <w:spacing w:before="120" w:after="120" w:line="276" w:lineRule="auto"/>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where β</w:t>
      </w:r>
      <w:r w:rsidRPr="002C5DE1">
        <w:rPr>
          <w:rFonts w:ascii="Times New Roman" w:hAnsi="Times New Roman" w:cs="Times New Roman"/>
          <w:color w:val="000000" w:themeColor="text1"/>
          <w:sz w:val="24"/>
          <w:szCs w:val="24"/>
          <w:vertAlign w:val="subscript"/>
          <w:lang w:val="en-US"/>
        </w:rPr>
        <w:t>4</w:t>
      </w:r>
      <w:r w:rsidRPr="002C5DE1">
        <w:rPr>
          <w:rFonts w:ascii="Times New Roman" w:hAnsi="Times New Roman" w:cs="Times New Roman"/>
          <w:color w:val="000000" w:themeColor="text1"/>
          <w:sz w:val="24"/>
          <w:szCs w:val="24"/>
          <w:lang w:val="en-US"/>
        </w:rPr>
        <w:t>, β</w:t>
      </w:r>
      <w:r w:rsidRPr="002C5DE1">
        <w:rPr>
          <w:rFonts w:ascii="Times New Roman" w:hAnsi="Times New Roman" w:cs="Times New Roman"/>
          <w:color w:val="000000" w:themeColor="text1"/>
          <w:sz w:val="24"/>
          <w:szCs w:val="24"/>
          <w:vertAlign w:val="subscript"/>
          <w:lang w:val="en-US"/>
        </w:rPr>
        <w:t>5</w:t>
      </w:r>
      <w:r w:rsidRPr="002C5DE1">
        <w:rPr>
          <w:rFonts w:ascii="Times New Roman" w:hAnsi="Times New Roman" w:cs="Times New Roman"/>
          <w:color w:val="000000" w:themeColor="text1"/>
          <w:sz w:val="24"/>
          <w:szCs w:val="24"/>
          <w:lang w:val="en-US"/>
        </w:rPr>
        <w:t xml:space="preserve"> and β</w:t>
      </w:r>
      <w:r w:rsidRPr="002C5DE1">
        <w:rPr>
          <w:rFonts w:ascii="Times New Roman" w:hAnsi="Times New Roman" w:cs="Times New Roman"/>
          <w:color w:val="000000" w:themeColor="text1"/>
          <w:sz w:val="24"/>
          <w:szCs w:val="24"/>
          <w:vertAlign w:val="subscript"/>
          <w:lang w:val="en-US"/>
        </w:rPr>
        <w:t>6</w:t>
      </w:r>
      <w:r w:rsidRPr="002C5DE1">
        <w:rPr>
          <w:rFonts w:ascii="Times New Roman" w:hAnsi="Times New Roman" w:cs="Times New Roman"/>
          <w:color w:val="000000" w:themeColor="text1"/>
          <w:sz w:val="24"/>
          <w:szCs w:val="24"/>
          <w:lang w:val="en-US"/>
        </w:rPr>
        <w:t xml:space="preserve"> are the coefficients of the controls in a different regime. </w:t>
      </w:r>
      <w:proofErr w:type="gramStart"/>
      <w:r w:rsidRPr="002C5DE1">
        <w:rPr>
          <w:rFonts w:ascii="Times New Roman" w:hAnsi="Times New Roman" w:cs="Times New Roman"/>
          <w:color w:val="000000" w:themeColor="text1"/>
          <w:sz w:val="24"/>
          <w:szCs w:val="24"/>
          <w:lang w:val="en-US"/>
        </w:rPr>
        <w:t>W(</w:t>
      </w:r>
      <w:proofErr w:type="gramEnd"/>
      <w:r w:rsidRPr="002C5DE1">
        <w:rPr>
          <w:rFonts w:ascii="Times New Roman" w:hAnsi="Times New Roman" w:cs="Times New Roman"/>
          <w:color w:val="000000" w:themeColor="text1"/>
          <w:sz w:val="24"/>
          <w:szCs w:val="24"/>
          <w:lang w:val="en-US"/>
        </w:rPr>
        <w:t>z</w:t>
      </w:r>
      <w:r w:rsidRPr="002C5DE1">
        <w:rPr>
          <w:rFonts w:ascii="Times New Roman" w:hAnsi="Times New Roman" w:cs="Times New Roman"/>
          <w:color w:val="000000" w:themeColor="text1"/>
          <w:sz w:val="24"/>
          <w:szCs w:val="24"/>
          <w:vertAlign w:val="subscript"/>
          <w:lang w:val="en-US"/>
        </w:rPr>
        <w:t>it</w:t>
      </w:r>
      <w:r w:rsidRPr="002C5DE1">
        <w:rPr>
          <w:rFonts w:ascii="Times New Roman" w:hAnsi="Times New Roman" w:cs="Times New Roman"/>
          <w:color w:val="000000" w:themeColor="text1"/>
          <w:sz w:val="24"/>
          <w:szCs w:val="24"/>
          <w:lang w:val="en-US"/>
        </w:rPr>
        <w:t>; γ, c) is the transition function bounded between 0 and 1 and describes the smooth switching process of consumption. z</w:t>
      </w:r>
      <w:r w:rsidRPr="002C5DE1">
        <w:rPr>
          <w:rFonts w:ascii="Times New Roman" w:hAnsi="Times New Roman" w:cs="Times New Roman"/>
          <w:color w:val="000000" w:themeColor="text1"/>
          <w:sz w:val="24"/>
          <w:szCs w:val="24"/>
          <w:vertAlign w:val="subscript"/>
          <w:lang w:val="en-US"/>
        </w:rPr>
        <w:t>it</w:t>
      </w:r>
      <w:r w:rsidRPr="002C5DE1">
        <w:rPr>
          <w:rFonts w:ascii="Times New Roman" w:hAnsi="Times New Roman" w:cs="Times New Roman"/>
          <w:color w:val="000000" w:themeColor="text1"/>
          <w:sz w:val="24"/>
          <w:szCs w:val="24"/>
          <w:lang w:val="en-US"/>
        </w:rPr>
        <w:t xml:space="preserve"> is the transition variable as in González et al. (2005). γ&gt;0 is the smoothing parameter, describing the slope of the transition function, while c is the threshold value of the transition variable. Both γ and c are endogenously estimated. Notably, this study uses alternatively FD or HPI as the transition variables. The optimal lag length of the transition variable is determined by the minimum Akaike information criterion (AIC).</w:t>
      </w:r>
      <w:r w:rsidR="00550848" w:rsidRPr="002C5DE1">
        <w:rPr>
          <w:rFonts w:ascii="Times New Roman" w:hAnsi="Times New Roman" w:cs="Times New Roman"/>
          <w:color w:val="000000" w:themeColor="text1"/>
          <w:sz w:val="24"/>
          <w:szCs w:val="24"/>
          <w:lang w:val="en-US"/>
        </w:rPr>
        <w:t xml:space="preserve"> González et al. (2005) indicate that from an empirical point of view, it is sufficient to consider only the cases of m = 1 or m = 2 to capture the non-linearities due to regime switching.</w:t>
      </w:r>
    </w:p>
    <w:p w14:paraId="2AD9DF95" w14:textId="77777777" w:rsidR="00550848" w:rsidRPr="002C5DE1" w:rsidRDefault="00550848" w:rsidP="00CE5F62">
      <w:pPr>
        <w:spacing w:before="120" w:after="120" w:line="276" w:lineRule="auto"/>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ab/>
        <w:t xml:space="preserve">First, the analysis conducts the linearity testing to investigate whether </w:t>
      </w:r>
      <w:r w:rsidR="00EE07B0" w:rsidRPr="002C5DE1">
        <w:rPr>
          <w:rFonts w:ascii="Times New Roman" w:hAnsi="Times New Roman" w:cs="Times New Roman"/>
          <w:color w:val="000000" w:themeColor="text1"/>
          <w:sz w:val="24"/>
          <w:szCs w:val="24"/>
          <w:lang w:val="en-US"/>
        </w:rPr>
        <w:t>consumption</w:t>
      </w:r>
      <w:r w:rsidRPr="002C5DE1">
        <w:rPr>
          <w:rFonts w:ascii="Times New Roman" w:hAnsi="Times New Roman" w:cs="Times New Roman"/>
          <w:color w:val="000000" w:themeColor="text1"/>
          <w:sz w:val="24"/>
          <w:szCs w:val="24"/>
          <w:lang w:val="en-US"/>
        </w:rPr>
        <w:t xml:space="preserve"> satisfies the linearity condition.</w:t>
      </w:r>
      <w:r w:rsidR="00EE07B0" w:rsidRPr="002C5DE1">
        <w:rPr>
          <w:rFonts w:ascii="Times New Roman" w:hAnsi="Times New Roman" w:cs="Times New Roman"/>
          <w:color w:val="000000" w:themeColor="text1"/>
          <w:sz w:val="24"/>
          <w:szCs w:val="24"/>
          <w:lang w:val="en-US"/>
        </w:rPr>
        <w:t xml:space="preserve"> </w:t>
      </w:r>
      <w:r w:rsidRPr="002C5DE1">
        <w:rPr>
          <w:rFonts w:ascii="Times New Roman" w:hAnsi="Times New Roman" w:cs="Times New Roman"/>
          <w:color w:val="000000" w:themeColor="text1"/>
          <w:sz w:val="24"/>
          <w:szCs w:val="24"/>
          <w:lang w:val="en-US"/>
        </w:rPr>
        <w:t xml:space="preserve">Once the linearity is rejected, </w:t>
      </w:r>
      <w:r w:rsidR="00EE07B0" w:rsidRPr="002C5DE1">
        <w:rPr>
          <w:rFonts w:ascii="Times New Roman" w:hAnsi="Times New Roman" w:cs="Times New Roman"/>
          <w:color w:val="000000" w:themeColor="text1"/>
          <w:sz w:val="24"/>
          <w:szCs w:val="24"/>
          <w:lang w:val="en-US"/>
        </w:rPr>
        <w:t>it</w:t>
      </w:r>
      <w:r w:rsidRPr="002C5DE1">
        <w:rPr>
          <w:rFonts w:ascii="Times New Roman" w:hAnsi="Times New Roman" w:cs="Times New Roman"/>
          <w:color w:val="000000" w:themeColor="text1"/>
          <w:sz w:val="24"/>
          <w:szCs w:val="24"/>
          <w:lang w:val="en-US"/>
        </w:rPr>
        <w:t xml:space="preserve"> determine</w:t>
      </w:r>
      <w:r w:rsidR="00EE07B0" w:rsidRPr="002C5DE1">
        <w:rPr>
          <w:rFonts w:ascii="Times New Roman" w:hAnsi="Times New Roman" w:cs="Times New Roman"/>
          <w:color w:val="000000" w:themeColor="text1"/>
          <w:sz w:val="24"/>
          <w:szCs w:val="24"/>
          <w:lang w:val="en-US"/>
        </w:rPr>
        <w:t>s</w:t>
      </w:r>
      <w:r w:rsidRPr="002C5DE1">
        <w:rPr>
          <w:rFonts w:ascii="Times New Roman" w:hAnsi="Times New Roman" w:cs="Times New Roman"/>
          <w:color w:val="000000" w:themeColor="text1"/>
          <w:sz w:val="24"/>
          <w:szCs w:val="24"/>
          <w:lang w:val="en-US"/>
        </w:rPr>
        <w:t xml:space="preserve"> the number of transition functions. Finally, after</w:t>
      </w:r>
      <w:r w:rsidR="00EE07B0" w:rsidRPr="002C5DE1">
        <w:rPr>
          <w:rFonts w:ascii="Times New Roman" w:hAnsi="Times New Roman" w:cs="Times New Roman"/>
          <w:color w:val="000000" w:themeColor="text1"/>
          <w:sz w:val="24"/>
          <w:szCs w:val="24"/>
          <w:lang w:val="en-US"/>
        </w:rPr>
        <w:t xml:space="preserve"> </w:t>
      </w:r>
      <w:r w:rsidRPr="002C5DE1">
        <w:rPr>
          <w:rFonts w:ascii="Times New Roman" w:hAnsi="Times New Roman" w:cs="Times New Roman"/>
          <w:color w:val="000000" w:themeColor="text1"/>
          <w:sz w:val="24"/>
          <w:szCs w:val="24"/>
          <w:lang w:val="en-US"/>
        </w:rPr>
        <w:t xml:space="preserve">the exclusion of individual-specific means, </w:t>
      </w:r>
      <w:r w:rsidR="00EE07B0" w:rsidRPr="002C5DE1">
        <w:rPr>
          <w:rFonts w:ascii="Times New Roman" w:hAnsi="Times New Roman" w:cs="Times New Roman"/>
          <w:color w:val="000000" w:themeColor="text1"/>
          <w:sz w:val="24"/>
          <w:szCs w:val="24"/>
          <w:lang w:val="en-US"/>
        </w:rPr>
        <w:t>it</w:t>
      </w:r>
      <w:r w:rsidRPr="002C5DE1">
        <w:rPr>
          <w:rFonts w:ascii="Times New Roman" w:hAnsi="Times New Roman" w:cs="Times New Roman"/>
          <w:color w:val="000000" w:themeColor="text1"/>
          <w:sz w:val="24"/>
          <w:szCs w:val="24"/>
          <w:lang w:val="en-US"/>
        </w:rPr>
        <w:t xml:space="preserve"> can apply non-linear estimate</w:t>
      </w:r>
      <w:r w:rsidR="00EE07B0" w:rsidRPr="002C5DE1">
        <w:rPr>
          <w:rFonts w:ascii="Times New Roman" w:hAnsi="Times New Roman" w:cs="Times New Roman"/>
          <w:color w:val="000000" w:themeColor="text1"/>
          <w:sz w:val="24"/>
          <w:szCs w:val="24"/>
          <w:lang w:val="en-US"/>
        </w:rPr>
        <w:t>s</w:t>
      </w:r>
      <w:r w:rsidRPr="002C5DE1">
        <w:rPr>
          <w:rFonts w:ascii="Times New Roman" w:hAnsi="Times New Roman" w:cs="Times New Roman"/>
          <w:color w:val="000000" w:themeColor="text1"/>
          <w:sz w:val="24"/>
          <w:szCs w:val="24"/>
          <w:lang w:val="en-US"/>
        </w:rPr>
        <w:t xml:space="preserve"> </w:t>
      </w:r>
      <w:r w:rsidR="00EE07B0" w:rsidRPr="002C5DE1">
        <w:rPr>
          <w:rFonts w:ascii="Times New Roman" w:hAnsi="Times New Roman" w:cs="Times New Roman"/>
          <w:color w:val="000000" w:themeColor="text1"/>
          <w:sz w:val="24"/>
          <w:szCs w:val="24"/>
          <w:lang w:val="en-US"/>
        </w:rPr>
        <w:t xml:space="preserve">to </w:t>
      </w:r>
      <w:r w:rsidRPr="002C5DE1">
        <w:rPr>
          <w:rFonts w:ascii="Times New Roman" w:hAnsi="Times New Roman" w:cs="Times New Roman"/>
          <w:color w:val="000000" w:themeColor="text1"/>
          <w:sz w:val="24"/>
          <w:szCs w:val="24"/>
          <w:lang w:val="en-US"/>
        </w:rPr>
        <w:t>the parameters of Equation (</w:t>
      </w:r>
      <w:r w:rsidR="00EE07B0" w:rsidRPr="002C5DE1">
        <w:rPr>
          <w:rFonts w:ascii="Times New Roman" w:hAnsi="Times New Roman" w:cs="Times New Roman"/>
          <w:color w:val="000000" w:themeColor="text1"/>
          <w:sz w:val="24"/>
          <w:szCs w:val="24"/>
          <w:lang w:val="en-US"/>
        </w:rPr>
        <w:t>4</w:t>
      </w:r>
      <w:r w:rsidRPr="002C5DE1">
        <w:rPr>
          <w:rFonts w:ascii="Times New Roman" w:hAnsi="Times New Roman" w:cs="Times New Roman"/>
          <w:color w:val="000000" w:themeColor="text1"/>
          <w:sz w:val="24"/>
          <w:szCs w:val="24"/>
          <w:lang w:val="en-US"/>
        </w:rPr>
        <w:t>).</w:t>
      </w:r>
      <w:r w:rsidR="00CE5F62" w:rsidRPr="002C5DE1">
        <w:rPr>
          <w:rFonts w:ascii="Times New Roman" w:hAnsi="Times New Roman" w:cs="Times New Roman"/>
          <w:color w:val="000000" w:themeColor="text1"/>
          <w:sz w:val="24"/>
          <w:szCs w:val="24"/>
          <w:lang w:val="en-US"/>
        </w:rPr>
        <w:t xml:space="preserve"> Following </w:t>
      </w:r>
      <w:proofErr w:type="spellStart"/>
      <w:r w:rsidR="00CE5F62" w:rsidRPr="002C5DE1">
        <w:rPr>
          <w:rFonts w:ascii="Times New Roman" w:hAnsi="Times New Roman" w:cs="Times New Roman"/>
          <w:color w:val="000000" w:themeColor="text1"/>
          <w:sz w:val="24"/>
          <w:szCs w:val="24"/>
          <w:lang w:val="en-US"/>
        </w:rPr>
        <w:t>Colletaz</w:t>
      </w:r>
      <w:proofErr w:type="spellEnd"/>
      <w:r w:rsidR="00CE5F62" w:rsidRPr="002C5DE1">
        <w:rPr>
          <w:rFonts w:ascii="Times New Roman" w:hAnsi="Times New Roman" w:cs="Times New Roman"/>
          <w:color w:val="000000" w:themeColor="text1"/>
          <w:sz w:val="24"/>
          <w:szCs w:val="24"/>
          <w:lang w:val="en-US"/>
        </w:rPr>
        <w:t xml:space="preserve"> and </w:t>
      </w:r>
      <w:proofErr w:type="spellStart"/>
      <w:r w:rsidR="00CE5F62" w:rsidRPr="002C5DE1">
        <w:rPr>
          <w:rFonts w:ascii="Times New Roman" w:hAnsi="Times New Roman" w:cs="Times New Roman"/>
          <w:color w:val="000000" w:themeColor="text1"/>
          <w:sz w:val="24"/>
          <w:szCs w:val="24"/>
          <w:lang w:val="en-US"/>
        </w:rPr>
        <w:t>Hurlin</w:t>
      </w:r>
      <w:proofErr w:type="spellEnd"/>
      <w:r w:rsidR="00CE5F62" w:rsidRPr="002C5DE1">
        <w:rPr>
          <w:rFonts w:ascii="Times New Roman" w:hAnsi="Times New Roman" w:cs="Times New Roman"/>
          <w:color w:val="000000" w:themeColor="text1"/>
          <w:sz w:val="24"/>
          <w:szCs w:val="24"/>
          <w:lang w:val="en-US"/>
        </w:rPr>
        <w:t xml:space="preserve"> (2006), it replaces the transition function </w:t>
      </w:r>
      <w:proofErr w:type="gramStart"/>
      <w:r w:rsidR="00CE5F62" w:rsidRPr="002C5DE1">
        <w:rPr>
          <w:rFonts w:ascii="Times New Roman" w:hAnsi="Times New Roman" w:cs="Times New Roman"/>
          <w:color w:val="000000" w:themeColor="text1"/>
          <w:sz w:val="24"/>
          <w:szCs w:val="24"/>
          <w:lang w:val="en-US"/>
        </w:rPr>
        <w:t>W(</w:t>
      </w:r>
      <w:proofErr w:type="gramEnd"/>
      <w:r w:rsidR="00CE5F62" w:rsidRPr="002C5DE1">
        <w:rPr>
          <w:rFonts w:ascii="Times New Roman" w:hAnsi="Times New Roman" w:cs="Times New Roman"/>
          <w:color w:val="000000" w:themeColor="text1"/>
          <w:sz w:val="24"/>
          <w:szCs w:val="24"/>
          <w:lang w:val="en-US"/>
        </w:rPr>
        <w:t>z</w:t>
      </w:r>
      <w:r w:rsidR="00CE5F62" w:rsidRPr="002C5DE1">
        <w:rPr>
          <w:rFonts w:ascii="Times New Roman" w:hAnsi="Times New Roman" w:cs="Times New Roman"/>
          <w:color w:val="000000" w:themeColor="text1"/>
          <w:sz w:val="24"/>
          <w:szCs w:val="24"/>
          <w:vertAlign w:val="subscript"/>
          <w:lang w:val="en-US"/>
        </w:rPr>
        <w:t>it</w:t>
      </w:r>
      <w:r w:rsidR="00CE5F62" w:rsidRPr="002C5DE1">
        <w:rPr>
          <w:rFonts w:ascii="Times New Roman" w:hAnsi="Times New Roman" w:cs="Times New Roman"/>
          <w:color w:val="000000" w:themeColor="text1"/>
          <w:sz w:val="24"/>
          <w:szCs w:val="24"/>
          <w:lang w:val="en-US"/>
        </w:rPr>
        <w:t>; γ, c) with the first order Taylor expansion of the transition function at γ = 0 to perform the linearity testing of Equation (4). Thus, we have the following auxiliary equation:</w:t>
      </w:r>
    </w:p>
    <w:p w14:paraId="03633192" w14:textId="77777777" w:rsidR="00CE5F62" w:rsidRPr="002C5DE1" w:rsidRDefault="00BD6D78" w:rsidP="00CE5F62">
      <w:pPr>
        <w:spacing w:before="120" w:after="120" w:line="276" w:lineRule="auto"/>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v</w:t>
      </w:r>
      <w:r w:rsidRPr="002C5DE1">
        <w:rPr>
          <w:rFonts w:ascii="Times New Roman" w:hAnsi="Times New Roman" w:cs="Times New Roman"/>
          <w:color w:val="000000" w:themeColor="text1"/>
          <w:sz w:val="24"/>
          <w:szCs w:val="24"/>
          <w:vertAlign w:val="subscript"/>
          <w:lang w:val="en-US"/>
        </w:rPr>
        <w:t>it</w:t>
      </w:r>
      <w:r w:rsidRPr="002C5DE1">
        <w:rPr>
          <w:rFonts w:ascii="Times New Roman" w:hAnsi="Times New Roman" w:cs="Times New Roman"/>
          <w:color w:val="000000" w:themeColor="text1"/>
          <w:sz w:val="24"/>
          <w:szCs w:val="24"/>
          <w:lang w:val="en-US"/>
        </w:rPr>
        <w:t xml:space="preserve"> = π</w:t>
      </w:r>
      <w:proofErr w:type="spellStart"/>
      <w:r w:rsidRPr="002C5DE1">
        <w:rPr>
          <w:rFonts w:ascii="Times New Roman" w:hAnsi="Times New Roman" w:cs="Times New Roman"/>
          <w:color w:val="000000" w:themeColor="text1"/>
          <w:sz w:val="24"/>
          <w:szCs w:val="24"/>
          <w:vertAlign w:val="subscript"/>
          <w:lang w:val="en-US"/>
        </w:rPr>
        <w:t>i</w:t>
      </w:r>
      <w:proofErr w:type="spellEnd"/>
      <w:r w:rsidRPr="002C5DE1">
        <w:rPr>
          <w:rFonts w:ascii="Times New Roman" w:hAnsi="Times New Roman" w:cs="Times New Roman"/>
          <w:color w:val="000000" w:themeColor="text1"/>
          <w:sz w:val="24"/>
          <w:szCs w:val="24"/>
          <w:lang w:val="en-US"/>
        </w:rPr>
        <w:t xml:space="preserve"> + </w:t>
      </w:r>
      <w:r w:rsidRPr="002C5DE1">
        <w:rPr>
          <w:rFonts w:ascii="Times New Roman" w:hAnsi="Times New Roman" w:cs="Times New Roman"/>
          <w:color w:val="000000" w:themeColor="text1"/>
          <w:sz w:val="40"/>
          <w:szCs w:val="40"/>
          <w:lang w:val="en-US"/>
        </w:rPr>
        <w:t>Σ</w:t>
      </w:r>
      <w:r w:rsidRPr="002C5DE1">
        <w:rPr>
          <w:rFonts w:ascii="Times New Roman" w:hAnsi="Times New Roman" w:cs="Times New Roman"/>
          <w:color w:val="000000" w:themeColor="text1"/>
          <w:sz w:val="24"/>
          <w:szCs w:val="24"/>
          <w:lang w:val="en-US"/>
        </w:rPr>
        <w:t>π</w:t>
      </w:r>
      <w:r w:rsidRPr="002C5DE1">
        <w:rPr>
          <w:rFonts w:ascii="Times New Roman" w:hAnsi="Times New Roman" w:cs="Times New Roman"/>
          <w:color w:val="000000" w:themeColor="text1"/>
          <w:sz w:val="24"/>
          <w:szCs w:val="24"/>
          <w:vertAlign w:val="subscript"/>
          <w:lang w:val="en-US"/>
        </w:rPr>
        <w:t>k</w:t>
      </w:r>
      <w:r w:rsidRPr="002C5DE1">
        <w:rPr>
          <w:rFonts w:ascii="Times New Roman" w:hAnsi="Times New Roman" w:cs="Times New Roman"/>
          <w:color w:val="000000" w:themeColor="text1"/>
          <w:sz w:val="24"/>
          <w:szCs w:val="24"/>
          <w:lang w:val="en-US"/>
        </w:rPr>
        <w:t xml:space="preserve"> </w:t>
      </w:r>
      <w:proofErr w:type="spellStart"/>
      <w:r w:rsidRPr="002C5DE1">
        <w:rPr>
          <w:rFonts w:ascii="Times New Roman" w:hAnsi="Times New Roman" w:cs="Times New Roman"/>
          <w:color w:val="000000" w:themeColor="text1"/>
          <w:sz w:val="24"/>
          <w:szCs w:val="24"/>
          <w:lang w:val="en-US"/>
        </w:rPr>
        <w:t>x</w:t>
      </w:r>
      <w:r w:rsidRPr="002C5DE1">
        <w:rPr>
          <w:rFonts w:ascii="Times New Roman" w:hAnsi="Times New Roman" w:cs="Times New Roman"/>
          <w:color w:val="000000" w:themeColor="text1"/>
          <w:sz w:val="24"/>
          <w:szCs w:val="24"/>
          <w:vertAlign w:val="subscript"/>
          <w:lang w:val="en-US"/>
        </w:rPr>
        <w:t>ikt</w:t>
      </w:r>
      <w:proofErr w:type="spellEnd"/>
      <w:r w:rsidRPr="002C5DE1">
        <w:rPr>
          <w:rFonts w:ascii="Times New Roman" w:hAnsi="Times New Roman" w:cs="Times New Roman"/>
          <w:color w:val="000000" w:themeColor="text1"/>
          <w:sz w:val="24"/>
          <w:szCs w:val="24"/>
          <w:lang w:val="en-US"/>
        </w:rPr>
        <w:t xml:space="preserve"> + </w:t>
      </w:r>
      <w:r w:rsidRPr="002C5DE1">
        <w:rPr>
          <w:rFonts w:ascii="Times New Roman" w:hAnsi="Times New Roman" w:cs="Times New Roman"/>
          <w:color w:val="000000" w:themeColor="text1"/>
          <w:sz w:val="40"/>
          <w:szCs w:val="40"/>
          <w:lang w:val="en-US"/>
        </w:rPr>
        <w:t>Σ</w:t>
      </w:r>
      <w:r w:rsidRPr="002C5DE1">
        <w:rPr>
          <w:rFonts w:ascii="Times New Roman" w:hAnsi="Times New Roman" w:cs="Times New Roman"/>
          <w:color w:val="000000" w:themeColor="text1"/>
          <w:sz w:val="24"/>
          <w:szCs w:val="24"/>
          <w:lang w:val="en-US"/>
        </w:rPr>
        <w:t>π’</w:t>
      </w:r>
      <w:r w:rsidRPr="002C5DE1">
        <w:rPr>
          <w:rFonts w:ascii="Times New Roman" w:hAnsi="Times New Roman" w:cs="Times New Roman"/>
          <w:color w:val="000000" w:themeColor="text1"/>
          <w:sz w:val="24"/>
          <w:szCs w:val="24"/>
          <w:vertAlign w:val="subscript"/>
          <w:lang w:val="en-US"/>
        </w:rPr>
        <w:t>k</w:t>
      </w:r>
      <w:r w:rsidRPr="002C5DE1">
        <w:rPr>
          <w:rFonts w:ascii="Times New Roman" w:hAnsi="Times New Roman" w:cs="Times New Roman"/>
          <w:color w:val="000000" w:themeColor="text1"/>
          <w:sz w:val="24"/>
          <w:szCs w:val="24"/>
          <w:lang w:val="en-US"/>
        </w:rPr>
        <w:t xml:space="preserve"> </w:t>
      </w:r>
      <w:proofErr w:type="spellStart"/>
      <w:r w:rsidRPr="002C5DE1">
        <w:rPr>
          <w:rFonts w:ascii="Times New Roman" w:hAnsi="Times New Roman" w:cs="Times New Roman"/>
          <w:color w:val="000000" w:themeColor="text1"/>
          <w:sz w:val="24"/>
          <w:szCs w:val="24"/>
          <w:lang w:val="en-US"/>
        </w:rPr>
        <w:t>x</w:t>
      </w:r>
      <w:r w:rsidRPr="002C5DE1">
        <w:rPr>
          <w:rFonts w:ascii="Times New Roman" w:hAnsi="Times New Roman" w:cs="Times New Roman"/>
          <w:color w:val="000000" w:themeColor="text1"/>
          <w:sz w:val="24"/>
          <w:szCs w:val="24"/>
          <w:vertAlign w:val="subscript"/>
          <w:lang w:val="en-US"/>
        </w:rPr>
        <w:t>ikt</w:t>
      </w:r>
      <w:proofErr w:type="spellEnd"/>
      <w:r w:rsidRPr="002C5DE1">
        <w:rPr>
          <w:rFonts w:ascii="Times New Roman" w:hAnsi="Times New Roman" w:cs="Times New Roman"/>
          <w:color w:val="000000" w:themeColor="text1"/>
          <w:sz w:val="24"/>
          <w:szCs w:val="24"/>
          <w:lang w:val="en-US"/>
        </w:rPr>
        <w:t xml:space="preserve"> z</w:t>
      </w:r>
      <w:r w:rsidRPr="002C5DE1">
        <w:rPr>
          <w:rFonts w:ascii="Times New Roman" w:hAnsi="Times New Roman" w:cs="Times New Roman"/>
          <w:color w:val="000000" w:themeColor="text1"/>
          <w:sz w:val="24"/>
          <w:szCs w:val="24"/>
          <w:vertAlign w:val="subscript"/>
          <w:lang w:val="en-US"/>
        </w:rPr>
        <w:t>it</w:t>
      </w:r>
      <w:r w:rsidRPr="002C5DE1">
        <w:rPr>
          <w:rFonts w:ascii="Times New Roman" w:hAnsi="Times New Roman" w:cs="Times New Roman"/>
          <w:color w:val="000000" w:themeColor="text1"/>
          <w:sz w:val="24"/>
          <w:szCs w:val="24"/>
          <w:lang w:val="en-US"/>
        </w:rPr>
        <w:t xml:space="preserve"> + </w:t>
      </w:r>
      <w:proofErr w:type="spellStart"/>
      <w:r w:rsidRPr="002C5DE1">
        <w:rPr>
          <w:rFonts w:ascii="Times New Roman" w:hAnsi="Times New Roman" w:cs="Times New Roman"/>
          <w:color w:val="000000" w:themeColor="text1"/>
          <w:sz w:val="24"/>
          <w:szCs w:val="24"/>
          <w:lang w:val="en-US"/>
        </w:rPr>
        <w:t>η</w:t>
      </w:r>
      <w:proofErr w:type="gramStart"/>
      <w:r w:rsidRPr="002C5DE1">
        <w:rPr>
          <w:rFonts w:ascii="Times New Roman" w:hAnsi="Times New Roman" w:cs="Times New Roman"/>
          <w:color w:val="000000" w:themeColor="text1"/>
          <w:sz w:val="24"/>
          <w:szCs w:val="24"/>
          <w:vertAlign w:val="subscript"/>
          <w:lang w:val="en-US"/>
        </w:rPr>
        <w:t>it</w:t>
      </w:r>
      <w:proofErr w:type="spellEnd"/>
      <w:r w:rsidRPr="002C5DE1">
        <w:rPr>
          <w:rFonts w:ascii="Times New Roman" w:hAnsi="Times New Roman" w:cs="Times New Roman"/>
          <w:color w:val="000000" w:themeColor="text1"/>
          <w:sz w:val="24"/>
          <w:szCs w:val="24"/>
          <w:lang w:val="en-US"/>
        </w:rPr>
        <w:t xml:space="preserve">  </w:t>
      </w:r>
      <w:r w:rsidRPr="002C5DE1">
        <w:rPr>
          <w:rFonts w:ascii="Times New Roman" w:hAnsi="Times New Roman" w:cs="Times New Roman"/>
          <w:color w:val="000000" w:themeColor="text1"/>
          <w:sz w:val="24"/>
          <w:szCs w:val="24"/>
          <w:lang w:val="en-US"/>
        </w:rPr>
        <w:tab/>
      </w:r>
      <w:proofErr w:type="gramEnd"/>
      <w:r w:rsidRPr="002C5DE1">
        <w:rPr>
          <w:rFonts w:ascii="Times New Roman" w:hAnsi="Times New Roman" w:cs="Times New Roman"/>
          <w:color w:val="000000" w:themeColor="text1"/>
          <w:sz w:val="24"/>
          <w:szCs w:val="24"/>
          <w:lang w:val="en-US"/>
        </w:rPr>
        <w:tab/>
      </w:r>
      <w:r w:rsidRPr="002C5DE1">
        <w:rPr>
          <w:rFonts w:ascii="Times New Roman" w:hAnsi="Times New Roman" w:cs="Times New Roman"/>
          <w:color w:val="000000" w:themeColor="text1"/>
          <w:sz w:val="24"/>
          <w:szCs w:val="24"/>
          <w:lang w:val="en-US"/>
        </w:rPr>
        <w:tab/>
      </w:r>
      <w:r w:rsidRPr="002C5DE1">
        <w:rPr>
          <w:rFonts w:ascii="Times New Roman" w:hAnsi="Times New Roman" w:cs="Times New Roman"/>
          <w:color w:val="000000" w:themeColor="text1"/>
          <w:sz w:val="24"/>
          <w:szCs w:val="24"/>
          <w:lang w:val="en-US"/>
        </w:rPr>
        <w:tab/>
      </w:r>
      <w:r w:rsidRPr="002C5DE1">
        <w:rPr>
          <w:rFonts w:ascii="Times New Roman" w:hAnsi="Times New Roman" w:cs="Times New Roman"/>
          <w:color w:val="000000" w:themeColor="text1"/>
          <w:sz w:val="24"/>
          <w:szCs w:val="24"/>
          <w:lang w:val="en-US"/>
        </w:rPr>
        <w:tab/>
      </w:r>
      <w:r w:rsidRPr="002C5DE1">
        <w:rPr>
          <w:rFonts w:ascii="Times New Roman" w:hAnsi="Times New Roman" w:cs="Times New Roman"/>
          <w:color w:val="000000" w:themeColor="text1"/>
          <w:sz w:val="24"/>
          <w:szCs w:val="24"/>
          <w:lang w:val="en-US"/>
        </w:rPr>
        <w:tab/>
      </w:r>
      <w:r w:rsidRPr="002C5DE1">
        <w:rPr>
          <w:rFonts w:ascii="Times New Roman" w:hAnsi="Times New Roman" w:cs="Times New Roman"/>
          <w:color w:val="000000" w:themeColor="text1"/>
          <w:sz w:val="24"/>
          <w:szCs w:val="24"/>
          <w:lang w:val="en-US"/>
        </w:rPr>
        <w:tab/>
        <w:t>(5)</w:t>
      </w:r>
    </w:p>
    <w:p w14:paraId="0F716ABC" w14:textId="77777777" w:rsidR="00BD6D78" w:rsidRPr="002C5DE1" w:rsidRDefault="00BD6D78" w:rsidP="00CE5F62">
      <w:pPr>
        <w:spacing w:before="120" w:after="120" w:line="276" w:lineRule="auto"/>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 xml:space="preserve">              k=1           k=1</w:t>
      </w:r>
    </w:p>
    <w:p w14:paraId="0D1866B9" w14:textId="77777777" w:rsidR="009966C2" w:rsidRPr="002C5DE1" w:rsidRDefault="00BD6D78" w:rsidP="00BD6D78">
      <w:pPr>
        <w:spacing w:before="120" w:after="120" w:line="276" w:lineRule="auto"/>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where v</w:t>
      </w:r>
      <w:r w:rsidRPr="002C5DE1">
        <w:rPr>
          <w:rFonts w:ascii="Times New Roman" w:hAnsi="Times New Roman" w:cs="Times New Roman"/>
          <w:color w:val="000000" w:themeColor="text1"/>
          <w:sz w:val="24"/>
          <w:szCs w:val="24"/>
          <w:vertAlign w:val="subscript"/>
          <w:lang w:val="en-US"/>
        </w:rPr>
        <w:t>it</w:t>
      </w:r>
      <w:r w:rsidRPr="002C5DE1">
        <w:rPr>
          <w:rFonts w:ascii="Times New Roman" w:hAnsi="Times New Roman" w:cs="Times New Roman"/>
          <w:color w:val="000000" w:themeColor="text1"/>
          <w:sz w:val="24"/>
          <w:szCs w:val="24"/>
          <w:lang w:val="en-US"/>
        </w:rPr>
        <w:t xml:space="preserve"> and </w:t>
      </w:r>
      <w:proofErr w:type="spellStart"/>
      <w:r w:rsidRPr="002C5DE1">
        <w:rPr>
          <w:rFonts w:ascii="Times New Roman" w:hAnsi="Times New Roman" w:cs="Times New Roman"/>
          <w:color w:val="000000" w:themeColor="text1"/>
          <w:sz w:val="24"/>
          <w:szCs w:val="24"/>
          <w:lang w:val="en-US"/>
        </w:rPr>
        <w:t>x</w:t>
      </w:r>
      <w:r w:rsidRPr="002C5DE1">
        <w:rPr>
          <w:rFonts w:ascii="Times New Roman" w:hAnsi="Times New Roman" w:cs="Times New Roman"/>
          <w:color w:val="000000" w:themeColor="text1"/>
          <w:sz w:val="24"/>
          <w:szCs w:val="24"/>
          <w:vertAlign w:val="subscript"/>
          <w:lang w:val="en-US"/>
        </w:rPr>
        <w:t>ikt</w:t>
      </w:r>
      <w:proofErr w:type="spellEnd"/>
      <w:r w:rsidRPr="002C5DE1">
        <w:rPr>
          <w:rFonts w:ascii="Times New Roman" w:hAnsi="Times New Roman" w:cs="Times New Roman"/>
          <w:color w:val="000000" w:themeColor="text1"/>
          <w:sz w:val="24"/>
          <w:szCs w:val="24"/>
          <w:lang w:val="en-US"/>
        </w:rPr>
        <w:t xml:space="preserve"> are the residuals and explanatory variables of the linear components in Equation (4), respectively. The linearity testing is to perform the test of H</w:t>
      </w:r>
      <w:r w:rsidRPr="002C5DE1">
        <w:rPr>
          <w:rFonts w:ascii="Times New Roman" w:hAnsi="Times New Roman" w:cs="Times New Roman"/>
          <w:color w:val="000000" w:themeColor="text1"/>
          <w:sz w:val="24"/>
          <w:szCs w:val="24"/>
          <w:vertAlign w:val="subscript"/>
          <w:lang w:val="en-US"/>
        </w:rPr>
        <w:t>0</w:t>
      </w:r>
      <w:r w:rsidRPr="002C5DE1">
        <w:rPr>
          <w:rFonts w:ascii="Times New Roman" w:hAnsi="Times New Roman" w:cs="Times New Roman"/>
          <w:color w:val="000000" w:themeColor="text1"/>
          <w:sz w:val="24"/>
          <w:szCs w:val="24"/>
          <w:lang w:val="en-US"/>
        </w:rPr>
        <w:t>: π’</w:t>
      </w:r>
      <w:r w:rsidRPr="002C5DE1">
        <w:rPr>
          <w:rFonts w:ascii="Times New Roman" w:hAnsi="Times New Roman" w:cs="Times New Roman"/>
          <w:color w:val="000000" w:themeColor="text1"/>
          <w:sz w:val="24"/>
          <w:szCs w:val="24"/>
          <w:vertAlign w:val="subscript"/>
          <w:lang w:val="en-US"/>
        </w:rPr>
        <w:t>k</w:t>
      </w:r>
      <w:r w:rsidRPr="002C5DE1">
        <w:rPr>
          <w:rFonts w:ascii="Times New Roman" w:hAnsi="Times New Roman" w:cs="Times New Roman"/>
          <w:color w:val="000000" w:themeColor="text1"/>
          <w:sz w:val="24"/>
          <w:szCs w:val="24"/>
          <w:lang w:val="en-US"/>
        </w:rPr>
        <w:t xml:space="preserve"> = 0. When the linearity testing is rejected, a sequential approach is used to test of no remaining non-linearity in </w:t>
      </w:r>
      <w:r w:rsidR="00F34E70" w:rsidRPr="002C5DE1">
        <w:rPr>
          <w:rFonts w:ascii="Times New Roman" w:hAnsi="Times New Roman" w:cs="Times New Roman"/>
          <w:color w:val="000000" w:themeColor="text1"/>
          <w:sz w:val="24"/>
          <w:szCs w:val="24"/>
          <w:lang w:val="en-US"/>
        </w:rPr>
        <w:t xml:space="preserve">the </w:t>
      </w:r>
      <w:r w:rsidRPr="002C5DE1">
        <w:rPr>
          <w:rFonts w:ascii="Times New Roman" w:hAnsi="Times New Roman" w:cs="Times New Roman"/>
          <w:color w:val="000000" w:themeColor="text1"/>
          <w:sz w:val="24"/>
          <w:szCs w:val="24"/>
          <w:lang w:val="en-US"/>
        </w:rPr>
        <w:t>transition function. Let PSR</w:t>
      </w:r>
      <w:r w:rsidRPr="002C5DE1">
        <w:rPr>
          <w:rFonts w:ascii="Times New Roman" w:hAnsi="Times New Roman" w:cs="Times New Roman"/>
          <w:color w:val="000000" w:themeColor="text1"/>
          <w:sz w:val="24"/>
          <w:szCs w:val="24"/>
          <w:vertAlign w:val="subscript"/>
          <w:lang w:val="en-US"/>
        </w:rPr>
        <w:t>0</w:t>
      </w:r>
      <w:r w:rsidRPr="002C5DE1">
        <w:rPr>
          <w:rFonts w:ascii="Times New Roman" w:hAnsi="Times New Roman" w:cs="Times New Roman"/>
          <w:color w:val="000000" w:themeColor="text1"/>
          <w:sz w:val="24"/>
          <w:szCs w:val="24"/>
          <w:lang w:val="en-US"/>
        </w:rPr>
        <w:t xml:space="preserve"> be the panel sum of squared residuals under H</w:t>
      </w:r>
      <w:r w:rsidRPr="002C5DE1">
        <w:rPr>
          <w:rFonts w:ascii="Times New Roman" w:hAnsi="Times New Roman" w:cs="Times New Roman"/>
          <w:color w:val="000000" w:themeColor="text1"/>
          <w:sz w:val="24"/>
          <w:szCs w:val="24"/>
          <w:vertAlign w:val="subscript"/>
          <w:lang w:val="en-US"/>
        </w:rPr>
        <w:t>0</w:t>
      </w:r>
      <w:r w:rsidRPr="002C5DE1">
        <w:rPr>
          <w:rFonts w:ascii="Times New Roman" w:hAnsi="Times New Roman" w:cs="Times New Roman"/>
          <w:color w:val="000000" w:themeColor="text1"/>
          <w:sz w:val="24"/>
          <w:szCs w:val="24"/>
          <w:lang w:val="en-US"/>
        </w:rPr>
        <w:t xml:space="preserve"> (i.e., the linear panel model with individual effects), and PSR</w:t>
      </w:r>
      <w:r w:rsidRPr="002C5DE1">
        <w:rPr>
          <w:rFonts w:ascii="Times New Roman" w:hAnsi="Times New Roman" w:cs="Times New Roman"/>
          <w:color w:val="000000" w:themeColor="text1"/>
          <w:sz w:val="24"/>
          <w:szCs w:val="24"/>
          <w:vertAlign w:val="subscript"/>
          <w:lang w:val="en-US"/>
        </w:rPr>
        <w:t>1</w:t>
      </w:r>
      <w:r w:rsidRPr="002C5DE1">
        <w:rPr>
          <w:rFonts w:ascii="Times New Roman" w:hAnsi="Times New Roman" w:cs="Times New Roman"/>
          <w:color w:val="000000" w:themeColor="text1"/>
          <w:sz w:val="24"/>
          <w:szCs w:val="24"/>
          <w:lang w:val="en-US"/>
        </w:rPr>
        <w:t xml:space="preserve"> the panel sum of squared residuals under H</w:t>
      </w:r>
      <w:r w:rsidRPr="002C5DE1">
        <w:rPr>
          <w:rFonts w:ascii="Times New Roman" w:hAnsi="Times New Roman" w:cs="Times New Roman"/>
          <w:color w:val="000000" w:themeColor="text1"/>
          <w:sz w:val="24"/>
          <w:szCs w:val="24"/>
          <w:vertAlign w:val="subscript"/>
          <w:lang w:val="en-US"/>
        </w:rPr>
        <w:t>1</w:t>
      </w:r>
      <w:r w:rsidRPr="002C5DE1">
        <w:rPr>
          <w:rFonts w:ascii="Times New Roman" w:hAnsi="Times New Roman" w:cs="Times New Roman"/>
          <w:color w:val="000000" w:themeColor="text1"/>
          <w:sz w:val="24"/>
          <w:szCs w:val="24"/>
          <w:lang w:val="en-US"/>
        </w:rPr>
        <w:t xml:space="preserve"> (i.e., the PSTR model with two regimes). The corresponding F statistic is then given by the following:</w:t>
      </w:r>
    </w:p>
    <w:p w14:paraId="7C297210" w14:textId="77777777" w:rsidR="00F34E70" w:rsidRPr="002C5DE1" w:rsidRDefault="00F34E70" w:rsidP="00BD6D78">
      <w:pPr>
        <w:spacing w:before="120" w:after="120" w:line="276" w:lineRule="auto"/>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LM = [(PSR</w:t>
      </w:r>
      <w:r w:rsidRPr="002C5DE1">
        <w:rPr>
          <w:rFonts w:ascii="Times New Roman" w:hAnsi="Times New Roman" w:cs="Times New Roman"/>
          <w:color w:val="000000" w:themeColor="text1"/>
          <w:sz w:val="24"/>
          <w:szCs w:val="24"/>
          <w:vertAlign w:val="subscript"/>
          <w:lang w:val="en-US"/>
        </w:rPr>
        <w:t>0</w:t>
      </w:r>
      <w:r w:rsidRPr="002C5DE1">
        <w:rPr>
          <w:rFonts w:ascii="Times New Roman" w:hAnsi="Times New Roman" w:cs="Times New Roman"/>
          <w:color w:val="000000" w:themeColor="text1"/>
          <w:sz w:val="24"/>
          <w:szCs w:val="24"/>
          <w:lang w:val="en-US"/>
        </w:rPr>
        <w:t xml:space="preserve"> – PSR</w:t>
      </w:r>
      <w:r w:rsidRPr="002C5DE1">
        <w:rPr>
          <w:rFonts w:ascii="Times New Roman" w:hAnsi="Times New Roman" w:cs="Times New Roman"/>
          <w:color w:val="000000" w:themeColor="text1"/>
          <w:sz w:val="24"/>
          <w:szCs w:val="24"/>
          <w:vertAlign w:val="subscript"/>
          <w:lang w:val="en-US"/>
        </w:rPr>
        <w:t>1</w:t>
      </w:r>
      <w:r w:rsidRPr="002C5DE1">
        <w:rPr>
          <w:rFonts w:ascii="Times New Roman" w:hAnsi="Times New Roman" w:cs="Times New Roman"/>
          <w:color w:val="000000" w:themeColor="text1"/>
          <w:sz w:val="24"/>
          <w:szCs w:val="24"/>
          <w:lang w:val="en-US"/>
        </w:rPr>
        <w:t xml:space="preserve">) / </w:t>
      </w:r>
      <w:proofErr w:type="spellStart"/>
      <w:r w:rsidRPr="002C5DE1">
        <w:rPr>
          <w:rFonts w:ascii="Times New Roman" w:hAnsi="Times New Roman" w:cs="Times New Roman"/>
          <w:color w:val="000000" w:themeColor="text1"/>
          <w:sz w:val="24"/>
          <w:szCs w:val="24"/>
          <w:lang w:val="en-US"/>
        </w:rPr>
        <w:t>mK</w:t>
      </w:r>
      <w:proofErr w:type="spellEnd"/>
      <w:r w:rsidRPr="002C5DE1">
        <w:rPr>
          <w:rFonts w:ascii="Times New Roman" w:hAnsi="Times New Roman" w:cs="Times New Roman"/>
          <w:color w:val="000000" w:themeColor="text1"/>
          <w:sz w:val="24"/>
          <w:szCs w:val="24"/>
          <w:lang w:val="en-US"/>
        </w:rPr>
        <w:t>] / [PSR</w:t>
      </w:r>
      <w:r w:rsidRPr="002C5DE1">
        <w:rPr>
          <w:rFonts w:ascii="Times New Roman" w:hAnsi="Times New Roman" w:cs="Times New Roman"/>
          <w:color w:val="000000" w:themeColor="text1"/>
          <w:sz w:val="24"/>
          <w:szCs w:val="24"/>
          <w:vertAlign w:val="subscript"/>
          <w:lang w:val="en-US"/>
        </w:rPr>
        <w:t>0</w:t>
      </w:r>
      <w:r w:rsidRPr="002C5DE1">
        <w:rPr>
          <w:rFonts w:ascii="Times New Roman" w:hAnsi="Times New Roman" w:cs="Times New Roman"/>
          <w:color w:val="000000" w:themeColor="text1"/>
          <w:sz w:val="24"/>
          <w:szCs w:val="24"/>
          <w:lang w:val="en-US"/>
        </w:rPr>
        <w:t xml:space="preserve"> / (TN –N–</w:t>
      </w:r>
      <w:proofErr w:type="spellStart"/>
      <w:r w:rsidRPr="002C5DE1">
        <w:rPr>
          <w:rFonts w:ascii="Times New Roman" w:hAnsi="Times New Roman" w:cs="Times New Roman"/>
          <w:color w:val="000000" w:themeColor="text1"/>
          <w:sz w:val="24"/>
          <w:szCs w:val="24"/>
          <w:lang w:val="en-US"/>
        </w:rPr>
        <w:t>mK</w:t>
      </w:r>
      <w:proofErr w:type="spellEnd"/>
      <w:proofErr w:type="gramStart"/>
      <w:r w:rsidRPr="002C5DE1">
        <w:rPr>
          <w:rFonts w:ascii="Times New Roman" w:hAnsi="Times New Roman" w:cs="Times New Roman"/>
          <w:color w:val="000000" w:themeColor="text1"/>
          <w:sz w:val="24"/>
          <w:szCs w:val="24"/>
          <w:lang w:val="en-US"/>
        </w:rPr>
        <w:t xml:space="preserve">)]  </w:t>
      </w:r>
      <w:r w:rsidRPr="002C5DE1">
        <w:rPr>
          <w:rFonts w:ascii="Times New Roman" w:hAnsi="Times New Roman" w:cs="Times New Roman"/>
          <w:color w:val="000000" w:themeColor="text1"/>
          <w:sz w:val="24"/>
          <w:szCs w:val="24"/>
          <w:lang w:val="en-US"/>
        </w:rPr>
        <w:tab/>
      </w:r>
      <w:proofErr w:type="gramEnd"/>
      <w:r w:rsidRPr="002C5DE1">
        <w:rPr>
          <w:rFonts w:ascii="Times New Roman" w:hAnsi="Times New Roman" w:cs="Times New Roman"/>
          <w:color w:val="000000" w:themeColor="text1"/>
          <w:sz w:val="24"/>
          <w:szCs w:val="24"/>
          <w:lang w:val="en-US"/>
        </w:rPr>
        <w:tab/>
      </w:r>
      <w:r w:rsidRPr="002C5DE1">
        <w:rPr>
          <w:rFonts w:ascii="Times New Roman" w:hAnsi="Times New Roman" w:cs="Times New Roman"/>
          <w:color w:val="000000" w:themeColor="text1"/>
          <w:sz w:val="24"/>
          <w:szCs w:val="24"/>
          <w:lang w:val="en-US"/>
        </w:rPr>
        <w:tab/>
      </w:r>
      <w:r w:rsidRPr="002C5DE1">
        <w:rPr>
          <w:rFonts w:ascii="Times New Roman" w:hAnsi="Times New Roman" w:cs="Times New Roman"/>
          <w:color w:val="000000" w:themeColor="text1"/>
          <w:sz w:val="24"/>
          <w:szCs w:val="24"/>
          <w:lang w:val="en-US"/>
        </w:rPr>
        <w:tab/>
      </w:r>
      <w:r w:rsidRPr="002C5DE1">
        <w:rPr>
          <w:rFonts w:ascii="Times New Roman" w:hAnsi="Times New Roman" w:cs="Times New Roman"/>
          <w:color w:val="000000" w:themeColor="text1"/>
          <w:sz w:val="24"/>
          <w:szCs w:val="24"/>
          <w:lang w:val="en-US"/>
        </w:rPr>
        <w:tab/>
        <w:t>(6)</w:t>
      </w:r>
    </w:p>
    <w:p w14:paraId="5D09CC1E" w14:textId="77777777" w:rsidR="00F34E70" w:rsidRPr="002C5DE1" w:rsidRDefault="00F34E70" w:rsidP="00BD6D78">
      <w:pPr>
        <w:spacing w:before="120" w:after="120" w:line="276" w:lineRule="auto"/>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where K is the number of explanatory variables. Under the null hypothesis, LM statistic follows an asymptotic chi-square distribution x</w:t>
      </w:r>
      <w:r w:rsidRPr="002C5DE1">
        <w:rPr>
          <w:rFonts w:ascii="Times New Roman" w:hAnsi="Times New Roman" w:cs="Times New Roman"/>
          <w:color w:val="000000" w:themeColor="text1"/>
          <w:sz w:val="24"/>
          <w:szCs w:val="24"/>
          <w:vertAlign w:val="superscript"/>
          <w:lang w:val="en-US"/>
        </w:rPr>
        <w:t>2</w:t>
      </w:r>
      <w:r w:rsidRPr="002C5DE1">
        <w:rPr>
          <w:rFonts w:ascii="Times New Roman" w:hAnsi="Times New Roman" w:cs="Times New Roman"/>
          <w:color w:val="000000" w:themeColor="text1"/>
          <w:sz w:val="24"/>
          <w:szCs w:val="24"/>
          <w:lang w:val="en-US"/>
        </w:rPr>
        <w:t xml:space="preserve">(K) and the F statistic has an approximate </w:t>
      </w:r>
      <w:proofErr w:type="gramStart"/>
      <w:r w:rsidRPr="002C5DE1">
        <w:rPr>
          <w:rFonts w:ascii="Times New Roman" w:hAnsi="Times New Roman" w:cs="Times New Roman"/>
          <w:color w:val="000000" w:themeColor="text1"/>
          <w:sz w:val="24"/>
          <w:szCs w:val="24"/>
          <w:lang w:val="en-US"/>
        </w:rPr>
        <w:t>F(</w:t>
      </w:r>
      <w:proofErr w:type="spellStart"/>
      <w:proofErr w:type="gramEnd"/>
      <w:r w:rsidRPr="002C5DE1">
        <w:rPr>
          <w:rFonts w:ascii="Times New Roman" w:hAnsi="Times New Roman" w:cs="Times New Roman"/>
          <w:color w:val="000000" w:themeColor="text1"/>
          <w:sz w:val="24"/>
          <w:szCs w:val="24"/>
          <w:lang w:val="en-US"/>
        </w:rPr>
        <w:t>mK</w:t>
      </w:r>
      <w:proofErr w:type="spellEnd"/>
      <w:r w:rsidRPr="002C5DE1">
        <w:rPr>
          <w:rFonts w:ascii="Times New Roman" w:hAnsi="Times New Roman" w:cs="Times New Roman"/>
          <w:color w:val="000000" w:themeColor="text1"/>
          <w:sz w:val="24"/>
          <w:szCs w:val="24"/>
          <w:lang w:val="en-US"/>
        </w:rPr>
        <w:t>, TN–N–</w:t>
      </w:r>
      <w:proofErr w:type="spellStart"/>
      <w:r w:rsidRPr="002C5DE1">
        <w:rPr>
          <w:rFonts w:ascii="Times New Roman" w:hAnsi="Times New Roman" w:cs="Times New Roman"/>
          <w:color w:val="000000" w:themeColor="text1"/>
          <w:sz w:val="24"/>
          <w:szCs w:val="24"/>
          <w:lang w:val="en-US"/>
        </w:rPr>
        <w:t>mK</w:t>
      </w:r>
      <w:proofErr w:type="spellEnd"/>
      <w:r w:rsidRPr="002C5DE1">
        <w:rPr>
          <w:rFonts w:ascii="Times New Roman" w:hAnsi="Times New Roman" w:cs="Times New Roman"/>
          <w:color w:val="000000" w:themeColor="text1"/>
          <w:sz w:val="24"/>
          <w:szCs w:val="24"/>
          <w:lang w:val="en-US"/>
        </w:rPr>
        <w:t>) distribution, with (r + 1) being the number of regimes.</w:t>
      </w:r>
    </w:p>
    <w:p w14:paraId="5BE881EC" w14:textId="77777777" w:rsidR="00F34E70" w:rsidRPr="002C5DE1" w:rsidRDefault="00F34E70" w:rsidP="00F34E70">
      <w:pPr>
        <w:spacing w:before="120" w:after="120" w:line="276" w:lineRule="auto"/>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ab/>
      </w:r>
      <w:r w:rsidR="004413B0" w:rsidRPr="002C5DE1">
        <w:rPr>
          <w:rFonts w:ascii="Times New Roman" w:hAnsi="Times New Roman" w:cs="Times New Roman"/>
          <w:color w:val="000000" w:themeColor="text1"/>
          <w:sz w:val="24"/>
          <w:szCs w:val="24"/>
          <w:lang w:val="en-US"/>
        </w:rPr>
        <w:t>Table 5a</w:t>
      </w:r>
      <w:r w:rsidRPr="002C5DE1">
        <w:rPr>
          <w:rFonts w:ascii="Times New Roman" w:hAnsi="Times New Roman" w:cs="Times New Roman"/>
          <w:color w:val="000000" w:themeColor="text1"/>
          <w:sz w:val="24"/>
          <w:szCs w:val="24"/>
          <w:lang w:val="en-US"/>
        </w:rPr>
        <w:t xml:space="preserve"> reports the linearity tests which lead to the rejection of the null hypothesis of linearity for the PSTR specifications with different numbers of location parameters (m = 1, 2).</w:t>
      </w:r>
    </w:p>
    <w:p w14:paraId="01CD3193" w14:textId="77777777" w:rsidR="00F34E70" w:rsidRPr="002C5DE1" w:rsidRDefault="00E025E0" w:rsidP="00E025E0">
      <w:pPr>
        <w:spacing w:before="120" w:after="120" w:line="276" w:lineRule="auto"/>
        <w:jc w:val="center"/>
        <w:rPr>
          <w:rFonts w:ascii="Times New Roman" w:hAnsi="Times New Roman" w:cs="Times New Roman"/>
          <w:b/>
          <w:bCs/>
          <w:color w:val="000000" w:themeColor="text1"/>
          <w:sz w:val="24"/>
          <w:szCs w:val="24"/>
          <w:lang w:val="en-US"/>
        </w:rPr>
      </w:pPr>
      <w:r w:rsidRPr="002C5DE1">
        <w:rPr>
          <w:rFonts w:ascii="Times New Roman" w:hAnsi="Times New Roman" w:cs="Times New Roman"/>
          <w:b/>
          <w:bCs/>
          <w:color w:val="000000" w:themeColor="text1"/>
          <w:sz w:val="24"/>
          <w:szCs w:val="24"/>
          <w:lang w:val="en-US"/>
        </w:rPr>
        <w:t>[Place Table 5a Here]</w:t>
      </w:r>
    </w:p>
    <w:p w14:paraId="37F38B07" w14:textId="77777777" w:rsidR="00F34E70" w:rsidRPr="002C5DE1" w:rsidRDefault="00E025E0" w:rsidP="00F34E70">
      <w:pPr>
        <w:spacing w:before="120" w:after="120" w:line="276" w:lineRule="auto"/>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lastRenderedPageBreak/>
        <w:t xml:space="preserve">Table 5b presents the results of the no remaining non-linearity tests. Following González et al. (2005), this part of the analysis allows the number of location parameters (m) to be either one or two. </w:t>
      </w:r>
      <w:r w:rsidR="0001042F" w:rsidRPr="002C5DE1">
        <w:rPr>
          <w:rFonts w:ascii="Times New Roman" w:hAnsi="Times New Roman" w:cs="Times New Roman"/>
          <w:color w:val="000000" w:themeColor="text1"/>
          <w:sz w:val="24"/>
          <w:szCs w:val="24"/>
          <w:lang w:val="en-US"/>
        </w:rPr>
        <w:t>Both t</w:t>
      </w:r>
      <w:r w:rsidRPr="002C5DE1">
        <w:rPr>
          <w:rFonts w:ascii="Times New Roman" w:hAnsi="Times New Roman" w:cs="Times New Roman"/>
          <w:color w:val="000000" w:themeColor="text1"/>
          <w:sz w:val="24"/>
          <w:szCs w:val="24"/>
          <w:lang w:val="en-US"/>
        </w:rPr>
        <w:t xml:space="preserve">he PSTR model with one location parameter (m=1), one transition function (r=1), and </w:t>
      </w:r>
      <w:r w:rsidR="0001042F" w:rsidRPr="002C5DE1">
        <w:rPr>
          <w:rFonts w:ascii="Times New Roman" w:hAnsi="Times New Roman" w:cs="Times New Roman"/>
          <w:color w:val="000000" w:themeColor="text1"/>
          <w:sz w:val="24"/>
          <w:szCs w:val="24"/>
          <w:lang w:val="en-US"/>
        </w:rPr>
        <w:t>FD as the</w:t>
      </w:r>
      <w:r w:rsidRPr="002C5DE1">
        <w:rPr>
          <w:rFonts w:ascii="Times New Roman" w:hAnsi="Times New Roman" w:cs="Times New Roman"/>
          <w:color w:val="000000" w:themeColor="text1"/>
          <w:sz w:val="24"/>
          <w:szCs w:val="24"/>
          <w:lang w:val="en-US"/>
        </w:rPr>
        <w:t xml:space="preserve"> z</w:t>
      </w:r>
      <w:r w:rsidRPr="002C5DE1">
        <w:rPr>
          <w:rFonts w:ascii="Times New Roman" w:hAnsi="Times New Roman" w:cs="Times New Roman"/>
          <w:color w:val="000000" w:themeColor="text1"/>
          <w:sz w:val="24"/>
          <w:szCs w:val="24"/>
          <w:vertAlign w:val="subscript"/>
          <w:lang w:val="en-US"/>
        </w:rPr>
        <w:t>it</w:t>
      </w:r>
      <w:r w:rsidR="0001042F" w:rsidRPr="002C5DE1">
        <w:rPr>
          <w:rFonts w:ascii="Times New Roman" w:hAnsi="Times New Roman" w:cs="Times New Roman"/>
          <w:color w:val="000000" w:themeColor="text1"/>
          <w:sz w:val="24"/>
          <w:szCs w:val="24"/>
          <w:lang w:val="en-US"/>
        </w:rPr>
        <w:t xml:space="preserve"> variable</w:t>
      </w:r>
      <w:r w:rsidRPr="002C5DE1">
        <w:rPr>
          <w:rFonts w:ascii="Times New Roman" w:hAnsi="Times New Roman" w:cs="Times New Roman"/>
          <w:color w:val="000000" w:themeColor="text1"/>
          <w:sz w:val="24"/>
          <w:szCs w:val="24"/>
          <w:lang w:val="en-US"/>
        </w:rPr>
        <w:t xml:space="preserve">, and the PSTR model with r=m=2 and </w:t>
      </w:r>
      <w:r w:rsidR="0001042F" w:rsidRPr="002C5DE1">
        <w:rPr>
          <w:rFonts w:ascii="Times New Roman" w:hAnsi="Times New Roman" w:cs="Times New Roman"/>
          <w:color w:val="000000" w:themeColor="text1"/>
          <w:sz w:val="24"/>
          <w:szCs w:val="24"/>
          <w:lang w:val="en-US"/>
        </w:rPr>
        <w:t>the HPI as the</w:t>
      </w:r>
      <w:r w:rsidRPr="002C5DE1">
        <w:rPr>
          <w:rFonts w:ascii="Times New Roman" w:hAnsi="Times New Roman" w:cs="Times New Roman"/>
          <w:color w:val="000000" w:themeColor="text1"/>
          <w:sz w:val="24"/>
          <w:szCs w:val="24"/>
          <w:lang w:val="en-US"/>
        </w:rPr>
        <w:t xml:space="preserve"> z</w:t>
      </w:r>
      <w:r w:rsidRPr="002C5DE1">
        <w:rPr>
          <w:rFonts w:ascii="Times New Roman" w:hAnsi="Times New Roman" w:cs="Times New Roman"/>
          <w:color w:val="000000" w:themeColor="text1"/>
          <w:sz w:val="24"/>
          <w:szCs w:val="24"/>
          <w:vertAlign w:val="subscript"/>
          <w:lang w:val="en-US"/>
        </w:rPr>
        <w:t>it</w:t>
      </w:r>
      <w:r w:rsidR="0001042F" w:rsidRPr="002C5DE1">
        <w:rPr>
          <w:rFonts w:ascii="Times New Roman" w:hAnsi="Times New Roman" w:cs="Times New Roman"/>
          <w:color w:val="000000" w:themeColor="text1"/>
          <w:sz w:val="24"/>
          <w:szCs w:val="24"/>
          <w:lang w:val="en-US"/>
        </w:rPr>
        <w:t xml:space="preserve"> variable</w:t>
      </w:r>
      <w:r w:rsidRPr="002C5DE1">
        <w:rPr>
          <w:rFonts w:ascii="Times New Roman" w:hAnsi="Times New Roman" w:cs="Times New Roman"/>
          <w:color w:val="000000" w:themeColor="text1"/>
          <w:sz w:val="24"/>
          <w:szCs w:val="24"/>
          <w:lang w:val="en-US"/>
        </w:rPr>
        <w:t xml:space="preserve"> can </w:t>
      </w:r>
      <w:r w:rsidR="0001042F" w:rsidRPr="002C5DE1">
        <w:rPr>
          <w:rFonts w:ascii="Times New Roman" w:hAnsi="Times New Roman" w:cs="Times New Roman"/>
          <w:color w:val="000000" w:themeColor="text1"/>
          <w:sz w:val="24"/>
          <w:szCs w:val="24"/>
          <w:lang w:val="en-US"/>
        </w:rPr>
        <w:t xml:space="preserve">clearly </w:t>
      </w:r>
      <w:r w:rsidRPr="002C5DE1">
        <w:rPr>
          <w:rFonts w:ascii="Times New Roman" w:hAnsi="Times New Roman" w:cs="Times New Roman"/>
          <w:color w:val="000000" w:themeColor="text1"/>
          <w:sz w:val="24"/>
          <w:szCs w:val="24"/>
          <w:lang w:val="en-US"/>
        </w:rPr>
        <w:t xml:space="preserve">describe the non-linear process of </w:t>
      </w:r>
      <w:r w:rsidR="0001042F" w:rsidRPr="002C5DE1">
        <w:rPr>
          <w:rFonts w:ascii="Times New Roman" w:hAnsi="Times New Roman" w:cs="Times New Roman"/>
          <w:color w:val="000000" w:themeColor="text1"/>
          <w:sz w:val="24"/>
          <w:szCs w:val="24"/>
          <w:lang w:val="en-US"/>
        </w:rPr>
        <w:t>consumption g</w:t>
      </w:r>
      <w:r w:rsidRPr="002C5DE1">
        <w:rPr>
          <w:rFonts w:ascii="Times New Roman" w:hAnsi="Times New Roman" w:cs="Times New Roman"/>
          <w:color w:val="000000" w:themeColor="text1"/>
          <w:sz w:val="24"/>
          <w:szCs w:val="24"/>
          <w:lang w:val="en-US"/>
        </w:rPr>
        <w:t>rowth.</w:t>
      </w:r>
    </w:p>
    <w:p w14:paraId="15294EFC" w14:textId="77777777" w:rsidR="0001042F" w:rsidRPr="002C5DE1" w:rsidRDefault="0001042F" w:rsidP="0001042F">
      <w:pPr>
        <w:spacing w:before="120" w:after="120" w:line="276" w:lineRule="auto"/>
        <w:jc w:val="center"/>
        <w:rPr>
          <w:rFonts w:ascii="Times New Roman" w:hAnsi="Times New Roman" w:cs="Times New Roman"/>
          <w:b/>
          <w:bCs/>
          <w:color w:val="000000" w:themeColor="text1"/>
          <w:sz w:val="24"/>
          <w:szCs w:val="24"/>
          <w:lang w:val="en-US"/>
        </w:rPr>
      </w:pPr>
      <w:r w:rsidRPr="002C5DE1">
        <w:rPr>
          <w:rFonts w:ascii="Times New Roman" w:hAnsi="Times New Roman" w:cs="Times New Roman"/>
          <w:b/>
          <w:bCs/>
          <w:color w:val="000000" w:themeColor="text1"/>
          <w:sz w:val="24"/>
          <w:szCs w:val="24"/>
          <w:lang w:val="en-US"/>
        </w:rPr>
        <w:t>[Place Table 5b Here]</w:t>
      </w:r>
    </w:p>
    <w:p w14:paraId="6CC7CFF1" w14:textId="77777777" w:rsidR="0001042F" w:rsidRPr="002C5DE1" w:rsidRDefault="00574C94" w:rsidP="00F34E70">
      <w:pPr>
        <w:spacing w:before="120" w:after="120" w:line="276" w:lineRule="auto"/>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According to the minimum AIC criterion, the optimal model for evaluating the non-linear dynamics of consumption growth is the PSTR model with r=m=2. Table 5c reports the new estimation results.</w:t>
      </w:r>
      <w:r w:rsidR="00B95BCB" w:rsidRPr="002C5DE1">
        <w:rPr>
          <w:rFonts w:ascii="Times New Roman" w:hAnsi="Times New Roman" w:cs="Times New Roman"/>
          <w:color w:val="000000" w:themeColor="text1"/>
          <w:sz w:val="24"/>
          <w:szCs w:val="24"/>
          <w:lang w:val="en-US"/>
        </w:rPr>
        <w:t xml:space="preserve"> These new findings clearly provide robust support to the baseline results displayed in Table 5. More specifically, income, housing wealth and stock market wealth continue not only to exert a positive effect on household’s consumption, but also their numerical estimates remain close to those obtained previously; at the same time, income remains a predominant variable explaining this consumption, confirming again a Keynesian type of consumption. Finally, these effects continue to be regime-dependent, with a stronger effect in the second regime. </w:t>
      </w:r>
    </w:p>
    <w:p w14:paraId="48814BCF" w14:textId="77777777" w:rsidR="00574C94" w:rsidRPr="002C5DE1" w:rsidRDefault="00574C94" w:rsidP="00574C94">
      <w:pPr>
        <w:spacing w:before="120" w:after="120" w:line="276" w:lineRule="auto"/>
        <w:jc w:val="center"/>
        <w:rPr>
          <w:rFonts w:ascii="Times New Roman" w:hAnsi="Times New Roman" w:cs="Times New Roman"/>
          <w:b/>
          <w:bCs/>
          <w:color w:val="000000" w:themeColor="text1"/>
          <w:sz w:val="24"/>
          <w:szCs w:val="24"/>
          <w:lang w:val="en-US"/>
        </w:rPr>
      </w:pPr>
      <w:r w:rsidRPr="002C5DE1">
        <w:rPr>
          <w:rFonts w:ascii="Times New Roman" w:hAnsi="Times New Roman" w:cs="Times New Roman"/>
          <w:b/>
          <w:bCs/>
          <w:color w:val="000000" w:themeColor="text1"/>
          <w:sz w:val="24"/>
          <w:szCs w:val="24"/>
          <w:lang w:val="en-US"/>
        </w:rPr>
        <w:t>[Place Table 5c Here]</w:t>
      </w:r>
    </w:p>
    <w:p w14:paraId="23461666" w14:textId="77777777" w:rsidR="004413B0" w:rsidRPr="002C5DE1" w:rsidRDefault="004413B0" w:rsidP="00F34E70">
      <w:pPr>
        <w:spacing w:before="120" w:after="120" w:line="276" w:lineRule="auto"/>
        <w:jc w:val="both"/>
        <w:rPr>
          <w:rFonts w:ascii="Times New Roman" w:hAnsi="Times New Roman" w:cs="Times New Roman"/>
          <w:color w:val="000000" w:themeColor="text1"/>
          <w:sz w:val="24"/>
          <w:szCs w:val="24"/>
          <w:lang w:val="en-US"/>
        </w:rPr>
      </w:pPr>
    </w:p>
    <w:p w14:paraId="52D6047F" w14:textId="77777777" w:rsidR="00C51B7E" w:rsidRPr="002C5DE1" w:rsidRDefault="00C51B7E" w:rsidP="008E588C">
      <w:pPr>
        <w:pStyle w:val="Heading2"/>
        <w:spacing w:before="120" w:after="120"/>
        <w:rPr>
          <w:rFonts w:ascii="Times New Roman" w:hAnsi="Times New Roman" w:cs="Times New Roman"/>
          <w:b/>
          <w:color w:val="000000" w:themeColor="text1"/>
          <w:sz w:val="24"/>
          <w:szCs w:val="24"/>
          <w:lang w:val="en-US"/>
        </w:rPr>
      </w:pPr>
      <w:r w:rsidRPr="002C5DE1">
        <w:rPr>
          <w:rFonts w:ascii="Times New Roman" w:hAnsi="Times New Roman" w:cs="Times New Roman"/>
          <w:b/>
          <w:color w:val="000000" w:themeColor="text1"/>
          <w:sz w:val="24"/>
          <w:szCs w:val="24"/>
          <w:lang w:val="en-US"/>
        </w:rPr>
        <w:t xml:space="preserve">5.3. Threshold Estimation Results </w:t>
      </w:r>
      <w:r w:rsidR="00BA7900" w:rsidRPr="002C5DE1">
        <w:rPr>
          <w:rFonts w:ascii="Times New Roman" w:hAnsi="Times New Roman" w:cs="Times New Roman"/>
          <w:b/>
          <w:color w:val="000000" w:themeColor="text1"/>
          <w:sz w:val="24"/>
          <w:szCs w:val="24"/>
          <w:lang w:val="en-US"/>
        </w:rPr>
        <w:t>for Sub-</w:t>
      </w:r>
      <w:r w:rsidRPr="002C5DE1">
        <w:rPr>
          <w:rFonts w:ascii="Times New Roman" w:hAnsi="Times New Roman" w:cs="Times New Roman"/>
          <w:b/>
          <w:color w:val="000000" w:themeColor="text1"/>
          <w:sz w:val="24"/>
          <w:szCs w:val="24"/>
          <w:lang w:val="en-US"/>
        </w:rPr>
        <w:t>Period</w:t>
      </w:r>
      <w:r w:rsidR="00BA7900" w:rsidRPr="002C5DE1">
        <w:rPr>
          <w:rFonts w:ascii="Times New Roman" w:hAnsi="Times New Roman" w:cs="Times New Roman"/>
          <w:b/>
          <w:color w:val="000000" w:themeColor="text1"/>
          <w:sz w:val="24"/>
          <w:szCs w:val="24"/>
          <w:lang w:val="en-US"/>
        </w:rPr>
        <w:t>s</w:t>
      </w:r>
    </w:p>
    <w:p w14:paraId="777753E0" w14:textId="77777777" w:rsidR="009021BB" w:rsidRPr="002C5DE1" w:rsidRDefault="001528E9" w:rsidP="00FB40D0">
      <w:pPr>
        <w:spacing w:before="120" w:after="240" w:line="276" w:lineRule="auto"/>
        <w:ind w:firstLine="357"/>
        <w:jc w:val="both"/>
        <w:rPr>
          <w:rFonts w:ascii="Times New Roman" w:hAnsi="Times New Roman" w:cs="Times New Roman"/>
          <w:color w:val="000000" w:themeColor="text1"/>
          <w:sz w:val="24"/>
          <w:szCs w:val="24"/>
          <w:lang w:val="en-US"/>
        </w:rPr>
      </w:pPr>
      <w:bookmarkStart w:id="2" w:name="_Hlk43913115"/>
      <w:r w:rsidRPr="002C5DE1">
        <w:rPr>
          <w:rFonts w:ascii="Times New Roman" w:hAnsi="Times New Roman" w:cs="Times New Roman"/>
          <w:color w:val="000000" w:themeColor="text1"/>
          <w:sz w:val="24"/>
          <w:szCs w:val="24"/>
          <w:lang w:val="en-US"/>
        </w:rPr>
        <w:t xml:space="preserve">Table 6 </w:t>
      </w:r>
      <w:r w:rsidR="004664CC" w:rsidRPr="002C5DE1">
        <w:rPr>
          <w:rFonts w:ascii="Times New Roman" w:hAnsi="Times New Roman" w:cs="Times New Roman"/>
          <w:color w:val="000000" w:themeColor="text1"/>
          <w:sz w:val="24"/>
          <w:szCs w:val="24"/>
          <w:lang w:val="en-US"/>
        </w:rPr>
        <w:t>presents the threshold effects tests results</w:t>
      </w:r>
      <w:r w:rsidR="009021BB" w:rsidRPr="002C5DE1">
        <w:rPr>
          <w:rFonts w:ascii="Times New Roman" w:hAnsi="Times New Roman" w:cs="Times New Roman"/>
          <w:color w:val="000000" w:themeColor="text1"/>
          <w:sz w:val="24"/>
          <w:szCs w:val="24"/>
          <w:lang w:val="en-US"/>
        </w:rPr>
        <w:t>, while</w:t>
      </w:r>
      <w:r w:rsidRPr="002C5DE1">
        <w:rPr>
          <w:rFonts w:ascii="Times New Roman" w:hAnsi="Times New Roman" w:cs="Times New Roman"/>
          <w:color w:val="000000" w:themeColor="text1"/>
          <w:sz w:val="24"/>
          <w:szCs w:val="24"/>
          <w:lang w:val="en-US"/>
        </w:rPr>
        <w:t xml:space="preserve"> </w:t>
      </w:r>
      <w:r w:rsidR="009021BB" w:rsidRPr="002C5DE1">
        <w:rPr>
          <w:rFonts w:ascii="Times New Roman" w:hAnsi="Times New Roman" w:cs="Times New Roman"/>
          <w:color w:val="000000" w:themeColor="text1"/>
          <w:sz w:val="24"/>
          <w:szCs w:val="24"/>
          <w:lang w:val="en-US"/>
        </w:rPr>
        <w:t>T</w:t>
      </w:r>
      <w:r w:rsidR="004664CC" w:rsidRPr="002C5DE1">
        <w:rPr>
          <w:rFonts w:ascii="Times New Roman" w:hAnsi="Times New Roman" w:cs="Times New Roman"/>
          <w:color w:val="000000" w:themeColor="text1"/>
          <w:sz w:val="24"/>
          <w:szCs w:val="24"/>
          <w:lang w:val="en-US"/>
        </w:rPr>
        <w:t xml:space="preserve">able </w:t>
      </w:r>
      <w:r w:rsidRPr="002C5DE1">
        <w:rPr>
          <w:rFonts w:ascii="Times New Roman" w:hAnsi="Times New Roman" w:cs="Times New Roman"/>
          <w:color w:val="000000" w:themeColor="text1"/>
          <w:sz w:val="24"/>
          <w:szCs w:val="24"/>
          <w:lang w:val="en-US"/>
        </w:rPr>
        <w:t>7 present</w:t>
      </w:r>
      <w:r w:rsidR="004664CC" w:rsidRPr="002C5DE1">
        <w:rPr>
          <w:rFonts w:ascii="Times New Roman" w:hAnsi="Times New Roman" w:cs="Times New Roman"/>
          <w:color w:val="000000" w:themeColor="text1"/>
          <w:sz w:val="24"/>
          <w:szCs w:val="24"/>
          <w:lang w:val="en-US"/>
        </w:rPr>
        <w:t>s</w:t>
      </w:r>
      <w:r w:rsidRPr="002C5DE1">
        <w:rPr>
          <w:rFonts w:ascii="Times New Roman" w:hAnsi="Times New Roman" w:cs="Times New Roman"/>
          <w:color w:val="000000" w:themeColor="text1"/>
          <w:sz w:val="24"/>
          <w:szCs w:val="24"/>
          <w:lang w:val="en-US"/>
        </w:rPr>
        <w:t xml:space="preserve"> the</w:t>
      </w:r>
      <w:r w:rsidR="004664CC" w:rsidRPr="002C5DE1">
        <w:rPr>
          <w:rFonts w:ascii="Times New Roman" w:hAnsi="Times New Roman" w:cs="Times New Roman"/>
          <w:color w:val="000000" w:themeColor="text1"/>
          <w:sz w:val="24"/>
          <w:szCs w:val="24"/>
          <w:lang w:val="en-US"/>
        </w:rPr>
        <w:t xml:space="preserve"> </w:t>
      </w:r>
      <w:r w:rsidR="00E34088" w:rsidRPr="002C5DE1">
        <w:rPr>
          <w:rFonts w:ascii="Times New Roman" w:hAnsi="Times New Roman" w:cs="Times New Roman"/>
          <w:color w:val="000000" w:themeColor="text1"/>
          <w:sz w:val="24"/>
          <w:szCs w:val="24"/>
          <w:lang w:val="en-US"/>
        </w:rPr>
        <w:t xml:space="preserve">dynamic </w:t>
      </w:r>
      <w:r w:rsidR="004664CC" w:rsidRPr="002C5DE1">
        <w:rPr>
          <w:rFonts w:ascii="Times New Roman" w:hAnsi="Times New Roman" w:cs="Times New Roman"/>
          <w:color w:val="000000" w:themeColor="text1"/>
          <w:sz w:val="24"/>
          <w:szCs w:val="24"/>
          <w:lang w:val="en-US"/>
        </w:rPr>
        <w:t>threshold estimation</w:t>
      </w:r>
      <w:r w:rsidRPr="002C5DE1">
        <w:rPr>
          <w:rFonts w:ascii="Times New Roman" w:hAnsi="Times New Roman" w:cs="Times New Roman"/>
          <w:color w:val="000000" w:themeColor="text1"/>
          <w:sz w:val="24"/>
          <w:szCs w:val="24"/>
          <w:lang w:val="en-US"/>
        </w:rPr>
        <w:t xml:space="preserve"> results</w:t>
      </w:r>
      <w:r w:rsidR="00D76CC7" w:rsidRPr="002C5DE1">
        <w:rPr>
          <w:rFonts w:ascii="Times New Roman" w:hAnsi="Times New Roman" w:cs="Times New Roman"/>
          <w:color w:val="000000" w:themeColor="text1"/>
          <w:sz w:val="24"/>
          <w:szCs w:val="24"/>
          <w:lang w:val="en-US"/>
        </w:rPr>
        <w:t xml:space="preserve"> </w:t>
      </w:r>
      <w:r w:rsidR="009021BB" w:rsidRPr="002C5DE1">
        <w:rPr>
          <w:rFonts w:ascii="Times New Roman" w:hAnsi="Times New Roman" w:cs="Times New Roman"/>
          <w:color w:val="000000" w:themeColor="text1"/>
          <w:sz w:val="24"/>
          <w:szCs w:val="24"/>
          <w:lang w:val="en-US"/>
        </w:rPr>
        <w:t>across</w:t>
      </w:r>
      <w:r w:rsidR="00D76CC7" w:rsidRPr="002C5DE1">
        <w:rPr>
          <w:rFonts w:ascii="Times New Roman" w:hAnsi="Times New Roman" w:cs="Times New Roman"/>
          <w:color w:val="000000" w:themeColor="text1"/>
          <w:sz w:val="24"/>
          <w:szCs w:val="24"/>
          <w:lang w:val="en-US"/>
        </w:rPr>
        <w:t xml:space="preserve"> sub-periods</w:t>
      </w:r>
      <w:r w:rsidR="004664CC" w:rsidRPr="002C5DE1">
        <w:rPr>
          <w:rFonts w:ascii="Times New Roman" w:hAnsi="Times New Roman" w:cs="Times New Roman"/>
          <w:color w:val="000000" w:themeColor="text1"/>
          <w:sz w:val="24"/>
          <w:szCs w:val="24"/>
          <w:lang w:val="en-US"/>
        </w:rPr>
        <w:t xml:space="preserve">. </w:t>
      </w:r>
      <w:r w:rsidR="009021BB" w:rsidRPr="002C5DE1">
        <w:rPr>
          <w:rFonts w:ascii="Times New Roman" w:hAnsi="Times New Roman" w:cs="Times New Roman"/>
          <w:color w:val="000000" w:themeColor="text1"/>
          <w:sz w:val="24"/>
          <w:szCs w:val="24"/>
          <w:lang w:val="en-US"/>
        </w:rPr>
        <w:t>The first period (dot.com bubble: 2000Q1-2003Q4) refers to the time span the burst of the bubble affected the deteriorated performance of the real economy in terms of consumption (</w:t>
      </w:r>
      <w:r w:rsidR="00E1308D" w:rsidRPr="002C5DE1">
        <w:rPr>
          <w:rFonts w:ascii="Times New Roman" w:hAnsi="Times New Roman" w:cs="Times New Roman"/>
          <w:color w:val="000000" w:themeColor="text1"/>
          <w:sz w:val="24"/>
          <w:szCs w:val="24"/>
          <w:lang w:val="en-US"/>
        </w:rPr>
        <w:t xml:space="preserve">Barrell et al., 2015), the second one (housing bubble period: 2003Q1-2007Q2) refers to the period where </w:t>
      </w:r>
      <w:r w:rsidR="00450B6D" w:rsidRPr="002C5DE1">
        <w:rPr>
          <w:rFonts w:ascii="Times New Roman" w:hAnsi="Times New Roman" w:cs="Times New Roman"/>
          <w:color w:val="000000" w:themeColor="text1"/>
          <w:sz w:val="24"/>
          <w:szCs w:val="24"/>
          <w:lang w:val="en-US"/>
        </w:rPr>
        <w:t>US housing prices substantially increased before the ‘housing bubble burst in 2008 (</w:t>
      </w:r>
      <w:proofErr w:type="spellStart"/>
      <w:r w:rsidR="00450B6D" w:rsidRPr="002C5DE1">
        <w:rPr>
          <w:rFonts w:ascii="Times New Roman" w:hAnsi="Times New Roman" w:cs="Times New Roman"/>
          <w:color w:val="000000" w:themeColor="text1"/>
          <w:sz w:val="24"/>
          <w:szCs w:val="24"/>
          <w:lang w:val="en-US"/>
        </w:rPr>
        <w:t>Attanasio</w:t>
      </w:r>
      <w:proofErr w:type="spellEnd"/>
      <w:r w:rsidR="00450B6D" w:rsidRPr="002C5DE1">
        <w:rPr>
          <w:rFonts w:ascii="Times New Roman" w:hAnsi="Times New Roman" w:cs="Times New Roman"/>
          <w:color w:val="000000" w:themeColor="text1"/>
          <w:sz w:val="24"/>
          <w:szCs w:val="24"/>
          <w:lang w:val="en-US"/>
        </w:rPr>
        <w:t xml:space="preserve"> et al., 2009; Calomiris et al., 2009), </w:t>
      </w:r>
      <w:r w:rsidR="00FB40D0" w:rsidRPr="002C5DE1">
        <w:rPr>
          <w:rFonts w:ascii="Times New Roman" w:hAnsi="Times New Roman" w:cs="Times New Roman"/>
          <w:color w:val="000000" w:themeColor="text1"/>
          <w:sz w:val="24"/>
          <w:szCs w:val="24"/>
          <w:lang w:val="en-US"/>
        </w:rPr>
        <w:t>the third period (global -sub-prime- financial crisis period: 2007Q3-2010Q4) is the so known t</w:t>
      </w:r>
      <w:r w:rsidR="009021BB" w:rsidRPr="002C5DE1">
        <w:rPr>
          <w:rFonts w:ascii="Times New Roman" w:hAnsi="Times New Roman" w:cs="Times New Roman"/>
          <w:color w:val="000000" w:themeColor="text1"/>
          <w:sz w:val="24"/>
          <w:szCs w:val="24"/>
          <w:lang w:val="en-US"/>
        </w:rPr>
        <w:t xml:space="preserve">he </w:t>
      </w:r>
      <w:r w:rsidR="00FB40D0" w:rsidRPr="002C5DE1">
        <w:rPr>
          <w:rFonts w:ascii="Times New Roman" w:hAnsi="Times New Roman" w:cs="Times New Roman"/>
          <w:color w:val="000000" w:themeColor="text1"/>
          <w:sz w:val="24"/>
          <w:szCs w:val="24"/>
          <w:lang w:val="en-US"/>
        </w:rPr>
        <w:t xml:space="preserve">sub-prime housing </w:t>
      </w:r>
      <w:r w:rsidR="009021BB" w:rsidRPr="002C5DE1">
        <w:rPr>
          <w:rFonts w:ascii="Times New Roman" w:hAnsi="Times New Roman" w:cs="Times New Roman"/>
          <w:color w:val="000000" w:themeColor="text1"/>
          <w:sz w:val="24"/>
          <w:szCs w:val="24"/>
          <w:lang w:val="en-US"/>
        </w:rPr>
        <w:t>crisis period (Calomiris et al., 2012)</w:t>
      </w:r>
      <w:r w:rsidR="00FB40D0" w:rsidRPr="002C5DE1">
        <w:rPr>
          <w:rFonts w:ascii="Times New Roman" w:hAnsi="Times New Roman" w:cs="Times New Roman"/>
          <w:color w:val="000000" w:themeColor="text1"/>
          <w:sz w:val="24"/>
          <w:szCs w:val="24"/>
          <w:lang w:val="en-US"/>
        </w:rPr>
        <w:t>, and finally the fourth period (post-crisis period: 2011Q1-2016Q4) is the period after the crisis to the end of the sample period.</w:t>
      </w:r>
    </w:p>
    <w:bookmarkEnd w:id="2"/>
    <w:p w14:paraId="37D9AD1D" w14:textId="77777777" w:rsidR="00D76CC7" w:rsidRPr="002C5DE1" w:rsidRDefault="004664CC" w:rsidP="008E588C">
      <w:pPr>
        <w:spacing w:before="120" w:after="240" w:line="276" w:lineRule="auto"/>
        <w:ind w:firstLine="357"/>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F</w:t>
      </w:r>
      <w:r w:rsidR="001528E9" w:rsidRPr="002C5DE1">
        <w:rPr>
          <w:rFonts w:ascii="Times New Roman" w:hAnsi="Times New Roman" w:cs="Times New Roman"/>
          <w:color w:val="000000" w:themeColor="text1"/>
          <w:sz w:val="24"/>
          <w:szCs w:val="24"/>
          <w:lang w:val="en-US"/>
        </w:rPr>
        <w:t xml:space="preserve">or </w:t>
      </w:r>
      <w:r w:rsidRPr="002C5DE1">
        <w:rPr>
          <w:rFonts w:ascii="Times New Roman" w:hAnsi="Times New Roman" w:cs="Times New Roman"/>
          <w:color w:val="000000" w:themeColor="text1"/>
          <w:sz w:val="24"/>
          <w:szCs w:val="24"/>
          <w:lang w:val="en-US"/>
        </w:rPr>
        <w:t>each of 4 sub-periods</w:t>
      </w:r>
      <w:r w:rsidR="00A77F49" w:rsidRPr="002C5DE1">
        <w:rPr>
          <w:rFonts w:ascii="Times New Roman" w:hAnsi="Times New Roman" w:cs="Times New Roman"/>
          <w:color w:val="000000" w:themeColor="text1"/>
          <w:sz w:val="24"/>
          <w:szCs w:val="24"/>
          <w:lang w:val="en-US"/>
        </w:rPr>
        <w:t xml:space="preserve">, both threshold variables </w:t>
      </w:r>
      <w:r w:rsidR="00D76CC7" w:rsidRPr="002C5DE1">
        <w:rPr>
          <w:rFonts w:ascii="Times New Roman" w:hAnsi="Times New Roman" w:cs="Times New Roman"/>
          <w:color w:val="000000" w:themeColor="text1"/>
          <w:sz w:val="24"/>
          <w:szCs w:val="24"/>
          <w:lang w:val="en-US"/>
        </w:rPr>
        <w:t>financial development index (</w:t>
      </w:r>
      <w:r w:rsidR="00A77F49" w:rsidRPr="002C5DE1">
        <w:rPr>
          <w:rFonts w:ascii="Times New Roman" w:hAnsi="Times New Roman" w:cs="Times New Roman"/>
          <w:color w:val="000000" w:themeColor="text1"/>
          <w:sz w:val="24"/>
          <w:szCs w:val="24"/>
          <w:lang w:val="en-US"/>
        </w:rPr>
        <w:t>FD</w:t>
      </w:r>
      <w:r w:rsidR="00D76CC7" w:rsidRPr="002C5DE1">
        <w:rPr>
          <w:rFonts w:ascii="Times New Roman" w:hAnsi="Times New Roman" w:cs="Times New Roman"/>
          <w:color w:val="000000" w:themeColor="text1"/>
          <w:sz w:val="24"/>
          <w:szCs w:val="24"/>
          <w:lang w:val="en-US"/>
        </w:rPr>
        <w:t>)</w:t>
      </w:r>
      <w:r w:rsidR="00A77F49" w:rsidRPr="002C5DE1">
        <w:rPr>
          <w:rFonts w:ascii="Times New Roman" w:hAnsi="Times New Roman" w:cs="Times New Roman"/>
          <w:color w:val="000000" w:themeColor="text1"/>
          <w:sz w:val="24"/>
          <w:szCs w:val="24"/>
          <w:lang w:val="en-US"/>
        </w:rPr>
        <w:t xml:space="preserve"> and </w:t>
      </w:r>
      <w:r w:rsidR="00D76CC7" w:rsidRPr="002C5DE1">
        <w:rPr>
          <w:rFonts w:ascii="Times New Roman" w:hAnsi="Times New Roman" w:cs="Times New Roman"/>
          <w:color w:val="000000" w:themeColor="text1"/>
          <w:sz w:val="24"/>
          <w:szCs w:val="24"/>
          <w:lang w:val="en-US"/>
        </w:rPr>
        <w:t>house price to income ratio (</w:t>
      </w:r>
      <w:r w:rsidR="00A77F49" w:rsidRPr="002C5DE1">
        <w:rPr>
          <w:rFonts w:ascii="Times New Roman" w:hAnsi="Times New Roman" w:cs="Times New Roman"/>
          <w:color w:val="000000" w:themeColor="text1"/>
          <w:sz w:val="24"/>
          <w:szCs w:val="24"/>
          <w:lang w:val="en-US"/>
        </w:rPr>
        <w:t>HPI</w:t>
      </w:r>
      <w:r w:rsidR="00D76CC7" w:rsidRPr="002C5DE1">
        <w:rPr>
          <w:rFonts w:ascii="Times New Roman" w:hAnsi="Times New Roman" w:cs="Times New Roman"/>
          <w:color w:val="000000" w:themeColor="text1"/>
          <w:sz w:val="24"/>
          <w:szCs w:val="24"/>
          <w:lang w:val="en-US"/>
        </w:rPr>
        <w:t>)</w:t>
      </w:r>
      <w:r w:rsidR="00A77F49" w:rsidRPr="002C5DE1">
        <w:rPr>
          <w:rFonts w:ascii="Times New Roman" w:hAnsi="Times New Roman" w:cs="Times New Roman"/>
          <w:color w:val="000000" w:themeColor="text1"/>
          <w:sz w:val="24"/>
          <w:szCs w:val="24"/>
          <w:lang w:val="en-US"/>
        </w:rPr>
        <w:t xml:space="preserve"> have one threshold which sp</w:t>
      </w:r>
      <w:r w:rsidR="00564823" w:rsidRPr="002C5DE1">
        <w:rPr>
          <w:rFonts w:ascii="Times New Roman" w:hAnsi="Times New Roman" w:cs="Times New Roman"/>
          <w:color w:val="000000" w:themeColor="text1"/>
          <w:sz w:val="24"/>
          <w:szCs w:val="24"/>
          <w:lang w:val="en-US"/>
        </w:rPr>
        <w:t>lit the sample into two regimes</w:t>
      </w:r>
      <w:r w:rsidR="00664669" w:rsidRPr="002C5DE1">
        <w:rPr>
          <w:rFonts w:ascii="Times New Roman" w:hAnsi="Times New Roman" w:cs="Times New Roman"/>
          <w:color w:val="000000" w:themeColor="text1"/>
          <w:sz w:val="24"/>
          <w:szCs w:val="24"/>
          <w:lang w:val="en-US"/>
        </w:rPr>
        <w:t xml:space="preserve"> as indicated</w:t>
      </w:r>
      <w:r w:rsidR="00564823" w:rsidRPr="002C5DE1">
        <w:rPr>
          <w:rFonts w:ascii="Times New Roman" w:hAnsi="Times New Roman" w:cs="Times New Roman"/>
          <w:color w:val="000000" w:themeColor="text1"/>
          <w:sz w:val="24"/>
          <w:szCs w:val="24"/>
          <w:lang w:val="en-US"/>
        </w:rPr>
        <w:t>: the low level of financial de</w:t>
      </w:r>
      <w:r w:rsidR="00B32AF1" w:rsidRPr="002C5DE1">
        <w:rPr>
          <w:rFonts w:ascii="Times New Roman" w:hAnsi="Times New Roman" w:cs="Times New Roman"/>
          <w:color w:val="000000" w:themeColor="text1"/>
          <w:sz w:val="24"/>
          <w:szCs w:val="24"/>
          <w:lang w:val="en-US"/>
        </w:rPr>
        <w:t>velopment</w:t>
      </w:r>
      <w:r w:rsidR="00564823" w:rsidRPr="002C5DE1">
        <w:rPr>
          <w:rFonts w:ascii="Times New Roman" w:hAnsi="Times New Roman" w:cs="Times New Roman"/>
          <w:color w:val="000000" w:themeColor="text1"/>
          <w:sz w:val="24"/>
          <w:szCs w:val="24"/>
          <w:lang w:val="en-US"/>
        </w:rPr>
        <w:t xml:space="preserve"> regime and high level of financial de</w:t>
      </w:r>
      <w:r w:rsidR="00B32AF1" w:rsidRPr="002C5DE1">
        <w:rPr>
          <w:rFonts w:ascii="Times New Roman" w:hAnsi="Times New Roman" w:cs="Times New Roman"/>
          <w:color w:val="000000" w:themeColor="text1"/>
          <w:sz w:val="24"/>
          <w:szCs w:val="24"/>
          <w:lang w:val="en-US"/>
        </w:rPr>
        <w:t>velopment</w:t>
      </w:r>
      <w:r w:rsidR="00564823" w:rsidRPr="002C5DE1">
        <w:rPr>
          <w:rFonts w:ascii="Times New Roman" w:hAnsi="Times New Roman" w:cs="Times New Roman"/>
          <w:color w:val="000000" w:themeColor="text1"/>
          <w:sz w:val="24"/>
          <w:szCs w:val="24"/>
          <w:lang w:val="en-US"/>
        </w:rPr>
        <w:t xml:space="preserve"> regime, similarly, low affordability regime and high affordability regime.</w:t>
      </w:r>
      <w:r w:rsidR="0090305D" w:rsidRPr="002C5DE1">
        <w:rPr>
          <w:rFonts w:ascii="Times New Roman" w:hAnsi="Times New Roman" w:cs="Times New Roman"/>
          <w:color w:val="000000" w:themeColor="text1"/>
          <w:sz w:val="24"/>
          <w:szCs w:val="24"/>
          <w:lang w:val="en-US"/>
        </w:rPr>
        <w:t xml:space="preserve"> Below, we discuss the results from the perspective of model variables and also furtherly develop some behavioral implications.</w:t>
      </w:r>
    </w:p>
    <w:p w14:paraId="34D30B60" w14:textId="77777777" w:rsidR="00387659" w:rsidRPr="002C5DE1" w:rsidRDefault="00387659" w:rsidP="00387659">
      <w:pPr>
        <w:spacing w:after="120" w:line="276" w:lineRule="auto"/>
        <w:ind w:firstLine="357"/>
        <w:jc w:val="center"/>
        <w:rPr>
          <w:rFonts w:ascii="Times New Roman" w:hAnsi="Times New Roman" w:cs="Times New Roman"/>
          <w:b/>
          <w:color w:val="000000" w:themeColor="text1"/>
          <w:sz w:val="24"/>
          <w:szCs w:val="24"/>
          <w:lang w:val="en-US"/>
        </w:rPr>
      </w:pPr>
      <w:r w:rsidRPr="002C5DE1">
        <w:rPr>
          <w:rFonts w:ascii="Times New Roman" w:hAnsi="Times New Roman" w:cs="Times New Roman"/>
          <w:b/>
          <w:color w:val="000000" w:themeColor="text1"/>
          <w:sz w:val="24"/>
          <w:szCs w:val="24"/>
          <w:lang w:val="en-US"/>
        </w:rPr>
        <w:t>[</w:t>
      </w:r>
      <w:r w:rsidRPr="002C5DE1">
        <w:rPr>
          <w:rFonts w:ascii="Times New Roman" w:hAnsi="Times New Roman" w:cs="Times New Roman"/>
          <w:b/>
          <w:color w:val="000000" w:themeColor="text1"/>
          <w:sz w:val="24"/>
          <w:szCs w:val="24"/>
          <w:shd w:val="clear" w:color="auto" w:fill="FFFFFF"/>
          <w:lang w:val="en-US"/>
        </w:rPr>
        <w:t>Place Table 6 Here</w:t>
      </w:r>
      <w:r w:rsidRPr="002C5DE1">
        <w:rPr>
          <w:rFonts w:ascii="Times New Roman" w:hAnsi="Times New Roman" w:cs="Times New Roman"/>
          <w:b/>
          <w:color w:val="000000" w:themeColor="text1"/>
          <w:sz w:val="24"/>
          <w:szCs w:val="24"/>
          <w:lang w:val="en-US"/>
        </w:rPr>
        <w:t>]</w:t>
      </w:r>
    </w:p>
    <w:p w14:paraId="1F68338D" w14:textId="77777777" w:rsidR="00387659" w:rsidRPr="002C5DE1" w:rsidRDefault="00387659" w:rsidP="00387659">
      <w:pPr>
        <w:spacing w:after="120" w:line="276" w:lineRule="auto"/>
        <w:ind w:firstLine="357"/>
        <w:jc w:val="center"/>
        <w:rPr>
          <w:rFonts w:ascii="Times New Roman" w:hAnsi="Times New Roman" w:cs="Times New Roman"/>
          <w:b/>
          <w:color w:val="000000" w:themeColor="text1"/>
          <w:sz w:val="24"/>
          <w:szCs w:val="24"/>
          <w:lang w:val="en-US"/>
        </w:rPr>
      </w:pPr>
      <w:r w:rsidRPr="002C5DE1">
        <w:rPr>
          <w:rFonts w:ascii="Times New Roman" w:hAnsi="Times New Roman" w:cs="Times New Roman"/>
          <w:b/>
          <w:color w:val="000000" w:themeColor="text1"/>
          <w:sz w:val="24"/>
          <w:szCs w:val="24"/>
          <w:lang w:val="en-US"/>
        </w:rPr>
        <w:t>[</w:t>
      </w:r>
      <w:r w:rsidRPr="002C5DE1">
        <w:rPr>
          <w:rFonts w:ascii="Times New Roman" w:hAnsi="Times New Roman" w:cs="Times New Roman"/>
          <w:b/>
          <w:color w:val="000000" w:themeColor="text1"/>
          <w:sz w:val="24"/>
          <w:szCs w:val="24"/>
          <w:shd w:val="clear" w:color="auto" w:fill="FFFFFF"/>
          <w:lang w:val="en-US"/>
        </w:rPr>
        <w:t>Place Table 7 Here</w:t>
      </w:r>
      <w:r w:rsidRPr="002C5DE1">
        <w:rPr>
          <w:rFonts w:ascii="Times New Roman" w:hAnsi="Times New Roman" w:cs="Times New Roman"/>
          <w:b/>
          <w:color w:val="000000" w:themeColor="text1"/>
          <w:sz w:val="24"/>
          <w:szCs w:val="24"/>
          <w:lang w:val="en-US"/>
        </w:rPr>
        <w:t>]</w:t>
      </w:r>
    </w:p>
    <w:p w14:paraId="7B8E5B3F" w14:textId="77777777" w:rsidR="00E32507" w:rsidRPr="002C5DE1" w:rsidRDefault="00E32507" w:rsidP="00E32507">
      <w:pPr>
        <w:pStyle w:val="Heading3"/>
        <w:rPr>
          <w:rFonts w:ascii="Times New Roman" w:hAnsi="Times New Roman" w:cs="Times New Roman"/>
          <w:b/>
          <w:i/>
          <w:color w:val="000000" w:themeColor="text1"/>
          <w:lang w:val="en-US"/>
        </w:rPr>
      </w:pPr>
      <w:r w:rsidRPr="002C5DE1">
        <w:rPr>
          <w:rFonts w:ascii="Times New Roman" w:hAnsi="Times New Roman" w:cs="Times New Roman"/>
          <w:b/>
          <w:i/>
          <w:color w:val="000000" w:themeColor="text1"/>
          <w:lang w:val="en-US"/>
        </w:rPr>
        <w:t>5.3.1. Income</w:t>
      </w:r>
    </w:p>
    <w:p w14:paraId="1F4F747A" w14:textId="77777777" w:rsidR="00E32507" w:rsidRPr="002C5DE1" w:rsidRDefault="00E32507" w:rsidP="008E588C">
      <w:pPr>
        <w:pStyle w:val="CommentText"/>
        <w:spacing w:before="120" w:after="120" w:line="276" w:lineRule="auto"/>
        <w:ind w:firstLine="357"/>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 xml:space="preserve">While the coefficient values of income are (0.575-0.539) during the post GFC period, these values were (0.698-0.675) during the dot.com bubble period, and (0.738-0.694) during the </w:t>
      </w:r>
      <w:r w:rsidRPr="002C5DE1">
        <w:rPr>
          <w:rFonts w:ascii="Times New Roman" w:hAnsi="Times New Roman" w:cs="Times New Roman"/>
          <w:color w:val="000000" w:themeColor="text1"/>
          <w:sz w:val="24"/>
          <w:szCs w:val="24"/>
          <w:lang w:val="en-US"/>
        </w:rPr>
        <w:lastRenderedPageBreak/>
        <w:t>housi</w:t>
      </w:r>
      <w:r w:rsidR="00AF483A" w:rsidRPr="002C5DE1">
        <w:rPr>
          <w:rFonts w:ascii="Times New Roman" w:hAnsi="Times New Roman" w:cs="Times New Roman"/>
          <w:color w:val="000000" w:themeColor="text1"/>
          <w:sz w:val="24"/>
          <w:szCs w:val="24"/>
          <w:lang w:val="en-US"/>
        </w:rPr>
        <w:t>ng bubble period, according to FD, HPI</w:t>
      </w:r>
      <w:r w:rsidRPr="002C5DE1">
        <w:rPr>
          <w:rFonts w:ascii="Times New Roman" w:hAnsi="Times New Roman" w:cs="Times New Roman"/>
          <w:color w:val="000000" w:themeColor="text1"/>
          <w:sz w:val="24"/>
          <w:szCs w:val="24"/>
          <w:lang w:val="en-US"/>
        </w:rPr>
        <w:t xml:space="preserve"> thresholds, respectively in table 7. Therefore, the impact of income on household’s consumption has increased during the housing bubble period, vis-à-vis the previous bubble period and has significantly declined during the GFC period (2007Q3-2010). Although the impact of income on household’s consumption has increased in the post-crisis period (2011-2016)</w:t>
      </w:r>
      <w:r w:rsidR="004914E2" w:rsidRPr="002C5DE1">
        <w:rPr>
          <w:rFonts w:ascii="Times New Roman" w:hAnsi="Times New Roman" w:cs="Times New Roman"/>
          <w:color w:val="000000" w:themeColor="text1"/>
          <w:sz w:val="24"/>
          <w:szCs w:val="24"/>
          <w:lang w:val="en-US"/>
        </w:rPr>
        <w:t>,</w:t>
      </w:r>
      <w:r w:rsidRPr="002C5DE1">
        <w:rPr>
          <w:rFonts w:ascii="Times New Roman" w:hAnsi="Times New Roman" w:cs="Times New Roman"/>
          <w:color w:val="000000" w:themeColor="text1"/>
          <w:sz w:val="24"/>
          <w:szCs w:val="24"/>
          <w:lang w:val="en-US"/>
        </w:rPr>
        <w:t xml:space="preserve"> its level is below the pre-crisis levels. This evidence implies that increasing income levels have significantly contributed consumption (-driven growth), specifically during the bubble periods. The above findings may also clarify the policies of low interest rates and positive wealth effect-oriented consumption (and economic growth) in US and UK specifically. In this context, we may argue that the FED (and other major central banks) has pursued low-interest-rate policies during the bubble periods, because of the consumption-driven short-term growth policies, based on income growth and increases in housing/stock market wealth.</w:t>
      </w:r>
      <w:r w:rsidR="00AF483A" w:rsidRPr="002C5DE1">
        <w:rPr>
          <w:rFonts w:ascii="Times New Roman" w:hAnsi="Times New Roman" w:cs="Times New Roman"/>
          <w:color w:val="000000" w:themeColor="text1"/>
          <w:sz w:val="24"/>
          <w:szCs w:val="24"/>
          <w:lang w:val="en-US"/>
        </w:rPr>
        <w:t xml:space="preserve"> </w:t>
      </w:r>
      <w:r w:rsidR="008C3326" w:rsidRPr="002C5DE1">
        <w:rPr>
          <w:rFonts w:ascii="Times New Roman" w:hAnsi="Times New Roman" w:cs="Times New Roman"/>
          <w:color w:val="000000" w:themeColor="text1"/>
          <w:sz w:val="24"/>
          <w:szCs w:val="24"/>
          <w:lang w:val="en-US"/>
        </w:rPr>
        <w:t>Moreover, the coefficients of income in equation (2) are greater than the coefficients in equation (3) in all sub-periods. Financial development index, greater than “0.64” enhance</w:t>
      </w:r>
      <w:r w:rsidR="00F95C6A" w:rsidRPr="002C5DE1">
        <w:rPr>
          <w:rFonts w:ascii="Times New Roman" w:hAnsi="Times New Roman" w:cs="Times New Roman"/>
          <w:color w:val="000000" w:themeColor="text1"/>
          <w:sz w:val="24"/>
          <w:szCs w:val="24"/>
          <w:lang w:val="en-US"/>
        </w:rPr>
        <w:t>s</w:t>
      </w:r>
      <w:r w:rsidR="008C3326" w:rsidRPr="002C5DE1">
        <w:rPr>
          <w:rFonts w:ascii="Times New Roman" w:hAnsi="Times New Roman" w:cs="Times New Roman"/>
          <w:color w:val="000000" w:themeColor="text1"/>
          <w:sz w:val="24"/>
          <w:szCs w:val="24"/>
          <w:lang w:val="en-US"/>
        </w:rPr>
        <w:t xml:space="preserve"> more the impact of income on consumption rather than </w:t>
      </w:r>
      <w:r w:rsidR="00F95C6A" w:rsidRPr="002C5DE1">
        <w:rPr>
          <w:rFonts w:ascii="Times New Roman" w:hAnsi="Times New Roman" w:cs="Times New Roman"/>
          <w:color w:val="000000" w:themeColor="text1"/>
          <w:sz w:val="24"/>
          <w:szCs w:val="24"/>
          <w:lang w:val="en-US"/>
        </w:rPr>
        <w:t xml:space="preserve">the impact of </w:t>
      </w:r>
      <w:r w:rsidR="008C3326" w:rsidRPr="002C5DE1">
        <w:rPr>
          <w:rFonts w:ascii="Times New Roman" w:hAnsi="Times New Roman" w:cs="Times New Roman"/>
          <w:color w:val="000000" w:themeColor="text1"/>
          <w:sz w:val="24"/>
          <w:szCs w:val="24"/>
          <w:lang w:val="en-US"/>
        </w:rPr>
        <w:t xml:space="preserve">housing affordability. </w:t>
      </w:r>
    </w:p>
    <w:p w14:paraId="46343813" w14:textId="77777777" w:rsidR="004B7457" w:rsidRPr="002C5DE1" w:rsidRDefault="00624988" w:rsidP="008E588C">
      <w:pPr>
        <w:pStyle w:val="CommentText"/>
        <w:spacing w:before="120" w:after="120" w:line="276" w:lineRule="auto"/>
        <w:ind w:firstLine="357"/>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As the policy</w:t>
      </w:r>
      <w:r w:rsidR="004B7457" w:rsidRPr="002C5DE1">
        <w:rPr>
          <w:rFonts w:ascii="Times New Roman" w:hAnsi="Times New Roman" w:cs="Times New Roman"/>
          <w:color w:val="000000" w:themeColor="text1"/>
          <w:sz w:val="24"/>
          <w:szCs w:val="24"/>
          <w:lang w:val="en-US"/>
        </w:rPr>
        <w:t xml:space="preserve"> implication, we suggest that policy-makers should be careful on the linkage between income and consumption specifically during rising period of the economy taken into account the asymmetric nature of this relation may eventually contribute price bubble formation. </w:t>
      </w:r>
    </w:p>
    <w:p w14:paraId="5C57FCE1" w14:textId="77777777" w:rsidR="00CB6FA3" w:rsidRPr="002C5DE1" w:rsidRDefault="00AC7A2C" w:rsidP="008E588C">
      <w:pPr>
        <w:pStyle w:val="Heading3"/>
        <w:spacing w:before="120" w:after="120"/>
        <w:rPr>
          <w:rFonts w:ascii="Times New Roman" w:hAnsi="Times New Roman" w:cs="Times New Roman"/>
          <w:b/>
          <w:i/>
          <w:color w:val="000000" w:themeColor="text1"/>
          <w:lang w:val="en-US"/>
        </w:rPr>
      </w:pPr>
      <w:r w:rsidRPr="002C5DE1">
        <w:rPr>
          <w:rFonts w:ascii="Times New Roman" w:hAnsi="Times New Roman" w:cs="Times New Roman"/>
          <w:b/>
          <w:i/>
          <w:color w:val="000000" w:themeColor="text1"/>
          <w:lang w:val="en-US"/>
        </w:rPr>
        <w:t xml:space="preserve">5.3.2. </w:t>
      </w:r>
      <w:r w:rsidR="00CB6FA3" w:rsidRPr="002C5DE1">
        <w:rPr>
          <w:rFonts w:ascii="Times New Roman" w:hAnsi="Times New Roman" w:cs="Times New Roman"/>
          <w:b/>
          <w:i/>
          <w:color w:val="000000" w:themeColor="text1"/>
          <w:lang w:val="en-US"/>
        </w:rPr>
        <w:t>House Prices, Housing Wealth and Stock Wealth</w:t>
      </w:r>
    </w:p>
    <w:p w14:paraId="368D249F" w14:textId="77777777" w:rsidR="004664CC" w:rsidRPr="002C5DE1" w:rsidRDefault="004664CC" w:rsidP="008E588C">
      <w:pPr>
        <w:pStyle w:val="CommentText"/>
        <w:spacing w:before="120" w:after="120" w:line="276" w:lineRule="auto"/>
        <w:ind w:firstLine="357"/>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 xml:space="preserve">Countries having a FD greater than the threshold level experience a positive and statistically significant effect of housing prices on household consumption, whereas there is a positive, albeit an insignificant link, between household consumption and housing prices below this threshold level. </w:t>
      </w:r>
      <w:r w:rsidR="00B7552F" w:rsidRPr="002C5DE1">
        <w:rPr>
          <w:rFonts w:ascii="Times New Roman" w:hAnsi="Times New Roman" w:cs="Times New Roman"/>
          <w:color w:val="000000" w:themeColor="text1"/>
          <w:sz w:val="24"/>
          <w:szCs w:val="24"/>
          <w:lang w:val="en-US"/>
        </w:rPr>
        <w:t>For instance, i</w:t>
      </w:r>
      <w:r w:rsidR="008C3326" w:rsidRPr="002C5DE1">
        <w:rPr>
          <w:rFonts w:ascii="Times New Roman" w:hAnsi="Times New Roman" w:cs="Times New Roman"/>
          <w:color w:val="000000" w:themeColor="text1"/>
          <w:sz w:val="24"/>
          <w:szCs w:val="24"/>
          <w:lang w:val="en-US"/>
        </w:rPr>
        <w:t>n the dot</w:t>
      </w:r>
      <w:r w:rsidR="00B7552F" w:rsidRPr="002C5DE1">
        <w:rPr>
          <w:rFonts w:ascii="Times New Roman" w:hAnsi="Times New Roman" w:cs="Times New Roman"/>
          <w:color w:val="000000" w:themeColor="text1"/>
          <w:sz w:val="24"/>
          <w:szCs w:val="24"/>
          <w:lang w:val="en-US"/>
        </w:rPr>
        <w:t>.</w:t>
      </w:r>
      <w:r w:rsidR="008C3326" w:rsidRPr="002C5DE1">
        <w:rPr>
          <w:rFonts w:ascii="Times New Roman" w:hAnsi="Times New Roman" w:cs="Times New Roman"/>
          <w:color w:val="000000" w:themeColor="text1"/>
          <w:sz w:val="24"/>
          <w:szCs w:val="24"/>
          <w:lang w:val="en-US"/>
        </w:rPr>
        <w:t xml:space="preserve">com bubble period, </w:t>
      </w:r>
      <w:r w:rsidR="00B7552F" w:rsidRPr="002C5DE1">
        <w:rPr>
          <w:rFonts w:ascii="Times New Roman" w:hAnsi="Times New Roman" w:cs="Times New Roman"/>
          <w:color w:val="000000" w:themeColor="text1"/>
          <w:sz w:val="24"/>
          <w:szCs w:val="24"/>
          <w:lang w:val="en-US"/>
        </w:rPr>
        <w:t>when housing wealth increases one u</w:t>
      </w:r>
      <w:r w:rsidR="006866E9">
        <w:rPr>
          <w:rFonts w:ascii="Times New Roman" w:hAnsi="Times New Roman" w:cs="Times New Roman"/>
          <w:color w:val="000000" w:themeColor="text1"/>
          <w:sz w:val="24"/>
          <w:szCs w:val="24"/>
          <w:lang w:val="en-US"/>
        </w:rPr>
        <w:t>nit, consumption increases 0.138 unit, if FD index is above</w:t>
      </w:r>
      <w:r w:rsidR="00B7552F" w:rsidRPr="002C5DE1">
        <w:rPr>
          <w:rFonts w:ascii="Times New Roman" w:hAnsi="Times New Roman" w:cs="Times New Roman"/>
          <w:color w:val="000000" w:themeColor="text1"/>
          <w:sz w:val="24"/>
          <w:szCs w:val="24"/>
          <w:lang w:val="en-US"/>
        </w:rPr>
        <w:t xml:space="preserve"> the “0.64” thr</w:t>
      </w:r>
      <w:r w:rsidR="006866E9">
        <w:rPr>
          <w:rFonts w:ascii="Times New Roman" w:hAnsi="Times New Roman" w:cs="Times New Roman"/>
          <w:color w:val="000000" w:themeColor="text1"/>
          <w:sz w:val="24"/>
          <w:szCs w:val="24"/>
          <w:lang w:val="en-US"/>
        </w:rPr>
        <w:t>eshold level and a significant link doesn’t exist between housing wealth and consumption if FD is below</w:t>
      </w:r>
      <w:r w:rsidR="00B7552F" w:rsidRPr="002C5DE1">
        <w:rPr>
          <w:rFonts w:ascii="Times New Roman" w:hAnsi="Times New Roman" w:cs="Times New Roman"/>
          <w:color w:val="000000" w:themeColor="text1"/>
          <w:sz w:val="24"/>
          <w:szCs w:val="24"/>
          <w:lang w:val="en-US"/>
        </w:rPr>
        <w:t xml:space="preserve"> the “0.64” threshold level. </w:t>
      </w:r>
      <w:r w:rsidRPr="002C5DE1">
        <w:rPr>
          <w:rFonts w:ascii="Times New Roman" w:hAnsi="Times New Roman" w:cs="Times New Roman"/>
          <w:color w:val="000000" w:themeColor="text1"/>
          <w:sz w:val="24"/>
          <w:szCs w:val="24"/>
          <w:lang w:val="en-US"/>
        </w:rPr>
        <w:t>The same also holds in the case of the housing prices to income ratio employed as the threshold level.</w:t>
      </w:r>
      <w:r w:rsidR="00160750" w:rsidRPr="002C5DE1">
        <w:rPr>
          <w:rFonts w:ascii="Times New Roman" w:hAnsi="Times New Roman" w:cs="Times New Roman"/>
          <w:color w:val="000000" w:themeColor="text1"/>
          <w:sz w:val="24"/>
          <w:szCs w:val="24"/>
          <w:lang w:val="en-US"/>
        </w:rPr>
        <w:t xml:space="preserve"> In the housin</w:t>
      </w:r>
      <w:r w:rsidR="006866E9">
        <w:rPr>
          <w:rFonts w:ascii="Times New Roman" w:hAnsi="Times New Roman" w:cs="Times New Roman"/>
          <w:color w:val="000000" w:themeColor="text1"/>
          <w:sz w:val="24"/>
          <w:szCs w:val="24"/>
          <w:lang w:val="en-US"/>
        </w:rPr>
        <w:t>g bubble period, if HPI is above</w:t>
      </w:r>
      <w:r w:rsidR="00160750" w:rsidRPr="002C5DE1">
        <w:rPr>
          <w:rFonts w:ascii="Times New Roman" w:hAnsi="Times New Roman" w:cs="Times New Roman"/>
          <w:color w:val="000000" w:themeColor="text1"/>
          <w:sz w:val="24"/>
          <w:szCs w:val="24"/>
          <w:lang w:val="en-US"/>
        </w:rPr>
        <w:t xml:space="preserve"> the threshold </w:t>
      </w:r>
      <w:r w:rsidR="00F95C6A" w:rsidRPr="002C5DE1">
        <w:rPr>
          <w:rFonts w:ascii="Times New Roman" w:hAnsi="Times New Roman" w:cs="Times New Roman"/>
          <w:color w:val="000000" w:themeColor="text1"/>
          <w:sz w:val="24"/>
          <w:szCs w:val="24"/>
          <w:lang w:val="en-US"/>
        </w:rPr>
        <w:t>“</w:t>
      </w:r>
      <w:r w:rsidR="00160750" w:rsidRPr="002C5DE1">
        <w:rPr>
          <w:rFonts w:ascii="Times New Roman" w:hAnsi="Times New Roman" w:cs="Times New Roman"/>
          <w:color w:val="000000" w:themeColor="text1"/>
          <w:sz w:val="24"/>
          <w:szCs w:val="24"/>
          <w:lang w:val="en-US"/>
        </w:rPr>
        <w:t>79.91</w:t>
      </w:r>
      <w:r w:rsidR="00F95C6A" w:rsidRPr="002C5DE1">
        <w:rPr>
          <w:rFonts w:ascii="Times New Roman" w:hAnsi="Times New Roman" w:cs="Times New Roman"/>
          <w:color w:val="000000" w:themeColor="text1"/>
          <w:sz w:val="24"/>
          <w:szCs w:val="24"/>
          <w:lang w:val="en-US"/>
        </w:rPr>
        <w:t>”</w:t>
      </w:r>
      <w:r w:rsidR="00160750" w:rsidRPr="002C5DE1">
        <w:rPr>
          <w:rFonts w:ascii="Times New Roman" w:hAnsi="Times New Roman" w:cs="Times New Roman"/>
          <w:color w:val="000000" w:themeColor="text1"/>
          <w:sz w:val="24"/>
          <w:szCs w:val="24"/>
          <w:lang w:val="en-US"/>
        </w:rPr>
        <w:t xml:space="preserve">, housing wealth induced </w:t>
      </w:r>
      <w:r w:rsidR="006866E9">
        <w:rPr>
          <w:rFonts w:ascii="Times New Roman" w:hAnsi="Times New Roman" w:cs="Times New Roman"/>
          <w:color w:val="000000" w:themeColor="text1"/>
          <w:sz w:val="24"/>
          <w:szCs w:val="24"/>
          <w:lang w:val="en-US"/>
        </w:rPr>
        <w:t>consumption increases 0.108</w:t>
      </w:r>
      <w:r w:rsidR="00160750" w:rsidRPr="002C5DE1">
        <w:rPr>
          <w:rFonts w:ascii="Times New Roman" w:hAnsi="Times New Roman" w:cs="Times New Roman"/>
          <w:color w:val="000000" w:themeColor="text1"/>
          <w:sz w:val="24"/>
          <w:szCs w:val="24"/>
          <w:lang w:val="en-US"/>
        </w:rPr>
        <w:t xml:space="preserve"> unit however, </w:t>
      </w:r>
      <w:r w:rsidR="00F91FBC">
        <w:rPr>
          <w:rFonts w:ascii="Times New Roman" w:hAnsi="Times New Roman" w:cs="Times New Roman"/>
          <w:color w:val="000000" w:themeColor="text1"/>
          <w:sz w:val="24"/>
          <w:szCs w:val="24"/>
          <w:lang w:val="en-US"/>
        </w:rPr>
        <w:t xml:space="preserve">a </w:t>
      </w:r>
      <w:r w:rsidR="006866E9">
        <w:rPr>
          <w:rFonts w:ascii="Times New Roman" w:hAnsi="Times New Roman" w:cs="Times New Roman"/>
          <w:color w:val="000000" w:themeColor="text1"/>
          <w:sz w:val="24"/>
          <w:szCs w:val="24"/>
          <w:lang w:val="en-US"/>
        </w:rPr>
        <w:t>significant link doesn’t exist between housing wealth and consumption</w:t>
      </w:r>
      <w:r w:rsidR="00160750" w:rsidRPr="002C5DE1">
        <w:rPr>
          <w:rFonts w:ascii="Times New Roman" w:hAnsi="Times New Roman" w:cs="Times New Roman"/>
          <w:color w:val="000000" w:themeColor="text1"/>
          <w:sz w:val="24"/>
          <w:szCs w:val="24"/>
          <w:lang w:val="en-US"/>
        </w:rPr>
        <w:t xml:space="preserve"> </w:t>
      </w:r>
      <w:r w:rsidR="006866E9">
        <w:rPr>
          <w:rFonts w:ascii="Times New Roman" w:hAnsi="Times New Roman" w:cs="Times New Roman"/>
          <w:color w:val="000000" w:themeColor="text1"/>
          <w:sz w:val="24"/>
          <w:szCs w:val="24"/>
          <w:lang w:val="en-US"/>
        </w:rPr>
        <w:t>if HPI is below</w:t>
      </w:r>
      <w:r w:rsidR="00160750" w:rsidRPr="002C5DE1">
        <w:rPr>
          <w:rFonts w:ascii="Times New Roman" w:hAnsi="Times New Roman" w:cs="Times New Roman"/>
          <w:color w:val="000000" w:themeColor="text1"/>
          <w:sz w:val="24"/>
          <w:szCs w:val="24"/>
          <w:lang w:val="en-US"/>
        </w:rPr>
        <w:t xml:space="preserve"> the threshold.</w:t>
      </w:r>
      <w:r w:rsidRPr="002C5DE1">
        <w:rPr>
          <w:rFonts w:ascii="Times New Roman" w:hAnsi="Times New Roman" w:cs="Times New Roman"/>
          <w:color w:val="000000" w:themeColor="text1"/>
          <w:sz w:val="24"/>
          <w:szCs w:val="24"/>
          <w:lang w:val="en-US"/>
        </w:rPr>
        <w:t xml:space="preserve"> Therefore, we may conclude that positive housing wealth effects may rise from the financial development criterion (FD &gt; threshold)</w:t>
      </w:r>
      <w:r w:rsidR="00F06517" w:rsidRPr="002C5DE1">
        <w:rPr>
          <w:rFonts w:ascii="Times New Roman" w:hAnsi="Times New Roman" w:cs="Times New Roman"/>
          <w:color w:val="000000" w:themeColor="text1"/>
          <w:sz w:val="24"/>
          <w:szCs w:val="24"/>
          <w:lang w:val="en-US"/>
        </w:rPr>
        <w:t>,</w:t>
      </w:r>
      <w:r w:rsidRPr="002C5DE1">
        <w:rPr>
          <w:rFonts w:ascii="Times New Roman" w:hAnsi="Times New Roman" w:cs="Times New Roman"/>
          <w:color w:val="000000" w:themeColor="text1"/>
          <w:sz w:val="24"/>
          <w:szCs w:val="24"/>
          <w:lang w:val="en-US"/>
        </w:rPr>
        <w:t xml:space="preserve"> which suggests that the more developed financial system is, the stronger the wealth effect is. By contrast</w:t>
      </w:r>
      <w:r w:rsidR="00CB6FA3" w:rsidRPr="002C5DE1">
        <w:rPr>
          <w:rFonts w:ascii="Times New Roman" w:hAnsi="Times New Roman" w:cs="Times New Roman"/>
          <w:color w:val="000000" w:themeColor="text1"/>
          <w:sz w:val="24"/>
          <w:szCs w:val="24"/>
          <w:lang w:val="en-US"/>
        </w:rPr>
        <w:t xml:space="preserve">, </w:t>
      </w:r>
      <w:r w:rsidRPr="002C5DE1">
        <w:rPr>
          <w:rFonts w:ascii="Times New Roman" w:hAnsi="Times New Roman" w:cs="Times New Roman"/>
          <w:color w:val="000000" w:themeColor="text1"/>
          <w:sz w:val="24"/>
          <w:szCs w:val="24"/>
          <w:lang w:val="en-US"/>
        </w:rPr>
        <w:t>a positive wealth effect arising from the affordability criterion (HPI &gt; threshold) may imply that the higher the HPI (or declining housing affordability) is</w:t>
      </w:r>
      <w:r w:rsidR="00F06517" w:rsidRPr="002C5DE1">
        <w:rPr>
          <w:rFonts w:ascii="Times New Roman" w:hAnsi="Times New Roman" w:cs="Times New Roman"/>
          <w:color w:val="000000" w:themeColor="text1"/>
          <w:sz w:val="24"/>
          <w:szCs w:val="24"/>
          <w:lang w:val="en-US"/>
        </w:rPr>
        <w:t>,</w:t>
      </w:r>
      <w:r w:rsidRPr="002C5DE1">
        <w:rPr>
          <w:rFonts w:ascii="Times New Roman" w:hAnsi="Times New Roman" w:cs="Times New Roman"/>
          <w:color w:val="000000" w:themeColor="text1"/>
          <w:sz w:val="24"/>
          <w:szCs w:val="24"/>
          <w:lang w:val="en-US"/>
        </w:rPr>
        <w:t xml:space="preserve"> the stronger the s</w:t>
      </w:r>
      <w:r w:rsidR="00160750" w:rsidRPr="002C5DE1">
        <w:rPr>
          <w:rFonts w:ascii="Times New Roman" w:hAnsi="Times New Roman" w:cs="Times New Roman"/>
          <w:color w:val="000000" w:themeColor="text1"/>
          <w:sz w:val="24"/>
          <w:szCs w:val="24"/>
          <w:lang w:val="en-US"/>
        </w:rPr>
        <w:t>tock/housing wealth effect is. Moreover, in the housing bubble period</w:t>
      </w:r>
      <w:r w:rsidR="002C02CD" w:rsidRPr="002C5DE1">
        <w:rPr>
          <w:rFonts w:ascii="Times New Roman" w:hAnsi="Times New Roman" w:cs="Times New Roman"/>
          <w:color w:val="000000" w:themeColor="text1"/>
          <w:sz w:val="24"/>
          <w:szCs w:val="24"/>
          <w:lang w:val="en-US"/>
        </w:rPr>
        <w:t>,</w:t>
      </w:r>
      <w:r w:rsidR="00160750" w:rsidRPr="002C5DE1">
        <w:rPr>
          <w:rFonts w:ascii="Times New Roman" w:hAnsi="Times New Roman" w:cs="Times New Roman"/>
          <w:color w:val="000000" w:themeColor="text1"/>
          <w:sz w:val="24"/>
          <w:szCs w:val="24"/>
          <w:lang w:val="en-US"/>
        </w:rPr>
        <w:t xml:space="preserve"> the difference between the coefficients of housing wealth</w:t>
      </w:r>
      <w:r w:rsidR="002C02CD" w:rsidRPr="002C5DE1">
        <w:rPr>
          <w:rFonts w:ascii="Times New Roman" w:hAnsi="Times New Roman" w:cs="Times New Roman"/>
          <w:color w:val="000000" w:themeColor="text1"/>
          <w:sz w:val="24"/>
          <w:szCs w:val="24"/>
          <w:lang w:val="en-US"/>
        </w:rPr>
        <w:t xml:space="preserve"> below and above the threshold</w:t>
      </w:r>
      <w:r w:rsidR="00160750" w:rsidRPr="002C5DE1">
        <w:rPr>
          <w:rFonts w:ascii="Times New Roman" w:hAnsi="Times New Roman" w:cs="Times New Roman"/>
          <w:color w:val="000000" w:themeColor="text1"/>
          <w:sz w:val="24"/>
          <w:szCs w:val="24"/>
          <w:lang w:val="en-US"/>
        </w:rPr>
        <w:t xml:space="preserve"> (</w:t>
      </w:r>
      <w:r w:rsidR="00160750" w:rsidRPr="002C5DE1">
        <w:rPr>
          <w:rFonts w:ascii="Times New Roman" w:hAnsi="Times New Roman" w:cs="Times New Roman"/>
          <w:color w:val="000000" w:themeColor="text1"/>
          <w:lang w:val="en-US"/>
        </w:rPr>
        <w:t>θ</w:t>
      </w:r>
      <w:r w:rsidR="00160750" w:rsidRPr="002C5DE1">
        <w:rPr>
          <w:rFonts w:ascii="Times New Roman" w:hAnsi="Times New Roman" w:cs="Times New Roman"/>
          <w:color w:val="000000" w:themeColor="text1"/>
          <w:vertAlign w:val="subscript"/>
          <w:lang w:val="en-US"/>
        </w:rPr>
        <w:t>1</w:t>
      </w:r>
      <w:r w:rsidR="00160750" w:rsidRPr="002C5DE1">
        <w:rPr>
          <w:rFonts w:ascii="Times New Roman" w:hAnsi="Times New Roman" w:cs="Times New Roman"/>
          <w:color w:val="000000" w:themeColor="text1"/>
          <w:lang w:val="en-US"/>
        </w:rPr>
        <w:t>- θ</w:t>
      </w:r>
      <w:r w:rsidR="002C02CD" w:rsidRPr="002C5DE1">
        <w:rPr>
          <w:rFonts w:ascii="Times New Roman" w:hAnsi="Times New Roman" w:cs="Times New Roman"/>
          <w:color w:val="000000" w:themeColor="text1"/>
          <w:vertAlign w:val="subscript"/>
          <w:lang w:val="en-US"/>
        </w:rPr>
        <w:t>2</w:t>
      </w:r>
      <w:r w:rsidR="002C02CD" w:rsidRPr="002C5DE1">
        <w:rPr>
          <w:rFonts w:ascii="Times New Roman" w:hAnsi="Times New Roman" w:cs="Times New Roman"/>
          <w:color w:val="000000" w:themeColor="text1"/>
          <w:lang w:val="en-US"/>
        </w:rPr>
        <w:t xml:space="preserve">; </w:t>
      </w:r>
      <w:r w:rsidR="00160750" w:rsidRPr="002C5DE1">
        <w:rPr>
          <w:rFonts w:ascii="Times New Roman" w:hAnsi="Times New Roman" w:cs="Times New Roman"/>
          <w:color w:val="000000" w:themeColor="text1"/>
          <w:lang w:val="en-US"/>
        </w:rPr>
        <w:t>θ</w:t>
      </w:r>
      <w:r w:rsidR="002C02CD" w:rsidRPr="002C5DE1">
        <w:rPr>
          <w:rFonts w:ascii="Times New Roman" w:hAnsi="Times New Roman" w:cs="Times New Roman"/>
          <w:color w:val="000000" w:themeColor="text1"/>
          <w:vertAlign w:val="subscript"/>
          <w:lang w:val="en-US"/>
        </w:rPr>
        <w:t>5</w:t>
      </w:r>
      <w:r w:rsidR="002C02CD" w:rsidRPr="002C5DE1">
        <w:rPr>
          <w:rFonts w:ascii="Times New Roman" w:hAnsi="Times New Roman" w:cs="Times New Roman"/>
          <w:color w:val="000000" w:themeColor="text1"/>
          <w:lang w:val="en-US"/>
        </w:rPr>
        <w:t>- θ</w:t>
      </w:r>
      <w:r w:rsidR="002C02CD" w:rsidRPr="002C5DE1">
        <w:rPr>
          <w:rFonts w:ascii="Times New Roman" w:hAnsi="Times New Roman" w:cs="Times New Roman"/>
          <w:color w:val="000000" w:themeColor="text1"/>
          <w:vertAlign w:val="subscript"/>
          <w:lang w:val="en-US"/>
        </w:rPr>
        <w:t>6</w:t>
      </w:r>
      <w:r w:rsidR="002C02CD" w:rsidRPr="002C5DE1">
        <w:rPr>
          <w:rFonts w:ascii="Times New Roman" w:hAnsi="Times New Roman" w:cs="Times New Roman"/>
          <w:color w:val="000000" w:themeColor="text1"/>
          <w:lang w:val="en-US"/>
        </w:rPr>
        <w:t xml:space="preserve">) </w:t>
      </w:r>
      <w:r w:rsidR="002C02CD" w:rsidRPr="002C5DE1">
        <w:rPr>
          <w:rFonts w:ascii="Times New Roman" w:hAnsi="Times New Roman" w:cs="Times New Roman"/>
          <w:color w:val="000000" w:themeColor="text1"/>
          <w:sz w:val="24"/>
          <w:szCs w:val="24"/>
          <w:lang w:val="en-US"/>
        </w:rPr>
        <w:t xml:space="preserve">is greater than other periods. This finding implies that housing bubble may contribute an excessive consumption through the consumption-wealth </w:t>
      </w:r>
      <w:r w:rsidR="00F95C6A" w:rsidRPr="002C5DE1">
        <w:rPr>
          <w:rFonts w:ascii="Times New Roman" w:hAnsi="Times New Roman" w:cs="Times New Roman"/>
          <w:color w:val="000000" w:themeColor="text1"/>
          <w:sz w:val="24"/>
          <w:szCs w:val="24"/>
          <w:lang w:val="en-US"/>
        </w:rPr>
        <w:t>channel, which</w:t>
      </w:r>
      <w:r w:rsidR="002C02CD" w:rsidRPr="002C5DE1">
        <w:rPr>
          <w:rFonts w:ascii="Times New Roman" w:hAnsi="Times New Roman" w:cs="Times New Roman"/>
          <w:color w:val="000000" w:themeColor="text1"/>
          <w:sz w:val="24"/>
          <w:szCs w:val="24"/>
          <w:lang w:val="en-US"/>
        </w:rPr>
        <w:t xml:space="preserve"> may also deepen the </w:t>
      </w:r>
      <w:r w:rsidR="00F95C6A" w:rsidRPr="002C5DE1">
        <w:rPr>
          <w:rFonts w:ascii="Times New Roman" w:hAnsi="Times New Roman" w:cs="Times New Roman"/>
          <w:color w:val="000000" w:themeColor="text1"/>
          <w:sz w:val="24"/>
          <w:szCs w:val="24"/>
          <w:lang w:val="en-US"/>
        </w:rPr>
        <w:t>impact</w:t>
      </w:r>
      <w:r w:rsidR="002C02CD" w:rsidRPr="002C5DE1">
        <w:rPr>
          <w:rFonts w:ascii="Times New Roman" w:hAnsi="Times New Roman" w:cs="Times New Roman"/>
          <w:color w:val="000000" w:themeColor="text1"/>
          <w:sz w:val="24"/>
          <w:szCs w:val="24"/>
          <w:lang w:val="en-US"/>
        </w:rPr>
        <w:t xml:space="preserve"> of </w:t>
      </w:r>
      <w:r w:rsidR="00F95C6A" w:rsidRPr="002C5DE1">
        <w:rPr>
          <w:rFonts w:ascii="Times New Roman" w:hAnsi="Times New Roman" w:cs="Times New Roman"/>
          <w:color w:val="000000" w:themeColor="text1"/>
          <w:sz w:val="24"/>
          <w:szCs w:val="24"/>
          <w:lang w:val="en-US"/>
        </w:rPr>
        <w:t xml:space="preserve">the </w:t>
      </w:r>
      <w:r w:rsidR="002C02CD" w:rsidRPr="002C5DE1">
        <w:rPr>
          <w:rFonts w:ascii="Times New Roman" w:hAnsi="Times New Roman" w:cs="Times New Roman"/>
          <w:color w:val="000000" w:themeColor="text1"/>
          <w:sz w:val="24"/>
          <w:szCs w:val="24"/>
          <w:lang w:val="en-US"/>
        </w:rPr>
        <w:t>housing bubble.</w:t>
      </w:r>
      <w:r w:rsidR="00B17C01" w:rsidRPr="002C5DE1">
        <w:rPr>
          <w:rFonts w:ascii="Times New Roman" w:hAnsi="Times New Roman" w:cs="Times New Roman"/>
          <w:color w:val="000000" w:themeColor="text1"/>
          <w:sz w:val="24"/>
          <w:szCs w:val="24"/>
          <w:lang w:val="en-US"/>
        </w:rPr>
        <w:t xml:space="preserve"> In such periods, policy makers should contemplate on consumption driven economic growth and its consequences.</w:t>
      </w:r>
    </w:p>
    <w:p w14:paraId="5FC2BC47" w14:textId="77777777" w:rsidR="00A35E9A" w:rsidRPr="002C5DE1" w:rsidRDefault="00FD4117" w:rsidP="00A35E9A">
      <w:pPr>
        <w:spacing w:before="120" w:after="120" w:line="276" w:lineRule="auto"/>
        <w:ind w:firstLine="357"/>
        <w:jc w:val="both"/>
        <w:rPr>
          <w:color w:val="000000" w:themeColor="text1"/>
          <w:lang w:val="en-US"/>
        </w:rPr>
      </w:pPr>
      <w:r w:rsidRPr="002C5DE1">
        <w:rPr>
          <w:rFonts w:ascii="Times New Roman" w:hAnsi="Times New Roman" w:cs="Times New Roman"/>
          <w:color w:val="000000" w:themeColor="text1"/>
          <w:sz w:val="24"/>
          <w:szCs w:val="24"/>
          <w:lang w:val="en-US"/>
        </w:rPr>
        <w:t xml:space="preserve">It can be seen below in Table 8 that both threshold values decline in the housing bubble and the GFC periods. This evidence implies that the sensitivity of household consumption to both </w:t>
      </w:r>
      <w:r w:rsidRPr="002C5DE1">
        <w:rPr>
          <w:rFonts w:ascii="Times New Roman" w:hAnsi="Times New Roman" w:cs="Times New Roman"/>
          <w:color w:val="000000" w:themeColor="text1"/>
          <w:sz w:val="24"/>
          <w:szCs w:val="24"/>
          <w:lang w:val="en-US"/>
        </w:rPr>
        <w:lastRenderedPageBreak/>
        <w:t>thresholds (financial de</w:t>
      </w:r>
      <w:r w:rsidR="00B32AF1" w:rsidRPr="002C5DE1">
        <w:rPr>
          <w:rFonts w:ascii="Times New Roman" w:hAnsi="Times New Roman" w:cs="Times New Roman"/>
          <w:color w:val="000000" w:themeColor="text1"/>
          <w:sz w:val="24"/>
          <w:szCs w:val="24"/>
          <w:lang w:val="en-US"/>
        </w:rPr>
        <w:t>velopment</w:t>
      </w:r>
      <w:r w:rsidRPr="002C5DE1">
        <w:rPr>
          <w:rFonts w:ascii="Times New Roman" w:hAnsi="Times New Roman" w:cs="Times New Roman"/>
          <w:color w:val="000000" w:themeColor="text1"/>
          <w:sz w:val="24"/>
          <w:szCs w:val="24"/>
          <w:lang w:val="en-US"/>
        </w:rPr>
        <w:t xml:space="preserve"> and housing affordability) increases, based on </w:t>
      </w:r>
      <w:r w:rsidR="006E18A7" w:rsidRPr="002C5DE1">
        <w:rPr>
          <w:rFonts w:ascii="Times New Roman" w:hAnsi="Times New Roman" w:cs="Times New Roman"/>
          <w:color w:val="000000" w:themeColor="text1"/>
          <w:sz w:val="24"/>
          <w:szCs w:val="24"/>
          <w:lang w:val="en-US"/>
        </w:rPr>
        <w:t xml:space="preserve">the </w:t>
      </w:r>
      <w:r w:rsidRPr="002C5DE1">
        <w:rPr>
          <w:rFonts w:ascii="Times New Roman" w:hAnsi="Times New Roman" w:cs="Times New Roman"/>
          <w:color w:val="000000" w:themeColor="text1"/>
          <w:sz w:val="24"/>
          <w:szCs w:val="24"/>
          <w:lang w:val="en-US"/>
        </w:rPr>
        <w:t>declining threshold values. For instance, household consumption responds positively to an increase in financial de</w:t>
      </w:r>
      <w:r w:rsidR="00B32AF1" w:rsidRPr="002C5DE1">
        <w:rPr>
          <w:rFonts w:ascii="Times New Roman" w:hAnsi="Times New Roman" w:cs="Times New Roman"/>
          <w:color w:val="000000" w:themeColor="text1"/>
          <w:sz w:val="24"/>
          <w:szCs w:val="24"/>
          <w:lang w:val="en-US"/>
        </w:rPr>
        <w:t>velopment</w:t>
      </w:r>
      <w:r w:rsidRPr="002C5DE1">
        <w:rPr>
          <w:rFonts w:ascii="Times New Roman" w:hAnsi="Times New Roman" w:cs="Times New Roman"/>
          <w:color w:val="000000" w:themeColor="text1"/>
          <w:sz w:val="24"/>
          <w:szCs w:val="24"/>
          <w:lang w:val="en-US"/>
        </w:rPr>
        <w:t xml:space="preserve"> when the index is equal or above 0.64 in the dot.com bubble period, while in the housing bubble period, an index at 0.61 level is sufficient to positively affect consumption. </w:t>
      </w:r>
      <w:r w:rsidR="00A35E9A" w:rsidRPr="002C5DE1">
        <w:rPr>
          <w:rFonts w:ascii="Times New Roman" w:hAnsi="Times New Roman" w:cs="Times New Roman"/>
          <w:color w:val="000000" w:themeColor="text1"/>
          <w:sz w:val="24"/>
          <w:szCs w:val="24"/>
          <w:lang w:val="en-US"/>
        </w:rPr>
        <w:t>W</w:t>
      </w:r>
      <w:r w:rsidRPr="002C5DE1">
        <w:rPr>
          <w:rFonts w:ascii="Times New Roman" w:hAnsi="Times New Roman" w:cs="Times New Roman"/>
          <w:color w:val="000000" w:themeColor="text1"/>
          <w:sz w:val="24"/>
          <w:szCs w:val="24"/>
          <w:lang w:val="en-US"/>
        </w:rPr>
        <w:t xml:space="preserve">e may speculate that these estimated thresholds for the bubble and crisis periods may be considered as a signal of bubbles indicating the associated critical levels. </w:t>
      </w:r>
      <w:r w:rsidR="00CF38AF" w:rsidRPr="002C5DE1">
        <w:rPr>
          <w:rFonts w:ascii="Times New Roman" w:hAnsi="Times New Roman" w:cs="Times New Roman"/>
          <w:color w:val="000000" w:themeColor="text1"/>
          <w:sz w:val="24"/>
          <w:szCs w:val="24"/>
          <w:lang w:val="en-US"/>
        </w:rPr>
        <w:t>In this respect, we suggest that p</w:t>
      </w:r>
      <w:r w:rsidR="00A35E9A" w:rsidRPr="002C5DE1">
        <w:rPr>
          <w:rFonts w:ascii="Times New Roman" w:hAnsi="Times New Roman" w:cs="Times New Roman"/>
          <w:color w:val="000000" w:themeColor="text1"/>
          <w:sz w:val="24"/>
          <w:szCs w:val="24"/>
          <w:lang w:val="en-US"/>
        </w:rPr>
        <w:t>olicy-mak</w:t>
      </w:r>
      <w:r w:rsidR="00CF38AF" w:rsidRPr="002C5DE1">
        <w:rPr>
          <w:rFonts w:ascii="Times New Roman" w:hAnsi="Times New Roman" w:cs="Times New Roman"/>
          <w:color w:val="000000" w:themeColor="text1"/>
          <w:sz w:val="24"/>
          <w:szCs w:val="24"/>
          <w:lang w:val="en-US"/>
        </w:rPr>
        <w:t>ers should closely follow the dynamics affordability measurements</w:t>
      </w:r>
      <w:r w:rsidR="001F41D1" w:rsidRPr="002C5DE1">
        <w:rPr>
          <w:rFonts w:ascii="Times New Roman" w:hAnsi="Times New Roman" w:cs="Times New Roman"/>
          <w:color w:val="000000" w:themeColor="text1"/>
          <w:sz w:val="24"/>
          <w:szCs w:val="24"/>
          <w:lang w:val="en-US"/>
        </w:rPr>
        <w:t xml:space="preserve"> (i.e. HPI, housing affordability index)</w:t>
      </w:r>
      <w:r w:rsidR="00CF38AF" w:rsidRPr="002C5DE1">
        <w:rPr>
          <w:rFonts w:ascii="Times New Roman" w:hAnsi="Times New Roman" w:cs="Times New Roman"/>
          <w:color w:val="000000" w:themeColor="text1"/>
          <w:sz w:val="24"/>
          <w:szCs w:val="24"/>
          <w:lang w:val="en-US"/>
        </w:rPr>
        <w:t xml:space="preserve"> and financial deepening variables </w:t>
      </w:r>
      <w:r w:rsidR="001F41D1" w:rsidRPr="002C5DE1">
        <w:rPr>
          <w:rFonts w:ascii="Times New Roman" w:hAnsi="Times New Roman" w:cs="Times New Roman"/>
          <w:color w:val="000000" w:themeColor="text1"/>
          <w:sz w:val="24"/>
          <w:szCs w:val="24"/>
          <w:lang w:val="en-US"/>
        </w:rPr>
        <w:t xml:space="preserve">(from banking, stock market, and insurance sectors) </w:t>
      </w:r>
      <w:r w:rsidR="00777AAC" w:rsidRPr="002C5DE1">
        <w:rPr>
          <w:rFonts w:ascii="Times New Roman" w:hAnsi="Times New Roman" w:cs="Times New Roman"/>
          <w:color w:val="000000" w:themeColor="text1"/>
          <w:sz w:val="24"/>
          <w:szCs w:val="24"/>
          <w:lang w:val="en-US"/>
        </w:rPr>
        <w:t xml:space="preserve">as the early warning tools </w:t>
      </w:r>
      <w:r w:rsidR="00CF38AF" w:rsidRPr="002C5DE1">
        <w:rPr>
          <w:rFonts w:ascii="Times New Roman" w:hAnsi="Times New Roman" w:cs="Times New Roman"/>
          <w:color w:val="000000" w:themeColor="text1"/>
          <w:sz w:val="24"/>
          <w:szCs w:val="24"/>
          <w:lang w:val="en-US"/>
        </w:rPr>
        <w:t xml:space="preserve">to timely detect </w:t>
      </w:r>
      <w:r w:rsidR="009B4F29" w:rsidRPr="002C5DE1">
        <w:rPr>
          <w:rFonts w:ascii="Times New Roman" w:hAnsi="Times New Roman" w:cs="Times New Roman"/>
          <w:color w:val="000000" w:themeColor="text1"/>
          <w:sz w:val="24"/>
          <w:szCs w:val="24"/>
          <w:lang w:val="en-US"/>
        </w:rPr>
        <w:t xml:space="preserve">formation of </w:t>
      </w:r>
      <w:r w:rsidR="001F41D1" w:rsidRPr="002C5DE1">
        <w:rPr>
          <w:rFonts w:ascii="Times New Roman" w:hAnsi="Times New Roman" w:cs="Times New Roman"/>
          <w:color w:val="000000" w:themeColor="text1"/>
          <w:sz w:val="24"/>
          <w:szCs w:val="24"/>
          <w:lang w:val="en-US"/>
        </w:rPr>
        <w:t>asymmetries</w:t>
      </w:r>
      <w:r w:rsidR="009B4F29" w:rsidRPr="002C5DE1">
        <w:rPr>
          <w:rFonts w:ascii="Times New Roman" w:hAnsi="Times New Roman" w:cs="Times New Roman"/>
          <w:color w:val="000000" w:themeColor="text1"/>
          <w:sz w:val="24"/>
          <w:szCs w:val="24"/>
          <w:lang w:val="en-US"/>
        </w:rPr>
        <w:t xml:space="preserve"> </w:t>
      </w:r>
      <w:r w:rsidR="001F41D1" w:rsidRPr="002C5DE1">
        <w:rPr>
          <w:rFonts w:ascii="Times New Roman" w:hAnsi="Times New Roman" w:cs="Times New Roman"/>
          <w:color w:val="000000" w:themeColor="text1"/>
          <w:sz w:val="24"/>
          <w:szCs w:val="24"/>
          <w:lang w:val="en-US"/>
        </w:rPr>
        <w:t xml:space="preserve">in </w:t>
      </w:r>
      <w:r w:rsidR="009B4F29" w:rsidRPr="002C5DE1">
        <w:rPr>
          <w:rFonts w:ascii="Times New Roman" w:hAnsi="Times New Roman" w:cs="Times New Roman"/>
          <w:color w:val="000000" w:themeColor="text1"/>
          <w:sz w:val="24"/>
          <w:szCs w:val="24"/>
          <w:lang w:val="en-US"/>
        </w:rPr>
        <w:t>wealth effect</w:t>
      </w:r>
      <w:r w:rsidR="001F41D1" w:rsidRPr="002C5DE1">
        <w:rPr>
          <w:rFonts w:ascii="Times New Roman" w:hAnsi="Times New Roman" w:cs="Times New Roman"/>
          <w:color w:val="000000" w:themeColor="text1"/>
          <w:sz w:val="24"/>
          <w:szCs w:val="24"/>
          <w:lang w:val="en-US"/>
        </w:rPr>
        <w:t xml:space="preserve"> and potential price bubbles</w:t>
      </w:r>
      <w:r w:rsidR="009B4F29" w:rsidRPr="002C5DE1">
        <w:rPr>
          <w:rFonts w:ascii="Times New Roman" w:hAnsi="Times New Roman" w:cs="Times New Roman"/>
          <w:color w:val="000000" w:themeColor="text1"/>
          <w:sz w:val="24"/>
          <w:szCs w:val="24"/>
          <w:lang w:val="en-US"/>
        </w:rPr>
        <w:t>.</w:t>
      </w:r>
    </w:p>
    <w:p w14:paraId="4CBDEBCD" w14:textId="77777777" w:rsidR="004664CC" w:rsidRPr="002C5DE1" w:rsidRDefault="004664CC" w:rsidP="008E588C">
      <w:pPr>
        <w:pStyle w:val="CommentText"/>
        <w:spacing w:before="120" w:after="120" w:line="276" w:lineRule="auto"/>
        <w:ind w:firstLine="357"/>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 xml:space="preserve">Housing wealth has a greater positive effect on household consumption vis-a-vis the effect of stock </w:t>
      </w:r>
      <w:r w:rsidR="00F06517" w:rsidRPr="002C5DE1">
        <w:rPr>
          <w:rFonts w:ascii="Times New Roman" w:hAnsi="Times New Roman" w:cs="Times New Roman"/>
          <w:color w:val="000000" w:themeColor="text1"/>
          <w:sz w:val="24"/>
          <w:szCs w:val="24"/>
          <w:lang w:val="en-US"/>
        </w:rPr>
        <w:t xml:space="preserve">market </w:t>
      </w:r>
      <w:r w:rsidRPr="002C5DE1">
        <w:rPr>
          <w:rFonts w:ascii="Times New Roman" w:hAnsi="Times New Roman" w:cs="Times New Roman"/>
          <w:color w:val="000000" w:themeColor="text1"/>
          <w:sz w:val="24"/>
          <w:szCs w:val="24"/>
          <w:lang w:val="en-US"/>
        </w:rPr>
        <w:t>wealth during the entire and post GFC periods in both threshold criteria. Therefore, the findings suggest that the positive housing wealth effect scenario is also in accord</w:t>
      </w:r>
      <w:r w:rsidR="00F06517" w:rsidRPr="002C5DE1">
        <w:rPr>
          <w:rFonts w:ascii="Times New Roman" w:hAnsi="Times New Roman" w:cs="Times New Roman"/>
          <w:color w:val="000000" w:themeColor="text1"/>
          <w:sz w:val="24"/>
          <w:szCs w:val="24"/>
          <w:lang w:val="en-US"/>
        </w:rPr>
        <w:t>ance</w:t>
      </w:r>
      <w:r w:rsidRPr="002C5DE1">
        <w:rPr>
          <w:rFonts w:ascii="Times New Roman" w:hAnsi="Times New Roman" w:cs="Times New Roman"/>
          <w:color w:val="000000" w:themeColor="text1"/>
          <w:sz w:val="24"/>
          <w:szCs w:val="24"/>
          <w:lang w:val="en-US"/>
        </w:rPr>
        <w:t xml:space="preserve"> with our case. Accordingly, following the rise in house prices, household</w:t>
      </w:r>
      <w:r w:rsidR="00F06517" w:rsidRPr="002C5DE1">
        <w:rPr>
          <w:rFonts w:ascii="Times New Roman" w:hAnsi="Times New Roman" w:cs="Times New Roman"/>
          <w:color w:val="000000" w:themeColor="text1"/>
          <w:sz w:val="24"/>
          <w:szCs w:val="24"/>
          <w:lang w:val="en-US"/>
        </w:rPr>
        <w:t>s’</w:t>
      </w:r>
      <w:r w:rsidRPr="002C5DE1">
        <w:rPr>
          <w:rFonts w:ascii="Times New Roman" w:hAnsi="Times New Roman" w:cs="Times New Roman"/>
          <w:color w:val="000000" w:themeColor="text1"/>
          <w:sz w:val="24"/>
          <w:szCs w:val="24"/>
          <w:lang w:val="en-US"/>
        </w:rPr>
        <w:t xml:space="preserve"> wealth (through additional credit line or capital gains from housing investment), consumption, and economic growth increase subsequently. On the other hand, easing credit constraint</w:t>
      </w:r>
      <w:r w:rsidR="00F06517" w:rsidRPr="002C5DE1">
        <w:rPr>
          <w:rFonts w:ascii="Times New Roman" w:hAnsi="Times New Roman" w:cs="Times New Roman"/>
          <w:color w:val="000000" w:themeColor="text1"/>
          <w:sz w:val="24"/>
          <w:szCs w:val="24"/>
          <w:lang w:val="en-US"/>
        </w:rPr>
        <w:t>s</w:t>
      </w:r>
      <w:r w:rsidRPr="002C5DE1">
        <w:rPr>
          <w:rFonts w:ascii="Times New Roman" w:hAnsi="Times New Roman" w:cs="Times New Roman"/>
          <w:color w:val="000000" w:themeColor="text1"/>
          <w:sz w:val="24"/>
          <w:szCs w:val="24"/>
          <w:lang w:val="en-US"/>
        </w:rPr>
        <w:t xml:space="preserve"> and fast securitization may implicitly cause an increase in primary/secondary mortgage market risks in the given circumstances. However, the magnitudes and primary channels of wealth effects vary in sub-periods, depending on the selected threshold criterion. In this respect, while FD (HW above) threshold criterion suggests that housing wealth was the primary wealth effect channel, the HPI threshold suggests that stock wealth was the primary channel during both bubble periods. </w:t>
      </w:r>
      <w:r w:rsidR="00F06517" w:rsidRPr="002C5DE1">
        <w:rPr>
          <w:rFonts w:ascii="Times New Roman" w:hAnsi="Times New Roman" w:cs="Times New Roman"/>
          <w:color w:val="000000" w:themeColor="text1"/>
          <w:sz w:val="24"/>
          <w:szCs w:val="24"/>
          <w:lang w:val="en-US"/>
        </w:rPr>
        <w:t>Nevertheless</w:t>
      </w:r>
      <w:r w:rsidRPr="002C5DE1">
        <w:rPr>
          <w:rFonts w:ascii="Times New Roman" w:hAnsi="Times New Roman" w:cs="Times New Roman"/>
          <w:color w:val="000000" w:themeColor="text1"/>
          <w:sz w:val="24"/>
          <w:szCs w:val="24"/>
          <w:lang w:val="en-US"/>
        </w:rPr>
        <w:t>, even if the stock wealth would be the stronger effect, according to HPI thresholds, housing wealth was still sizable and very close to it. This result also confirms the importance of housing wealth during bubble periods.</w:t>
      </w:r>
      <w:r w:rsidR="001F41D1" w:rsidRPr="002C5DE1">
        <w:rPr>
          <w:rFonts w:ascii="Times New Roman" w:hAnsi="Times New Roman" w:cs="Times New Roman"/>
          <w:color w:val="000000" w:themeColor="text1"/>
          <w:sz w:val="24"/>
          <w:szCs w:val="24"/>
          <w:lang w:val="en-US"/>
        </w:rPr>
        <w:t xml:space="preserve"> The policy implications of this evidence are in line with the existing discussions in the literature. We briefly suggest that </w:t>
      </w:r>
      <w:r w:rsidR="007F4216" w:rsidRPr="002C5DE1">
        <w:rPr>
          <w:rFonts w:ascii="Times New Roman" w:hAnsi="Times New Roman" w:cs="Times New Roman"/>
          <w:color w:val="000000" w:themeColor="text1"/>
          <w:sz w:val="24"/>
          <w:szCs w:val="24"/>
          <w:lang w:val="en-US"/>
        </w:rPr>
        <w:t xml:space="preserve">policy makers should aware of </w:t>
      </w:r>
      <w:r w:rsidR="00F32D49" w:rsidRPr="002C5DE1">
        <w:rPr>
          <w:rFonts w:ascii="Times New Roman" w:hAnsi="Times New Roman" w:cs="Times New Roman"/>
          <w:color w:val="000000" w:themeColor="text1"/>
          <w:sz w:val="24"/>
          <w:szCs w:val="24"/>
          <w:lang w:val="en-US"/>
        </w:rPr>
        <w:t>the</w:t>
      </w:r>
      <w:r w:rsidR="000564B9" w:rsidRPr="002C5DE1">
        <w:rPr>
          <w:rFonts w:ascii="Times New Roman" w:hAnsi="Times New Roman" w:cs="Times New Roman"/>
          <w:color w:val="000000" w:themeColor="text1"/>
          <w:sz w:val="24"/>
          <w:szCs w:val="24"/>
          <w:lang w:val="en-US"/>
        </w:rPr>
        <w:t xml:space="preserve"> asymmetric impacts of housing/financial wealth effect</w:t>
      </w:r>
      <w:r w:rsidR="00B927EE" w:rsidRPr="002C5DE1">
        <w:rPr>
          <w:rFonts w:ascii="Times New Roman" w:hAnsi="Times New Roman" w:cs="Times New Roman"/>
          <w:color w:val="000000" w:themeColor="text1"/>
          <w:sz w:val="24"/>
          <w:szCs w:val="24"/>
          <w:lang w:val="en-US"/>
        </w:rPr>
        <w:t>s</w:t>
      </w:r>
      <w:r w:rsidR="000564B9" w:rsidRPr="002C5DE1">
        <w:rPr>
          <w:rFonts w:ascii="Times New Roman" w:hAnsi="Times New Roman" w:cs="Times New Roman"/>
          <w:color w:val="000000" w:themeColor="text1"/>
          <w:sz w:val="24"/>
          <w:szCs w:val="24"/>
          <w:lang w:val="en-US"/>
        </w:rPr>
        <w:t xml:space="preserve"> during different stages of the economy. Although it is difficult to manage wealth effect-related macroeconomic variables, policy makers may note that easing credit conditions in housing and stock market</w:t>
      </w:r>
      <w:r w:rsidR="00B927EE" w:rsidRPr="002C5DE1">
        <w:rPr>
          <w:rFonts w:ascii="Times New Roman" w:hAnsi="Times New Roman" w:cs="Times New Roman"/>
          <w:color w:val="000000" w:themeColor="text1"/>
          <w:sz w:val="24"/>
          <w:szCs w:val="24"/>
          <w:lang w:val="en-US"/>
        </w:rPr>
        <w:t xml:space="preserve"> may eventually contribute</w:t>
      </w:r>
      <w:r w:rsidR="00D80315" w:rsidRPr="002C5DE1">
        <w:rPr>
          <w:rFonts w:ascii="Times New Roman" w:hAnsi="Times New Roman" w:cs="Times New Roman"/>
          <w:color w:val="000000" w:themeColor="text1"/>
          <w:sz w:val="24"/>
          <w:szCs w:val="24"/>
          <w:lang w:val="en-US"/>
        </w:rPr>
        <w:t xml:space="preserve"> to</w:t>
      </w:r>
      <w:r w:rsidR="00B927EE" w:rsidRPr="002C5DE1">
        <w:rPr>
          <w:rFonts w:ascii="Times New Roman" w:hAnsi="Times New Roman" w:cs="Times New Roman"/>
          <w:color w:val="000000" w:themeColor="text1"/>
          <w:sz w:val="24"/>
          <w:szCs w:val="24"/>
          <w:lang w:val="en-US"/>
        </w:rPr>
        <w:t xml:space="preserve"> the several wealth effects risks.</w:t>
      </w:r>
      <w:r w:rsidR="000564B9" w:rsidRPr="002C5DE1">
        <w:rPr>
          <w:rFonts w:ascii="Times New Roman" w:hAnsi="Times New Roman" w:cs="Times New Roman"/>
          <w:color w:val="000000" w:themeColor="text1"/>
          <w:sz w:val="24"/>
          <w:szCs w:val="24"/>
          <w:lang w:val="en-US"/>
        </w:rPr>
        <w:t xml:space="preserve"> </w:t>
      </w:r>
    </w:p>
    <w:p w14:paraId="2D0BE28D" w14:textId="77777777" w:rsidR="004664CC" w:rsidRPr="002C5DE1" w:rsidRDefault="004664CC" w:rsidP="001F7AAE">
      <w:pPr>
        <w:pStyle w:val="CommentText"/>
        <w:spacing w:before="120" w:after="0" w:line="276" w:lineRule="auto"/>
        <w:ind w:firstLine="708"/>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Similarly</w:t>
      </w:r>
      <w:r w:rsidR="00FD4117" w:rsidRPr="002C5DE1">
        <w:rPr>
          <w:rFonts w:ascii="Times New Roman" w:hAnsi="Times New Roman" w:cs="Times New Roman"/>
          <w:color w:val="000000" w:themeColor="text1"/>
          <w:sz w:val="24"/>
          <w:szCs w:val="24"/>
          <w:lang w:val="en-US"/>
        </w:rPr>
        <w:t>,</w:t>
      </w:r>
      <w:r w:rsidRPr="002C5DE1">
        <w:rPr>
          <w:rFonts w:ascii="Times New Roman" w:hAnsi="Times New Roman" w:cs="Times New Roman"/>
          <w:color w:val="000000" w:themeColor="text1"/>
          <w:sz w:val="24"/>
          <w:szCs w:val="24"/>
          <w:lang w:val="en-US"/>
        </w:rPr>
        <w:t xml:space="preserve"> the impact of income on consumption, the impact of housing and stock market wealth has increased during the dot.com bubble period, vis-à-vis the entire sample period and the other sub-periods. Increases in stock wealth are particularly higher</w:t>
      </w:r>
      <w:r w:rsidR="00F06517" w:rsidRPr="002C5DE1">
        <w:rPr>
          <w:rFonts w:ascii="Times New Roman" w:hAnsi="Times New Roman" w:cs="Times New Roman"/>
          <w:color w:val="000000" w:themeColor="text1"/>
          <w:sz w:val="24"/>
          <w:szCs w:val="24"/>
          <w:lang w:val="en-US"/>
        </w:rPr>
        <w:t>,</w:t>
      </w:r>
      <w:r w:rsidRPr="002C5DE1">
        <w:rPr>
          <w:rFonts w:ascii="Times New Roman" w:hAnsi="Times New Roman" w:cs="Times New Roman"/>
          <w:color w:val="000000" w:themeColor="text1"/>
          <w:sz w:val="24"/>
          <w:szCs w:val="24"/>
          <w:lang w:val="en-US"/>
        </w:rPr>
        <w:t xml:space="preserve"> which suggests that bubble periods have specifically </w:t>
      </w:r>
      <w:r w:rsidR="00F06517" w:rsidRPr="002C5DE1">
        <w:rPr>
          <w:rFonts w:ascii="Times New Roman" w:hAnsi="Times New Roman" w:cs="Times New Roman"/>
          <w:color w:val="000000" w:themeColor="text1"/>
          <w:sz w:val="24"/>
          <w:szCs w:val="24"/>
          <w:lang w:val="en-US"/>
        </w:rPr>
        <w:t>made</w:t>
      </w:r>
      <w:r w:rsidRPr="002C5DE1">
        <w:rPr>
          <w:rFonts w:ascii="Times New Roman" w:hAnsi="Times New Roman" w:cs="Times New Roman"/>
          <w:color w:val="000000" w:themeColor="text1"/>
          <w:sz w:val="24"/>
          <w:szCs w:val="24"/>
          <w:lang w:val="en-US"/>
        </w:rPr>
        <w:t xml:space="preserve"> the stock wealth effect </w:t>
      </w:r>
      <w:r w:rsidR="00F06517" w:rsidRPr="002C5DE1">
        <w:rPr>
          <w:rFonts w:ascii="Times New Roman" w:hAnsi="Times New Roman" w:cs="Times New Roman"/>
          <w:color w:val="000000" w:themeColor="text1"/>
          <w:sz w:val="24"/>
          <w:szCs w:val="24"/>
          <w:lang w:val="en-US"/>
        </w:rPr>
        <w:t xml:space="preserve">stronger </w:t>
      </w:r>
      <w:r w:rsidRPr="002C5DE1">
        <w:rPr>
          <w:rFonts w:ascii="Times New Roman" w:hAnsi="Times New Roman" w:cs="Times New Roman"/>
          <w:color w:val="000000" w:themeColor="text1"/>
          <w:sz w:val="24"/>
          <w:szCs w:val="24"/>
          <w:lang w:val="en-US"/>
        </w:rPr>
        <w:t>as observed during the periods 2000-2003 and 2003-2007</w:t>
      </w:r>
      <w:r w:rsidR="00FD4117" w:rsidRPr="002C5DE1">
        <w:rPr>
          <w:rFonts w:ascii="Times New Roman" w:hAnsi="Times New Roman" w:cs="Times New Roman"/>
          <w:color w:val="000000" w:themeColor="text1"/>
          <w:sz w:val="24"/>
          <w:szCs w:val="24"/>
          <w:lang w:val="en-US"/>
        </w:rPr>
        <w:t>Q2</w:t>
      </w:r>
      <w:r w:rsidRPr="002C5DE1">
        <w:rPr>
          <w:rFonts w:ascii="Times New Roman" w:hAnsi="Times New Roman" w:cs="Times New Roman"/>
          <w:color w:val="000000" w:themeColor="text1"/>
          <w:sz w:val="24"/>
          <w:szCs w:val="24"/>
          <w:lang w:val="en-US"/>
        </w:rPr>
        <w:t>. Interestingly</w:t>
      </w:r>
      <w:r w:rsidR="00F06517" w:rsidRPr="002C5DE1">
        <w:rPr>
          <w:rFonts w:ascii="Times New Roman" w:hAnsi="Times New Roman" w:cs="Times New Roman"/>
          <w:color w:val="000000" w:themeColor="text1"/>
          <w:sz w:val="24"/>
          <w:szCs w:val="24"/>
          <w:lang w:val="en-US"/>
        </w:rPr>
        <w:t>,</w:t>
      </w:r>
      <w:r w:rsidRPr="002C5DE1">
        <w:rPr>
          <w:rFonts w:ascii="Times New Roman" w:hAnsi="Times New Roman" w:cs="Times New Roman"/>
          <w:color w:val="000000" w:themeColor="text1"/>
          <w:sz w:val="24"/>
          <w:szCs w:val="24"/>
          <w:lang w:val="en-US"/>
        </w:rPr>
        <w:t xml:space="preserve"> </w:t>
      </w:r>
      <w:r w:rsidR="00F06517" w:rsidRPr="002C5DE1">
        <w:rPr>
          <w:rFonts w:ascii="Times New Roman" w:hAnsi="Times New Roman" w:cs="Times New Roman"/>
          <w:color w:val="000000" w:themeColor="text1"/>
          <w:sz w:val="24"/>
          <w:szCs w:val="24"/>
          <w:lang w:val="en-US"/>
        </w:rPr>
        <w:t xml:space="preserve">the </w:t>
      </w:r>
      <w:r w:rsidRPr="002C5DE1">
        <w:rPr>
          <w:rFonts w:ascii="Times New Roman" w:hAnsi="Times New Roman" w:cs="Times New Roman"/>
          <w:color w:val="000000" w:themeColor="text1"/>
          <w:sz w:val="24"/>
          <w:szCs w:val="24"/>
          <w:lang w:val="en-US"/>
        </w:rPr>
        <w:t xml:space="preserve">housing wealth effect is insignificant and there is only a relatively small stock wealth effect during the GFC period. This may be explained by </w:t>
      </w:r>
      <w:r w:rsidR="00F06517" w:rsidRPr="002C5DE1">
        <w:rPr>
          <w:rFonts w:ascii="Times New Roman" w:hAnsi="Times New Roman" w:cs="Times New Roman"/>
          <w:color w:val="000000" w:themeColor="text1"/>
          <w:sz w:val="24"/>
          <w:szCs w:val="24"/>
          <w:lang w:val="en-US"/>
        </w:rPr>
        <w:t xml:space="preserve">the </w:t>
      </w:r>
      <w:r w:rsidRPr="002C5DE1">
        <w:rPr>
          <w:rFonts w:ascii="Times New Roman" w:hAnsi="Times New Roman" w:cs="Times New Roman"/>
          <w:color w:val="000000" w:themeColor="text1"/>
          <w:sz w:val="24"/>
          <w:szCs w:val="24"/>
          <w:lang w:val="en-US"/>
        </w:rPr>
        <w:t xml:space="preserve">increasing uncertainty during </w:t>
      </w:r>
      <w:r w:rsidR="00F06517" w:rsidRPr="002C5DE1">
        <w:rPr>
          <w:rFonts w:ascii="Times New Roman" w:hAnsi="Times New Roman" w:cs="Times New Roman"/>
          <w:color w:val="000000" w:themeColor="text1"/>
          <w:sz w:val="24"/>
          <w:szCs w:val="24"/>
          <w:lang w:val="en-US"/>
        </w:rPr>
        <w:t xml:space="preserve">this </w:t>
      </w:r>
      <w:r w:rsidRPr="002C5DE1">
        <w:rPr>
          <w:rFonts w:ascii="Times New Roman" w:hAnsi="Times New Roman" w:cs="Times New Roman"/>
          <w:color w:val="000000" w:themeColor="text1"/>
          <w:sz w:val="24"/>
          <w:szCs w:val="24"/>
          <w:lang w:val="en-US"/>
        </w:rPr>
        <w:t xml:space="preserve">specific crisis period and it might have been resulted in a higher </w:t>
      </w:r>
      <w:r w:rsidRPr="002C5DE1">
        <w:rPr>
          <w:rFonts w:ascii="Times New Roman" w:hAnsi="Times New Roman" w:cs="Times New Roman"/>
          <w:color w:val="000000" w:themeColor="text1"/>
          <w:sz w:val="23"/>
          <w:szCs w:val="23"/>
          <w:lang w:val="en-US"/>
        </w:rPr>
        <w:t xml:space="preserve">liquidity-preference and hence </w:t>
      </w:r>
      <w:r w:rsidR="00F06517" w:rsidRPr="002C5DE1">
        <w:rPr>
          <w:rFonts w:ascii="Times New Roman" w:hAnsi="Times New Roman" w:cs="Times New Roman"/>
          <w:color w:val="000000" w:themeColor="text1"/>
          <w:sz w:val="23"/>
          <w:szCs w:val="23"/>
          <w:lang w:val="en-US"/>
        </w:rPr>
        <w:t xml:space="preserve">a </w:t>
      </w:r>
      <w:r w:rsidRPr="002C5DE1">
        <w:rPr>
          <w:rFonts w:ascii="Times New Roman" w:hAnsi="Times New Roman" w:cs="Times New Roman"/>
          <w:color w:val="000000" w:themeColor="text1"/>
          <w:sz w:val="24"/>
          <w:szCs w:val="24"/>
          <w:lang w:val="en-US"/>
        </w:rPr>
        <w:t xml:space="preserve">negative impact on </w:t>
      </w:r>
      <w:r w:rsidR="00AA1AF1" w:rsidRPr="002C5DE1">
        <w:rPr>
          <w:rFonts w:ascii="Times New Roman" w:hAnsi="Times New Roman" w:cs="Times New Roman"/>
          <w:color w:val="000000" w:themeColor="text1"/>
          <w:sz w:val="24"/>
          <w:szCs w:val="24"/>
          <w:lang w:val="en-US"/>
        </w:rPr>
        <w:t xml:space="preserve">the </w:t>
      </w:r>
      <w:r w:rsidRPr="002C5DE1">
        <w:rPr>
          <w:rFonts w:ascii="Times New Roman" w:hAnsi="Times New Roman" w:cs="Times New Roman"/>
          <w:color w:val="000000" w:themeColor="text1"/>
          <w:sz w:val="24"/>
          <w:szCs w:val="24"/>
          <w:lang w:val="en-US"/>
        </w:rPr>
        <w:t>wealth effect related consumption.</w:t>
      </w:r>
      <w:r w:rsidRPr="002C5DE1">
        <w:rPr>
          <w:rStyle w:val="FootnoteReference"/>
          <w:rFonts w:ascii="Times New Roman" w:hAnsi="Times New Roman" w:cs="Times New Roman"/>
          <w:color w:val="000000" w:themeColor="text1"/>
          <w:sz w:val="24"/>
          <w:szCs w:val="24"/>
          <w:lang w:val="en-US"/>
        </w:rPr>
        <w:footnoteReference w:id="13"/>
      </w:r>
      <w:r w:rsidR="00B927EE" w:rsidRPr="002C5DE1">
        <w:rPr>
          <w:rFonts w:ascii="Times New Roman" w:hAnsi="Times New Roman" w:cs="Times New Roman"/>
          <w:color w:val="000000" w:themeColor="text1"/>
          <w:sz w:val="24"/>
          <w:szCs w:val="24"/>
          <w:lang w:val="en-US"/>
        </w:rPr>
        <w:t xml:space="preserve"> As the policy implication, we suggest that policy-makers in developed markets </w:t>
      </w:r>
      <w:r w:rsidR="0033221E" w:rsidRPr="002C5DE1">
        <w:rPr>
          <w:rFonts w:ascii="Times New Roman" w:hAnsi="Times New Roman" w:cs="Times New Roman"/>
          <w:color w:val="000000" w:themeColor="text1"/>
          <w:sz w:val="24"/>
          <w:szCs w:val="24"/>
          <w:lang w:val="en-US"/>
        </w:rPr>
        <w:t>should be careful on the downside risks of positive stock market wealth effects. In this respect, although it does not look like a</w:t>
      </w:r>
      <w:r w:rsidR="00FB54CA" w:rsidRPr="002C5DE1">
        <w:rPr>
          <w:rFonts w:ascii="Times New Roman" w:hAnsi="Times New Roman" w:cs="Times New Roman"/>
          <w:color w:val="000000" w:themeColor="text1"/>
          <w:sz w:val="24"/>
          <w:szCs w:val="24"/>
          <w:lang w:val="en-US"/>
        </w:rPr>
        <w:t xml:space="preserve"> politically correct or financially</w:t>
      </w:r>
      <w:r w:rsidR="0033221E" w:rsidRPr="002C5DE1">
        <w:rPr>
          <w:rFonts w:ascii="Times New Roman" w:hAnsi="Times New Roman" w:cs="Times New Roman"/>
          <w:color w:val="000000" w:themeColor="text1"/>
          <w:sz w:val="24"/>
          <w:szCs w:val="24"/>
          <w:lang w:val="en-US"/>
        </w:rPr>
        <w:t xml:space="preserve"> attractive policy goal, cooling </w:t>
      </w:r>
      <w:r w:rsidR="0033221E" w:rsidRPr="002C5DE1">
        <w:rPr>
          <w:rFonts w:ascii="Times New Roman" w:hAnsi="Times New Roman" w:cs="Times New Roman"/>
          <w:color w:val="000000" w:themeColor="text1"/>
          <w:sz w:val="24"/>
          <w:szCs w:val="24"/>
          <w:lang w:val="en-US"/>
        </w:rPr>
        <w:lastRenderedPageBreak/>
        <w:t xml:space="preserve">stock markets </w:t>
      </w:r>
      <w:r w:rsidR="00FB54CA" w:rsidRPr="002C5DE1">
        <w:rPr>
          <w:rFonts w:ascii="Times New Roman" w:hAnsi="Times New Roman" w:cs="Times New Roman"/>
          <w:color w:val="000000" w:themeColor="text1"/>
          <w:sz w:val="24"/>
          <w:szCs w:val="24"/>
          <w:lang w:val="en-US"/>
        </w:rPr>
        <w:t xml:space="preserve">before </w:t>
      </w:r>
      <w:r w:rsidR="006C5232" w:rsidRPr="002C5DE1">
        <w:rPr>
          <w:rFonts w:ascii="Times New Roman" w:hAnsi="Times New Roman" w:cs="Times New Roman"/>
          <w:color w:val="000000" w:themeColor="text1"/>
          <w:sz w:val="24"/>
          <w:szCs w:val="24"/>
          <w:lang w:val="en-US"/>
        </w:rPr>
        <w:t>their</w:t>
      </w:r>
      <w:r w:rsidR="00FB54CA" w:rsidRPr="002C5DE1">
        <w:rPr>
          <w:rFonts w:ascii="Times New Roman" w:hAnsi="Times New Roman" w:cs="Times New Roman"/>
          <w:color w:val="000000" w:themeColor="text1"/>
          <w:sz w:val="24"/>
          <w:szCs w:val="24"/>
          <w:lang w:val="en-US"/>
        </w:rPr>
        <w:t xml:space="preserve"> </w:t>
      </w:r>
      <w:r w:rsidR="006C5232" w:rsidRPr="002C5DE1">
        <w:rPr>
          <w:rFonts w:ascii="Times New Roman" w:hAnsi="Times New Roman" w:cs="Times New Roman"/>
          <w:color w:val="000000" w:themeColor="text1"/>
          <w:sz w:val="24"/>
          <w:szCs w:val="24"/>
          <w:lang w:val="en-US"/>
        </w:rPr>
        <w:t>peaks seem to</w:t>
      </w:r>
      <w:r w:rsidR="002B4725" w:rsidRPr="002C5DE1">
        <w:rPr>
          <w:rFonts w:ascii="Times New Roman" w:hAnsi="Times New Roman" w:cs="Times New Roman"/>
          <w:color w:val="000000" w:themeColor="text1"/>
          <w:sz w:val="24"/>
          <w:szCs w:val="24"/>
          <w:lang w:val="en-US"/>
        </w:rPr>
        <w:t xml:space="preserve"> be</w:t>
      </w:r>
      <w:r w:rsidR="006C5232" w:rsidRPr="002C5DE1">
        <w:rPr>
          <w:rFonts w:ascii="Times New Roman" w:hAnsi="Times New Roman" w:cs="Times New Roman"/>
          <w:color w:val="000000" w:themeColor="text1"/>
          <w:sz w:val="24"/>
          <w:szCs w:val="24"/>
          <w:lang w:val="en-US"/>
        </w:rPr>
        <w:t xml:space="preserve"> the best policy </w:t>
      </w:r>
      <w:r w:rsidR="00A939FC" w:rsidRPr="002C5DE1">
        <w:rPr>
          <w:rFonts w:ascii="Times New Roman" w:hAnsi="Times New Roman" w:cs="Times New Roman"/>
          <w:color w:val="000000" w:themeColor="text1"/>
          <w:sz w:val="24"/>
          <w:szCs w:val="24"/>
          <w:lang w:val="en-US"/>
        </w:rPr>
        <w:t>option to</w:t>
      </w:r>
      <w:r w:rsidR="001F7AAE" w:rsidRPr="002C5DE1">
        <w:rPr>
          <w:rFonts w:ascii="Times New Roman" w:hAnsi="Times New Roman" w:cs="Times New Roman"/>
          <w:color w:val="000000" w:themeColor="text1"/>
          <w:sz w:val="24"/>
          <w:szCs w:val="24"/>
          <w:lang w:val="en-US"/>
        </w:rPr>
        <w:t xml:space="preserve"> support less asymmetric responses of income and wealth effect components. </w:t>
      </w:r>
    </w:p>
    <w:p w14:paraId="3BFF1536" w14:textId="77777777" w:rsidR="004664CC" w:rsidRPr="002C5DE1" w:rsidRDefault="00AC7A2C" w:rsidP="008E588C">
      <w:pPr>
        <w:pStyle w:val="Heading3"/>
        <w:spacing w:before="120" w:after="120"/>
        <w:rPr>
          <w:rFonts w:ascii="Times New Roman" w:hAnsi="Times New Roman" w:cs="Times New Roman"/>
          <w:b/>
          <w:i/>
          <w:color w:val="000000" w:themeColor="text1"/>
          <w:lang w:val="en-US"/>
        </w:rPr>
      </w:pPr>
      <w:r w:rsidRPr="002C5DE1">
        <w:rPr>
          <w:rFonts w:ascii="Times New Roman" w:hAnsi="Times New Roman" w:cs="Times New Roman"/>
          <w:b/>
          <w:i/>
          <w:color w:val="000000" w:themeColor="text1"/>
          <w:lang w:val="en-US"/>
        </w:rPr>
        <w:t xml:space="preserve">5.3.3. </w:t>
      </w:r>
      <w:r w:rsidR="00700218" w:rsidRPr="002C5DE1">
        <w:rPr>
          <w:rFonts w:ascii="Times New Roman" w:hAnsi="Times New Roman" w:cs="Times New Roman"/>
          <w:b/>
          <w:i/>
          <w:color w:val="000000" w:themeColor="text1"/>
          <w:lang w:val="en-US"/>
        </w:rPr>
        <w:t>Behavioral</w:t>
      </w:r>
      <w:r w:rsidR="00455018" w:rsidRPr="002C5DE1">
        <w:rPr>
          <w:rFonts w:ascii="Times New Roman" w:hAnsi="Times New Roman" w:cs="Times New Roman"/>
          <w:b/>
          <w:i/>
          <w:color w:val="000000" w:themeColor="text1"/>
          <w:lang w:val="en-US"/>
        </w:rPr>
        <w:t xml:space="preserve"> change</w:t>
      </w:r>
      <w:r w:rsidR="00AA1AF1" w:rsidRPr="002C5DE1">
        <w:rPr>
          <w:rFonts w:ascii="Times New Roman" w:hAnsi="Times New Roman" w:cs="Times New Roman"/>
          <w:b/>
          <w:i/>
          <w:color w:val="000000" w:themeColor="text1"/>
          <w:lang w:val="en-US"/>
        </w:rPr>
        <w:t>s</w:t>
      </w:r>
      <w:r w:rsidR="00455018" w:rsidRPr="002C5DE1">
        <w:rPr>
          <w:rFonts w:ascii="Times New Roman" w:hAnsi="Times New Roman" w:cs="Times New Roman"/>
          <w:b/>
          <w:i/>
          <w:color w:val="000000" w:themeColor="text1"/>
          <w:lang w:val="en-US"/>
        </w:rPr>
        <w:t xml:space="preserve"> in consumption patterns</w:t>
      </w:r>
    </w:p>
    <w:p w14:paraId="43DD983A" w14:textId="77777777" w:rsidR="00C22A42" w:rsidRPr="002C5DE1" w:rsidRDefault="00861513" w:rsidP="00455018">
      <w:pPr>
        <w:spacing w:before="120" w:after="120"/>
        <w:ind w:firstLine="357"/>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In comparison with dot.com bubble and housing bubble periods,</w:t>
      </w:r>
      <w:r w:rsidR="00050CC8" w:rsidRPr="002C5DE1">
        <w:rPr>
          <w:rFonts w:ascii="Times New Roman" w:hAnsi="Times New Roman" w:cs="Times New Roman"/>
          <w:color w:val="000000" w:themeColor="text1"/>
          <w:sz w:val="24"/>
          <w:szCs w:val="24"/>
          <w:lang w:val="en-US"/>
        </w:rPr>
        <w:t xml:space="preserve"> the coefficients which</w:t>
      </w:r>
      <w:r w:rsidR="001B7D51" w:rsidRPr="002C5DE1">
        <w:rPr>
          <w:rFonts w:ascii="Times New Roman" w:hAnsi="Times New Roman" w:cs="Times New Roman"/>
          <w:color w:val="000000" w:themeColor="text1"/>
          <w:sz w:val="24"/>
          <w:szCs w:val="24"/>
          <w:lang w:val="en-US"/>
        </w:rPr>
        <w:t xml:space="preserve"> denote</w:t>
      </w:r>
      <w:r w:rsidRPr="002C5DE1">
        <w:rPr>
          <w:rFonts w:ascii="Times New Roman" w:hAnsi="Times New Roman" w:cs="Times New Roman"/>
          <w:color w:val="000000" w:themeColor="text1"/>
          <w:sz w:val="24"/>
          <w:szCs w:val="24"/>
          <w:lang w:val="en-US"/>
        </w:rPr>
        <w:t xml:space="preserve"> the impact of income, housing wealth and stock wealth on consumption, are smaller in the post-GFC period.</w:t>
      </w:r>
      <w:r w:rsidR="001B7D51" w:rsidRPr="002C5DE1">
        <w:rPr>
          <w:rFonts w:ascii="Times New Roman" w:hAnsi="Times New Roman" w:cs="Times New Roman"/>
          <w:color w:val="000000" w:themeColor="text1"/>
          <w:sz w:val="24"/>
          <w:szCs w:val="24"/>
          <w:lang w:val="en-US"/>
        </w:rPr>
        <w:t xml:space="preserve"> Notwithstanding that the coefficients increased after </w:t>
      </w:r>
      <w:r w:rsidR="00AA1AF1" w:rsidRPr="002C5DE1">
        <w:rPr>
          <w:rFonts w:ascii="Times New Roman" w:hAnsi="Times New Roman" w:cs="Times New Roman"/>
          <w:color w:val="000000" w:themeColor="text1"/>
          <w:sz w:val="24"/>
          <w:szCs w:val="24"/>
          <w:lang w:val="en-US"/>
        </w:rPr>
        <w:t xml:space="preserve">the </w:t>
      </w:r>
      <w:r w:rsidR="001B7D51" w:rsidRPr="002C5DE1">
        <w:rPr>
          <w:rFonts w:ascii="Times New Roman" w:hAnsi="Times New Roman" w:cs="Times New Roman"/>
          <w:color w:val="000000" w:themeColor="text1"/>
          <w:sz w:val="24"/>
          <w:szCs w:val="24"/>
          <w:lang w:val="en-US"/>
        </w:rPr>
        <w:t>GFC period, they are smaller than the</w:t>
      </w:r>
      <w:r w:rsidR="00050CC8" w:rsidRPr="002C5DE1">
        <w:rPr>
          <w:rFonts w:ascii="Times New Roman" w:hAnsi="Times New Roman" w:cs="Times New Roman"/>
          <w:color w:val="000000" w:themeColor="text1"/>
          <w:sz w:val="24"/>
          <w:szCs w:val="24"/>
          <w:lang w:val="en-US"/>
        </w:rPr>
        <w:t>ir</w:t>
      </w:r>
      <w:r w:rsidR="001B7D51" w:rsidRPr="002C5DE1">
        <w:rPr>
          <w:rFonts w:ascii="Times New Roman" w:hAnsi="Times New Roman" w:cs="Times New Roman"/>
          <w:color w:val="000000" w:themeColor="text1"/>
          <w:sz w:val="24"/>
          <w:szCs w:val="24"/>
          <w:lang w:val="en-US"/>
        </w:rPr>
        <w:t xml:space="preserve"> levels in </w:t>
      </w:r>
      <w:r w:rsidR="00AA1AF1" w:rsidRPr="002C5DE1">
        <w:rPr>
          <w:rFonts w:ascii="Times New Roman" w:hAnsi="Times New Roman" w:cs="Times New Roman"/>
          <w:color w:val="000000" w:themeColor="text1"/>
          <w:sz w:val="24"/>
          <w:szCs w:val="24"/>
          <w:lang w:val="en-US"/>
        </w:rPr>
        <w:t xml:space="preserve">the </w:t>
      </w:r>
      <w:r w:rsidR="007E65A9" w:rsidRPr="002C5DE1">
        <w:rPr>
          <w:rFonts w:ascii="Times New Roman" w:hAnsi="Times New Roman" w:cs="Times New Roman"/>
          <w:color w:val="000000" w:themeColor="text1"/>
          <w:sz w:val="24"/>
          <w:szCs w:val="24"/>
          <w:lang w:val="en-US"/>
        </w:rPr>
        <w:t xml:space="preserve">aforementioned </w:t>
      </w:r>
      <w:r w:rsidR="001B7D51" w:rsidRPr="002C5DE1">
        <w:rPr>
          <w:rFonts w:ascii="Times New Roman" w:hAnsi="Times New Roman" w:cs="Times New Roman"/>
          <w:color w:val="000000" w:themeColor="text1"/>
          <w:sz w:val="24"/>
          <w:szCs w:val="24"/>
          <w:lang w:val="en-US"/>
        </w:rPr>
        <w:t>bubble periods</w:t>
      </w:r>
      <w:r w:rsidR="007E65A9" w:rsidRPr="002C5DE1">
        <w:rPr>
          <w:rFonts w:ascii="Times New Roman" w:hAnsi="Times New Roman" w:cs="Times New Roman"/>
          <w:color w:val="000000" w:themeColor="text1"/>
          <w:sz w:val="24"/>
          <w:szCs w:val="24"/>
          <w:lang w:val="en-US"/>
        </w:rPr>
        <w:t>.</w:t>
      </w:r>
      <w:r w:rsidR="001141A9" w:rsidRPr="002C5DE1">
        <w:rPr>
          <w:rFonts w:ascii="Times New Roman" w:hAnsi="Times New Roman" w:cs="Times New Roman"/>
          <w:color w:val="000000" w:themeColor="text1"/>
          <w:sz w:val="24"/>
          <w:szCs w:val="24"/>
          <w:lang w:val="en-US"/>
        </w:rPr>
        <w:t xml:space="preserve"> This evidence implies that </w:t>
      </w:r>
      <w:r w:rsidR="00AA1AF1" w:rsidRPr="002C5DE1">
        <w:rPr>
          <w:rFonts w:ascii="Times New Roman" w:hAnsi="Times New Roman" w:cs="Times New Roman"/>
          <w:color w:val="000000" w:themeColor="text1"/>
          <w:sz w:val="24"/>
          <w:szCs w:val="24"/>
          <w:lang w:val="en-US"/>
        </w:rPr>
        <w:t xml:space="preserve">the </w:t>
      </w:r>
      <w:r w:rsidR="001141A9" w:rsidRPr="002C5DE1">
        <w:rPr>
          <w:rFonts w:ascii="Times New Roman" w:hAnsi="Times New Roman" w:cs="Times New Roman"/>
          <w:color w:val="000000" w:themeColor="text1"/>
          <w:sz w:val="24"/>
          <w:szCs w:val="24"/>
          <w:lang w:val="en-US"/>
        </w:rPr>
        <w:t>marginal propensity to consume</w:t>
      </w:r>
      <w:r w:rsidR="007C2E92" w:rsidRPr="002C5DE1">
        <w:rPr>
          <w:rFonts w:ascii="Times New Roman" w:hAnsi="Times New Roman" w:cs="Times New Roman"/>
          <w:color w:val="000000" w:themeColor="text1"/>
          <w:sz w:val="24"/>
          <w:szCs w:val="24"/>
          <w:lang w:val="en-US"/>
        </w:rPr>
        <w:t xml:space="preserve"> (MPC)</w:t>
      </w:r>
      <w:r w:rsidR="001141A9" w:rsidRPr="002C5DE1">
        <w:rPr>
          <w:rFonts w:ascii="Times New Roman" w:hAnsi="Times New Roman" w:cs="Times New Roman"/>
          <w:color w:val="000000" w:themeColor="text1"/>
          <w:sz w:val="24"/>
          <w:szCs w:val="24"/>
          <w:lang w:val="en-US"/>
        </w:rPr>
        <w:t xml:space="preserve"> out of income and </w:t>
      </w:r>
      <w:r w:rsidR="00FD4117" w:rsidRPr="002C5DE1">
        <w:rPr>
          <w:rFonts w:ascii="Times New Roman" w:hAnsi="Times New Roman" w:cs="Times New Roman"/>
          <w:color w:val="000000" w:themeColor="text1"/>
          <w:sz w:val="24"/>
          <w:szCs w:val="24"/>
          <w:lang w:val="en-US"/>
        </w:rPr>
        <w:t xml:space="preserve">housing/financial </w:t>
      </w:r>
      <w:r w:rsidR="001141A9" w:rsidRPr="002C5DE1">
        <w:rPr>
          <w:rFonts w:ascii="Times New Roman" w:hAnsi="Times New Roman" w:cs="Times New Roman"/>
          <w:color w:val="000000" w:themeColor="text1"/>
          <w:sz w:val="24"/>
          <w:szCs w:val="24"/>
          <w:lang w:val="en-US"/>
        </w:rPr>
        <w:t xml:space="preserve">wealth has decreased after </w:t>
      </w:r>
      <w:r w:rsidR="009641C6">
        <w:rPr>
          <w:rFonts w:ascii="Times New Roman" w:hAnsi="Times New Roman" w:cs="Times New Roman"/>
          <w:color w:val="000000" w:themeColor="text1"/>
          <w:sz w:val="24"/>
          <w:szCs w:val="24"/>
          <w:lang w:val="en-US"/>
        </w:rPr>
        <w:t>GFC. In other words, MPC</w:t>
      </w:r>
      <w:r w:rsidR="00937841" w:rsidRPr="002C5DE1">
        <w:rPr>
          <w:rFonts w:ascii="Times New Roman" w:hAnsi="Times New Roman" w:cs="Times New Roman"/>
          <w:color w:val="000000" w:themeColor="text1"/>
          <w:sz w:val="24"/>
          <w:szCs w:val="24"/>
          <w:lang w:val="en-US"/>
        </w:rPr>
        <w:t xml:space="preserve"> levels</w:t>
      </w:r>
      <w:r w:rsidR="0031441F" w:rsidRPr="002C5DE1">
        <w:rPr>
          <w:rFonts w:ascii="Times New Roman" w:hAnsi="Times New Roman" w:cs="Times New Roman"/>
          <w:color w:val="000000" w:themeColor="text1"/>
          <w:sz w:val="24"/>
          <w:szCs w:val="24"/>
          <w:lang w:val="en-US"/>
        </w:rPr>
        <w:t xml:space="preserve"> </w:t>
      </w:r>
      <w:r w:rsidR="001141A9" w:rsidRPr="002C5DE1">
        <w:rPr>
          <w:rFonts w:ascii="Times New Roman" w:hAnsi="Times New Roman" w:cs="Times New Roman"/>
          <w:color w:val="000000" w:themeColor="text1"/>
          <w:sz w:val="24"/>
          <w:szCs w:val="24"/>
          <w:lang w:val="en-US"/>
        </w:rPr>
        <w:t>ha</w:t>
      </w:r>
      <w:r w:rsidR="00AA1AF1" w:rsidRPr="002C5DE1">
        <w:rPr>
          <w:rFonts w:ascii="Times New Roman" w:hAnsi="Times New Roman" w:cs="Times New Roman"/>
          <w:color w:val="000000" w:themeColor="text1"/>
          <w:sz w:val="24"/>
          <w:szCs w:val="24"/>
          <w:lang w:val="en-US"/>
        </w:rPr>
        <w:t xml:space="preserve">ve </w:t>
      </w:r>
      <w:r w:rsidR="001141A9" w:rsidRPr="002C5DE1">
        <w:rPr>
          <w:rFonts w:ascii="Times New Roman" w:hAnsi="Times New Roman" w:cs="Times New Roman"/>
          <w:color w:val="000000" w:themeColor="text1"/>
          <w:sz w:val="24"/>
          <w:szCs w:val="24"/>
          <w:lang w:val="en-US"/>
        </w:rPr>
        <w:t>n</w:t>
      </w:r>
      <w:r w:rsidR="00AA1AF1" w:rsidRPr="002C5DE1">
        <w:rPr>
          <w:rFonts w:ascii="Times New Roman" w:hAnsi="Times New Roman" w:cs="Times New Roman"/>
          <w:color w:val="000000" w:themeColor="text1"/>
          <w:sz w:val="24"/>
          <w:szCs w:val="24"/>
          <w:lang w:val="en-US"/>
        </w:rPr>
        <w:t>o</w:t>
      </w:r>
      <w:r w:rsidR="001141A9" w:rsidRPr="002C5DE1">
        <w:rPr>
          <w:rFonts w:ascii="Times New Roman" w:hAnsi="Times New Roman" w:cs="Times New Roman"/>
          <w:color w:val="000000" w:themeColor="text1"/>
          <w:sz w:val="24"/>
          <w:szCs w:val="24"/>
          <w:lang w:val="en-US"/>
        </w:rPr>
        <w:t xml:space="preserve">t increased to </w:t>
      </w:r>
      <w:r w:rsidR="00AA1AF1" w:rsidRPr="002C5DE1">
        <w:rPr>
          <w:rFonts w:ascii="Times New Roman" w:hAnsi="Times New Roman" w:cs="Times New Roman"/>
          <w:color w:val="000000" w:themeColor="text1"/>
          <w:sz w:val="24"/>
          <w:szCs w:val="24"/>
          <w:lang w:val="en-US"/>
        </w:rPr>
        <w:t>their</w:t>
      </w:r>
      <w:r w:rsidR="001141A9" w:rsidRPr="002C5DE1">
        <w:rPr>
          <w:rFonts w:ascii="Times New Roman" w:hAnsi="Times New Roman" w:cs="Times New Roman"/>
          <w:color w:val="000000" w:themeColor="text1"/>
          <w:sz w:val="24"/>
          <w:szCs w:val="24"/>
          <w:lang w:val="en-US"/>
        </w:rPr>
        <w:t xml:space="preserve"> pre-crisis levels. </w:t>
      </w:r>
      <w:r w:rsidR="008B656E" w:rsidRPr="002C5DE1">
        <w:rPr>
          <w:rFonts w:ascii="Times New Roman" w:hAnsi="Times New Roman" w:cs="Times New Roman"/>
          <w:color w:val="000000" w:themeColor="text1"/>
          <w:sz w:val="24"/>
          <w:szCs w:val="24"/>
          <w:lang w:val="en-US"/>
        </w:rPr>
        <w:t>This result may be explained from</w:t>
      </w:r>
      <w:r w:rsidR="00DB1F7A" w:rsidRPr="002C5DE1">
        <w:rPr>
          <w:rFonts w:ascii="Times New Roman" w:hAnsi="Times New Roman" w:cs="Times New Roman"/>
          <w:color w:val="000000" w:themeColor="text1"/>
          <w:sz w:val="24"/>
          <w:szCs w:val="24"/>
          <w:lang w:val="en-US"/>
        </w:rPr>
        <w:t xml:space="preserve"> a behavioral </w:t>
      </w:r>
      <w:r w:rsidR="008B656E" w:rsidRPr="002C5DE1">
        <w:rPr>
          <w:rFonts w:ascii="Times New Roman" w:hAnsi="Times New Roman" w:cs="Times New Roman"/>
          <w:color w:val="000000" w:themeColor="text1"/>
          <w:sz w:val="24"/>
          <w:szCs w:val="24"/>
          <w:lang w:val="en-US"/>
        </w:rPr>
        <w:t xml:space="preserve">perspective. </w:t>
      </w:r>
      <w:proofErr w:type="spellStart"/>
      <w:r w:rsidR="00B6110E" w:rsidRPr="002C5DE1">
        <w:rPr>
          <w:rFonts w:ascii="Times New Roman" w:hAnsi="Times New Roman" w:cs="Times New Roman"/>
          <w:color w:val="000000" w:themeColor="text1"/>
          <w:sz w:val="24"/>
          <w:szCs w:val="24"/>
          <w:lang w:val="en-US"/>
        </w:rPr>
        <w:t>Palley</w:t>
      </w:r>
      <w:proofErr w:type="spellEnd"/>
      <w:r w:rsidR="00B6110E" w:rsidRPr="002C5DE1">
        <w:rPr>
          <w:rFonts w:ascii="Times New Roman" w:hAnsi="Times New Roman" w:cs="Times New Roman"/>
          <w:color w:val="000000" w:themeColor="text1"/>
          <w:sz w:val="24"/>
          <w:szCs w:val="24"/>
          <w:lang w:val="en-US"/>
        </w:rPr>
        <w:t xml:space="preserve"> (2010) states that household consumption increases with increases in household income, but the increase is mitigated if the increase in household income raises a household’s relative income position. Therefore</w:t>
      </w:r>
      <w:r w:rsidR="00AA1AF1" w:rsidRPr="002C5DE1">
        <w:rPr>
          <w:rFonts w:ascii="Times New Roman" w:hAnsi="Times New Roman" w:cs="Times New Roman"/>
          <w:color w:val="000000" w:themeColor="text1"/>
          <w:sz w:val="24"/>
          <w:szCs w:val="24"/>
          <w:lang w:val="en-US"/>
        </w:rPr>
        <w:t>,</w:t>
      </w:r>
      <w:r w:rsidR="00B6110E" w:rsidRPr="002C5DE1">
        <w:rPr>
          <w:rFonts w:ascii="Times New Roman" w:hAnsi="Times New Roman" w:cs="Times New Roman"/>
          <w:color w:val="000000" w:themeColor="text1"/>
          <w:sz w:val="24"/>
          <w:szCs w:val="24"/>
          <w:lang w:val="en-US"/>
        </w:rPr>
        <w:t xml:space="preserve"> households’ MPC falls</w:t>
      </w:r>
      <w:r w:rsidR="00743F74" w:rsidRPr="002C5DE1">
        <w:rPr>
          <w:rFonts w:ascii="Times New Roman" w:hAnsi="Times New Roman" w:cs="Times New Roman"/>
          <w:color w:val="000000" w:themeColor="text1"/>
          <w:sz w:val="24"/>
          <w:szCs w:val="24"/>
          <w:lang w:val="en-US"/>
        </w:rPr>
        <w:t>,</w:t>
      </w:r>
      <w:r w:rsidR="00B6110E" w:rsidRPr="002C5DE1">
        <w:rPr>
          <w:rFonts w:ascii="Times New Roman" w:hAnsi="Times New Roman" w:cs="Times New Roman"/>
          <w:color w:val="000000" w:themeColor="text1"/>
          <w:sz w:val="24"/>
          <w:szCs w:val="24"/>
          <w:lang w:val="en-US"/>
        </w:rPr>
        <w:t xml:space="preserve"> </w:t>
      </w:r>
      <w:r w:rsidR="00743F74" w:rsidRPr="002C5DE1">
        <w:rPr>
          <w:rFonts w:ascii="Times New Roman" w:hAnsi="Times New Roman" w:cs="Times New Roman"/>
          <w:color w:val="000000" w:themeColor="text1"/>
          <w:sz w:val="24"/>
          <w:szCs w:val="24"/>
          <w:lang w:val="en-US"/>
        </w:rPr>
        <w:t>in other words doesn’t increase sufficiently, along with insufficient increase in</w:t>
      </w:r>
      <w:r w:rsidR="00B6110E" w:rsidRPr="002C5DE1">
        <w:rPr>
          <w:rFonts w:ascii="Times New Roman" w:hAnsi="Times New Roman" w:cs="Times New Roman"/>
          <w:color w:val="000000" w:themeColor="text1"/>
          <w:sz w:val="24"/>
          <w:szCs w:val="24"/>
          <w:lang w:val="en-US"/>
        </w:rPr>
        <w:t xml:space="preserve"> relati</w:t>
      </w:r>
      <w:r w:rsidR="00743F74" w:rsidRPr="002C5DE1">
        <w:rPr>
          <w:rFonts w:ascii="Times New Roman" w:hAnsi="Times New Roman" w:cs="Times New Roman"/>
          <w:color w:val="000000" w:themeColor="text1"/>
          <w:sz w:val="24"/>
          <w:szCs w:val="24"/>
          <w:lang w:val="en-US"/>
        </w:rPr>
        <w:t>ve permanent income (RPI).</w:t>
      </w:r>
      <w:r w:rsidR="00B6110E" w:rsidRPr="002C5DE1">
        <w:rPr>
          <w:rFonts w:ascii="Times New Roman" w:hAnsi="Times New Roman" w:cs="Times New Roman"/>
          <w:color w:val="000000" w:themeColor="text1"/>
          <w:sz w:val="24"/>
          <w:szCs w:val="24"/>
          <w:lang w:val="en-US"/>
        </w:rPr>
        <w:t xml:space="preserve"> This is explained in </w:t>
      </w:r>
      <w:proofErr w:type="spellStart"/>
      <w:r w:rsidR="00B6110E" w:rsidRPr="002C5DE1">
        <w:rPr>
          <w:rFonts w:ascii="Times New Roman" w:hAnsi="Times New Roman" w:cs="Times New Roman"/>
          <w:color w:val="000000" w:themeColor="text1"/>
          <w:sz w:val="24"/>
          <w:szCs w:val="24"/>
          <w:lang w:val="en-US"/>
        </w:rPr>
        <w:t>Duesenberry’s</w:t>
      </w:r>
      <w:proofErr w:type="spellEnd"/>
      <w:r w:rsidR="00B6110E" w:rsidRPr="002C5DE1">
        <w:rPr>
          <w:rFonts w:ascii="Times New Roman" w:hAnsi="Times New Roman" w:cs="Times New Roman"/>
          <w:color w:val="000000" w:themeColor="text1"/>
          <w:sz w:val="24"/>
          <w:szCs w:val="24"/>
          <w:lang w:val="en-US"/>
        </w:rPr>
        <w:t xml:space="preserve"> </w:t>
      </w:r>
      <w:r w:rsidR="00E30EC9" w:rsidRPr="002C5DE1">
        <w:rPr>
          <w:rFonts w:ascii="Times New Roman" w:hAnsi="Times New Roman" w:cs="Times New Roman"/>
          <w:color w:val="000000" w:themeColor="text1"/>
          <w:sz w:val="24"/>
          <w:szCs w:val="24"/>
          <w:lang w:val="en-US"/>
        </w:rPr>
        <w:t xml:space="preserve">(1949) </w:t>
      </w:r>
      <w:r w:rsidR="00B6110E" w:rsidRPr="002C5DE1">
        <w:rPr>
          <w:rFonts w:ascii="Times New Roman" w:hAnsi="Times New Roman" w:cs="Times New Roman"/>
          <w:color w:val="000000" w:themeColor="text1"/>
          <w:sz w:val="24"/>
          <w:szCs w:val="24"/>
          <w:lang w:val="en-US"/>
        </w:rPr>
        <w:t xml:space="preserve">consumption theory which suggests a distinction between absolute and relative income effects. </w:t>
      </w:r>
    </w:p>
    <w:p w14:paraId="2725BA38" w14:textId="77777777" w:rsidR="00421473" w:rsidRPr="002C5DE1" w:rsidRDefault="00B6110E" w:rsidP="001D1F4D">
      <w:pPr>
        <w:spacing w:before="120" w:after="120"/>
        <w:ind w:firstLine="357"/>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 xml:space="preserve">Empirical findings imply that households with higher income have </w:t>
      </w:r>
      <w:r w:rsidR="00AA1AF1" w:rsidRPr="002C5DE1">
        <w:rPr>
          <w:rFonts w:ascii="Times New Roman" w:hAnsi="Times New Roman" w:cs="Times New Roman"/>
          <w:color w:val="000000" w:themeColor="text1"/>
          <w:sz w:val="24"/>
          <w:szCs w:val="24"/>
          <w:lang w:val="en-US"/>
        </w:rPr>
        <w:t xml:space="preserve">a </w:t>
      </w:r>
      <w:r w:rsidRPr="002C5DE1">
        <w:rPr>
          <w:rFonts w:ascii="Times New Roman" w:hAnsi="Times New Roman" w:cs="Times New Roman"/>
          <w:color w:val="000000" w:themeColor="text1"/>
          <w:sz w:val="24"/>
          <w:szCs w:val="24"/>
          <w:lang w:val="en-US"/>
        </w:rPr>
        <w:t xml:space="preserve">higher marginal propensity to save with the accumulation and bequest motive. It is also argued in both </w:t>
      </w:r>
      <w:r w:rsidR="00AA1AF1" w:rsidRPr="002C5DE1">
        <w:rPr>
          <w:rFonts w:ascii="Times New Roman" w:hAnsi="Times New Roman" w:cs="Times New Roman"/>
          <w:color w:val="000000" w:themeColor="text1"/>
          <w:sz w:val="24"/>
          <w:szCs w:val="24"/>
          <w:lang w:val="en-US"/>
        </w:rPr>
        <w:t xml:space="preserve">the </w:t>
      </w:r>
      <w:r w:rsidRPr="002C5DE1">
        <w:rPr>
          <w:rFonts w:ascii="Times New Roman" w:hAnsi="Times New Roman" w:cs="Times New Roman"/>
          <w:color w:val="000000" w:themeColor="text1"/>
          <w:sz w:val="24"/>
          <w:szCs w:val="24"/>
          <w:lang w:val="en-US"/>
        </w:rPr>
        <w:t xml:space="preserve">theoretical and empirical literature on well-being, happiness and </w:t>
      </w:r>
      <w:r w:rsidR="00700218" w:rsidRPr="002C5DE1">
        <w:rPr>
          <w:rFonts w:ascii="Times New Roman" w:hAnsi="Times New Roman" w:cs="Times New Roman"/>
          <w:color w:val="000000" w:themeColor="text1"/>
          <w:sz w:val="24"/>
          <w:szCs w:val="24"/>
          <w:lang w:val="en-US"/>
        </w:rPr>
        <w:t>behavioral</w:t>
      </w:r>
      <w:r w:rsidRPr="002C5DE1">
        <w:rPr>
          <w:rFonts w:ascii="Times New Roman" w:hAnsi="Times New Roman" w:cs="Times New Roman"/>
          <w:color w:val="000000" w:themeColor="text1"/>
          <w:sz w:val="24"/>
          <w:szCs w:val="24"/>
          <w:lang w:val="en-US"/>
        </w:rPr>
        <w:t xml:space="preserve"> aspects of consumption. </w:t>
      </w:r>
      <w:r w:rsidR="00AA1AF1" w:rsidRPr="002C5DE1">
        <w:rPr>
          <w:rFonts w:ascii="Times New Roman" w:hAnsi="Times New Roman" w:cs="Times New Roman"/>
          <w:color w:val="000000" w:themeColor="text1"/>
          <w:sz w:val="24"/>
          <w:szCs w:val="24"/>
          <w:lang w:val="en-US"/>
        </w:rPr>
        <w:t>I</w:t>
      </w:r>
      <w:r w:rsidRPr="002C5DE1">
        <w:rPr>
          <w:rFonts w:ascii="Times New Roman" w:hAnsi="Times New Roman" w:cs="Times New Roman"/>
          <w:color w:val="000000" w:themeColor="text1"/>
          <w:sz w:val="24"/>
          <w:szCs w:val="24"/>
          <w:lang w:val="en-US"/>
        </w:rPr>
        <w:t>f all household incomes rise together, the only utility gain comes from increased absolute income. If both absolute income and income inequality are rising, the public could</w:t>
      </w:r>
      <w:r w:rsidR="00AA1AF1" w:rsidRPr="002C5DE1">
        <w:rPr>
          <w:rFonts w:ascii="Times New Roman" w:hAnsi="Times New Roman" w:cs="Times New Roman"/>
          <w:color w:val="000000" w:themeColor="text1"/>
          <w:sz w:val="24"/>
          <w:szCs w:val="24"/>
          <w:lang w:val="en-US"/>
        </w:rPr>
        <w:t>,</w:t>
      </w:r>
      <w:r w:rsidRPr="002C5DE1">
        <w:rPr>
          <w:rFonts w:ascii="Times New Roman" w:hAnsi="Times New Roman" w:cs="Times New Roman"/>
          <w:color w:val="000000" w:themeColor="text1"/>
          <w:sz w:val="24"/>
          <w:szCs w:val="24"/>
          <w:lang w:val="en-US"/>
        </w:rPr>
        <w:t xml:space="preserve"> on average</w:t>
      </w:r>
      <w:r w:rsidR="00AA1AF1" w:rsidRPr="002C5DE1">
        <w:rPr>
          <w:rFonts w:ascii="Times New Roman" w:hAnsi="Times New Roman" w:cs="Times New Roman"/>
          <w:color w:val="000000" w:themeColor="text1"/>
          <w:sz w:val="24"/>
          <w:szCs w:val="24"/>
          <w:lang w:val="en-US"/>
        </w:rPr>
        <w:t>,</w:t>
      </w:r>
      <w:r w:rsidRPr="002C5DE1">
        <w:rPr>
          <w:rFonts w:ascii="Times New Roman" w:hAnsi="Times New Roman" w:cs="Times New Roman"/>
          <w:color w:val="000000" w:themeColor="text1"/>
          <w:sz w:val="24"/>
          <w:szCs w:val="24"/>
          <w:lang w:val="en-US"/>
        </w:rPr>
        <w:t xml:space="preserve"> report diminished happiness if the relative income effect dominates the absolute income effect (Vebl</w:t>
      </w:r>
      <w:r w:rsidR="00A54DAA" w:rsidRPr="002C5DE1">
        <w:rPr>
          <w:rFonts w:ascii="Times New Roman" w:hAnsi="Times New Roman" w:cs="Times New Roman"/>
          <w:color w:val="000000" w:themeColor="text1"/>
          <w:sz w:val="24"/>
          <w:szCs w:val="24"/>
          <w:lang w:val="en-US"/>
        </w:rPr>
        <w:t xml:space="preserve">en, 1898; Hollander, 2001; </w:t>
      </w:r>
      <w:proofErr w:type="spellStart"/>
      <w:r w:rsidR="00A54DAA" w:rsidRPr="002C5DE1">
        <w:rPr>
          <w:rFonts w:ascii="Times New Roman" w:hAnsi="Times New Roman" w:cs="Times New Roman"/>
          <w:color w:val="000000" w:themeColor="text1"/>
          <w:sz w:val="24"/>
          <w:szCs w:val="24"/>
          <w:lang w:val="en-US"/>
        </w:rPr>
        <w:t>Alpizar</w:t>
      </w:r>
      <w:proofErr w:type="spellEnd"/>
      <w:r w:rsidR="00A54DAA" w:rsidRPr="002C5DE1">
        <w:rPr>
          <w:rFonts w:ascii="Times New Roman" w:hAnsi="Times New Roman" w:cs="Times New Roman"/>
          <w:color w:val="000000" w:themeColor="text1"/>
          <w:sz w:val="24"/>
          <w:szCs w:val="24"/>
          <w:lang w:val="en-US"/>
        </w:rPr>
        <w:t xml:space="preserve"> et al., 2005; </w:t>
      </w:r>
      <w:proofErr w:type="spellStart"/>
      <w:r w:rsidR="00A54DAA" w:rsidRPr="002C5DE1">
        <w:rPr>
          <w:rFonts w:ascii="Times New Roman" w:hAnsi="Times New Roman" w:cs="Times New Roman"/>
          <w:color w:val="000000" w:themeColor="text1"/>
          <w:sz w:val="24"/>
          <w:szCs w:val="24"/>
          <w:lang w:val="en-US"/>
        </w:rPr>
        <w:t>Palley</w:t>
      </w:r>
      <w:proofErr w:type="spellEnd"/>
      <w:r w:rsidR="00A54DAA" w:rsidRPr="002C5DE1">
        <w:rPr>
          <w:rFonts w:ascii="Times New Roman" w:hAnsi="Times New Roman" w:cs="Times New Roman"/>
          <w:color w:val="000000" w:themeColor="text1"/>
          <w:sz w:val="24"/>
          <w:szCs w:val="24"/>
          <w:lang w:val="en-US"/>
        </w:rPr>
        <w:t xml:space="preserve">, 2010, </w:t>
      </w:r>
      <w:r w:rsidRPr="002C5DE1">
        <w:rPr>
          <w:rFonts w:ascii="Times New Roman" w:hAnsi="Times New Roman" w:cs="Times New Roman"/>
          <w:color w:val="000000" w:themeColor="text1"/>
          <w:sz w:val="24"/>
          <w:szCs w:val="24"/>
          <w:lang w:val="en-US"/>
        </w:rPr>
        <w:t>among others). Therefore</w:t>
      </w:r>
      <w:r w:rsidR="00245AFA">
        <w:rPr>
          <w:rFonts w:ascii="Times New Roman" w:hAnsi="Times New Roman" w:cs="Times New Roman"/>
          <w:color w:val="000000" w:themeColor="text1"/>
          <w:sz w:val="24"/>
          <w:szCs w:val="24"/>
          <w:lang w:val="en-US"/>
        </w:rPr>
        <w:t>,</w:t>
      </w:r>
      <w:r w:rsidRPr="002C5DE1">
        <w:rPr>
          <w:rFonts w:ascii="Times New Roman" w:hAnsi="Times New Roman" w:cs="Times New Roman"/>
          <w:color w:val="000000" w:themeColor="text1"/>
          <w:sz w:val="24"/>
          <w:szCs w:val="24"/>
          <w:lang w:val="en-US"/>
        </w:rPr>
        <w:t xml:space="preserve"> it is imp</w:t>
      </w:r>
      <w:r w:rsidR="00AA1AF1" w:rsidRPr="002C5DE1">
        <w:rPr>
          <w:rFonts w:ascii="Times New Roman" w:hAnsi="Times New Roman" w:cs="Times New Roman"/>
          <w:color w:val="000000" w:themeColor="text1"/>
          <w:sz w:val="24"/>
          <w:szCs w:val="24"/>
          <w:lang w:val="en-US"/>
        </w:rPr>
        <w:t>erative</w:t>
      </w:r>
      <w:r w:rsidRPr="002C5DE1">
        <w:rPr>
          <w:rFonts w:ascii="Times New Roman" w:hAnsi="Times New Roman" w:cs="Times New Roman"/>
          <w:color w:val="000000" w:themeColor="text1"/>
          <w:sz w:val="24"/>
          <w:szCs w:val="24"/>
          <w:lang w:val="en-US"/>
        </w:rPr>
        <w:t xml:space="preserve"> to distinguish whether increases in income is absolute or relative. Additionally, it is also important to define the impacts of income inequality on the </w:t>
      </w:r>
      <w:r w:rsidR="00700218" w:rsidRPr="002C5DE1">
        <w:rPr>
          <w:rFonts w:ascii="Times New Roman" w:hAnsi="Times New Roman" w:cs="Times New Roman"/>
          <w:color w:val="000000" w:themeColor="text1"/>
          <w:sz w:val="24"/>
          <w:szCs w:val="24"/>
          <w:lang w:val="en-US"/>
        </w:rPr>
        <w:t>behavior</w:t>
      </w:r>
      <w:r w:rsidRPr="002C5DE1">
        <w:rPr>
          <w:rFonts w:ascii="Times New Roman" w:hAnsi="Times New Roman" w:cs="Times New Roman"/>
          <w:color w:val="000000" w:themeColor="text1"/>
          <w:sz w:val="24"/>
          <w:szCs w:val="24"/>
          <w:lang w:val="en-US"/>
        </w:rPr>
        <w:t xml:space="preserve"> of consumption and saving</w:t>
      </w:r>
      <w:r w:rsidR="004E29E3" w:rsidRPr="002C5DE1">
        <w:rPr>
          <w:rFonts w:ascii="Times New Roman" w:hAnsi="Times New Roman" w:cs="Times New Roman"/>
          <w:color w:val="000000" w:themeColor="text1"/>
          <w:sz w:val="24"/>
          <w:szCs w:val="24"/>
          <w:lang w:val="en-US"/>
        </w:rPr>
        <w:t>.</w:t>
      </w:r>
      <w:r w:rsidRPr="002C5DE1">
        <w:rPr>
          <w:rFonts w:ascii="Times New Roman" w:hAnsi="Times New Roman" w:cs="Times New Roman"/>
          <w:color w:val="000000" w:themeColor="text1"/>
          <w:sz w:val="24"/>
          <w:szCs w:val="24"/>
          <w:lang w:val="en-US"/>
        </w:rPr>
        <w:t xml:space="preserve"> </w:t>
      </w:r>
      <w:r w:rsidR="00245AFA">
        <w:rPr>
          <w:rFonts w:ascii="Times New Roman" w:hAnsi="Times New Roman" w:cs="Times New Roman"/>
          <w:color w:val="000000" w:themeColor="text1"/>
          <w:sz w:val="24"/>
          <w:szCs w:val="24"/>
          <w:lang w:val="en-US"/>
        </w:rPr>
        <w:t>Hence, inequality could matter for macroeconomics if households with different amounts of wealth</w:t>
      </w:r>
      <w:r w:rsidR="0084418C" w:rsidRPr="002C5DE1">
        <w:rPr>
          <w:rFonts w:ascii="Times New Roman" w:hAnsi="Times New Roman" w:cs="Times New Roman"/>
          <w:color w:val="000000" w:themeColor="text1"/>
          <w:sz w:val="24"/>
          <w:szCs w:val="24"/>
          <w:lang w:val="en-US"/>
        </w:rPr>
        <w:t xml:space="preserve"> respo</w:t>
      </w:r>
      <w:r w:rsidR="00245AFA">
        <w:rPr>
          <w:rFonts w:ascii="Times New Roman" w:hAnsi="Times New Roman" w:cs="Times New Roman"/>
          <w:color w:val="000000" w:themeColor="text1"/>
          <w:sz w:val="24"/>
          <w:szCs w:val="24"/>
          <w:lang w:val="en-US"/>
        </w:rPr>
        <w:t>nd differently to the same aggregate</w:t>
      </w:r>
      <w:r w:rsidR="0084418C" w:rsidRPr="002C5DE1">
        <w:rPr>
          <w:rFonts w:ascii="Times New Roman" w:hAnsi="Times New Roman" w:cs="Times New Roman"/>
          <w:color w:val="000000" w:themeColor="text1"/>
          <w:sz w:val="24"/>
          <w:szCs w:val="24"/>
          <w:lang w:val="en-US"/>
        </w:rPr>
        <w:t xml:space="preserve"> shock (Carroll et al., 2017).</w:t>
      </w:r>
    </w:p>
    <w:p w14:paraId="6D65C551" w14:textId="77777777" w:rsidR="005B14AE" w:rsidRPr="002C5DE1" w:rsidRDefault="000F5436" w:rsidP="001D1F4D">
      <w:pPr>
        <w:spacing w:before="120" w:after="120"/>
        <w:ind w:firstLine="357"/>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 xml:space="preserve">As mentioned before, according to the comparison between </w:t>
      </w:r>
      <w:r w:rsidR="00971BB6" w:rsidRPr="002C5DE1">
        <w:rPr>
          <w:rFonts w:ascii="Times New Roman" w:hAnsi="Times New Roman" w:cs="Times New Roman"/>
          <w:color w:val="000000" w:themeColor="text1"/>
          <w:sz w:val="24"/>
          <w:szCs w:val="24"/>
          <w:lang w:val="en-US"/>
        </w:rPr>
        <w:t xml:space="preserve">the </w:t>
      </w:r>
      <w:r w:rsidRPr="002C5DE1">
        <w:rPr>
          <w:rFonts w:ascii="Times New Roman" w:hAnsi="Times New Roman" w:cs="Times New Roman"/>
          <w:color w:val="000000" w:themeColor="text1"/>
          <w:sz w:val="24"/>
          <w:szCs w:val="24"/>
          <w:lang w:val="en-US"/>
        </w:rPr>
        <w:t>pre- and post-</w:t>
      </w:r>
      <w:r w:rsidR="005051C2" w:rsidRPr="002C5DE1">
        <w:rPr>
          <w:rFonts w:ascii="Times New Roman" w:hAnsi="Times New Roman" w:cs="Times New Roman"/>
          <w:color w:val="000000" w:themeColor="text1"/>
          <w:sz w:val="24"/>
          <w:szCs w:val="24"/>
          <w:lang w:val="en-US"/>
        </w:rPr>
        <w:t>GFC</w:t>
      </w:r>
      <w:r w:rsidRPr="002C5DE1">
        <w:rPr>
          <w:rFonts w:ascii="Times New Roman" w:hAnsi="Times New Roman" w:cs="Times New Roman"/>
          <w:color w:val="000000" w:themeColor="text1"/>
          <w:sz w:val="24"/>
          <w:szCs w:val="24"/>
          <w:lang w:val="en-US"/>
        </w:rPr>
        <w:t xml:space="preserve"> periods </w:t>
      </w:r>
      <w:r w:rsidR="00B44E9F" w:rsidRPr="002C5DE1">
        <w:rPr>
          <w:rFonts w:ascii="Times New Roman" w:hAnsi="Times New Roman" w:cs="Times New Roman"/>
          <w:color w:val="000000" w:themeColor="text1"/>
          <w:sz w:val="24"/>
          <w:szCs w:val="24"/>
          <w:lang w:val="en-US"/>
        </w:rPr>
        <w:t xml:space="preserve">the main difference is the declining FD </w:t>
      </w:r>
      <w:r w:rsidR="00971BB6" w:rsidRPr="002C5DE1">
        <w:rPr>
          <w:rFonts w:ascii="Times New Roman" w:hAnsi="Times New Roman" w:cs="Times New Roman"/>
          <w:color w:val="000000" w:themeColor="text1"/>
          <w:sz w:val="24"/>
          <w:szCs w:val="24"/>
          <w:lang w:val="en-US"/>
        </w:rPr>
        <w:t>across</w:t>
      </w:r>
      <w:r w:rsidR="00B44E9F" w:rsidRPr="002C5DE1">
        <w:rPr>
          <w:rFonts w:ascii="Times New Roman" w:hAnsi="Times New Roman" w:cs="Times New Roman"/>
          <w:color w:val="000000" w:themeColor="text1"/>
          <w:sz w:val="24"/>
          <w:szCs w:val="24"/>
          <w:lang w:val="en-US"/>
        </w:rPr>
        <w:t xml:space="preserve"> all countries. </w:t>
      </w:r>
      <w:r w:rsidR="005D2F92" w:rsidRPr="002C5DE1">
        <w:rPr>
          <w:rFonts w:ascii="Times New Roman" w:hAnsi="Times New Roman" w:cs="Times New Roman"/>
          <w:color w:val="000000" w:themeColor="text1"/>
          <w:sz w:val="24"/>
          <w:szCs w:val="24"/>
          <w:lang w:val="en-US"/>
        </w:rPr>
        <w:t>E</w:t>
      </w:r>
      <w:r w:rsidR="00B44E9F" w:rsidRPr="002C5DE1">
        <w:rPr>
          <w:rFonts w:ascii="Times New Roman" w:hAnsi="Times New Roman" w:cs="Times New Roman"/>
          <w:color w:val="000000" w:themeColor="text1"/>
          <w:sz w:val="24"/>
          <w:szCs w:val="24"/>
          <w:lang w:val="en-US"/>
        </w:rPr>
        <w:t>mpirical studies</w:t>
      </w:r>
      <w:r w:rsidR="005D2F92" w:rsidRPr="002C5DE1">
        <w:rPr>
          <w:rFonts w:ascii="Times New Roman" w:hAnsi="Times New Roman" w:cs="Times New Roman"/>
          <w:color w:val="000000" w:themeColor="text1"/>
          <w:sz w:val="24"/>
          <w:szCs w:val="24"/>
          <w:lang w:val="en-US"/>
        </w:rPr>
        <w:t xml:space="preserve"> reveal that</w:t>
      </w:r>
      <w:r w:rsidR="00B44E9F" w:rsidRPr="002C5DE1">
        <w:rPr>
          <w:rFonts w:ascii="Times New Roman" w:hAnsi="Times New Roman" w:cs="Times New Roman"/>
          <w:color w:val="000000" w:themeColor="text1"/>
          <w:sz w:val="24"/>
          <w:szCs w:val="24"/>
          <w:lang w:val="en-US"/>
        </w:rPr>
        <w:t xml:space="preserve"> the growth in financial de</w:t>
      </w:r>
      <w:r w:rsidR="00B950AB" w:rsidRPr="002C5DE1">
        <w:rPr>
          <w:rFonts w:ascii="Times New Roman" w:hAnsi="Times New Roman" w:cs="Times New Roman"/>
          <w:color w:val="000000" w:themeColor="text1"/>
          <w:sz w:val="24"/>
          <w:szCs w:val="24"/>
          <w:lang w:val="en-US"/>
        </w:rPr>
        <w:t>velopment</w:t>
      </w:r>
      <w:r w:rsidR="00B44E9F" w:rsidRPr="002C5DE1">
        <w:rPr>
          <w:rFonts w:ascii="Times New Roman" w:hAnsi="Times New Roman" w:cs="Times New Roman"/>
          <w:color w:val="000000" w:themeColor="text1"/>
          <w:sz w:val="24"/>
          <w:szCs w:val="24"/>
          <w:lang w:val="en-US"/>
        </w:rPr>
        <w:t xml:space="preserve"> helps to reduce income inequality and vice-versa (Greenwood and Jovanovic, 1990; Beck</w:t>
      </w:r>
      <w:r w:rsidR="00690D06" w:rsidRPr="002C5DE1">
        <w:rPr>
          <w:rFonts w:ascii="Times New Roman" w:hAnsi="Times New Roman" w:cs="Times New Roman"/>
          <w:color w:val="000000" w:themeColor="text1"/>
          <w:sz w:val="24"/>
          <w:szCs w:val="24"/>
          <w:lang w:val="en-US"/>
        </w:rPr>
        <w:t xml:space="preserve"> et al.</w:t>
      </w:r>
      <w:r w:rsidR="00B44E9F" w:rsidRPr="002C5DE1">
        <w:rPr>
          <w:rFonts w:ascii="Times New Roman" w:hAnsi="Times New Roman" w:cs="Times New Roman"/>
          <w:color w:val="000000" w:themeColor="text1"/>
          <w:sz w:val="24"/>
          <w:szCs w:val="24"/>
          <w:lang w:val="en-US"/>
        </w:rPr>
        <w:t xml:space="preserve">, 2007; Seven and Coskun, 2016, among others). </w:t>
      </w:r>
      <w:r w:rsidR="00B950AB" w:rsidRPr="002C5DE1">
        <w:rPr>
          <w:rFonts w:ascii="Times New Roman" w:hAnsi="Times New Roman" w:cs="Times New Roman"/>
          <w:color w:val="000000" w:themeColor="text1"/>
          <w:sz w:val="24"/>
          <w:szCs w:val="24"/>
          <w:lang w:val="en-US"/>
        </w:rPr>
        <w:t>The empirical results imply that inequality might be increased in the period under this study due to declining</w:t>
      </w:r>
      <w:r w:rsidR="005051C2" w:rsidRPr="002C5DE1">
        <w:rPr>
          <w:rFonts w:ascii="Times New Roman" w:hAnsi="Times New Roman" w:cs="Times New Roman"/>
          <w:color w:val="000000" w:themeColor="text1"/>
          <w:sz w:val="24"/>
          <w:szCs w:val="24"/>
          <w:lang w:val="en-US"/>
        </w:rPr>
        <w:t xml:space="preserve"> financial development (FD) and housing affordability.</w:t>
      </w:r>
      <w:r w:rsidR="00B950AB" w:rsidRPr="002C5DE1">
        <w:rPr>
          <w:rFonts w:ascii="Times New Roman" w:hAnsi="Times New Roman" w:cs="Times New Roman"/>
          <w:color w:val="000000" w:themeColor="text1"/>
          <w:sz w:val="24"/>
          <w:szCs w:val="24"/>
          <w:lang w:val="en-US"/>
        </w:rPr>
        <w:t xml:space="preserve"> This evidence</w:t>
      </w:r>
      <w:r w:rsidR="005051C2" w:rsidRPr="002C5DE1">
        <w:rPr>
          <w:rFonts w:ascii="Times New Roman" w:hAnsi="Times New Roman" w:cs="Times New Roman"/>
          <w:color w:val="000000" w:themeColor="text1"/>
          <w:sz w:val="24"/>
          <w:szCs w:val="24"/>
          <w:lang w:val="en-US"/>
        </w:rPr>
        <w:t xml:space="preserve"> </w:t>
      </w:r>
      <w:r w:rsidR="009A2613" w:rsidRPr="002C5DE1">
        <w:rPr>
          <w:rFonts w:ascii="Times New Roman" w:hAnsi="Times New Roman" w:cs="Times New Roman"/>
          <w:color w:val="000000" w:themeColor="text1"/>
          <w:sz w:val="24"/>
          <w:szCs w:val="24"/>
          <w:lang w:val="en-US"/>
        </w:rPr>
        <w:t>suggests</w:t>
      </w:r>
      <w:r w:rsidR="00A738ED" w:rsidRPr="002C5DE1">
        <w:rPr>
          <w:rFonts w:ascii="Times New Roman" w:hAnsi="Times New Roman" w:cs="Times New Roman"/>
          <w:color w:val="000000" w:themeColor="text1"/>
          <w:sz w:val="24"/>
          <w:szCs w:val="24"/>
          <w:lang w:val="en-US"/>
        </w:rPr>
        <w:t xml:space="preserve"> that the difference in MPC levels may be explained with </w:t>
      </w:r>
      <w:r w:rsidR="00D00495" w:rsidRPr="002C5DE1">
        <w:rPr>
          <w:rFonts w:ascii="Times New Roman" w:hAnsi="Times New Roman" w:cs="Times New Roman"/>
          <w:color w:val="000000" w:themeColor="text1"/>
          <w:sz w:val="24"/>
          <w:szCs w:val="24"/>
          <w:lang w:val="en-US"/>
        </w:rPr>
        <w:t xml:space="preserve">some </w:t>
      </w:r>
      <w:r w:rsidR="00A738ED" w:rsidRPr="002C5DE1">
        <w:rPr>
          <w:rFonts w:ascii="Times New Roman" w:hAnsi="Times New Roman" w:cs="Times New Roman"/>
          <w:color w:val="000000" w:themeColor="text1"/>
          <w:sz w:val="24"/>
          <w:szCs w:val="24"/>
          <w:lang w:val="en-US"/>
        </w:rPr>
        <w:t xml:space="preserve">behavioral aspects </w:t>
      </w:r>
      <w:r w:rsidR="00D00495" w:rsidRPr="002C5DE1">
        <w:rPr>
          <w:rFonts w:ascii="Times New Roman" w:hAnsi="Times New Roman" w:cs="Times New Roman"/>
          <w:color w:val="000000" w:themeColor="text1"/>
          <w:sz w:val="24"/>
          <w:szCs w:val="24"/>
          <w:lang w:val="en-US"/>
        </w:rPr>
        <w:t xml:space="preserve">and </w:t>
      </w:r>
      <w:r w:rsidR="00A738ED" w:rsidRPr="002C5DE1">
        <w:rPr>
          <w:rFonts w:ascii="Times New Roman" w:hAnsi="Times New Roman" w:cs="Times New Roman"/>
          <w:color w:val="000000" w:themeColor="text1"/>
          <w:sz w:val="24"/>
          <w:szCs w:val="24"/>
          <w:lang w:val="en-US"/>
        </w:rPr>
        <w:t xml:space="preserve">the increase in income inequality. </w:t>
      </w:r>
      <w:r w:rsidR="005B14AE" w:rsidRPr="002C5DE1">
        <w:rPr>
          <w:rFonts w:ascii="Times New Roman" w:hAnsi="Times New Roman" w:cs="Times New Roman"/>
          <w:color w:val="000000" w:themeColor="text1"/>
          <w:sz w:val="24"/>
          <w:szCs w:val="24"/>
          <w:lang w:val="en-US"/>
        </w:rPr>
        <w:t>Consequently, we may speculate that the accruement in income and wealth during the bubble periods and declining financial de</w:t>
      </w:r>
      <w:r w:rsidR="00B32AF1" w:rsidRPr="002C5DE1">
        <w:rPr>
          <w:rFonts w:ascii="Times New Roman" w:hAnsi="Times New Roman" w:cs="Times New Roman"/>
          <w:color w:val="000000" w:themeColor="text1"/>
          <w:sz w:val="24"/>
          <w:szCs w:val="24"/>
          <w:lang w:val="en-US"/>
        </w:rPr>
        <w:t>velopment</w:t>
      </w:r>
      <w:r w:rsidR="005B14AE" w:rsidRPr="002C5DE1">
        <w:rPr>
          <w:rFonts w:ascii="Times New Roman" w:hAnsi="Times New Roman" w:cs="Times New Roman"/>
          <w:color w:val="000000" w:themeColor="text1"/>
          <w:sz w:val="24"/>
          <w:szCs w:val="24"/>
          <w:lang w:val="en-US"/>
        </w:rPr>
        <w:t xml:space="preserve"> and housing affordability result</w:t>
      </w:r>
      <w:r w:rsidR="005051C2" w:rsidRPr="002C5DE1">
        <w:rPr>
          <w:rFonts w:ascii="Times New Roman" w:hAnsi="Times New Roman" w:cs="Times New Roman"/>
          <w:color w:val="000000" w:themeColor="text1"/>
          <w:sz w:val="24"/>
          <w:szCs w:val="24"/>
          <w:lang w:val="en-US"/>
        </w:rPr>
        <w:t>ed</w:t>
      </w:r>
      <w:r w:rsidR="005B14AE" w:rsidRPr="002C5DE1">
        <w:rPr>
          <w:rFonts w:ascii="Times New Roman" w:hAnsi="Times New Roman" w:cs="Times New Roman"/>
          <w:color w:val="000000" w:themeColor="text1"/>
          <w:sz w:val="24"/>
          <w:szCs w:val="24"/>
          <w:lang w:val="en-US"/>
        </w:rPr>
        <w:t xml:space="preserve"> in an increase in inequality. After GFC, </w:t>
      </w:r>
      <w:r w:rsidR="002D0F7E" w:rsidRPr="002C5DE1">
        <w:rPr>
          <w:rFonts w:ascii="Times New Roman" w:hAnsi="Times New Roman" w:cs="Times New Roman"/>
          <w:color w:val="000000" w:themeColor="text1"/>
          <w:sz w:val="24"/>
          <w:szCs w:val="24"/>
          <w:lang w:val="en-US"/>
        </w:rPr>
        <w:t xml:space="preserve">since </w:t>
      </w:r>
      <w:r w:rsidR="007F7E67" w:rsidRPr="002C5DE1">
        <w:rPr>
          <w:rFonts w:ascii="Times New Roman" w:hAnsi="Times New Roman" w:cs="Times New Roman"/>
          <w:color w:val="000000" w:themeColor="text1"/>
          <w:sz w:val="24"/>
          <w:szCs w:val="24"/>
          <w:lang w:val="en-US"/>
        </w:rPr>
        <w:t>relative income effect dominates the absolute income effect</w:t>
      </w:r>
      <w:r w:rsidR="000D01C7" w:rsidRPr="002C5DE1">
        <w:rPr>
          <w:rFonts w:ascii="Times New Roman" w:hAnsi="Times New Roman" w:cs="Times New Roman"/>
          <w:color w:val="000000" w:themeColor="text1"/>
          <w:sz w:val="24"/>
          <w:szCs w:val="24"/>
          <w:lang w:val="en-US"/>
        </w:rPr>
        <w:t xml:space="preserve"> because of the increasing inequality</w:t>
      </w:r>
      <w:r w:rsidR="002D0F7E" w:rsidRPr="002C5DE1">
        <w:rPr>
          <w:rFonts w:ascii="Times New Roman" w:hAnsi="Times New Roman" w:cs="Times New Roman"/>
          <w:color w:val="000000" w:themeColor="text1"/>
          <w:sz w:val="24"/>
          <w:szCs w:val="24"/>
          <w:lang w:val="en-US"/>
        </w:rPr>
        <w:t>,</w:t>
      </w:r>
      <w:r w:rsidR="007F7E67" w:rsidRPr="002C5DE1">
        <w:rPr>
          <w:rFonts w:ascii="Times New Roman" w:hAnsi="Times New Roman" w:cs="Times New Roman"/>
          <w:color w:val="000000" w:themeColor="text1"/>
          <w:sz w:val="24"/>
          <w:szCs w:val="24"/>
          <w:lang w:val="en-US"/>
        </w:rPr>
        <w:t xml:space="preserve"> </w:t>
      </w:r>
      <w:r w:rsidR="005B14AE" w:rsidRPr="002C5DE1">
        <w:rPr>
          <w:rFonts w:ascii="Times New Roman" w:hAnsi="Times New Roman" w:cs="Times New Roman"/>
          <w:color w:val="000000" w:themeColor="text1"/>
          <w:sz w:val="24"/>
          <w:szCs w:val="24"/>
          <w:lang w:val="en-US"/>
        </w:rPr>
        <w:t xml:space="preserve">households with higher income </w:t>
      </w:r>
      <w:r w:rsidR="000D01C7" w:rsidRPr="002C5DE1">
        <w:rPr>
          <w:rFonts w:ascii="Times New Roman" w:hAnsi="Times New Roman" w:cs="Times New Roman"/>
          <w:color w:val="000000" w:themeColor="text1"/>
          <w:sz w:val="24"/>
          <w:szCs w:val="24"/>
          <w:lang w:val="en-US"/>
        </w:rPr>
        <w:t>may</w:t>
      </w:r>
      <w:r w:rsidR="00205643" w:rsidRPr="002C5DE1">
        <w:rPr>
          <w:rFonts w:ascii="Times New Roman" w:hAnsi="Times New Roman" w:cs="Times New Roman"/>
          <w:color w:val="000000" w:themeColor="text1"/>
          <w:sz w:val="24"/>
          <w:szCs w:val="24"/>
          <w:lang w:val="en-US"/>
        </w:rPr>
        <w:t xml:space="preserve"> </w:t>
      </w:r>
      <w:r w:rsidR="005B14AE" w:rsidRPr="002C5DE1">
        <w:rPr>
          <w:rFonts w:ascii="Times New Roman" w:hAnsi="Times New Roman" w:cs="Times New Roman"/>
          <w:color w:val="000000" w:themeColor="text1"/>
          <w:sz w:val="24"/>
          <w:szCs w:val="24"/>
          <w:lang w:val="en-US"/>
        </w:rPr>
        <w:t xml:space="preserve">have higher marginal propensity to save </w:t>
      </w:r>
      <w:r w:rsidR="00971BB6" w:rsidRPr="002C5DE1">
        <w:rPr>
          <w:rFonts w:ascii="Times New Roman" w:hAnsi="Times New Roman" w:cs="Times New Roman"/>
          <w:color w:val="000000" w:themeColor="text1"/>
          <w:sz w:val="24"/>
          <w:szCs w:val="24"/>
          <w:lang w:val="en-US"/>
        </w:rPr>
        <w:t>through</w:t>
      </w:r>
      <w:r w:rsidR="005B14AE" w:rsidRPr="002C5DE1">
        <w:rPr>
          <w:rFonts w:ascii="Times New Roman" w:hAnsi="Times New Roman" w:cs="Times New Roman"/>
          <w:color w:val="000000" w:themeColor="text1"/>
          <w:sz w:val="24"/>
          <w:szCs w:val="24"/>
          <w:lang w:val="en-US"/>
        </w:rPr>
        <w:t xml:space="preserve"> the accumulation and bequest motive</w:t>
      </w:r>
      <w:r w:rsidR="00971BB6" w:rsidRPr="002C5DE1">
        <w:rPr>
          <w:rFonts w:ascii="Times New Roman" w:hAnsi="Times New Roman" w:cs="Times New Roman"/>
          <w:color w:val="000000" w:themeColor="text1"/>
          <w:sz w:val="24"/>
          <w:szCs w:val="24"/>
          <w:lang w:val="en-US"/>
        </w:rPr>
        <w:t>,</w:t>
      </w:r>
      <w:r w:rsidR="007F7E67" w:rsidRPr="002C5DE1">
        <w:rPr>
          <w:rFonts w:ascii="Times New Roman" w:hAnsi="Times New Roman" w:cs="Times New Roman"/>
          <w:color w:val="000000" w:themeColor="text1"/>
          <w:sz w:val="24"/>
          <w:szCs w:val="24"/>
          <w:lang w:val="en-US"/>
        </w:rPr>
        <w:t xml:space="preserve"> </w:t>
      </w:r>
      <w:r w:rsidR="00205643" w:rsidRPr="002C5DE1">
        <w:rPr>
          <w:rFonts w:ascii="Times New Roman" w:hAnsi="Times New Roman" w:cs="Times New Roman"/>
          <w:color w:val="000000" w:themeColor="text1"/>
          <w:sz w:val="24"/>
          <w:szCs w:val="24"/>
          <w:lang w:val="en-US"/>
        </w:rPr>
        <w:t xml:space="preserve">as it is argued in the related literature (Hollander, 2001; </w:t>
      </w:r>
      <w:proofErr w:type="spellStart"/>
      <w:r w:rsidR="00205643" w:rsidRPr="002C5DE1">
        <w:rPr>
          <w:rFonts w:ascii="Times New Roman" w:hAnsi="Times New Roman" w:cs="Times New Roman"/>
          <w:color w:val="000000" w:themeColor="text1"/>
          <w:sz w:val="24"/>
          <w:szCs w:val="24"/>
          <w:lang w:val="en-US"/>
        </w:rPr>
        <w:t>Alpizar</w:t>
      </w:r>
      <w:proofErr w:type="spellEnd"/>
      <w:r w:rsidR="00205643" w:rsidRPr="002C5DE1">
        <w:rPr>
          <w:rFonts w:ascii="Times New Roman" w:hAnsi="Times New Roman" w:cs="Times New Roman"/>
          <w:color w:val="000000" w:themeColor="text1"/>
          <w:sz w:val="24"/>
          <w:szCs w:val="24"/>
          <w:lang w:val="en-US"/>
        </w:rPr>
        <w:t xml:space="preserve"> et al., 2005; </w:t>
      </w:r>
      <w:proofErr w:type="spellStart"/>
      <w:r w:rsidR="00205643" w:rsidRPr="002C5DE1">
        <w:rPr>
          <w:rFonts w:ascii="Times New Roman" w:hAnsi="Times New Roman" w:cs="Times New Roman"/>
          <w:color w:val="000000" w:themeColor="text1"/>
          <w:sz w:val="24"/>
          <w:szCs w:val="24"/>
          <w:lang w:val="en-US"/>
        </w:rPr>
        <w:t>Palley</w:t>
      </w:r>
      <w:proofErr w:type="spellEnd"/>
      <w:r w:rsidR="00205643" w:rsidRPr="002C5DE1">
        <w:rPr>
          <w:rFonts w:ascii="Times New Roman" w:hAnsi="Times New Roman" w:cs="Times New Roman"/>
          <w:color w:val="000000" w:themeColor="text1"/>
          <w:sz w:val="24"/>
          <w:szCs w:val="24"/>
          <w:lang w:val="en-US"/>
        </w:rPr>
        <w:t>, 2010, among others).</w:t>
      </w:r>
      <w:r w:rsidR="002D0F7E" w:rsidRPr="002C5DE1">
        <w:rPr>
          <w:rFonts w:ascii="Times New Roman" w:hAnsi="Times New Roman" w:cs="Times New Roman"/>
          <w:color w:val="000000" w:themeColor="text1"/>
          <w:sz w:val="24"/>
          <w:szCs w:val="24"/>
          <w:lang w:val="en-US"/>
        </w:rPr>
        <w:t xml:space="preserve"> </w:t>
      </w:r>
      <w:r w:rsidR="005051C2" w:rsidRPr="002C5DE1">
        <w:rPr>
          <w:rFonts w:ascii="Times New Roman" w:hAnsi="Times New Roman" w:cs="Times New Roman"/>
          <w:color w:val="000000" w:themeColor="text1"/>
          <w:sz w:val="24"/>
          <w:szCs w:val="24"/>
          <w:lang w:val="en-US"/>
        </w:rPr>
        <w:t>This result may be the reason of lower levels of MPC out of income and both housing and stock wealth in the post-GFC period vis-a vis the bubble periods.</w:t>
      </w:r>
    </w:p>
    <w:p w14:paraId="744F9F7F" w14:textId="77777777" w:rsidR="00E24BE2" w:rsidRPr="002C5DE1" w:rsidRDefault="000A708A" w:rsidP="009D4813">
      <w:pPr>
        <w:spacing w:before="120" w:after="120"/>
        <w:ind w:firstLine="357"/>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Our</w:t>
      </w:r>
      <w:r w:rsidR="00421473" w:rsidRPr="002C5DE1">
        <w:rPr>
          <w:rFonts w:ascii="Times New Roman" w:hAnsi="Times New Roman" w:cs="Times New Roman"/>
          <w:color w:val="000000" w:themeColor="text1"/>
          <w:sz w:val="24"/>
          <w:szCs w:val="24"/>
          <w:lang w:val="en-US"/>
        </w:rPr>
        <w:t xml:space="preserve"> results contradict with the </w:t>
      </w:r>
      <w:r w:rsidR="009A2613" w:rsidRPr="002C5DE1">
        <w:rPr>
          <w:rFonts w:ascii="Times New Roman" w:hAnsi="Times New Roman" w:cs="Times New Roman"/>
          <w:color w:val="000000" w:themeColor="text1"/>
          <w:sz w:val="24"/>
          <w:szCs w:val="24"/>
          <w:lang w:val="en-US"/>
        </w:rPr>
        <w:t>well-known</w:t>
      </w:r>
      <w:r w:rsidR="00421473" w:rsidRPr="002C5DE1">
        <w:rPr>
          <w:rFonts w:ascii="Times New Roman" w:hAnsi="Times New Roman" w:cs="Times New Roman"/>
          <w:color w:val="000000" w:themeColor="text1"/>
          <w:sz w:val="24"/>
          <w:szCs w:val="24"/>
          <w:lang w:val="en-US"/>
        </w:rPr>
        <w:t xml:space="preserve"> “keeping up with the Joneses” phenomenon</w:t>
      </w:r>
      <w:r w:rsidR="000A420D" w:rsidRPr="002C5DE1">
        <w:rPr>
          <w:rFonts w:ascii="Times New Roman" w:hAnsi="Times New Roman" w:cs="Times New Roman"/>
          <w:color w:val="000000" w:themeColor="text1"/>
          <w:sz w:val="24"/>
          <w:szCs w:val="24"/>
          <w:lang w:val="en-US"/>
        </w:rPr>
        <w:t xml:space="preserve"> and also </w:t>
      </w:r>
      <w:r w:rsidR="00971BB6" w:rsidRPr="002C5DE1">
        <w:rPr>
          <w:rFonts w:ascii="Times New Roman" w:hAnsi="Times New Roman" w:cs="Times New Roman"/>
          <w:color w:val="000000" w:themeColor="text1"/>
          <w:sz w:val="24"/>
          <w:szCs w:val="24"/>
          <w:lang w:val="en-US"/>
        </w:rPr>
        <w:t xml:space="preserve">the </w:t>
      </w:r>
      <w:r w:rsidR="000A420D" w:rsidRPr="002C5DE1">
        <w:rPr>
          <w:rFonts w:ascii="Times New Roman" w:hAnsi="Times New Roman" w:cs="Times New Roman"/>
          <w:color w:val="000000" w:themeColor="text1"/>
          <w:sz w:val="24"/>
          <w:szCs w:val="24"/>
          <w:lang w:val="en-US"/>
        </w:rPr>
        <w:t>“Ratchet effect”</w:t>
      </w:r>
      <w:r w:rsidR="00421473" w:rsidRPr="002C5DE1">
        <w:rPr>
          <w:rFonts w:ascii="Times New Roman" w:hAnsi="Times New Roman" w:cs="Times New Roman"/>
          <w:color w:val="000000" w:themeColor="text1"/>
          <w:sz w:val="24"/>
          <w:szCs w:val="24"/>
          <w:lang w:val="en-US"/>
        </w:rPr>
        <w:t>.</w:t>
      </w:r>
      <w:r w:rsidR="009D4813" w:rsidRPr="002C5DE1">
        <w:rPr>
          <w:rFonts w:ascii="Times New Roman" w:hAnsi="Times New Roman" w:cs="Times New Roman"/>
          <w:color w:val="000000" w:themeColor="text1"/>
          <w:sz w:val="24"/>
          <w:szCs w:val="24"/>
          <w:lang w:val="en-US"/>
        </w:rPr>
        <w:t xml:space="preserve"> </w:t>
      </w:r>
      <w:r w:rsidR="000F3A45" w:rsidRPr="002C5DE1">
        <w:rPr>
          <w:rFonts w:ascii="Times New Roman" w:hAnsi="Times New Roman" w:cs="Times New Roman"/>
          <w:color w:val="000000" w:themeColor="text1"/>
          <w:sz w:val="24"/>
          <w:szCs w:val="24"/>
          <w:lang w:val="en-US"/>
        </w:rPr>
        <w:t>Accordingly, w</w:t>
      </w:r>
      <w:r w:rsidR="009D4813" w:rsidRPr="002C5DE1">
        <w:rPr>
          <w:rFonts w:ascii="Times New Roman" w:hAnsi="Times New Roman" w:cs="Times New Roman"/>
          <w:color w:val="000000" w:themeColor="text1"/>
          <w:sz w:val="24"/>
          <w:szCs w:val="24"/>
          <w:lang w:val="en-US"/>
        </w:rPr>
        <w:t xml:space="preserve">hen competitive pressures are strong and </w:t>
      </w:r>
      <w:r w:rsidR="00971BB6" w:rsidRPr="002C5DE1">
        <w:rPr>
          <w:rFonts w:ascii="Times New Roman" w:hAnsi="Times New Roman" w:cs="Times New Roman"/>
          <w:color w:val="000000" w:themeColor="text1"/>
          <w:sz w:val="24"/>
          <w:szCs w:val="24"/>
          <w:lang w:val="en-US"/>
        </w:rPr>
        <w:t xml:space="preserve">the </w:t>
      </w:r>
      <w:r w:rsidR="009D4813" w:rsidRPr="002C5DE1">
        <w:rPr>
          <w:rFonts w:ascii="Times New Roman" w:hAnsi="Times New Roman" w:cs="Times New Roman"/>
          <w:color w:val="000000" w:themeColor="text1"/>
          <w:sz w:val="24"/>
          <w:szCs w:val="24"/>
          <w:lang w:val="en-US"/>
        </w:rPr>
        <w:t xml:space="preserve">social </w:t>
      </w:r>
      <w:r w:rsidR="009D4813" w:rsidRPr="002C5DE1">
        <w:rPr>
          <w:rFonts w:ascii="Times New Roman" w:hAnsi="Times New Roman" w:cs="Times New Roman"/>
          <w:color w:val="000000" w:themeColor="text1"/>
          <w:sz w:val="24"/>
          <w:szCs w:val="24"/>
          <w:lang w:val="en-US"/>
        </w:rPr>
        <w:lastRenderedPageBreak/>
        <w:t>status depends on conspicuous consumption, it can be expected that individuals will benefit from any increase in income or wealth to expand consumption and “keep up with the Joneses”, but will be reluctant to reduce consumption</w:t>
      </w:r>
      <w:r w:rsidR="00971BB6" w:rsidRPr="002C5DE1">
        <w:rPr>
          <w:rFonts w:ascii="Times New Roman" w:hAnsi="Times New Roman" w:cs="Times New Roman"/>
          <w:color w:val="000000" w:themeColor="text1"/>
          <w:sz w:val="24"/>
          <w:szCs w:val="24"/>
          <w:lang w:val="en-US"/>
        </w:rPr>
        <w:t>,</w:t>
      </w:r>
      <w:r w:rsidR="009D4813" w:rsidRPr="002C5DE1">
        <w:rPr>
          <w:rFonts w:ascii="Times New Roman" w:hAnsi="Times New Roman" w:cs="Times New Roman"/>
          <w:color w:val="000000" w:themeColor="text1"/>
          <w:sz w:val="24"/>
          <w:szCs w:val="24"/>
          <w:lang w:val="en-US"/>
        </w:rPr>
        <w:t xml:space="preserve"> risking to “fall behind the Joneses” (Van </w:t>
      </w:r>
      <w:proofErr w:type="spellStart"/>
      <w:r w:rsidR="009D4813" w:rsidRPr="002C5DE1">
        <w:rPr>
          <w:rFonts w:ascii="Times New Roman" w:hAnsi="Times New Roman" w:cs="Times New Roman"/>
          <w:color w:val="000000" w:themeColor="text1"/>
          <w:sz w:val="24"/>
          <w:szCs w:val="24"/>
          <w:lang w:val="en-US"/>
        </w:rPr>
        <w:t>Treeck</w:t>
      </w:r>
      <w:proofErr w:type="spellEnd"/>
      <w:r w:rsidR="009D4813" w:rsidRPr="002C5DE1">
        <w:rPr>
          <w:rFonts w:ascii="Times New Roman" w:hAnsi="Times New Roman" w:cs="Times New Roman"/>
          <w:color w:val="000000" w:themeColor="text1"/>
          <w:sz w:val="24"/>
          <w:szCs w:val="24"/>
          <w:lang w:val="en-US"/>
        </w:rPr>
        <w:t>, 2008).</w:t>
      </w:r>
      <w:r w:rsidR="00420991" w:rsidRPr="002C5DE1">
        <w:rPr>
          <w:rFonts w:ascii="Times New Roman" w:hAnsi="Times New Roman" w:cs="Times New Roman"/>
          <w:color w:val="000000" w:themeColor="text1"/>
          <w:sz w:val="24"/>
          <w:szCs w:val="24"/>
          <w:lang w:val="en-US"/>
        </w:rPr>
        <w:t xml:space="preserve"> </w:t>
      </w:r>
      <w:r w:rsidR="00971BB6" w:rsidRPr="002C5DE1">
        <w:rPr>
          <w:rFonts w:ascii="Times New Roman" w:hAnsi="Times New Roman" w:cs="Times New Roman"/>
          <w:color w:val="000000" w:themeColor="text1"/>
          <w:sz w:val="24"/>
          <w:szCs w:val="24"/>
          <w:lang w:val="en-US"/>
        </w:rPr>
        <w:t>In</w:t>
      </w:r>
      <w:r w:rsidR="00420991" w:rsidRPr="002C5DE1">
        <w:rPr>
          <w:rFonts w:ascii="Times New Roman" w:hAnsi="Times New Roman" w:cs="Times New Roman"/>
          <w:color w:val="000000" w:themeColor="text1"/>
          <w:sz w:val="24"/>
          <w:szCs w:val="24"/>
          <w:lang w:val="en-US"/>
        </w:rPr>
        <w:t xml:space="preserve"> </w:t>
      </w:r>
      <w:r w:rsidR="00971BB6" w:rsidRPr="002C5DE1">
        <w:rPr>
          <w:rFonts w:ascii="Times New Roman" w:hAnsi="Times New Roman" w:cs="Times New Roman"/>
          <w:color w:val="000000" w:themeColor="text1"/>
          <w:sz w:val="24"/>
          <w:szCs w:val="24"/>
          <w:lang w:val="en-US"/>
        </w:rPr>
        <w:t>the</w:t>
      </w:r>
      <w:r w:rsidR="00420991" w:rsidRPr="002C5DE1">
        <w:rPr>
          <w:rFonts w:ascii="Times New Roman" w:hAnsi="Times New Roman" w:cs="Times New Roman"/>
          <w:color w:val="000000" w:themeColor="text1"/>
          <w:sz w:val="24"/>
          <w:szCs w:val="24"/>
          <w:lang w:val="en-US"/>
        </w:rPr>
        <w:t xml:space="preserve"> period</w:t>
      </w:r>
      <w:r w:rsidR="00971BB6" w:rsidRPr="002C5DE1">
        <w:rPr>
          <w:rFonts w:ascii="Times New Roman" w:hAnsi="Times New Roman" w:cs="Times New Roman"/>
          <w:color w:val="000000" w:themeColor="text1"/>
          <w:sz w:val="24"/>
          <w:szCs w:val="24"/>
          <w:lang w:val="en-US"/>
        </w:rPr>
        <w:t xml:space="preserve"> under study</w:t>
      </w:r>
      <w:r w:rsidR="00420991" w:rsidRPr="002C5DE1">
        <w:rPr>
          <w:rFonts w:ascii="Times New Roman" w:hAnsi="Times New Roman" w:cs="Times New Roman"/>
          <w:color w:val="000000" w:themeColor="text1"/>
          <w:sz w:val="24"/>
          <w:szCs w:val="24"/>
          <w:lang w:val="en-US"/>
        </w:rPr>
        <w:t xml:space="preserve">, </w:t>
      </w:r>
      <w:r w:rsidR="00F5763E" w:rsidRPr="002C5DE1">
        <w:rPr>
          <w:rFonts w:ascii="Times New Roman" w:hAnsi="Times New Roman" w:cs="Times New Roman"/>
          <w:color w:val="000000" w:themeColor="text1"/>
          <w:sz w:val="24"/>
          <w:szCs w:val="24"/>
          <w:lang w:val="en-US"/>
        </w:rPr>
        <w:t>consumption increase</w:t>
      </w:r>
      <w:r w:rsidR="00971BB6" w:rsidRPr="002C5DE1">
        <w:rPr>
          <w:rFonts w:ascii="Times New Roman" w:hAnsi="Times New Roman" w:cs="Times New Roman"/>
          <w:color w:val="000000" w:themeColor="text1"/>
          <w:sz w:val="24"/>
          <w:szCs w:val="24"/>
          <w:lang w:val="en-US"/>
        </w:rPr>
        <w:t>s</w:t>
      </w:r>
      <w:r w:rsidR="00F5763E" w:rsidRPr="002C5DE1">
        <w:rPr>
          <w:rFonts w:ascii="Times New Roman" w:hAnsi="Times New Roman" w:cs="Times New Roman"/>
          <w:color w:val="000000" w:themeColor="text1"/>
          <w:sz w:val="24"/>
          <w:szCs w:val="24"/>
          <w:lang w:val="en-US"/>
        </w:rPr>
        <w:t xml:space="preserve"> before GFC and decline</w:t>
      </w:r>
      <w:r w:rsidR="00971BB6" w:rsidRPr="002C5DE1">
        <w:rPr>
          <w:rFonts w:ascii="Times New Roman" w:hAnsi="Times New Roman" w:cs="Times New Roman"/>
          <w:color w:val="000000" w:themeColor="text1"/>
          <w:sz w:val="24"/>
          <w:szCs w:val="24"/>
          <w:lang w:val="en-US"/>
        </w:rPr>
        <w:t>s</w:t>
      </w:r>
      <w:r w:rsidR="00F5763E" w:rsidRPr="002C5DE1">
        <w:rPr>
          <w:rFonts w:ascii="Times New Roman" w:hAnsi="Times New Roman" w:cs="Times New Roman"/>
          <w:color w:val="000000" w:themeColor="text1"/>
          <w:sz w:val="24"/>
          <w:szCs w:val="24"/>
          <w:lang w:val="en-US"/>
        </w:rPr>
        <w:t xml:space="preserve"> or remain</w:t>
      </w:r>
      <w:r w:rsidR="00971BB6" w:rsidRPr="002C5DE1">
        <w:rPr>
          <w:rFonts w:ascii="Times New Roman" w:hAnsi="Times New Roman" w:cs="Times New Roman"/>
          <w:color w:val="000000" w:themeColor="text1"/>
          <w:sz w:val="24"/>
          <w:szCs w:val="24"/>
          <w:lang w:val="en-US"/>
        </w:rPr>
        <w:t>s</w:t>
      </w:r>
      <w:r w:rsidR="00F5763E" w:rsidRPr="002C5DE1">
        <w:rPr>
          <w:rFonts w:ascii="Times New Roman" w:hAnsi="Times New Roman" w:cs="Times New Roman"/>
          <w:color w:val="000000" w:themeColor="text1"/>
          <w:sz w:val="24"/>
          <w:szCs w:val="24"/>
          <w:lang w:val="en-US"/>
        </w:rPr>
        <w:t xml:space="preserve"> stable after GFC in the most of the countries.</w:t>
      </w:r>
      <w:r w:rsidR="00405B11" w:rsidRPr="002C5DE1">
        <w:rPr>
          <w:rFonts w:ascii="Times New Roman" w:hAnsi="Times New Roman" w:cs="Times New Roman"/>
          <w:color w:val="000000" w:themeColor="text1"/>
          <w:sz w:val="24"/>
          <w:szCs w:val="24"/>
          <w:lang w:val="en-US"/>
        </w:rPr>
        <w:t xml:space="preserve"> </w:t>
      </w:r>
      <w:r w:rsidR="000F3A45" w:rsidRPr="002C5DE1">
        <w:rPr>
          <w:rFonts w:ascii="Times New Roman" w:hAnsi="Times New Roman" w:cs="Times New Roman"/>
          <w:color w:val="000000" w:themeColor="text1"/>
          <w:sz w:val="24"/>
          <w:szCs w:val="24"/>
          <w:lang w:val="en-US"/>
        </w:rPr>
        <w:t xml:space="preserve">Mainly, </w:t>
      </w:r>
      <w:r w:rsidR="00D9138B" w:rsidRPr="002C5DE1">
        <w:rPr>
          <w:rFonts w:ascii="Times New Roman" w:hAnsi="Times New Roman" w:cs="Times New Roman"/>
          <w:color w:val="000000" w:themeColor="text1"/>
          <w:sz w:val="24"/>
          <w:szCs w:val="24"/>
          <w:lang w:val="en-US"/>
        </w:rPr>
        <w:t xml:space="preserve">GDP per capita </w:t>
      </w:r>
      <w:r w:rsidR="00971BB6" w:rsidRPr="002C5DE1">
        <w:rPr>
          <w:rFonts w:ascii="Times New Roman" w:hAnsi="Times New Roman" w:cs="Times New Roman"/>
          <w:color w:val="000000" w:themeColor="text1"/>
          <w:sz w:val="24"/>
          <w:szCs w:val="24"/>
          <w:lang w:val="en-US"/>
        </w:rPr>
        <w:t>is</w:t>
      </w:r>
      <w:r w:rsidR="00D9138B" w:rsidRPr="002C5DE1">
        <w:rPr>
          <w:rFonts w:ascii="Times New Roman" w:hAnsi="Times New Roman" w:cs="Times New Roman"/>
          <w:color w:val="000000" w:themeColor="text1"/>
          <w:sz w:val="24"/>
          <w:szCs w:val="24"/>
          <w:lang w:val="en-US"/>
        </w:rPr>
        <w:t xml:space="preserve"> also lower in </w:t>
      </w:r>
      <w:r w:rsidR="007E44E4" w:rsidRPr="002C5DE1">
        <w:rPr>
          <w:rFonts w:ascii="Times New Roman" w:hAnsi="Times New Roman" w:cs="Times New Roman"/>
          <w:color w:val="000000" w:themeColor="text1"/>
          <w:sz w:val="24"/>
          <w:szCs w:val="24"/>
          <w:lang w:val="en-US"/>
        </w:rPr>
        <w:t xml:space="preserve">the </w:t>
      </w:r>
      <w:r w:rsidR="00D9138B" w:rsidRPr="002C5DE1">
        <w:rPr>
          <w:rFonts w:ascii="Times New Roman" w:hAnsi="Times New Roman" w:cs="Times New Roman"/>
          <w:color w:val="000000" w:themeColor="text1"/>
          <w:sz w:val="24"/>
          <w:szCs w:val="24"/>
          <w:lang w:val="en-US"/>
        </w:rPr>
        <w:t>post-GFC period</w:t>
      </w:r>
      <w:r w:rsidR="007E44E4" w:rsidRPr="002C5DE1">
        <w:rPr>
          <w:rFonts w:ascii="Times New Roman" w:hAnsi="Times New Roman" w:cs="Times New Roman"/>
          <w:color w:val="000000" w:themeColor="text1"/>
          <w:sz w:val="24"/>
          <w:szCs w:val="24"/>
          <w:lang w:val="en-US"/>
        </w:rPr>
        <w:t>, vis-a-vis</w:t>
      </w:r>
      <w:r w:rsidR="00317894" w:rsidRPr="002C5DE1">
        <w:rPr>
          <w:rFonts w:ascii="Times New Roman" w:hAnsi="Times New Roman" w:cs="Times New Roman"/>
          <w:color w:val="000000" w:themeColor="text1"/>
          <w:sz w:val="24"/>
          <w:szCs w:val="24"/>
          <w:lang w:val="en-US"/>
        </w:rPr>
        <w:t xml:space="preserve"> with </w:t>
      </w:r>
      <w:r w:rsidR="007E44E4" w:rsidRPr="002C5DE1">
        <w:rPr>
          <w:rFonts w:ascii="Times New Roman" w:hAnsi="Times New Roman" w:cs="Times New Roman"/>
          <w:color w:val="000000" w:themeColor="text1"/>
          <w:sz w:val="24"/>
          <w:szCs w:val="24"/>
          <w:lang w:val="en-US"/>
        </w:rPr>
        <w:t xml:space="preserve">the </w:t>
      </w:r>
      <w:r w:rsidR="00317894" w:rsidRPr="002C5DE1">
        <w:rPr>
          <w:rFonts w:ascii="Times New Roman" w:hAnsi="Times New Roman" w:cs="Times New Roman"/>
          <w:color w:val="000000" w:themeColor="text1"/>
          <w:sz w:val="24"/>
          <w:szCs w:val="24"/>
          <w:lang w:val="en-US"/>
        </w:rPr>
        <w:t>pre-GFC period</w:t>
      </w:r>
      <w:r w:rsidR="007E44E4" w:rsidRPr="002C5DE1">
        <w:rPr>
          <w:rFonts w:ascii="Times New Roman" w:hAnsi="Times New Roman" w:cs="Times New Roman"/>
          <w:color w:val="000000" w:themeColor="text1"/>
          <w:sz w:val="24"/>
          <w:szCs w:val="24"/>
          <w:lang w:val="en-US"/>
        </w:rPr>
        <w:t>, which</w:t>
      </w:r>
      <w:r w:rsidR="00317894" w:rsidRPr="002C5DE1">
        <w:rPr>
          <w:rFonts w:ascii="Times New Roman" w:hAnsi="Times New Roman" w:cs="Times New Roman"/>
          <w:color w:val="000000" w:themeColor="text1"/>
          <w:sz w:val="24"/>
          <w:szCs w:val="24"/>
          <w:lang w:val="en-US"/>
        </w:rPr>
        <w:t xml:space="preserve"> confirms rising inequality</w:t>
      </w:r>
      <w:r w:rsidR="007E44E4" w:rsidRPr="002C5DE1">
        <w:rPr>
          <w:rFonts w:ascii="Times New Roman" w:hAnsi="Times New Roman" w:cs="Times New Roman"/>
          <w:color w:val="000000" w:themeColor="text1"/>
          <w:sz w:val="24"/>
          <w:szCs w:val="24"/>
          <w:lang w:val="en-US"/>
        </w:rPr>
        <w:t xml:space="preserve"> trends</w:t>
      </w:r>
      <w:r w:rsidR="00317894" w:rsidRPr="002C5DE1">
        <w:rPr>
          <w:rFonts w:ascii="Times New Roman" w:hAnsi="Times New Roman" w:cs="Times New Roman"/>
          <w:color w:val="000000" w:themeColor="text1"/>
          <w:sz w:val="24"/>
          <w:szCs w:val="24"/>
          <w:lang w:val="en-US"/>
        </w:rPr>
        <w:t>.</w:t>
      </w:r>
    </w:p>
    <w:p w14:paraId="2DA6BAB5" w14:textId="77777777" w:rsidR="00F345DA" w:rsidRPr="002C5DE1" w:rsidRDefault="00317894" w:rsidP="009D4813">
      <w:pPr>
        <w:spacing w:before="120" w:after="120"/>
        <w:ind w:firstLine="357"/>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Additionally, household</w:t>
      </w:r>
      <w:r w:rsidR="007E44E4" w:rsidRPr="002C5DE1">
        <w:rPr>
          <w:rFonts w:ascii="Times New Roman" w:hAnsi="Times New Roman" w:cs="Times New Roman"/>
          <w:color w:val="000000" w:themeColor="text1"/>
          <w:sz w:val="24"/>
          <w:szCs w:val="24"/>
          <w:lang w:val="en-US"/>
        </w:rPr>
        <w:t>s’</w:t>
      </w:r>
      <w:r w:rsidRPr="002C5DE1">
        <w:rPr>
          <w:rFonts w:ascii="Times New Roman" w:hAnsi="Times New Roman" w:cs="Times New Roman"/>
          <w:color w:val="000000" w:themeColor="text1"/>
          <w:sz w:val="24"/>
          <w:szCs w:val="24"/>
          <w:lang w:val="en-US"/>
        </w:rPr>
        <w:t xml:space="preserve"> debt</w:t>
      </w:r>
      <w:r w:rsidRPr="002C5DE1">
        <w:rPr>
          <w:rStyle w:val="FootnoteReference"/>
          <w:rFonts w:ascii="Times New Roman" w:hAnsi="Times New Roman" w:cs="Times New Roman"/>
          <w:color w:val="000000" w:themeColor="text1"/>
          <w:sz w:val="24"/>
          <w:szCs w:val="24"/>
          <w:lang w:val="en-US"/>
        </w:rPr>
        <w:footnoteReference w:id="14"/>
      </w:r>
      <w:r w:rsidRPr="002C5DE1">
        <w:rPr>
          <w:rFonts w:ascii="Times New Roman" w:hAnsi="Times New Roman" w:cs="Times New Roman"/>
          <w:color w:val="000000" w:themeColor="text1"/>
          <w:sz w:val="24"/>
          <w:szCs w:val="24"/>
          <w:lang w:val="en-US"/>
        </w:rPr>
        <w:t xml:space="preserve"> ha</w:t>
      </w:r>
      <w:r w:rsidR="007E44E4" w:rsidRPr="002C5DE1">
        <w:rPr>
          <w:rFonts w:ascii="Times New Roman" w:hAnsi="Times New Roman" w:cs="Times New Roman"/>
          <w:color w:val="000000" w:themeColor="text1"/>
          <w:sz w:val="24"/>
          <w:szCs w:val="24"/>
          <w:lang w:val="en-US"/>
        </w:rPr>
        <w:t>s</w:t>
      </w:r>
      <w:r w:rsidRPr="002C5DE1">
        <w:rPr>
          <w:rFonts w:ascii="Times New Roman" w:hAnsi="Times New Roman" w:cs="Times New Roman"/>
          <w:color w:val="000000" w:themeColor="text1"/>
          <w:sz w:val="24"/>
          <w:szCs w:val="24"/>
          <w:lang w:val="en-US"/>
        </w:rPr>
        <w:t xml:space="preserve"> the same trend with consumption in the same period.</w:t>
      </w:r>
      <w:r w:rsidR="003C24FF" w:rsidRPr="002C5DE1">
        <w:rPr>
          <w:rFonts w:ascii="Times New Roman" w:hAnsi="Times New Roman" w:cs="Times New Roman"/>
          <w:color w:val="000000" w:themeColor="text1"/>
          <w:sz w:val="24"/>
          <w:szCs w:val="24"/>
          <w:lang w:val="en-US"/>
        </w:rPr>
        <w:t xml:space="preserve"> Based on these inferences, we can conclude that </w:t>
      </w:r>
      <w:r w:rsidR="00A502CB" w:rsidRPr="002C5DE1">
        <w:rPr>
          <w:rFonts w:ascii="Times New Roman" w:hAnsi="Times New Roman" w:cs="Times New Roman"/>
          <w:color w:val="000000" w:themeColor="text1"/>
          <w:sz w:val="24"/>
          <w:szCs w:val="24"/>
          <w:lang w:val="en-US"/>
        </w:rPr>
        <w:t xml:space="preserve">in the post-GFC period, </w:t>
      </w:r>
      <w:r w:rsidR="003C24FF" w:rsidRPr="002C5DE1">
        <w:rPr>
          <w:rFonts w:ascii="Times New Roman" w:hAnsi="Times New Roman" w:cs="Times New Roman"/>
          <w:color w:val="000000" w:themeColor="text1"/>
          <w:sz w:val="24"/>
          <w:szCs w:val="24"/>
          <w:lang w:val="en-US"/>
        </w:rPr>
        <w:t>in</w:t>
      </w:r>
      <w:r w:rsidR="00E85C49">
        <w:rPr>
          <w:rFonts w:ascii="Times New Roman" w:hAnsi="Times New Roman" w:cs="Times New Roman"/>
          <w:color w:val="000000" w:themeColor="text1"/>
          <w:sz w:val="24"/>
          <w:szCs w:val="24"/>
          <w:lang w:val="en-US"/>
        </w:rPr>
        <w:t xml:space="preserve"> the</w:t>
      </w:r>
      <w:r w:rsidR="003C24FF" w:rsidRPr="002C5DE1">
        <w:rPr>
          <w:rFonts w:ascii="Times New Roman" w:hAnsi="Times New Roman" w:cs="Times New Roman"/>
          <w:color w:val="000000" w:themeColor="text1"/>
          <w:sz w:val="24"/>
          <w:szCs w:val="24"/>
          <w:lang w:val="en-US"/>
        </w:rPr>
        <w:t xml:space="preserve"> most of the countries, households “fall behind the Joneses” in connection with </w:t>
      </w:r>
      <w:r w:rsidR="007E44E4" w:rsidRPr="002C5DE1">
        <w:rPr>
          <w:rFonts w:ascii="Times New Roman" w:hAnsi="Times New Roman" w:cs="Times New Roman"/>
          <w:color w:val="000000" w:themeColor="text1"/>
          <w:sz w:val="24"/>
          <w:szCs w:val="24"/>
          <w:lang w:val="en-US"/>
        </w:rPr>
        <w:t>three</w:t>
      </w:r>
      <w:r w:rsidR="003C24FF" w:rsidRPr="002C5DE1">
        <w:rPr>
          <w:rFonts w:ascii="Times New Roman" w:hAnsi="Times New Roman" w:cs="Times New Roman"/>
          <w:color w:val="000000" w:themeColor="text1"/>
          <w:sz w:val="24"/>
          <w:szCs w:val="24"/>
          <w:lang w:val="en-US"/>
        </w:rPr>
        <w:t xml:space="preserve"> reasons: </w:t>
      </w:r>
      <w:proofErr w:type="spellStart"/>
      <w:r w:rsidR="003C24FF" w:rsidRPr="002C5DE1">
        <w:rPr>
          <w:rFonts w:ascii="Times New Roman" w:hAnsi="Times New Roman" w:cs="Times New Roman"/>
          <w:color w:val="000000" w:themeColor="text1"/>
          <w:sz w:val="24"/>
          <w:szCs w:val="24"/>
          <w:lang w:val="en-US"/>
        </w:rPr>
        <w:t>i</w:t>
      </w:r>
      <w:proofErr w:type="spellEnd"/>
      <w:r w:rsidR="003C24FF" w:rsidRPr="002C5DE1">
        <w:rPr>
          <w:rFonts w:ascii="Times New Roman" w:hAnsi="Times New Roman" w:cs="Times New Roman"/>
          <w:color w:val="000000" w:themeColor="text1"/>
          <w:sz w:val="24"/>
          <w:szCs w:val="24"/>
          <w:lang w:val="en-US"/>
        </w:rPr>
        <w:t>) depending on the</w:t>
      </w:r>
      <w:r w:rsidR="000271FE" w:rsidRPr="002C5DE1">
        <w:rPr>
          <w:rFonts w:ascii="Times New Roman" w:hAnsi="Times New Roman" w:cs="Times New Roman"/>
          <w:color w:val="000000" w:themeColor="text1"/>
          <w:sz w:val="24"/>
          <w:szCs w:val="24"/>
          <w:lang w:val="en-US"/>
        </w:rPr>
        <w:t xml:space="preserve"> increase in both stock and housing wealth and</w:t>
      </w:r>
      <w:r w:rsidR="003C24FF" w:rsidRPr="002C5DE1">
        <w:rPr>
          <w:rFonts w:ascii="Times New Roman" w:hAnsi="Times New Roman" w:cs="Times New Roman"/>
          <w:color w:val="000000" w:themeColor="text1"/>
          <w:sz w:val="24"/>
          <w:szCs w:val="24"/>
          <w:lang w:val="en-US"/>
        </w:rPr>
        <w:t xml:space="preserve"> rising inequality, </w:t>
      </w:r>
      <w:r w:rsidR="007E44E4" w:rsidRPr="002C5DE1">
        <w:rPr>
          <w:rFonts w:ascii="Times New Roman" w:hAnsi="Times New Roman" w:cs="Times New Roman"/>
          <w:color w:val="000000" w:themeColor="text1"/>
          <w:sz w:val="24"/>
          <w:szCs w:val="24"/>
          <w:lang w:val="en-US"/>
        </w:rPr>
        <w:t xml:space="preserve">the </w:t>
      </w:r>
      <w:r w:rsidR="003C24FF" w:rsidRPr="002C5DE1">
        <w:rPr>
          <w:rFonts w:ascii="Times New Roman" w:hAnsi="Times New Roman" w:cs="Times New Roman"/>
          <w:color w:val="000000" w:themeColor="text1"/>
          <w:sz w:val="24"/>
          <w:szCs w:val="24"/>
          <w:lang w:val="en-US"/>
        </w:rPr>
        <w:t xml:space="preserve">relative income effect dominates the absolute income effect and households with higher income are more likely to save than consume </w:t>
      </w:r>
      <w:r w:rsidR="007E44E4" w:rsidRPr="002C5DE1">
        <w:rPr>
          <w:rFonts w:ascii="Times New Roman" w:hAnsi="Times New Roman" w:cs="Times New Roman"/>
          <w:color w:val="000000" w:themeColor="text1"/>
          <w:sz w:val="24"/>
          <w:szCs w:val="24"/>
          <w:lang w:val="en-US"/>
        </w:rPr>
        <w:t>through</w:t>
      </w:r>
      <w:r w:rsidR="003C24FF" w:rsidRPr="002C5DE1">
        <w:rPr>
          <w:rFonts w:ascii="Times New Roman" w:hAnsi="Times New Roman" w:cs="Times New Roman"/>
          <w:color w:val="000000" w:themeColor="text1"/>
          <w:sz w:val="24"/>
          <w:szCs w:val="24"/>
          <w:lang w:val="en-US"/>
        </w:rPr>
        <w:t xml:space="preserve"> the accumulation and bequest motive</w:t>
      </w:r>
      <w:r w:rsidR="007E44E4" w:rsidRPr="002C5DE1">
        <w:rPr>
          <w:rFonts w:ascii="Times New Roman" w:hAnsi="Times New Roman" w:cs="Times New Roman"/>
          <w:color w:val="000000" w:themeColor="text1"/>
          <w:sz w:val="24"/>
          <w:szCs w:val="24"/>
          <w:lang w:val="en-US"/>
        </w:rPr>
        <w:t>,</w:t>
      </w:r>
      <w:r w:rsidR="003C24FF" w:rsidRPr="002C5DE1">
        <w:rPr>
          <w:rFonts w:ascii="Times New Roman" w:hAnsi="Times New Roman" w:cs="Times New Roman"/>
          <w:color w:val="000000" w:themeColor="text1"/>
          <w:sz w:val="24"/>
          <w:szCs w:val="24"/>
          <w:lang w:val="en-US"/>
        </w:rPr>
        <w:t xml:space="preserve"> ii) </w:t>
      </w:r>
      <w:r w:rsidR="007E44E4" w:rsidRPr="002C5DE1">
        <w:rPr>
          <w:rFonts w:ascii="Times New Roman" w:hAnsi="Times New Roman" w:cs="Times New Roman"/>
          <w:color w:val="000000" w:themeColor="text1"/>
          <w:sz w:val="24"/>
          <w:szCs w:val="24"/>
          <w:lang w:val="en-US"/>
        </w:rPr>
        <w:t>a</w:t>
      </w:r>
      <w:r w:rsidR="003C24FF" w:rsidRPr="002C5DE1">
        <w:rPr>
          <w:rFonts w:ascii="Times New Roman" w:hAnsi="Times New Roman" w:cs="Times New Roman"/>
          <w:color w:val="000000" w:themeColor="text1"/>
          <w:sz w:val="24"/>
          <w:szCs w:val="24"/>
          <w:lang w:val="en-US"/>
        </w:rPr>
        <w:t>lthough inequality rises, households with lower income do</w:t>
      </w:r>
      <w:r w:rsidR="007E44E4" w:rsidRPr="002C5DE1">
        <w:rPr>
          <w:rFonts w:ascii="Times New Roman" w:hAnsi="Times New Roman" w:cs="Times New Roman"/>
          <w:color w:val="000000" w:themeColor="text1"/>
          <w:sz w:val="24"/>
          <w:szCs w:val="24"/>
          <w:lang w:val="en-US"/>
        </w:rPr>
        <w:t xml:space="preserve"> </w:t>
      </w:r>
      <w:r w:rsidR="003C24FF" w:rsidRPr="002C5DE1">
        <w:rPr>
          <w:rFonts w:ascii="Times New Roman" w:hAnsi="Times New Roman" w:cs="Times New Roman"/>
          <w:color w:val="000000" w:themeColor="text1"/>
          <w:sz w:val="24"/>
          <w:szCs w:val="24"/>
          <w:lang w:val="en-US"/>
        </w:rPr>
        <w:t>n</w:t>
      </w:r>
      <w:r w:rsidR="007E44E4" w:rsidRPr="002C5DE1">
        <w:rPr>
          <w:rFonts w:ascii="Times New Roman" w:hAnsi="Times New Roman" w:cs="Times New Roman"/>
          <w:color w:val="000000" w:themeColor="text1"/>
          <w:sz w:val="24"/>
          <w:szCs w:val="24"/>
          <w:lang w:val="en-US"/>
        </w:rPr>
        <w:t>o</w:t>
      </w:r>
      <w:r w:rsidR="003C24FF" w:rsidRPr="002C5DE1">
        <w:rPr>
          <w:rFonts w:ascii="Times New Roman" w:hAnsi="Times New Roman" w:cs="Times New Roman"/>
          <w:color w:val="000000" w:themeColor="text1"/>
          <w:sz w:val="24"/>
          <w:szCs w:val="24"/>
          <w:lang w:val="en-US"/>
        </w:rPr>
        <w:t xml:space="preserve">t prefer to increase their consumption and finance </w:t>
      </w:r>
      <w:r w:rsidR="00052C35" w:rsidRPr="002C5DE1">
        <w:rPr>
          <w:rFonts w:ascii="Times New Roman" w:hAnsi="Times New Roman" w:cs="Times New Roman"/>
          <w:color w:val="000000" w:themeColor="text1"/>
          <w:sz w:val="24"/>
          <w:szCs w:val="24"/>
          <w:lang w:val="en-US"/>
        </w:rPr>
        <w:t>it by borrowing</w:t>
      </w:r>
      <w:r w:rsidR="007E44E4" w:rsidRPr="002C5DE1">
        <w:rPr>
          <w:rFonts w:ascii="Times New Roman" w:hAnsi="Times New Roman" w:cs="Times New Roman"/>
          <w:color w:val="000000" w:themeColor="text1"/>
          <w:sz w:val="24"/>
          <w:szCs w:val="24"/>
          <w:lang w:val="en-US"/>
        </w:rPr>
        <w:t>;</w:t>
      </w:r>
      <w:r w:rsidR="00052C35" w:rsidRPr="002C5DE1">
        <w:rPr>
          <w:rFonts w:ascii="Times New Roman" w:hAnsi="Times New Roman" w:cs="Times New Roman"/>
          <w:color w:val="000000" w:themeColor="text1"/>
          <w:sz w:val="24"/>
          <w:szCs w:val="24"/>
          <w:lang w:val="en-US"/>
        </w:rPr>
        <w:t xml:space="preserve"> </w:t>
      </w:r>
      <w:r w:rsidR="007E44E4" w:rsidRPr="002C5DE1">
        <w:rPr>
          <w:rFonts w:ascii="Times New Roman" w:hAnsi="Times New Roman" w:cs="Times New Roman"/>
          <w:color w:val="000000" w:themeColor="text1"/>
          <w:sz w:val="24"/>
          <w:szCs w:val="24"/>
          <w:lang w:val="en-US"/>
        </w:rPr>
        <w:t>i</w:t>
      </w:r>
      <w:r w:rsidR="00052C35" w:rsidRPr="002C5DE1">
        <w:rPr>
          <w:rFonts w:ascii="Times New Roman" w:hAnsi="Times New Roman" w:cs="Times New Roman"/>
          <w:color w:val="000000" w:themeColor="text1"/>
          <w:sz w:val="24"/>
          <w:szCs w:val="24"/>
          <w:lang w:val="en-US"/>
        </w:rPr>
        <w:t>n other words, they do</w:t>
      </w:r>
      <w:r w:rsidR="007E44E4" w:rsidRPr="002C5DE1">
        <w:rPr>
          <w:rFonts w:ascii="Times New Roman" w:hAnsi="Times New Roman" w:cs="Times New Roman"/>
          <w:color w:val="000000" w:themeColor="text1"/>
          <w:sz w:val="24"/>
          <w:szCs w:val="24"/>
          <w:lang w:val="en-US"/>
        </w:rPr>
        <w:t xml:space="preserve"> </w:t>
      </w:r>
      <w:r w:rsidR="00052C35" w:rsidRPr="002C5DE1">
        <w:rPr>
          <w:rFonts w:ascii="Times New Roman" w:hAnsi="Times New Roman" w:cs="Times New Roman"/>
          <w:color w:val="000000" w:themeColor="text1"/>
          <w:sz w:val="24"/>
          <w:szCs w:val="24"/>
          <w:lang w:val="en-US"/>
        </w:rPr>
        <w:t>n</w:t>
      </w:r>
      <w:r w:rsidR="007E44E4" w:rsidRPr="002C5DE1">
        <w:rPr>
          <w:rFonts w:ascii="Times New Roman" w:hAnsi="Times New Roman" w:cs="Times New Roman"/>
          <w:color w:val="000000" w:themeColor="text1"/>
          <w:sz w:val="24"/>
          <w:szCs w:val="24"/>
          <w:lang w:val="en-US"/>
        </w:rPr>
        <w:t>o</w:t>
      </w:r>
      <w:r w:rsidR="00052C35" w:rsidRPr="002C5DE1">
        <w:rPr>
          <w:rFonts w:ascii="Times New Roman" w:hAnsi="Times New Roman" w:cs="Times New Roman"/>
          <w:color w:val="000000" w:themeColor="text1"/>
          <w:sz w:val="24"/>
          <w:szCs w:val="24"/>
          <w:lang w:val="en-US"/>
        </w:rPr>
        <w:t xml:space="preserve">t “keep up with Joneses” </w:t>
      </w:r>
      <w:r w:rsidR="00B46B74" w:rsidRPr="002C5DE1">
        <w:rPr>
          <w:rFonts w:ascii="Times New Roman" w:hAnsi="Times New Roman" w:cs="Times New Roman"/>
          <w:color w:val="000000" w:themeColor="text1"/>
          <w:sz w:val="24"/>
          <w:szCs w:val="24"/>
          <w:lang w:val="en-US"/>
        </w:rPr>
        <w:t>at the cost of borrowing</w:t>
      </w:r>
      <w:r w:rsidR="007E44E4" w:rsidRPr="002C5DE1">
        <w:rPr>
          <w:rFonts w:ascii="Times New Roman" w:hAnsi="Times New Roman" w:cs="Times New Roman"/>
          <w:color w:val="000000" w:themeColor="text1"/>
          <w:sz w:val="24"/>
          <w:szCs w:val="24"/>
          <w:lang w:val="en-US"/>
        </w:rPr>
        <w:t>, and</w:t>
      </w:r>
      <w:r w:rsidR="00B46B74" w:rsidRPr="002C5DE1">
        <w:rPr>
          <w:rFonts w:ascii="Times New Roman" w:hAnsi="Times New Roman" w:cs="Times New Roman"/>
          <w:color w:val="000000" w:themeColor="text1"/>
          <w:sz w:val="24"/>
          <w:szCs w:val="24"/>
          <w:lang w:val="en-US"/>
        </w:rPr>
        <w:t xml:space="preserve"> iii) </w:t>
      </w:r>
      <w:r w:rsidR="007E44E4" w:rsidRPr="002C5DE1">
        <w:rPr>
          <w:rFonts w:ascii="Times New Roman" w:hAnsi="Times New Roman" w:cs="Times New Roman"/>
          <w:color w:val="000000" w:themeColor="text1"/>
          <w:sz w:val="24"/>
          <w:szCs w:val="24"/>
          <w:lang w:val="en-US"/>
        </w:rPr>
        <w:t>a</w:t>
      </w:r>
      <w:r w:rsidR="00B46B74" w:rsidRPr="002C5DE1">
        <w:rPr>
          <w:rFonts w:ascii="Times New Roman" w:hAnsi="Times New Roman" w:cs="Times New Roman"/>
          <w:color w:val="000000" w:themeColor="text1"/>
          <w:sz w:val="24"/>
          <w:szCs w:val="24"/>
          <w:lang w:val="en-US"/>
        </w:rPr>
        <w:t xml:space="preserve">nother possible explanation may be the declining FD in </w:t>
      </w:r>
      <w:r w:rsidR="00A20DFD" w:rsidRPr="002C5DE1">
        <w:rPr>
          <w:rFonts w:ascii="Times New Roman" w:hAnsi="Times New Roman" w:cs="Times New Roman"/>
          <w:color w:val="000000" w:themeColor="text1"/>
          <w:sz w:val="24"/>
          <w:szCs w:val="24"/>
          <w:lang w:val="en-US"/>
        </w:rPr>
        <w:t xml:space="preserve">the </w:t>
      </w:r>
      <w:r w:rsidR="00B46B74" w:rsidRPr="002C5DE1">
        <w:rPr>
          <w:rFonts w:ascii="Times New Roman" w:hAnsi="Times New Roman" w:cs="Times New Roman"/>
          <w:color w:val="000000" w:themeColor="text1"/>
          <w:sz w:val="24"/>
          <w:szCs w:val="24"/>
          <w:lang w:val="en-US"/>
        </w:rPr>
        <w:t>post-GFC period</w:t>
      </w:r>
      <w:r w:rsidR="007E44E4" w:rsidRPr="002C5DE1">
        <w:rPr>
          <w:rFonts w:ascii="Times New Roman" w:hAnsi="Times New Roman" w:cs="Times New Roman"/>
          <w:color w:val="000000" w:themeColor="text1"/>
          <w:sz w:val="24"/>
          <w:szCs w:val="24"/>
          <w:lang w:val="en-US"/>
        </w:rPr>
        <w:t>;</w:t>
      </w:r>
      <w:r w:rsidR="00B46B74" w:rsidRPr="002C5DE1">
        <w:rPr>
          <w:rFonts w:ascii="Times New Roman" w:hAnsi="Times New Roman" w:cs="Times New Roman"/>
          <w:color w:val="000000" w:themeColor="text1"/>
          <w:sz w:val="24"/>
          <w:szCs w:val="24"/>
          <w:lang w:val="en-US"/>
        </w:rPr>
        <w:t xml:space="preserve"> </w:t>
      </w:r>
      <w:r w:rsidR="007E44E4" w:rsidRPr="002C5DE1">
        <w:rPr>
          <w:rFonts w:ascii="Times New Roman" w:hAnsi="Times New Roman" w:cs="Times New Roman"/>
          <w:color w:val="000000" w:themeColor="text1"/>
          <w:sz w:val="24"/>
          <w:szCs w:val="24"/>
          <w:lang w:val="en-US"/>
        </w:rPr>
        <w:t>e</w:t>
      </w:r>
      <w:r w:rsidR="00B46B74" w:rsidRPr="002C5DE1">
        <w:rPr>
          <w:rFonts w:ascii="Times New Roman" w:hAnsi="Times New Roman" w:cs="Times New Roman"/>
          <w:color w:val="000000" w:themeColor="text1"/>
          <w:sz w:val="24"/>
          <w:szCs w:val="24"/>
          <w:lang w:val="en-US"/>
        </w:rPr>
        <w:t>ven</w:t>
      </w:r>
      <w:r w:rsidR="00A20DFD" w:rsidRPr="002C5DE1">
        <w:rPr>
          <w:rFonts w:ascii="Times New Roman" w:hAnsi="Times New Roman" w:cs="Times New Roman"/>
          <w:color w:val="000000" w:themeColor="text1"/>
          <w:sz w:val="24"/>
          <w:szCs w:val="24"/>
          <w:lang w:val="en-US"/>
        </w:rPr>
        <w:t xml:space="preserve"> though households</w:t>
      </w:r>
      <w:r w:rsidR="00B46B74" w:rsidRPr="002C5DE1">
        <w:rPr>
          <w:rFonts w:ascii="Times New Roman" w:hAnsi="Times New Roman" w:cs="Times New Roman"/>
          <w:color w:val="000000" w:themeColor="text1"/>
          <w:sz w:val="24"/>
          <w:szCs w:val="24"/>
          <w:lang w:val="en-US"/>
        </w:rPr>
        <w:t xml:space="preserve"> prefer to borrow and increase their consumption, credit constraints may have </w:t>
      </w:r>
      <w:r w:rsidR="007E44E4" w:rsidRPr="002C5DE1">
        <w:rPr>
          <w:rFonts w:ascii="Times New Roman" w:hAnsi="Times New Roman" w:cs="Times New Roman"/>
          <w:color w:val="000000" w:themeColor="text1"/>
          <w:sz w:val="24"/>
          <w:szCs w:val="24"/>
          <w:lang w:val="en-US"/>
        </w:rPr>
        <w:t>constrained them from doing so</w:t>
      </w:r>
      <w:r w:rsidR="00B46B74" w:rsidRPr="002C5DE1">
        <w:rPr>
          <w:rFonts w:ascii="Times New Roman" w:hAnsi="Times New Roman" w:cs="Times New Roman"/>
          <w:color w:val="000000" w:themeColor="text1"/>
          <w:sz w:val="24"/>
          <w:szCs w:val="24"/>
          <w:lang w:val="en-US"/>
        </w:rPr>
        <w:t>.</w:t>
      </w:r>
      <w:r w:rsidR="00592E27" w:rsidRPr="002C5DE1">
        <w:rPr>
          <w:rFonts w:ascii="Times New Roman" w:hAnsi="Times New Roman" w:cs="Times New Roman"/>
          <w:color w:val="000000" w:themeColor="text1"/>
          <w:sz w:val="24"/>
          <w:szCs w:val="24"/>
          <w:lang w:val="en-US"/>
        </w:rPr>
        <w:t xml:space="preserve"> </w:t>
      </w:r>
      <w:r w:rsidR="007E44E4" w:rsidRPr="002C5DE1">
        <w:rPr>
          <w:rFonts w:ascii="Times New Roman" w:hAnsi="Times New Roman" w:cs="Times New Roman"/>
          <w:color w:val="000000" w:themeColor="text1"/>
          <w:sz w:val="24"/>
          <w:szCs w:val="24"/>
          <w:lang w:val="en-US"/>
        </w:rPr>
        <w:t>By contrast</w:t>
      </w:r>
      <w:r w:rsidR="00191EA5" w:rsidRPr="002C5DE1">
        <w:rPr>
          <w:rFonts w:ascii="Times New Roman" w:hAnsi="Times New Roman" w:cs="Times New Roman"/>
          <w:color w:val="000000" w:themeColor="text1"/>
          <w:sz w:val="24"/>
          <w:szCs w:val="24"/>
          <w:lang w:val="en-US"/>
        </w:rPr>
        <w:t xml:space="preserve">, our sample consists mostly </w:t>
      </w:r>
      <w:r w:rsidR="007E44E4" w:rsidRPr="002C5DE1">
        <w:rPr>
          <w:rFonts w:ascii="Times New Roman" w:hAnsi="Times New Roman" w:cs="Times New Roman"/>
          <w:color w:val="000000" w:themeColor="text1"/>
          <w:sz w:val="24"/>
          <w:szCs w:val="24"/>
          <w:lang w:val="en-US"/>
        </w:rPr>
        <w:t xml:space="preserve">of </w:t>
      </w:r>
      <w:r w:rsidR="00191EA5" w:rsidRPr="002C5DE1">
        <w:rPr>
          <w:rFonts w:ascii="Times New Roman" w:hAnsi="Times New Roman" w:cs="Times New Roman"/>
          <w:color w:val="000000" w:themeColor="text1"/>
          <w:sz w:val="24"/>
          <w:szCs w:val="24"/>
          <w:lang w:val="en-US"/>
        </w:rPr>
        <w:t xml:space="preserve">developed countries. </w:t>
      </w:r>
      <w:r w:rsidR="007E44E4" w:rsidRPr="002C5DE1">
        <w:rPr>
          <w:rFonts w:ascii="Times New Roman" w:hAnsi="Times New Roman" w:cs="Times New Roman"/>
          <w:color w:val="000000" w:themeColor="text1"/>
          <w:sz w:val="24"/>
          <w:szCs w:val="24"/>
          <w:lang w:val="en-US"/>
        </w:rPr>
        <w:t xml:space="preserve">The </w:t>
      </w:r>
      <w:r w:rsidR="00070AA6" w:rsidRPr="002C5DE1">
        <w:rPr>
          <w:rFonts w:ascii="Times New Roman" w:hAnsi="Times New Roman" w:cs="Times New Roman"/>
          <w:color w:val="000000" w:themeColor="text1"/>
          <w:sz w:val="24"/>
          <w:szCs w:val="24"/>
          <w:lang w:val="en-US"/>
        </w:rPr>
        <w:t>R</w:t>
      </w:r>
      <w:r w:rsidR="00191EA5" w:rsidRPr="002C5DE1">
        <w:rPr>
          <w:rFonts w:ascii="Times New Roman" w:hAnsi="Times New Roman" w:cs="Times New Roman"/>
          <w:color w:val="000000" w:themeColor="text1"/>
          <w:sz w:val="24"/>
          <w:szCs w:val="24"/>
          <w:lang w:val="en-US"/>
        </w:rPr>
        <w:t xml:space="preserve">atchet effect </w:t>
      </w:r>
      <w:r w:rsidR="001A6F3D" w:rsidRPr="002C5DE1">
        <w:rPr>
          <w:rFonts w:ascii="Times New Roman" w:hAnsi="Times New Roman" w:cs="Times New Roman"/>
          <w:color w:val="000000" w:themeColor="text1"/>
          <w:sz w:val="24"/>
          <w:szCs w:val="24"/>
          <w:lang w:val="en-US"/>
        </w:rPr>
        <w:t xml:space="preserve">or “keeping up with Joneses” </w:t>
      </w:r>
      <w:r w:rsidR="00191EA5" w:rsidRPr="002C5DE1">
        <w:rPr>
          <w:rFonts w:ascii="Times New Roman" w:hAnsi="Times New Roman" w:cs="Times New Roman"/>
          <w:color w:val="000000" w:themeColor="text1"/>
          <w:sz w:val="24"/>
          <w:szCs w:val="24"/>
          <w:lang w:val="en-US"/>
        </w:rPr>
        <w:t xml:space="preserve">may be found </w:t>
      </w:r>
      <w:r w:rsidR="007E44E4" w:rsidRPr="002C5DE1">
        <w:rPr>
          <w:rFonts w:ascii="Times New Roman" w:hAnsi="Times New Roman" w:cs="Times New Roman"/>
          <w:color w:val="000000" w:themeColor="text1"/>
          <w:sz w:val="24"/>
          <w:szCs w:val="24"/>
          <w:lang w:val="en-US"/>
        </w:rPr>
        <w:t>primarily in</w:t>
      </w:r>
      <w:r w:rsidR="00191EA5" w:rsidRPr="002C5DE1">
        <w:rPr>
          <w:rFonts w:ascii="Times New Roman" w:hAnsi="Times New Roman" w:cs="Times New Roman"/>
          <w:color w:val="000000" w:themeColor="text1"/>
          <w:sz w:val="24"/>
          <w:szCs w:val="24"/>
          <w:lang w:val="en-US"/>
        </w:rPr>
        <w:t xml:space="preserve"> emerging countries (i.e.</w:t>
      </w:r>
      <w:r w:rsidR="007E44E4" w:rsidRPr="002C5DE1">
        <w:rPr>
          <w:rFonts w:ascii="Times New Roman" w:hAnsi="Times New Roman" w:cs="Times New Roman"/>
          <w:color w:val="000000" w:themeColor="text1"/>
          <w:sz w:val="24"/>
          <w:szCs w:val="24"/>
          <w:lang w:val="en-US"/>
        </w:rPr>
        <w:t>,</w:t>
      </w:r>
      <w:r w:rsidR="00191EA5" w:rsidRPr="002C5DE1">
        <w:rPr>
          <w:rFonts w:ascii="Times New Roman" w:hAnsi="Times New Roman" w:cs="Times New Roman"/>
          <w:color w:val="000000" w:themeColor="text1"/>
          <w:sz w:val="24"/>
          <w:szCs w:val="24"/>
          <w:lang w:val="en-US"/>
        </w:rPr>
        <w:t xml:space="preserve"> </w:t>
      </w:r>
      <w:proofErr w:type="spellStart"/>
      <w:r w:rsidR="00191EA5" w:rsidRPr="002C5DE1">
        <w:rPr>
          <w:rFonts w:ascii="Times New Roman" w:hAnsi="Times New Roman" w:cs="Times New Roman"/>
          <w:color w:val="000000" w:themeColor="text1"/>
          <w:sz w:val="24"/>
          <w:szCs w:val="24"/>
          <w:lang w:val="en-US"/>
        </w:rPr>
        <w:t>Peltonen</w:t>
      </w:r>
      <w:proofErr w:type="spellEnd"/>
      <w:r w:rsidR="00191EA5" w:rsidRPr="002C5DE1">
        <w:rPr>
          <w:rFonts w:ascii="Times New Roman" w:hAnsi="Times New Roman" w:cs="Times New Roman"/>
          <w:color w:val="000000" w:themeColor="text1"/>
          <w:sz w:val="24"/>
          <w:szCs w:val="24"/>
          <w:lang w:val="en-US"/>
        </w:rPr>
        <w:t xml:space="preserve"> et al., 2012).</w:t>
      </w:r>
    </w:p>
    <w:p w14:paraId="7055770F" w14:textId="77777777" w:rsidR="00CF11EA" w:rsidRPr="002C5DE1" w:rsidRDefault="00070AA6" w:rsidP="009D4813">
      <w:pPr>
        <w:spacing w:before="120" w:after="120"/>
        <w:ind w:firstLine="357"/>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Above evidence set suggest</w:t>
      </w:r>
      <w:r w:rsidR="00CB0600" w:rsidRPr="002C5DE1">
        <w:rPr>
          <w:rFonts w:ascii="Times New Roman" w:hAnsi="Times New Roman" w:cs="Times New Roman"/>
          <w:color w:val="000000" w:themeColor="text1"/>
          <w:sz w:val="24"/>
          <w:szCs w:val="24"/>
          <w:lang w:val="en-US"/>
        </w:rPr>
        <w:t>s</w:t>
      </w:r>
      <w:r w:rsidRPr="002C5DE1">
        <w:rPr>
          <w:rFonts w:ascii="Times New Roman" w:hAnsi="Times New Roman" w:cs="Times New Roman"/>
          <w:color w:val="000000" w:themeColor="text1"/>
          <w:sz w:val="24"/>
          <w:szCs w:val="24"/>
          <w:lang w:val="en-US"/>
        </w:rPr>
        <w:t xml:space="preserve"> numerous implications</w:t>
      </w:r>
      <w:r w:rsidR="00774D55" w:rsidRPr="002C5DE1">
        <w:rPr>
          <w:rFonts w:ascii="Times New Roman" w:hAnsi="Times New Roman" w:cs="Times New Roman"/>
          <w:color w:val="000000" w:themeColor="text1"/>
          <w:sz w:val="24"/>
          <w:szCs w:val="24"/>
          <w:lang w:val="en-US"/>
        </w:rPr>
        <w:t xml:space="preserve">. First, macroeconomic policies effective on income, housing, and stock market should recognize that behavioral aspects and uncertainty may have strong effects on consumption asymmetry during different economic periods. </w:t>
      </w:r>
      <w:r w:rsidR="00CF11EA" w:rsidRPr="002C5DE1">
        <w:rPr>
          <w:rFonts w:ascii="Times New Roman" w:hAnsi="Times New Roman" w:cs="Times New Roman"/>
          <w:color w:val="000000" w:themeColor="text1"/>
          <w:sz w:val="24"/>
          <w:szCs w:val="24"/>
          <w:lang w:val="en-US"/>
        </w:rPr>
        <w:t xml:space="preserve">The missing point in policy-making would be the lack of sufficient </w:t>
      </w:r>
      <w:r w:rsidR="009D6C94" w:rsidRPr="002C5DE1">
        <w:rPr>
          <w:rFonts w:ascii="Times New Roman" w:hAnsi="Times New Roman" w:cs="Times New Roman"/>
          <w:color w:val="000000" w:themeColor="text1"/>
          <w:sz w:val="24"/>
          <w:szCs w:val="24"/>
          <w:lang w:val="en-US"/>
        </w:rPr>
        <w:t xml:space="preserve">income and wealth effect related </w:t>
      </w:r>
      <w:r w:rsidR="00CF11EA" w:rsidRPr="002C5DE1">
        <w:rPr>
          <w:rFonts w:ascii="Times New Roman" w:hAnsi="Times New Roman" w:cs="Times New Roman"/>
          <w:color w:val="000000" w:themeColor="text1"/>
          <w:sz w:val="24"/>
          <w:szCs w:val="24"/>
          <w:lang w:val="en-US"/>
        </w:rPr>
        <w:t>social response</w:t>
      </w:r>
      <w:r w:rsidR="009D6C94" w:rsidRPr="002C5DE1">
        <w:rPr>
          <w:rFonts w:ascii="Times New Roman" w:hAnsi="Times New Roman" w:cs="Times New Roman"/>
          <w:color w:val="000000" w:themeColor="text1"/>
          <w:sz w:val="24"/>
          <w:szCs w:val="24"/>
          <w:lang w:val="en-US"/>
        </w:rPr>
        <w:t>s</w:t>
      </w:r>
      <w:r w:rsidR="00CF11EA" w:rsidRPr="002C5DE1">
        <w:rPr>
          <w:rFonts w:ascii="Times New Roman" w:hAnsi="Times New Roman" w:cs="Times New Roman"/>
          <w:color w:val="000000" w:themeColor="text1"/>
          <w:sz w:val="24"/>
          <w:szCs w:val="24"/>
          <w:lang w:val="en-US"/>
        </w:rPr>
        <w:t xml:space="preserve"> during</w:t>
      </w:r>
      <w:r w:rsidR="000D2429" w:rsidRPr="002C5DE1">
        <w:rPr>
          <w:rFonts w:ascii="Times New Roman" w:hAnsi="Times New Roman" w:cs="Times New Roman"/>
          <w:color w:val="000000" w:themeColor="text1"/>
          <w:sz w:val="24"/>
          <w:szCs w:val="24"/>
          <w:lang w:val="en-US"/>
        </w:rPr>
        <w:t xml:space="preserve"> the</w:t>
      </w:r>
      <w:r w:rsidR="00CF11EA" w:rsidRPr="002C5DE1">
        <w:rPr>
          <w:rFonts w:ascii="Times New Roman" w:hAnsi="Times New Roman" w:cs="Times New Roman"/>
          <w:color w:val="000000" w:themeColor="text1"/>
          <w:sz w:val="24"/>
          <w:szCs w:val="24"/>
          <w:lang w:val="en-US"/>
        </w:rPr>
        <w:t xml:space="preserve"> previous post-crisis periods. Therefore, we suggest that wealth effects would be higher and more sustainable during post-crisis periods, if policy-makers would effectively use distributional channels rather than declining interest rates to induce consumption. In this respect, intensive social aspects of policies </w:t>
      </w:r>
      <w:r w:rsidR="009D6C94" w:rsidRPr="002C5DE1">
        <w:rPr>
          <w:rFonts w:ascii="Times New Roman" w:hAnsi="Times New Roman" w:cs="Times New Roman"/>
          <w:color w:val="000000" w:themeColor="text1"/>
          <w:sz w:val="24"/>
          <w:szCs w:val="24"/>
          <w:lang w:val="en-US"/>
        </w:rPr>
        <w:t>in</w:t>
      </w:r>
      <w:r w:rsidR="00CF11EA" w:rsidRPr="002C5DE1">
        <w:rPr>
          <w:rFonts w:ascii="Times New Roman" w:hAnsi="Times New Roman" w:cs="Times New Roman"/>
          <w:color w:val="000000" w:themeColor="text1"/>
          <w:sz w:val="24"/>
          <w:szCs w:val="24"/>
          <w:lang w:val="en-US"/>
        </w:rPr>
        <w:t xml:space="preserve"> Covid-19 period were also a better tool in previous post-crisis periods. </w:t>
      </w:r>
      <w:r w:rsidR="009D6C94" w:rsidRPr="002C5DE1">
        <w:rPr>
          <w:rFonts w:ascii="Times New Roman" w:hAnsi="Times New Roman" w:cs="Times New Roman"/>
          <w:color w:val="000000" w:themeColor="text1"/>
          <w:sz w:val="24"/>
          <w:szCs w:val="24"/>
          <w:lang w:val="en-US"/>
        </w:rPr>
        <w:t xml:space="preserve">Therefore, supporting housing and stock market investments of lower income groups would be a supportive policy tool in </w:t>
      </w:r>
      <w:r w:rsidR="000D2429" w:rsidRPr="002C5DE1">
        <w:rPr>
          <w:rFonts w:ascii="Times New Roman" w:hAnsi="Times New Roman" w:cs="Times New Roman"/>
          <w:color w:val="000000" w:themeColor="text1"/>
          <w:sz w:val="24"/>
          <w:szCs w:val="24"/>
          <w:lang w:val="en-US"/>
        </w:rPr>
        <w:t xml:space="preserve">the </w:t>
      </w:r>
      <w:r w:rsidR="009D6C94" w:rsidRPr="002C5DE1">
        <w:rPr>
          <w:rFonts w:ascii="Times New Roman" w:hAnsi="Times New Roman" w:cs="Times New Roman"/>
          <w:color w:val="000000" w:themeColor="text1"/>
          <w:sz w:val="24"/>
          <w:szCs w:val="24"/>
          <w:lang w:val="en-US"/>
        </w:rPr>
        <w:t xml:space="preserve">post-crisis period to stabilize consumption asymmetries. </w:t>
      </w:r>
      <w:r w:rsidR="00774D55" w:rsidRPr="002C5DE1">
        <w:rPr>
          <w:rFonts w:ascii="Times New Roman" w:hAnsi="Times New Roman" w:cs="Times New Roman"/>
          <w:color w:val="000000" w:themeColor="text1"/>
          <w:sz w:val="24"/>
          <w:szCs w:val="24"/>
          <w:lang w:val="en-US"/>
        </w:rPr>
        <w:t xml:space="preserve">Second, taken into account the impacts of wealth effects tend to decline after bubble periods, policy-makers may focus </w:t>
      </w:r>
      <w:r w:rsidR="00CF11EA" w:rsidRPr="002C5DE1">
        <w:rPr>
          <w:rFonts w:ascii="Times New Roman" w:hAnsi="Times New Roman" w:cs="Times New Roman"/>
          <w:color w:val="000000" w:themeColor="text1"/>
          <w:sz w:val="24"/>
          <w:szCs w:val="24"/>
          <w:lang w:val="en-US"/>
        </w:rPr>
        <w:t xml:space="preserve">on </w:t>
      </w:r>
      <w:r w:rsidR="00774D55" w:rsidRPr="002C5DE1">
        <w:rPr>
          <w:rFonts w:ascii="Times New Roman" w:hAnsi="Times New Roman" w:cs="Times New Roman"/>
          <w:color w:val="000000" w:themeColor="text1"/>
          <w:sz w:val="24"/>
          <w:szCs w:val="24"/>
          <w:lang w:val="en-US"/>
        </w:rPr>
        <w:t xml:space="preserve">some long-term objectives to induce consumption. </w:t>
      </w:r>
      <w:r w:rsidR="009D6C94" w:rsidRPr="002C5DE1">
        <w:rPr>
          <w:rFonts w:ascii="Times New Roman" w:hAnsi="Times New Roman" w:cs="Times New Roman"/>
          <w:color w:val="000000" w:themeColor="text1"/>
          <w:sz w:val="24"/>
          <w:szCs w:val="24"/>
          <w:lang w:val="en-US"/>
        </w:rPr>
        <w:t xml:space="preserve">In this context, </w:t>
      </w:r>
      <w:r w:rsidR="00F95B40" w:rsidRPr="002C5DE1">
        <w:rPr>
          <w:rFonts w:ascii="Times New Roman" w:hAnsi="Times New Roman" w:cs="Times New Roman"/>
          <w:color w:val="000000" w:themeColor="text1"/>
          <w:sz w:val="24"/>
          <w:szCs w:val="24"/>
          <w:lang w:val="en-US"/>
        </w:rPr>
        <w:t xml:space="preserve">the recent </w:t>
      </w:r>
      <w:r w:rsidR="00491424" w:rsidRPr="002C5DE1">
        <w:rPr>
          <w:rFonts w:ascii="Times New Roman" w:hAnsi="Times New Roman" w:cs="Times New Roman"/>
          <w:color w:val="000000" w:themeColor="text1"/>
          <w:sz w:val="24"/>
          <w:szCs w:val="24"/>
          <w:lang w:val="en-US"/>
        </w:rPr>
        <w:t>bubble l</w:t>
      </w:r>
      <w:r w:rsidR="00774D55" w:rsidRPr="002C5DE1">
        <w:rPr>
          <w:rFonts w:ascii="Times New Roman" w:hAnsi="Times New Roman" w:cs="Times New Roman"/>
          <w:color w:val="000000" w:themeColor="text1"/>
          <w:sz w:val="24"/>
          <w:szCs w:val="24"/>
          <w:lang w:val="en-US"/>
        </w:rPr>
        <w:t xml:space="preserve">essons </w:t>
      </w:r>
      <w:r w:rsidR="009D6C94" w:rsidRPr="002C5DE1">
        <w:rPr>
          <w:rFonts w:ascii="Times New Roman" w:hAnsi="Times New Roman" w:cs="Times New Roman"/>
          <w:color w:val="000000" w:themeColor="text1"/>
          <w:sz w:val="24"/>
          <w:szCs w:val="24"/>
          <w:lang w:val="en-US"/>
        </w:rPr>
        <w:t xml:space="preserve">also </w:t>
      </w:r>
      <w:r w:rsidR="00491424" w:rsidRPr="002C5DE1">
        <w:rPr>
          <w:rFonts w:ascii="Times New Roman" w:hAnsi="Times New Roman" w:cs="Times New Roman"/>
          <w:color w:val="000000" w:themeColor="text1"/>
          <w:sz w:val="24"/>
          <w:szCs w:val="24"/>
          <w:lang w:val="en-US"/>
        </w:rPr>
        <w:t xml:space="preserve">suggest that declining income/wealth inequalities and </w:t>
      </w:r>
      <w:r w:rsidR="00CF11EA" w:rsidRPr="002C5DE1">
        <w:rPr>
          <w:rFonts w:ascii="Times New Roman" w:hAnsi="Times New Roman" w:cs="Times New Roman"/>
          <w:color w:val="000000" w:themeColor="text1"/>
          <w:sz w:val="24"/>
          <w:szCs w:val="24"/>
          <w:lang w:val="en-US"/>
        </w:rPr>
        <w:t xml:space="preserve">eliminating </w:t>
      </w:r>
      <w:r w:rsidR="00491424" w:rsidRPr="002C5DE1">
        <w:rPr>
          <w:rFonts w:ascii="Times New Roman" w:hAnsi="Times New Roman" w:cs="Times New Roman"/>
          <w:color w:val="000000" w:themeColor="text1"/>
          <w:sz w:val="24"/>
          <w:szCs w:val="24"/>
          <w:lang w:val="en-US"/>
        </w:rPr>
        <w:t>credit</w:t>
      </w:r>
      <w:r w:rsidR="008D2D2B" w:rsidRPr="002C5DE1">
        <w:rPr>
          <w:rFonts w:ascii="Times New Roman" w:hAnsi="Times New Roman" w:cs="Times New Roman"/>
          <w:color w:val="000000" w:themeColor="text1"/>
          <w:sz w:val="24"/>
          <w:szCs w:val="24"/>
          <w:lang w:val="en-US"/>
        </w:rPr>
        <w:t>-</w:t>
      </w:r>
      <w:r w:rsidR="00FD2B35" w:rsidRPr="002C5DE1">
        <w:rPr>
          <w:rFonts w:ascii="Times New Roman" w:hAnsi="Times New Roman" w:cs="Times New Roman"/>
          <w:color w:val="000000" w:themeColor="text1"/>
          <w:sz w:val="24"/>
          <w:szCs w:val="24"/>
          <w:lang w:val="en-US"/>
        </w:rPr>
        <w:t>fueled</w:t>
      </w:r>
      <w:r w:rsidR="00491424" w:rsidRPr="002C5DE1">
        <w:rPr>
          <w:rFonts w:ascii="Times New Roman" w:hAnsi="Times New Roman" w:cs="Times New Roman"/>
          <w:color w:val="000000" w:themeColor="text1"/>
          <w:sz w:val="24"/>
          <w:szCs w:val="24"/>
          <w:lang w:val="en-US"/>
        </w:rPr>
        <w:t xml:space="preserve"> </w:t>
      </w:r>
      <w:r w:rsidR="00F95B40" w:rsidRPr="002C5DE1">
        <w:rPr>
          <w:rFonts w:ascii="Times New Roman" w:hAnsi="Times New Roman" w:cs="Times New Roman"/>
          <w:color w:val="000000" w:themeColor="text1"/>
          <w:sz w:val="24"/>
          <w:szCs w:val="24"/>
          <w:lang w:val="en-US"/>
        </w:rPr>
        <w:t>consumption</w:t>
      </w:r>
      <w:r w:rsidR="0051232A" w:rsidRPr="002C5DE1">
        <w:rPr>
          <w:rFonts w:ascii="Times New Roman" w:hAnsi="Times New Roman" w:cs="Times New Roman"/>
          <w:color w:val="000000" w:themeColor="text1"/>
          <w:sz w:val="24"/>
          <w:szCs w:val="24"/>
          <w:lang w:val="en-US"/>
        </w:rPr>
        <w:t xml:space="preserve"> </w:t>
      </w:r>
      <w:r w:rsidR="00F95B40" w:rsidRPr="002C5DE1">
        <w:rPr>
          <w:rFonts w:ascii="Times New Roman" w:hAnsi="Times New Roman" w:cs="Times New Roman"/>
          <w:color w:val="000000" w:themeColor="text1"/>
          <w:sz w:val="24"/>
          <w:szCs w:val="24"/>
          <w:lang w:val="en-US"/>
        </w:rPr>
        <w:t xml:space="preserve">growth </w:t>
      </w:r>
      <w:r w:rsidR="00CF11EA" w:rsidRPr="002C5DE1">
        <w:rPr>
          <w:rFonts w:ascii="Times New Roman" w:hAnsi="Times New Roman" w:cs="Times New Roman"/>
          <w:color w:val="000000" w:themeColor="text1"/>
          <w:sz w:val="24"/>
          <w:szCs w:val="24"/>
          <w:lang w:val="en-US"/>
        </w:rPr>
        <w:t xml:space="preserve">policies </w:t>
      </w:r>
      <w:r w:rsidR="00F95B40" w:rsidRPr="002C5DE1">
        <w:rPr>
          <w:rFonts w:ascii="Times New Roman" w:hAnsi="Times New Roman" w:cs="Times New Roman"/>
          <w:color w:val="000000" w:themeColor="text1"/>
          <w:sz w:val="24"/>
          <w:szCs w:val="24"/>
          <w:lang w:val="en-US"/>
        </w:rPr>
        <w:t xml:space="preserve">may help to </w:t>
      </w:r>
      <w:r w:rsidR="0051232A" w:rsidRPr="002C5DE1">
        <w:rPr>
          <w:rFonts w:ascii="Times New Roman" w:hAnsi="Times New Roman" w:cs="Times New Roman"/>
          <w:color w:val="000000" w:themeColor="text1"/>
          <w:sz w:val="24"/>
          <w:szCs w:val="24"/>
          <w:lang w:val="en-US"/>
        </w:rPr>
        <w:t xml:space="preserve">reduce possible income and wealth effect-related asymmetries in consumption. Third, the evidence also implies that policy-makers may </w:t>
      </w:r>
      <w:r w:rsidR="003804A9" w:rsidRPr="002C5DE1">
        <w:rPr>
          <w:rFonts w:ascii="Times New Roman" w:hAnsi="Times New Roman" w:cs="Times New Roman"/>
          <w:color w:val="000000" w:themeColor="text1"/>
          <w:sz w:val="24"/>
          <w:szCs w:val="24"/>
          <w:lang w:val="en-US"/>
        </w:rPr>
        <w:t>develop some income distribution sensitive wealth effect policies. In this respect, nuanced wealth effect policies may create different policy targets for different socio-economic agents</w:t>
      </w:r>
      <w:r w:rsidR="00CF11EA" w:rsidRPr="002C5DE1">
        <w:rPr>
          <w:rFonts w:ascii="Times New Roman" w:hAnsi="Times New Roman" w:cs="Times New Roman"/>
          <w:color w:val="000000" w:themeColor="text1"/>
          <w:sz w:val="24"/>
          <w:szCs w:val="24"/>
          <w:lang w:val="en-US"/>
        </w:rPr>
        <w:t xml:space="preserve"> to manage possible saving and consumption behaviors</w:t>
      </w:r>
      <w:r w:rsidR="003804A9" w:rsidRPr="002C5DE1">
        <w:rPr>
          <w:rFonts w:ascii="Times New Roman" w:hAnsi="Times New Roman" w:cs="Times New Roman"/>
          <w:color w:val="000000" w:themeColor="text1"/>
          <w:sz w:val="24"/>
          <w:szCs w:val="24"/>
          <w:lang w:val="en-US"/>
        </w:rPr>
        <w:t xml:space="preserve">. </w:t>
      </w:r>
      <w:r w:rsidR="00CF11EA" w:rsidRPr="002C5DE1">
        <w:rPr>
          <w:rFonts w:ascii="Times New Roman" w:hAnsi="Times New Roman" w:cs="Times New Roman"/>
          <w:color w:val="000000" w:themeColor="text1"/>
          <w:sz w:val="24"/>
          <w:szCs w:val="24"/>
          <w:lang w:val="en-US"/>
        </w:rPr>
        <w:t xml:space="preserve">For example, supporting housing and stock market investments </w:t>
      </w:r>
      <w:r w:rsidR="00A234E4">
        <w:rPr>
          <w:rFonts w:ascii="Times New Roman" w:hAnsi="Times New Roman" w:cs="Times New Roman"/>
          <w:color w:val="000000" w:themeColor="text1"/>
          <w:sz w:val="24"/>
          <w:szCs w:val="24"/>
          <w:lang w:val="en-US"/>
        </w:rPr>
        <w:t xml:space="preserve">of low-income group </w:t>
      </w:r>
      <w:r w:rsidR="00CF11EA" w:rsidRPr="002C5DE1">
        <w:rPr>
          <w:rFonts w:ascii="Times New Roman" w:hAnsi="Times New Roman" w:cs="Times New Roman"/>
          <w:color w:val="000000" w:themeColor="text1"/>
          <w:sz w:val="24"/>
          <w:szCs w:val="24"/>
          <w:lang w:val="en-US"/>
        </w:rPr>
        <w:t xml:space="preserve">may probably increase consumption in the short-term, whereas saving tendency of high-income groups may penalize if this policy is well with the other macroeconomic targets. </w:t>
      </w:r>
    </w:p>
    <w:p w14:paraId="19C57B54" w14:textId="77777777" w:rsidR="00AC5AE4" w:rsidRPr="002C5DE1" w:rsidRDefault="00435D5B" w:rsidP="001564A9">
      <w:pPr>
        <w:pStyle w:val="Heading1"/>
        <w:spacing w:line="276" w:lineRule="auto"/>
        <w:rPr>
          <w:rFonts w:ascii="Times New Roman" w:hAnsi="Times New Roman" w:cs="Times New Roman"/>
          <w:b/>
          <w:color w:val="000000" w:themeColor="text1"/>
          <w:sz w:val="24"/>
          <w:szCs w:val="24"/>
          <w:lang w:val="en-US"/>
        </w:rPr>
      </w:pPr>
      <w:r w:rsidRPr="002C5DE1">
        <w:rPr>
          <w:rFonts w:ascii="Times New Roman" w:hAnsi="Times New Roman" w:cs="Times New Roman"/>
          <w:b/>
          <w:color w:val="000000" w:themeColor="text1"/>
          <w:sz w:val="24"/>
          <w:szCs w:val="24"/>
          <w:lang w:val="en-US"/>
        </w:rPr>
        <w:lastRenderedPageBreak/>
        <w:t>6</w:t>
      </w:r>
      <w:r w:rsidR="00AC5AE4" w:rsidRPr="002C5DE1">
        <w:rPr>
          <w:rFonts w:ascii="Times New Roman" w:hAnsi="Times New Roman" w:cs="Times New Roman"/>
          <w:b/>
          <w:color w:val="000000" w:themeColor="text1"/>
          <w:sz w:val="24"/>
          <w:szCs w:val="24"/>
          <w:lang w:val="en-US"/>
        </w:rPr>
        <w:t xml:space="preserve">. </w:t>
      </w:r>
      <w:r w:rsidR="00D85EA2" w:rsidRPr="002C5DE1">
        <w:rPr>
          <w:rFonts w:ascii="Times New Roman" w:hAnsi="Times New Roman" w:cs="Times New Roman"/>
          <w:b/>
          <w:color w:val="000000" w:themeColor="text1"/>
          <w:sz w:val="24"/>
          <w:szCs w:val="24"/>
          <w:lang w:val="en-US"/>
        </w:rPr>
        <w:t xml:space="preserve">Summary and </w:t>
      </w:r>
      <w:r w:rsidR="00AC5AE4" w:rsidRPr="002C5DE1">
        <w:rPr>
          <w:rFonts w:ascii="Times New Roman" w:hAnsi="Times New Roman" w:cs="Times New Roman"/>
          <w:b/>
          <w:color w:val="000000" w:themeColor="text1"/>
          <w:sz w:val="24"/>
          <w:szCs w:val="24"/>
          <w:lang w:val="en-US"/>
        </w:rPr>
        <w:t>C</w:t>
      </w:r>
      <w:r w:rsidR="00F44DC5" w:rsidRPr="002C5DE1">
        <w:rPr>
          <w:rFonts w:ascii="Times New Roman" w:hAnsi="Times New Roman" w:cs="Times New Roman"/>
          <w:b/>
          <w:color w:val="000000" w:themeColor="text1"/>
          <w:sz w:val="24"/>
          <w:szCs w:val="24"/>
          <w:lang w:val="en-US"/>
        </w:rPr>
        <w:t>oncluding Remarks</w:t>
      </w:r>
    </w:p>
    <w:p w14:paraId="4819092D" w14:textId="77777777" w:rsidR="00A371D0" w:rsidRDefault="00557A6D" w:rsidP="008E588C">
      <w:pPr>
        <w:spacing w:before="60" w:after="0" w:line="276" w:lineRule="auto"/>
        <w:ind w:firstLine="357"/>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 xml:space="preserve">This paper </w:t>
      </w:r>
      <w:r w:rsidR="005F6EDC" w:rsidRPr="002C5DE1">
        <w:rPr>
          <w:rFonts w:ascii="Times New Roman" w:hAnsi="Times New Roman" w:cs="Times New Roman"/>
          <w:color w:val="000000" w:themeColor="text1"/>
          <w:sz w:val="24"/>
          <w:szCs w:val="24"/>
          <w:lang w:val="en-US"/>
        </w:rPr>
        <w:t>explore</w:t>
      </w:r>
      <w:r w:rsidR="00414C6E" w:rsidRPr="002C5DE1">
        <w:rPr>
          <w:rFonts w:ascii="Times New Roman" w:hAnsi="Times New Roman" w:cs="Times New Roman"/>
          <w:color w:val="000000" w:themeColor="text1"/>
          <w:sz w:val="24"/>
          <w:szCs w:val="24"/>
          <w:lang w:val="en-US"/>
        </w:rPr>
        <w:t>d</w:t>
      </w:r>
      <w:r w:rsidR="005F6EDC" w:rsidRPr="002C5DE1">
        <w:rPr>
          <w:rFonts w:ascii="Times New Roman" w:hAnsi="Times New Roman" w:cs="Times New Roman"/>
          <w:color w:val="000000" w:themeColor="text1"/>
          <w:sz w:val="24"/>
          <w:szCs w:val="24"/>
          <w:lang w:val="en-US"/>
        </w:rPr>
        <w:t xml:space="preserve"> </w:t>
      </w:r>
      <w:r w:rsidR="00414C6E" w:rsidRPr="002C5DE1">
        <w:rPr>
          <w:rFonts w:ascii="Times New Roman" w:hAnsi="Times New Roman" w:cs="Times New Roman"/>
          <w:color w:val="000000" w:themeColor="text1"/>
          <w:sz w:val="24"/>
          <w:szCs w:val="24"/>
          <w:lang w:val="en-US"/>
        </w:rPr>
        <w:t xml:space="preserve">the </w:t>
      </w:r>
      <w:r w:rsidR="00E81941" w:rsidRPr="002C5DE1">
        <w:rPr>
          <w:rFonts w:ascii="Times New Roman" w:hAnsi="Times New Roman" w:cs="Times New Roman"/>
          <w:color w:val="000000" w:themeColor="text1"/>
          <w:sz w:val="24"/>
          <w:szCs w:val="24"/>
          <w:lang w:val="en-US"/>
        </w:rPr>
        <w:t>wealth (housing/stock) effect-consumption nexus</w:t>
      </w:r>
      <w:r w:rsidR="005F6EDC" w:rsidRPr="002C5DE1">
        <w:rPr>
          <w:rFonts w:ascii="Times New Roman" w:hAnsi="Times New Roman" w:cs="Times New Roman"/>
          <w:color w:val="000000" w:themeColor="text1"/>
          <w:sz w:val="24"/>
          <w:szCs w:val="24"/>
          <w:lang w:val="en-US"/>
        </w:rPr>
        <w:t xml:space="preserve"> using panel data </w:t>
      </w:r>
      <w:r w:rsidR="00414C6E" w:rsidRPr="002C5DE1">
        <w:rPr>
          <w:rFonts w:ascii="Times New Roman" w:hAnsi="Times New Roman" w:cs="Times New Roman"/>
          <w:color w:val="000000" w:themeColor="text1"/>
          <w:sz w:val="24"/>
          <w:szCs w:val="24"/>
          <w:lang w:val="en-US"/>
        </w:rPr>
        <w:t>from</w:t>
      </w:r>
      <w:r w:rsidR="005F6EDC" w:rsidRPr="002C5DE1">
        <w:rPr>
          <w:rFonts w:ascii="Times New Roman" w:hAnsi="Times New Roman" w:cs="Times New Roman"/>
          <w:color w:val="000000" w:themeColor="text1"/>
          <w:sz w:val="24"/>
          <w:szCs w:val="24"/>
          <w:lang w:val="en-US"/>
        </w:rPr>
        <w:t xml:space="preserve"> 2</w:t>
      </w:r>
      <w:r w:rsidR="00F31019" w:rsidRPr="002C5DE1">
        <w:rPr>
          <w:rFonts w:ascii="Times New Roman" w:hAnsi="Times New Roman" w:cs="Times New Roman"/>
          <w:color w:val="000000" w:themeColor="text1"/>
          <w:sz w:val="24"/>
          <w:szCs w:val="24"/>
          <w:lang w:val="en-US"/>
        </w:rPr>
        <w:t>4</w:t>
      </w:r>
      <w:r w:rsidR="005F6EDC" w:rsidRPr="002C5DE1">
        <w:rPr>
          <w:rFonts w:ascii="Times New Roman" w:hAnsi="Times New Roman" w:cs="Times New Roman"/>
          <w:color w:val="000000" w:themeColor="text1"/>
          <w:sz w:val="24"/>
          <w:szCs w:val="24"/>
          <w:lang w:val="en-US"/>
        </w:rPr>
        <w:t xml:space="preserve"> OECD countries</w:t>
      </w:r>
      <w:r w:rsidR="00414C6E" w:rsidRPr="002C5DE1">
        <w:rPr>
          <w:rFonts w:ascii="Times New Roman" w:hAnsi="Times New Roman" w:cs="Times New Roman"/>
          <w:color w:val="000000" w:themeColor="text1"/>
          <w:sz w:val="24"/>
          <w:szCs w:val="24"/>
          <w:lang w:val="en-US"/>
        </w:rPr>
        <w:t>, spanning</w:t>
      </w:r>
      <w:r w:rsidR="00A1792A" w:rsidRPr="002C5DE1">
        <w:rPr>
          <w:rFonts w:ascii="Times New Roman" w:hAnsi="Times New Roman" w:cs="Times New Roman"/>
          <w:color w:val="000000" w:themeColor="text1"/>
          <w:sz w:val="24"/>
          <w:szCs w:val="24"/>
          <w:lang w:val="en-US"/>
        </w:rPr>
        <w:t xml:space="preserve"> the period 2000</w:t>
      </w:r>
      <w:r w:rsidR="00E32507" w:rsidRPr="002C5DE1">
        <w:rPr>
          <w:rFonts w:ascii="Times New Roman" w:hAnsi="Times New Roman" w:cs="Times New Roman"/>
          <w:color w:val="000000" w:themeColor="text1"/>
          <w:sz w:val="24"/>
          <w:szCs w:val="24"/>
          <w:lang w:val="en-US"/>
        </w:rPr>
        <w:t>Q</w:t>
      </w:r>
      <w:r w:rsidR="00830E47" w:rsidRPr="002C5DE1">
        <w:rPr>
          <w:rFonts w:ascii="Times New Roman" w:hAnsi="Times New Roman" w:cs="Times New Roman"/>
          <w:color w:val="000000" w:themeColor="text1"/>
          <w:sz w:val="24"/>
          <w:szCs w:val="24"/>
          <w:lang w:val="en-US"/>
        </w:rPr>
        <w:t>1</w:t>
      </w:r>
      <w:r w:rsidR="005F6EDC" w:rsidRPr="002C5DE1">
        <w:rPr>
          <w:rFonts w:ascii="Times New Roman" w:hAnsi="Times New Roman" w:cs="Times New Roman"/>
          <w:color w:val="000000" w:themeColor="text1"/>
          <w:sz w:val="24"/>
          <w:szCs w:val="24"/>
          <w:lang w:val="en-US"/>
        </w:rPr>
        <w:t xml:space="preserve"> </w:t>
      </w:r>
      <w:r w:rsidR="00414C6E" w:rsidRPr="002C5DE1">
        <w:rPr>
          <w:rFonts w:ascii="Times New Roman" w:hAnsi="Times New Roman" w:cs="Times New Roman"/>
          <w:color w:val="000000" w:themeColor="text1"/>
          <w:sz w:val="24"/>
          <w:szCs w:val="24"/>
          <w:lang w:val="en-US"/>
        </w:rPr>
        <w:t>to</w:t>
      </w:r>
      <w:r w:rsidR="005F6EDC" w:rsidRPr="002C5DE1">
        <w:rPr>
          <w:rFonts w:ascii="Times New Roman" w:hAnsi="Times New Roman" w:cs="Times New Roman"/>
          <w:color w:val="000000" w:themeColor="text1"/>
          <w:sz w:val="24"/>
          <w:szCs w:val="24"/>
          <w:lang w:val="en-US"/>
        </w:rPr>
        <w:t xml:space="preserve"> 2016</w:t>
      </w:r>
      <w:r w:rsidR="00E32507" w:rsidRPr="002C5DE1">
        <w:rPr>
          <w:rFonts w:ascii="Times New Roman" w:hAnsi="Times New Roman" w:cs="Times New Roman"/>
          <w:color w:val="000000" w:themeColor="text1"/>
          <w:sz w:val="24"/>
          <w:szCs w:val="24"/>
          <w:lang w:val="en-US"/>
        </w:rPr>
        <w:t>Q</w:t>
      </w:r>
      <w:r w:rsidR="00830E47" w:rsidRPr="002C5DE1">
        <w:rPr>
          <w:rFonts w:ascii="Times New Roman" w:hAnsi="Times New Roman" w:cs="Times New Roman"/>
          <w:color w:val="000000" w:themeColor="text1"/>
          <w:sz w:val="24"/>
          <w:szCs w:val="24"/>
          <w:lang w:val="en-US"/>
        </w:rPr>
        <w:t>4</w:t>
      </w:r>
      <w:r w:rsidR="005F6EDC" w:rsidRPr="002C5DE1">
        <w:rPr>
          <w:rFonts w:ascii="Times New Roman" w:hAnsi="Times New Roman" w:cs="Times New Roman"/>
          <w:color w:val="000000" w:themeColor="text1"/>
          <w:sz w:val="24"/>
          <w:szCs w:val="24"/>
          <w:lang w:val="en-US"/>
        </w:rPr>
        <w:t xml:space="preserve"> </w:t>
      </w:r>
      <w:r w:rsidR="00414C6E" w:rsidRPr="002C5DE1">
        <w:rPr>
          <w:rFonts w:ascii="Times New Roman" w:hAnsi="Times New Roman" w:cs="Times New Roman"/>
          <w:color w:val="000000" w:themeColor="text1"/>
          <w:sz w:val="24"/>
          <w:szCs w:val="24"/>
          <w:lang w:val="en-US"/>
        </w:rPr>
        <w:t>and</w:t>
      </w:r>
      <w:r w:rsidR="005F6EDC" w:rsidRPr="002C5DE1">
        <w:rPr>
          <w:rFonts w:ascii="Times New Roman" w:hAnsi="Times New Roman" w:cs="Times New Roman"/>
          <w:color w:val="000000" w:themeColor="text1"/>
          <w:sz w:val="24"/>
          <w:szCs w:val="24"/>
          <w:lang w:val="en-US"/>
        </w:rPr>
        <w:t xml:space="preserve"> employing </w:t>
      </w:r>
      <w:r w:rsidR="00414C6E" w:rsidRPr="002C5DE1">
        <w:rPr>
          <w:rFonts w:ascii="Times New Roman" w:hAnsi="Times New Roman" w:cs="Times New Roman"/>
          <w:color w:val="000000" w:themeColor="text1"/>
          <w:sz w:val="24"/>
          <w:szCs w:val="24"/>
          <w:lang w:val="en-US"/>
        </w:rPr>
        <w:t xml:space="preserve">the </w:t>
      </w:r>
      <w:r w:rsidR="00CF7EA5" w:rsidRPr="002C5DE1">
        <w:rPr>
          <w:rFonts w:ascii="Times New Roman" w:hAnsi="Times New Roman" w:cs="Times New Roman"/>
          <w:color w:val="000000" w:themeColor="text1"/>
          <w:sz w:val="24"/>
          <w:szCs w:val="24"/>
          <w:lang w:val="en-US"/>
        </w:rPr>
        <w:t>financial development (</w:t>
      </w:r>
      <w:r w:rsidR="003C2300" w:rsidRPr="002C5DE1">
        <w:rPr>
          <w:rFonts w:ascii="Times New Roman" w:hAnsi="Times New Roman" w:cs="Times New Roman"/>
          <w:color w:val="000000" w:themeColor="text1"/>
          <w:sz w:val="24"/>
          <w:szCs w:val="24"/>
          <w:lang w:val="en-US"/>
        </w:rPr>
        <w:t>FD</w:t>
      </w:r>
      <w:r w:rsidR="00CF7EA5" w:rsidRPr="002C5DE1">
        <w:rPr>
          <w:rFonts w:ascii="Times New Roman" w:hAnsi="Times New Roman" w:cs="Times New Roman"/>
          <w:color w:val="000000" w:themeColor="text1"/>
          <w:sz w:val="24"/>
          <w:szCs w:val="24"/>
          <w:lang w:val="en-US"/>
        </w:rPr>
        <w:t>) index</w:t>
      </w:r>
      <w:r w:rsidR="003C2300" w:rsidRPr="002C5DE1">
        <w:rPr>
          <w:rFonts w:ascii="Times New Roman" w:hAnsi="Times New Roman" w:cs="Times New Roman"/>
          <w:color w:val="000000" w:themeColor="text1"/>
          <w:sz w:val="24"/>
          <w:szCs w:val="24"/>
          <w:lang w:val="en-US"/>
        </w:rPr>
        <w:t xml:space="preserve"> </w:t>
      </w:r>
      <w:r w:rsidR="005F6EDC" w:rsidRPr="002C5DE1">
        <w:rPr>
          <w:rFonts w:ascii="Times New Roman" w:hAnsi="Times New Roman" w:cs="Times New Roman"/>
          <w:color w:val="000000" w:themeColor="text1"/>
          <w:sz w:val="24"/>
          <w:szCs w:val="24"/>
          <w:lang w:val="en-US"/>
        </w:rPr>
        <w:t xml:space="preserve">and </w:t>
      </w:r>
      <w:r w:rsidR="00414C6E" w:rsidRPr="002C5DE1">
        <w:rPr>
          <w:rFonts w:ascii="Times New Roman" w:hAnsi="Times New Roman" w:cs="Times New Roman"/>
          <w:color w:val="000000" w:themeColor="text1"/>
          <w:sz w:val="24"/>
          <w:szCs w:val="24"/>
          <w:lang w:val="en-US"/>
        </w:rPr>
        <w:t xml:space="preserve">the </w:t>
      </w:r>
      <w:r w:rsidR="00CF7EA5" w:rsidRPr="002C5DE1">
        <w:rPr>
          <w:rFonts w:ascii="Times New Roman" w:hAnsi="Times New Roman" w:cs="Times New Roman"/>
          <w:color w:val="000000" w:themeColor="text1"/>
          <w:sz w:val="24"/>
          <w:szCs w:val="24"/>
          <w:lang w:val="en-US"/>
        </w:rPr>
        <w:t>house price-to-income (</w:t>
      </w:r>
      <w:r w:rsidR="003C2300" w:rsidRPr="002C5DE1">
        <w:rPr>
          <w:rFonts w:ascii="Times New Roman" w:hAnsi="Times New Roman" w:cs="Times New Roman"/>
          <w:color w:val="000000" w:themeColor="text1"/>
          <w:sz w:val="24"/>
          <w:szCs w:val="24"/>
          <w:lang w:val="en-US"/>
        </w:rPr>
        <w:t>HPI</w:t>
      </w:r>
      <w:r w:rsidR="00CF7EA5" w:rsidRPr="002C5DE1">
        <w:rPr>
          <w:rFonts w:ascii="Times New Roman" w:hAnsi="Times New Roman" w:cs="Times New Roman"/>
          <w:color w:val="000000" w:themeColor="text1"/>
          <w:sz w:val="24"/>
          <w:szCs w:val="24"/>
          <w:lang w:val="en-US"/>
        </w:rPr>
        <w:t>)</w:t>
      </w:r>
      <w:r w:rsidR="005F6EDC" w:rsidRPr="002C5DE1">
        <w:rPr>
          <w:rFonts w:ascii="Times New Roman" w:hAnsi="Times New Roman" w:cs="Times New Roman"/>
          <w:color w:val="000000" w:themeColor="text1"/>
          <w:sz w:val="24"/>
          <w:szCs w:val="24"/>
          <w:lang w:val="en-US"/>
        </w:rPr>
        <w:t xml:space="preserve"> ratio </w:t>
      </w:r>
      <w:r w:rsidR="00414C6E" w:rsidRPr="002C5DE1">
        <w:rPr>
          <w:rFonts w:ascii="Times New Roman" w:hAnsi="Times New Roman" w:cs="Times New Roman"/>
          <w:color w:val="000000" w:themeColor="text1"/>
          <w:sz w:val="24"/>
          <w:szCs w:val="24"/>
          <w:lang w:val="en-US"/>
        </w:rPr>
        <w:t>within a</w:t>
      </w:r>
      <w:r w:rsidR="005F6EDC" w:rsidRPr="002C5DE1">
        <w:rPr>
          <w:rFonts w:ascii="Times New Roman" w:hAnsi="Times New Roman" w:cs="Times New Roman"/>
          <w:color w:val="000000" w:themeColor="text1"/>
          <w:sz w:val="24"/>
          <w:szCs w:val="24"/>
          <w:lang w:val="en-US"/>
        </w:rPr>
        <w:t xml:space="preserve"> threshold analysis</w:t>
      </w:r>
      <w:r w:rsidR="00414C6E" w:rsidRPr="002C5DE1">
        <w:rPr>
          <w:rFonts w:ascii="Times New Roman" w:hAnsi="Times New Roman" w:cs="Times New Roman"/>
          <w:color w:val="000000" w:themeColor="text1"/>
          <w:sz w:val="24"/>
          <w:szCs w:val="24"/>
          <w:lang w:val="en-US"/>
        </w:rPr>
        <w:t xml:space="preserve"> framework</w:t>
      </w:r>
      <w:r w:rsidR="005F6EDC" w:rsidRPr="002C5DE1">
        <w:rPr>
          <w:rFonts w:ascii="Times New Roman" w:hAnsi="Times New Roman" w:cs="Times New Roman"/>
          <w:color w:val="000000" w:themeColor="text1"/>
          <w:sz w:val="24"/>
          <w:szCs w:val="24"/>
          <w:lang w:val="en-US"/>
        </w:rPr>
        <w:t>.</w:t>
      </w:r>
      <w:r w:rsidR="00E81941" w:rsidRPr="002C5DE1">
        <w:rPr>
          <w:rFonts w:ascii="Times New Roman" w:hAnsi="Times New Roman" w:cs="Times New Roman"/>
          <w:color w:val="000000" w:themeColor="text1"/>
          <w:sz w:val="24"/>
          <w:szCs w:val="24"/>
          <w:lang w:val="en-US"/>
        </w:rPr>
        <w:t xml:space="preserve"> </w:t>
      </w:r>
      <w:r w:rsidR="00414C6E" w:rsidRPr="002C5DE1">
        <w:rPr>
          <w:rFonts w:ascii="Times New Roman" w:hAnsi="Times New Roman" w:cs="Times New Roman"/>
          <w:color w:val="000000" w:themeColor="text1"/>
          <w:sz w:val="24"/>
          <w:szCs w:val="24"/>
          <w:lang w:val="en-US"/>
        </w:rPr>
        <w:t xml:space="preserve">The </w:t>
      </w:r>
      <w:r w:rsidR="00830E47" w:rsidRPr="002C5DE1">
        <w:rPr>
          <w:rFonts w:ascii="Times New Roman" w:hAnsi="Times New Roman" w:cs="Times New Roman"/>
          <w:color w:val="000000" w:themeColor="text1"/>
          <w:sz w:val="24"/>
          <w:szCs w:val="24"/>
          <w:lang w:val="en-US"/>
        </w:rPr>
        <w:t xml:space="preserve">main </w:t>
      </w:r>
      <w:r w:rsidR="00414C6E" w:rsidRPr="002C5DE1">
        <w:rPr>
          <w:rFonts w:ascii="Times New Roman" w:hAnsi="Times New Roman" w:cs="Times New Roman"/>
          <w:color w:val="000000" w:themeColor="text1"/>
          <w:sz w:val="24"/>
          <w:szCs w:val="24"/>
          <w:lang w:val="en-US"/>
        </w:rPr>
        <w:t xml:space="preserve">findings </w:t>
      </w:r>
      <w:r w:rsidR="006317FA" w:rsidRPr="002C5DE1">
        <w:rPr>
          <w:rFonts w:ascii="Times New Roman" w:hAnsi="Times New Roman" w:cs="Times New Roman"/>
          <w:color w:val="000000" w:themeColor="text1"/>
          <w:sz w:val="24"/>
          <w:szCs w:val="24"/>
          <w:lang w:val="en-US"/>
        </w:rPr>
        <w:t xml:space="preserve">based on the model results (table 8) </w:t>
      </w:r>
      <w:r w:rsidR="00414C6E" w:rsidRPr="002C5DE1">
        <w:rPr>
          <w:rFonts w:ascii="Times New Roman" w:hAnsi="Times New Roman" w:cs="Times New Roman"/>
          <w:color w:val="000000" w:themeColor="text1"/>
          <w:sz w:val="24"/>
          <w:szCs w:val="24"/>
          <w:lang w:val="en-US"/>
        </w:rPr>
        <w:t>documented</w:t>
      </w:r>
      <w:r w:rsidR="00E81941" w:rsidRPr="002C5DE1">
        <w:rPr>
          <w:rFonts w:ascii="Times New Roman" w:hAnsi="Times New Roman" w:cs="Times New Roman"/>
          <w:color w:val="000000" w:themeColor="text1"/>
          <w:sz w:val="24"/>
          <w:szCs w:val="24"/>
          <w:lang w:val="en-US"/>
        </w:rPr>
        <w:t xml:space="preserve"> </w:t>
      </w:r>
      <w:r w:rsidR="003C52CC" w:rsidRPr="002C5DE1">
        <w:rPr>
          <w:rFonts w:ascii="Times New Roman" w:hAnsi="Times New Roman" w:cs="Times New Roman"/>
          <w:color w:val="000000" w:themeColor="text1"/>
          <w:sz w:val="24"/>
          <w:szCs w:val="24"/>
          <w:lang w:val="en-US"/>
        </w:rPr>
        <w:t>the following evidence</w:t>
      </w:r>
      <w:r w:rsidR="00414C6E" w:rsidRPr="002C5DE1">
        <w:rPr>
          <w:rFonts w:ascii="Times New Roman" w:hAnsi="Times New Roman" w:cs="Times New Roman"/>
          <w:color w:val="000000" w:themeColor="text1"/>
          <w:sz w:val="24"/>
          <w:szCs w:val="24"/>
          <w:lang w:val="en-US"/>
        </w:rPr>
        <w:t>:</w:t>
      </w:r>
      <w:r w:rsidR="003C52CC" w:rsidRPr="002C5DE1">
        <w:rPr>
          <w:rFonts w:ascii="Times New Roman" w:hAnsi="Times New Roman" w:cs="Times New Roman"/>
          <w:color w:val="000000" w:themeColor="text1"/>
          <w:sz w:val="24"/>
          <w:szCs w:val="24"/>
          <w:lang w:val="en-US"/>
        </w:rPr>
        <w:t xml:space="preserve"> </w:t>
      </w:r>
    </w:p>
    <w:p w14:paraId="0381DE04" w14:textId="77777777" w:rsidR="00A371D0" w:rsidRPr="00A371D0" w:rsidRDefault="003C52CC" w:rsidP="00A371D0">
      <w:pPr>
        <w:pStyle w:val="ListParagraph"/>
        <w:numPr>
          <w:ilvl w:val="0"/>
          <w:numId w:val="5"/>
        </w:numPr>
        <w:spacing w:before="60" w:after="0" w:line="276" w:lineRule="auto"/>
        <w:jc w:val="both"/>
        <w:rPr>
          <w:rFonts w:ascii="Times New Roman TUR" w:hAnsi="Times New Roman TUR" w:cs="Times New Roman TUR"/>
          <w:color w:val="000000" w:themeColor="text1"/>
          <w:sz w:val="24"/>
          <w:szCs w:val="24"/>
          <w:lang w:val="en-US"/>
        </w:rPr>
      </w:pPr>
      <w:r w:rsidRPr="00A371D0">
        <w:rPr>
          <w:rFonts w:ascii="Times New Roman TUR" w:hAnsi="Times New Roman TUR" w:cs="Times New Roman TUR"/>
          <w:color w:val="000000" w:themeColor="text1"/>
          <w:sz w:val="24"/>
          <w:szCs w:val="24"/>
          <w:lang w:val="en-US"/>
        </w:rPr>
        <w:t>income, housing wealth and stock wealth ha</w:t>
      </w:r>
      <w:r w:rsidR="00414C6E" w:rsidRPr="00A371D0">
        <w:rPr>
          <w:rFonts w:ascii="Times New Roman TUR" w:hAnsi="Times New Roman TUR" w:cs="Times New Roman TUR"/>
          <w:color w:val="000000" w:themeColor="text1"/>
          <w:sz w:val="24"/>
          <w:szCs w:val="24"/>
          <w:lang w:val="en-US"/>
        </w:rPr>
        <w:t>d</w:t>
      </w:r>
      <w:r w:rsidRPr="00A371D0">
        <w:rPr>
          <w:rFonts w:ascii="Times New Roman TUR" w:hAnsi="Times New Roman TUR" w:cs="Times New Roman TUR"/>
          <w:color w:val="000000" w:themeColor="text1"/>
          <w:sz w:val="24"/>
          <w:szCs w:val="24"/>
          <w:lang w:val="en-US"/>
        </w:rPr>
        <w:t xml:space="preserve"> </w:t>
      </w:r>
      <w:r w:rsidR="00414C6E" w:rsidRPr="00A371D0">
        <w:rPr>
          <w:rFonts w:ascii="Times New Roman TUR" w:hAnsi="Times New Roman TUR" w:cs="Times New Roman TUR"/>
          <w:color w:val="000000" w:themeColor="text1"/>
          <w:sz w:val="24"/>
          <w:szCs w:val="24"/>
          <w:lang w:val="en-US"/>
        </w:rPr>
        <w:t xml:space="preserve">a </w:t>
      </w:r>
      <w:r w:rsidRPr="00A371D0">
        <w:rPr>
          <w:rFonts w:ascii="Times New Roman TUR" w:hAnsi="Times New Roman TUR" w:cs="Times New Roman TUR"/>
          <w:color w:val="000000" w:themeColor="text1"/>
          <w:sz w:val="24"/>
          <w:szCs w:val="24"/>
          <w:lang w:val="en-US"/>
        </w:rPr>
        <w:t xml:space="preserve">positive relation with household consumption, </w:t>
      </w:r>
    </w:p>
    <w:p w14:paraId="282EEAB0" w14:textId="77777777" w:rsidR="00A371D0" w:rsidRDefault="003C52CC" w:rsidP="00A371D0">
      <w:pPr>
        <w:pStyle w:val="ListParagraph"/>
        <w:numPr>
          <w:ilvl w:val="0"/>
          <w:numId w:val="5"/>
        </w:numPr>
        <w:spacing w:before="60" w:after="0" w:line="276" w:lineRule="auto"/>
        <w:jc w:val="both"/>
        <w:rPr>
          <w:rFonts w:ascii="Times New Roman TUR" w:hAnsi="Times New Roman TUR" w:cs="Times New Roman TUR"/>
          <w:color w:val="000000" w:themeColor="text1"/>
          <w:sz w:val="24"/>
          <w:szCs w:val="24"/>
          <w:lang w:val="en-US"/>
        </w:rPr>
      </w:pPr>
      <w:r w:rsidRPr="00A371D0">
        <w:rPr>
          <w:rFonts w:ascii="Times New Roman TUR" w:hAnsi="Times New Roman TUR" w:cs="Times New Roman TUR"/>
          <w:color w:val="000000" w:themeColor="text1"/>
          <w:sz w:val="24"/>
          <w:szCs w:val="24"/>
          <w:lang w:val="en-US"/>
        </w:rPr>
        <w:t xml:space="preserve">(ii) income </w:t>
      </w:r>
      <w:r w:rsidR="00414C6E" w:rsidRPr="00A371D0">
        <w:rPr>
          <w:rFonts w:ascii="Times New Roman TUR" w:hAnsi="Times New Roman TUR" w:cs="Times New Roman TUR"/>
          <w:color w:val="000000" w:themeColor="text1"/>
          <w:sz w:val="24"/>
          <w:szCs w:val="24"/>
          <w:lang w:val="en-US"/>
        </w:rPr>
        <w:t>wa</w:t>
      </w:r>
      <w:r w:rsidRPr="00A371D0">
        <w:rPr>
          <w:rFonts w:ascii="Times New Roman TUR" w:hAnsi="Times New Roman TUR" w:cs="Times New Roman TUR"/>
          <w:color w:val="000000" w:themeColor="text1"/>
          <w:sz w:val="24"/>
          <w:szCs w:val="24"/>
          <w:lang w:val="en-US"/>
        </w:rPr>
        <w:t xml:space="preserve">s </w:t>
      </w:r>
      <w:r w:rsidR="00513A0B" w:rsidRPr="00A371D0">
        <w:rPr>
          <w:rFonts w:ascii="Times New Roman TUR" w:hAnsi="Times New Roman TUR" w:cs="Times New Roman TUR"/>
          <w:color w:val="000000" w:themeColor="text1"/>
          <w:sz w:val="24"/>
          <w:szCs w:val="24"/>
          <w:lang w:val="en-US"/>
        </w:rPr>
        <w:t xml:space="preserve">the </w:t>
      </w:r>
      <w:r w:rsidRPr="00A371D0">
        <w:rPr>
          <w:rFonts w:ascii="Times New Roman TUR" w:hAnsi="Times New Roman TUR" w:cs="Times New Roman TUR"/>
          <w:color w:val="000000" w:themeColor="text1"/>
          <w:sz w:val="24"/>
          <w:szCs w:val="24"/>
          <w:lang w:val="en-US"/>
        </w:rPr>
        <w:t xml:space="preserve">predominant variable to explain household consumption, </w:t>
      </w:r>
    </w:p>
    <w:p w14:paraId="2AEE345C" w14:textId="77777777" w:rsidR="00A371D0" w:rsidRDefault="003C52CC" w:rsidP="00A371D0">
      <w:pPr>
        <w:pStyle w:val="ListParagraph"/>
        <w:numPr>
          <w:ilvl w:val="0"/>
          <w:numId w:val="5"/>
        </w:numPr>
        <w:spacing w:before="60" w:after="0" w:line="276" w:lineRule="auto"/>
        <w:jc w:val="both"/>
        <w:rPr>
          <w:rFonts w:ascii="Times New Roman TUR" w:hAnsi="Times New Roman TUR" w:cs="Times New Roman TUR"/>
          <w:color w:val="000000" w:themeColor="text1"/>
          <w:sz w:val="24"/>
          <w:szCs w:val="24"/>
          <w:lang w:val="en-US"/>
        </w:rPr>
      </w:pPr>
      <w:r w:rsidRPr="00A371D0">
        <w:rPr>
          <w:rFonts w:ascii="Times New Roman TUR" w:hAnsi="Times New Roman TUR" w:cs="Times New Roman TUR"/>
          <w:color w:val="000000" w:themeColor="text1"/>
          <w:sz w:val="24"/>
          <w:szCs w:val="24"/>
          <w:lang w:val="en-US"/>
        </w:rPr>
        <w:t>(iii) housing wealth ha</w:t>
      </w:r>
      <w:r w:rsidR="00414C6E" w:rsidRPr="00A371D0">
        <w:rPr>
          <w:rFonts w:ascii="Times New Roman TUR" w:hAnsi="Times New Roman TUR" w:cs="Times New Roman TUR"/>
          <w:color w:val="000000" w:themeColor="text1"/>
          <w:sz w:val="24"/>
          <w:szCs w:val="24"/>
          <w:lang w:val="en-US"/>
        </w:rPr>
        <w:t>d</w:t>
      </w:r>
      <w:r w:rsidRPr="00A371D0">
        <w:rPr>
          <w:rFonts w:ascii="Times New Roman TUR" w:hAnsi="Times New Roman TUR" w:cs="Times New Roman TUR"/>
          <w:color w:val="000000" w:themeColor="text1"/>
          <w:sz w:val="24"/>
          <w:szCs w:val="24"/>
          <w:lang w:val="en-US"/>
        </w:rPr>
        <w:t xml:space="preserve"> a greater positive effect on household</w:t>
      </w:r>
      <w:r w:rsidR="007E44E4" w:rsidRPr="00A371D0">
        <w:rPr>
          <w:rFonts w:ascii="Times New Roman TUR" w:hAnsi="Times New Roman TUR" w:cs="Times New Roman TUR"/>
          <w:color w:val="000000" w:themeColor="text1"/>
          <w:sz w:val="24"/>
          <w:szCs w:val="24"/>
          <w:lang w:val="en-US"/>
        </w:rPr>
        <w:t>s’</w:t>
      </w:r>
      <w:r w:rsidRPr="00A371D0">
        <w:rPr>
          <w:rFonts w:ascii="Times New Roman TUR" w:hAnsi="Times New Roman TUR" w:cs="Times New Roman TUR"/>
          <w:color w:val="000000" w:themeColor="text1"/>
          <w:sz w:val="24"/>
          <w:szCs w:val="24"/>
          <w:lang w:val="en-US"/>
        </w:rPr>
        <w:t xml:space="preserve"> consumption</w:t>
      </w:r>
      <w:r w:rsidR="00414C6E" w:rsidRPr="00A371D0">
        <w:rPr>
          <w:rFonts w:ascii="Times New Roman TUR" w:hAnsi="Times New Roman TUR" w:cs="Times New Roman TUR"/>
          <w:color w:val="000000" w:themeColor="text1"/>
          <w:sz w:val="24"/>
          <w:szCs w:val="24"/>
          <w:lang w:val="en-US"/>
        </w:rPr>
        <w:t xml:space="preserve"> vis-a-vis</w:t>
      </w:r>
      <w:r w:rsidRPr="00A371D0">
        <w:rPr>
          <w:rFonts w:ascii="Times New Roman TUR" w:hAnsi="Times New Roman TUR" w:cs="Times New Roman TUR"/>
          <w:color w:val="000000" w:themeColor="text1"/>
          <w:sz w:val="24"/>
          <w:szCs w:val="24"/>
          <w:lang w:val="en-US"/>
        </w:rPr>
        <w:t xml:space="preserve"> the stock wealth effect, </w:t>
      </w:r>
    </w:p>
    <w:p w14:paraId="0F5B7FC5" w14:textId="77777777" w:rsidR="00A371D0" w:rsidRDefault="003C52CC" w:rsidP="00A371D0">
      <w:pPr>
        <w:pStyle w:val="ListParagraph"/>
        <w:numPr>
          <w:ilvl w:val="0"/>
          <w:numId w:val="5"/>
        </w:numPr>
        <w:spacing w:before="60" w:after="0" w:line="276" w:lineRule="auto"/>
        <w:jc w:val="both"/>
        <w:rPr>
          <w:rFonts w:ascii="Times New Roman TUR" w:hAnsi="Times New Roman TUR" w:cs="Times New Roman TUR"/>
          <w:color w:val="000000" w:themeColor="text1"/>
          <w:sz w:val="24"/>
          <w:szCs w:val="24"/>
          <w:lang w:val="en-US"/>
        </w:rPr>
      </w:pPr>
      <w:r w:rsidRPr="00A371D0">
        <w:rPr>
          <w:rFonts w:ascii="Times New Roman TUR" w:hAnsi="Times New Roman TUR" w:cs="Times New Roman TUR"/>
          <w:color w:val="000000" w:themeColor="text1"/>
          <w:sz w:val="24"/>
          <w:szCs w:val="24"/>
          <w:lang w:val="en-US"/>
        </w:rPr>
        <w:t>(iv) higher financial development and declining housing affordability ha</w:t>
      </w:r>
      <w:r w:rsidR="00414C6E" w:rsidRPr="00A371D0">
        <w:rPr>
          <w:rFonts w:ascii="Times New Roman TUR" w:hAnsi="Times New Roman TUR" w:cs="Times New Roman TUR"/>
          <w:color w:val="000000" w:themeColor="text1"/>
          <w:sz w:val="24"/>
          <w:szCs w:val="24"/>
          <w:lang w:val="en-US"/>
        </w:rPr>
        <w:t>d</w:t>
      </w:r>
      <w:r w:rsidRPr="00A371D0">
        <w:rPr>
          <w:rFonts w:ascii="Times New Roman TUR" w:hAnsi="Times New Roman TUR" w:cs="Times New Roman TUR"/>
          <w:color w:val="000000" w:themeColor="text1"/>
          <w:sz w:val="24"/>
          <w:szCs w:val="24"/>
          <w:lang w:val="en-US"/>
        </w:rPr>
        <w:t xml:space="preserve"> </w:t>
      </w:r>
      <w:r w:rsidR="00414C6E" w:rsidRPr="00A371D0">
        <w:rPr>
          <w:rFonts w:ascii="Times New Roman TUR" w:hAnsi="Times New Roman TUR" w:cs="Times New Roman TUR"/>
          <w:color w:val="000000" w:themeColor="text1"/>
          <w:sz w:val="24"/>
          <w:szCs w:val="24"/>
          <w:lang w:val="en-US"/>
        </w:rPr>
        <w:t xml:space="preserve">a </w:t>
      </w:r>
      <w:r w:rsidRPr="00A371D0">
        <w:rPr>
          <w:rFonts w:ascii="Times New Roman TUR" w:hAnsi="Times New Roman TUR" w:cs="Times New Roman TUR"/>
          <w:color w:val="000000" w:themeColor="text1"/>
          <w:sz w:val="24"/>
          <w:szCs w:val="24"/>
          <w:lang w:val="en-US"/>
        </w:rPr>
        <w:t xml:space="preserve">significantly positive </w:t>
      </w:r>
      <w:r w:rsidR="00414C6E" w:rsidRPr="00A371D0">
        <w:rPr>
          <w:rFonts w:ascii="Times New Roman TUR" w:hAnsi="Times New Roman TUR" w:cs="Times New Roman TUR"/>
          <w:color w:val="000000" w:themeColor="text1"/>
          <w:sz w:val="24"/>
          <w:szCs w:val="24"/>
          <w:lang w:val="en-US"/>
        </w:rPr>
        <w:t>impact</w:t>
      </w:r>
      <w:r w:rsidRPr="00A371D0">
        <w:rPr>
          <w:rFonts w:ascii="Times New Roman TUR" w:hAnsi="Times New Roman TUR" w:cs="Times New Roman TUR"/>
          <w:color w:val="000000" w:themeColor="text1"/>
          <w:sz w:val="24"/>
          <w:szCs w:val="24"/>
          <w:lang w:val="en-US"/>
        </w:rPr>
        <w:t xml:space="preserve"> on housing/stock wealth effects, </w:t>
      </w:r>
    </w:p>
    <w:p w14:paraId="444173F2" w14:textId="77777777" w:rsidR="00A371D0" w:rsidRDefault="003C52CC" w:rsidP="00A371D0">
      <w:pPr>
        <w:pStyle w:val="ListParagraph"/>
        <w:numPr>
          <w:ilvl w:val="0"/>
          <w:numId w:val="5"/>
        </w:numPr>
        <w:spacing w:before="60" w:after="0" w:line="276" w:lineRule="auto"/>
        <w:jc w:val="both"/>
        <w:rPr>
          <w:rFonts w:ascii="Times New Roman TUR" w:hAnsi="Times New Roman TUR" w:cs="Times New Roman TUR"/>
          <w:color w:val="000000" w:themeColor="text1"/>
          <w:sz w:val="24"/>
          <w:szCs w:val="24"/>
          <w:lang w:val="en-US"/>
        </w:rPr>
      </w:pPr>
      <w:r w:rsidRPr="00A371D0">
        <w:rPr>
          <w:rFonts w:ascii="Times New Roman TUR" w:hAnsi="Times New Roman TUR" w:cs="Times New Roman TUR"/>
          <w:color w:val="000000" w:themeColor="text1"/>
          <w:sz w:val="24"/>
          <w:szCs w:val="24"/>
          <w:lang w:val="en-US"/>
        </w:rPr>
        <w:t>(v) similar</w:t>
      </w:r>
      <w:r w:rsidR="00414C6E" w:rsidRPr="00A371D0">
        <w:rPr>
          <w:rFonts w:ascii="Times New Roman TUR" w:hAnsi="Times New Roman TUR" w:cs="Times New Roman TUR"/>
          <w:color w:val="000000" w:themeColor="text1"/>
          <w:sz w:val="24"/>
          <w:szCs w:val="24"/>
          <w:lang w:val="en-US"/>
        </w:rPr>
        <w:t>ly</w:t>
      </w:r>
      <w:r w:rsidRPr="00A371D0">
        <w:rPr>
          <w:rFonts w:ascii="Times New Roman TUR" w:hAnsi="Times New Roman TUR" w:cs="Times New Roman TUR"/>
          <w:color w:val="000000" w:themeColor="text1"/>
          <w:sz w:val="24"/>
          <w:szCs w:val="24"/>
          <w:lang w:val="en-US"/>
        </w:rPr>
        <w:t xml:space="preserve"> to the impact of income, the impact of housing</w:t>
      </w:r>
      <w:r w:rsidR="00B43276" w:rsidRPr="00A371D0">
        <w:rPr>
          <w:rFonts w:ascii="Times New Roman TUR" w:hAnsi="Times New Roman TUR" w:cs="Times New Roman TUR"/>
          <w:color w:val="000000" w:themeColor="text1"/>
          <w:sz w:val="24"/>
          <w:szCs w:val="24"/>
          <w:lang w:val="en-US"/>
        </w:rPr>
        <w:t>/</w:t>
      </w:r>
      <w:r w:rsidRPr="00A371D0">
        <w:rPr>
          <w:rFonts w:ascii="Times New Roman TUR" w:hAnsi="Times New Roman TUR" w:cs="Times New Roman TUR"/>
          <w:color w:val="000000" w:themeColor="text1"/>
          <w:sz w:val="24"/>
          <w:szCs w:val="24"/>
          <w:lang w:val="en-US"/>
        </w:rPr>
        <w:t xml:space="preserve">stock wealth </w:t>
      </w:r>
      <w:r w:rsidR="00B43276" w:rsidRPr="00A371D0">
        <w:rPr>
          <w:rFonts w:ascii="Times New Roman TUR" w:hAnsi="Times New Roman TUR" w:cs="Times New Roman TUR"/>
          <w:color w:val="000000" w:themeColor="text1"/>
          <w:sz w:val="24"/>
          <w:szCs w:val="24"/>
          <w:lang w:val="en-US"/>
        </w:rPr>
        <w:t xml:space="preserve">effect </w:t>
      </w:r>
      <w:r w:rsidRPr="00A371D0">
        <w:rPr>
          <w:rFonts w:ascii="Times New Roman TUR" w:hAnsi="Times New Roman TUR" w:cs="Times New Roman TUR"/>
          <w:color w:val="000000" w:themeColor="text1"/>
          <w:sz w:val="24"/>
          <w:szCs w:val="24"/>
          <w:lang w:val="en-US"/>
        </w:rPr>
        <w:t>ha</w:t>
      </w:r>
      <w:r w:rsidR="00414C6E" w:rsidRPr="00A371D0">
        <w:rPr>
          <w:rFonts w:ascii="Times New Roman TUR" w:hAnsi="Times New Roman TUR" w:cs="Times New Roman TUR"/>
          <w:color w:val="000000" w:themeColor="text1"/>
          <w:sz w:val="24"/>
          <w:szCs w:val="24"/>
          <w:lang w:val="en-US"/>
        </w:rPr>
        <w:t>d</w:t>
      </w:r>
      <w:r w:rsidRPr="00A371D0">
        <w:rPr>
          <w:rFonts w:ascii="Times New Roman TUR" w:hAnsi="Times New Roman TUR" w:cs="Times New Roman TUR"/>
          <w:color w:val="000000" w:themeColor="text1"/>
          <w:sz w:val="24"/>
          <w:szCs w:val="24"/>
          <w:lang w:val="en-US"/>
        </w:rPr>
        <w:t xml:space="preserve"> increased </w:t>
      </w:r>
      <w:r w:rsidR="00414C6E" w:rsidRPr="00A371D0">
        <w:rPr>
          <w:rFonts w:ascii="Times New Roman TUR" w:hAnsi="Times New Roman TUR" w:cs="Times New Roman TUR"/>
          <w:color w:val="000000" w:themeColor="text1"/>
          <w:sz w:val="24"/>
          <w:szCs w:val="24"/>
          <w:lang w:val="en-US"/>
        </w:rPr>
        <w:t xml:space="preserve">during </w:t>
      </w:r>
      <w:r w:rsidR="00A371D0">
        <w:rPr>
          <w:rFonts w:ascii="Times New Roman TUR" w:hAnsi="Times New Roman TUR" w:cs="Times New Roman TUR"/>
          <w:color w:val="000000" w:themeColor="text1"/>
          <w:sz w:val="24"/>
          <w:szCs w:val="24"/>
          <w:lang w:val="en-US"/>
        </w:rPr>
        <w:t>bubble</w:t>
      </w:r>
      <w:r w:rsidR="00FB78DA" w:rsidRPr="00A371D0">
        <w:rPr>
          <w:rFonts w:ascii="Times New Roman TUR" w:hAnsi="Times New Roman TUR" w:cs="Times New Roman TUR"/>
          <w:color w:val="000000" w:themeColor="text1"/>
          <w:sz w:val="24"/>
          <w:szCs w:val="24"/>
          <w:lang w:val="en-US"/>
        </w:rPr>
        <w:t xml:space="preserve"> periods (namely, </w:t>
      </w:r>
      <w:r w:rsidRPr="00A371D0">
        <w:rPr>
          <w:rFonts w:ascii="Times New Roman TUR" w:hAnsi="Times New Roman TUR" w:cs="Times New Roman TUR"/>
          <w:color w:val="000000" w:themeColor="text1"/>
          <w:sz w:val="24"/>
          <w:szCs w:val="24"/>
          <w:lang w:val="en-US"/>
        </w:rPr>
        <w:t>during dot.com and housing bubble</w:t>
      </w:r>
      <w:r w:rsidR="00FB78DA" w:rsidRPr="00A371D0">
        <w:rPr>
          <w:rFonts w:ascii="Times New Roman TUR" w:hAnsi="Times New Roman TUR" w:cs="Times New Roman TUR"/>
          <w:color w:val="000000" w:themeColor="text1"/>
          <w:sz w:val="24"/>
          <w:szCs w:val="24"/>
          <w:lang w:val="en-US"/>
        </w:rPr>
        <w:t>)</w:t>
      </w:r>
      <w:r w:rsidR="00D4428E" w:rsidRPr="00A371D0">
        <w:rPr>
          <w:rFonts w:ascii="Times New Roman TUR" w:hAnsi="Times New Roman TUR" w:cs="Times New Roman TUR"/>
          <w:color w:val="000000" w:themeColor="text1"/>
          <w:sz w:val="24"/>
          <w:szCs w:val="24"/>
          <w:lang w:val="en-US"/>
        </w:rPr>
        <w:t xml:space="preserve"> in comparison with</w:t>
      </w:r>
      <w:r w:rsidR="00414C6E" w:rsidRPr="00A371D0">
        <w:rPr>
          <w:rFonts w:ascii="Times New Roman TUR" w:hAnsi="Times New Roman TUR" w:cs="Times New Roman TUR"/>
          <w:color w:val="000000" w:themeColor="text1"/>
          <w:sz w:val="24"/>
          <w:szCs w:val="24"/>
          <w:lang w:val="en-US"/>
        </w:rPr>
        <w:t xml:space="preserve"> the </w:t>
      </w:r>
      <w:r w:rsidRPr="00A371D0">
        <w:rPr>
          <w:rFonts w:ascii="Times New Roman TUR" w:hAnsi="Times New Roman TUR" w:cs="Times New Roman TUR"/>
          <w:color w:val="000000" w:themeColor="text1"/>
          <w:sz w:val="24"/>
          <w:szCs w:val="24"/>
          <w:lang w:val="en-US"/>
        </w:rPr>
        <w:t>entire</w:t>
      </w:r>
      <w:r w:rsidR="00FB78DA" w:rsidRPr="00A371D0">
        <w:rPr>
          <w:rFonts w:ascii="Times New Roman TUR" w:hAnsi="Times New Roman TUR" w:cs="Times New Roman TUR"/>
          <w:color w:val="000000" w:themeColor="text1"/>
          <w:sz w:val="24"/>
          <w:szCs w:val="24"/>
          <w:lang w:val="en-US"/>
        </w:rPr>
        <w:t xml:space="preserve"> sample</w:t>
      </w:r>
      <w:r w:rsidR="00B57803" w:rsidRPr="00A371D0">
        <w:rPr>
          <w:rFonts w:ascii="Times New Roman TUR" w:hAnsi="Times New Roman TUR" w:cs="Times New Roman TUR"/>
          <w:color w:val="000000" w:themeColor="text1"/>
          <w:sz w:val="24"/>
          <w:szCs w:val="24"/>
          <w:lang w:val="en-US"/>
        </w:rPr>
        <w:t>,</w:t>
      </w:r>
      <w:r w:rsidR="007E44E4" w:rsidRPr="00A371D0">
        <w:rPr>
          <w:rFonts w:ascii="Times New Roman TUR" w:hAnsi="Times New Roman TUR" w:cs="Times New Roman TUR"/>
          <w:color w:val="000000" w:themeColor="text1"/>
          <w:sz w:val="24"/>
          <w:szCs w:val="24"/>
          <w:lang w:val="en-US"/>
        </w:rPr>
        <w:t xml:space="preserve"> </w:t>
      </w:r>
      <w:r w:rsidR="00CF7EA5" w:rsidRPr="00A371D0">
        <w:rPr>
          <w:rFonts w:ascii="Times New Roman TUR" w:hAnsi="Times New Roman TUR" w:cs="Times New Roman TUR"/>
          <w:color w:val="000000" w:themeColor="text1"/>
          <w:sz w:val="24"/>
          <w:szCs w:val="24"/>
          <w:lang w:val="en-US"/>
        </w:rPr>
        <w:t>global financial crisis (</w:t>
      </w:r>
      <w:r w:rsidR="00255ECA" w:rsidRPr="00A371D0">
        <w:rPr>
          <w:rFonts w:ascii="Times New Roman TUR" w:hAnsi="Times New Roman TUR" w:cs="Times New Roman TUR"/>
          <w:color w:val="000000" w:themeColor="text1"/>
          <w:sz w:val="24"/>
          <w:szCs w:val="24"/>
          <w:lang w:val="en-US"/>
        </w:rPr>
        <w:t>GFC</w:t>
      </w:r>
      <w:r w:rsidR="00CF7EA5" w:rsidRPr="00A371D0">
        <w:rPr>
          <w:rFonts w:ascii="Times New Roman TUR" w:hAnsi="Times New Roman TUR" w:cs="Times New Roman TUR"/>
          <w:color w:val="000000" w:themeColor="text1"/>
          <w:sz w:val="24"/>
          <w:szCs w:val="24"/>
          <w:lang w:val="en-US"/>
        </w:rPr>
        <w:t>)</w:t>
      </w:r>
      <w:r w:rsidR="00255ECA" w:rsidRPr="00A371D0">
        <w:rPr>
          <w:rFonts w:ascii="Times New Roman TUR" w:hAnsi="Times New Roman TUR" w:cs="Times New Roman TUR"/>
          <w:color w:val="000000" w:themeColor="text1"/>
          <w:sz w:val="24"/>
          <w:szCs w:val="24"/>
          <w:lang w:val="en-US"/>
        </w:rPr>
        <w:t xml:space="preserve"> and post-GFC periods, </w:t>
      </w:r>
    </w:p>
    <w:p w14:paraId="1E09DA6A" w14:textId="77777777" w:rsidR="00A371D0" w:rsidRPr="00A371D0" w:rsidRDefault="00255ECA" w:rsidP="00A371D0">
      <w:pPr>
        <w:pStyle w:val="ListParagraph"/>
        <w:numPr>
          <w:ilvl w:val="0"/>
          <w:numId w:val="5"/>
        </w:numPr>
        <w:spacing w:before="60" w:after="0" w:line="276" w:lineRule="auto"/>
        <w:jc w:val="both"/>
        <w:rPr>
          <w:rFonts w:ascii="Times New Roman TUR" w:hAnsi="Times New Roman TUR" w:cs="Times New Roman TUR"/>
          <w:color w:val="000000" w:themeColor="text1"/>
          <w:sz w:val="24"/>
          <w:szCs w:val="24"/>
          <w:lang w:val="en-US"/>
        </w:rPr>
      </w:pPr>
      <w:r w:rsidRPr="00A371D0">
        <w:rPr>
          <w:rFonts w:ascii="Times New Roman TUR" w:hAnsi="Times New Roman TUR" w:cs="Times New Roman TUR"/>
          <w:color w:val="000000" w:themeColor="text1"/>
          <w:sz w:val="24"/>
          <w:szCs w:val="24"/>
          <w:lang w:val="en-US"/>
        </w:rPr>
        <w:t xml:space="preserve">(vi) in </w:t>
      </w:r>
      <w:r w:rsidR="007E44E4" w:rsidRPr="00A371D0">
        <w:rPr>
          <w:rFonts w:ascii="Times New Roman TUR" w:hAnsi="Times New Roman TUR" w:cs="Times New Roman TUR"/>
          <w:color w:val="000000" w:themeColor="text1"/>
          <w:sz w:val="24"/>
          <w:szCs w:val="24"/>
          <w:lang w:val="en-US"/>
        </w:rPr>
        <w:t xml:space="preserve">the </w:t>
      </w:r>
      <w:r w:rsidRPr="00A371D0">
        <w:rPr>
          <w:rFonts w:ascii="Times New Roman TUR" w:hAnsi="Times New Roman TUR" w:cs="Times New Roman TUR"/>
          <w:color w:val="000000" w:themeColor="text1"/>
          <w:sz w:val="24"/>
          <w:szCs w:val="24"/>
          <w:lang w:val="en-US"/>
        </w:rPr>
        <w:t xml:space="preserve">post-GFC period, </w:t>
      </w:r>
      <w:r w:rsidRPr="00A371D0">
        <w:rPr>
          <w:rFonts w:ascii="Times New Roman" w:hAnsi="Times New Roman" w:cs="Times New Roman"/>
          <w:color w:val="000000" w:themeColor="text1"/>
          <w:sz w:val="24"/>
          <w:szCs w:val="24"/>
          <w:lang w:val="en-US"/>
        </w:rPr>
        <w:t>consumption pattern</w:t>
      </w:r>
      <w:r w:rsidR="007E44E4" w:rsidRPr="00A371D0">
        <w:rPr>
          <w:rFonts w:ascii="Times New Roman" w:hAnsi="Times New Roman" w:cs="Times New Roman"/>
          <w:color w:val="000000" w:themeColor="text1"/>
          <w:sz w:val="24"/>
          <w:szCs w:val="24"/>
          <w:lang w:val="en-US"/>
        </w:rPr>
        <w:t>s</w:t>
      </w:r>
      <w:r w:rsidRPr="00A371D0">
        <w:rPr>
          <w:rFonts w:ascii="Times New Roman" w:hAnsi="Times New Roman" w:cs="Times New Roman"/>
          <w:color w:val="000000" w:themeColor="text1"/>
          <w:sz w:val="24"/>
          <w:szCs w:val="24"/>
          <w:lang w:val="en-US"/>
        </w:rPr>
        <w:t xml:space="preserve"> ha</w:t>
      </w:r>
      <w:r w:rsidR="007E44E4" w:rsidRPr="00A371D0">
        <w:rPr>
          <w:rFonts w:ascii="Times New Roman" w:hAnsi="Times New Roman" w:cs="Times New Roman"/>
          <w:color w:val="000000" w:themeColor="text1"/>
          <w:sz w:val="24"/>
          <w:szCs w:val="24"/>
          <w:lang w:val="en-US"/>
        </w:rPr>
        <w:t xml:space="preserve">ve </w:t>
      </w:r>
      <w:r w:rsidRPr="00A371D0">
        <w:rPr>
          <w:rFonts w:ascii="Times New Roman" w:hAnsi="Times New Roman" w:cs="Times New Roman"/>
          <w:color w:val="000000" w:themeColor="text1"/>
          <w:sz w:val="24"/>
          <w:szCs w:val="24"/>
          <w:lang w:val="en-US"/>
        </w:rPr>
        <w:t>n</w:t>
      </w:r>
      <w:r w:rsidR="007E44E4" w:rsidRPr="00A371D0">
        <w:rPr>
          <w:rFonts w:ascii="Times New Roman" w:hAnsi="Times New Roman" w:cs="Times New Roman"/>
          <w:color w:val="000000" w:themeColor="text1"/>
          <w:sz w:val="24"/>
          <w:szCs w:val="24"/>
          <w:lang w:val="en-US"/>
        </w:rPr>
        <w:t>o</w:t>
      </w:r>
      <w:r w:rsidRPr="00A371D0">
        <w:rPr>
          <w:rFonts w:ascii="Times New Roman" w:hAnsi="Times New Roman" w:cs="Times New Roman"/>
          <w:color w:val="000000" w:themeColor="text1"/>
          <w:sz w:val="24"/>
          <w:szCs w:val="24"/>
          <w:lang w:val="en-US"/>
        </w:rPr>
        <w:t xml:space="preserve">t increased to </w:t>
      </w:r>
      <w:r w:rsidR="007E44E4" w:rsidRPr="00A371D0">
        <w:rPr>
          <w:rFonts w:ascii="Times New Roman" w:hAnsi="Times New Roman" w:cs="Times New Roman"/>
          <w:color w:val="000000" w:themeColor="text1"/>
          <w:sz w:val="24"/>
          <w:szCs w:val="24"/>
          <w:lang w:val="en-US"/>
        </w:rPr>
        <w:t>their</w:t>
      </w:r>
      <w:r w:rsidRPr="00A371D0">
        <w:rPr>
          <w:rFonts w:ascii="Times New Roman" w:hAnsi="Times New Roman" w:cs="Times New Roman"/>
          <w:color w:val="000000" w:themeColor="text1"/>
          <w:sz w:val="24"/>
          <w:szCs w:val="24"/>
          <w:lang w:val="en-US"/>
        </w:rPr>
        <w:t xml:space="preserve"> pre-crisis levels</w:t>
      </w:r>
      <w:r w:rsidR="007E44E4" w:rsidRPr="00A371D0">
        <w:rPr>
          <w:rFonts w:ascii="Times New Roman" w:hAnsi="Times New Roman" w:cs="Times New Roman"/>
          <w:color w:val="000000" w:themeColor="text1"/>
          <w:sz w:val="24"/>
          <w:szCs w:val="24"/>
          <w:lang w:val="en-US"/>
        </w:rPr>
        <w:t>,</w:t>
      </w:r>
      <w:r w:rsidRPr="00A371D0">
        <w:rPr>
          <w:rFonts w:ascii="Times New Roman" w:hAnsi="Times New Roman" w:cs="Times New Roman"/>
          <w:color w:val="000000" w:themeColor="text1"/>
          <w:sz w:val="24"/>
          <w:szCs w:val="24"/>
          <w:lang w:val="en-US"/>
        </w:rPr>
        <w:t xml:space="preserve"> probably depending on the increase in inequality and its potential outcomes</w:t>
      </w:r>
      <w:r w:rsidR="00830E47" w:rsidRPr="00A371D0">
        <w:rPr>
          <w:rFonts w:ascii="Times New Roman" w:hAnsi="Times New Roman" w:cs="Times New Roman"/>
          <w:color w:val="000000" w:themeColor="text1"/>
          <w:sz w:val="24"/>
          <w:szCs w:val="24"/>
          <w:lang w:val="en-US"/>
        </w:rPr>
        <w:t xml:space="preserve"> affecting consumer</w:t>
      </w:r>
      <w:r w:rsidR="007E44E4" w:rsidRPr="00A371D0">
        <w:rPr>
          <w:rFonts w:ascii="Times New Roman" w:hAnsi="Times New Roman" w:cs="Times New Roman"/>
          <w:color w:val="000000" w:themeColor="text1"/>
          <w:sz w:val="24"/>
          <w:szCs w:val="24"/>
          <w:lang w:val="en-US"/>
        </w:rPr>
        <w:t>s’</w:t>
      </w:r>
      <w:r w:rsidR="00830E47" w:rsidRPr="00A371D0">
        <w:rPr>
          <w:rFonts w:ascii="Times New Roman" w:hAnsi="Times New Roman" w:cs="Times New Roman"/>
          <w:color w:val="000000" w:themeColor="text1"/>
          <w:sz w:val="24"/>
          <w:szCs w:val="24"/>
          <w:lang w:val="en-US"/>
        </w:rPr>
        <w:t xml:space="preserve"> </w:t>
      </w:r>
      <w:r w:rsidR="007E44E4" w:rsidRPr="00A371D0">
        <w:rPr>
          <w:rFonts w:ascii="Times New Roman" w:hAnsi="Times New Roman" w:cs="Times New Roman"/>
          <w:color w:val="000000" w:themeColor="text1"/>
          <w:sz w:val="24"/>
          <w:szCs w:val="24"/>
          <w:lang w:val="en-US"/>
        </w:rPr>
        <w:t>behavior,</w:t>
      </w:r>
      <w:r w:rsidR="00830E47" w:rsidRPr="00A371D0">
        <w:rPr>
          <w:rFonts w:ascii="Times New Roman" w:hAnsi="Times New Roman" w:cs="Times New Roman"/>
          <w:color w:val="000000" w:themeColor="text1"/>
          <w:sz w:val="24"/>
          <w:szCs w:val="24"/>
          <w:lang w:val="en-US"/>
        </w:rPr>
        <w:t xml:space="preserve"> </w:t>
      </w:r>
    </w:p>
    <w:p w14:paraId="7B0CE3A1" w14:textId="77777777" w:rsidR="00A371D0" w:rsidRPr="00A371D0" w:rsidRDefault="00830E47" w:rsidP="00A371D0">
      <w:pPr>
        <w:pStyle w:val="ListParagraph"/>
        <w:numPr>
          <w:ilvl w:val="0"/>
          <w:numId w:val="5"/>
        </w:numPr>
        <w:spacing w:before="60" w:after="0" w:line="276" w:lineRule="auto"/>
        <w:jc w:val="both"/>
        <w:rPr>
          <w:rFonts w:ascii="Times New Roman TUR" w:hAnsi="Times New Roman TUR" w:cs="Times New Roman TUR"/>
          <w:color w:val="000000" w:themeColor="text1"/>
          <w:sz w:val="24"/>
          <w:szCs w:val="24"/>
          <w:lang w:val="en-US"/>
        </w:rPr>
      </w:pPr>
      <w:r w:rsidRPr="00A371D0">
        <w:rPr>
          <w:rFonts w:ascii="Times New Roman" w:hAnsi="Times New Roman" w:cs="Times New Roman"/>
          <w:color w:val="000000" w:themeColor="text1"/>
          <w:sz w:val="24"/>
          <w:szCs w:val="24"/>
          <w:lang w:val="en-US"/>
        </w:rPr>
        <w:t xml:space="preserve">(vii) </w:t>
      </w:r>
      <w:r w:rsidR="007E44E4" w:rsidRPr="00A371D0">
        <w:rPr>
          <w:rFonts w:ascii="Times New Roman" w:hAnsi="Times New Roman" w:cs="Times New Roman"/>
          <w:color w:val="000000" w:themeColor="text1"/>
          <w:sz w:val="24"/>
          <w:szCs w:val="24"/>
          <w:lang w:val="en-US"/>
        </w:rPr>
        <w:t>the</w:t>
      </w:r>
      <w:r w:rsidRPr="00A371D0">
        <w:rPr>
          <w:rFonts w:ascii="Times New Roman" w:hAnsi="Times New Roman" w:cs="Times New Roman"/>
          <w:color w:val="000000" w:themeColor="text1"/>
          <w:sz w:val="24"/>
          <w:szCs w:val="24"/>
          <w:lang w:val="en-US"/>
        </w:rPr>
        <w:t xml:space="preserve"> findings</w:t>
      </w:r>
      <w:r w:rsidR="005F3CCF" w:rsidRPr="00A371D0">
        <w:rPr>
          <w:rFonts w:ascii="Times New Roman" w:hAnsi="Times New Roman" w:cs="Times New Roman"/>
          <w:color w:val="000000" w:themeColor="text1"/>
          <w:sz w:val="24"/>
          <w:szCs w:val="24"/>
          <w:lang w:val="en-US"/>
        </w:rPr>
        <w:t xml:space="preserve"> did</w:t>
      </w:r>
      <w:r w:rsidR="007E44E4" w:rsidRPr="00A371D0">
        <w:rPr>
          <w:rFonts w:ascii="Times New Roman" w:hAnsi="Times New Roman" w:cs="Times New Roman"/>
          <w:color w:val="000000" w:themeColor="text1"/>
          <w:sz w:val="24"/>
          <w:szCs w:val="24"/>
          <w:lang w:val="en-US"/>
        </w:rPr>
        <w:t xml:space="preserve"> </w:t>
      </w:r>
      <w:r w:rsidR="005F3CCF" w:rsidRPr="00A371D0">
        <w:rPr>
          <w:rFonts w:ascii="Times New Roman" w:hAnsi="Times New Roman" w:cs="Times New Roman"/>
          <w:color w:val="000000" w:themeColor="text1"/>
          <w:sz w:val="24"/>
          <w:szCs w:val="24"/>
          <w:lang w:val="en-US"/>
        </w:rPr>
        <w:t>n</w:t>
      </w:r>
      <w:r w:rsidR="007E44E4" w:rsidRPr="00A371D0">
        <w:rPr>
          <w:rFonts w:ascii="Times New Roman" w:hAnsi="Times New Roman" w:cs="Times New Roman"/>
          <w:color w:val="000000" w:themeColor="text1"/>
          <w:sz w:val="24"/>
          <w:szCs w:val="24"/>
          <w:lang w:val="en-US"/>
        </w:rPr>
        <w:t>o</w:t>
      </w:r>
      <w:r w:rsidRPr="00A371D0">
        <w:rPr>
          <w:rFonts w:ascii="Times New Roman" w:hAnsi="Times New Roman" w:cs="Times New Roman"/>
          <w:color w:val="000000" w:themeColor="text1"/>
          <w:sz w:val="24"/>
          <w:szCs w:val="24"/>
          <w:lang w:val="en-US"/>
        </w:rPr>
        <w:t xml:space="preserve">t </w:t>
      </w:r>
      <w:r w:rsidR="007E44E4" w:rsidRPr="00A371D0">
        <w:rPr>
          <w:rFonts w:ascii="Times New Roman" w:hAnsi="Times New Roman" w:cs="Times New Roman"/>
          <w:color w:val="000000" w:themeColor="text1"/>
          <w:sz w:val="24"/>
          <w:szCs w:val="24"/>
          <w:lang w:val="en-US"/>
        </w:rPr>
        <w:t>support</w:t>
      </w:r>
      <w:r w:rsidRPr="00A371D0">
        <w:rPr>
          <w:rFonts w:ascii="Times New Roman" w:hAnsi="Times New Roman" w:cs="Times New Roman"/>
          <w:color w:val="000000" w:themeColor="text1"/>
          <w:sz w:val="24"/>
          <w:szCs w:val="24"/>
          <w:lang w:val="en-US"/>
        </w:rPr>
        <w:t xml:space="preserve"> the two phenomen</w:t>
      </w:r>
      <w:r w:rsidR="007E44E4" w:rsidRPr="00A371D0">
        <w:rPr>
          <w:rFonts w:ascii="Times New Roman" w:hAnsi="Times New Roman" w:cs="Times New Roman"/>
          <w:color w:val="000000" w:themeColor="text1"/>
          <w:sz w:val="24"/>
          <w:szCs w:val="24"/>
          <w:lang w:val="en-US"/>
        </w:rPr>
        <w:t>a</w:t>
      </w:r>
      <w:r w:rsidRPr="00A371D0">
        <w:rPr>
          <w:rFonts w:ascii="Times New Roman" w:hAnsi="Times New Roman" w:cs="Times New Roman"/>
          <w:color w:val="000000" w:themeColor="text1"/>
          <w:sz w:val="24"/>
          <w:szCs w:val="24"/>
          <w:lang w:val="en-US"/>
        </w:rPr>
        <w:t xml:space="preserve"> known as </w:t>
      </w:r>
      <w:r w:rsidR="00FA6D31" w:rsidRPr="00A371D0">
        <w:rPr>
          <w:rFonts w:ascii="Times New Roman" w:hAnsi="Times New Roman" w:cs="Times New Roman"/>
          <w:color w:val="000000" w:themeColor="text1"/>
          <w:sz w:val="24"/>
          <w:szCs w:val="24"/>
          <w:lang w:val="en-US"/>
        </w:rPr>
        <w:t xml:space="preserve">the </w:t>
      </w:r>
      <w:r w:rsidRPr="00A371D0">
        <w:rPr>
          <w:rFonts w:ascii="Times New Roman" w:hAnsi="Times New Roman" w:cs="Times New Roman"/>
          <w:color w:val="000000" w:themeColor="text1"/>
          <w:sz w:val="24"/>
          <w:szCs w:val="24"/>
          <w:lang w:val="en-US"/>
        </w:rPr>
        <w:t>“Ratchet effect” and “keeping up with the Joneses” for the post-GFC period</w:t>
      </w:r>
      <w:r w:rsidR="00FA6D31" w:rsidRPr="00A371D0">
        <w:rPr>
          <w:rFonts w:ascii="Times New Roman" w:hAnsi="Times New Roman" w:cs="Times New Roman"/>
          <w:color w:val="000000" w:themeColor="text1"/>
          <w:sz w:val="24"/>
          <w:szCs w:val="24"/>
          <w:lang w:val="en-US"/>
        </w:rPr>
        <w:t>,</w:t>
      </w:r>
      <w:r w:rsidR="005F3CCF" w:rsidRPr="00A371D0">
        <w:rPr>
          <w:rFonts w:ascii="Times New Roman" w:hAnsi="Times New Roman" w:cs="Times New Roman"/>
          <w:color w:val="000000" w:themeColor="text1"/>
          <w:sz w:val="24"/>
          <w:szCs w:val="24"/>
          <w:lang w:val="en-US"/>
        </w:rPr>
        <w:t xml:space="preserve"> </w:t>
      </w:r>
    </w:p>
    <w:p w14:paraId="38859080" w14:textId="77777777" w:rsidR="00A371D0" w:rsidRPr="00A371D0" w:rsidRDefault="005F3CCF" w:rsidP="00A371D0">
      <w:pPr>
        <w:pStyle w:val="ListParagraph"/>
        <w:numPr>
          <w:ilvl w:val="0"/>
          <w:numId w:val="5"/>
        </w:numPr>
        <w:spacing w:before="60" w:after="0" w:line="276" w:lineRule="auto"/>
        <w:jc w:val="both"/>
        <w:rPr>
          <w:rFonts w:ascii="Times New Roman TUR" w:hAnsi="Times New Roman TUR" w:cs="Times New Roman TUR"/>
          <w:color w:val="000000" w:themeColor="text1"/>
          <w:sz w:val="24"/>
          <w:szCs w:val="24"/>
          <w:lang w:val="en-US"/>
        </w:rPr>
      </w:pPr>
      <w:r w:rsidRPr="00A371D0">
        <w:rPr>
          <w:rFonts w:ascii="Times New Roman" w:hAnsi="Times New Roman" w:cs="Times New Roman"/>
          <w:color w:val="000000" w:themeColor="text1"/>
          <w:sz w:val="24"/>
          <w:szCs w:val="24"/>
          <w:lang w:val="en-US"/>
        </w:rPr>
        <w:t>(viii) the sensitivity of household consumption to both thresholds (financial de</w:t>
      </w:r>
      <w:r w:rsidR="00CF7EA5" w:rsidRPr="00A371D0">
        <w:rPr>
          <w:rFonts w:ascii="Times New Roman" w:hAnsi="Times New Roman" w:cs="Times New Roman"/>
          <w:color w:val="000000" w:themeColor="text1"/>
          <w:sz w:val="24"/>
          <w:szCs w:val="24"/>
          <w:lang w:val="en-US"/>
        </w:rPr>
        <w:t>velopment</w:t>
      </w:r>
      <w:r w:rsidRPr="00A371D0">
        <w:rPr>
          <w:rFonts w:ascii="Times New Roman" w:hAnsi="Times New Roman" w:cs="Times New Roman"/>
          <w:color w:val="000000" w:themeColor="text1"/>
          <w:sz w:val="24"/>
          <w:szCs w:val="24"/>
          <w:lang w:val="en-US"/>
        </w:rPr>
        <w:t xml:space="preserve"> and housing affordability) increased based on declining threshold values.</w:t>
      </w:r>
      <w:r w:rsidR="00830E47" w:rsidRPr="00A371D0">
        <w:rPr>
          <w:rFonts w:ascii="Times New Roman" w:hAnsi="Times New Roman" w:cs="Times New Roman"/>
          <w:color w:val="000000" w:themeColor="text1"/>
          <w:sz w:val="24"/>
          <w:szCs w:val="24"/>
          <w:lang w:val="en-US"/>
        </w:rPr>
        <w:t xml:space="preserve"> </w:t>
      </w:r>
    </w:p>
    <w:p w14:paraId="77053F76" w14:textId="77777777" w:rsidR="00455018" w:rsidRPr="00040E5C" w:rsidRDefault="00A464C9" w:rsidP="00A371D0">
      <w:pPr>
        <w:pStyle w:val="ListParagraph"/>
        <w:numPr>
          <w:ilvl w:val="0"/>
          <w:numId w:val="5"/>
        </w:numPr>
        <w:spacing w:before="60" w:after="0" w:line="276" w:lineRule="auto"/>
        <w:jc w:val="both"/>
        <w:rPr>
          <w:rFonts w:ascii="Times New Roman TUR" w:hAnsi="Times New Roman TUR" w:cs="Times New Roman TUR"/>
          <w:color w:val="000000" w:themeColor="text1"/>
          <w:sz w:val="24"/>
          <w:szCs w:val="24"/>
          <w:lang w:val="en-US"/>
        </w:rPr>
      </w:pPr>
      <w:r w:rsidRPr="00A371D0">
        <w:rPr>
          <w:rFonts w:ascii="Times New Roman" w:hAnsi="Times New Roman" w:cs="Times New Roman"/>
          <w:color w:val="000000" w:themeColor="text1"/>
          <w:sz w:val="24"/>
          <w:szCs w:val="24"/>
          <w:lang w:val="en-US"/>
        </w:rPr>
        <w:t xml:space="preserve">(ix) in the post GFC period 0.60 is the critical (threshold) level for FD and 79.04 for HPI. Below these levels, we don’t observe any significant link between housing wealth and consumption. Wealth channels become effective on consumption only above these thresholds. </w:t>
      </w:r>
    </w:p>
    <w:p w14:paraId="1F607E37" w14:textId="77777777" w:rsidR="00387659" w:rsidRPr="002C5DE1" w:rsidRDefault="002F4984" w:rsidP="00387659">
      <w:pPr>
        <w:spacing w:after="120" w:line="276" w:lineRule="auto"/>
        <w:ind w:firstLine="357"/>
        <w:jc w:val="center"/>
        <w:rPr>
          <w:rFonts w:ascii="Times New Roman" w:hAnsi="Times New Roman" w:cs="Times New Roman"/>
          <w:b/>
          <w:color w:val="000000" w:themeColor="text1"/>
          <w:sz w:val="24"/>
          <w:szCs w:val="24"/>
          <w:lang w:val="en-US"/>
        </w:rPr>
      </w:pPr>
      <w:r w:rsidRPr="002C5DE1">
        <w:rPr>
          <w:rFonts w:ascii="Times New Roman" w:hAnsi="Times New Roman" w:cs="Times New Roman"/>
          <w:b/>
          <w:color w:val="000000" w:themeColor="text1"/>
          <w:sz w:val="24"/>
          <w:szCs w:val="24"/>
          <w:lang w:val="en-US"/>
        </w:rPr>
        <w:t xml:space="preserve"> </w:t>
      </w:r>
      <w:r w:rsidR="00387659" w:rsidRPr="002C5DE1">
        <w:rPr>
          <w:rFonts w:ascii="Times New Roman" w:hAnsi="Times New Roman" w:cs="Times New Roman"/>
          <w:b/>
          <w:color w:val="000000" w:themeColor="text1"/>
          <w:sz w:val="24"/>
          <w:szCs w:val="24"/>
          <w:lang w:val="en-US"/>
        </w:rPr>
        <w:t>[</w:t>
      </w:r>
      <w:r w:rsidR="00387659" w:rsidRPr="002C5DE1">
        <w:rPr>
          <w:rFonts w:ascii="Times New Roman" w:hAnsi="Times New Roman" w:cs="Times New Roman"/>
          <w:b/>
          <w:color w:val="000000" w:themeColor="text1"/>
          <w:sz w:val="24"/>
          <w:szCs w:val="24"/>
          <w:shd w:val="clear" w:color="auto" w:fill="FFFFFF"/>
          <w:lang w:val="en-US"/>
        </w:rPr>
        <w:t>Place Table 8 Here</w:t>
      </w:r>
      <w:r w:rsidR="00387659" w:rsidRPr="002C5DE1">
        <w:rPr>
          <w:rFonts w:ascii="Times New Roman" w:hAnsi="Times New Roman" w:cs="Times New Roman"/>
          <w:b/>
          <w:color w:val="000000" w:themeColor="text1"/>
          <w:sz w:val="24"/>
          <w:szCs w:val="24"/>
          <w:lang w:val="en-US"/>
        </w:rPr>
        <w:t>]</w:t>
      </w:r>
    </w:p>
    <w:p w14:paraId="53D6D0A2" w14:textId="77777777" w:rsidR="002F7104" w:rsidRPr="002C5DE1" w:rsidRDefault="007D3728" w:rsidP="007D3728">
      <w:pPr>
        <w:spacing w:before="60" w:after="0" w:line="276" w:lineRule="auto"/>
        <w:ind w:firstLine="357"/>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Housing wealth is more influential than stock/financial wealth according to our findings a</w:t>
      </w:r>
      <w:r w:rsidR="001A38C7" w:rsidRPr="002C5DE1">
        <w:rPr>
          <w:rFonts w:ascii="Times New Roman" w:hAnsi="Times New Roman" w:cs="Times New Roman"/>
          <w:color w:val="000000" w:themeColor="text1"/>
          <w:sz w:val="24"/>
          <w:szCs w:val="24"/>
          <w:lang w:val="en-US"/>
        </w:rPr>
        <w:t>nd this result is consistent</w:t>
      </w:r>
      <w:r w:rsidRPr="002C5DE1">
        <w:rPr>
          <w:rFonts w:ascii="Times New Roman" w:hAnsi="Times New Roman" w:cs="Times New Roman"/>
          <w:color w:val="000000" w:themeColor="text1"/>
          <w:sz w:val="24"/>
          <w:szCs w:val="24"/>
          <w:lang w:val="en-US"/>
        </w:rPr>
        <w:t xml:space="preserve"> with a</w:t>
      </w:r>
      <w:r w:rsidR="001A38C7" w:rsidRPr="002C5DE1">
        <w:rPr>
          <w:rFonts w:ascii="Times New Roman" w:hAnsi="Times New Roman" w:cs="Times New Roman"/>
          <w:color w:val="000000" w:themeColor="text1"/>
          <w:sz w:val="24"/>
          <w:szCs w:val="24"/>
          <w:lang w:val="en-US"/>
        </w:rPr>
        <w:t xml:space="preserve"> number of studies in the relevant</w:t>
      </w:r>
      <w:r w:rsidR="00516F4A" w:rsidRPr="002C5DE1">
        <w:rPr>
          <w:rFonts w:ascii="Times New Roman" w:hAnsi="Times New Roman" w:cs="Times New Roman"/>
          <w:color w:val="000000" w:themeColor="text1"/>
          <w:sz w:val="24"/>
          <w:szCs w:val="24"/>
          <w:lang w:val="en-US"/>
        </w:rPr>
        <w:t xml:space="preserve"> literature (i.e. </w:t>
      </w:r>
      <w:proofErr w:type="spellStart"/>
      <w:r w:rsidR="00516F4A" w:rsidRPr="002C5DE1">
        <w:rPr>
          <w:rFonts w:ascii="Times New Roman" w:hAnsi="Times New Roman" w:cs="Times New Roman"/>
          <w:color w:val="000000" w:themeColor="text1"/>
          <w:sz w:val="24"/>
          <w:szCs w:val="24"/>
          <w:lang w:val="en-US"/>
        </w:rPr>
        <w:t>Mehra</w:t>
      </w:r>
      <w:proofErr w:type="spellEnd"/>
      <w:r w:rsidR="00516F4A" w:rsidRPr="002C5DE1">
        <w:rPr>
          <w:rFonts w:ascii="Times New Roman" w:hAnsi="Times New Roman" w:cs="Times New Roman"/>
          <w:color w:val="000000" w:themeColor="text1"/>
          <w:sz w:val="24"/>
          <w:szCs w:val="24"/>
          <w:lang w:val="en-US"/>
        </w:rPr>
        <w:t>, 2001;</w:t>
      </w:r>
      <w:r w:rsidRPr="002C5DE1">
        <w:rPr>
          <w:rFonts w:ascii="Times New Roman" w:hAnsi="Times New Roman" w:cs="Times New Roman"/>
          <w:color w:val="000000" w:themeColor="text1"/>
          <w:sz w:val="24"/>
          <w:szCs w:val="24"/>
          <w:lang w:val="en-US"/>
        </w:rPr>
        <w:t xml:space="preserve"> </w:t>
      </w:r>
      <w:proofErr w:type="spellStart"/>
      <w:r w:rsidRPr="002C5DE1">
        <w:rPr>
          <w:rFonts w:ascii="Times New Roman" w:hAnsi="Times New Roman" w:cs="Times New Roman"/>
          <w:color w:val="000000" w:themeColor="text1"/>
          <w:sz w:val="24"/>
          <w:szCs w:val="24"/>
          <w:lang w:val="en-US"/>
        </w:rPr>
        <w:t>Bertaut</w:t>
      </w:r>
      <w:proofErr w:type="spellEnd"/>
      <w:r w:rsidRPr="002C5DE1">
        <w:rPr>
          <w:rFonts w:ascii="Times New Roman" w:hAnsi="Times New Roman" w:cs="Times New Roman"/>
          <w:color w:val="000000" w:themeColor="text1"/>
          <w:sz w:val="24"/>
          <w:szCs w:val="24"/>
          <w:lang w:val="en-US"/>
        </w:rPr>
        <w:t xml:space="preserve">, </w:t>
      </w:r>
      <w:r w:rsidR="0006272E" w:rsidRPr="002C5DE1">
        <w:rPr>
          <w:rFonts w:ascii="Times New Roman" w:hAnsi="Times New Roman" w:cs="Times New Roman"/>
          <w:color w:val="000000" w:themeColor="text1"/>
          <w:sz w:val="24"/>
          <w:szCs w:val="24"/>
          <w:lang w:val="en-US"/>
        </w:rPr>
        <w:t>2002</w:t>
      </w:r>
      <w:r w:rsidRPr="002C5DE1">
        <w:rPr>
          <w:rFonts w:ascii="Times New Roman" w:hAnsi="Times New Roman" w:cs="Times New Roman"/>
          <w:color w:val="000000" w:themeColor="text1"/>
          <w:sz w:val="24"/>
          <w:szCs w:val="24"/>
          <w:lang w:val="en-US"/>
        </w:rPr>
        <w:t xml:space="preserve">; Benjamin et al., 2004; Belsky and </w:t>
      </w:r>
      <w:proofErr w:type="spellStart"/>
      <w:r w:rsidRPr="002C5DE1">
        <w:rPr>
          <w:rFonts w:ascii="Times New Roman" w:hAnsi="Times New Roman" w:cs="Times New Roman"/>
          <w:color w:val="000000" w:themeColor="text1"/>
          <w:sz w:val="24"/>
          <w:szCs w:val="24"/>
          <w:lang w:val="en-US"/>
        </w:rPr>
        <w:t>Prakken</w:t>
      </w:r>
      <w:proofErr w:type="spellEnd"/>
      <w:r w:rsidRPr="002C5DE1">
        <w:rPr>
          <w:rFonts w:ascii="Times New Roman" w:hAnsi="Times New Roman" w:cs="Times New Roman"/>
          <w:color w:val="000000" w:themeColor="text1"/>
          <w:sz w:val="24"/>
          <w:szCs w:val="24"/>
          <w:lang w:val="en-US"/>
        </w:rPr>
        <w:t xml:space="preserve">, 2004; </w:t>
      </w:r>
      <w:proofErr w:type="spellStart"/>
      <w:r w:rsidRPr="002C5DE1">
        <w:rPr>
          <w:rFonts w:ascii="Times New Roman" w:hAnsi="Times New Roman" w:cs="Times New Roman"/>
          <w:color w:val="000000" w:themeColor="text1"/>
          <w:sz w:val="24"/>
          <w:szCs w:val="24"/>
          <w:lang w:val="en-US"/>
        </w:rPr>
        <w:t>Iacoviello</w:t>
      </w:r>
      <w:proofErr w:type="spellEnd"/>
      <w:r w:rsidRPr="002C5DE1">
        <w:rPr>
          <w:rFonts w:ascii="Times New Roman" w:hAnsi="Times New Roman" w:cs="Times New Roman"/>
          <w:color w:val="000000" w:themeColor="text1"/>
          <w:sz w:val="24"/>
          <w:szCs w:val="24"/>
          <w:lang w:val="en-US"/>
        </w:rPr>
        <w:t xml:space="preserve">, 2004, </w:t>
      </w:r>
      <w:r w:rsidR="00516F4A" w:rsidRPr="002C5DE1">
        <w:rPr>
          <w:rFonts w:ascii="Times New Roman" w:hAnsi="Times New Roman" w:cs="Times New Roman"/>
          <w:color w:val="000000" w:themeColor="text1"/>
          <w:sz w:val="24"/>
          <w:szCs w:val="24"/>
          <w:lang w:val="en-US"/>
        </w:rPr>
        <w:t>Case et al., 2005</w:t>
      </w:r>
      <w:r w:rsidR="0006272E" w:rsidRPr="002C5DE1">
        <w:rPr>
          <w:rFonts w:ascii="Times New Roman" w:hAnsi="Times New Roman" w:cs="Times New Roman"/>
          <w:color w:val="000000" w:themeColor="text1"/>
          <w:sz w:val="24"/>
          <w:szCs w:val="24"/>
          <w:lang w:val="en-US"/>
        </w:rPr>
        <w:t xml:space="preserve">; </w:t>
      </w:r>
      <w:proofErr w:type="spellStart"/>
      <w:r w:rsidR="0006272E" w:rsidRPr="002C5DE1">
        <w:rPr>
          <w:rFonts w:ascii="Times New Roman" w:hAnsi="Times New Roman" w:cs="Times New Roman"/>
          <w:color w:val="000000" w:themeColor="text1"/>
          <w:sz w:val="24"/>
          <w:szCs w:val="24"/>
          <w:lang w:val="en-US"/>
        </w:rPr>
        <w:t>Dvornak</w:t>
      </w:r>
      <w:proofErr w:type="spellEnd"/>
      <w:r w:rsidR="0006272E" w:rsidRPr="002C5DE1">
        <w:rPr>
          <w:rFonts w:ascii="Times New Roman" w:hAnsi="Times New Roman" w:cs="Times New Roman"/>
          <w:color w:val="000000" w:themeColor="text1"/>
          <w:sz w:val="24"/>
          <w:szCs w:val="24"/>
          <w:lang w:val="en-US"/>
        </w:rPr>
        <w:t xml:space="preserve"> and Kohler, 2007</w:t>
      </w:r>
      <w:r w:rsidR="00516F4A" w:rsidRPr="002C5DE1">
        <w:rPr>
          <w:rFonts w:ascii="Times New Roman" w:hAnsi="Times New Roman" w:cs="Times New Roman"/>
          <w:color w:val="000000" w:themeColor="text1"/>
          <w:sz w:val="24"/>
          <w:szCs w:val="24"/>
          <w:lang w:val="en-US"/>
        </w:rPr>
        <w:t xml:space="preserve"> </w:t>
      </w:r>
      <w:r w:rsidRPr="002C5DE1">
        <w:rPr>
          <w:rFonts w:ascii="Times New Roman" w:hAnsi="Times New Roman" w:cs="Times New Roman"/>
          <w:color w:val="000000" w:themeColor="text1"/>
          <w:sz w:val="24"/>
          <w:szCs w:val="24"/>
          <w:lang w:val="en-US"/>
        </w:rPr>
        <w:t xml:space="preserve">among others). </w:t>
      </w:r>
      <w:r w:rsidR="002F7104" w:rsidRPr="002C5DE1">
        <w:rPr>
          <w:rFonts w:ascii="Times New Roman" w:hAnsi="Times New Roman" w:cs="Times New Roman"/>
          <w:color w:val="000000" w:themeColor="text1"/>
          <w:sz w:val="24"/>
          <w:szCs w:val="24"/>
          <w:lang w:val="en-US"/>
        </w:rPr>
        <w:t>Our findings are</w:t>
      </w:r>
      <w:r w:rsidR="008024F5" w:rsidRPr="002C5DE1">
        <w:rPr>
          <w:rFonts w:ascii="Times New Roman" w:hAnsi="Times New Roman" w:cs="Times New Roman"/>
          <w:color w:val="000000" w:themeColor="text1"/>
          <w:sz w:val="24"/>
          <w:szCs w:val="24"/>
          <w:lang w:val="en-US"/>
        </w:rPr>
        <w:t xml:space="preserve"> also</w:t>
      </w:r>
      <w:r w:rsidR="002F7104" w:rsidRPr="002C5DE1">
        <w:rPr>
          <w:rFonts w:ascii="Times New Roman" w:hAnsi="Times New Roman" w:cs="Times New Roman"/>
          <w:color w:val="000000" w:themeColor="text1"/>
          <w:sz w:val="24"/>
          <w:szCs w:val="24"/>
          <w:lang w:val="en-US"/>
        </w:rPr>
        <w:t xml:space="preserve"> in agreement with studies which claim that marginal propensity to consume changes over time (i.e. Engelhardt, 1996; </w:t>
      </w:r>
      <w:proofErr w:type="spellStart"/>
      <w:r w:rsidR="002F7104" w:rsidRPr="002C5DE1">
        <w:rPr>
          <w:rFonts w:ascii="Times New Roman" w:hAnsi="Times New Roman" w:cs="Times New Roman"/>
          <w:color w:val="000000" w:themeColor="text1"/>
          <w:sz w:val="24"/>
          <w:szCs w:val="24"/>
          <w:lang w:val="en-US"/>
        </w:rPr>
        <w:t>Bertaut</w:t>
      </w:r>
      <w:proofErr w:type="spellEnd"/>
      <w:r w:rsidR="002F7104" w:rsidRPr="002C5DE1">
        <w:rPr>
          <w:rFonts w:ascii="Times New Roman" w:hAnsi="Times New Roman" w:cs="Times New Roman"/>
          <w:color w:val="000000" w:themeColor="text1"/>
          <w:sz w:val="24"/>
          <w:szCs w:val="24"/>
          <w:lang w:val="en-US"/>
        </w:rPr>
        <w:t xml:space="preserve">, 2002; Tan and Voss, 2003; Fisher and Voss, 2004; </w:t>
      </w:r>
      <w:proofErr w:type="spellStart"/>
      <w:r w:rsidR="002F7104" w:rsidRPr="002C5DE1">
        <w:rPr>
          <w:rFonts w:ascii="Times New Roman" w:hAnsi="Times New Roman" w:cs="Times New Roman"/>
          <w:color w:val="000000" w:themeColor="text1"/>
          <w:sz w:val="24"/>
          <w:szCs w:val="24"/>
          <w:lang w:val="en-US"/>
        </w:rPr>
        <w:t>Iacoviello</w:t>
      </w:r>
      <w:proofErr w:type="spellEnd"/>
      <w:r w:rsidR="002F7104" w:rsidRPr="002C5DE1">
        <w:rPr>
          <w:rFonts w:ascii="Times New Roman" w:hAnsi="Times New Roman" w:cs="Times New Roman"/>
          <w:color w:val="000000" w:themeColor="text1"/>
          <w:sz w:val="24"/>
          <w:szCs w:val="24"/>
          <w:lang w:val="en-US"/>
        </w:rPr>
        <w:t xml:space="preserve">, 2004; </w:t>
      </w:r>
      <w:r w:rsidR="00AF1233" w:rsidRPr="002C5DE1">
        <w:rPr>
          <w:rFonts w:ascii="Times New Roman" w:hAnsi="Times New Roman" w:cs="Times New Roman"/>
          <w:color w:val="000000" w:themeColor="text1"/>
          <w:sz w:val="24"/>
          <w:szCs w:val="24"/>
          <w:lang w:val="en-US"/>
        </w:rPr>
        <w:t xml:space="preserve">Case et al., 2005; </w:t>
      </w:r>
      <w:proofErr w:type="spellStart"/>
      <w:r w:rsidR="00AF1233" w:rsidRPr="002C5DE1">
        <w:rPr>
          <w:rFonts w:ascii="Times New Roman" w:hAnsi="Times New Roman" w:cs="Times New Roman"/>
          <w:color w:val="000000" w:themeColor="text1"/>
          <w:sz w:val="24"/>
          <w:szCs w:val="24"/>
          <w:lang w:val="en-US"/>
        </w:rPr>
        <w:t>Labhard</w:t>
      </w:r>
      <w:proofErr w:type="spellEnd"/>
      <w:r w:rsidR="00AF1233" w:rsidRPr="002C5DE1">
        <w:rPr>
          <w:rFonts w:ascii="Times New Roman" w:hAnsi="Times New Roman" w:cs="Times New Roman"/>
          <w:color w:val="000000" w:themeColor="text1"/>
          <w:sz w:val="24"/>
          <w:szCs w:val="24"/>
          <w:lang w:val="en-US"/>
        </w:rPr>
        <w:t xml:space="preserve"> et al., 2005; </w:t>
      </w:r>
      <w:r w:rsidR="002F7104" w:rsidRPr="002C5DE1">
        <w:rPr>
          <w:rFonts w:ascii="Times New Roman" w:hAnsi="Times New Roman" w:cs="Times New Roman"/>
          <w:color w:val="000000" w:themeColor="text1"/>
          <w:sz w:val="24"/>
          <w:szCs w:val="24"/>
          <w:lang w:val="en-US"/>
        </w:rPr>
        <w:t xml:space="preserve">Chen, 2006; </w:t>
      </w:r>
      <w:r w:rsidRPr="002C5DE1">
        <w:rPr>
          <w:rFonts w:ascii="Times New Roman" w:hAnsi="Times New Roman" w:cs="Times New Roman"/>
          <w:color w:val="000000" w:themeColor="text1"/>
          <w:sz w:val="24"/>
          <w:szCs w:val="24"/>
          <w:lang w:val="en-US"/>
        </w:rPr>
        <w:t>Carroll et al., 2011).</w:t>
      </w:r>
      <w:r w:rsidR="00AF1233" w:rsidRPr="002C5DE1">
        <w:rPr>
          <w:rFonts w:ascii="Times New Roman" w:hAnsi="Times New Roman" w:cs="Times New Roman"/>
          <w:color w:val="000000" w:themeColor="text1"/>
          <w:sz w:val="24"/>
          <w:szCs w:val="24"/>
          <w:lang w:val="en-US"/>
        </w:rPr>
        <w:t xml:space="preserve"> </w:t>
      </w:r>
      <w:r w:rsidR="008024F5" w:rsidRPr="002C5DE1">
        <w:rPr>
          <w:rFonts w:ascii="Times New Roman" w:hAnsi="Times New Roman" w:cs="Times New Roman"/>
          <w:color w:val="000000" w:themeColor="text1"/>
          <w:sz w:val="24"/>
          <w:szCs w:val="24"/>
          <w:lang w:val="en-US"/>
        </w:rPr>
        <w:t>On the other hand, our results reveal that</w:t>
      </w:r>
      <w:r w:rsidR="00104BE2" w:rsidRPr="002C5DE1">
        <w:rPr>
          <w:rFonts w:ascii="Times New Roman" w:hAnsi="Times New Roman" w:cs="Times New Roman"/>
          <w:color w:val="000000" w:themeColor="text1"/>
          <w:sz w:val="24"/>
          <w:szCs w:val="24"/>
          <w:lang w:val="en-US"/>
        </w:rPr>
        <w:t xml:space="preserve"> marginal propensity to consume out of income and housing/financial wealth remains lower in the post-GFC period vis-a-vis the bubble </w:t>
      </w:r>
      <w:r w:rsidR="00671D75" w:rsidRPr="002C5DE1">
        <w:rPr>
          <w:rFonts w:ascii="Times New Roman" w:hAnsi="Times New Roman" w:cs="Times New Roman"/>
          <w:color w:val="000000" w:themeColor="text1"/>
          <w:sz w:val="24"/>
          <w:szCs w:val="24"/>
          <w:lang w:val="en-US"/>
        </w:rPr>
        <w:t xml:space="preserve">and pre-bubble </w:t>
      </w:r>
      <w:r w:rsidR="00104BE2" w:rsidRPr="002C5DE1">
        <w:rPr>
          <w:rFonts w:ascii="Times New Roman" w:hAnsi="Times New Roman" w:cs="Times New Roman"/>
          <w:color w:val="000000" w:themeColor="text1"/>
          <w:sz w:val="24"/>
          <w:szCs w:val="24"/>
          <w:lang w:val="en-US"/>
        </w:rPr>
        <w:t>periods. Therefore, we conclude that marginal propensity to consume out of income and wealth components appears to be lower in relation with the higher saving motive of households with higher income (since relative income effect dominates the absolute income effect).</w:t>
      </w:r>
      <w:r w:rsidR="00531AE2" w:rsidRPr="002C5DE1">
        <w:rPr>
          <w:rFonts w:ascii="Times New Roman" w:hAnsi="Times New Roman" w:cs="Times New Roman"/>
          <w:color w:val="000000" w:themeColor="text1"/>
          <w:sz w:val="24"/>
          <w:szCs w:val="24"/>
          <w:lang w:val="en-US"/>
        </w:rPr>
        <w:t xml:space="preserve"> </w:t>
      </w:r>
      <w:r w:rsidR="00EE28B6" w:rsidRPr="002C5DE1">
        <w:rPr>
          <w:rFonts w:ascii="Times New Roman" w:hAnsi="Times New Roman" w:cs="Times New Roman"/>
          <w:color w:val="000000" w:themeColor="text1"/>
          <w:sz w:val="24"/>
          <w:szCs w:val="24"/>
          <w:lang w:val="en-US"/>
        </w:rPr>
        <w:t xml:space="preserve">This result is parallel to the findings of Khalifa et al., (2013) which suggests that housing wealth effect on consumption is insignificant for </w:t>
      </w:r>
      <w:r w:rsidR="00EE28B6" w:rsidRPr="002C5DE1">
        <w:rPr>
          <w:rFonts w:ascii="Times New Roman" w:hAnsi="Times New Roman" w:cs="Times New Roman"/>
          <w:color w:val="000000" w:themeColor="text1"/>
          <w:sz w:val="24"/>
          <w:szCs w:val="24"/>
          <w:lang w:val="en-US"/>
        </w:rPr>
        <w:lastRenderedPageBreak/>
        <w:t>incomes above $501,000 level.</w:t>
      </w:r>
      <w:r w:rsidR="00204BA1" w:rsidRPr="002C5DE1">
        <w:rPr>
          <w:rFonts w:ascii="Times New Roman" w:hAnsi="Times New Roman" w:cs="Times New Roman"/>
          <w:color w:val="000000" w:themeColor="text1"/>
          <w:sz w:val="24"/>
          <w:szCs w:val="24"/>
          <w:lang w:val="en-US"/>
        </w:rPr>
        <w:t xml:space="preserve"> Our results contradict with the study of Dong et al., (2017) which finds an evidence of significant wealth effect where the housing price-to-income ratio is lower (housing affordability is higher). </w:t>
      </w:r>
    </w:p>
    <w:p w14:paraId="730EA9B8" w14:textId="77777777" w:rsidR="005B2FA6" w:rsidRPr="002C5DE1" w:rsidRDefault="00EC21AE" w:rsidP="008E588C">
      <w:pPr>
        <w:spacing w:before="60" w:after="0" w:line="276" w:lineRule="auto"/>
        <w:ind w:firstLine="357"/>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T</w:t>
      </w:r>
      <w:r w:rsidR="00815D0F" w:rsidRPr="002C5DE1">
        <w:rPr>
          <w:rFonts w:ascii="Times New Roman" w:hAnsi="Times New Roman" w:cs="Times New Roman"/>
          <w:color w:val="000000" w:themeColor="text1"/>
          <w:sz w:val="24"/>
          <w:szCs w:val="24"/>
          <w:lang w:val="en-US"/>
        </w:rPr>
        <w:t xml:space="preserve">his study </w:t>
      </w:r>
      <w:r w:rsidR="001D2167" w:rsidRPr="002C5DE1">
        <w:rPr>
          <w:rFonts w:ascii="Times New Roman" w:hAnsi="Times New Roman" w:cs="Times New Roman"/>
          <w:color w:val="000000" w:themeColor="text1"/>
          <w:sz w:val="24"/>
          <w:szCs w:val="24"/>
          <w:lang w:val="en-US"/>
        </w:rPr>
        <w:t>does</w:t>
      </w:r>
      <w:r w:rsidR="00016CF5" w:rsidRPr="002C5DE1">
        <w:rPr>
          <w:rFonts w:ascii="Times New Roman" w:hAnsi="Times New Roman" w:cs="Times New Roman"/>
          <w:color w:val="000000" w:themeColor="text1"/>
          <w:sz w:val="24"/>
          <w:szCs w:val="24"/>
          <w:lang w:val="en-US"/>
        </w:rPr>
        <w:t xml:space="preserve"> not</w:t>
      </w:r>
      <w:r w:rsidR="00815D0F" w:rsidRPr="002C5DE1">
        <w:rPr>
          <w:rFonts w:ascii="Times New Roman" w:hAnsi="Times New Roman" w:cs="Times New Roman"/>
          <w:color w:val="000000" w:themeColor="text1"/>
          <w:sz w:val="24"/>
          <w:szCs w:val="24"/>
          <w:lang w:val="en-US"/>
        </w:rPr>
        <w:t xml:space="preserve"> </w:t>
      </w:r>
      <w:r w:rsidR="00700218" w:rsidRPr="002C5DE1">
        <w:rPr>
          <w:rFonts w:ascii="Times New Roman" w:hAnsi="Times New Roman" w:cs="Times New Roman"/>
          <w:color w:val="000000" w:themeColor="text1"/>
          <w:sz w:val="24"/>
          <w:szCs w:val="24"/>
          <w:lang w:val="en-US"/>
        </w:rPr>
        <w:t>claim</w:t>
      </w:r>
      <w:r w:rsidR="00016CF5" w:rsidRPr="002C5DE1">
        <w:rPr>
          <w:rFonts w:ascii="Times New Roman" w:hAnsi="Times New Roman" w:cs="Times New Roman"/>
          <w:color w:val="000000" w:themeColor="text1"/>
          <w:sz w:val="24"/>
          <w:szCs w:val="24"/>
          <w:lang w:val="en-US"/>
        </w:rPr>
        <w:t xml:space="preserve"> </w:t>
      </w:r>
      <w:r w:rsidR="001D2167" w:rsidRPr="002C5DE1">
        <w:rPr>
          <w:rFonts w:ascii="Times New Roman" w:hAnsi="Times New Roman" w:cs="Times New Roman"/>
          <w:color w:val="000000" w:themeColor="text1"/>
          <w:sz w:val="24"/>
          <w:szCs w:val="24"/>
          <w:lang w:val="en-US"/>
        </w:rPr>
        <w:t>to</w:t>
      </w:r>
      <w:r w:rsidR="00815D0F" w:rsidRPr="002C5DE1">
        <w:rPr>
          <w:rFonts w:ascii="Times New Roman" w:hAnsi="Times New Roman" w:cs="Times New Roman"/>
          <w:color w:val="000000" w:themeColor="text1"/>
          <w:sz w:val="24"/>
          <w:szCs w:val="24"/>
          <w:lang w:val="en-US"/>
        </w:rPr>
        <w:t xml:space="preserve"> provide the full picture of the implications arising from the </w:t>
      </w:r>
      <w:r w:rsidR="005F6EDC" w:rsidRPr="002C5DE1">
        <w:rPr>
          <w:rFonts w:ascii="Times New Roman" w:hAnsi="Times New Roman" w:cs="Times New Roman"/>
          <w:color w:val="000000" w:themeColor="text1"/>
          <w:sz w:val="24"/>
          <w:szCs w:val="24"/>
          <w:lang w:val="en-US"/>
        </w:rPr>
        <w:t xml:space="preserve">positive </w:t>
      </w:r>
      <w:r w:rsidR="00815D0F" w:rsidRPr="002C5DE1">
        <w:rPr>
          <w:rFonts w:ascii="Times New Roman" w:hAnsi="Times New Roman" w:cs="Times New Roman"/>
          <w:color w:val="000000" w:themeColor="text1"/>
          <w:sz w:val="24"/>
          <w:szCs w:val="24"/>
          <w:lang w:val="en-US"/>
        </w:rPr>
        <w:t>linkage between housing/stock wealth effect</w:t>
      </w:r>
      <w:r w:rsidR="00016CF5" w:rsidRPr="002C5DE1">
        <w:rPr>
          <w:rFonts w:ascii="Times New Roman" w:hAnsi="Times New Roman" w:cs="Times New Roman"/>
          <w:color w:val="000000" w:themeColor="text1"/>
          <w:sz w:val="24"/>
          <w:szCs w:val="24"/>
          <w:lang w:val="en-US"/>
        </w:rPr>
        <w:t>s</w:t>
      </w:r>
      <w:r w:rsidR="00815D0F" w:rsidRPr="002C5DE1">
        <w:rPr>
          <w:rFonts w:ascii="Times New Roman" w:hAnsi="Times New Roman" w:cs="Times New Roman"/>
          <w:color w:val="000000" w:themeColor="text1"/>
          <w:sz w:val="24"/>
          <w:szCs w:val="24"/>
          <w:lang w:val="en-US"/>
        </w:rPr>
        <w:t xml:space="preserve"> and bubble formation in housing/stock markets. Instead, </w:t>
      </w:r>
      <w:r w:rsidR="00414C6E" w:rsidRPr="002C5DE1">
        <w:rPr>
          <w:rFonts w:ascii="Times New Roman" w:hAnsi="Times New Roman" w:cs="Times New Roman"/>
          <w:color w:val="000000" w:themeColor="text1"/>
          <w:sz w:val="24"/>
          <w:szCs w:val="24"/>
          <w:lang w:val="en-US"/>
        </w:rPr>
        <w:t>the</w:t>
      </w:r>
      <w:r w:rsidRPr="002C5DE1">
        <w:rPr>
          <w:rFonts w:ascii="Times New Roman" w:hAnsi="Times New Roman" w:cs="Times New Roman"/>
          <w:color w:val="000000" w:themeColor="text1"/>
          <w:sz w:val="24"/>
          <w:szCs w:val="24"/>
          <w:lang w:val="en-US"/>
        </w:rPr>
        <w:t xml:space="preserve"> evidence of </w:t>
      </w:r>
      <w:r w:rsidR="00815D0F" w:rsidRPr="002C5DE1">
        <w:rPr>
          <w:rFonts w:ascii="Times New Roman" w:hAnsi="Times New Roman" w:cs="Times New Roman"/>
          <w:color w:val="000000" w:themeColor="text1"/>
          <w:sz w:val="24"/>
          <w:szCs w:val="24"/>
          <w:lang w:val="en-US"/>
        </w:rPr>
        <w:t>positive stock</w:t>
      </w:r>
      <w:r w:rsidRPr="002C5DE1">
        <w:rPr>
          <w:rFonts w:ascii="Times New Roman" w:hAnsi="Times New Roman" w:cs="Times New Roman"/>
          <w:color w:val="000000" w:themeColor="text1"/>
          <w:sz w:val="24"/>
          <w:szCs w:val="24"/>
          <w:lang w:val="en-US"/>
        </w:rPr>
        <w:t>/</w:t>
      </w:r>
      <w:r w:rsidR="00815D0F" w:rsidRPr="002C5DE1">
        <w:rPr>
          <w:rFonts w:ascii="Times New Roman" w:hAnsi="Times New Roman" w:cs="Times New Roman"/>
          <w:color w:val="000000" w:themeColor="text1"/>
          <w:sz w:val="24"/>
          <w:szCs w:val="24"/>
          <w:lang w:val="en-US"/>
        </w:rPr>
        <w:t xml:space="preserve">housing </w:t>
      </w:r>
      <w:r w:rsidRPr="002C5DE1">
        <w:rPr>
          <w:rFonts w:ascii="Times New Roman" w:hAnsi="Times New Roman" w:cs="Times New Roman"/>
          <w:color w:val="000000" w:themeColor="text1"/>
          <w:sz w:val="24"/>
          <w:szCs w:val="24"/>
          <w:lang w:val="en-US"/>
        </w:rPr>
        <w:t>wealth effects</w:t>
      </w:r>
      <w:r w:rsidR="00815D0F" w:rsidRPr="002C5DE1">
        <w:rPr>
          <w:rFonts w:ascii="Times New Roman" w:hAnsi="Times New Roman" w:cs="Times New Roman"/>
          <w:color w:val="000000" w:themeColor="text1"/>
          <w:sz w:val="24"/>
          <w:szCs w:val="24"/>
          <w:lang w:val="en-US"/>
        </w:rPr>
        <w:t xml:space="preserve"> do</w:t>
      </w:r>
      <w:r w:rsidRPr="002C5DE1">
        <w:rPr>
          <w:rFonts w:ascii="Times New Roman" w:hAnsi="Times New Roman" w:cs="Times New Roman"/>
          <w:color w:val="000000" w:themeColor="text1"/>
          <w:sz w:val="24"/>
          <w:szCs w:val="24"/>
          <w:lang w:val="en-US"/>
        </w:rPr>
        <w:t>es</w:t>
      </w:r>
      <w:r w:rsidR="00815D0F" w:rsidRPr="002C5DE1">
        <w:rPr>
          <w:rFonts w:ascii="Times New Roman" w:hAnsi="Times New Roman" w:cs="Times New Roman"/>
          <w:color w:val="000000" w:themeColor="text1"/>
          <w:sz w:val="24"/>
          <w:szCs w:val="24"/>
          <w:lang w:val="en-US"/>
        </w:rPr>
        <w:t xml:space="preserve"> not </w:t>
      </w:r>
      <w:r w:rsidR="00414C6E" w:rsidRPr="002C5DE1">
        <w:rPr>
          <w:rFonts w:ascii="Times New Roman" w:hAnsi="Times New Roman" w:cs="Times New Roman"/>
          <w:color w:val="000000" w:themeColor="text1"/>
          <w:sz w:val="24"/>
          <w:szCs w:val="24"/>
          <w:lang w:val="en-US"/>
        </w:rPr>
        <w:t>imply</w:t>
      </w:r>
      <w:r w:rsidR="00815D0F" w:rsidRPr="002C5DE1">
        <w:rPr>
          <w:rFonts w:ascii="Times New Roman" w:hAnsi="Times New Roman" w:cs="Times New Roman"/>
          <w:color w:val="000000" w:themeColor="text1"/>
          <w:sz w:val="24"/>
          <w:szCs w:val="24"/>
          <w:lang w:val="en-US"/>
        </w:rPr>
        <w:t xml:space="preserve"> that </w:t>
      </w:r>
      <w:r w:rsidR="00FB7FD9" w:rsidRPr="002C5DE1">
        <w:rPr>
          <w:rFonts w:ascii="Times New Roman" w:hAnsi="Times New Roman" w:cs="Times New Roman"/>
          <w:color w:val="000000" w:themeColor="text1"/>
          <w:sz w:val="24"/>
          <w:szCs w:val="24"/>
          <w:lang w:val="en-US"/>
        </w:rPr>
        <w:t xml:space="preserve">wealth effect induced </w:t>
      </w:r>
      <w:r w:rsidR="00815D0F" w:rsidRPr="002C5DE1">
        <w:rPr>
          <w:rFonts w:ascii="Times New Roman" w:hAnsi="Times New Roman" w:cs="Times New Roman"/>
          <w:color w:val="000000" w:themeColor="text1"/>
          <w:sz w:val="24"/>
          <w:szCs w:val="24"/>
          <w:lang w:val="en-US"/>
        </w:rPr>
        <w:t>consumption and economic growth can actually operate in a health</w:t>
      </w:r>
      <w:r w:rsidR="00A1792A" w:rsidRPr="002C5DE1">
        <w:rPr>
          <w:rFonts w:ascii="Times New Roman" w:hAnsi="Times New Roman" w:cs="Times New Roman"/>
          <w:color w:val="000000" w:themeColor="text1"/>
          <w:sz w:val="24"/>
          <w:szCs w:val="24"/>
          <w:lang w:val="en-US"/>
        </w:rPr>
        <w:t>y</w:t>
      </w:r>
      <w:r w:rsidR="00815D0F" w:rsidRPr="002C5DE1">
        <w:rPr>
          <w:rFonts w:ascii="Times New Roman" w:hAnsi="Times New Roman" w:cs="Times New Roman"/>
          <w:color w:val="000000" w:themeColor="text1"/>
          <w:sz w:val="24"/>
          <w:szCs w:val="24"/>
          <w:lang w:val="en-US"/>
        </w:rPr>
        <w:t xml:space="preserve"> way in developed economies. </w:t>
      </w:r>
      <w:r w:rsidRPr="002C5DE1">
        <w:rPr>
          <w:rFonts w:ascii="Times New Roman" w:hAnsi="Times New Roman" w:cs="Times New Roman"/>
          <w:color w:val="000000" w:themeColor="text1"/>
          <w:sz w:val="24"/>
          <w:szCs w:val="24"/>
          <w:lang w:val="en-US"/>
        </w:rPr>
        <w:t>Speculative bubble periods may feed high expectations of future price increases</w:t>
      </w:r>
      <w:r w:rsidR="00016CF5" w:rsidRPr="002C5DE1">
        <w:rPr>
          <w:rFonts w:ascii="Times New Roman" w:hAnsi="Times New Roman" w:cs="Times New Roman"/>
          <w:color w:val="000000" w:themeColor="text1"/>
          <w:sz w:val="24"/>
          <w:szCs w:val="24"/>
          <w:lang w:val="en-US"/>
        </w:rPr>
        <w:t>,</w:t>
      </w:r>
      <w:r w:rsidRPr="002C5DE1">
        <w:rPr>
          <w:rFonts w:ascii="Times New Roman" w:hAnsi="Times New Roman" w:cs="Times New Roman"/>
          <w:color w:val="000000" w:themeColor="text1"/>
          <w:sz w:val="24"/>
          <w:szCs w:val="24"/>
          <w:lang w:val="en-US"/>
        </w:rPr>
        <w:t xml:space="preserve"> with a strong investment motive in housing market</w:t>
      </w:r>
      <w:r w:rsidR="00414C6E" w:rsidRPr="002C5DE1">
        <w:rPr>
          <w:rFonts w:ascii="Times New Roman" w:hAnsi="Times New Roman" w:cs="Times New Roman"/>
          <w:color w:val="000000" w:themeColor="text1"/>
          <w:sz w:val="24"/>
          <w:szCs w:val="24"/>
          <w:lang w:val="en-US"/>
        </w:rPr>
        <w:t>s</w:t>
      </w:r>
      <w:r w:rsidRPr="002C5DE1">
        <w:rPr>
          <w:rFonts w:ascii="Times New Roman" w:hAnsi="Times New Roman" w:cs="Times New Roman"/>
          <w:color w:val="000000" w:themeColor="text1"/>
          <w:sz w:val="24"/>
          <w:szCs w:val="24"/>
          <w:lang w:val="en-US"/>
        </w:rPr>
        <w:t xml:space="preserve"> </w:t>
      </w:r>
      <w:r w:rsidRPr="002C5DE1">
        <w:rPr>
          <w:rFonts w:ascii="Times New Roman" w:hAnsi="Times New Roman" w:cs="Times New Roman"/>
          <w:color w:val="000000" w:themeColor="text1"/>
          <w:sz w:val="24"/>
          <w:szCs w:val="24"/>
          <w:shd w:val="clear" w:color="auto" w:fill="FFFFFF"/>
          <w:lang w:val="en-US"/>
        </w:rPr>
        <w:t xml:space="preserve">(Case and Shiller, 2003). Bubble periods also result similar irrational </w:t>
      </w:r>
      <w:r w:rsidR="00700218" w:rsidRPr="002C5DE1">
        <w:rPr>
          <w:rFonts w:ascii="Times New Roman" w:hAnsi="Times New Roman" w:cs="Times New Roman"/>
          <w:color w:val="000000" w:themeColor="text1"/>
          <w:sz w:val="24"/>
          <w:szCs w:val="24"/>
          <w:shd w:val="clear" w:color="auto" w:fill="FFFFFF"/>
          <w:lang w:val="en-US"/>
        </w:rPr>
        <w:t>behaviors</w:t>
      </w:r>
      <w:r w:rsidRPr="002C5DE1">
        <w:rPr>
          <w:rFonts w:ascii="Times New Roman" w:hAnsi="Times New Roman" w:cs="Times New Roman"/>
          <w:color w:val="000000" w:themeColor="text1"/>
          <w:sz w:val="24"/>
          <w:szCs w:val="24"/>
          <w:shd w:val="clear" w:color="auto" w:fill="FFFFFF"/>
          <w:lang w:val="en-US"/>
        </w:rPr>
        <w:t xml:space="preserve"> in stock markets.</w:t>
      </w:r>
      <w:r w:rsidR="005B2FA6" w:rsidRPr="002C5DE1">
        <w:rPr>
          <w:rFonts w:ascii="Times New Roman" w:hAnsi="Times New Roman" w:cs="Times New Roman"/>
          <w:color w:val="000000" w:themeColor="text1"/>
          <w:sz w:val="24"/>
          <w:szCs w:val="24"/>
          <w:shd w:val="clear" w:color="auto" w:fill="FFFFFF"/>
          <w:lang w:val="en-US"/>
        </w:rPr>
        <w:t xml:space="preserve"> </w:t>
      </w:r>
      <w:r w:rsidR="00016CF5" w:rsidRPr="002C5DE1">
        <w:rPr>
          <w:rFonts w:ascii="Times New Roman" w:hAnsi="Times New Roman" w:cs="Times New Roman"/>
          <w:color w:val="000000" w:themeColor="text1"/>
          <w:sz w:val="24"/>
          <w:szCs w:val="24"/>
          <w:shd w:val="clear" w:color="auto" w:fill="FFFFFF"/>
          <w:lang w:val="en-US"/>
        </w:rPr>
        <w:t>Potentially</w:t>
      </w:r>
      <w:r w:rsidR="00815D0F" w:rsidRPr="002C5DE1">
        <w:rPr>
          <w:rFonts w:ascii="Times New Roman" w:hAnsi="Times New Roman" w:cs="Times New Roman"/>
          <w:color w:val="000000" w:themeColor="text1"/>
          <w:sz w:val="24"/>
          <w:szCs w:val="24"/>
          <w:lang w:val="en-US"/>
        </w:rPr>
        <w:t>, the most critical suggestion would be</w:t>
      </w:r>
      <w:r w:rsidR="00414C6E" w:rsidRPr="002C5DE1">
        <w:rPr>
          <w:rFonts w:ascii="Times New Roman" w:hAnsi="Times New Roman" w:cs="Times New Roman"/>
          <w:color w:val="000000" w:themeColor="text1"/>
          <w:sz w:val="24"/>
          <w:szCs w:val="24"/>
          <w:lang w:val="en-US"/>
        </w:rPr>
        <w:t xml:space="preserve"> that</w:t>
      </w:r>
      <w:r w:rsidR="00815D0F" w:rsidRPr="002C5DE1">
        <w:rPr>
          <w:rFonts w:ascii="Times New Roman" w:hAnsi="Times New Roman" w:cs="Times New Roman"/>
          <w:color w:val="000000" w:themeColor="text1"/>
          <w:sz w:val="24"/>
          <w:szCs w:val="24"/>
          <w:lang w:val="en-US"/>
        </w:rPr>
        <w:t xml:space="preserve"> policymakers should develop an optimal consumption-growth model based on the utilizing positive wealth effect of housing and stock markets by avoiding quick asset price appreciations</w:t>
      </w:r>
      <w:r w:rsidR="00414C6E" w:rsidRPr="002C5DE1">
        <w:rPr>
          <w:rFonts w:ascii="Times New Roman" w:hAnsi="Times New Roman" w:cs="Times New Roman"/>
          <w:color w:val="000000" w:themeColor="text1"/>
          <w:sz w:val="24"/>
          <w:szCs w:val="24"/>
          <w:lang w:val="en-US"/>
        </w:rPr>
        <w:t>,</w:t>
      </w:r>
      <w:r w:rsidR="00815D0F" w:rsidRPr="002C5DE1">
        <w:rPr>
          <w:rFonts w:ascii="Times New Roman" w:hAnsi="Times New Roman" w:cs="Times New Roman"/>
          <w:color w:val="000000" w:themeColor="text1"/>
          <w:sz w:val="24"/>
          <w:szCs w:val="24"/>
          <w:lang w:val="en-US"/>
        </w:rPr>
        <w:t xml:space="preserve"> which may </w:t>
      </w:r>
      <w:r w:rsidR="00414C6E" w:rsidRPr="002C5DE1">
        <w:rPr>
          <w:rFonts w:ascii="Times New Roman" w:hAnsi="Times New Roman" w:cs="Times New Roman"/>
          <w:color w:val="000000" w:themeColor="text1"/>
          <w:sz w:val="24"/>
          <w:szCs w:val="24"/>
          <w:lang w:val="en-US"/>
        </w:rPr>
        <w:t>generate</w:t>
      </w:r>
      <w:r w:rsidR="00815D0F" w:rsidRPr="002C5DE1">
        <w:rPr>
          <w:rFonts w:ascii="Times New Roman" w:hAnsi="Times New Roman" w:cs="Times New Roman"/>
          <w:color w:val="000000" w:themeColor="text1"/>
          <w:sz w:val="24"/>
          <w:szCs w:val="24"/>
          <w:lang w:val="en-US"/>
        </w:rPr>
        <w:t xml:space="preserve"> a bubble in housing and stock markets. </w:t>
      </w:r>
      <w:r w:rsidR="005B2FA6" w:rsidRPr="002C5DE1">
        <w:rPr>
          <w:rFonts w:ascii="Times New Roman" w:hAnsi="Times New Roman" w:cs="Times New Roman"/>
          <w:color w:val="000000" w:themeColor="text1"/>
          <w:sz w:val="24"/>
          <w:szCs w:val="24"/>
          <w:lang w:val="en-US"/>
        </w:rPr>
        <w:t xml:space="preserve">In this respect, special care must be given </w:t>
      </w:r>
      <w:r w:rsidR="00016CF5" w:rsidRPr="002C5DE1">
        <w:rPr>
          <w:rFonts w:ascii="Times New Roman" w:hAnsi="Times New Roman" w:cs="Times New Roman"/>
          <w:color w:val="000000" w:themeColor="text1"/>
          <w:sz w:val="24"/>
          <w:szCs w:val="24"/>
          <w:lang w:val="en-US"/>
        </w:rPr>
        <w:t xml:space="preserve">on </w:t>
      </w:r>
      <w:r w:rsidR="005B2FA6" w:rsidRPr="002C5DE1">
        <w:rPr>
          <w:rFonts w:ascii="Times New Roman" w:hAnsi="Times New Roman" w:cs="Times New Roman"/>
          <w:color w:val="000000" w:themeColor="text1"/>
          <w:sz w:val="24"/>
          <w:szCs w:val="24"/>
          <w:lang w:val="en-US"/>
        </w:rPr>
        <w:t xml:space="preserve">whether there may be (abnormal) interactions between housing (and stock) prices and market fundamentals (Hui and Yue, 2006) during increasing wealth effect periods. </w:t>
      </w:r>
      <w:r w:rsidR="00414C6E" w:rsidRPr="002C5DE1">
        <w:rPr>
          <w:rFonts w:ascii="Times New Roman" w:hAnsi="Times New Roman" w:cs="Times New Roman"/>
          <w:color w:val="000000" w:themeColor="text1"/>
          <w:sz w:val="24"/>
          <w:szCs w:val="24"/>
          <w:lang w:val="en-US"/>
        </w:rPr>
        <w:t>The l</w:t>
      </w:r>
      <w:r w:rsidR="00815D0F" w:rsidRPr="002C5DE1">
        <w:rPr>
          <w:rFonts w:ascii="Times New Roman" w:hAnsi="Times New Roman" w:cs="Times New Roman"/>
          <w:color w:val="000000" w:themeColor="text1"/>
          <w:sz w:val="24"/>
          <w:szCs w:val="24"/>
          <w:lang w:val="en-US"/>
        </w:rPr>
        <w:t>iterature reveals that this policy choice may not be a politically correct one, but bubble experiences</w:t>
      </w:r>
      <w:r w:rsidR="00016CF5" w:rsidRPr="002C5DE1">
        <w:rPr>
          <w:rFonts w:ascii="Times New Roman" w:hAnsi="Times New Roman" w:cs="Times New Roman"/>
          <w:color w:val="000000" w:themeColor="text1"/>
          <w:sz w:val="24"/>
          <w:szCs w:val="24"/>
          <w:lang w:val="en-US"/>
        </w:rPr>
        <w:t>,</w:t>
      </w:r>
      <w:r w:rsidR="00815D0F" w:rsidRPr="002C5DE1">
        <w:rPr>
          <w:rFonts w:ascii="Times New Roman" w:hAnsi="Times New Roman" w:cs="Times New Roman"/>
          <w:color w:val="000000" w:themeColor="text1"/>
          <w:sz w:val="24"/>
          <w:szCs w:val="24"/>
          <w:lang w:val="en-US"/>
        </w:rPr>
        <w:t xml:space="preserve"> at least</w:t>
      </w:r>
      <w:r w:rsidR="00016CF5" w:rsidRPr="002C5DE1">
        <w:rPr>
          <w:rFonts w:ascii="Times New Roman" w:hAnsi="Times New Roman" w:cs="Times New Roman"/>
          <w:color w:val="000000" w:themeColor="text1"/>
          <w:sz w:val="24"/>
          <w:szCs w:val="24"/>
          <w:lang w:val="en-US"/>
        </w:rPr>
        <w:t>,</w:t>
      </w:r>
      <w:r w:rsidR="00815D0F" w:rsidRPr="002C5DE1">
        <w:rPr>
          <w:rFonts w:ascii="Times New Roman" w:hAnsi="Times New Roman" w:cs="Times New Roman"/>
          <w:color w:val="000000" w:themeColor="text1"/>
          <w:sz w:val="24"/>
          <w:szCs w:val="24"/>
          <w:lang w:val="en-US"/>
        </w:rPr>
        <w:t xml:space="preserve"> equal</w:t>
      </w:r>
      <w:r w:rsidR="00121C0F" w:rsidRPr="002C5DE1">
        <w:rPr>
          <w:rFonts w:ascii="Times New Roman" w:hAnsi="Times New Roman" w:cs="Times New Roman"/>
          <w:color w:val="000000" w:themeColor="text1"/>
          <w:sz w:val="24"/>
          <w:szCs w:val="24"/>
          <w:lang w:val="en-US"/>
        </w:rPr>
        <w:t>ly imply that post-bubble crisis</w:t>
      </w:r>
      <w:r w:rsidR="00815D0F" w:rsidRPr="002C5DE1">
        <w:rPr>
          <w:rFonts w:ascii="Times New Roman" w:hAnsi="Times New Roman" w:cs="Times New Roman"/>
          <w:color w:val="000000" w:themeColor="text1"/>
          <w:sz w:val="24"/>
          <w:szCs w:val="24"/>
          <w:lang w:val="en-US"/>
        </w:rPr>
        <w:t xml:space="preserve"> periods may </w:t>
      </w:r>
      <w:r w:rsidR="00016CF5" w:rsidRPr="002C5DE1">
        <w:rPr>
          <w:rFonts w:ascii="Times New Roman" w:hAnsi="Times New Roman" w:cs="Times New Roman"/>
          <w:color w:val="000000" w:themeColor="text1"/>
          <w:sz w:val="24"/>
          <w:szCs w:val="24"/>
          <w:lang w:val="en-US"/>
        </w:rPr>
        <w:t>erode</w:t>
      </w:r>
      <w:r w:rsidR="00815D0F" w:rsidRPr="002C5DE1">
        <w:rPr>
          <w:rFonts w:ascii="Times New Roman" w:hAnsi="Times New Roman" w:cs="Times New Roman"/>
          <w:color w:val="000000" w:themeColor="text1"/>
          <w:sz w:val="24"/>
          <w:szCs w:val="24"/>
          <w:lang w:val="en-US"/>
        </w:rPr>
        <w:t xml:space="preserve"> all expected </w:t>
      </w:r>
      <w:r w:rsidR="00121C0F" w:rsidRPr="002C5DE1">
        <w:rPr>
          <w:rFonts w:ascii="Times New Roman" w:hAnsi="Times New Roman" w:cs="Times New Roman"/>
          <w:color w:val="000000" w:themeColor="text1"/>
          <w:sz w:val="24"/>
          <w:szCs w:val="24"/>
          <w:lang w:val="en-US"/>
        </w:rPr>
        <w:t>gains from the bubble</w:t>
      </w:r>
      <w:r w:rsidR="00016CF5" w:rsidRPr="002C5DE1">
        <w:rPr>
          <w:rFonts w:ascii="Times New Roman" w:hAnsi="Times New Roman" w:cs="Times New Roman"/>
          <w:color w:val="000000" w:themeColor="text1"/>
          <w:sz w:val="24"/>
          <w:szCs w:val="24"/>
          <w:lang w:val="en-US"/>
        </w:rPr>
        <w:t>-</w:t>
      </w:r>
      <w:r w:rsidR="00700218" w:rsidRPr="002C5DE1">
        <w:rPr>
          <w:rFonts w:ascii="Times New Roman" w:hAnsi="Times New Roman" w:cs="Times New Roman"/>
          <w:color w:val="000000" w:themeColor="text1"/>
          <w:sz w:val="24"/>
          <w:szCs w:val="24"/>
          <w:lang w:val="en-US"/>
        </w:rPr>
        <w:t>associated</w:t>
      </w:r>
      <w:r w:rsidR="00414C6E" w:rsidRPr="002C5DE1">
        <w:rPr>
          <w:rFonts w:ascii="Times New Roman" w:hAnsi="Times New Roman" w:cs="Times New Roman"/>
          <w:color w:val="000000" w:themeColor="text1"/>
          <w:sz w:val="24"/>
          <w:szCs w:val="24"/>
          <w:lang w:val="en-US"/>
        </w:rPr>
        <w:t xml:space="preserve"> </w:t>
      </w:r>
      <w:r w:rsidR="00815D0F" w:rsidRPr="002C5DE1">
        <w:rPr>
          <w:rFonts w:ascii="Times New Roman" w:hAnsi="Times New Roman" w:cs="Times New Roman"/>
          <w:color w:val="000000" w:themeColor="text1"/>
          <w:sz w:val="24"/>
          <w:szCs w:val="24"/>
          <w:lang w:val="en-US"/>
        </w:rPr>
        <w:t xml:space="preserve">wealth effects in a short period of time as observed in </w:t>
      </w:r>
      <w:r w:rsidR="00414C6E" w:rsidRPr="002C5DE1">
        <w:rPr>
          <w:rFonts w:ascii="Times New Roman" w:hAnsi="Times New Roman" w:cs="Times New Roman"/>
          <w:color w:val="000000" w:themeColor="text1"/>
          <w:sz w:val="24"/>
          <w:szCs w:val="24"/>
          <w:lang w:val="en-US"/>
        </w:rPr>
        <w:t>the</w:t>
      </w:r>
      <w:r w:rsidR="00815D0F" w:rsidRPr="002C5DE1">
        <w:rPr>
          <w:rFonts w:ascii="Times New Roman" w:hAnsi="Times New Roman" w:cs="Times New Roman"/>
          <w:color w:val="000000" w:themeColor="text1"/>
          <w:sz w:val="24"/>
          <w:szCs w:val="24"/>
          <w:lang w:val="en-US"/>
        </w:rPr>
        <w:t xml:space="preserve"> </w:t>
      </w:r>
      <w:r w:rsidR="00B2795F" w:rsidRPr="002C5DE1">
        <w:rPr>
          <w:rFonts w:ascii="Times New Roman" w:hAnsi="Times New Roman" w:cs="Times New Roman"/>
          <w:color w:val="000000" w:themeColor="text1"/>
          <w:sz w:val="24"/>
          <w:szCs w:val="24"/>
          <w:lang w:val="en-US"/>
        </w:rPr>
        <w:t>post-GFC</w:t>
      </w:r>
      <w:r w:rsidR="00815D0F" w:rsidRPr="002C5DE1">
        <w:rPr>
          <w:rFonts w:ascii="Times New Roman" w:hAnsi="Times New Roman" w:cs="Times New Roman"/>
          <w:color w:val="000000" w:themeColor="text1"/>
          <w:sz w:val="24"/>
          <w:szCs w:val="24"/>
          <w:lang w:val="en-US"/>
        </w:rPr>
        <w:t xml:space="preserve"> period sub-sample (Poterba and </w:t>
      </w:r>
      <w:proofErr w:type="spellStart"/>
      <w:r w:rsidR="00815D0F" w:rsidRPr="002C5DE1">
        <w:rPr>
          <w:rFonts w:ascii="Times New Roman" w:hAnsi="Times New Roman" w:cs="Times New Roman"/>
          <w:color w:val="000000" w:themeColor="text1"/>
          <w:sz w:val="24"/>
          <w:szCs w:val="24"/>
          <w:lang w:val="en-US"/>
        </w:rPr>
        <w:t>Samwick</w:t>
      </w:r>
      <w:proofErr w:type="spellEnd"/>
      <w:r w:rsidR="00815D0F" w:rsidRPr="002C5DE1">
        <w:rPr>
          <w:rFonts w:ascii="Times New Roman" w:hAnsi="Times New Roman" w:cs="Times New Roman"/>
          <w:color w:val="000000" w:themeColor="text1"/>
          <w:sz w:val="24"/>
          <w:szCs w:val="24"/>
          <w:lang w:val="en-US"/>
        </w:rPr>
        <w:t>, 1995; Apergis et al.</w:t>
      </w:r>
      <w:r w:rsidR="00414C6E" w:rsidRPr="002C5DE1">
        <w:rPr>
          <w:rFonts w:ascii="Times New Roman" w:hAnsi="Times New Roman" w:cs="Times New Roman"/>
          <w:color w:val="000000" w:themeColor="text1"/>
          <w:sz w:val="24"/>
          <w:szCs w:val="24"/>
          <w:lang w:val="en-US"/>
        </w:rPr>
        <w:t>,</w:t>
      </w:r>
      <w:r w:rsidR="00815D0F" w:rsidRPr="002C5DE1">
        <w:rPr>
          <w:rFonts w:ascii="Times New Roman" w:hAnsi="Times New Roman" w:cs="Times New Roman"/>
          <w:color w:val="000000" w:themeColor="text1"/>
          <w:sz w:val="24"/>
          <w:szCs w:val="24"/>
          <w:lang w:val="en-US"/>
        </w:rPr>
        <w:t xml:space="preserve"> 2014). </w:t>
      </w:r>
      <w:r w:rsidR="00414C6E" w:rsidRPr="002C5DE1">
        <w:rPr>
          <w:rFonts w:ascii="Times New Roman" w:hAnsi="Times New Roman" w:cs="Times New Roman"/>
          <w:color w:val="000000" w:themeColor="text1"/>
          <w:sz w:val="24"/>
          <w:szCs w:val="24"/>
          <w:lang w:val="en-US"/>
        </w:rPr>
        <w:t xml:space="preserve"> </w:t>
      </w:r>
    </w:p>
    <w:p w14:paraId="1491F401" w14:textId="77777777" w:rsidR="00726577" w:rsidRPr="002C5DE1" w:rsidRDefault="00FB7FD9" w:rsidP="008E588C">
      <w:pPr>
        <w:spacing w:before="60" w:after="0" w:line="276" w:lineRule="auto"/>
        <w:ind w:firstLine="357"/>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In line with the literature t</w:t>
      </w:r>
      <w:r w:rsidR="00815D0F" w:rsidRPr="002C5DE1">
        <w:rPr>
          <w:rFonts w:ascii="Times New Roman" w:hAnsi="Times New Roman" w:cs="Times New Roman"/>
          <w:color w:val="000000" w:themeColor="text1"/>
          <w:sz w:val="24"/>
          <w:szCs w:val="24"/>
          <w:lang w:val="en-US"/>
        </w:rPr>
        <w:t xml:space="preserve">he evidence of a strong housing wealth effect during </w:t>
      </w:r>
      <w:r w:rsidR="00414C6E" w:rsidRPr="002C5DE1">
        <w:rPr>
          <w:rFonts w:ascii="Times New Roman" w:hAnsi="Times New Roman" w:cs="Times New Roman"/>
          <w:color w:val="000000" w:themeColor="text1"/>
          <w:sz w:val="24"/>
          <w:szCs w:val="24"/>
          <w:lang w:val="en-US"/>
        </w:rPr>
        <w:t xml:space="preserve">the </w:t>
      </w:r>
      <w:r w:rsidR="00815D0F" w:rsidRPr="002C5DE1">
        <w:rPr>
          <w:rFonts w:ascii="Times New Roman" w:hAnsi="Times New Roman" w:cs="Times New Roman"/>
          <w:color w:val="000000" w:themeColor="text1"/>
          <w:sz w:val="24"/>
          <w:szCs w:val="24"/>
          <w:lang w:val="en-US"/>
        </w:rPr>
        <w:t>entire and sub-period panels suggests that housing is a powerful asset for transmission channels</w:t>
      </w:r>
      <w:r w:rsidR="00414C6E" w:rsidRPr="002C5DE1">
        <w:rPr>
          <w:rFonts w:ascii="Times New Roman" w:hAnsi="Times New Roman" w:cs="Times New Roman"/>
          <w:color w:val="000000" w:themeColor="text1"/>
          <w:sz w:val="24"/>
          <w:szCs w:val="24"/>
          <w:lang w:val="en-US"/>
        </w:rPr>
        <w:t>,</w:t>
      </w:r>
      <w:r w:rsidR="00815D0F" w:rsidRPr="002C5DE1">
        <w:rPr>
          <w:rFonts w:ascii="Times New Roman" w:hAnsi="Times New Roman" w:cs="Times New Roman"/>
          <w:color w:val="000000" w:themeColor="text1"/>
          <w:sz w:val="24"/>
          <w:szCs w:val="24"/>
          <w:lang w:val="en-US"/>
        </w:rPr>
        <w:t xml:space="preserve"> irrespective of the size, </w:t>
      </w:r>
      <w:r w:rsidR="00414C6E" w:rsidRPr="002C5DE1">
        <w:rPr>
          <w:rFonts w:ascii="Times New Roman" w:hAnsi="Times New Roman" w:cs="Times New Roman"/>
          <w:color w:val="000000" w:themeColor="text1"/>
          <w:sz w:val="24"/>
          <w:szCs w:val="24"/>
          <w:lang w:val="en-US"/>
        </w:rPr>
        <w:t xml:space="preserve">the </w:t>
      </w:r>
      <w:r w:rsidR="00815D0F" w:rsidRPr="002C5DE1">
        <w:rPr>
          <w:rFonts w:ascii="Times New Roman" w:hAnsi="Times New Roman" w:cs="Times New Roman"/>
          <w:color w:val="000000" w:themeColor="text1"/>
          <w:sz w:val="24"/>
          <w:szCs w:val="24"/>
          <w:lang w:val="en-US"/>
        </w:rPr>
        <w:t xml:space="preserve">financial structure, and </w:t>
      </w:r>
      <w:r w:rsidR="00414C6E" w:rsidRPr="002C5DE1">
        <w:rPr>
          <w:rFonts w:ascii="Times New Roman" w:hAnsi="Times New Roman" w:cs="Times New Roman"/>
          <w:color w:val="000000" w:themeColor="text1"/>
          <w:sz w:val="24"/>
          <w:szCs w:val="24"/>
          <w:lang w:val="en-US"/>
        </w:rPr>
        <w:t xml:space="preserve">the </w:t>
      </w:r>
      <w:r w:rsidR="00815D0F" w:rsidRPr="002C5DE1">
        <w:rPr>
          <w:rFonts w:ascii="Times New Roman" w:hAnsi="Times New Roman" w:cs="Times New Roman"/>
          <w:color w:val="000000" w:themeColor="text1"/>
          <w:sz w:val="24"/>
          <w:szCs w:val="24"/>
          <w:lang w:val="en-US"/>
        </w:rPr>
        <w:t xml:space="preserve">geographic locations of the </w:t>
      </w:r>
      <w:r w:rsidR="00700218" w:rsidRPr="002C5DE1">
        <w:rPr>
          <w:rFonts w:ascii="Times New Roman" w:hAnsi="Times New Roman" w:cs="Times New Roman"/>
          <w:color w:val="000000" w:themeColor="text1"/>
          <w:sz w:val="24"/>
          <w:szCs w:val="24"/>
          <w:lang w:val="en-US"/>
        </w:rPr>
        <w:t>analyzed</w:t>
      </w:r>
      <w:r w:rsidR="00815D0F" w:rsidRPr="002C5DE1">
        <w:rPr>
          <w:rFonts w:ascii="Times New Roman" w:hAnsi="Times New Roman" w:cs="Times New Roman"/>
          <w:color w:val="000000" w:themeColor="text1"/>
          <w:sz w:val="24"/>
          <w:szCs w:val="24"/>
          <w:lang w:val="en-US"/>
        </w:rPr>
        <w:t xml:space="preserve"> economies (Coskun et al., 201</w:t>
      </w:r>
      <w:r w:rsidR="00E30EC9" w:rsidRPr="002C5DE1">
        <w:rPr>
          <w:rFonts w:ascii="Times New Roman" w:hAnsi="Times New Roman" w:cs="Times New Roman"/>
          <w:color w:val="000000" w:themeColor="text1"/>
          <w:sz w:val="24"/>
          <w:szCs w:val="24"/>
          <w:lang w:val="en-US"/>
        </w:rPr>
        <w:t>8</w:t>
      </w:r>
      <w:r w:rsidR="00815D0F" w:rsidRPr="002C5DE1">
        <w:rPr>
          <w:rFonts w:ascii="Times New Roman" w:hAnsi="Times New Roman" w:cs="Times New Roman"/>
          <w:color w:val="000000" w:themeColor="text1"/>
          <w:sz w:val="24"/>
          <w:szCs w:val="24"/>
          <w:lang w:val="en-US"/>
        </w:rPr>
        <w:t xml:space="preserve">). As the mostly field-classical advice, it seems that focusing on housing wealth rather than </w:t>
      </w:r>
      <w:r w:rsidR="00414C6E" w:rsidRPr="002C5DE1">
        <w:rPr>
          <w:rFonts w:ascii="Times New Roman" w:hAnsi="Times New Roman" w:cs="Times New Roman"/>
          <w:color w:val="000000" w:themeColor="text1"/>
          <w:sz w:val="24"/>
          <w:szCs w:val="24"/>
          <w:lang w:val="en-US"/>
        </w:rPr>
        <w:t xml:space="preserve">on </w:t>
      </w:r>
      <w:r w:rsidR="00815D0F" w:rsidRPr="002C5DE1">
        <w:rPr>
          <w:rFonts w:ascii="Times New Roman" w:hAnsi="Times New Roman" w:cs="Times New Roman"/>
          <w:color w:val="000000" w:themeColor="text1"/>
          <w:sz w:val="24"/>
          <w:szCs w:val="24"/>
          <w:lang w:val="en-US"/>
        </w:rPr>
        <w:t xml:space="preserve">stock wealth would be </w:t>
      </w:r>
      <w:r w:rsidR="00414C6E" w:rsidRPr="002C5DE1">
        <w:rPr>
          <w:rFonts w:ascii="Times New Roman" w:hAnsi="Times New Roman" w:cs="Times New Roman"/>
          <w:color w:val="000000" w:themeColor="text1"/>
          <w:sz w:val="24"/>
          <w:szCs w:val="24"/>
          <w:lang w:val="en-US"/>
        </w:rPr>
        <w:t>an improved</w:t>
      </w:r>
      <w:r w:rsidR="00815D0F" w:rsidRPr="002C5DE1">
        <w:rPr>
          <w:rFonts w:ascii="Times New Roman" w:hAnsi="Times New Roman" w:cs="Times New Roman"/>
          <w:color w:val="000000" w:themeColor="text1"/>
          <w:sz w:val="24"/>
          <w:szCs w:val="24"/>
          <w:lang w:val="en-US"/>
        </w:rPr>
        <w:t xml:space="preserve"> policy option for the countries having both developed financial markets and refined housing markets. </w:t>
      </w:r>
      <w:r w:rsidR="00414C6E" w:rsidRPr="002C5DE1">
        <w:rPr>
          <w:rFonts w:ascii="Times New Roman" w:hAnsi="Times New Roman" w:cs="Times New Roman"/>
          <w:color w:val="000000" w:themeColor="text1"/>
          <w:sz w:val="24"/>
          <w:szCs w:val="24"/>
          <w:lang w:val="en-US"/>
        </w:rPr>
        <w:t>However</w:t>
      </w:r>
      <w:r w:rsidR="00815D0F" w:rsidRPr="002C5DE1">
        <w:rPr>
          <w:rFonts w:ascii="Times New Roman" w:hAnsi="Times New Roman" w:cs="Times New Roman"/>
          <w:color w:val="000000" w:themeColor="text1"/>
          <w:sz w:val="24"/>
          <w:szCs w:val="24"/>
          <w:lang w:val="en-US"/>
        </w:rPr>
        <w:t>, taken into account the well-established linkages between financial and housing markets, this policy advice would be very challenging to develop for those countries having well developed financial and real estate system</w:t>
      </w:r>
      <w:r w:rsidR="00414C6E" w:rsidRPr="002C5DE1">
        <w:rPr>
          <w:rFonts w:ascii="Times New Roman" w:hAnsi="Times New Roman" w:cs="Times New Roman"/>
          <w:color w:val="000000" w:themeColor="text1"/>
          <w:sz w:val="24"/>
          <w:szCs w:val="24"/>
          <w:lang w:val="en-US"/>
        </w:rPr>
        <w:t>s</w:t>
      </w:r>
      <w:r w:rsidR="00815D0F" w:rsidRPr="002C5DE1">
        <w:rPr>
          <w:rFonts w:ascii="Times New Roman" w:hAnsi="Times New Roman" w:cs="Times New Roman"/>
          <w:color w:val="000000" w:themeColor="text1"/>
          <w:sz w:val="24"/>
          <w:szCs w:val="24"/>
          <w:lang w:val="en-US"/>
        </w:rPr>
        <w:t xml:space="preserve"> that may probably result </w:t>
      </w:r>
      <w:r w:rsidR="00414C6E" w:rsidRPr="002C5DE1">
        <w:rPr>
          <w:rFonts w:ascii="Times New Roman" w:hAnsi="Times New Roman" w:cs="Times New Roman"/>
          <w:color w:val="000000" w:themeColor="text1"/>
          <w:sz w:val="24"/>
          <w:szCs w:val="24"/>
          <w:lang w:val="en-US"/>
        </w:rPr>
        <w:t xml:space="preserve">in </w:t>
      </w:r>
      <w:r w:rsidR="00815D0F" w:rsidRPr="002C5DE1">
        <w:rPr>
          <w:rFonts w:ascii="Times New Roman" w:hAnsi="Times New Roman" w:cs="Times New Roman"/>
          <w:color w:val="000000" w:themeColor="text1"/>
          <w:sz w:val="24"/>
          <w:szCs w:val="24"/>
          <w:lang w:val="en-US"/>
        </w:rPr>
        <w:t xml:space="preserve">improvements of both wealth channels. The positive relation between </w:t>
      </w:r>
      <w:r w:rsidR="00414C6E" w:rsidRPr="002C5DE1">
        <w:rPr>
          <w:rFonts w:ascii="Times New Roman" w:hAnsi="Times New Roman" w:cs="Times New Roman"/>
          <w:color w:val="000000" w:themeColor="text1"/>
          <w:sz w:val="24"/>
          <w:szCs w:val="24"/>
          <w:lang w:val="en-US"/>
        </w:rPr>
        <w:t xml:space="preserve">a </w:t>
      </w:r>
      <w:r w:rsidR="00815D0F" w:rsidRPr="002C5DE1">
        <w:rPr>
          <w:rFonts w:ascii="Times New Roman" w:hAnsi="Times New Roman" w:cs="Times New Roman"/>
          <w:color w:val="000000" w:themeColor="text1"/>
          <w:sz w:val="24"/>
          <w:szCs w:val="24"/>
          <w:lang w:val="en-US"/>
        </w:rPr>
        <w:t xml:space="preserve">higher </w:t>
      </w:r>
      <w:r w:rsidR="003C2300" w:rsidRPr="002C5DE1">
        <w:rPr>
          <w:rFonts w:ascii="Times New Roman" w:hAnsi="Times New Roman" w:cs="Times New Roman"/>
          <w:color w:val="000000" w:themeColor="text1"/>
          <w:sz w:val="24"/>
          <w:szCs w:val="24"/>
          <w:lang w:val="en-US"/>
        </w:rPr>
        <w:t>FD</w:t>
      </w:r>
      <w:r w:rsidR="00815D0F" w:rsidRPr="002C5DE1">
        <w:rPr>
          <w:rFonts w:ascii="Times New Roman" w:hAnsi="Times New Roman" w:cs="Times New Roman"/>
          <w:color w:val="000000" w:themeColor="text1"/>
          <w:sz w:val="24"/>
          <w:szCs w:val="24"/>
          <w:lang w:val="en-US"/>
        </w:rPr>
        <w:t xml:space="preserve"> and </w:t>
      </w:r>
      <w:r w:rsidR="00414C6E" w:rsidRPr="002C5DE1">
        <w:rPr>
          <w:rFonts w:ascii="Times New Roman" w:hAnsi="Times New Roman" w:cs="Times New Roman"/>
          <w:color w:val="000000" w:themeColor="text1"/>
          <w:sz w:val="24"/>
          <w:szCs w:val="24"/>
          <w:lang w:val="en-US"/>
        </w:rPr>
        <w:t>h</w:t>
      </w:r>
      <w:r w:rsidR="00815D0F" w:rsidRPr="002C5DE1">
        <w:rPr>
          <w:rFonts w:ascii="Times New Roman" w:hAnsi="Times New Roman" w:cs="Times New Roman"/>
          <w:color w:val="000000" w:themeColor="text1"/>
          <w:sz w:val="24"/>
          <w:szCs w:val="24"/>
          <w:lang w:val="en-US"/>
        </w:rPr>
        <w:t>igher wealth effect</w:t>
      </w:r>
      <w:r w:rsidR="00414C6E" w:rsidRPr="002C5DE1">
        <w:rPr>
          <w:rFonts w:ascii="Times New Roman" w:hAnsi="Times New Roman" w:cs="Times New Roman"/>
          <w:color w:val="000000" w:themeColor="text1"/>
          <w:sz w:val="24"/>
          <w:szCs w:val="24"/>
          <w:lang w:val="en-US"/>
        </w:rPr>
        <w:t>s</w:t>
      </w:r>
      <w:r w:rsidR="00815D0F" w:rsidRPr="002C5DE1">
        <w:rPr>
          <w:rFonts w:ascii="Times New Roman" w:hAnsi="Times New Roman" w:cs="Times New Roman"/>
          <w:color w:val="000000" w:themeColor="text1"/>
          <w:sz w:val="24"/>
          <w:szCs w:val="24"/>
          <w:lang w:val="en-US"/>
        </w:rPr>
        <w:t xml:space="preserve"> suggests that high stock market capitalization (</w:t>
      </w:r>
      <w:proofErr w:type="spellStart"/>
      <w:r w:rsidR="00815D0F" w:rsidRPr="002C5DE1">
        <w:rPr>
          <w:rFonts w:ascii="Times New Roman" w:hAnsi="Times New Roman" w:cs="Times New Roman"/>
          <w:color w:val="000000" w:themeColor="text1"/>
          <w:sz w:val="24"/>
          <w:szCs w:val="24"/>
          <w:lang w:val="en-US"/>
        </w:rPr>
        <w:t>Peltonen</w:t>
      </w:r>
      <w:proofErr w:type="spellEnd"/>
      <w:r w:rsidR="00815D0F" w:rsidRPr="002C5DE1">
        <w:rPr>
          <w:rFonts w:ascii="Times New Roman" w:hAnsi="Times New Roman" w:cs="Times New Roman"/>
          <w:color w:val="000000" w:themeColor="text1"/>
          <w:sz w:val="24"/>
          <w:szCs w:val="24"/>
          <w:lang w:val="en-US"/>
        </w:rPr>
        <w:t xml:space="preserve"> et al., 2012) and completeness of the mortgage market institutions (ECB, 2009; Coskun et al., 201</w:t>
      </w:r>
      <w:r w:rsidR="00E30EC9" w:rsidRPr="002C5DE1">
        <w:rPr>
          <w:rFonts w:ascii="Times New Roman" w:hAnsi="Times New Roman" w:cs="Times New Roman"/>
          <w:color w:val="000000" w:themeColor="text1"/>
          <w:sz w:val="24"/>
          <w:szCs w:val="24"/>
          <w:lang w:val="en-US"/>
        </w:rPr>
        <w:t>8</w:t>
      </w:r>
      <w:r w:rsidR="00815D0F" w:rsidRPr="002C5DE1">
        <w:rPr>
          <w:rFonts w:ascii="Times New Roman" w:hAnsi="Times New Roman" w:cs="Times New Roman"/>
          <w:color w:val="000000" w:themeColor="text1"/>
          <w:sz w:val="24"/>
          <w:szCs w:val="24"/>
          <w:lang w:val="en-US"/>
        </w:rPr>
        <w:t xml:space="preserve">) may improve the magnitude of </w:t>
      </w:r>
      <w:r w:rsidR="00414C6E" w:rsidRPr="002C5DE1">
        <w:rPr>
          <w:rFonts w:ascii="Times New Roman" w:hAnsi="Times New Roman" w:cs="Times New Roman"/>
          <w:color w:val="000000" w:themeColor="text1"/>
          <w:sz w:val="24"/>
          <w:szCs w:val="24"/>
          <w:lang w:val="en-US"/>
        </w:rPr>
        <w:t xml:space="preserve">a </w:t>
      </w:r>
      <w:r w:rsidR="00815D0F" w:rsidRPr="002C5DE1">
        <w:rPr>
          <w:rFonts w:ascii="Times New Roman" w:hAnsi="Times New Roman" w:cs="Times New Roman"/>
          <w:color w:val="000000" w:themeColor="text1"/>
          <w:sz w:val="24"/>
          <w:szCs w:val="24"/>
          <w:lang w:val="en-US"/>
        </w:rPr>
        <w:t xml:space="preserve">positive housing and stock market wealth effect. </w:t>
      </w:r>
      <w:r w:rsidR="0031441F" w:rsidRPr="002C5DE1">
        <w:rPr>
          <w:rFonts w:ascii="Times New Roman" w:hAnsi="Times New Roman" w:cs="Times New Roman"/>
          <w:color w:val="000000" w:themeColor="text1"/>
          <w:sz w:val="24"/>
          <w:szCs w:val="24"/>
          <w:lang w:val="en-US"/>
        </w:rPr>
        <w:t>Moreover</w:t>
      </w:r>
      <w:r w:rsidR="00815D0F" w:rsidRPr="002C5DE1">
        <w:rPr>
          <w:rFonts w:ascii="Times New Roman" w:hAnsi="Times New Roman" w:cs="Times New Roman"/>
          <w:color w:val="000000" w:themeColor="text1"/>
          <w:sz w:val="24"/>
          <w:szCs w:val="24"/>
          <w:lang w:val="en-US"/>
        </w:rPr>
        <w:t xml:space="preserve">, it is </w:t>
      </w:r>
      <w:r w:rsidR="00414C6E" w:rsidRPr="002C5DE1">
        <w:rPr>
          <w:rFonts w:ascii="Times New Roman" w:hAnsi="Times New Roman" w:cs="Times New Roman"/>
          <w:color w:val="000000" w:themeColor="text1"/>
          <w:sz w:val="24"/>
          <w:szCs w:val="24"/>
          <w:lang w:val="en-US"/>
        </w:rPr>
        <w:t xml:space="preserve">also </w:t>
      </w:r>
      <w:r w:rsidR="00815D0F" w:rsidRPr="002C5DE1">
        <w:rPr>
          <w:rFonts w:ascii="Times New Roman" w:hAnsi="Times New Roman" w:cs="Times New Roman"/>
          <w:color w:val="000000" w:themeColor="text1"/>
          <w:sz w:val="24"/>
          <w:szCs w:val="24"/>
          <w:lang w:val="en-US"/>
        </w:rPr>
        <w:t xml:space="preserve">important to note the positive linkage between increasing stock wealth </w:t>
      </w:r>
      <w:r w:rsidR="00414C6E" w:rsidRPr="002C5DE1">
        <w:rPr>
          <w:rFonts w:ascii="Times New Roman" w:hAnsi="Times New Roman" w:cs="Times New Roman"/>
          <w:color w:val="000000" w:themeColor="text1"/>
          <w:sz w:val="24"/>
          <w:szCs w:val="24"/>
          <w:lang w:val="en-US"/>
        </w:rPr>
        <w:t xml:space="preserve">for the </w:t>
      </w:r>
      <w:r w:rsidR="00815D0F" w:rsidRPr="002C5DE1">
        <w:rPr>
          <w:rFonts w:ascii="Times New Roman" w:hAnsi="Times New Roman" w:cs="Times New Roman"/>
          <w:color w:val="000000" w:themeColor="text1"/>
          <w:sz w:val="24"/>
          <w:szCs w:val="24"/>
          <w:lang w:val="en-US"/>
        </w:rPr>
        <w:t xml:space="preserve">above threshold of HPI. </w:t>
      </w:r>
      <w:r w:rsidR="00414C6E" w:rsidRPr="002C5DE1">
        <w:rPr>
          <w:rFonts w:ascii="Times New Roman" w:hAnsi="Times New Roman" w:cs="Times New Roman"/>
          <w:color w:val="000000" w:themeColor="text1"/>
          <w:sz w:val="24"/>
          <w:szCs w:val="24"/>
          <w:lang w:val="en-US"/>
        </w:rPr>
        <w:t>A</w:t>
      </w:r>
      <w:r w:rsidR="00815D0F" w:rsidRPr="002C5DE1">
        <w:rPr>
          <w:rFonts w:ascii="Times New Roman" w:hAnsi="Times New Roman" w:cs="Times New Roman"/>
          <w:color w:val="000000" w:themeColor="text1"/>
          <w:sz w:val="24"/>
          <w:szCs w:val="24"/>
          <w:lang w:val="en-US"/>
        </w:rPr>
        <w:t xml:space="preserve"> higher HPI may imply declining affordability, weakening housing demand for </w:t>
      </w:r>
      <w:r w:rsidR="00414C6E" w:rsidRPr="002C5DE1">
        <w:rPr>
          <w:rFonts w:ascii="Times New Roman" w:hAnsi="Times New Roman" w:cs="Times New Roman"/>
          <w:color w:val="000000" w:themeColor="text1"/>
          <w:sz w:val="24"/>
          <w:szCs w:val="24"/>
          <w:lang w:val="en-US"/>
        </w:rPr>
        <w:t xml:space="preserve">the </w:t>
      </w:r>
      <w:r w:rsidR="00FE7F49" w:rsidRPr="002C5DE1">
        <w:rPr>
          <w:rFonts w:ascii="Times New Roman" w:hAnsi="Times New Roman" w:cs="Times New Roman"/>
          <w:color w:val="000000" w:themeColor="text1"/>
          <w:sz w:val="24"/>
          <w:szCs w:val="24"/>
          <w:lang w:val="en-US"/>
        </w:rPr>
        <w:t>middle class that</w:t>
      </w:r>
      <w:r w:rsidR="00815D0F" w:rsidRPr="002C5DE1">
        <w:rPr>
          <w:rFonts w:ascii="Times New Roman" w:hAnsi="Times New Roman" w:cs="Times New Roman"/>
          <w:color w:val="000000" w:themeColor="text1"/>
          <w:sz w:val="24"/>
          <w:szCs w:val="24"/>
          <w:lang w:val="en-US"/>
        </w:rPr>
        <w:t xml:space="preserve"> </w:t>
      </w:r>
      <w:r w:rsidR="00FE7F49" w:rsidRPr="002C5DE1">
        <w:rPr>
          <w:rFonts w:ascii="Times New Roman" w:hAnsi="Times New Roman" w:cs="Times New Roman"/>
          <w:color w:val="000000" w:themeColor="text1"/>
          <w:sz w:val="24"/>
          <w:szCs w:val="24"/>
          <w:lang w:val="en-US"/>
        </w:rPr>
        <w:t xml:space="preserve">leads </w:t>
      </w:r>
      <w:r w:rsidR="00F110C0" w:rsidRPr="002C5DE1">
        <w:rPr>
          <w:rFonts w:ascii="Times New Roman" w:hAnsi="Times New Roman" w:cs="Times New Roman"/>
          <w:color w:val="000000" w:themeColor="text1"/>
          <w:sz w:val="24"/>
          <w:szCs w:val="24"/>
          <w:lang w:val="en-US"/>
        </w:rPr>
        <w:t xml:space="preserve">to </w:t>
      </w:r>
      <w:r w:rsidR="00FE7F49" w:rsidRPr="002C5DE1">
        <w:rPr>
          <w:rFonts w:ascii="Times New Roman" w:hAnsi="Times New Roman" w:cs="Times New Roman"/>
          <w:color w:val="000000" w:themeColor="text1"/>
          <w:sz w:val="24"/>
          <w:szCs w:val="24"/>
          <w:lang w:val="en-US"/>
        </w:rPr>
        <w:t>the rise of inequality</w:t>
      </w:r>
      <w:r w:rsidR="00F110C0" w:rsidRPr="002C5DE1">
        <w:rPr>
          <w:rFonts w:ascii="Times New Roman" w:hAnsi="Times New Roman" w:cs="Times New Roman"/>
          <w:color w:val="000000" w:themeColor="text1"/>
          <w:sz w:val="24"/>
          <w:szCs w:val="24"/>
          <w:lang w:val="en-US"/>
        </w:rPr>
        <w:t>,</w:t>
      </w:r>
      <w:r w:rsidR="00FE7F49" w:rsidRPr="002C5DE1">
        <w:rPr>
          <w:rFonts w:ascii="Times New Roman" w:hAnsi="Times New Roman" w:cs="Times New Roman"/>
          <w:color w:val="000000" w:themeColor="text1"/>
          <w:sz w:val="24"/>
          <w:szCs w:val="24"/>
          <w:lang w:val="en-US"/>
        </w:rPr>
        <w:t xml:space="preserve"> and increas</w:t>
      </w:r>
      <w:r w:rsidR="00F110C0" w:rsidRPr="002C5DE1">
        <w:rPr>
          <w:rFonts w:ascii="Times New Roman" w:hAnsi="Times New Roman" w:cs="Times New Roman"/>
          <w:color w:val="000000" w:themeColor="text1"/>
          <w:sz w:val="24"/>
          <w:szCs w:val="24"/>
          <w:lang w:val="en-US"/>
        </w:rPr>
        <w:t>ing</w:t>
      </w:r>
      <w:r w:rsidR="00FE7F49" w:rsidRPr="002C5DE1">
        <w:rPr>
          <w:rFonts w:ascii="Times New Roman" w:hAnsi="Times New Roman" w:cs="Times New Roman"/>
          <w:color w:val="000000" w:themeColor="text1"/>
          <w:sz w:val="24"/>
          <w:szCs w:val="24"/>
          <w:lang w:val="en-US"/>
        </w:rPr>
        <w:t xml:space="preserve"> housing</w:t>
      </w:r>
      <w:r w:rsidR="00815D0F" w:rsidRPr="002C5DE1">
        <w:rPr>
          <w:rFonts w:ascii="Times New Roman" w:hAnsi="Times New Roman" w:cs="Times New Roman"/>
          <w:color w:val="000000" w:themeColor="text1"/>
          <w:sz w:val="24"/>
          <w:szCs w:val="24"/>
          <w:lang w:val="en-US"/>
        </w:rPr>
        <w:t xml:space="preserve"> price risks (i.e.</w:t>
      </w:r>
      <w:r w:rsidR="00414C6E" w:rsidRPr="002C5DE1">
        <w:rPr>
          <w:rFonts w:ascii="Times New Roman" w:hAnsi="Times New Roman" w:cs="Times New Roman"/>
          <w:color w:val="000000" w:themeColor="text1"/>
          <w:sz w:val="24"/>
          <w:szCs w:val="24"/>
          <w:lang w:val="en-US"/>
        </w:rPr>
        <w:t>,</w:t>
      </w:r>
      <w:r w:rsidR="00FE7F49" w:rsidRPr="002C5DE1">
        <w:rPr>
          <w:rFonts w:ascii="Times New Roman" w:hAnsi="Times New Roman" w:cs="Times New Roman"/>
          <w:color w:val="000000" w:themeColor="text1"/>
          <w:sz w:val="24"/>
          <w:szCs w:val="24"/>
          <w:lang w:val="en-US"/>
        </w:rPr>
        <w:t xml:space="preserve"> </w:t>
      </w:r>
      <w:r w:rsidR="00F110C0" w:rsidRPr="002C5DE1">
        <w:rPr>
          <w:rFonts w:ascii="Times New Roman" w:hAnsi="Times New Roman" w:cs="Times New Roman"/>
          <w:color w:val="000000" w:themeColor="text1"/>
          <w:sz w:val="24"/>
          <w:szCs w:val="24"/>
          <w:lang w:val="en-US"/>
        </w:rPr>
        <w:t xml:space="preserve">a </w:t>
      </w:r>
      <w:r w:rsidR="00FE7F49" w:rsidRPr="002C5DE1">
        <w:rPr>
          <w:rFonts w:ascii="Times New Roman" w:hAnsi="Times New Roman" w:cs="Times New Roman"/>
          <w:color w:val="000000" w:themeColor="text1"/>
          <w:sz w:val="24"/>
          <w:szCs w:val="24"/>
          <w:lang w:val="en-US"/>
        </w:rPr>
        <w:t>bubble). T</w:t>
      </w:r>
      <w:r w:rsidR="00414C6E" w:rsidRPr="002C5DE1">
        <w:rPr>
          <w:rFonts w:ascii="Times New Roman" w:hAnsi="Times New Roman" w:cs="Times New Roman"/>
          <w:color w:val="000000" w:themeColor="text1"/>
          <w:sz w:val="24"/>
          <w:szCs w:val="24"/>
          <w:lang w:val="en-US"/>
        </w:rPr>
        <w:t xml:space="preserve">herefore, </w:t>
      </w:r>
      <w:r w:rsidR="00815D0F" w:rsidRPr="002C5DE1">
        <w:rPr>
          <w:rFonts w:ascii="Times New Roman" w:hAnsi="Times New Roman" w:cs="Times New Roman"/>
          <w:color w:val="000000" w:themeColor="text1"/>
          <w:sz w:val="24"/>
          <w:szCs w:val="24"/>
          <w:lang w:val="en-US"/>
        </w:rPr>
        <w:t xml:space="preserve">policymakers should be </w:t>
      </w:r>
      <w:r w:rsidR="00F110C0" w:rsidRPr="002C5DE1">
        <w:rPr>
          <w:rFonts w:ascii="Times New Roman" w:hAnsi="Times New Roman" w:cs="Times New Roman"/>
          <w:color w:val="000000" w:themeColor="text1"/>
          <w:sz w:val="24"/>
          <w:szCs w:val="24"/>
          <w:lang w:val="en-US"/>
        </w:rPr>
        <w:t xml:space="preserve">extremely </w:t>
      </w:r>
      <w:r w:rsidR="00815D0F" w:rsidRPr="002C5DE1">
        <w:rPr>
          <w:rFonts w:ascii="Times New Roman" w:hAnsi="Times New Roman" w:cs="Times New Roman"/>
          <w:color w:val="000000" w:themeColor="text1"/>
          <w:sz w:val="24"/>
          <w:szCs w:val="24"/>
          <w:lang w:val="en-US"/>
        </w:rPr>
        <w:t>careful about rising HPI ratio</w:t>
      </w:r>
      <w:r w:rsidR="00414C6E" w:rsidRPr="002C5DE1">
        <w:rPr>
          <w:rFonts w:ascii="Times New Roman" w:hAnsi="Times New Roman" w:cs="Times New Roman"/>
          <w:color w:val="000000" w:themeColor="text1"/>
          <w:sz w:val="24"/>
          <w:szCs w:val="24"/>
          <w:lang w:val="en-US"/>
        </w:rPr>
        <w:t>s</w:t>
      </w:r>
      <w:r w:rsidR="00815D0F" w:rsidRPr="002C5DE1">
        <w:rPr>
          <w:rFonts w:ascii="Times New Roman" w:hAnsi="Times New Roman" w:cs="Times New Roman"/>
          <w:color w:val="000000" w:themeColor="text1"/>
          <w:sz w:val="24"/>
          <w:szCs w:val="24"/>
          <w:lang w:val="en-US"/>
        </w:rPr>
        <w:t xml:space="preserve"> and increasing housing and stock market wealth</w:t>
      </w:r>
      <w:r w:rsidR="00414C6E" w:rsidRPr="002C5DE1">
        <w:rPr>
          <w:rFonts w:ascii="Times New Roman" w:hAnsi="Times New Roman" w:cs="Times New Roman"/>
          <w:color w:val="000000" w:themeColor="text1"/>
          <w:sz w:val="24"/>
          <w:szCs w:val="24"/>
          <w:lang w:val="en-US"/>
        </w:rPr>
        <w:t>,</w:t>
      </w:r>
      <w:r w:rsidR="00815D0F" w:rsidRPr="002C5DE1">
        <w:rPr>
          <w:rFonts w:ascii="Times New Roman" w:hAnsi="Times New Roman" w:cs="Times New Roman"/>
          <w:color w:val="000000" w:themeColor="text1"/>
          <w:sz w:val="24"/>
          <w:szCs w:val="24"/>
          <w:lang w:val="en-US"/>
        </w:rPr>
        <w:t xml:space="preserve"> specifically</w:t>
      </w:r>
      <w:r w:rsidR="00414C6E" w:rsidRPr="002C5DE1">
        <w:rPr>
          <w:rFonts w:ascii="Times New Roman" w:hAnsi="Times New Roman" w:cs="Times New Roman"/>
          <w:color w:val="000000" w:themeColor="text1"/>
          <w:sz w:val="24"/>
          <w:szCs w:val="24"/>
          <w:lang w:val="en-US"/>
        </w:rPr>
        <w:t>,</w:t>
      </w:r>
      <w:r w:rsidR="00815D0F" w:rsidRPr="002C5DE1">
        <w:rPr>
          <w:rFonts w:ascii="Times New Roman" w:hAnsi="Times New Roman" w:cs="Times New Roman"/>
          <w:color w:val="000000" w:themeColor="text1"/>
          <w:sz w:val="24"/>
          <w:szCs w:val="24"/>
          <w:lang w:val="en-US"/>
        </w:rPr>
        <w:t xml:space="preserve"> during bubble periods.</w:t>
      </w:r>
      <w:r w:rsidR="00FE7F49" w:rsidRPr="002C5DE1">
        <w:rPr>
          <w:rFonts w:ascii="Times New Roman" w:hAnsi="Times New Roman" w:cs="Times New Roman"/>
          <w:color w:val="000000" w:themeColor="text1"/>
          <w:sz w:val="24"/>
          <w:szCs w:val="24"/>
          <w:lang w:val="en-US"/>
        </w:rPr>
        <w:t xml:space="preserve"> </w:t>
      </w:r>
    </w:p>
    <w:p w14:paraId="3E4A7D17" w14:textId="77777777" w:rsidR="00F110C0" w:rsidRPr="002C5DE1" w:rsidRDefault="00391B55" w:rsidP="008E588C">
      <w:pPr>
        <w:spacing w:before="60" w:after="0" w:line="276" w:lineRule="auto"/>
        <w:ind w:firstLine="357"/>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 xml:space="preserve">Taking into consideration the fact that the households with lower income will benefit from any increase in income or wealth to expand consumption and “keep up with the Joneses” under credit constraints in relation with </w:t>
      </w:r>
      <w:r w:rsidR="00BD745B" w:rsidRPr="002C5DE1">
        <w:rPr>
          <w:rFonts w:ascii="Times New Roman" w:hAnsi="Times New Roman" w:cs="Times New Roman"/>
          <w:color w:val="000000" w:themeColor="text1"/>
          <w:sz w:val="24"/>
          <w:szCs w:val="24"/>
          <w:lang w:val="en-US"/>
        </w:rPr>
        <w:t xml:space="preserve">the </w:t>
      </w:r>
      <w:r w:rsidRPr="002C5DE1">
        <w:rPr>
          <w:rFonts w:ascii="Times New Roman" w:hAnsi="Times New Roman" w:cs="Times New Roman"/>
          <w:color w:val="000000" w:themeColor="text1"/>
          <w:sz w:val="24"/>
          <w:szCs w:val="24"/>
          <w:lang w:val="en-US"/>
        </w:rPr>
        <w:t>FD level.</w:t>
      </w:r>
      <w:r w:rsidR="00726577" w:rsidRPr="002C5DE1">
        <w:rPr>
          <w:rFonts w:ascii="Times New Roman" w:hAnsi="Times New Roman" w:cs="Times New Roman"/>
          <w:color w:val="000000" w:themeColor="text1"/>
          <w:sz w:val="24"/>
          <w:szCs w:val="24"/>
          <w:lang w:val="en-US"/>
        </w:rPr>
        <w:t xml:space="preserve"> Since FD decreased </w:t>
      </w:r>
      <w:r w:rsidR="005D26DC" w:rsidRPr="002C5DE1">
        <w:rPr>
          <w:rFonts w:ascii="Times New Roman" w:hAnsi="Times New Roman" w:cs="Times New Roman"/>
          <w:color w:val="000000" w:themeColor="text1"/>
          <w:sz w:val="24"/>
          <w:szCs w:val="24"/>
          <w:lang w:val="en-US"/>
        </w:rPr>
        <w:t xml:space="preserve">and income inequality increased </w:t>
      </w:r>
      <w:r w:rsidR="00726577" w:rsidRPr="002C5DE1">
        <w:rPr>
          <w:rFonts w:ascii="Times New Roman" w:hAnsi="Times New Roman" w:cs="Times New Roman"/>
          <w:color w:val="000000" w:themeColor="text1"/>
          <w:sz w:val="24"/>
          <w:szCs w:val="24"/>
          <w:lang w:val="en-US"/>
        </w:rPr>
        <w:t xml:space="preserve">in the post-GFC period, </w:t>
      </w:r>
      <w:r w:rsidR="00F110C0" w:rsidRPr="002C5DE1">
        <w:rPr>
          <w:rFonts w:ascii="Times New Roman" w:hAnsi="Times New Roman" w:cs="Times New Roman"/>
          <w:color w:val="000000" w:themeColor="text1"/>
          <w:sz w:val="24"/>
          <w:szCs w:val="24"/>
          <w:lang w:val="en-US"/>
        </w:rPr>
        <w:t xml:space="preserve">the </w:t>
      </w:r>
      <w:r w:rsidR="00726577" w:rsidRPr="002C5DE1">
        <w:rPr>
          <w:rFonts w:ascii="Times New Roman" w:hAnsi="Times New Roman" w:cs="Times New Roman"/>
          <w:color w:val="000000" w:themeColor="text1"/>
          <w:sz w:val="24"/>
          <w:szCs w:val="24"/>
          <w:lang w:val="en-US"/>
        </w:rPr>
        <w:t>aforementioned effect ha</w:t>
      </w:r>
      <w:r w:rsidR="00F110C0" w:rsidRPr="002C5DE1">
        <w:rPr>
          <w:rFonts w:ascii="Times New Roman" w:hAnsi="Times New Roman" w:cs="Times New Roman"/>
          <w:color w:val="000000" w:themeColor="text1"/>
          <w:sz w:val="24"/>
          <w:szCs w:val="24"/>
          <w:lang w:val="en-US"/>
        </w:rPr>
        <w:t xml:space="preserve">s </w:t>
      </w:r>
      <w:r w:rsidR="00726577" w:rsidRPr="002C5DE1">
        <w:rPr>
          <w:rFonts w:ascii="Times New Roman" w:hAnsi="Times New Roman" w:cs="Times New Roman"/>
          <w:color w:val="000000" w:themeColor="text1"/>
          <w:sz w:val="24"/>
          <w:szCs w:val="24"/>
          <w:lang w:val="en-US"/>
        </w:rPr>
        <w:t>n</w:t>
      </w:r>
      <w:r w:rsidR="00F110C0" w:rsidRPr="002C5DE1">
        <w:rPr>
          <w:rFonts w:ascii="Times New Roman" w:hAnsi="Times New Roman" w:cs="Times New Roman"/>
          <w:color w:val="000000" w:themeColor="text1"/>
          <w:sz w:val="24"/>
          <w:szCs w:val="24"/>
          <w:lang w:val="en-US"/>
        </w:rPr>
        <w:t>o</w:t>
      </w:r>
      <w:r w:rsidR="00726577" w:rsidRPr="002C5DE1">
        <w:rPr>
          <w:rFonts w:ascii="Times New Roman" w:hAnsi="Times New Roman" w:cs="Times New Roman"/>
          <w:color w:val="000000" w:themeColor="text1"/>
          <w:sz w:val="24"/>
          <w:szCs w:val="24"/>
          <w:lang w:val="en-US"/>
        </w:rPr>
        <w:t xml:space="preserve">t been observed. As a policy suggestion, growth in </w:t>
      </w:r>
      <w:r w:rsidR="00F110C0" w:rsidRPr="002C5DE1">
        <w:rPr>
          <w:rFonts w:ascii="Times New Roman" w:hAnsi="Times New Roman" w:cs="Times New Roman"/>
          <w:color w:val="000000" w:themeColor="text1"/>
          <w:sz w:val="24"/>
          <w:szCs w:val="24"/>
          <w:lang w:val="en-US"/>
        </w:rPr>
        <w:t xml:space="preserve">the </w:t>
      </w:r>
      <w:r w:rsidR="00726577" w:rsidRPr="002C5DE1">
        <w:rPr>
          <w:rFonts w:ascii="Times New Roman" w:hAnsi="Times New Roman" w:cs="Times New Roman"/>
          <w:color w:val="000000" w:themeColor="text1"/>
          <w:sz w:val="24"/>
          <w:szCs w:val="24"/>
          <w:lang w:val="en-US"/>
        </w:rPr>
        <w:t>financial de</w:t>
      </w:r>
      <w:r w:rsidR="00CF7EA5" w:rsidRPr="002C5DE1">
        <w:rPr>
          <w:rFonts w:ascii="Times New Roman" w:hAnsi="Times New Roman" w:cs="Times New Roman"/>
          <w:color w:val="000000" w:themeColor="text1"/>
          <w:sz w:val="24"/>
          <w:szCs w:val="24"/>
          <w:lang w:val="en-US"/>
        </w:rPr>
        <w:t>velopment</w:t>
      </w:r>
      <w:r w:rsidR="00F7117C" w:rsidRPr="002C5DE1">
        <w:rPr>
          <w:rFonts w:ascii="Times New Roman" w:hAnsi="Times New Roman" w:cs="Times New Roman"/>
          <w:color w:val="000000" w:themeColor="text1"/>
          <w:sz w:val="24"/>
          <w:szCs w:val="24"/>
          <w:lang w:val="en-US"/>
        </w:rPr>
        <w:t xml:space="preserve"> (FD)</w:t>
      </w:r>
      <w:r w:rsidR="00726577" w:rsidRPr="002C5DE1">
        <w:rPr>
          <w:rFonts w:ascii="Times New Roman" w:hAnsi="Times New Roman" w:cs="Times New Roman"/>
          <w:color w:val="000000" w:themeColor="text1"/>
          <w:sz w:val="24"/>
          <w:szCs w:val="24"/>
          <w:lang w:val="en-US"/>
        </w:rPr>
        <w:t xml:space="preserve"> to reduce inequality may increase the </w:t>
      </w:r>
      <w:r w:rsidR="00726577" w:rsidRPr="002C5DE1">
        <w:rPr>
          <w:rFonts w:ascii="Times New Roman" w:hAnsi="Times New Roman" w:cs="Times New Roman"/>
          <w:color w:val="000000" w:themeColor="text1"/>
          <w:sz w:val="24"/>
          <w:szCs w:val="24"/>
          <w:lang w:val="en-US"/>
        </w:rPr>
        <w:lastRenderedPageBreak/>
        <w:t>consumption of households with lower income</w:t>
      </w:r>
      <w:r w:rsidR="00F110C0" w:rsidRPr="002C5DE1">
        <w:rPr>
          <w:rFonts w:ascii="Times New Roman" w:hAnsi="Times New Roman" w:cs="Times New Roman"/>
          <w:color w:val="000000" w:themeColor="text1"/>
          <w:sz w:val="24"/>
          <w:szCs w:val="24"/>
          <w:lang w:val="en-US"/>
        </w:rPr>
        <w:t>, while</w:t>
      </w:r>
      <w:r w:rsidR="00726577" w:rsidRPr="002C5DE1">
        <w:rPr>
          <w:rFonts w:ascii="Times New Roman" w:hAnsi="Times New Roman" w:cs="Times New Roman"/>
          <w:color w:val="000000" w:themeColor="text1"/>
          <w:sz w:val="24"/>
          <w:szCs w:val="24"/>
          <w:lang w:val="en-US"/>
        </w:rPr>
        <w:t xml:space="preserve"> </w:t>
      </w:r>
      <w:r w:rsidR="006B5A7A" w:rsidRPr="002C5DE1">
        <w:rPr>
          <w:rFonts w:ascii="Times New Roman" w:hAnsi="Times New Roman" w:cs="Times New Roman"/>
          <w:color w:val="000000" w:themeColor="text1"/>
          <w:sz w:val="24"/>
          <w:szCs w:val="24"/>
          <w:lang w:val="en-US"/>
        </w:rPr>
        <w:t xml:space="preserve">it </w:t>
      </w:r>
      <w:r w:rsidR="00726577" w:rsidRPr="002C5DE1">
        <w:rPr>
          <w:rFonts w:ascii="Times New Roman" w:hAnsi="Times New Roman" w:cs="Times New Roman"/>
          <w:color w:val="000000" w:themeColor="text1"/>
          <w:sz w:val="24"/>
          <w:szCs w:val="24"/>
          <w:lang w:val="en-US"/>
        </w:rPr>
        <w:t xml:space="preserve">may </w:t>
      </w:r>
      <w:r w:rsidR="00F110C0" w:rsidRPr="002C5DE1">
        <w:rPr>
          <w:rFonts w:ascii="Times New Roman" w:hAnsi="Times New Roman" w:cs="Times New Roman"/>
          <w:color w:val="000000" w:themeColor="text1"/>
          <w:sz w:val="24"/>
          <w:szCs w:val="24"/>
          <w:lang w:val="en-US"/>
        </w:rPr>
        <w:t xml:space="preserve">also </w:t>
      </w:r>
      <w:r w:rsidR="00726577" w:rsidRPr="002C5DE1">
        <w:rPr>
          <w:rFonts w:ascii="Times New Roman" w:hAnsi="Times New Roman" w:cs="Times New Roman"/>
          <w:color w:val="000000" w:themeColor="text1"/>
          <w:sz w:val="24"/>
          <w:szCs w:val="24"/>
          <w:lang w:val="en-US"/>
        </w:rPr>
        <w:t xml:space="preserve">contribute to economic growth. </w:t>
      </w:r>
    </w:p>
    <w:p w14:paraId="4AADB412" w14:textId="77777777" w:rsidR="000214C2" w:rsidRPr="002C5DE1" w:rsidDel="003A68F2" w:rsidRDefault="00AC5AE4" w:rsidP="00453847">
      <w:pPr>
        <w:pStyle w:val="Heading1"/>
        <w:rPr>
          <w:rFonts w:ascii="Times New Roman" w:hAnsi="Times New Roman" w:cs="Times New Roman"/>
          <w:b/>
          <w:color w:val="000000" w:themeColor="text1"/>
          <w:sz w:val="24"/>
          <w:szCs w:val="24"/>
          <w:lang w:val="en-US"/>
        </w:rPr>
      </w:pPr>
      <w:r w:rsidRPr="002C5DE1">
        <w:rPr>
          <w:rFonts w:ascii="Times New Roman" w:hAnsi="Times New Roman" w:cs="Times New Roman"/>
          <w:b/>
          <w:color w:val="000000" w:themeColor="text1"/>
          <w:sz w:val="24"/>
          <w:szCs w:val="24"/>
          <w:lang w:val="en-US"/>
        </w:rPr>
        <w:t>References</w:t>
      </w:r>
    </w:p>
    <w:p w14:paraId="04E1F2C8" w14:textId="77777777" w:rsidR="00C145FF" w:rsidRPr="002C5DE1" w:rsidRDefault="00390090" w:rsidP="00DF22B7">
      <w:pPr>
        <w:spacing w:before="120" w:after="120" w:line="276" w:lineRule="auto"/>
        <w:ind w:left="720" w:hanging="720"/>
        <w:jc w:val="both"/>
        <w:rPr>
          <w:rFonts w:ascii="Times New Roman" w:hAnsi="Times New Roman" w:cs="Times New Roman"/>
          <w:color w:val="000000" w:themeColor="text1"/>
          <w:sz w:val="24"/>
          <w:szCs w:val="24"/>
          <w:shd w:val="clear" w:color="auto" w:fill="FFFFFF"/>
          <w:lang w:val="en-US"/>
        </w:rPr>
      </w:pPr>
      <w:r w:rsidRPr="002C5DE1">
        <w:rPr>
          <w:rFonts w:ascii="Times New Roman" w:hAnsi="Times New Roman" w:cs="Times New Roman"/>
          <w:color w:val="000000" w:themeColor="text1"/>
          <w:sz w:val="24"/>
          <w:szCs w:val="24"/>
          <w:shd w:val="clear" w:color="auto" w:fill="FFFFFF"/>
          <w:lang w:val="en-US"/>
        </w:rPr>
        <w:t>Alp, E., &amp; Seven, Ü. (2019). The dynamics of household final consumption: The role of wealth channel. </w:t>
      </w:r>
      <w:r w:rsidRPr="002C5DE1">
        <w:rPr>
          <w:rFonts w:ascii="Times New Roman" w:hAnsi="Times New Roman" w:cs="Times New Roman"/>
          <w:i/>
          <w:iCs/>
          <w:color w:val="000000" w:themeColor="text1"/>
          <w:sz w:val="24"/>
          <w:szCs w:val="24"/>
          <w:shd w:val="clear" w:color="auto" w:fill="FFFFFF"/>
          <w:lang w:val="en-US"/>
        </w:rPr>
        <w:t>Central Bank Review</w:t>
      </w:r>
      <w:r w:rsidRPr="002C5DE1">
        <w:rPr>
          <w:rFonts w:ascii="Times New Roman" w:hAnsi="Times New Roman" w:cs="Times New Roman"/>
          <w:color w:val="000000" w:themeColor="text1"/>
          <w:sz w:val="24"/>
          <w:szCs w:val="24"/>
          <w:shd w:val="clear" w:color="auto" w:fill="FFFFFF"/>
          <w:lang w:val="en-US"/>
        </w:rPr>
        <w:t> 19(1), 21-32.</w:t>
      </w:r>
      <w:r w:rsidR="00DF22B7" w:rsidRPr="002C5DE1">
        <w:rPr>
          <w:rFonts w:ascii="Times New Roman" w:hAnsi="Times New Roman" w:cs="Times New Roman"/>
          <w:color w:val="000000" w:themeColor="text1"/>
          <w:sz w:val="24"/>
          <w:szCs w:val="24"/>
          <w:shd w:val="clear" w:color="auto" w:fill="FFFFFF"/>
          <w:lang w:val="en-US"/>
        </w:rPr>
        <w:t xml:space="preserve"> </w:t>
      </w:r>
      <w:hyperlink r:id="rId8" w:history="1">
        <w:r w:rsidR="00C145FF" w:rsidRPr="002C5DE1">
          <w:rPr>
            <w:rStyle w:val="Hyperlink"/>
            <w:rFonts w:ascii="Times New Roman" w:hAnsi="Times New Roman" w:cs="Times New Roman"/>
            <w:color w:val="000000" w:themeColor="text1"/>
            <w:sz w:val="24"/>
            <w:szCs w:val="24"/>
            <w:shd w:val="clear" w:color="auto" w:fill="FFFFFF"/>
            <w:lang w:val="en-US"/>
          </w:rPr>
          <w:t>https://doi.org/10.1016/j.cbrev.2019.03.002</w:t>
        </w:r>
      </w:hyperlink>
      <w:r w:rsidRPr="002C5DE1">
        <w:rPr>
          <w:rFonts w:ascii="Times New Roman" w:hAnsi="Times New Roman" w:cs="Times New Roman"/>
          <w:color w:val="000000" w:themeColor="text1"/>
          <w:sz w:val="24"/>
          <w:szCs w:val="24"/>
          <w:shd w:val="clear" w:color="auto" w:fill="FFFFFF"/>
          <w:lang w:val="en-US"/>
        </w:rPr>
        <w:t xml:space="preserve"> </w:t>
      </w:r>
    </w:p>
    <w:p w14:paraId="6B2B86C5" w14:textId="77777777" w:rsidR="00390090" w:rsidRPr="002C5DE1" w:rsidRDefault="00390090" w:rsidP="00C145FF">
      <w:pPr>
        <w:widowControl w:val="0"/>
        <w:autoSpaceDE w:val="0"/>
        <w:autoSpaceDN w:val="0"/>
        <w:adjustRightInd w:val="0"/>
        <w:spacing w:before="120" w:after="120" w:line="276" w:lineRule="auto"/>
        <w:ind w:left="720" w:hanging="720"/>
        <w:jc w:val="both"/>
        <w:rPr>
          <w:rFonts w:ascii="Times New Roman" w:hAnsi="Times New Roman" w:cs="Times New Roman"/>
          <w:color w:val="000000" w:themeColor="text1"/>
          <w:sz w:val="24"/>
          <w:szCs w:val="24"/>
          <w:shd w:val="clear" w:color="auto" w:fill="FFFFFF"/>
          <w:lang w:val="en-US"/>
        </w:rPr>
      </w:pPr>
      <w:proofErr w:type="spellStart"/>
      <w:r w:rsidRPr="002C5DE1">
        <w:rPr>
          <w:rFonts w:ascii="Times New Roman" w:hAnsi="Times New Roman" w:cs="Times New Roman"/>
          <w:color w:val="000000" w:themeColor="text1"/>
          <w:sz w:val="24"/>
          <w:szCs w:val="24"/>
          <w:shd w:val="clear" w:color="auto" w:fill="FFFFFF"/>
          <w:lang w:val="en-US"/>
        </w:rPr>
        <w:t>Alpizar</w:t>
      </w:r>
      <w:proofErr w:type="spellEnd"/>
      <w:r w:rsidRPr="002C5DE1">
        <w:rPr>
          <w:rFonts w:ascii="Times New Roman" w:hAnsi="Times New Roman" w:cs="Times New Roman"/>
          <w:color w:val="000000" w:themeColor="text1"/>
          <w:sz w:val="24"/>
          <w:szCs w:val="24"/>
          <w:shd w:val="clear" w:color="auto" w:fill="FFFFFF"/>
          <w:lang w:val="en-US"/>
        </w:rPr>
        <w:t>, F., Carlsson, F., &amp; Johansson-</w:t>
      </w:r>
      <w:proofErr w:type="spellStart"/>
      <w:r w:rsidRPr="002C5DE1">
        <w:rPr>
          <w:rFonts w:ascii="Times New Roman" w:hAnsi="Times New Roman" w:cs="Times New Roman"/>
          <w:color w:val="000000" w:themeColor="text1"/>
          <w:sz w:val="24"/>
          <w:szCs w:val="24"/>
          <w:shd w:val="clear" w:color="auto" w:fill="FFFFFF"/>
          <w:lang w:val="en-US"/>
        </w:rPr>
        <w:t>Stenman</w:t>
      </w:r>
      <w:proofErr w:type="spellEnd"/>
      <w:r w:rsidRPr="002C5DE1">
        <w:rPr>
          <w:rFonts w:ascii="Times New Roman" w:hAnsi="Times New Roman" w:cs="Times New Roman"/>
          <w:color w:val="000000" w:themeColor="text1"/>
          <w:sz w:val="24"/>
          <w:szCs w:val="24"/>
          <w:shd w:val="clear" w:color="auto" w:fill="FFFFFF"/>
          <w:lang w:val="en-US"/>
        </w:rPr>
        <w:t xml:space="preserve">, O. (2005). How much do we care about absolute versus relative income and </w:t>
      </w:r>
      <w:proofErr w:type="gramStart"/>
      <w:r w:rsidRPr="002C5DE1">
        <w:rPr>
          <w:rFonts w:ascii="Times New Roman" w:hAnsi="Times New Roman" w:cs="Times New Roman"/>
          <w:color w:val="000000" w:themeColor="text1"/>
          <w:sz w:val="24"/>
          <w:szCs w:val="24"/>
          <w:shd w:val="clear" w:color="auto" w:fill="FFFFFF"/>
          <w:lang w:val="en-US"/>
        </w:rPr>
        <w:t>consumption?.</w:t>
      </w:r>
      <w:proofErr w:type="gramEnd"/>
      <w:r w:rsidRPr="002C5DE1">
        <w:rPr>
          <w:rFonts w:ascii="Times New Roman" w:hAnsi="Times New Roman" w:cs="Times New Roman"/>
          <w:color w:val="000000" w:themeColor="text1"/>
          <w:sz w:val="24"/>
          <w:szCs w:val="24"/>
          <w:shd w:val="clear" w:color="auto" w:fill="FFFFFF"/>
          <w:lang w:val="en-US"/>
        </w:rPr>
        <w:t> </w:t>
      </w:r>
      <w:r w:rsidRPr="002C5DE1">
        <w:rPr>
          <w:rFonts w:ascii="Times New Roman" w:hAnsi="Times New Roman" w:cs="Times New Roman"/>
          <w:i/>
          <w:iCs/>
          <w:color w:val="000000" w:themeColor="text1"/>
          <w:sz w:val="24"/>
          <w:szCs w:val="24"/>
          <w:shd w:val="clear" w:color="auto" w:fill="FFFFFF"/>
          <w:lang w:val="en-US"/>
        </w:rPr>
        <w:t>Journal of Economic Behavior &amp; Organization</w:t>
      </w:r>
      <w:r w:rsidRPr="002C5DE1">
        <w:rPr>
          <w:rFonts w:ascii="Times New Roman" w:hAnsi="Times New Roman" w:cs="Times New Roman"/>
          <w:color w:val="000000" w:themeColor="text1"/>
          <w:sz w:val="24"/>
          <w:szCs w:val="24"/>
          <w:shd w:val="clear" w:color="auto" w:fill="FFFFFF"/>
          <w:lang w:val="en-US"/>
        </w:rPr>
        <w:t> 56(3), 405-421.</w:t>
      </w:r>
    </w:p>
    <w:p w14:paraId="7FDE2288" w14:textId="77777777" w:rsidR="00390090" w:rsidRPr="002C5DE1" w:rsidRDefault="00390090" w:rsidP="00C145FF">
      <w:pPr>
        <w:widowControl w:val="0"/>
        <w:autoSpaceDE w:val="0"/>
        <w:autoSpaceDN w:val="0"/>
        <w:adjustRightInd w:val="0"/>
        <w:spacing w:before="120" w:after="120" w:line="276" w:lineRule="auto"/>
        <w:ind w:left="720" w:hanging="720"/>
        <w:jc w:val="both"/>
        <w:rPr>
          <w:rFonts w:ascii="Times New Roman" w:hAnsi="Times New Roman" w:cs="Times New Roman"/>
          <w:color w:val="000000" w:themeColor="text1"/>
          <w:sz w:val="24"/>
          <w:szCs w:val="24"/>
          <w:shd w:val="clear" w:color="auto" w:fill="FFFFFF"/>
          <w:lang w:val="en-US"/>
        </w:rPr>
      </w:pPr>
      <w:r w:rsidRPr="002C5DE1">
        <w:rPr>
          <w:rFonts w:ascii="Times New Roman" w:hAnsi="Times New Roman" w:cs="Times New Roman"/>
          <w:color w:val="000000" w:themeColor="text1"/>
          <w:sz w:val="24"/>
          <w:szCs w:val="24"/>
          <w:shd w:val="clear" w:color="auto" w:fill="FFFFFF"/>
          <w:lang w:val="en-US"/>
        </w:rPr>
        <w:t xml:space="preserve">Ando, A., </w:t>
      </w:r>
      <w:r w:rsidR="003C1A6D" w:rsidRPr="002C5DE1">
        <w:rPr>
          <w:rFonts w:ascii="Times New Roman" w:hAnsi="Times New Roman" w:cs="Times New Roman"/>
          <w:color w:val="000000" w:themeColor="text1"/>
          <w:sz w:val="24"/>
          <w:szCs w:val="24"/>
          <w:lang w:val="en-US"/>
        </w:rPr>
        <w:t xml:space="preserve">&amp; </w:t>
      </w:r>
      <w:r w:rsidRPr="002C5DE1">
        <w:rPr>
          <w:rFonts w:ascii="Times New Roman" w:hAnsi="Times New Roman" w:cs="Times New Roman"/>
          <w:color w:val="000000" w:themeColor="text1"/>
          <w:sz w:val="24"/>
          <w:szCs w:val="24"/>
          <w:shd w:val="clear" w:color="auto" w:fill="FFFFFF"/>
          <w:lang w:val="en-US"/>
        </w:rPr>
        <w:t xml:space="preserve">Modigliani, F., </w:t>
      </w:r>
      <w:r w:rsidR="003C1A6D" w:rsidRPr="002C5DE1">
        <w:rPr>
          <w:rFonts w:ascii="Times New Roman" w:hAnsi="Times New Roman" w:cs="Times New Roman"/>
          <w:color w:val="000000" w:themeColor="text1"/>
          <w:sz w:val="24"/>
          <w:szCs w:val="24"/>
          <w:shd w:val="clear" w:color="auto" w:fill="FFFFFF"/>
          <w:lang w:val="en-US"/>
        </w:rPr>
        <w:t>(</w:t>
      </w:r>
      <w:r w:rsidRPr="002C5DE1">
        <w:rPr>
          <w:rFonts w:ascii="Times New Roman" w:hAnsi="Times New Roman" w:cs="Times New Roman"/>
          <w:color w:val="000000" w:themeColor="text1"/>
          <w:sz w:val="24"/>
          <w:szCs w:val="24"/>
          <w:shd w:val="clear" w:color="auto" w:fill="FFFFFF"/>
          <w:lang w:val="en-US"/>
        </w:rPr>
        <w:t>1963</w:t>
      </w:r>
      <w:r w:rsidR="003C1A6D" w:rsidRPr="002C5DE1">
        <w:rPr>
          <w:rFonts w:ascii="Times New Roman" w:hAnsi="Times New Roman" w:cs="Times New Roman"/>
          <w:color w:val="000000" w:themeColor="text1"/>
          <w:sz w:val="24"/>
          <w:szCs w:val="24"/>
          <w:shd w:val="clear" w:color="auto" w:fill="FFFFFF"/>
          <w:lang w:val="en-US"/>
        </w:rPr>
        <w:t>)</w:t>
      </w:r>
      <w:r w:rsidRPr="002C5DE1">
        <w:rPr>
          <w:rFonts w:ascii="Times New Roman" w:hAnsi="Times New Roman" w:cs="Times New Roman"/>
          <w:color w:val="000000" w:themeColor="text1"/>
          <w:sz w:val="24"/>
          <w:szCs w:val="24"/>
          <w:shd w:val="clear" w:color="auto" w:fill="FFFFFF"/>
          <w:lang w:val="en-US"/>
        </w:rPr>
        <w:t xml:space="preserve">. The life cycle hypothesis of saving: aggregate implications and tests. </w:t>
      </w:r>
      <w:r w:rsidRPr="002C5DE1">
        <w:rPr>
          <w:rFonts w:ascii="Times New Roman" w:hAnsi="Times New Roman" w:cs="Times New Roman"/>
          <w:i/>
          <w:iCs/>
          <w:color w:val="000000" w:themeColor="text1"/>
          <w:sz w:val="24"/>
          <w:szCs w:val="24"/>
          <w:shd w:val="clear" w:color="auto" w:fill="FFFFFF"/>
          <w:lang w:val="en-US"/>
        </w:rPr>
        <w:t>Am</w:t>
      </w:r>
      <w:r w:rsidR="00C145FF" w:rsidRPr="002C5DE1">
        <w:rPr>
          <w:rFonts w:ascii="Times New Roman" w:hAnsi="Times New Roman" w:cs="Times New Roman"/>
          <w:i/>
          <w:iCs/>
          <w:color w:val="000000" w:themeColor="text1"/>
          <w:sz w:val="24"/>
          <w:szCs w:val="24"/>
          <w:shd w:val="clear" w:color="auto" w:fill="FFFFFF"/>
          <w:lang w:val="en-US"/>
        </w:rPr>
        <w:t>erican</w:t>
      </w:r>
      <w:r w:rsidRPr="002C5DE1">
        <w:rPr>
          <w:rFonts w:ascii="Times New Roman" w:hAnsi="Times New Roman" w:cs="Times New Roman"/>
          <w:i/>
          <w:iCs/>
          <w:color w:val="000000" w:themeColor="text1"/>
          <w:sz w:val="24"/>
          <w:szCs w:val="24"/>
          <w:shd w:val="clear" w:color="auto" w:fill="FFFFFF"/>
          <w:lang w:val="en-US"/>
        </w:rPr>
        <w:t xml:space="preserve"> Econ</w:t>
      </w:r>
      <w:r w:rsidR="00C145FF" w:rsidRPr="002C5DE1">
        <w:rPr>
          <w:rFonts w:ascii="Times New Roman" w:hAnsi="Times New Roman" w:cs="Times New Roman"/>
          <w:i/>
          <w:iCs/>
          <w:color w:val="000000" w:themeColor="text1"/>
          <w:sz w:val="24"/>
          <w:szCs w:val="24"/>
          <w:shd w:val="clear" w:color="auto" w:fill="FFFFFF"/>
          <w:lang w:val="en-US"/>
        </w:rPr>
        <w:t>omic</w:t>
      </w:r>
      <w:r w:rsidRPr="002C5DE1">
        <w:rPr>
          <w:rFonts w:ascii="Times New Roman" w:hAnsi="Times New Roman" w:cs="Times New Roman"/>
          <w:i/>
          <w:iCs/>
          <w:color w:val="000000" w:themeColor="text1"/>
          <w:sz w:val="24"/>
          <w:szCs w:val="24"/>
          <w:shd w:val="clear" w:color="auto" w:fill="FFFFFF"/>
          <w:lang w:val="en-US"/>
        </w:rPr>
        <w:t xml:space="preserve"> Rev</w:t>
      </w:r>
      <w:r w:rsidR="00C145FF" w:rsidRPr="002C5DE1">
        <w:rPr>
          <w:rFonts w:ascii="Times New Roman" w:hAnsi="Times New Roman" w:cs="Times New Roman"/>
          <w:i/>
          <w:iCs/>
          <w:color w:val="000000" w:themeColor="text1"/>
          <w:sz w:val="24"/>
          <w:szCs w:val="24"/>
          <w:shd w:val="clear" w:color="auto" w:fill="FFFFFF"/>
          <w:lang w:val="en-US"/>
        </w:rPr>
        <w:t>iew</w:t>
      </w:r>
      <w:r w:rsidRPr="002C5DE1">
        <w:rPr>
          <w:rFonts w:ascii="Times New Roman" w:hAnsi="Times New Roman" w:cs="Times New Roman"/>
          <w:color w:val="000000" w:themeColor="text1"/>
          <w:sz w:val="24"/>
          <w:szCs w:val="24"/>
          <w:shd w:val="clear" w:color="auto" w:fill="FFFFFF"/>
          <w:lang w:val="en-US"/>
        </w:rPr>
        <w:t xml:space="preserve"> 53, 55-84.</w:t>
      </w:r>
    </w:p>
    <w:p w14:paraId="07DFBC10" w14:textId="77777777" w:rsidR="00390090" w:rsidRPr="002C5DE1" w:rsidRDefault="00390090" w:rsidP="00C145FF">
      <w:pPr>
        <w:autoSpaceDE w:val="0"/>
        <w:autoSpaceDN w:val="0"/>
        <w:adjustRightInd w:val="0"/>
        <w:spacing w:before="120" w:after="120" w:line="276" w:lineRule="auto"/>
        <w:ind w:left="720" w:hanging="720"/>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shd w:val="clear" w:color="auto" w:fill="FFFFFF"/>
          <w:lang w:val="en-US"/>
        </w:rPr>
        <w:t>Apergis, N., &amp; Miller, S.M. (2006). Consumption asymmetry and the stock market: empirical evidence. </w:t>
      </w:r>
      <w:r w:rsidRPr="002C5DE1">
        <w:rPr>
          <w:rFonts w:ascii="Times New Roman" w:hAnsi="Times New Roman" w:cs="Times New Roman"/>
          <w:i/>
          <w:iCs/>
          <w:color w:val="000000" w:themeColor="text1"/>
          <w:sz w:val="24"/>
          <w:szCs w:val="24"/>
          <w:shd w:val="clear" w:color="auto" w:fill="FFFFFF"/>
          <w:lang w:val="en-US"/>
        </w:rPr>
        <w:t>Economics Letters</w:t>
      </w:r>
      <w:r w:rsidRPr="002C5DE1">
        <w:rPr>
          <w:rFonts w:ascii="Times New Roman" w:hAnsi="Times New Roman" w:cs="Times New Roman"/>
          <w:color w:val="000000" w:themeColor="text1"/>
          <w:sz w:val="24"/>
          <w:szCs w:val="24"/>
          <w:shd w:val="clear" w:color="auto" w:fill="FFFFFF"/>
          <w:lang w:val="en-US"/>
        </w:rPr>
        <w:t> 93(3), 337-342.</w:t>
      </w:r>
    </w:p>
    <w:p w14:paraId="2D3E60A5" w14:textId="77777777" w:rsidR="00390090" w:rsidRPr="002C5DE1" w:rsidRDefault="00EA09E3" w:rsidP="00C145FF">
      <w:pPr>
        <w:widowControl w:val="0"/>
        <w:autoSpaceDE w:val="0"/>
        <w:autoSpaceDN w:val="0"/>
        <w:adjustRightInd w:val="0"/>
        <w:spacing w:before="120" w:after="120" w:line="276" w:lineRule="auto"/>
        <w:ind w:left="720" w:hanging="720"/>
        <w:jc w:val="both"/>
        <w:rPr>
          <w:rFonts w:ascii="Times New Roman" w:hAnsi="Times New Roman" w:cs="Times New Roman"/>
          <w:color w:val="000000" w:themeColor="text1"/>
          <w:sz w:val="24"/>
          <w:szCs w:val="24"/>
          <w:shd w:val="clear" w:color="auto" w:fill="FFFFFF"/>
          <w:lang w:val="en-US"/>
        </w:rPr>
      </w:pPr>
      <w:r w:rsidRPr="002C5DE1">
        <w:rPr>
          <w:rFonts w:ascii="Times New Roman" w:hAnsi="Times New Roman" w:cs="Times New Roman"/>
          <w:color w:val="000000" w:themeColor="text1"/>
          <w:sz w:val="24"/>
          <w:szCs w:val="24"/>
          <w:shd w:val="clear" w:color="auto" w:fill="FFFFFF"/>
          <w:lang w:val="en-US"/>
        </w:rPr>
        <w:t>Apergis, N., Simo-</w:t>
      </w:r>
      <w:proofErr w:type="spellStart"/>
      <w:r w:rsidRPr="002C5DE1">
        <w:rPr>
          <w:rFonts w:ascii="Times New Roman" w:hAnsi="Times New Roman" w:cs="Times New Roman"/>
          <w:color w:val="000000" w:themeColor="text1"/>
          <w:sz w:val="24"/>
          <w:szCs w:val="24"/>
          <w:shd w:val="clear" w:color="auto" w:fill="FFFFFF"/>
          <w:lang w:val="en-US"/>
        </w:rPr>
        <w:t>Kengne</w:t>
      </w:r>
      <w:proofErr w:type="spellEnd"/>
      <w:r w:rsidRPr="002C5DE1">
        <w:rPr>
          <w:rFonts w:ascii="Times New Roman" w:hAnsi="Times New Roman" w:cs="Times New Roman"/>
          <w:color w:val="000000" w:themeColor="text1"/>
          <w:sz w:val="24"/>
          <w:szCs w:val="24"/>
          <w:shd w:val="clear" w:color="auto" w:fill="FFFFFF"/>
          <w:lang w:val="en-US"/>
        </w:rPr>
        <w:t xml:space="preserve">, B., </w:t>
      </w:r>
      <w:r w:rsidRPr="002C5DE1">
        <w:rPr>
          <w:rFonts w:ascii="Times New Roman" w:hAnsi="Times New Roman" w:cs="Times New Roman"/>
          <w:color w:val="000000" w:themeColor="text1"/>
          <w:sz w:val="24"/>
          <w:szCs w:val="24"/>
          <w:lang w:val="en-US"/>
        </w:rPr>
        <w:t>&amp;</w:t>
      </w:r>
      <w:r w:rsidR="00390090" w:rsidRPr="002C5DE1">
        <w:rPr>
          <w:rFonts w:ascii="Times New Roman" w:hAnsi="Times New Roman" w:cs="Times New Roman"/>
          <w:color w:val="000000" w:themeColor="text1"/>
          <w:sz w:val="24"/>
          <w:szCs w:val="24"/>
          <w:shd w:val="clear" w:color="auto" w:fill="FFFFFF"/>
          <w:lang w:val="en-US"/>
        </w:rPr>
        <w:t xml:space="preserve"> Gupta</w:t>
      </w:r>
      <w:r w:rsidRPr="002C5DE1">
        <w:rPr>
          <w:rFonts w:ascii="Times New Roman" w:hAnsi="Times New Roman" w:cs="Times New Roman"/>
          <w:color w:val="000000" w:themeColor="text1"/>
          <w:sz w:val="24"/>
          <w:szCs w:val="24"/>
          <w:shd w:val="clear" w:color="auto" w:fill="FFFFFF"/>
          <w:lang w:val="en-US"/>
        </w:rPr>
        <w:t>, R</w:t>
      </w:r>
      <w:r w:rsidR="00390090" w:rsidRPr="002C5DE1">
        <w:rPr>
          <w:rFonts w:ascii="Times New Roman" w:hAnsi="Times New Roman" w:cs="Times New Roman"/>
          <w:color w:val="000000" w:themeColor="text1"/>
          <w:sz w:val="24"/>
          <w:szCs w:val="24"/>
          <w:shd w:val="clear" w:color="auto" w:fill="FFFFFF"/>
          <w:lang w:val="en-US"/>
        </w:rPr>
        <w:t>.</w:t>
      </w:r>
      <w:r w:rsidRPr="002C5DE1">
        <w:rPr>
          <w:rFonts w:ascii="Times New Roman" w:hAnsi="Times New Roman" w:cs="Times New Roman"/>
          <w:color w:val="000000" w:themeColor="text1"/>
          <w:sz w:val="24"/>
          <w:szCs w:val="24"/>
          <w:shd w:val="clear" w:color="auto" w:fill="FFFFFF"/>
          <w:lang w:val="en-US"/>
        </w:rPr>
        <w:t>,</w:t>
      </w:r>
      <w:r w:rsidR="00390090" w:rsidRPr="002C5DE1">
        <w:rPr>
          <w:rFonts w:ascii="Times New Roman" w:hAnsi="Times New Roman" w:cs="Times New Roman"/>
          <w:color w:val="000000" w:themeColor="text1"/>
          <w:sz w:val="24"/>
          <w:szCs w:val="24"/>
          <w:shd w:val="clear" w:color="auto" w:fill="FFFFFF"/>
          <w:lang w:val="en-US"/>
        </w:rPr>
        <w:t xml:space="preserve"> </w:t>
      </w:r>
      <w:r w:rsidRPr="002C5DE1">
        <w:rPr>
          <w:rFonts w:ascii="Times New Roman" w:hAnsi="Times New Roman" w:cs="Times New Roman"/>
          <w:color w:val="000000" w:themeColor="text1"/>
          <w:sz w:val="24"/>
          <w:szCs w:val="24"/>
          <w:shd w:val="clear" w:color="auto" w:fill="FFFFFF"/>
          <w:lang w:val="en-US"/>
        </w:rPr>
        <w:t>(</w:t>
      </w:r>
      <w:r w:rsidR="00390090" w:rsidRPr="002C5DE1">
        <w:rPr>
          <w:rFonts w:ascii="Times New Roman" w:hAnsi="Times New Roman" w:cs="Times New Roman"/>
          <w:color w:val="000000" w:themeColor="text1"/>
          <w:sz w:val="24"/>
          <w:szCs w:val="24"/>
          <w:shd w:val="clear" w:color="auto" w:fill="FFFFFF"/>
          <w:lang w:val="en-US"/>
        </w:rPr>
        <w:t>2014</w:t>
      </w:r>
      <w:r w:rsidRPr="002C5DE1">
        <w:rPr>
          <w:rFonts w:ascii="Times New Roman" w:hAnsi="Times New Roman" w:cs="Times New Roman"/>
          <w:color w:val="000000" w:themeColor="text1"/>
          <w:sz w:val="24"/>
          <w:szCs w:val="24"/>
          <w:shd w:val="clear" w:color="auto" w:fill="FFFFFF"/>
          <w:lang w:val="en-US"/>
        </w:rPr>
        <w:t>)</w:t>
      </w:r>
      <w:r w:rsidR="00390090" w:rsidRPr="002C5DE1">
        <w:rPr>
          <w:rFonts w:ascii="Times New Roman" w:hAnsi="Times New Roman" w:cs="Times New Roman"/>
          <w:color w:val="000000" w:themeColor="text1"/>
          <w:sz w:val="24"/>
          <w:szCs w:val="24"/>
          <w:shd w:val="clear" w:color="auto" w:fill="FFFFFF"/>
          <w:lang w:val="en-US"/>
        </w:rPr>
        <w:t xml:space="preserve">. The </w:t>
      </w:r>
      <w:r w:rsidR="00C145FF" w:rsidRPr="002C5DE1">
        <w:rPr>
          <w:rFonts w:ascii="Times New Roman" w:hAnsi="Times New Roman" w:cs="Times New Roman"/>
          <w:color w:val="000000" w:themeColor="text1"/>
          <w:sz w:val="24"/>
          <w:szCs w:val="24"/>
          <w:shd w:val="clear" w:color="auto" w:fill="FFFFFF"/>
          <w:lang w:val="en-US"/>
        </w:rPr>
        <w:t>l</w:t>
      </w:r>
      <w:r w:rsidR="00390090" w:rsidRPr="002C5DE1">
        <w:rPr>
          <w:rFonts w:ascii="Times New Roman" w:hAnsi="Times New Roman" w:cs="Times New Roman"/>
          <w:color w:val="000000" w:themeColor="text1"/>
          <w:sz w:val="24"/>
          <w:szCs w:val="24"/>
          <w:shd w:val="clear" w:color="auto" w:fill="FFFFFF"/>
          <w:lang w:val="en-US"/>
        </w:rPr>
        <w:t>ong-</w:t>
      </w:r>
      <w:r w:rsidR="00C145FF" w:rsidRPr="002C5DE1">
        <w:rPr>
          <w:rFonts w:ascii="Times New Roman" w:hAnsi="Times New Roman" w:cs="Times New Roman"/>
          <w:color w:val="000000" w:themeColor="text1"/>
          <w:sz w:val="24"/>
          <w:szCs w:val="24"/>
          <w:shd w:val="clear" w:color="auto" w:fill="FFFFFF"/>
          <w:lang w:val="en-US"/>
        </w:rPr>
        <w:t>r</w:t>
      </w:r>
      <w:r w:rsidR="00390090" w:rsidRPr="002C5DE1">
        <w:rPr>
          <w:rFonts w:ascii="Times New Roman" w:hAnsi="Times New Roman" w:cs="Times New Roman"/>
          <w:color w:val="000000" w:themeColor="text1"/>
          <w:sz w:val="24"/>
          <w:szCs w:val="24"/>
          <w:shd w:val="clear" w:color="auto" w:fill="FFFFFF"/>
          <w:lang w:val="en-US"/>
        </w:rPr>
        <w:t xml:space="preserve">un </w:t>
      </w:r>
      <w:r w:rsidR="00C145FF" w:rsidRPr="002C5DE1">
        <w:rPr>
          <w:rFonts w:ascii="Times New Roman" w:hAnsi="Times New Roman" w:cs="Times New Roman"/>
          <w:color w:val="000000" w:themeColor="text1"/>
          <w:sz w:val="24"/>
          <w:szCs w:val="24"/>
          <w:shd w:val="clear" w:color="auto" w:fill="FFFFFF"/>
          <w:lang w:val="en-US"/>
        </w:rPr>
        <w:t>r</w:t>
      </w:r>
      <w:r w:rsidR="00390090" w:rsidRPr="002C5DE1">
        <w:rPr>
          <w:rFonts w:ascii="Times New Roman" w:hAnsi="Times New Roman" w:cs="Times New Roman"/>
          <w:color w:val="000000" w:themeColor="text1"/>
          <w:sz w:val="24"/>
          <w:szCs w:val="24"/>
          <w:shd w:val="clear" w:color="auto" w:fill="FFFFFF"/>
          <w:lang w:val="en-US"/>
        </w:rPr>
        <w:t xml:space="preserve">elationship between </w:t>
      </w:r>
      <w:r w:rsidR="00C145FF" w:rsidRPr="002C5DE1">
        <w:rPr>
          <w:rFonts w:ascii="Times New Roman" w:hAnsi="Times New Roman" w:cs="Times New Roman"/>
          <w:color w:val="000000" w:themeColor="text1"/>
          <w:sz w:val="24"/>
          <w:szCs w:val="24"/>
          <w:shd w:val="clear" w:color="auto" w:fill="FFFFFF"/>
          <w:lang w:val="en-US"/>
        </w:rPr>
        <w:t>c</w:t>
      </w:r>
      <w:r w:rsidR="00390090" w:rsidRPr="002C5DE1">
        <w:rPr>
          <w:rFonts w:ascii="Times New Roman" w:hAnsi="Times New Roman" w:cs="Times New Roman"/>
          <w:color w:val="000000" w:themeColor="text1"/>
          <w:sz w:val="24"/>
          <w:szCs w:val="24"/>
          <w:shd w:val="clear" w:color="auto" w:fill="FFFFFF"/>
          <w:lang w:val="en-US"/>
        </w:rPr>
        <w:t xml:space="preserve">onsumption, </w:t>
      </w:r>
      <w:r w:rsidR="00C145FF" w:rsidRPr="002C5DE1">
        <w:rPr>
          <w:rFonts w:ascii="Times New Roman" w:hAnsi="Times New Roman" w:cs="Times New Roman"/>
          <w:color w:val="000000" w:themeColor="text1"/>
          <w:sz w:val="24"/>
          <w:szCs w:val="24"/>
          <w:shd w:val="clear" w:color="auto" w:fill="FFFFFF"/>
          <w:lang w:val="en-US"/>
        </w:rPr>
        <w:t>h</w:t>
      </w:r>
      <w:r w:rsidR="00390090" w:rsidRPr="002C5DE1">
        <w:rPr>
          <w:rFonts w:ascii="Times New Roman" w:hAnsi="Times New Roman" w:cs="Times New Roman"/>
          <w:color w:val="000000" w:themeColor="text1"/>
          <w:sz w:val="24"/>
          <w:szCs w:val="24"/>
          <w:shd w:val="clear" w:color="auto" w:fill="FFFFFF"/>
          <w:lang w:val="en-US"/>
        </w:rPr>
        <w:t xml:space="preserve">ouse </w:t>
      </w:r>
      <w:r w:rsidR="00C145FF" w:rsidRPr="002C5DE1">
        <w:rPr>
          <w:rFonts w:ascii="Times New Roman" w:hAnsi="Times New Roman" w:cs="Times New Roman"/>
          <w:color w:val="000000" w:themeColor="text1"/>
          <w:sz w:val="24"/>
          <w:szCs w:val="24"/>
          <w:shd w:val="clear" w:color="auto" w:fill="FFFFFF"/>
          <w:lang w:val="en-US"/>
        </w:rPr>
        <w:t>p</w:t>
      </w:r>
      <w:r w:rsidR="00390090" w:rsidRPr="002C5DE1">
        <w:rPr>
          <w:rFonts w:ascii="Times New Roman" w:hAnsi="Times New Roman" w:cs="Times New Roman"/>
          <w:color w:val="000000" w:themeColor="text1"/>
          <w:sz w:val="24"/>
          <w:szCs w:val="24"/>
          <w:shd w:val="clear" w:color="auto" w:fill="FFFFFF"/>
          <w:lang w:val="en-US"/>
        </w:rPr>
        <w:t xml:space="preserve">rices and </w:t>
      </w:r>
      <w:r w:rsidR="00C145FF" w:rsidRPr="002C5DE1">
        <w:rPr>
          <w:rFonts w:ascii="Times New Roman" w:hAnsi="Times New Roman" w:cs="Times New Roman"/>
          <w:color w:val="000000" w:themeColor="text1"/>
          <w:sz w:val="24"/>
          <w:szCs w:val="24"/>
          <w:shd w:val="clear" w:color="auto" w:fill="FFFFFF"/>
          <w:lang w:val="en-US"/>
        </w:rPr>
        <w:t>s</w:t>
      </w:r>
      <w:r w:rsidR="00390090" w:rsidRPr="002C5DE1">
        <w:rPr>
          <w:rFonts w:ascii="Times New Roman" w:hAnsi="Times New Roman" w:cs="Times New Roman"/>
          <w:color w:val="000000" w:themeColor="text1"/>
          <w:sz w:val="24"/>
          <w:szCs w:val="24"/>
          <w:shd w:val="clear" w:color="auto" w:fill="FFFFFF"/>
          <w:lang w:val="en-US"/>
        </w:rPr>
        <w:t xml:space="preserve">tock </w:t>
      </w:r>
      <w:r w:rsidR="00C145FF" w:rsidRPr="002C5DE1">
        <w:rPr>
          <w:rFonts w:ascii="Times New Roman" w:hAnsi="Times New Roman" w:cs="Times New Roman"/>
          <w:color w:val="000000" w:themeColor="text1"/>
          <w:sz w:val="24"/>
          <w:szCs w:val="24"/>
          <w:shd w:val="clear" w:color="auto" w:fill="FFFFFF"/>
          <w:lang w:val="en-US"/>
        </w:rPr>
        <w:t>p</w:t>
      </w:r>
      <w:r w:rsidR="00390090" w:rsidRPr="002C5DE1">
        <w:rPr>
          <w:rFonts w:ascii="Times New Roman" w:hAnsi="Times New Roman" w:cs="Times New Roman"/>
          <w:color w:val="000000" w:themeColor="text1"/>
          <w:sz w:val="24"/>
          <w:szCs w:val="24"/>
          <w:shd w:val="clear" w:color="auto" w:fill="FFFFFF"/>
          <w:lang w:val="en-US"/>
        </w:rPr>
        <w:t xml:space="preserve">rices in South Africa: </w:t>
      </w:r>
      <w:r w:rsidR="00C145FF" w:rsidRPr="002C5DE1">
        <w:rPr>
          <w:rFonts w:ascii="Times New Roman" w:hAnsi="Times New Roman" w:cs="Times New Roman"/>
          <w:color w:val="000000" w:themeColor="text1"/>
          <w:sz w:val="24"/>
          <w:szCs w:val="24"/>
          <w:shd w:val="clear" w:color="auto" w:fill="FFFFFF"/>
          <w:lang w:val="en-US"/>
        </w:rPr>
        <w:t>e</w:t>
      </w:r>
      <w:r w:rsidR="00390090" w:rsidRPr="002C5DE1">
        <w:rPr>
          <w:rFonts w:ascii="Times New Roman" w:hAnsi="Times New Roman" w:cs="Times New Roman"/>
          <w:color w:val="000000" w:themeColor="text1"/>
          <w:sz w:val="24"/>
          <w:szCs w:val="24"/>
          <w:shd w:val="clear" w:color="auto" w:fill="FFFFFF"/>
          <w:lang w:val="en-US"/>
        </w:rPr>
        <w:t xml:space="preserve">vidence from </w:t>
      </w:r>
      <w:r w:rsidR="00C145FF" w:rsidRPr="002C5DE1">
        <w:rPr>
          <w:rFonts w:ascii="Times New Roman" w:hAnsi="Times New Roman" w:cs="Times New Roman"/>
          <w:color w:val="000000" w:themeColor="text1"/>
          <w:sz w:val="24"/>
          <w:szCs w:val="24"/>
          <w:shd w:val="clear" w:color="auto" w:fill="FFFFFF"/>
          <w:lang w:val="en-US"/>
        </w:rPr>
        <w:t>p</w:t>
      </w:r>
      <w:r w:rsidR="00390090" w:rsidRPr="002C5DE1">
        <w:rPr>
          <w:rFonts w:ascii="Times New Roman" w:hAnsi="Times New Roman" w:cs="Times New Roman"/>
          <w:color w:val="000000" w:themeColor="text1"/>
          <w:sz w:val="24"/>
          <w:szCs w:val="24"/>
          <w:shd w:val="clear" w:color="auto" w:fill="FFFFFF"/>
          <w:lang w:val="en-US"/>
        </w:rPr>
        <w:t>rovincial-</w:t>
      </w:r>
      <w:r w:rsidR="00C145FF" w:rsidRPr="002C5DE1">
        <w:rPr>
          <w:rFonts w:ascii="Times New Roman" w:hAnsi="Times New Roman" w:cs="Times New Roman"/>
          <w:color w:val="000000" w:themeColor="text1"/>
          <w:sz w:val="24"/>
          <w:szCs w:val="24"/>
          <w:shd w:val="clear" w:color="auto" w:fill="FFFFFF"/>
          <w:lang w:val="en-US"/>
        </w:rPr>
        <w:t>l</w:t>
      </w:r>
      <w:r w:rsidR="00390090" w:rsidRPr="002C5DE1">
        <w:rPr>
          <w:rFonts w:ascii="Times New Roman" w:hAnsi="Times New Roman" w:cs="Times New Roman"/>
          <w:color w:val="000000" w:themeColor="text1"/>
          <w:sz w:val="24"/>
          <w:szCs w:val="24"/>
          <w:shd w:val="clear" w:color="auto" w:fill="FFFFFF"/>
          <w:lang w:val="en-US"/>
        </w:rPr>
        <w:t xml:space="preserve">evel </w:t>
      </w:r>
      <w:r w:rsidR="00C145FF" w:rsidRPr="002C5DE1">
        <w:rPr>
          <w:rFonts w:ascii="Times New Roman" w:hAnsi="Times New Roman" w:cs="Times New Roman"/>
          <w:color w:val="000000" w:themeColor="text1"/>
          <w:sz w:val="24"/>
          <w:szCs w:val="24"/>
          <w:shd w:val="clear" w:color="auto" w:fill="FFFFFF"/>
          <w:lang w:val="en-US"/>
        </w:rPr>
        <w:t>d</w:t>
      </w:r>
      <w:r w:rsidR="00390090" w:rsidRPr="002C5DE1">
        <w:rPr>
          <w:rFonts w:ascii="Times New Roman" w:hAnsi="Times New Roman" w:cs="Times New Roman"/>
          <w:color w:val="000000" w:themeColor="text1"/>
          <w:sz w:val="24"/>
          <w:szCs w:val="24"/>
          <w:shd w:val="clear" w:color="auto" w:fill="FFFFFF"/>
          <w:lang w:val="en-US"/>
        </w:rPr>
        <w:t xml:space="preserve">ata. </w:t>
      </w:r>
      <w:r w:rsidR="00390090" w:rsidRPr="002C5DE1">
        <w:rPr>
          <w:rFonts w:ascii="Times New Roman" w:hAnsi="Times New Roman" w:cs="Times New Roman"/>
          <w:i/>
          <w:iCs/>
          <w:color w:val="000000" w:themeColor="text1"/>
          <w:sz w:val="24"/>
          <w:szCs w:val="24"/>
          <w:shd w:val="clear" w:color="auto" w:fill="FFFFFF"/>
          <w:lang w:val="en-US"/>
        </w:rPr>
        <w:t>Journal of Real Estate Literature</w:t>
      </w:r>
      <w:r w:rsidR="00390090" w:rsidRPr="002C5DE1">
        <w:rPr>
          <w:rFonts w:ascii="Times New Roman" w:hAnsi="Times New Roman" w:cs="Times New Roman"/>
          <w:color w:val="000000" w:themeColor="text1"/>
          <w:sz w:val="24"/>
          <w:szCs w:val="24"/>
          <w:shd w:val="clear" w:color="auto" w:fill="FFFFFF"/>
          <w:lang w:val="en-US"/>
        </w:rPr>
        <w:t xml:space="preserve"> 22</w:t>
      </w:r>
      <w:r w:rsidR="00C145FF" w:rsidRPr="002C5DE1">
        <w:rPr>
          <w:rFonts w:ascii="Times New Roman" w:hAnsi="Times New Roman" w:cs="Times New Roman"/>
          <w:color w:val="000000" w:themeColor="text1"/>
          <w:sz w:val="24"/>
          <w:szCs w:val="24"/>
          <w:shd w:val="clear" w:color="auto" w:fill="FFFFFF"/>
          <w:lang w:val="en-US"/>
        </w:rPr>
        <w:t>(1),</w:t>
      </w:r>
      <w:r w:rsidR="00390090" w:rsidRPr="002C5DE1">
        <w:rPr>
          <w:rFonts w:ascii="Times New Roman" w:hAnsi="Times New Roman" w:cs="Times New Roman"/>
          <w:color w:val="000000" w:themeColor="text1"/>
          <w:sz w:val="24"/>
          <w:szCs w:val="24"/>
          <w:shd w:val="clear" w:color="auto" w:fill="FFFFFF"/>
          <w:lang w:val="en-US"/>
        </w:rPr>
        <w:t xml:space="preserve"> 83</w:t>
      </w:r>
      <w:r w:rsidR="00C145FF" w:rsidRPr="002C5DE1">
        <w:rPr>
          <w:rFonts w:ascii="Times New Roman" w:hAnsi="Times New Roman" w:cs="Times New Roman"/>
          <w:color w:val="000000" w:themeColor="text1"/>
          <w:sz w:val="24"/>
          <w:szCs w:val="24"/>
          <w:shd w:val="clear" w:color="auto" w:fill="FFFFFF"/>
          <w:lang w:val="en-US"/>
        </w:rPr>
        <w:t>-</w:t>
      </w:r>
      <w:r w:rsidR="00390090" w:rsidRPr="002C5DE1">
        <w:rPr>
          <w:rFonts w:ascii="Times New Roman" w:hAnsi="Times New Roman" w:cs="Times New Roman"/>
          <w:color w:val="000000" w:themeColor="text1"/>
          <w:sz w:val="24"/>
          <w:szCs w:val="24"/>
          <w:shd w:val="clear" w:color="auto" w:fill="FFFFFF"/>
          <w:lang w:val="en-US"/>
        </w:rPr>
        <w:t>99.</w:t>
      </w:r>
    </w:p>
    <w:p w14:paraId="4D0E6193" w14:textId="77777777" w:rsidR="00450B6D" w:rsidRPr="002C5DE1" w:rsidRDefault="00450B6D" w:rsidP="00C145FF">
      <w:pPr>
        <w:widowControl w:val="0"/>
        <w:autoSpaceDE w:val="0"/>
        <w:autoSpaceDN w:val="0"/>
        <w:adjustRightInd w:val="0"/>
        <w:spacing w:before="120" w:after="120" w:line="276" w:lineRule="auto"/>
        <w:ind w:left="720" w:hanging="720"/>
        <w:jc w:val="both"/>
        <w:rPr>
          <w:rFonts w:ascii="Times New Roman" w:hAnsi="Times New Roman" w:cs="Times New Roman"/>
          <w:color w:val="000000" w:themeColor="text1"/>
          <w:sz w:val="24"/>
          <w:szCs w:val="24"/>
          <w:shd w:val="clear" w:color="auto" w:fill="FFFFFF"/>
          <w:lang w:val="en-US"/>
        </w:rPr>
      </w:pPr>
      <w:proofErr w:type="spellStart"/>
      <w:r w:rsidRPr="002C5DE1">
        <w:rPr>
          <w:rFonts w:ascii="Times New Roman" w:hAnsi="Times New Roman" w:cs="Times New Roman"/>
          <w:color w:val="000000" w:themeColor="text1"/>
          <w:sz w:val="24"/>
          <w:szCs w:val="24"/>
          <w:shd w:val="clear" w:color="auto" w:fill="FFFFFF"/>
          <w:lang w:val="en-US"/>
        </w:rPr>
        <w:t>Attanasio</w:t>
      </w:r>
      <w:proofErr w:type="spellEnd"/>
      <w:r w:rsidRPr="002C5DE1">
        <w:rPr>
          <w:rFonts w:ascii="Times New Roman" w:hAnsi="Times New Roman" w:cs="Times New Roman"/>
          <w:color w:val="000000" w:themeColor="text1"/>
          <w:sz w:val="24"/>
          <w:szCs w:val="24"/>
          <w:shd w:val="clear" w:color="auto" w:fill="FFFFFF"/>
          <w:lang w:val="en-US"/>
        </w:rPr>
        <w:t xml:space="preserve">, O., Blow, L., Hamilton, R., &amp; Leicester, A. (2009). Booms and busts: consumption, house prices and expectations. </w:t>
      </w:r>
      <w:proofErr w:type="spellStart"/>
      <w:r w:rsidRPr="002C5DE1">
        <w:rPr>
          <w:rFonts w:ascii="Times New Roman" w:hAnsi="Times New Roman" w:cs="Times New Roman"/>
          <w:i/>
          <w:iCs/>
          <w:color w:val="000000" w:themeColor="text1"/>
          <w:sz w:val="24"/>
          <w:szCs w:val="24"/>
          <w:shd w:val="clear" w:color="auto" w:fill="FFFFFF"/>
          <w:lang w:val="en-US"/>
        </w:rPr>
        <w:t>Economica</w:t>
      </w:r>
      <w:proofErr w:type="spellEnd"/>
      <w:r w:rsidRPr="002C5DE1">
        <w:rPr>
          <w:rFonts w:ascii="Times New Roman" w:hAnsi="Times New Roman" w:cs="Times New Roman"/>
          <w:color w:val="000000" w:themeColor="text1"/>
          <w:sz w:val="24"/>
          <w:szCs w:val="24"/>
          <w:shd w:val="clear" w:color="auto" w:fill="FFFFFF"/>
          <w:lang w:val="en-US"/>
        </w:rPr>
        <w:t xml:space="preserve"> 76(1), 20-50.</w:t>
      </w:r>
    </w:p>
    <w:p w14:paraId="3BC210C1" w14:textId="77777777" w:rsidR="00E1308D" w:rsidRPr="002C5DE1" w:rsidRDefault="00E1308D" w:rsidP="00C145FF">
      <w:pPr>
        <w:widowControl w:val="0"/>
        <w:autoSpaceDE w:val="0"/>
        <w:autoSpaceDN w:val="0"/>
        <w:adjustRightInd w:val="0"/>
        <w:spacing w:before="120" w:after="120" w:line="276" w:lineRule="auto"/>
        <w:ind w:left="720" w:hanging="720"/>
        <w:jc w:val="both"/>
        <w:rPr>
          <w:rFonts w:ascii="Times New Roman" w:hAnsi="Times New Roman" w:cs="Times New Roman"/>
          <w:color w:val="000000" w:themeColor="text1"/>
          <w:sz w:val="24"/>
          <w:szCs w:val="24"/>
          <w:shd w:val="clear" w:color="auto" w:fill="FFFFFF"/>
          <w:lang w:val="en-US"/>
        </w:rPr>
      </w:pPr>
      <w:r w:rsidRPr="002C5DE1">
        <w:rPr>
          <w:rFonts w:ascii="Times New Roman" w:hAnsi="Times New Roman" w:cs="Times New Roman"/>
          <w:color w:val="000000" w:themeColor="text1"/>
          <w:sz w:val="24"/>
          <w:szCs w:val="24"/>
          <w:shd w:val="clear" w:color="auto" w:fill="FFFFFF"/>
          <w:lang w:val="en-US"/>
        </w:rPr>
        <w:t xml:space="preserve">Barrell, R., </w:t>
      </w:r>
      <w:proofErr w:type="spellStart"/>
      <w:r w:rsidRPr="002C5DE1">
        <w:rPr>
          <w:rFonts w:ascii="Times New Roman" w:hAnsi="Times New Roman" w:cs="Times New Roman"/>
          <w:color w:val="000000" w:themeColor="text1"/>
          <w:sz w:val="24"/>
          <w:szCs w:val="24"/>
          <w:shd w:val="clear" w:color="auto" w:fill="FFFFFF"/>
          <w:lang w:val="en-US"/>
        </w:rPr>
        <w:t>Costantini</w:t>
      </w:r>
      <w:proofErr w:type="spellEnd"/>
      <w:r w:rsidRPr="002C5DE1">
        <w:rPr>
          <w:rFonts w:ascii="Times New Roman" w:hAnsi="Times New Roman" w:cs="Times New Roman"/>
          <w:color w:val="000000" w:themeColor="text1"/>
          <w:sz w:val="24"/>
          <w:szCs w:val="24"/>
          <w:shd w:val="clear" w:color="auto" w:fill="FFFFFF"/>
          <w:lang w:val="en-US"/>
        </w:rPr>
        <w:t xml:space="preserve">, M., &amp; </w:t>
      </w:r>
      <w:proofErr w:type="spellStart"/>
      <w:r w:rsidRPr="002C5DE1">
        <w:rPr>
          <w:rFonts w:ascii="Times New Roman" w:hAnsi="Times New Roman" w:cs="Times New Roman"/>
          <w:color w:val="000000" w:themeColor="text1"/>
          <w:sz w:val="24"/>
          <w:szCs w:val="24"/>
          <w:shd w:val="clear" w:color="auto" w:fill="FFFFFF"/>
          <w:lang w:val="en-US"/>
        </w:rPr>
        <w:t>Meco</w:t>
      </w:r>
      <w:proofErr w:type="spellEnd"/>
      <w:r w:rsidRPr="002C5DE1">
        <w:rPr>
          <w:rFonts w:ascii="Times New Roman" w:hAnsi="Times New Roman" w:cs="Times New Roman"/>
          <w:color w:val="000000" w:themeColor="text1"/>
          <w:sz w:val="24"/>
          <w:szCs w:val="24"/>
          <w:shd w:val="clear" w:color="auto" w:fill="FFFFFF"/>
          <w:lang w:val="en-US"/>
        </w:rPr>
        <w:t xml:space="preserve">, I. (2015). Housing wealth, financial wealth, and consumption: new evidence for Italy and the UK. </w:t>
      </w:r>
      <w:r w:rsidRPr="002C5DE1">
        <w:rPr>
          <w:rFonts w:ascii="Times New Roman" w:hAnsi="Times New Roman" w:cs="Times New Roman"/>
          <w:i/>
          <w:iCs/>
          <w:color w:val="000000" w:themeColor="text1"/>
          <w:sz w:val="24"/>
          <w:szCs w:val="24"/>
          <w:shd w:val="clear" w:color="auto" w:fill="FFFFFF"/>
          <w:lang w:val="en-US"/>
        </w:rPr>
        <w:t>International Review of Financial Analysis</w:t>
      </w:r>
      <w:r w:rsidRPr="002C5DE1">
        <w:rPr>
          <w:rFonts w:ascii="Times New Roman" w:hAnsi="Times New Roman" w:cs="Times New Roman"/>
          <w:color w:val="000000" w:themeColor="text1"/>
          <w:sz w:val="24"/>
          <w:szCs w:val="24"/>
          <w:shd w:val="clear" w:color="auto" w:fill="FFFFFF"/>
          <w:lang w:val="en-US"/>
        </w:rPr>
        <w:t xml:space="preserve"> 42, 316-323.</w:t>
      </w:r>
    </w:p>
    <w:p w14:paraId="1F09997A" w14:textId="77777777" w:rsidR="00390090" w:rsidRPr="002C5DE1" w:rsidRDefault="00390090" w:rsidP="00C145FF">
      <w:pPr>
        <w:spacing w:before="120" w:after="120" w:line="276" w:lineRule="auto"/>
        <w:ind w:left="720" w:hanging="720"/>
        <w:jc w:val="both"/>
        <w:rPr>
          <w:rFonts w:ascii="Times New Roman" w:eastAsia="Times New Roman" w:hAnsi="Times New Roman" w:cs="Times New Roman"/>
          <w:color w:val="000000" w:themeColor="text1"/>
          <w:sz w:val="24"/>
          <w:szCs w:val="24"/>
          <w:shd w:val="clear" w:color="auto" w:fill="FFFFFF"/>
          <w:lang w:val="en-US" w:eastAsia="tr-TR"/>
        </w:rPr>
      </w:pPr>
      <w:r w:rsidRPr="002C5DE1">
        <w:rPr>
          <w:rFonts w:ascii="Times New Roman" w:eastAsia="Times New Roman" w:hAnsi="Times New Roman" w:cs="Times New Roman"/>
          <w:color w:val="000000" w:themeColor="text1"/>
          <w:sz w:val="24"/>
          <w:szCs w:val="24"/>
          <w:lang w:val="en-US" w:eastAsia="tr-TR"/>
        </w:rPr>
        <w:t xml:space="preserve">Beck, T., </w:t>
      </w:r>
      <w:proofErr w:type="spellStart"/>
      <w:r w:rsidRPr="002C5DE1">
        <w:rPr>
          <w:rFonts w:ascii="Times New Roman" w:eastAsia="Times New Roman" w:hAnsi="Times New Roman" w:cs="Times New Roman"/>
          <w:color w:val="000000" w:themeColor="text1"/>
          <w:sz w:val="24"/>
          <w:szCs w:val="24"/>
          <w:lang w:val="en-US" w:eastAsia="tr-TR"/>
        </w:rPr>
        <w:t>Demirgüç-Kunt</w:t>
      </w:r>
      <w:proofErr w:type="spellEnd"/>
      <w:r w:rsidRPr="002C5DE1">
        <w:rPr>
          <w:rFonts w:ascii="Times New Roman" w:eastAsia="Times New Roman" w:hAnsi="Times New Roman" w:cs="Times New Roman"/>
          <w:color w:val="000000" w:themeColor="text1"/>
          <w:sz w:val="24"/>
          <w:szCs w:val="24"/>
          <w:lang w:val="en-US" w:eastAsia="tr-TR"/>
        </w:rPr>
        <w:t>, A., &amp; Levine, R. (2007). Finance, inequality and the poor. </w:t>
      </w:r>
      <w:r w:rsidRPr="002C5DE1">
        <w:rPr>
          <w:rFonts w:ascii="Times New Roman" w:eastAsia="Times New Roman" w:hAnsi="Times New Roman" w:cs="Times New Roman"/>
          <w:i/>
          <w:iCs/>
          <w:color w:val="000000" w:themeColor="text1"/>
          <w:sz w:val="24"/>
          <w:szCs w:val="24"/>
          <w:lang w:val="en-US" w:eastAsia="tr-TR"/>
        </w:rPr>
        <w:t xml:space="preserve">Journal of </w:t>
      </w:r>
      <w:r w:rsidR="00C145FF" w:rsidRPr="002C5DE1">
        <w:rPr>
          <w:rFonts w:ascii="Times New Roman" w:eastAsia="Times New Roman" w:hAnsi="Times New Roman" w:cs="Times New Roman"/>
          <w:i/>
          <w:iCs/>
          <w:color w:val="000000" w:themeColor="text1"/>
          <w:sz w:val="24"/>
          <w:szCs w:val="24"/>
          <w:lang w:val="en-US" w:eastAsia="tr-TR"/>
        </w:rPr>
        <w:t>E</w:t>
      </w:r>
      <w:r w:rsidRPr="002C5DE1">
        <w:rPr>
          <w:rFonts w:ascii="Times New Roman" w:eastAsia="Times New Roman" w:hAnsi="Times New Roman" w:cs="Times New Roman"/>
          <w:i/>
          <w:iCs/>
          <w:color w:val="000000" w:themeColor="text1"/>
          <w:sz w:val="24"/>
          <w:szCs w:val="24"/>
          <w:lang w:val="en-US" w:eastAsia="tr-TR"/>
        </w:rPr>
        <w:t xml:space="preserve">conomic </w:t>
      </w:r>
      <w:r w:rsidR="00C145FF" w:rsidRPr="002C5DE1">
        <w:rPr>
          <w:rFonts w:ascii="Times New Roman" w:eastAsia="Times New Roman" w:hAnsi="Times New Roman" w:cs="Times New Roman"/>
          <w:i/>
          <w:iCs/>
          <w:color w:val="000000" w:themeColor="text1"/>
          <w:sz w:val="24"/>
          <w:szCs w:val="24"/>
          <w:lang w:val="en-US" w:eastAsia="tr-TR"/>
        </w:rPr>
        <w:t>G</w:t>
      </w:r>
      <w:r w:rsidRPr="002C5DE1">
        <w:rPr>
          <w:rFonts w:ascii="Times New Roman" w:eastAsia="Times New Roman" w:hAnsi="Times New Roman" w:cs="Times New Roman"/>
          <w:i/>
          <w:iCs/>
          <w:color w:val="000000" w:themeColor="text1"/>
          <w:sz w:val="24"/>
          <w:szCs w:val="24"/>
          <w:lang w:val="en-US" w:eastAsia="tr-TR"/>
        </w:rPr>
        <w:t>rowth</w:t>
      </w:r>
      <w:r w:rsidR="00C145FF" w:rsidRPr="002C5DE1">
        <w:rPr>
          <w:rFonts w:ascii="Times New Roman" w:eastAsia="Times New Roman" w:hAnsi="Times New Roman" w:cs="Times New Roman"/>
          <w:color w:val="000000" w:themeColor="text1"/>
          <w:sz w:val="24"/>
          <w:szCs w:val="24"/>
          <w:lang w:val="en-US" w:eastAsia="tr-TR"/>
        </w:rPr>
        <w:t xml:space="preserve"> </w:t>
      </w:r>
      <w:r w:rsidRPr="002C5DE1">
        <w:rPr>
          <w:rFonts w:ascii="Times New Roman" w:eastAsia="Times New Roman" w:hAnsi="Times New Roman" w:cs="Times New Roman"/>
          <w:color w:val="000000" w:themeColor="text1"/>
          <w:sz w:val="24"/>
          <w:szCs w:val="24"/>
          <w:lang w:val="en-US" w:eastAsia="tr-TR"/>
        </w:rPr>
        <w:t>12(1), 27-49.</w:t>
      </w:r>
      <w:r w:rsidRPr="002C5DE1">
        <w:rPr>
          <w:rFonts w:ascii="Times New Roman" w:eastAsia="Times New Roman" w:hAnsi="Times New Roman" w:cs="Times New Roman"/>
          <w:color w:val="000000" w:themeColor="text1"/>
          <w:sz w:val="24"/>
          <w:szCs w:val="24"/>
          <w:shd w:val="clear" w:color="auto" w:fill="FFFFFF"/>
          <w:lang w:val="en-US" w:eastAsia="tr-TR"/>
        </w:rPr>
        <w:t> </w:t>
      </w:r>
    </w:p>
    <w:p w14:paraId="4E519D3C" w14:textId="77777777" w:rsidR="00390090" w:rsidRPr="002C5DE1" w:rsidRDefault="00390090" w:rsidP="00C145FF">
      <w:pPr>
        <w:spacing w:before="120" w:after="120" w:line="276" w:lineRule="auto"/>
        <w:ind w:left="720" w:hanging="720"/>
        <w:jc w:val="both"/>
        <w:rPr>
          <w:rFonts w:ascii="Times New Roman" w:eastAsia="Times New Roman" w:hAnsi="Times New Roman" w:cs="Times New Roman"/>
          <w:color w:val="000000" w:themeColor="text1"/>
          <w:sz w:val="24"/>
          <w:szCs w:val="24"/>
          <w:lang w:val="en-US" w:eastAsia="tr-TR"/>
        </w:rPr>
      </w:pPr>
      <w:r w:rsidRPr="002C5DE1">
        <w:rPr>
          <w:rFonts w:ascii="Times New Roman" w:eastAsia="Times New Roman" w:hAnsi="Times New Roman" w:cs="Times New Roman"/>
          <w:color w:val="000000" w:themeColor="text1"/>
          <w:sz w:val="24"/>
          <w:szCs w:val="24"/>
          <w:lang w:val="en-US" w:eastAsia="tr-TR"/>
        </w:rPr>
        <w:t xml:space="preserve">Belsky, E. (2004). Housing wealth effects: housing's impact on wealth accumulation, wealth distribution and consumer spending. </w:t>
      </w:r>
      <w:r w:rsidR="00C145FF" w:rsidRPr="002C5DE1">
        <w:rPr>
          <w:rFonts w:ascii="Times New Roman" w:eastAsia="Times New Roman" w:hAnsi="Times New Roman" w:cs="Times New Roman"/>
          <w:color w:val="000000" w:themeColor="text1"/>
          <w:sz w:val="24"/>
          <w:szCs w:val="24"/>
          <w:lang w:val="en-US" w:eastAsia="tr-TR"/>
        </w:rPr>
        <w:t xml:space="preserve">Working Paper, </w:t>
      </w:r>
      <w:r w:rsidRPr="002C5DE1">
        <w:rPr>
          <w:rFonts w:ascii="Times New Roman" w:eastAsia="Times New Roman" w:hAnsi="Times New Roman" w:cs="Times New Roman"/>
          <w:color w:val="000000" w:themeColor="text1"/>
          <w:sz w:val="24"/>
          <w:szCs w:val="24"/>
          <w:lang w:val="en-US" w:eastAsia="tr-TR"/>
        </w:rPr>
        <w:t>Joint Center for Housing Studies, Harvard University.</w:t>
      </w:r>
    </w:p>
    <w:p w14:paraId="2C09DE51" w14:textId="77777777" w:rsidR="00390090" w:rsidRPr="002C5DE1" w:rsidRDefault="00390090" w:rsidP="00C145FF">
      <w:pPr>
        <w:spacing w:before="120" w:after="120" w:line="276" w:lineRule="auto"/>
        <w:ind w:left="720" w:hanging="720"/>
        <w:jc w:val="both"/>
        <w:rPr>
          <w:rFonts w:ascii="Times New Roman" w:eastAsia="Times New Roman" w:hAnsi="Times New Roman" w:cs="Times New Roman"/>
          <w:color w:val="000000" w:themeColor="text1"/>
          <w:sz w:val="24"/>
          <w:szCs w:val="24"/>
          <w:lang w:val="en-US" w:eastAsia="tr-TR"/>
        </w:rPr>
      </w:pPr>
      <w:r w:rsidRPr="002C5DE1">
        <w:rPr>
          <w:rFonts w:ascii="Times New Roman" w:eastAsia="Times New Roman" w:hAnsi="Times New Roman" w:cs="Times New Roman"/>
          <w:color w:val="000000" w:themeColor="text1"/>
          <w:sz w:val="24"/>
          <w:szCs w:val="24"/>
          <w:lang w:val="en-US" w:eastAsia="tr-TR"/>
        </w:rPr>
        <w:t xml:space="preserve">Benjamin, J. D., </w:t>
      </w:r>
      <w:proofErr w:type="spellStart"/>
      <w:r w:rsidRPr="002C5DE1">
        <w:rPr>
          <w:rFonts w:ascii="Times New Roman" w:eastAsia="Times New Roman" w:hAnsi="Times New Roman" w:cs="Times New Roman"/>
          <w:color w:val="000000" w:themeColor="text1"/>
          <w:sz w:val="24"/>
          <w:szCs w:val="24"/>
          <w:lang w:val="en-US" w:eastAsia="tr-TR"/>
        </w:rPr>
        <w:t>Chinloy</w:t>
      </w:r>
      <w:proofErr w:type="spellEnd"/>
      <w:r w:rsidRPr="002C5DE1">
        <w:rPr>
          <w:rFonts w:ascii="Times New Roman" w:eastAsia="Times New Roman" w:hAnsi="Times New Roman" w:cs="Times New Roman"/>
          <w:color w:val="000000" w:themeColor="text1"/>
          <w:sz w:val="24"/>
          <w:szCs w:val="24"/>
          <w:lang w:val="en-US" w:eastAsia="tr-TR"/>
        </w:rPr>
        <w:t>, P., &amp; Jud, G. D. (2004). Real estate versus financial wealth in consumption. </w:t>
      </w:r>
      <w:r w:rsidRPr="002C5DE1">
        <w:rPr>
          <w:rFonts w:ascii="Times New Roman" w:eastAsia="Times New Roman" w:hAnsi="Times New Roman" w:cs="Times New Roman"/>
          <w:i/>
          <w:iCs/>
          <w:color w:val="000000" w:themeColor="text1"/>
          <w:sz w:val="24"/>
          <w:szCs w:val="24"/>
          <w:lang w:val="en-US" w:eastAsia="tr-TR"/>
        </w:rPr>
        <w:t>The Journal of Real Estate Finance and Economics</w:t>
      </w:r>
      <w:r w:rsidRPr="002C5DE1">
        <w:rPr>
          <w:rFonts w:ascii="Times New Roman" w:eastAsia="Times New Roman" w:hAnsi="Times New Roman" w:cs="Times New Roman"/>
          <w:color w:val="000000" w:themeColor="text1"/>
          <w:sz w:val="24"/>
          <w:szCs w:val="24"/>
          <w:lang w:val="en-US" w:eastAsia="tr-TR"/>
        </w:rPr>
        <w:t> 29(3), 341-354.</w:t>
      </w:r>
    </w:p>
    <w:p w14:paraId="11A282E6" w14:textId="77777777" w:rsidR="00390090" w:rsidRPr="002C5DE1" w:rsidRDefault="00390090" w:rsidP="00C145FF">
      <w:pPr>
        <w:spacing w:before="120" w:after="120" w:line="276" w:lineRule="auto"/>
        <w:ind w:left="720" w:hanging="720"/>
        <w:jc w:val="both"/>
        <w:rPr>
          <w:rFonts w:ascii="Times New Roman" w:eastAsia="Times New Roman" w:hAnsi="Times New Roman" w:cs="Times New Roman"/>
          <w:color w:val="000000" w:themeColor="text1"/>
          <w:sz w:val="24"/>
          <w:szCs w:val="24"/>
          <w:lang w:val="en-US" w:eastAsia="tr-TR"/>
        </w:rPr>
      </w:pPr>
      <w:proofErr w:type="spellStart"/>
      <w:r w:rsidRPr="002C5DE1">
        <w:rPr>
          <w:rFonts w:ascii="Times New Roman" w:eastAsia="Times New Roman" w:hAnsi="Times New Roman" w:cs="Times New Roman"/>
          <w:color w:val="000000" w:themeColor="text1"/>
          <w:sz w:val="24"/>
          <w:szCs w:val="24"/>
          <w:lang w:val="en-US" w:eastAsia="tr-TR"/>
        </w:rPr>
        <w:t>Bertaut</w:t>
      </w:r>
      <w:proofErr w:type="spellEnd"/>
      <w:r w:rsidRPr="002C5DE1">
        <w:rPr>
          <w:rFonts w:ascii="Times New Roman" w:eastAsia="Times New Roman" w:hAnsi="Times New Roman" w:cs="Times New Roman"/>
          <w:color w:val="000000" w:themeColor="text1"/>
          <w:sz w:val="24"/>
          <w:szCs w:val="24"/>
          <w:lang w:val="en-US" w:eastAsia="tr-TR"/>
        </w:rPr>
        <w:t xml:space="preserve">, C. C. (2002). Equity prices, household wealth, and consumption growth in foreign industrial countries: wealth effects in the 1990s. FRB International Finance Discussion Paper, </w:t>
      </w:r>
      <w:r w:rsidR="00C145FF" w:rsidRPr="002C5DE1">
        <w:rPr>
          <w:rFonts w:ascii="Times New Roman" w:eastAsia="Times New Roman" w:hAnsi="Times New Roman" w:cs="Times New Roman"/>
          <w:color w:val="000000" w:themeColor="text1"/>
          <w:sz w:val="24"/>
          <w:szCs w:val="24"/>
          <w:lang w:val="en-US" w:eastAsia="tr-TR"/>
        </w:rPr>
        <w:t xml:space="preserve">No. </w:t>
      </w:r>
      <w:r w:rsidRPr="002C5DE1">
        <w:rPr>
          <w:rFonts w:ascii="Times New Roman" w:eastAsia="Times New Roman" w:hAnsi="Times New Roman" w:cs="Times New Roman"/>
          <w:color w:val="000000" w:themeColor="text1"/>
          <w:sz w:val="24"/>
          <w:szCs w:val="24"/>
          <w:lang w:val="en-US" w:eastAsia="tr-TR"/>
        </w:rPr>
        <w:t>724.</w:t>
      </w:r>
    </w:p>
    <w:p w14:paraId="2284713F" w14:textId="77777777" w:rsidR="00390090" w:rsidRPr="002C5DE1" w:rsidRDefault="00390090" w:rsidP="00C145FF">
      <w:pPr>
        <w:spacing w:before="120" w:after="120" w:line="276" w:lineRule="auto"/>
        <w:ind w:left="720" w:hanging="720"/>
        <w:jc w:val="both"/>
        <w:rPr>
          <w:rFonts w:ascii="Times New Roman" w:eastAsia="Times New Roman" w:hAnsi="Times New Roman" w:cs="Times New Roman"/>
          <w:color w:val="000000" w:themeColor="text1"/>
          <w:sz w:val="24"/>
          <w:szCs w:val="24"/>
          <w:lang w:val="en-US" w:eastAsia="tr-TR"/>
        </w:rPr>
      </w:pPr>
      <w:r w:rsidRPr="002C5DE1">
        <w:rPr>
          <w:rFonts w:ascii="Times New Roman" w:eastAsia="Times New Roman" w:hAnsi="Times New Roman" w:cs="Times New Roman"/>
          <w:color w:val="000000" w:themeColor="text1"/>
          <w:sz w:val="24"/>
          <w:szCs w:val="24"/>
          <w:lang w:val="en-US" w:eastAsia="tr-TR"/>
        </w:rPr>
        <w:t xml:space="preserve">Bick, A., </w:t>
      </w:r>
      <w:r w:rsidR="00EA09E3" w:rsidRPr="002C5DE1">
        <w:rPr>
          <w:rFonts w:ascii="Times New Roman" w:eastAsia="Times New Roman" w:hAnsi="Times New Roman" w:cs="Times New Roman"/>
          <w:color w:val="000000" w:themeColor="text1"/>
          <w:sz w:val="24"/>
          <w:szCs w:val="24"/>
          <w:lang w:val="en-US" w:eastAsia="tr-TR"/>
        </w:rPr>
        <w:t>(</w:t>
      </w:r>
      <w:r w:rsidRPr="002C5DE1">
        <w:rPr>
          <w:rFonts w:ascii="Times New Roman" w:eastAsia="Times New Roman" w:hAnsi="Times New Roman" w:cs="Times New Roman"/>
          <w:color w:val="000000" w:themeColor="text1"/>
          <w:sz w:val="24"/>
          <w:szCs w:val="24"/>
          <w:lang w:val="en-US" w:eastAsia="tr-TR"/>
        </w:rPr>
        <w:t>2010</w:t>
      </w:r>
      <w:r w:rsidR="00EA09E3" w:rsidRPr="002C5DE1">
        <w:rPr>
          <w:rFonts w:ascii="Times New Roman" w:eastAsia="Times New Roman" w:hAnsi="Times New Roman" w:cs="Times New Roman"/>
          <w:color w:val="000000" w:themeColor="text1"/>
          <w:sz w:val="24"/>
          <w:szCs w:val="24"/>
          <w:lang w:val="en-US" w:eastAsia="tr-TR"/>
        </w:rPr>
        <w:t>)</w:t>
      </w:r>
      <w:r w:rsidRPr="002C5DE1">
        <w:rPr>
          <w:rFonts w:ascii="Times New Roman" w:eastAsia="Times New Roman" w:hAnsi="Times New Roman" w:cs="Times New Roman"/>
          <w:color w:val="000000" w:themeColor="text1"/>
          <w:sz w:val="24"/>
          <w:szCs w:val="24"/>
          <w:lang w:val="en-US" w:eastAsia="tr-TR"/>
        </w:rPr>
        <w:t xml:space="preserve">. Threshold effects of inflation on economic growth in developing countries. </w:t>
      </w:r>
      <w:r w:rsidRPr="002C5DE1">
        <w:rPr>
          <w:rFonts w:ascii="Times New Roman" w:eastAsia="Times New Roman" w:hAnsi="Times New Roman" w:cs="Times New Roman"/>
          <w:i/>
          <w:iCs/>
          <w:color w:val="000000" w:themeColor="text1"/>
          <w:sz w:val="24"/>
          <w:szCs w:val="24"/>
          <w:lang w:val="en-US" w:eastAsia="tr-TR"/>
        </w:rPr>
        <w:t>Economics Letters</w:t>
      </w:r>
      <w:r w:rsidRPr="002C5DE1">
        <w:rPr>
          <w:rFonts w:ascii="Times New Roman" w:eastAsia="Times New Roman" w:hAnsi="Times New Roman" w:cs="Times New Roman"/>
          <w:color w:val="000000" w:themeColor="text1"/>
          <w:sz w:val="24"/>
          <w:szCs w:val="24"/>
          <w:lang w:val="en-US" w:eastAsia="tr-TR"/>
        </w:rPr>
        <w:t xml:space="preserve"> 108</w:t>
      </w:r>
      <w:r w:rsidR="00C066E5" w:rsidRPr="002C5DE1">
        <w:rPr>
          <w:rFonts w:ascii="Times New Roman" w:eastAsia="Times New Roman" w:hAnsi="Times New Roman" w:cs="Times New Roman"/>
          <w:color w:val="000000" w:themeColor="text1"/>
          <w:sz w:val="24"/>
          <w:szCs w:val="24"/>
          <w:lang w:val="en-US" w:eastAsia="tr-TR"/>
        </w:rPr>
        <w:t>(1)</w:t>
      </w:r>
      <w:r w:rsidRPr="002C5DE1">
        <w:rPr>
          <w:rFonts w:ascii="Times New Roman" w:eastAsia="Times New Roman" w:hAnsi="Times New Roman" w:cs="Times New Roman"/>
          <w:color w:val="000000" w:themeColor="text1"/>
          <w:sz w:val="24"/>
          <w:szCs w:val="24"/>
          <w:lang w:val="en-US" w:eastAsia="tr-TR"/>
        </w:rPr>
        <w:t xml:space="preserve">, 126-129. </w:t>
      </w:r>
    </w:p>
    <w:p w14:paraId="4DF9407F" w14:textId="77777777" w:rsidR="00390090" w:rsidRPr="002C5DE1" w:rsidRDefault="00EA09E3" w:rsidP="00C145FF">
      <w:pPr>
        <w:autoSpaceDE w:val="0"/>
        <w:autoSpaceDN w:val="0"/>
        <w:adjustRightInd w:val="0"/>
        <w:spacing w:before="120" w:after="120" w:line="276" w:lineRule="auto"/>
        <w:ind w:left="720" w:hanging="720"/>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 xml:space="preserve">Bourassa, S.C. &amp; </w:t>
      </w:r>
      <w:proofErr w:type="spellStart"/>
      <w:r w:rsidR="00390090" w:rsidRPr="002C5DE1">
        <w:rPr>
          <w:rFonts w:ascii="Times New Roman" w:hAnsi="Times New Roman" w:cs="Times New Roman"/>
          <w:color w:val="000000" w:themeColor="text1"/>
          <w:sz w:val="24"/>
          <w:szCs w:val="24"/>
          <w:lang w:val="en-US"/>
        </w:rPr>
        <w:t>Haurin</w:t>
      </w:r>
      <w:proofErr w:type="spellEnd"/>
      <w:r w:rsidR="00390090" w:rsidRPr="002C5DE1">
        <w:rPr>
          <w:rFonts w:ascii="Times New Roman" w:hAnsi="Times New Roman" w:cs="Times New Roman"/>
          <w:color w:val="000000" w:themeColor="text1"/>
          <w:sz w:val="24"/>
          <w:szCs w:val="24"/>
          <w:lang w:val="en-US"/>
        </w:rPr>
        <w:t xml:space="preserve">, D.R. (2017). A </w:t>
      </w:r>
      <w:r w:rsidR="00C145FF" w:rsidRPr="002C5DE1">
        <w:rPr>
          <w:rFonts w:ascii="Times New Roman" w:hAnsi="Times New Roman" w:cs="Times New Roman"/>
          <w:color w:val="000000" w:themeColor="text1"/>
          <w:sz w:val="24"/>
          <w:szCs w:val="24"/>
          <w:lang w:val="en-US"/>
        </w:rPr>
        <w:t>d</w:t>
      </w:r>
      <w:r w:rsidR="00390090" w:rsidRPr="002C5DE1">
        <w:rPr>
          <w:rFonts w:ascii="Times New Roman" w:hAnsi="Times New Roman" w:cs="Times New Roman"/>
          <w:color w:val="000000" w:themeColor="text1"/>
          <w:sz w:val="24"/>
          <w:szCs w:val="24"/>
          <w:lang w:val="en-US"/>
        </w:rPr>
        <w:t xml:space="preserve">ynamic </w:t>
      </w:r>
      <w:r w:rsidR="00C145FF" w:rsidRPr="002C5DE1">
        <w:rPr>
          <w:rFonts w:ascii="Times New Roman" w:hAnsi="Times New Roman" w:cs="Times New Roman"/>
          <w:color w:val="000000" w:themeColor="text1"/>
          <w:sz w:val="24"/>
          <w:szCs w:val="24"/>
          <w:lang w:val="en-US"/>
        </w:rPr>
        <w:t>h</w:t>
      </w:r>
      <w:r w:rsidR="00390090" w:rsidRPr="002C5DE1">
        <w:rPr>
          <w:rFonts w:ascii="Times New Roman" w:hAnsi="Times New Roman" w:cs="Times New Roman"/>
          <w:color w:val="000000" w:themeColor="text1"/>
          <w:sz w:val="24"/>
          <w:szCs w:val="24"/>
          <w:lang w:val="en-US"/>
        </w:rPr>
        <w:t xml:space="preserve">ousing </w:t>
      </w:r>
      <w:r w:rsidR="00C145FF" w:rsidRPr="002C5DE1">
        <w:rPr>
          <w:rFonts w:ascii="Times New Roman" w:hAnsi="Times New Roman" w:cs="Times New Roman"/>
          <w:color w:val="000000" w:themeColor="text1"/>
          <w:sz w:val="24"/>
          <w:szCs w:val="24"/>
          <w:lang w:val="en-US"/>
        </w:rPr>
        <w:t>a</w:t>
      </w:r>
      <w:r w:rsidR="00390090" w:rsidRPr="002C5DE1">
        <w:rPr>
          <w:rFonts w:ascii="Times New Roman" w:hAnsi="Times New Roman" w:cs="Times New Roman"/>
          <w:color w:val="000000" w:themeColor="text1"/>
          <w:sz w:val="24"/>
          <w:szCs w:val="24"/>
          <w:lang w:val="en-US"/>
        </w:rPr>
        <w:t xml:space="preserve">ffordability </w:t>
      </w:r>
      <w:r w:rsidR="00C145FF" w:rsidRPr="002C5DE1">
        <w:rPr>
          <w:rFonts w:ascii="Times New Roman" w:hAnsi="Times New Roman" w:cs="Times New Roman"/>
          <w:color w:val="000000" w:themeColor="text1"/>
          <w:sz w:val="24"/>
          <w:szCs w:val="24"/>
          <w:lang w:val="en-US"/>
        </w:rPr>
        <w:t>i</w:t>
      </w:r>
      <w:r w:rsidR="00390090" w:rsidRPr="002C5DE1">
        <w:rPr>
          <w:rFonts w:ascii="Times New Roman" w:hAnsi="Times New Roman" w:cs="Times New Roman"/>
          <w:color w:val="000000" w:themeColor="text1"/>
          <w:sz w:val="24"/>
          <w:szCs w:val="24"/>
          <w:lang w:val="en-US"/>
        </w:rPr>
        <w:t xml:space="preserve">ndex. </w:t>
      </w:r>
      <w:r w:rsidR="00390090" w:rsidRPr="002C5DE1">
        <w:rPr>
          <w:rFonts w:ascii="Times New Roman" w:hAnsi="Times New Roman" w:cs="Times New Roman"/>
          <w:i/>
          <w:iCs/>
          <w:color w:val="000000" w:themeColor="text1"/>
          <w:sz w:val="24"/>
          <w:szCs w:val="24"/>
          <w:lang w:val="en-US"/>
        </w:rPr>
        <w:t>International Real Estate Review</w:t>
      </w:r>
      <w:r w:rsidR="00390090" w:rsidRPr="002C5DE1">
        <w:rPr>
          <w:rFonts w:ascii="Times New Roman" w:hAnsi="Times New Roman" w:cs="Times New Roman"/>
          <w:color w:val="000000" w:themeColor="text1"/>
          <w:sz w:val="24"/>
          <w:szCs w:val="24"/>
          <w:lang w:val="en-US"/>
        </w:rPr>
        <w:t xml:space="preserve"> 20(2)</w:t>
      </w:r>
      <w:r w:rsidR="00C066E5" w:rsidRPr="002C5DE1">
        <w:rPr>
          <w:rFonts w:ascii="Times New Roman" w:hAnsi="Times New Roman" w:cs="Times New Roman"/>
          <w:color w:val="000000" w:themeColor="text1"/>
          <w:sz w:val="24"/>
          <w:szCs w:val="24"/>
          <w:lang w:val="en-US"/>
        </w:rPr>
        <w:t>,</w:t>
      </w:r>
      <w:r w:rsidR="00390090" w:rsidRPr="002C5DE1">
        <w:rPr>
          <w:rFonts w:ascii="Times New Roman" w:hAnsi="Times New Roman" w:cs="Times New Roman"/>
          <w:color w:val="000000" w:themeColor="text1"/>
          <w:sz w:val="24"/>
          <w:szCs w:val="24"/>
          <w:lang w:val="en-US"/>
        </w:rPr>
        <w:t xml:space="preserve"> 251-286.</w:t>
      </w:r>
    </w:p>
    <w:p w14:paraId="6E2C3455" w14:textId="77777777" w:rsidR="00390090" w:rsidRPr="002C5DE1" w:rsidRDefault="00390090" w:rsidP="00C145FF">
      <w:pPr>
        <w:spacing w:before="120" w:after="120" w:line="276" w:lineRule="auto"/>
        <w:ind w:left="720" w:hanging="720"/>
        <w:jc w:val="both"/>
        <w:rPr>
          <w:rFonts w:ascii="Times New Roman" w:eastAsia="Times New Roman" w:hAnsi="Times New Roman" w:cs="Times New Roman"/>
          <w:color w:val="000000" w:themeColor="text1"/>
          <w:sz w:val="24"/>
          <w:szCs w:val="24"/>
          <w:lang w:val="en-US" w:eastAsia="tr-TR"/>
        </w:rPr>
      </w:pPr>
      <w:proofErr w:type="spellStart"/>
      <w:r w:rsidRPr="002C5DE1">
        <w:rPr>
          <w:rFonts w:ascii="Times New Roman" w:eastAsia="Times New Roman" w:hAnsi="Times New Roman" w:cs="Times New Roman"/>
          <w:color w:val="000000" w:themeColor="text1"/>
          <w:sz w:val="24"/>
          <w:szCs w:val="24"/>
          <w:lang w:val="en-US" w:eastAsia="tr-TR"/>
        </w:rPr>
        <w:t>Buiter</w:t>
      </w:r>
      <w:proofErr w:type="spellEnd"/>
      <w:r w:rsidRPr="002C5DE1">
        <w:rPr>
          <w:rFonts w:ascii="Times New Roman" w:eastAsia="Times New Roman" w:hAnsi="Times New Roman" w:cs="Times New Roman"/>
          <w:color w:val="000000" w:themeColor="text1"/>
          <w:sz w:val="24"/>
          <w:szCs w:val="24"/>
          <w:lang w:val="en-US" w:eastAsia="tr-TR"/>
        </w:rPr>
        <w:t>, W. H. (2008). Housing wealth isn't wealth</w:t>
      </w:r>
      <w:r w:rsidR="00C145FF" w:rsidRPr="002C5DE1">
        <w:rPr>
          <w:rFonts w:ascii="Times New Roman" w:eastAsia="Times New Roman" w:hAnsi="Times New Roman" w:cs="Times New Roman"/>
          <w:color w:val="000000" w:themeColor="text1"/>
          <w:sz w:val="24"/>
          <w:szCs w:val="24"/>
          <w:lang w:val="en-US" w:eastAsia="tr-TR"/>
        </w:rPr>
        <w:t xml:space="preserve">. Working Paper, No. 14204, </w:t>
      </w:r>
      <w:r w:rsidRPr="002C5DE1">
        <w:rPr>
          <w:rFonts w:ascii="Times New Roman" w:eastAsia="Times New Roman" w:hAnsi="Times New Roman" w:cs="Times New Roman"/>
          <w:color w:val="000000" w:themeColor="text1"/>
          <w:sz w:val="24"/>
          <w:szCs w:val="24"/>
          <w:lang w:val="en-US" w:eastAsia="tr-TR"/>
        </w:rPr>
        <w:t>National Bureau of Economic Research.</w:t>
      </w:r>
    </w:p>
    <w:p w14:paraId="30E085CF" w14:textId="77777777" w:rsidR="009021BB" w:rsidRPr="002C5DE1" w:rsidRDefault="009021BB" w:rsidP="00C145FF">
      <w:pPr>
        <w:spacing w:before="120" w:after="120" w:line="276" w:lineRule="auto"/>
        <w:ind w:left="720" w:hanging="720"/>
        <w:jc w:val="both"/>
        <w:rPr>
          <w:rFonts w:ascii="Times New Roman" w:eastAsia="Times New Roman" w:hAnsi="Times New Roman" w:cs="Times New Roman"/>
          <w:color w:val="000000" w:themeColor="text1"/>
          <w:sz w:val="24"/>
          <w:szCs w:val="24"/>
          <w:lang w:val="en-US" w:eastAsia="tr-TR"/>
        </w:rPr>
      </w:pPr>
      <w:r w:rsidRPr="002C5DE1">
        <w:rPr>
          <w:rFonts w:ascii="Times New Roman" w:eastAsia="Times New Roman" w:hAnsi="Times New Roman" w:cs="Times New Roman"/>
          <w:color w:val="000000" w:themeColor="text1"/>
          <w:sz w:val="24"/>
          <w:szCs w:val="24"/>
          <w:lang w:val="en-US" w:eastAsia="tr-TR"/>
        </w:rPr>
        <w:lastRenderedPageBreak/>
        <w:t xml:space="preserve">Calomiris, C.W., </w:t>
      </w:r>
      <w:proofErr w:type="spellStart"/>
      <w:r w:rsidRPr="002C5DE1">
        <w:rPr>
          <w:rFonts w:ascii="Times New Roman" w:eastAsia="Times New Roman" w:hAnsi="Times New Roman" w:cs="Times New Roman"/>
          <w:color w:val="000000" w:themeColor="text1"/>
          <w:sz w:val="24"/>
          <w:szCs w:val="24"/>
          <w:lang w:val="en-US" w:eastAsia="tr-TR"/>
        </w:rPr>
        <w:t>Longhofer</w:t>
      </w:r>
      <w:proofErr w:type="spellEnd"/>
      <w:r w:rsidRPr="002C5DE1">
        <w:rPr>
          <w:rFonts w:ascii="Times New Roman" w:eastAsia="Times New Roman" w:hAnsi="Times New Roman" w:cs="Times New Roman"/>
          <w:color w:val="000000" w:themeColor="text1"/>
          <w:sz w:val="24"/>
          <w:szCs w:val="24"/>
          <w:lang w:val="en-US" w:eastAsia="tr-TR"/>
        </w:rPr>
        <w:t xml:space="preserve">, S.D., &amp; </w:t>
      </w:r>
      <w:proofErr w:type="spellStart"/>
      <w:r w:rsidRPr="002C5DE1">
        <w:rPr>
          <w:rFonts w:ascii="Times New Roman" w:eastAsia="Times New Roman" w:hAnsi="Times New Roman" w:cs="Times New Roman"/>
          <w:color w:val="000000" w:themeColor="text1"/>
          <w:sz w:val="24"/>
          <w:szCs w:val="24"/>
          <w:lang w:val="en-US" w:eastAsia="tr-TR"/>
        </w:rPr>
        <w:t>Miles.W</w:t>
      </w:r>
      <w:proofErr w:type="spellEnd"/>
      <w:r w:rsidRPr="002C5DE1">
        <w:rPr>
          <w:rFonts w:ascii="Times New Roman" w:eastAsia="Times New Roman" w:hAnsi="Times New Roman" w:cs="Times New Roman"/>
          <w:color w:val="000000" w:themeColor="text1"/>
          <w:sz w:val="24"/>
          <w:szCs w:val="24"/>
          <w:lang w:val="en-US" w:eastAsia="tr-TR"/>
        </w:rPr>
        <w:t xml:space="preserve"> (2012). The housing wealth effect: the crucial roles of demographics, wealth distribution and wealth shares. Critical Finance Review</w:t>
      </w:r>
      <w:r w:rsidR="00C066E5" w:rsidRPr="002C5DE1">
        <w:rPr>
          <w:rFonts w:ascii="Times New Roman" w:eastAsia="Times New Roman" w:hAnsi="Times New Roman" w:cs="Times New Roman"/>
          <w:color w:val="000000" w:themeColor="text1"/>
          <w:sz w:val="24"/>
          <w:szCs w:val="24"/>
          <w:lang w:val="en-US" w:eastAsia="tr-TR"/>
        </w:rPr>
        <w:t xml:space="preserve"> </w:t>
      </w:r>
      <w:r w:rsidRPr="002C5DE1">
        <w:rPr>
          <w:rFonts w:ascii="Times New Roman" w:eastAsia="Times New Roman" w:hAnsi="Times New Roman" w:cs="Times New Roman"/>
          <w:color w:val="000000" w:themeColor="text1"/>
          <w:sz w:val="24"/>
          <w:szCs w:val="24"/>
          <w:lang w:val="en-US" w:eastAsia="tr-TR"/>
        </w:rPr>
        <w:t>1</w:t>
      </w:r>
      <w:r w:rsidR="00C066E5" w:rsidRPr="002C5DE1">
        <w:rPr>
          <w:rFonts w:ascii="Times New Roman" w:eastAsia="Times New Roman" w:hAnsi="Times New Roman" w:cs="Times New Roman"/>
          <w:color w:val="000000" w:themeColor="text1"/>
          <w:sz w:val="24"/>
          <w:szCs w:val="24"/>
          <w:lang w:val="en-US" w:eastAsia="tr-TR"/>
        </w:rPr>
        <w:t>,</w:t>
      </w:r>
      <w:r w:rsidRPr="002C5DE1">
        <w:rPr>
          <w:rFonts w:ascii="Times New Roman" w:eastAsia="Times New Roman" w:hAnsi="Times New Roman" w:cs="Times New Roman"/>
          <w:color w:val="000000" w:themeColor="text1"/>
          <w:sz w:val="24"/>
          <w:szCs w:val="24"/>
          <w:lang w:val="en-US" w:eastAsia="tr-TR"/>
        </w:rPr>
        <w:t xml:space="preserve"> 1</w:t>
      </w:r>
      <w:r w:rsidR="00C066E5" w:rsidRPr="002C5DE1">
        <w:rPr>
          <w:rFonts w:ascii="Times New Roman" w:eastAsia="Times New Roman" w:hAnsi="Times New Roman" w:cs="Times New Roman"/>
          <w:color w:val="000000" w:themeColor="text1"/>
          <w:sz w:val="24"/>
          <w:szCs w:val="24"/>
          <w:lang w:val="en-US" w:eastAsia="tr-TR"/>
        </w:rPr>
        <w:t>-</w:t>
      </w:r>
      <w:r w:rsidRPr="002C5DE1">
        <w:rPr>
          <w:rFonts w:ascii="Times New Roman" w:eastAsia="Times New Roman" w:hAnsi="Times New Roman" w:cs="Times New Roman"/>
          <w:color w:val="000000" w:themeColor="text1"/>
          <w:sz w:val="24"/>
          <w:szCs w:val="24"/>
          <w:lang w:val="en-US" w:eastAsia="tr-TR"/>
        </w:rPr>
        <w:t>51</w:t>
      </w:r>
      <w:r w:rsidR="00C066E5" w:rsidRPr="002C5DE1">
        <w:rPr>
          <w:rFonts w:ascii="Times New Roman" w:eastAsia="Times New Roman" w:hAnsi="Times New Roman" w:cs="Times New Roman"/>
          <w:color w:val="000000" w:themeColor="text1"/>
          <w:sz w:val="24"/>
          <w:szCs w:val="24"/>
          <w:lang w:val="en-US" w:eastAsia="tr-TR"/>
        </w:rPr>
        <w:t>.</w:t>
      </w:r>
    </w:p>
    <w:p w14:paraId="307A2374" w14:textId="77777777" w:rsidR="00450B6D" w:rsidRPr="002C5DE1" w:rsidRDefault="00450B6D" w:rsidP="00C145FF">
      <w:pPr>
        <w:spacing w:before="120" w:after="120" w:line="276" w:lineRule="auto"/>
        <w:ind w:left="720" w:hanging="720"/>
        <w:jc w:val="both"/>
        <w:rPr>
          <w:rFonts w:ascii="Times New Roman" w:eastAsia="Times New Roman" w:hAnsi="Times New Roman" w:cs="Times New Roman"/>
          <w:color w:val="000000" w:themeColor="text1"/>
          <w:sz w:val="24"/>
          <w:szCs w:val="24"/>
          <w:lang w:val="en-US" w:eastAsia="tr-TR"/>
        </w:rPr>
      </w:pPr>
      <w:r w:rsidRPr="002C5DE1">
        <w:rPr>
          <w:rFonts w:ascii="Times New Roman" w:eastAsia="Times New Roman" w:hAnsi="Times New Roman" w:cs="Times New Roman"/>
          <w:color w:val="000000" w:themeColor="text1"/>
          <w:sz w:val="24"/>
          <w:szCs w:val="24"/>
          <w:lang w:val="en-US" w:eastAsia="tr-TR"/>
        </w:rPr>
        <w:t xml:space="preserve">Calomiris, C.W., </w:t>
      </w:r>
      <w:proofErr w:type="spellStart"/>
      <w:r w:rsidRPr="002C5DE1">
        <w:rPr>
          <w:rFonts w:ascii="Times New Roman" w:eastAsia="Times New Roman" w:hAnsi="Times New Roman" w:cs="Times New Roman"/>
          <w:color w:val="000000" w:themeColor="text1"/>
          <w:sz w:val="24"/>
          <w:szCs w:val="24"/>
          <w:lang w:val="en-US" w:eastAsia="tr-TR"/>
        </w:rPr>
        <w:t>Longhofer</w:t>
      </w:r>
      <w:proofErr w:type="spellEnd"/>
      <w:r w:rsidRPr="002C5DE1">
        <w:rPr>
          <w:rFonts w:ascii="Times New Roman" w:eastAsia="Times New Roman" w:hAnsi="Times New Roman" w:cs="Times New Roman"/>
          <w:color w:val="000000" w:themeColor="text1"/>
          <w:sz w:val="24"/>
          <w:szCs w:val="24"/>
          <w:lang w:val="en-US" w:eastAsia="tr-TR"/>
        </w:rPr>
        <w:t>, S.D., &amp; Miles, W. (2009). The (mythical?) housing wealth effect. NBER Working Paper, No. 15075.</w:t>
      </w:r>
    </w:p>
    <w:p w14:paraId="58AED708" w14:textId="77777777" w:rsidR="00390090" w:rsidRPr="002C5DE1" w:rsidRDefault="00390090" w:rsidP="00C145FF">
      <w:pPr>
        <w:spacing w:before="120" w:after="120" w:line="276" w:lineRule="auto"/>
        <w:ind w:left="720" w:hanging="720"/>
        <w:jc w:val="both"/>
        <w:rPr>
          <w:rFonts w:ascii="Times New Roman" w:eastAsia="Times New Roman" w:hAnsi="Times New Roman" w:cs="Times New Roman"/>
          <w:color w:val="000000" w:themeColor="text1"/>
          <w:sz w:val="24"/>
          <w:szCs w:val="24"/>
          <w:lang w:val="en-US" w:eastAsia="tr-TR"/>
        </w:rPr>
      </w:pPr>
      <w:r w:rsidRPr="002C5DE1">
        <w:rPr>
          <w:rFonts w:ascii="Times New Roman" w:hAnsi="Times New Roman" w:cs="Times New Roman"/>
          <w:color w:val="000000" w:themeColor="text1"/>
          <w:sz w:val="24"/>
          <w:szCs w:val="24"/>
          <w:shd w:val="clear" w:color="auto" w:fill="FFFFFF"/>
          <w:lang w:val="en-US"/>
        </w:rPr>
        <w:t>Caner, M., &amp; Hansen, B. E. (2004). Instrumental variable estimation of a threshold model. </w:t>
      </w:r>
      <w:r w:rsidRPr="002C5DE1">
        <w:rPr>
          <w:rFonts w:ascii="Times New Roman" w:hAnsi="Times New Roman" w:cs="Times New Roman"/>
          <w:i/>
          <w:iCs/>
          <w:color w:val="000000" w:themeColor="text1"/>
          <w:sz w:val="24"/>
          <w:szCs w:val="24"/>
          <w:shd w:val="clear" w:color="auto" w:fill="FFFFFF"/>
          <w:lang w:val="en-US"/>
        </w:rPr>
        <w:t>Econometric Theory</w:t>
      </w:r>
      <w:r w:rsidRPr="002C5DE1">
        <w:rPr>
          <w:rFonts w:ascii="Times New Roman" w:hAnsi="Times New Roman" w:cs="Times New Roman"/>
          <w:color w:val="000000" w:themeColor="text1"/>
          <w:sz w:val="24"/>
          <w:szCs w:val="24"/>
          <w:shd w:val="clear" w:color="auto" w:fill="FFFFFF"/>
          <w:lang w:val="en-US"/>
        </w:rPr>
        <w:t> 20(5), 813-843.</w:t>
      </w:r>
      <w:r w:rsidRPr="002C5DE1">
        <w:rPr>
          <w:rFonts w:ascii="Times New Roman" w:eastAsia="Times New Roman" w:hAnsi="Times New Roman" w:cs="Times New Roman"/>
          <w:color w:val="000000" w:themeColor="text1"/>
          <w:sz w:val="24"/>
          <w:szCs w:val="24"/>
          <w:lang w:val="en-US" w:eastAsia="tr-TR"/>
        </w:rPr>
        <w:t xml:space="preserve"> </w:t>
      </w:r>
    </w:p>
    <w:p w14:paraId="467C2918" w14:textId="77777777" w:rsidR="00390090" w:rsidRPr="002C5DE1" w:rsidRDefault="00390090" w:rsidP="00C145FF">
      <w:pPr>
        <w:spacing w:before="120" w:after="120" w:line="276" w:lineRule="auto"/>
        <w:ind w:left="720" w:hanging="720"/>
        <w:jc w:val="both"/>
        <w:rPr>
          <w:rFonts w:ascii="Times New Roman" w:eastAsia="Times New Roman" w:hAnsi="Times New Roman" w:cs="Times New Roman"/>
          <w:color w:val="000000" w:themeColor="text1"/>
          <w:sz w:val="24"/>
          <w:szCs w:val="24"/>
          <w:lang w:val="en-US" w:eastAsia="tr-TR"/>
        </w:rPr>
      </w:pPr>
      <w:r w:rsidRPr="002C5DE1">
        <w:rPr>
          <w:rFonts w:ascii="Times New Roman" w:eastAsia="Times New Roman" w:hAnsi="Times New Roman" w:cs="Times New Roman"/>
          <w:color w:val="000000" w:themeColor="text1"/>
          <w:sz w:val="24"/>
          <w:szCs w:val="24"/>
          <w:lang w:val="en-US" w:eastAsia="tr-TR"/>
        </w:rPr>
        <w:t xml:space="preserve">Carroll, C. D., Otsuka, M., &amp; </w:t>
      </w:r>
      <w:proofErr w:type="spellStart"/>
      <w:r w:rsidRPr="002C5DE1">
        <w:rPr>
          <w:rFonts w:ascii="Times New Roman" w:eastAsia="Times New Roman" w:hAnsi="Times New Roman" w:cs="Times New Roman"/>
          <w:color w:val="000000" w:themeColor="text1"/>
          <w:sz w:val="24"/>
          <w:szCs w:val="24"/>
          <w:lang w:val="en-US" w:eastAsia="tr-TR"/>
        </w:rPr>
        <w:t>Slacalek</w:t>
      </w:r>
      <w:proofErr w:type="spellEnd"/>
      <w:r w:rsidRPr="002C5DE1">
        <w:rPr>
          <w:rFonts w:ascii="Times New Roman" w:eastAsia="Times New Roman" w:hAnsi="Times New Roman" w:cs="Times New Roman"/>
          <w:color w:val="000000" w:themeColor="text1"/>
          <w:sz w:val="24"/>
          <w:szCs w:val="24"/>
          <w:lang w:val="en-US" w:eastAsia="tr-TR"/>
        </w:rPr>
        <w:t>, J. (2011). How large are housing and financial wealth effects? A new approach. </w:t>
      </w:r>
      <w:r w:rsidRPr="002C5DE1">
        <w:rPr>
          <w:rFonts w:ascii="Times New Roman" w:eastAsia="Times New Roman" w:hAnsi="Times New Roman" w:cs="Times New Roman"/>
          <w:i/>
          <w:iCs/>
          <w:color w:val="000000" w:themeColor="text1"/>
          <w:sz w:val="24"/>
          <w:szCs w:val="24"/>
          <w:lang w:val="en-US" w:eastAsia="tr-TR"/>
        </w:rPr>
        <w:t>Journal of Money, Credit and Banking</w:t>
      </w:r>
      <w:r w:rsidRPr="002C5DE1">
        <w:rPr>
          <w:rFonts w:ascii="Times New Roman" w:eastAsia="Times New Roman" w:hAnsi="Times New Roman" w:cs="Times New Roman"/>
          <w:color w:val="000000" w:themeColor="text1"/>
          <w:sz w:val="24"/>
          <w:szCs w:val="24"/>
          <w:lang w:val="en-US" w:eastAsia="tr-TR"/>
        </w:rPr>
        <w:t> 43(1), 55-79. </w:t>
      </w:r>
    </w:p>
    <w:p w14:paraId="244159BC" w14:textId="77777777" w:rsidR="00390090" w:rsidRPr="002C5DE1" w:rsidRDefault="00390090" w:rsidP="00C145FF">
      <w:pPr>
        <w:spacing w:before="120" w:after="120" w:line="276" w:lineRule="auto"/>
        <w:ind w:left="720" w:hanging="720"/>
        <w:jc w:val="both"/>
        <w:rPr>
          <w:rFonts w:ascii="Times New Roman" w:eastAsia="Times New Roman" w:hAnsi="Times New Roman" w:cs="Times New Roman"/>
          <w:color w:val="000000" w:themeColor="text1"/>
          <w:sz w:val="24"/>
          <w:szCs w:val="24"/>
          <w:lang w:val="en-US" w:eastAsia="tr-TR"/>
        </w:rPr>
      </w:pPr>
      <w:r w:rsidRPr="002C5DE1">
        <w:rPr>
          <w:rFonts w:ascii="Times New Roman" w:hAnsi="Times New Roman" w:cs="Times New Roman"/>
          <w:color w:val="000000" w:themeColor="text1"/>
          <w:sz w:val="24"/>
          <w:szCs w:val="24"/>
          <w:shd w:val="clear" w:color="auto" w:fill="FFFFFF"/>
          <w:lang w:val="en-US"/>
        </w:rPr>
        <w:t xml:space="preserve">Carroll, C., </w:t>
      </w:r>
      <w:proofErr w:type="spellStart"/>
      <w:r w:rsidRPr="002C5DE1">
        <w:rPr>
          <w:rFonts w:ascii="Times New Roman" w:hAnsi="Times New Roman" w:cs="Times New Roman"/>
          <w:color w:val="000000" w:themeColor="text1"/>
          <w:sz w:val="24"/>
          <w:szCs w:val="24"/>
          <w:shd w:val="clear" w:color="auto" w:fill="FFFFFF"/>
          <w:lang w:val="en-US"/>
        </w:rPr>
        <w:t>Slacalek</w:t>
      </w:r>
      <w:proofErr w:type="spellEnd"/>
      <w:r w:rsidRPr="002C5DE1">
        <w:rPr>
          <w:rFonts w:ascii="Times New Roman" w:hAnsi="Times New Roman" w:cs="Times New Roman"/>
          <w:color w:val="000000" w:themeColor="text1"/>
          <w:sz w:val="24"/>
          <w:szCs w:val="24"/>
          <w:shd w:val="clear" w:color="auto" w:fill="FFFFFF"/>
          <w:lang w:val="en-US"/>
        </w:rPr>
        <w:t xml:space="preserve">, J., </w:t>
      </w:r>
      <w:proofErr w:type="spellStart"/>
      <w:r w:rsidRPr="002C5DE1">
        <w:rPr>
          <w:rFonts w:ascii="Times New Roman" w:hAnsi="Times New Roman" w:cs="Times New Roman"/>
          <w:color w:val="000000" w:themeColor="text1"/>
          <w:sz w:val="24"/>
          <w:szCs w:val="24"/>
          <w:shd w:val="clear" w:color="auto" w:fill="FFFFFF"/>
          <w:lang w:val="en-US"/>
        </w:rPr>
        <w:t>Tokuoka</w:t>
      </w:r>
      <w:proofErr w:type="spellEnd"/>
      <w:r w:rsidRPr="002C5DE1">
        <w:rPr>
          <w:rFonts w:ascii="Times New Roman" w:hAnsi="Times New Roman" w:cs="Times New Roman"/>
          <w:color w:val="000000" w:themeColor="text1"/>
          <w:sz w:val="24"/>
          <w:szCs w:val="24"/>
          <w:shd w:val="clear" w:color="auto" w:fill="FFFFFF"/>
          <w:lang w:val="en-US"/>
        </w:rPr>
        <w:t>, K., &amp; White, M. N. (2017). The distribution of wealth and the marginal propensity to consume. </w:t>
      </w:r>
      <w:r w:rsidRPr="002C5DE1">
        <w:rPr>
          <w:rFonts w:ascii="Times New Roman" w:hAnsi="Times New Roman" w:cs="Times New Roman"/>
          <w:i/>
          <w:iCs/>
          <w:color w:val="000000" w:themeColor="text1"/>
          <w:sz w:val="24"/>
          <w:szCs w:val="24"/>
          <w:shd w:val="clear" w:color="auto" w:fill="FFFFFF"/>
          <w:lang w:val="en-US"/>
        </w:rPr>
        <w:t>Quantitative Economics</w:t>
      </w:r>
      <w:r w:rsidRPr="002C5DE1">
        <w:rPr>
          <w:rFonts w:ascii="Times New Roman" w:hAnsi="Times New Roman" w:cs="Times New Roman"/>
          <w:color w:val="000000" w:themeColor="text1"/>
          <w:sz w:val="24"/>
          <w:szCs w:val="24"/>
          <w:shd w:val="clear" w:color="auto" w:fill="FFFFFF"/>
          <w:lang w:val="en-US"/>
        </w:rPr>
        <w:t> 8(3), 977-1020.</w:t>
      </w:r>
    </w:p>
    <w:p w14:paraId="7A1C36DE" w14:textId="77777777" w:rsidR="00390090" w:rsidRPr="002C5DE1" w:rsidRDefault="00390090" w:rsidP="00C145FF">
      <w:pPr>
        <w:spacing w:before="120" w:after="120" w:line="276" w:lineRule="auto"/>
        <w:ind w:left="720" w:hanging="720"/>
        <w:jc w:val="both"/>
        <w:rPr>
          <w:rFonts w:ascii="Times New Roman" w:eastAsia="Times New Roman" w:hAnsi="Times New Roman" w:cs="Times New Roman"/>
          <w:color w:val="000000" w:themeColor="text1"/>
          <w:sz w:val="24"/>
          <w:szCs w:val="24"/>
          <w:lang w:val="en-US" w:eastAsia="tr-TR"/>
        </w:rPr>
      </w:pPr>
      <w:r w:rsidRPr="002C5DE1">
        <w:rPr>
          <w:rFonts w:ascii="Times New Roman" w:eastAsia="Times New Roman" w:hAnsi="Times New Roman" w:cs="Times New Roman"/>
          <w:color w:val="000000" w:themeColor="text1"/>
          <w:sz w:val="24"/>
          <w:szCs w:val="24"/>
          <w:lang w:val="en-US" w:eastAsia="tr-TR"/>
        </w:rPr>
        <w:t xml:space="preserve">Case, K. E., &amp; Shiller, R. J. (2003). Is there a bubble in the housing market? </w:t>
      </w:r>
      <w:r w:rsidRPr="002C5DE1">
        <w:rPr>
          <w:rFonts w:ascii="Times New Roman" w:eastAsia="Times New Roman" w:hAnsi="Times New Roman" w:cs="Times New Roman"/>
          <w:i/>
          <w:iCs/>
          <w:color w:val="000000" w:themeColor="text1"/>
          <w:sz w:val="24"/>
          <w:szCs w:val="24"/>
          <w:lang w:val="en-US" w:eastAsia="tr-TR"/>
        </w:rPr>
        <w:t xml:space="preserve">Brookings </w:t>
      </w:r>
      <w:r w:rsidR="00C145FF" w:rsidRPr="002C5DE1">
        <w:rPr>
          <w:rFonts w:ascii="Times New Roman" w:eastAsia="Times New Roman" w:hAnsi="Times New Roman" w:cs="Times New Roman"/>
          <w:i/>
          <w:iCs/>
          <w:color w:val="000000" w:themeColor="text1"/>
          <w:sz w:val="24"/>
          <w:szCs w:val="24"/>
          <w:lang w:val="en-US" w:eastAsia="tr-TR"/>
        </w:rPr>
        <w:t>P</w:t>
      </w:r>
      <w:r w:rsidRPr="002C5DE1">
        <w:rPr>
          <w:rFonts w:ascii="Times New Roman" w:eastAsia="Times New Roman" w:hAnsi="Times New Roman" w:cs="Times New Roman"/>
          <w:i/>
          <w:iCs/>
          <w:color w:val="000000" w:themeColor="text1"/>
          <w:sz w:val="24"/>
          <w:szCs w:val="24"/>
          <w:lang w:val="en-US" w:eastAsia="tr-TR"/>
        </w:rPr>
        <w:t xml:space="preserve">apers on </w:t>
      </w:r>
      <w:r w:rsidR="00C145FF" w:rsidRPr="002C5DE1">
        <w:rPr>
          <w:rFonts w:ascii="Times New Roman" w:eastAsia="Times New Roman" w:hAnsi="Times New Roman" w:cs="Times New Roman"/>
          <w:i/>
          <w:iCs/>
          <w:color w:val="000000" w:themeColor="text1"/>
          <w:sz w:val="24"/>
          <w:szCs w:val="24"/>
          <w:lang w:val="en-US" w:eastAsia="tr-TR"/>
        </w:rPr>
        <w:t>E</w:t>
      </w:r>
      <w:r w:rsidRPr="002C5DE1">
        <w:rPr>
          <w:rFonts w:ascii="Times New Roman" w:eastAsia="Times New Roman" w:hAnsi="Times New Roman" w:cs="Times New Roman"/>
          <w:i/>
          <w:iCs/>
          <w:color w:val="000000" w:themeColor="text1"/>
          <w:sz w:val="24"/>
          <w:szCs w:val="24"/>
          <w:lang w:val="en-US" w:eastAsia="tr-TR"/>
        </w:rPr>
        <w:t xml:space="preserve">conomic </w:t>
      </w:r>
      <w:r w:rsidR="00C145FF" w:rsidRPr="002C5DE1">
        <w:rPr>
          <w:rFonts w:ascii="Times New Roman" w:eastAsia="Times New Roman" w:hAnsi="Times New Roman" w:cs="Times New Roman"/>
          <w:i/>
          <w:iCs/>
          <w:color w:val="000000" w:themeColor="text1"/>
          <w:sz w:val="24"/>
          <w:szCs w:val="24"/>
          <w:lang w:val="en-US" w:eastAsia="tr-TR"/>
        </w:rPr>
        <w:t>A</w:t>
      </w:r>
      <w:r w:rsidRPr="002C5DE1">
        <w:rPr>
          <w:rFonts w:ascii="Times New Roman" w:eastAsia="Times New Roman" w:hAnsi="Times New Roman" w:cs="Times New Roman"/>
          <w:i/>
          <w:iCs/>
          <w:color w:val="000000" w:themeColor="text1"/>
          <w:sz w:val="24"/>
          <w:szCs w:val="24"/>
          <w:lang w:val="en-US" w:eastAsia="tr-TR"/>
        </w:rPr>
        <w:t>ctivity</w:t>
      </w:r>
      <w:r w:rsidRPr="002C5DE1">
        <w:rPr>
          <w:rFonts w:ascii="Times New Roman" w:eastAsia="Times New Roman" w:hAnsi="Times New Roman" w:cs="Times New Roman"/>
          <w:color w:val="000000" w:themeColor="text1"/>
          <w:sz w:val="24"/>
          <w:szCs w:val="24"/>
          <w:lang w:val="en-US" w:eastAsia="tr-TR"/>
        </w:rPr>
        <w:t>, 299-362.</w:t>
      </w:r>
    </w:p>
    <w:p w14:paraId="2771DDFB" w14:textId="77777777" w:rsidR="00390090" w:rsidRPr="002C5DE1" w:rsidRDefault="00EA09E3" w:rsidP="00C145FF">
      <w:pPr>
        <w:spacing w:before="120" w:after="120" w:line="276" w:lineRule="auto"/>
        <w:ind w:left="720" w:hanging="720"/>
        <w:jc w:val="both"/>
        <w:rPr>
          <w:rFonts w:ascii="Times New Roman" w:eastAsia="Times New Roman" w:hAnsi="Times New Roman" w:cs="Times New Roman"/>
          <w:color w:val="000000" w:themeColor="text1"/>
          <w:sz w:val="24"/>
          <w:szCs w:val="24"/>
          <w:lang w:val="en-US" w:eastAsia="tr-TR"/>
        </w:rPr>
      </w:pPr>
      <w:r w:rsidRPr="002C5DE1">
        <w:rPr>
          <w:rFonts w:ascii="Times New Roman" w:eastAsia="Times New Roman" w:hAnsi="Times New Roman" w:cs="Times New Roman"/>
          <w:color w:val="000000" w:themeColor="text1"/>
          <w:sz w:val="24"/>
          <w:szCs w:val="24"/>
          <w:lang w:val="en-US" w:eastAsia="tr-TR"/>
        </w:rPr>
        <w:t xml:space="preserve">Case, K., Quigley, </w:t>
      </w:r>
      <w:r w:rsidR="00C145FF" w:rsidRPr="002C5DE1">
        <w:rPr>
          <w:rFonts w:ascii="Times New Roman" w:eastAsia="Times New Roman" w:hAnsi="Times New Roman" w:cs="Times New Roman"/>
          <w:color w:val="000000" w:themeColor="text1"/>
          <w:sz w:val="24"/>
          <w:szCs w:val="24"/>
          <w:lang w:val="en-US" w:eastAsia="tr-TR"/>
        </w:rPr>
        <w:t xml:space="preserve">J., </w:t>
      </w:r>
      <w:r w:rsidRPr="002C5DE1">
        <w:rPr>
          <w:rFonts w:ascii="Times New Roman" w:hAnsi="Times New Roman" w:cs="Times New Roman"/>
          <w:color w:val="000000" w:themeColor="text1"/>
          <w:sz w:val="24"/>
          <w:szCs w:val="24"/>
          <w:lang w:val="en-US"/>
        </w:rPr>
        <w:t>&amp;</w:t>
      </w:r>
      <w:r w:rsidR="00390090" w:rsidRPr="002C5DE1">
        <w:rPr>
          <w:rFonts w:ascii="Times New Roman" w:eastAsia="Times New Roman" w:hAnsi="Times New Roman" w:cs="Times New Roman"/>
          <w:color w:val="000000" w:themeColor="text1"/>
          <w:sz w:val="24"/>
          <w:szCs w:val="24"/>
          <w:lang w:val="en-US" w:eastAsia="tr-TR"/>
        </w:rPr>
        <w:t xml:space="preserve"> Shiller</w:t>
      </w:r>
      <w:r w:rsidR="00C145FF" w:rsidRPr="002C5DE1">
        <w:rPr>
          <w:rFonts w:ascii="Times New Roman" w:eastAsia="Times New Roman" w:hAnsi="Times New Roman" w:cs="Times New Roman"/>
          <w:color w:val="000000" w:themeColor="text1"/>
          <w:sz w:val="24"/>
          <w:szCs w:val="24"/>
          <w:lang w:val="en-US" w:eastAsia="tr-TR"/>
        </w:rPr>
        <w:t>, R.</w:t>
      </w:r>
      <w:r w:rsidR="00390090" w:rsidRPr="002C5DE1">
        <w:rPr>
          <w:rFonts w:ascii="Times New Roman" w:eastAsia="Times New Roman" w:hAnsi="Times New Roman" w:cs="Times New Roman"/>
          <w:color w:val="000000" w:themeColor="text1"/>
          <w:sz w:val="24"/>
          <w:szCs w:val="24"/>
          <w:lang w:val="en-US" w:eastAsia="tr-TR"/>
        </w:rPr>
        <w:t xml:space="preserve"> (2005)</w:t>
      </w:r>
      <w:r w:rsidR="00C145FF" w:rsidRPr="002C5DE1">
        <w:rPr>
          <w:rFonts w:ascii="Times New Roman" w:eastAsia="Times New Roman" w:hAnsi="Times New Roman" w:cs="Times New Roman"/>
          <w:color w:val="000000" w:themeColor="text1"/>
          <w:sz w:val="24"/>
          <w:szCs w:val="24"/>
          <w:lang w:val="en-US" w:eastAsia="tr-TR"/>
        </w:rPr>
        <w:t>.</w:t>
      </w:r>
      <w:r w:rsidR="00390090" w:rsidRPr="002C5DE1">
        <w:rPr>
          <w:rFonts w:ascii="Times New Roman" w:eastAsia="Times New Roman" w:hAnsi="Times New Roman" w:cs="Times New Roman"/>
          <w:color w:val="000000" w:themeColor="text1"/>
          <w:sz w:val="24"/>
          <w:szCs w:val="24"/>
          <w:lang w:val="en-US" w:eastAsia="tr-TR"/>
        </w:rPr>
        <w:t xml:space="preserve"> Comparing </w:t>
      </w:r>
      <w:r w:rsidR="00C145FF" w:rsidRPr="002C5DE1">
        <w:rPr>
          <w:rFonts w:ascii="Times New Roman" w:eastAsia="Times New Roman" w:hAnsi="Times New Roman" w:cs="Times New Roman"/>
          <w:color w:val="000000" w:themeColor="text1"/>
          <w:sz w:val="24"/>
          <w:szCs w:val="24"/>
          <w:lang w:val="en-US" w:eastAsia="tr-TR"/>
        </w:rPr>
        <w:t>w</w:t>
      </w:r>
      <w:r w:rsidR="00390090" w:rsidRPr="002C5DE1">
        <w:rPr>
          <w:rFonts w:ascii="Times New Roman" w:eastAsia="Times New Roman" w:hAnsi="Times New Roman" w:cs="Times New Roman"/>
          <w:color w:val="000000" w:themeColor="text1"/>
          <w:sz w:val="24"/>
          <w:szCs w:val="24"/>
          <w:lang w:val="en-US" w:eastAsia="tr-TR"/>
        </w:rPr>
        <w:t xml:space="preserve">ealth </w:t>
      </w:r>
      <w:r w:rsidR="00C145FF" w:rsidRPr="002C5DE1">
        <w:rPr>
          <w:rFonts w:ascii="Times New Roman" w:eastAsia="Times New Roman" w:hAnsi="Times New Roman" w:cs="Times New Roman"/>
          <w:color w:val="000000" w:themeColor="text1"/>
          <w:sz w:val="24"/>
          <w:szCs w:val="24"/>
          <w:lang w:val="en-US" w:eastAsia="tr-TR"/>
        </w:rPr>
        <w:t>e</w:t>
      </w:r>
      <w:r w:rsidR="00390090" w:rsidRPr="002C5DE1">
        <w:rPr>
          <w:rFonts w:ascii="Times New Roman" w:eastAsia="Times New Roman" w:hAnsi="Times New Roman" w:cs="Times New Roman"/>
          <w:color w:val="000000" w:themeColor="text1"/>
          <w:sz w:val="24"/>
          <w:szCs w:val="24"/>
          <w:lang w:val="en-US" w:eastAsia="tr-TR"/>
        </w:rPr>
        <w:t xml:space="preserve">ffects: </w:t>
      </w:r>
      <w:r w:rsidR="00C145FF" w:rsidRPr="002C5DE1">
        <w:rPr>
          <w:rFonts w:ascii="Times New Roman" w:eastAsia="Times New Roman" w:hAnsi="Times New Roman" w:cs="Times New Roman"/>
          <w:color w:val="000000" w:themeColor="text1"/>
          <w:sz w:val="24"/>
          <w:szCs w:val="24"/>
          <w:lang w:val="en-US" w:eastAsia="tr-TR"/>
        </w:rPr>
        <w:t>t</w:t>
      </w:r>
      <w:r w:rsidR="00390090" w:rsidRPr="002C5DE1">
        <w:rPr>
          <w:rFonts w:ascii="Times New Roman" w:eastAsia="Times New Roman" w:hAnsi="Times New Roman" w:cs="Times New Roman"/>
          <w:color w:val="000000" w:themeColor="text1"/>
          <w:sz w:val="24"/>
          <w:szCs w:val="24"/>
          <w:lang w:val="en-US" w:eastAsia="tr-TR"/>
        </w:rPr>
        <w:t xml:space="preserve">he </w:t>
      </w:r>
      <w:r w:rsidR="00C145FF" w:rsidRPr="002C5DE1">
        <w:rPr>
          <w:rFonts w:ascii="Times New Roman" w:eastAsia="Times New Roman" w:hAnsi="Times New Roman" w:cs="Times New Roman"/>
          <w:color w:val="000000" w:themeColor="text1"/>
          <w:sz w:val="24"/>
          <w:szCs w:val="24"/>
          <w:lang w:val="en-US" w:eastAsia="tr-TR"/>
        </w:rPr>
        <w:t>s</w:t>
      </w:r>
      <w:r w:rsidR="00390090" w:rsidRPr="002C5DE1">
        <w:rPr>
          <w:rFonts w:ascii="Times New Roman" w:eastAsia="Times New Roman" w:hAnsi="Times New Roman" w:cs="Times New Roman"/>
          <w:color w:val="000000" w:themeColor="text1"/>
          <w:sz w:val="24"/>
          <w:szCs w:val="24"/>
          <w:lang w:val="en-US" w:eastAsia="tr-TR"/>
        </w:rPr>
        <w:t xml:space="preserve">tock </w:t>
      </w:r>
      <w:r w:rsidR="00C145FF" w:rsidRPr="002C5DE1">
        <w:rPr>
          <w:rFonts w:ascii="Times New Roman" w:eastAsia="Times New Roman" w:hAnsi="Times New Roman" w:cs="Times New Roman"/>
          <w:color w:val="000000" w:themeColor="text1"/>
          <w:sz w:val="24"/>
          <w:szCs w:val="24"/>
          <w:lang w:val="en-US" w:eastAsia="tr-TR"/>
        </w:rPr>
        <w:t>m</w:t>
      </w:r>
      <w:r w:rsidR="00390090" w:rsidRPr="002C5DE1">
        <w:rPr>
          <w:rFonts w:ascii="Times New Roman" w:eastAsia="Times New Roman" w:hAnsi="Times New Roman" w:cs="Times New Roman"/>
          <w:color w:val="000000" w:themeColor="text1"/>
          <w:sz w:val="24"/>
          <w:szCs w:val="24"/>
          <w:lang w:val="en-US" w:eastAsia="tr-TR"/>
        </w:rPr>
        <w:t xml:space="preserve">arket versus the </w:t>
      </w:r>
      <w:r w:rsidR="00C145FF" w:rsidRPr="002C5DE1">
        <w:rPr>
          <w:rFonts w:ascii="Times New Roman" w:eastAsia="Times New Roman" w:hAnsi="Times New Roman" w:cs="Times New Roman"/>
          <w:color w:val="000000" w:themeColor="text1"/>
          <w:sz w:val="24"/>
          <w:szCs w:val="24"/>
          <w:lang w:val="en-US" w:eastAsia="tr-TR"/>
        </w:rPr>
        <w:t>h</w:t>
      </w:r>
      <w:r w:rsidR="00390090" w:rsidRPr="002C5DE1">
        <w:rPr>
          <w:rFonts w:ascii="Times New Roman" w:eastAsia="Times New Roman" w:hAnsi="Times New Roman" w:cs="Times New Roman"/>
          <w:color w:val="000000" w:themeColor="text1"/>
          <w:sz w:val="24"/>
          <w:szCs w:val="24"/>
          <w:lang w:val="en-US" w:eastAsia="tr-TR"/>
        </w:rPr>
        <w:t xml:space="preserve">ousing </w:t>
      </w:r>
      <w:r w:rsidR="00C145FF" w:rsidRPr="002C5DE1">
        <w:rPr>
          <w:rFonts w:ascii="Times New Roman" w:eastAsia="Times New Roman" w:hAnsi="Times New Roman" w:cs="Times New Roman"/>
          <w:color w:val="000000" w:themeColor="text1"/>
          <w:sz w:val="24"/>
          <w:szCs w:val="24"/>
          <w:lang w:val="en-US" w:eastAsia="tr-TR"/>
        </w:rPr>
        <w:t>m</w:t>
      </w:r>
      <w:r w:rsidR="00390090" w:rsidRPr="002C5DE1">
        <w:rPr>
          <w:rFonts w:ascii="Times New Roman" w:eastAsia="Times New Roman" w:hAnsi="Times New Roman" w:cs="Times New Roman"/>
          <w:color w:val="000000" w:themeColor="text1"/>
          <w:sz w:val="24"/>
          <w:szCs w:val="24"/>
          <w:lang w:val="en-US" w:eastAsia="tr-TR"/>
        </w:rPr>
        <w:t>arket</w:t>
      </w:r>
      <w:r w:rsidR="00C145FF" w:rsidRPr="002C5DE1">
        <w:rPr>
          <w:rFonts w:ascii="Times New Roman" w:eastAsia="Times New Roman" w:hAnsi="Times New Roman" w:cs="Times New Roman"/>
          <w:color w:val="000000" w:themeColor="text1"/>
          <w:sz w:val="24"/>
          <w:szCs w:val="24"/>
          <w:lang w:val="en-US" w:eastAsia="tr-TR"/>
        </w:rPr>
        <w:t>.</w:t>
      </w:r>
      <w:r w:rsidR="00390090" w:rsidRPr="002C5DE1">
        <w:rPr>
          <w:rFonts w:ascii="Times New Roman" w:eastAsia="Times New Roman" w:hAnsi="Times New Roman" w:cs="Times New Roman"/>
          <w:color w:val="000000" w:themeColor="text1"/>
          <w:sz w:val="24"/>
          <w:szCs w:val="24"/>
          <w:lang w:val="en-US" w:eastAsia="tr-TR"/>
        </w:rPr>
        <w:t xml:space="preserve"> </w:t>
      </w:r>
      <w:r w:rsidR="00390090" w:rsidRPr="002C5DE1">
        <w:rPr>
          <w:rFonts w:ascii="Times New Roman" w:eastAsia="Times New Roman" w:hAnsi="Times New Roman" w:cs="Times New Roman"/>
          <w:i/>
          <w:iCs/>
          <w:color w:val="000000" w:themeColor="text1"/>
          <w:sz w:val="24"/>
          <w:szCs w:val="24"/>
          <w:lang w:val="en-US" w:eastAsia="tr-TR"/>
        </w:rPr>
        <w:t>Advances in Macroeconomics</w:t>
      </w:r>
      <w:r w:rsidR="00390090" w:rsidRPr="002C5DE1">
        <w:rPr>
          <w:rFonts w:ascii="Times New Roman" w:eastAsia="Times New Roman" w:hAnsi="Times New Roman" w:cs="Times New Roman"/>
          <w:color w:val="000000" w:themeColor="text1"/>
          <w:sz w:val="24"/>
          <w:szCs w:val="24"/>
          <w:lang w:val="en-US" w:eastAsia="tr-TR"/>
        </w:rPr>
        <w:t xml:space="preserve"> 5(1), 1235-1235.</w:t>
      </w:r>
    </w:p>
    <w:p w14:paraId="565DBF6C" w14:textId="77777777" w:rsidR="00390090" w:rsidRPr="002C5DE1" w:rsidRDefault="00390090" w:rsidP="00C145FF">
      <w:pPr>
        <w:spacing w:before="120" w:after="120" w:line="276" w:lineRule="auto"/>
        <w:ind w:left="720" w:hanging="720"/>
        <w:jc w:val="both"/>
        <w:rPr>
          <w:rFonts w:ascii="Times New Roman" w:eastAsia="Times New Roman" w:hAnsi="Times New Roman" w:cs="Times New Roman"/>
          <w:color w:val="000000" w:themeColor="text1"/>
          <w:sz w:val="24"/>
          <w:szCs w:val="24"/>
          <w:lang w:val="en-US" w:eastAsia="tr-TR"/>
        </w:rPr>
      </w:pPr>
      <w:r w:rsidRPr="002C5DE1">
        <w:rPr>
          <w:rFonts w:ascii="Times New Roman" w:eastAsia="Times New Roman" w:hAnsi="Times New Roman" w:cs="Times New Roman"/>
          <w:color w:val="000000" w:themeColor="text1"/>
          <w:sz w:val="24"/>
          <w:szCs w:val="24"/>
          <w:lang w:val="en-US" w:eastAsia="tr-TR"/>
        </w:rPr>
        <w:t>Chen, J. (2006). Re-evaluating the association between housing wealth and aggregate consumption: new evidence from Sweden. </w:t>
      </w:r>
      <w:r w:rsidRPr="002C5DE1">
        <w:rPr>
          <w:rFonts w:ascii="Times New Roman" w:eastAsia="Times New Roman" w:hAnsi="Times New Roman" w:cs="Times New Roman"/>
          <w:i/>
          <w:iCs/>
          <w:color w:val="000000" w:themeColor="text1"/>
          <w:sz w:val="24"/>
          <w:szCs w:val="24"/>
          <w:lang w:val="en-US" w:eastAsia="tr-TR"/>
        </w:rPr>
        <w:t>Journal of Housing Economics</w:t>
      </w:r>
      <w:r w:rsidRPr="002C5DE1">
        <w:rPr>
          <w:rFonts w:ascii="Times New Roman" w:eastAsia="Times New Roman" w:hAnsi="Times New Roman" w:cs="Times New Roman"/>
          <w:color w:val="000000" w:themeColor="text1"/>
          <w:sz w:val="24"/>
          <w:szCs w:val="24"/>
          <w:lang w:val="en-US" w:eastAsia="tr-TR"/>
        </w:rPr>
        <w:t> 15(4), 321-348.</w:t>
      </w:r>
    </w:p>
    <w:p w14:paraId="658578E2" w14:textId="77777777" w:rsidR="00390090" w:rsidRPr="002C5DE1" w:rsidRDefault="00390090" w:rsidP="00C145FF">
      <w:pPr>
        <w:autoSpaceDE w:val="0"/>
        <w:autoSpaceDN w:val="0"/>
        <w:adjustRightInd w:val="0"/>
        <w:spacing w:before="120" w:after="120" w:line="276" w:lineRule="auto"/>
        <w:ind w:left="720" w:hanging="720"/>
        <w:jc w:val="both"/>
        <w:rPr>
          <w:rFonts w:ascii="Times New Roman" w:hAnsi="Times New Roman" w:cs="Times New Roman"/>
          <w:color w:val="000000" w:themeColor="text1"/>
          <w:sz w:val="24"/>
          <w:szCs w:val="24"/>
          <w:shd w:val="clear" w:color="auto" w:fill="FFFFFF"/>
          <w:lang w:val="en-US"/>
        </w:rPr>
      </w:pPr>
      <w:r w:rsidRPr="002C5DE1">
        <w:rPr>
          <w:rFonts w:ascii="Times New Roman" w:hAnsi="Times New Roman" w:cs="Times New Roman"/>
          <w:color w:val="000000" w:themeColor="text1"/>
          <w:sz w:val="24"/>
          <w:szCs w:val="24"/>
          <w:shd w:val="clear" w:color="auto" w:fill="FFFFFF"/>
          <w:lang w:val="en-US"/>
        </w:rPr>
        <w:t>Chen, N.K., Chen, S.S., &amp; Chou, Y.H. (2010). House prices, collateral constraint, and the asymmetric effect on consumption. </w:t>
      </w:r>
      <w:r w:rsidRPr="002C5DE1">
        <w:rPr>
          <w:rFonts w:ascii="Times New Roman" w:hAnsi="Times New Roman" w:cs="Times New Roman"/>
          <w:i/>
          <w:iCs/>
          <w:color w:val="000000" w:themeColor="text1"/>
          <w:sz w:val="24"/>
          <w:szCs w:val="24"/>
          <w:shd w:val="clear" w:color="auto" w:fill="FFFFFF"/>
          <w:lang w:val="en-US"/>
        </w:rPr>
        <w:t>Journal of Housing Economics</w:t>
      </w:r>
      <w:r w:rsidRPr="002C5DE1">
        <w:rPr>
          <w:rFonts w:ascii="Times New Roman" w:hAnsi="Times New Roman" w:cs="Times New Roman"/>
          <w:color w:val="000000" w:themeColor="text1"/>
          <w:sz w:val="24"/>
          <w:szCs w:val="24"/>
          <w:shd w:val="clear" w:color="auto" w:fill="FFFFFF"/>
          <w:lang w:val="en-US"/>
        </w:rPr>
        <w:t> 19(1), 26-37.</w:t>
      </w:r>
    </w:p>
    <w:p w14:paraId="4C7B7076" w14:textId="77777777" w:rsidR="00F34E70" w:rsidRPr="002C5DE1" w:rsidRDefault="00F34E70" w:rsidP="00C145FF">
      <w:pPr>
        <w:autoSpaceDE w:val="0"/>
        <w:autoSpaceDN w:val="0"/>
        <w:adjustRightInd w:val="0"/>
        <w:spacing w:before="120" w:after="120" w:line="276" w:lineRule="auto"/>
        <w:ind w:left="720" w:hanging="720"/>
        <w:jc w:val="both"/>
        <w:rPr>
          <w:rFonts w:ascii="Times New Roman" w:hAnsi="Times New Roman" w:cs="Times New Roman"/>
          <w:color w:val="000000" w:themeColor="text1"/>
          <w:sz w:val="24"/>
          <w:szCs w:val="24"/>
          <w:shd w:val="clear" w:color="auto" w:fill="FFFFFF"/>
          <w:lang w:val="en-US"/>
        </w:rPr>
      </w:pPr>
      <w:proofErr w:type="spellStart"/>
      <w:r w:rsidRPr="002C5DE1">
        <w:rPr>
          <w:rFonts w:ascii="Times New Roman" w:hAnsi="Times New Roman" w:cs="Times New Roman"/>
          <w:color w:val="000000" w:themeColor="text1"/>
          <w:sz w:val="24"/>
          <w:szCs w:val="24"/>
          <w:shd w:val="clear" w:color="auto" w:fill="FFFFFF"/>
          <w:lang w:val="en-US"/>
        </w:rPr>
        <w:t>Colletaz</w:t>
      </w:r>
      <w:proofErr w:type="spellEnd"/>
      <w:r w:rsidRPr="002C5DE1">
        <w:rPr>
          <w:rFonts w:ascii="Times New Roman" w:hAnsi="Times New Roman" w:cs="Times New Roman"/>
          <w:color w:val="000000" w:themeColor="text1"/>
          <w:sz w:val="24"/>
          <w:szCs w:val="24"/>
          <w:shd w:val="clear" w:color="auto" w:fill="FFFFFF"/>
          <w:lang w:val="en-US"/>
        </w:rPr>
        <w:t xml:space="preserve">, G., &amp; </w:t>
      </w:r>
      <w:proofErr w:type="spellStart"/>
      <w:r w:rsidRPr="002C5DE1">
        <w:rPr>
          <w:rFonts w:ascii="Times New Roman" w:hAnsi="Times New Roman" w:cs="Times New Roman"/>
          <w:color w:val="000000" w:themeColor="text1"/>
          <w:sz w:val="24"/>
          <w:szCs w:val="24"/>
          <w:shd w:val="clear" w:color="auto" w:fill="FFFFFF"/>
          <w:lang w:val="en-US"/>
        </w:rPr>
        <w:t>Hurlin</w:t>
      </w:r>
      <w:proofErr w:type="spellEnd"/>
      <w:r w:rsidRPr="002C5DE1">
        <w:rPr>
          <w:rFonts w:ascii="Times New Roman" w:hAnsi="Times New Roman" w:cs="Times New Roman"/>
          <w:color w:val="000000" w:themeColor="text1"/>
          <w:sz w:val="24"/>
          <w:szCs w:val="24"/>
          <w:shd w:val="clear" w:color="auto" w:fill="FFFFFF"/>
          <w:lang w:val="en-US"/>
        </w:rPr>
        <w:t>, C. (2006). Threshold effects in the public capital productivity: an international panel smooth transition approach. Working Paper, University of Orléans.</w:t>
      </w:r>
    </w:p>
    <w:p w14:paraId="36962A19" w14:textId="77777777" w:rsidR="00390090" w:rsidRPr="002C5DE1" w:rsidRDefault="00390090" w:rsidP="00C145FF">
      <w:pPr>
        <w:spacing w:before="120" w:after="120" w:line="276" w:lineRule="auto"/>
        <w:ind w:left="720" w:hanging="720"/>
        <w:jc w:val="both"/>
        <w:rPr>
          <w:rFonts w:ascii="Times New Roman" w:eastAsia="Times New Roman" w:hAnsi="Times New Roman" w:cs="Times New Roman"/>
          <w:color w:val="000000" w:themeColor="text1"/>
          <w:sz w:val="24"/>
          <w:szCs w:val="24"/>
          <w:lang w:val="en-US" w:eastAsia="tr-TR"/>
        </w:rPr>
      </w:pPr>
      <w:r w:rsidRPr="002C5DE1">
        <w:rPr>
          <w:rFonts w:ascii="Times New Roman" w:eastAsia="Times New Roman" w:hAnsi="Times New Roman" w:cs="Times New Roman"/>
          <w:color w:val="000000" w:themeColor="text1"/>
          <w:sz w:val="24"/>
          <w:szCs w:val="24"/>
          <w:lang w:val="en-US" w:eastAsia="tr-TR"/>
        </w:rPr>
        <w:t>Coskun,</w:t>
      </w:r>
      <w:r w:rsidR="00EA09E3" w:rsidRPr="002C5DE1">
        <w:rPr>
          <w:rFonts w:ascii="Times New Roman" w:eastAsia="Times New Roman" w:hAnsi="Times New Roman" w:cs="Times New Roman"/>
          <w:color w:val="000000" w:themeColor="text1"/>
          <w:sz w:val="24"/>
          <w:szCs w:val="24"/>
          <w:lang w:val="en-US" w:eastAsia="tr-TR"/>
        </w:rPr>
        <w:t xml:space="preserve"> Y., </w:t>
      </w:r>
      <w:proofErr w:type="spellStart"/>
      <w:r w:rsidR="00EA09E3" w:rsidRPr="002C5DE1">
        <w:rPr>
          <w:rFonts w:ascii="Times New Roman" w:eastAsia="Times New Roman" w:hAnsi="Times New Roman" w:cs="Times New Roman"/>
          <w:color w:val="000000" w:themeColor="text1"/>
          <w:sz w:val="24"/>
          <w:szCs w:val="24"/>
          <w:lang w:val="en-US" w:eastAsia="tr-TR"/>
        </w:rPr>
        <w:t>Atasoy</w:t>
      </w:r>
      <w:proofErr w:type="spellEnd"/>
      <w:r w:rsidR="00EA09E3" w:rsidRPr="002C5DE1">
        <w:rPr>
          <w:rFonts w:ascii="Times New Roman" w:eastAsia="Times New Roman" w:hAnsi="Times New Roman" w:cs="Times New Roman"/>
          <w:color w:val="000000" w:themeColor="text1"/>
          <w:sz w:val="24"/>
          <w:szCs w:val="24"/>
          <w:lang w:val="en-US" w:eastAsia="tr-TR"/>
        </w:rPr>
        <w:t>, B.S.,</w:t>
      </w:r>
      <w:r w:rsidRPr="002C5DE1">
        <w:rPr>
          <w:rFonts w:ascii="Times New Roman" w:eastAsia="Times New Roman" w:hAnsi="Times New Roman" w:cs="Times New Roman"/>
          <w:color w:val="000000" w:themeColor="text1"/>
          <w:sz w:val="24"/>
          <w:szCs w:val="24"/>
          <w:lang w:val="en-US" w:eastAsia="tr-TR"/>
        </w:rPr>
        <w:t xml:space="preserve"> </w:t>
      </w:r>
      <w:proofErr w:type="spellStart"/>
      <w:r w:rsidRPr="002C5DE1">
        <w:rPr>
          <w:rFonts w:ascii="Times New Roman" w:eastAsia="Times New Roman" w:hAnsi="Times New Roman" w:cs="Times New Roman"/>
          <w:color w:val="000000" w:themeColor="text1"/>
          <w:sz w:val="24"/>
          <w:szCs w:val="24"/>
          <w:lang w:val="en-US" w:eastAsia="tr-TR"/>
        </w:rPr>
        <w:t>Morri</w:t>
      </w:r>
      <w:proofErr w:type="spellEnd"/>
      <w:r w:rsidRPr="002C5DE1">
        <w:rPr>
          <w:rFonts w:ascii="Times New Roman" w:eastAsia="Times New Roman" w:hAnsi="Times New Roman" w:cs="Times New Roman"/>
          <w:color w:val="000000" w:themeColor="text1"/>
          <w:sz w:val="24"/>
          <w:szCs w:val="24"/>
          <w:lang w:val="en-US" w:eastAsia="tr-TR"/>
        </w:rPr>
        <w:t xml:space="preserve">, G., </w:t>
      </w:r>
      <w:r w:rsidR="00EA09E3" w:rsidRPr="002C5DE1">
        <w:rPr>
          <w:rFonts w:ascii="Times New Roman" w:hAnsi="Times New Roman" w:cs="Times New Roman"/>
          <w:color w:val="000000" w:themeColor="text1"/>
          <w:sz w:val="24"/>
          <w:szCs w:val="24"/>
          <w:lang w:val="en-US"/>
        </w:rPr>
        <w:t xml:space="preserve">&amp; </w:t>
      </w:r>
      <w:r w:rsidRPr="002C5DE1">
        <w:rPr>
          <w:rFonts w:ascii="Times New Roman" w:eastAsia="Times New Roman" w:hAnsi="Times New Roman" w:cs="Times New Roman"/>
          <w:color w:val="000000" w:themeColor="text1"/>
          <w:sz w:val="24"/>
          <w:szCs w:val="24"/>
          <w:lang w:val="en-US" w:eastAsia="tr-TR"/>
        </w:rPr>
        <w:t xml:space="preserve">Alp, E. (2018). Wealth </w:t>
      </w:r>
      <w:r w:rsidR="00D03E56" w:rsidRPr="002C5DE1">
        <w:rPr>
          <w:rFonts w:ascii="Times New Roman" w:eastAsia="Times New Roman" w:hAnsi="Times New Roman" w:cs="Times New Roman"/>
          <w:color w:val="000000" w:themeColor="text1"/>
          <w:sz w:val="24"/>
          <w:szCs w:val="24"/>
          <w:lang w:val="en-US" w:eastAsia="tr-TR"/>
        </w:rPr>
        <w:t>e</w:t>
      </w:r>
      <w:r w:rsidRPr="002C5DE1">
        <w:rPr>
          <w:rFonts w:ascii="Times New Roman" w:eastAsia="Times New Roman" w:hAnsi="Times New Roman" w:cs="Times New Roman"/>
          <w:color w:val="000000" w:themeColor="text1"/>
          <w:sz w:val="24"/>
          <w:szCs w:val="24"/>
          <w:lang w:val="en-US" w:eastAsia="tr-TR"/>
        </w:rPr>
        <w:t xml:space="preserve">ffect and </w:t>
      </w:r>
      <w:r w:rsidR="00D03E56" w:rsidRPr="002C5DE1">
        <w:rPr>
          <w:rFonts w:ascii="Times New Roman" w:eastAsia="Times New Roman" w:hAnsi="Times New Roman" w:cs="Times New Roman"/>
          <w:color w:val="000000" w:themeColor="text1"/>
          <w:sz w:val="24"/>
          <w:szCs w:val="24"/>
          <w:lang w:val="en-US" w:eastAsia="tr-TR"/>
        </w:rPr>
        <w:t>h</w:t>
      </w:r>
      <w:r w:rsidRPr="002C5DE1">
        <w:rPr>
          <w:rFonts w:ascii="Times New Roman" w:eastAsia="Times New Roman" w:hAnsi="Times New Roman" w:cs="Times New Roman"/>
          <w:color w:val="000000" w:themeColor="text1"/>
          <w:sz w:val="24"/>
          <w:szCs w:val="24"/>
          <w:lang w:val="en-US" w:eastAsia="tr-TR"/>
        </w:rPr>
        <w:t xml:space="preserve">ousehold </w:t>
      </w:r>
      <w:r w:rsidR="00D03E56" w:rsidRPr="002C5DE1">
        <w:rPr>
          <w:rFonts w:ascii="Times New Roman" w:eastAsia="Times New Roman" w:hAnsi="Times New Roman" w:cs="Times New Roman"/>
          <w:color w:val="000000" w:themeColor="text1"/>
          <w:sz w:val="24"/>
          <w:szCs w:val="24"/>
          <w:lang w:val="en-US" w:eastAsia="tr-TR"/>
        </w:rPr>
        <w:t>f</w:t>
      </w:r>
      <w:r w:rsidRPr="002C5DE1">
        <w:rPr>
          <w:rFonts w:ascii="Times New Roman" w:eastAsia="Times New Roman" w:hAnsi="Times New Roman" w:cs="Times New Roman"/>
          <w:color w:val="000000" w:themeColor="text1"/>
          <w:sz w:val="24"/>
          <w:szCs w:val="24"/>
          <w:lang w:val="en-US" w:eastAsia="tr-TR"/>
        </w:rPr>
        <w:t xml:space="preserve">inal </w:t>
      </w:r>
      <w:r w:rsidR="00D03E56" w:rsidRPr="002C5DE1">
        <w:rPr>
          <w:rFonts w:ascii="Times New Roman" w:eastAsia="Times New Roman" w:hAnsi="Times New Roman" w:cs="Times New Roman"/>
          <w:color w:val="000000" w:themeColor="text1"/>
          <w:sz w:val="24"/>
          <w:szCs w:val="24"/>
          <w:lang w:val="en-US" w:eastAsia="tr-TR"/>
        </w:rPr>
        <w:t>c</w:t>
      </w:r>
      <w:r w:rsidRPr="002C5DE1">
        <w:rPr>
          <w:rFonts w:ascii="Times New Roman" w:eastAsia="Times New Roman" w:hAnsi="Times New Roman" w:cs="Times New Roman"/>
          <w:color w:val="000000" w:themeColor="text1"/>
          <w:sz w:val="24"/>
          <w:szCs w:val="24"/>
          <w:lang w:val="en-US" w:eastAsia="tr-TR"/>
        </w:rPr>
        <w:t xml:space="preserve">onsumption: </w:t>
      </w:r>
      <w:r w:rsidR="00D03E56" w:rsidRPr="002C5DE1">
        <w:rPr>
          <w:rFonts w:ascii="Times New Roman" w:eastAsia="Times New Roman" w:hAnsi="Times New Roman" w:cs="Times New Roman"/>
          <w:color w:val="000000" w:themeColor="text1"/>
          <w:sz w:val="24"/>
          <w:szCs w:val="24"/>
          <w:lang w:val="en-US" w:eastAsia="tr-TR"/>
        </w:rPr>
        <w:t>s</w:t>
      </w:r>
      <w:r w:rsidRPr="002C5DE1">
        <w:rPr>
          <w:rFonts w:ascii="Times New Roman" w:eastAsia="Times New Roman" w:hAnsi="Times New Roman" w:cs="Times New Roman"/>
          <w:color w:val="000000" w:themeColor="text1"/>
          <w:sz w:val="24"/>
          <w:szCs w:val="24"/>
          <w:lang w:val="en-US" w:eastAsia="tr-TR"/>
        </w:rPr>
        <w:t xml:space="preserve">tock and </w:t>
      </w:r>
      <w:r w:rsidR="00D03E56" w:rsidRPr="002C5DE1">
        <w:rPr>
          <w:rFonts w:ascii="Times New Roman" w:eastAsia="Times New Roman" w:hAnsi="Times New Roman" w:cs="Times New Roman"/>
          <w:color w:val="000000" w:themeColor="text1"/>
          <w:sz w:val="24"/>
          <w:szCs w:val="24"/>
          <w:lang w:val="en-US" w:eastAsia="tr-TR"/>
        </w:rPr>
        <w:t>h</w:t>
      </w:r>
      <w:r w:rsidRPr="002C5DE1">
        <w:rPr>
          <w:rFonts w:ascii="Times New Roman" w:eastAsia="Times New Roman" w:hAnsi="Times New Roman" w:cs="Times New Roman"/>
          <w:color w:val="000000" w:themeColor="text1"/>
          <w:sz w:val="24"/>
          <w:szCs w:val="24"/>
          <w:lang w:val="en-US" w:eastAsia="tr-TR"/>
        </w:rPr>
        <w:t xml:space="preserve">ousing </w:t>
      </w:r>
      <w:r w:rsidR="00D03E56" w:rsidRPr="002C5DE1">
        <w:rPr>
          <w:rFonts w:ascii="Times New Roman" w:eastAsia="Times New Roman" w:hAnsi="Times New Roman" w:cs="Times New Roman"/>
          <w:color w:val="000000" w:themeColor="text1"/>
          <w:sz w:val="24"/>
          <w:szCs w:val="24"/>
          <w:lang w:val="en-US" w:eastAsia="tr-TR"/>
        </w:rPr>
        <w:t>m</w:t>
      </w:r>
      <w:r w:rsidRPr="002C5DE1">
        <w:rPr>
          <w:rFonts w:ascii="Times New Roman" w:eastAsia="Times New Roman" w:hAnsi="Times New Roman" w:cs="Times New Roman"/>
          <w:color w:val="000000" w:themeColor="text1"/>
          <w:sz w:val="24"/>
          <w:szCs w:val="24"/>
          <w:lang w:val="en-US" w:eastAsia="tr-TR"/>
        </w:rPr>
        <w:t xml:space="preserve">arket </w:t>
      </w:r>
      <w:r w:rsidR="00D03E56" w:rsidRPr="002C5DE1">
        <w:rPr>
          <w:rFonts w:ascii="Times New Roman" w:eastAsia="Times New Roman" w:hAnsi="Times New Roman" w:cs="Times New Roman"/>
          <w:color w:val="000000" w:themeColor="text1"/>
          <w:sz w:val="24"/>
          <w:szCs w:val="24"/>
          <w:lang w:val="en-US" w:eastAsia="tr-TR"/>
        </w:rPr>
        <w:t>c</w:t>
      </w:r>
      <w:r w:rsidRPr="002C5DE1">
        <w:rPr>
          <w:rFonts w:ascii="Times New Roman" w:eastAsia="Times New Roman" w:hAnsi="Times New Roman" w:cs="Times New Roman"/>
          <w:color w:val="000000" w:themeColor="text1"/>
          <w:sz w:val="24"/>
          <w:szCs w:val="24"/>
          <w:lang w:val="en-US" w:eastAsia="tr-TR"/>
        </w:rPr>
        <w:t xml:space="preserve">hannels. </w:t>
      </w:r>
      <w:r w:rsidRPr="002C5DE1">
        <w:rPr>
          <w:rFonts w:ascii="Times New Roman" w:eastAsia="Times New Roman" w:hAnsi="Times New Roman" w:cs="Times New Roman"/>
          <w:i/>
          <w:iCs/>
          <w:color w:val="000000" w:themeColor="text1"/>
          <w:sz w:val="24"/>
          <w:szCs w:val="24"/>
          <w:lang w:val="en-US" w:eastAsia="tr-TR"/>
        </w:rPr>
        <w:t>International Journal of Financial Studies</w:t>
      </w:r>
      <w:r w:rsidRPr="002C5DE1">
        <w:rPr>
          <w:rFonts w:ascii="Times New Roman" w:eastAsia="Times New Roman" w:hAnsi="Times New Roman" w:cs="Times New Roman"/>
          <w:color w:val="000000" w:themeColor="text1"/>
          <w:sz w:val="24"/>
          <w:szCs w:val="24"/>
          <w:lang w:val="en-US" w:eastAsia="tr-TR"/>
        </w:rPr>
        <w:t xml:space="preserve"> 6(57)</w:t>
      </w:r>
      <w:r w:rsidR="00D03E56" w:rsidRPr="002C5DE1">
        <w:rPr>
          <w:rFonts w:ascii="Times New Roman" w:eastAsia="Times New Roman" w:hAnsi="Times New Roman" w:cs="Times New Roman"/>
          <w:color w:val="000000" w:themeColor="text1"/>
          <w:sz w:val="24"/>
          <w:szCs w:val="24"/>
          <w:lang w:val="en-US" w:eastAsia="tr-TR"/>
        </w:rPr>
        <w:t>, 1-32.</w:t>
      </w:r>
    </w:p>
    <w:p w14:paraId="39D9C2A5" w14:textId="77777777" w:rsidR="00390090" w:rsidRPr="002C5DE1" w:rsidRDefault="00390090" w:rsidP="00C145FF">
      <w:pPr>
        <w:autoSpaceDE w:val="0"/>
        <w:autoSpaceDN w:val="0"/>
        <w:adjustRightInd w:val="0"/>
        <w:spacing w:before="120" w:after="120" w:line="276" w:lineRule="auto"/>
        <w:ind w:left="720" w:hanging="720"/>
        <w:jc w:val="both"/>
        <w:rPr>
          <w:rFonts w:ascii="Times New Roman" w:hAnsi="Times New Roman" w:cs="Times New Roman"/>
          <w:color w:val="000000" w:themeColor="text1"/>
          <w:sz w:val="24"/>
          <w:szCs w:val="24"/>
          <w:shd w:val="clear" w:color="auto" w:fill="FFFFFF"/>
          <w:lang w:val="en-US"/>
        </w:rPr>
      </w:pPr>
      <w:r w:rsidRPr="002C5DE1">
        <w:rPr>
          <w:rFonts w:ascii="Times New Roman" w:hAnsi="Times New Roman" w:cs="Times New Roman"/>
          <w:color w:val="000000" w:themeColor="text1"/>
          <w:sz w:val="24"/>
          <w:szCs w:val="24"/>
          <w:shd w:val="clear" w:color="auto" w:fill="FFFFFF"/>
          <w:lang w:val="en-US"/>
        </w:rPr>
        <w:t xml:space="preserve">Dong, Z., Hui, E. C., &amp; Jia, S. (2017). How does housing price affect consumption in China: Wealth effect or substitution </w:t>
      </w:r>
      <w:proofErr w:type="gramStart"/>
      <w:r w:rsidRPr="002C5DE1">
        <w:rPr>
          <w:rFonts w:ascii="Times New Roman" w:hAnsi="Times New Roman" w:cs="Times New Roman"/>
          <w:color w:val="000000" w:themeColor="text1"/>
          <w:sz w:val="24"/>
          <w:szCs w:val="24"/>
          <w:shd w:val="clear" w:color="auto" w:fill="FFFFFF"/>
          <w:lang w:val="en-US"/>
        </w:rPr>
        <w:t>effect?.</w:t>
      </w:r>
      <w:proofErr w:type="gramEnd"/>
      <w:r w:rsidRPr="002C5DE1">
        <w:rPr>
          <w:rFonts w:ascii="Times New Roman" w:hAnsi="Times New Roman" w:cs="Times New Roman"/>
          <w:color w:val="000000" w:themeColor="text1"/>
          <w:sz w:val="24"/>
          <w:szCs w:val="24"/>
          <w:shd w:val="clear" w:color="auto" w:fill="FFFFFF"/>
          <w:lang w:val="en-US"/>
        </w:rPr>
        <w:t> </w:t>
      </w:r>
      <w:r w:rsidRPr="002C5DE1">
        <w:rPr>
          <w:rFonts w:ascii="Times New Roman" w:hAnsi="Times New Roman" w:cs="Times New Roman"/>
          <w:i/>
          <w:iCs/>
          <w:color w:val="000000" w:themeColor="text1"/>
          <w:sz w:val="24"/>
          <w:szCs w:val="24"/>
          <w:shd w:val="clear" w:color="auto" w:fill="FFFFFF"/>
          <w:lang w:val="en-US"/>
        </w:rPr>
        <w:t>Cities</w:t>
      </w:r>
      <w:r w:rsidRPr="002C5DE1">
        <w:rPr>
          <w:rFonts w:ascii="Times New Roman" w:hAnsi="Times New Roman" w:cs="Times New Roman"/>
          <w:color w:val="000000" w:themeColor="text1"/>
          <w:sz w:val="24"/>
          <w:szCs w:val="24"/>
          <w:shd w:val="clear" w:color="auto" w:fill="FFFFFF"/>
          <w:lang w:val="en-US"/>
        </w:rPr>
        <w:t> 64</w:t>
      </w:r>
      <w:r w:rsidR="00D03E56" w:rsidRPr="002C5DE1">
        <w:rPr>
          <w:rFonts w:ascii="Times New Roman" w:hAnsi="Times New Roman" w:cs="Times New Roman"/>
          <w:color w:val="000000" w:themeColor="text1"/>
          <w:sz w:val="24"/>
          <w:szCs w:val="24"/>
          <w:shd w:val="clear" w:color="auto" w:fill="FFFFFF"/>
          <w:lang w:val="en-US"/>
        </w:rPr>
        <w:t>(1)</w:t>
      </w:r>
      <w:r w:rsidRPr="002C5DE1">
        <w:rPr>
          <w:rFonts w:ascii="Times New Roman" w:hAnsi="Times New Roman" w:cs="Times New Roman"/>
          <w:color w:val="000000" w:themeColor="text1"/>
          <w:sz w:val="24"/>
          <w:szCs w:val="24"/>
          <w:shd w:val="clear" w:color="auto" w:fill="FFFFFF"/>
          <w:lang w:val="en-US"/>
        </w:rPr>
        <w:t>, 1-8.</w:t>
      </w:r>
    </w:p>
    <w:p w14:paraId="720D0B4E" w14:textId="77777777" w:rsidR="00390090" w:rsidRPr="002C5DE1" w:rsidRDefault="00390090" w:rsidP="00C145FF">
      <w:pPr>
        <w:autoSpaceDE w:val="0"/>
        <w:autoSpaceDN w:val="0"/>
        <w:adjustRightInd w:val="0"/>
        <w:spacing w:before="120" w:after="120" w:line="276" w:lineRule="auto"/>
        <w:ind w:left="720" w:hanging="720"/>
        <w:jc w:val="both"/>
        <w:rPr>
          <w:rFonts w:ascii="Times New Roman" w:hAnsi="Times New Roman" w:cs="Times New Roman"/>
          <w:color w:val="000000" w:themeColor="text1"/>
          <w:sz w:val="24"/>
          <w:szCs w:val="24"/>
          <w:lang w:val="en-US"/>
        </w:rPr>
      </w:pPr>
      <w:proofErr w:type="spellStart"/>
      <w:r w:rsidRPr="002C5DE1">
        <w:rPr>
          <w:rFonts w:ascii="Times New Roman" w:hAnsi="Times New Roman" w:cs="Times New Roman"/>
          <w:color w:val="000000" w:themeColor="text1"/>
          <w:sz w:val="24"/>
          <w:szCs w:val="24"/>
          <w:shd w:val="clear" w:color="auto" w:fill="FFFFFF"/>
          <w:lang w:val="en-US"/>
        </w:rPr>
        <w:t>Drăgulescu</w:t>
      </w:r>
      <w:proofErr w:type="spellEnd"/>
      <w:r w:rsidRPr="002C5DE1">
        <w:rPr>
          <w:rFonts w:ascii="Times New Roman" w:hAnsi="Times New Roman" w:cs="Times New Roman"/>
          <w:color w:val="000000" w:themeColor="text1"/>
          <w:sz w:val="24"/>
          <w:szCs w:val="24"/>
          <w:shd w:val="clear" w:color="auto" w:fill="FFFFFF"/>
          <w:lang w:val="en-US"/>
        </w:rPr>
        <w:t>, A., &amp; Yakovenko, V. M. (2001). Exponential and power-law probability distributions of wealth and income in the United Kingdom and the United States. </w:t>
      </w:r>
      <w:proofErr w:type="spellStart"/>
      <w:r w:rsidRPr="002C5DE1">
        <w:rPr>
          <w:rFonts w:ascii="Times New Roman" w:hAnsi="Times New Roman" w:cs="Times New Roman"/>
          <w:i/>
          <w:iCs/>
          <w:color w:val="000000" w:themeColor="text1"/>
          <w:sz w:val="24"/>
          <w:szCs w:val="24"/>
          <w:shd w:val="clear" w:color="auto" w:fill="FFFFFF"/>
          <w:lang w:val="en-US"/>
        </w:rPr>
        <w:t>Physica</w:t>
      </w:r>
      <w:proofErr w:type="spellEnd"/>
      <w:r w:rsidRPr="002C5DE1">
        <w:rPr>
          <w:rFonts w:ascii="Times New Roman" w:hAnsi="Times New Roman" w:cs="Times New Roman"/>
          <w:i/>
          <w:iCs/>
          <w:color w:val="000000" w:themeColor="text1"/>
          <w:sz w:val="24"/>
          <w:szCs w:val="24"/>
          <w:shd w:val="clear" w:color="auto" w:fill="FFFFFF"/>
          <w:lang w:val="en-US"/>
        </w:rPr>
        <w:t xml:space="preserve"> A: Statistical Mechanics and its Applications</w:t>
      </w:r>
      <w:r w:rsidRPr="002C5DE1">
        <w:rPr>
          <w:rFonts w:ascii="Times New Roman" w:hAnsi="Times New Roman" w:cs="Times New Roman"/>
          <w:color w:val="000000" w:themeColor="text1"/>
          <w:sz w:val="24"/>
          <w:szCs w:val="24"/>
          <w:shd w:val="clear" w:color="auto" w:fill="FFFFFF"/>
          <w:lang w:val="en-US"/>
        </w:rPr>
        <w:t> 299(1-2), 213-221.</w:t>
      </w:r>
    </w:p>
    <w:p w14:paraId="7977A798" w14:textId="77777777" w:rsidR="00390090" w:rsidRPr="002C5DE1" w:rsidRDefault="00390090" w:rsidP="00C145FF">
      <w:pPr>
        <w:autoSpaceDE w:val="0"/>
        <w:autoSpaceDN w:val="0"/>
        <w:adjustRightInd w:val="0"/>
        <w:spacing w:before="120" w:after="120" w:line="276" w:lineRule="auto"/>
        <w:ind w:left="720" w:hanging="720"/>
        <w:jc w:val="both"/>
        <w:rPr>
          <w:rFonts w:ascii="Times New Roman" w:hAnsi="Times New Roman" w:cs="Times New Roman"/>
          <w:color w:val="000000" w:themeColor="text1"/>
          <w:sz w:val="24"/>
          <w:szCs w:val="24"/>
          <w:lang w:val="en-US"/>
        </w:rPr>
      </w:pPr>
      <w:proofErr w:type="spellStart"/>
      <w:r w:rsidRPr="002C5DE1">
        <w:rPr>
          <w:rFonts w:ascii="Times New Roman" w:hAnsi="Times New Roman" w:cs="Times New Roman"/>
          <w:color w:val="000000" w:themeColor="text1"/>
          <w:sz w:val="24"/>
          <w:szCs w:val="24"/>
          <w:lang w:val="en-US"/>
        </w:rPr>
        <w:t>Duan</w:t>
      </w:r>
      <w:proofErr w:type="spellEnd"/>
      <w:r w:rsidRPr="002C5DE1">
        <w:rPr>
          <w:rFonts w:ascii="Times New Roman" w:hAnsi="Times New Roman" w:cs="Times New Roman"/>
          <w:color w:val="000000" w:themeColor="text1"/>
          <w:sz w:val="24"/>
          <w:szCs w:val="24"/>
          <w:lang w:val="en-US"/>
        </w:rPr>
        <w:t>, M. (2011)</w:t>
      </w:r>
      <w:r w:rsidR="00D03E56" w:rsidRPr="002C5DE1">
        <w:rPr>
          <w:rFonts w:ascii="Times New Roman" w:hAnsi="Times New Roman" w:cs="Times New Roman"/>
          <w:color w:val="000000" w:themeColor="text1"/>
          <w:sz w:val="24"/>
          <w:szCs w:val="24"/>
          <w:lang w:val="en-US"/>
        </w:rPr>
        <w:t>.</w:t>
      </w:r>
      <w:r w:rsidRPr="002C5DE1">
        <w:rPr>
          <w:rFonts w:ascii="Times New Roman" w:hAnsi="Times New Roman" w:cs="Times New Roman"/>
          <w:color w:val="000000" w:themeColor="text1"/>
          <w:sz w:val="24"/>
          <w:szCs w:val="24"/>
          <w:lang w:val="en-US"/>
        </w:rPr>
        <w:t xml:space="preserve"> Investigation on housing affordability in Lanzhou, Northwest China</w:t>
      </w:r>
      <w:r w:rsidR="00D03E56" w:rsidRPr="002C5DE1">
        <w:rPr>
          <w:rFonts w:ascii="Times New Roman" w:hAnsi="Times New Roman" w:cs="Times New Roman"/>
          <w:color w:val="000000" w:themeColor="text1"/>
          <w:sz w:val="24"/>
          <w:szCs w:val="24"/>
          <w:lang w:val="en-US"/>
        </w:rPr>
        <w:t>.</w:t>
      </w:r>
      <w:r w:rsidRPr="002C5DE1">
        <w:rPr>
          <w:rFonts w:ascii="Times New Roman" w:hAnsi="Times New Roman" w:cs="Times New Roman"/>
          <w:color w:val="000000" w:themeColor="text1"/>
          <w:sz w:val="24"/>
          <w:szCs w:val="24"/>
          <w:lang w:val="en-US"/>
        </w:rPr>
        <w:t xml:space="preserve"> </w:t>
      </w:r>
      <w:r w:rsidRPr="002C5DE1">
        <w:rPr>
          <w:rFonts w:ascii="Times New Roman" w:hAnsi="Times New Roman" w:cs="Times New Roman"/>
          <w:i/>
          <w:iCs/>
          <w:color w:val="000000" w:themeColor="text1"/>
          <w:sz w:val="24"/>
          <w:szCs w:val="24"/>
          <w:lang w:val="en-US"/>
        </w:rPr>
        <w:t>International Journal of Housing Markets and Analysis</w:t>
      </w:r>
      <w:r w:rsidRPr="002C5DE1">
        <w:rPr>
          <w:rFonts w:ascii="Times New Roman" w:hAnsi="Times New Roman" w:cs="Times New Roman"/>
          <w:color w:val="000000" w:themeColor="text1"/>
          <w:sz w:val="24"/>
          <w:szCs w:val="24"/>
          <w:lang w:val="en-US"/>
        </w:rPr>
        <w:t xml:space="preserve"> 4(2), 180-190.</w:t>
      </w:r>
    </w:p>
    <w:p w14:paraId="7E656096" w14:textId="77777777" w:rsidR="00390090" w:rsidRPr="002C5DE1" w:rsidRDefault="00390090" w:rsidP="00C145FF">
      <w:pPr>
        <w:autoSpaceDE w:val="0"/>
        <w:autoSpaceDN w:val="0"/>
        <w:adjustRightInd w:val="0"/>
        <w:spacing w:before="120" w:after="120" w:line="276" w:lineRule="auto"/>
        <w:ind w:left="720" w:hanging="720"/>
        <w:jc w:val="both"/>
        <w:rPr>
          <w:rFonts w:ascii="Times New Roman" w:hAnsi="Times New Roman" w:cs="Times New Roman"/>
          <w:color w:val="000000" w:themeColor="text1"/>
          <w:sz w:val="24"/>
          <w:szCs w:val="24"/>
          <w:lang w:val="en-US"/>
        </w:rPr>
      </w:pPr>
      <w:proofErr w:type="spellStart"/>
      <w:r w:rsidRPr="002C5DE1">
        <w:rPr>
          <w:rFonts w:ascii="Times New Roman" w:hAnsi="Times New Roman" w:cs="Times New Roman"/>
          <w:color w:val="000000" w:themeColor="text1"/>
          <w:sz w:val="24"/>
          <w:szCs w:val="24"/>
          <w:shd w:val="clear" w:color="auto" w:fill="FFFFFF"/>
          <w:lang w:val="en-US"/>
        </w:rPr>
        <w:t>Duesenberry</w:t>
      </w:r>
      <w:proofErr w:type="spellEnd"/>
      <w:r w:rsidRPr="002C5DE1">
        <w:rPr>
          <w:rFonts w:ascii="Times New Roman" w:hAnsi="Times New Roman" w:cs="Times New Roman"/>
          <w:color w:val="000000" w:themeColor="text1"/>
          <w:sz w:val="24"/>
          <w:szCs w:val="24"/>
          <w:shd w:val="clear" w:color="auto" w:fill="FFFFFF"/>
          <w:lang w:val="en-US"/>
        </w:rPr>
        <w:t xml:space="preserve">, J.S. (1949). </w:t>
      </w:r>
      <w:r w:rsidRPr="002C5DE1">
        <w:rPr>
          <w:rFonts w:ascii="Times New Roman" w:hAnsi="Times New Roman" w:cs="Times New Roman"/>
          <w:i/>
          <w:iCs/>
          <w:color w:val="000000" w:themeColor="text1"/>
          <w:sz w:val="24"/>
          <w:szCs w:val="24"/>
          <w:shd w:val="clear" w:color="auto" w:fill="FFFFFF"/>
          <w:lang w:val="en-US"/>
        </w:rPr>
        <w:t xml:space="preserve">Income, </w:t>
      </w:r>
      <w:r w:rsidR="00D03E56" w:rsidRPr="002C5DE1">
        <w:rPr>
          <w:rFonts w:ascii="Times New Roman" w:hAnsi="Times New Roman" w:cs="Times New Roman"/>
          <w:i/>
          <w:iCs/>
          <w:color w:val="000000" w:themeColor="text1"/>
          <w:sz w:val="24"/>
          <w:szCs w:val="24"/>
          <w:shd w:val="clear" w:color="auto" w:fill="FFFFFF"/>
          <w:lang w:val="en-US"/>
        </w:rPr>
        <w:t>S</w:t>
      </w:r>
      <w:r w:rsidRPr="002C5DE1">
        <w:rPr>
          <w:rFonts w:ascii="Times New Roman" w:hAnsi="Times New Roman" w:cs="Times New Roman"/>
          <w:i/>
          <w:iCs/>
          <w:color w:val="000000" w:themeColor="text1"/>
          <w:sz w:val="24"/>
          <w:szCs w:val="24"/>
          <w:shd w:val="clear" w:color="auto" w:fill="FFFFFF"/>
          <w:lang w:val="en-US"/>
        </w:rPr>
        <w:t xml:space="preserve">aving, and the </w:t>
      </w:r>
      <w:r w:rsidR="00D03E56" w:rsidRPr="002C5DE1">
        <w:rPr>
          <w:rFonts w:ascii="Times New Roman" w:hAnsi="Times New Roman" w:cs="Times New Roman"/>
          <w:i/>
          <w:iCs/>
          <w:color w:val="000000" w:themeColor="text1"/>
          <w:sz w:val="24"/>
          <w:szCs w:val="24"/>
          <w:shd w:val="clear" w:color="auto" w:fill="FFFFFF"/>
          <w:lang w:val="en-US"/>
        </w:rPr>
        <w:t>T</w:t>
      </w:r>
      <w:r w:rsidRPr="002C5DE1">
        <w:rPr>
          <w:rFonts w:ascii="Times New Roman" w:hAnsi="Times New Roman" w:cs="Times New Roman"/>
          <w:i/>
          <w:iCs/>
          <w:color w:val="000000" w:themeColor="text1"/>
          <w:sz w:val="24"/>
          <w:szCs w:val="24"/>
          <w:shd w:val="clear" w:color="auto" w:fill="FFFFFF"/>
          <w:lang w:val="en-US"/>
        </w:rPr>
        <w:t xml:space="preserve">heory of </w:t>
      </w:r>
      <w:r w:rsidR="00D03E56" w:rsidRPr="002C5DE1">
        <w:rPr>
          <w:rFonts w:ascii="Times New Roman" w:hAnsi="Times New Roman" w:cs="Times New Roman"/>
          <w:i/>
          <w:iCs/>
          <w:color w:val="000000" w:themeColor="text1"/>
          <w:sz w:val="24"/>
          <w:szCs w:val="24"/>
          <w:shd w:val="clear" w:color="auto" w:fill="FFFFFF"/>
          <w:lang w:val="en-US"/>
        </w:rPr>
        <w:t>C</w:t>
      </w:r>
      <w:r w:rsidRPr="002C5DE1">
        <w:rPr>
          <w:rFonts w:ascii="Times New Roman" w:hAnsi="Times New Roman" w:cs="Times New Roman"/>
          <w:i/>
          <w:iCs/>
          <w:color w:val="000000" w:themeColor="text1"/>
          <w:sz w:val="24"/>
          <w:szCs w:val="24"/>
          <w:shd w:val="clear" w:color="auto" w:fill="FFFFFF"/>
          <w:lang w:val="en-US"/>
        </w:rPr>
        <w:t xml:space="preserve">onsumer </w:t>
      </w:r>
      <w:r w:rsidR="00D03E56" w:rsidRPr="002C5DE1">
        <w:rPr>
          <w:rFonts w:ascii="Times New Roman" w:hAnsi="Times New Roman" w:cs="Times New Roman"/>
          <w:i/>
          <w:iCs/>
          <w:color w:val="000000" w:themeColor="text1"/>
          <w:sz w:val="24"/>
          <w:szCs w:val="24"/>
          <w:shd w:val="clear" w:color="auto" w:fill="FFFFFF"/>
          <w:lang w:val="en-US"/>
        </w:rPr>
        <w:t>B</w:t>
      </w:r>
      <w:r w:rsidRPr="002C5DE1">
        <w:rPr>
          <w:rFonts w:ascii="Times New Roman" w:hAnsi="Times New Roman" w:cs="Times New Roman"/>
          <w:i/>
          <w:iCs/>
          <w:color w:val="000000" w:themeColor="text1"/>
          <w:sz w:val="24"/>
          <w:szCs w:val="24"/>
          <w:shd w:val="clear" w:color="auto" w:fill="FFFFFF"/>
          <w:lang w:val="en-US"/>
        </w:rPr>
        <w:t>ehavior</w:t>
      </w:r>
      <w:r w:rsidRPr="002C5DE1">
        <w:rPr>
          <w:rFonts w:ascii="Times New Roman" w:hAnsi="Times New Roman" w:cs="Times New Roman"/>
          <w:color w:val="000000" w:themeColor="text1"/>
          <w:sz w:val="24"/>
          <w:szCs w:val="24"/>
          <w:shd w:val="clear" w:color="auto" w:fill="FFFFFF"/>
          <w:lang w:val="en-US"/>
        </w:rPr>
        <w:t>.</w:t>
      </w:r>
      <w:r w:rsidR="00D03E56" w:rsidRPr="002C5DE1">
        <w:rPr>
          <w:color w:val="000000" w:themeColor="text1"/>
          <w:lang w:val="en-US"/>
        </w:rPr>
        <w:t xml:space="preserve"> </w:t>
      </w:r>
      <w:r w:rsidR="00D03E56" w:rsidRPr="002C5DE1">
        <w:rPr>
          <w:rFonts w:ascii="Times New Roman" w:hAnsi="Times New Roman" w:cs="Times New Roman"/>
          <w:color w:val="000000" w:themeColor="text1"/>
          <w:sz w:val="24"/>
          <w:szCs w:val="24"/>
          <w:shd w:val="clear" w:color="auto" w:fill="FFFFFF"/>
          <w:lang w:val="en-US"/>
        </w:rPr>
        <w:t>Harvard University. Press: Cambridge, Massachusetts.</w:t>
      </w:r>
    </w:p>
    <w:p w14:paraId="123749C4" w14:textId="77777777" w:rsidR="00390090" w:rsidRPr="002C5DE1" w:rsidRDefault="00390090" w:rsidP="00C145FF">
      <w:pPr>
        <w:spacing w:before="120" w:after="120" w:line="276" w:lineRule="auto"/>
        <w:ind w:left="720" w:hanging="720"/>
        <w:jc w:val="both"/>
        <w:rPr>
          <w:rFonts w:ascii="Times New Roman" w:eastAsia="Times New Roman" w:hAnsi="Times New Roman" w:cs="Times New Roman"/>
          <w:color w:val="000000" w:themeColor="text1"/>
          <w:sz w:val="24"/>
          <w:szCs w:val="24"/>
          <w:lang w:val="en-US" w:eastAsia="tr-TR"/>
        </w:rPr>
      </w:pPr>
      <w:proofErr w:type="spellStart"/>
      <w:r w:rsidRPr="002C5DE1">
        <w:rPr>
          <w:rFonts w:ascii="Times New Roman" w:eastAsia="Times New Roman" w:hAnsi="Times New Roman" w:cs="Times New Roman"/>
          <w:color w:val="000000" w:themeColor="text1"/>
          <w:sz w:val="24"/>
          <w:szCs w:val="24"/>
          <w:lang w:val="en-US" w:eastAsia="tr-TR"/>
        </w:rPr>
        <w:t>Dvornak</w:t>
      </w:r>
      <w:proofErr w:type="spellEnd"/>
      <w:r w:rsidRPr="002C5DE1">
        <w:rPr>
          <w:rFonts w:ascii="Times New Roman" w:eastAsia="Times New Roman" w:hAnsi="Times New Roman" w:cs="Times New Roman"/>
          <w:color w:val="000000" w:themeColor="text1"/>
          <w:sz w:val="24"/>
          <w:szCs w:val="24"/>
          <w:lang w:val="en-US" w:eastAsia="tr-TR"/>
        </w:rPr>
        <w:t>, N., &amp; Kohler, M. (2007). Housing wealth, stock market wealth and consumption: a panel analysis for Australia. </w:t>
      </w:r>
      <w:r w:rsidRPr="002C5DE1">
        <w:rPr>
          <w:rFonts w:ascii="Times New Roman" w:eastAsia="Times New Roman" w:hAnsi="Times New Roman" w:cs="Times New Roman"/>
          <w:i/>
          <w:iCs/>
          <w:color w:val="000000" w:themeColor="text1"/>
          <w:sz w:val="24"/>
          <w:szCs w:val="24"/>
          <w:lang w:val="en-US" w:eastAsia="tr-TR"/>
        </w:rPr>
        <w:t>Economic Record</w:t>
      </w:r>
      <w:r w:rsidRPr="002C5DE1">
        <w:rPr>
          <w:rFonts w:ascii="Times New Roman" w:eastAsia="Times New Roman" w:hAnsi="Times New Roman" w:cs="Times New Roman"/>
          <w:color w:val="000000" w:themeColor="text1"/>
          <w:sz w:val="24"/>
          <w:szCs w:val="24"/>
          <w:lang w:val="en-US" w:eastAsia="tr-TR"/>
        </w:rPr>
        <w:t> 83(261), 117-130.</w:t>
      </w:r>
    </w:p>
    <w:p w14:paraId="6E158DA3" w14:textId="77777777" w:rsidR="00390090" w:rsidRPr="002C5DE1" w:rsidRDefault="00390090" w:rsidP="00C145FF">
      <w:pPr>
        <w:spacing w:before="120" w:after="120" w:line="276" w:lineRule="auto"/>
        <w:ind w:left="720" w:hanging="720"/>
        <w:jc w:val="both"/>
        <w:rPr>
          <w:rFonts w:ascii="Times New Roman" w:eastAsia="Times New Roman" w:hAnsi="Times New Roman" w:cs="Times New Roman"/>
          <w:color w:val="000000" w:themeColor="text1"/>
          <w:sz w:val="24"/>
          <w:szCs w:val="24"/>
          <w:lang w:val="en-US" w:eastAsia="tr-TR"/>
        </w:rPr>
      </w:pPr>
      <w:r w:rsidRPr="002C5DE1">
        <w:rPr>
          <w:rFonts w:ascii="Times New Roman" w:eastAsia="Times New Roman" w:hAnsi="Times New Roman" w:cs="Times New Roman"/>
          <w:color w:val="000000" w:themeColor="text1"/>
          <w:sz w:val="24"/>
          <w:szCs w:val="24"/>
          <w:lang w:val="en-US" w:eastAsia="tr-TR"/>
        </w:rPr>
        <w:t xml:space="preserve">ECB. </w:t>
      </w:r>
      <w:r w:rsidR="00EA09E3" w:rsidRPr="002C5DE1">
        <w:rPr>
          <w:rFonts w:ascii="Times New Roman" w:eastAsia="Times New Roman" w:hAnsi="Times New Roman" w:cs="Times New Roman"/>
          <w:color w:val="000000" w:themeColor="text1"/>
          <w:sz w:val="24"/>
          <w:szCs w:val="24"/>
          <w:lang w:val="en-US" w:eastAsia="tr-TR"/>
        </w:rPr>
        <w:t>(</w:t>
      </w:r>
      <w:r w:rsidRPr="002C5DE1">
        <w:rPr>
          <w:rFonts w:ascii="Times New Roman" w:eastAsia="Times New Roman" w:hAnsi="Times New Roman" w:cs="Times New Roman"/>
          <w:color w:val="000000" w:themeColor="text1"/>
          <w:sz w:val="24"/>
          <w:szCs w:val="24"/>
          <w:lang w:val="en-US" w:eastAsia="tr-TR"/>
        </w:rPr>
        <w:t>2009</w:t>
      </w:r>
      <w:r w:rsidR="00EA09E3" w:rsidRPr="002C5DE1">
        <w:rPr>
          <w:rFonts w:ascii="Times New Roman" w:eastAsia="Times New Roman" w:hAnsi="Times New Roman" w:cs="Times New Roman"/>
          <w:color w:val="000000" w:themeColor="text1"/>
          <w:sz w:val="24"/>
          <w:szCs w:val="24"/>
          <w:lang w:val="en-US" w:eastAsia="tr-TR"/>
        </w:rPr>
        <w:t>)</w:t>
      </w:r>
      <w:r w:rsidRPr="002C5DE1">
        <w:rPr>
          <w:rFonts w:ascii="Times New Roman" w:eastAsia="Times New Roman" w:hAnsi="Times New Roman" w:cs="Times New Roman"/>
          <w:color w:val="000000" w:themeColor="text1"/>
          <w:sz w:val="24"/>
          <w:szCs w:val="24"/>
          <w:lang w:val="en-US" w:eastAsia="tr-TR"/>
        </w:rPr>
        <w:t xml:space="preserve">. Housing wealth and private consumption in the euro area. </w:t>
      </w:r>
      <w:r w:rsidRPr="002C5DE1">
        <w:rPr>
          <w:rFonts w:ascii="Times New Roman" w:eastAsia="Times New Roman" w:hAnsi="Times New Roman" w:cs="Times New Roman"/>
          <w:i/>
          <w:iCs/>
          <w:color w:val="000000" w:themeColor="text1"/>
          <w:sz w:val="24"/>
          <w:szCs w:val="24"/>
          <w:lang w:val="en-US" w:eastAsia="tr-TR"/>
        </w:rPr>
        <w:t>Monthly Bulletin</w:t>
      </w:r>
      <w:r w:rsidRPr="002C5DE1">
        <w:rPr>
          <w:rFonts w:ascii="Times New Roman" w:eastAsia="Times New Roman" w:hAnsi="Times New Roman" w:cs="Times New Roman"/>
          <w:color w:val="000000" w:themeColor="text1"/>
          <w:sz w:val="24"/>
          <w:szCs w:val="24"/>
          <w:lang w:val="en-US" w:eastAsia="tr-TR"/>
        </w:rPr>
        <w:t>, 59</w:t>
      </w:r>
      <w:r w:rsidR="00D03E56" w:rsidRPr="002C5DE1">
        <w:rPr>
          <w:rFonts w:ascii="Times New Roman" w:eastAsia="Times New Roman" w:hAnsi="Times New Roman" w:cs="Times New Roman"/>
          <w:color w:val="000000" w:themeColor="text1"/>
          <w:sz w:val="24"/>
          <w:szCs w:val="24"/>
          <w:lang w:val="en-US" w:eastAsia="tr-TR"/>
        </w:rPr>
        <w:t>-</w:t>
      </w:r>
      <w:r w:rsidRPr="002C5DE1">
        <w:rPr>
          <w:rFonts w:ascii="Times New Roman" w:eastAsia="Times New Roman" w:hAnsi="Times New Roman" w:cs="Times New Roman"/>
          <w:color w:val="000000" w:themeColor="text1"/>
          <w:sz w:val="24"/>
          <w:szCs w:val="24"/>
          <w:lang w:val="en-US" w:eastAsia="tr-TR"/>
        </w:rPr>
        <w:t>71.</w:t>
      </w:r>
    </w:p>
    <w:p w14:paraId="4BE79136" w14:textId="77777777" w:rsidR="00390090" w:rsidRPr="002C5DE1" w:rsidRDefault="00390090" w:rsidP="00C145FF">
      <w:pPr>
        <w:spacing w:before="120" w:after="120" w:line="276" w:lineRule="auto"/>
        <w:ind w:left="720" w:hanging="720"/>
        <w:jc w:val="both"/>
        <w:rPr>
          <w:rFonts w:ascii="Times New Roman" w:eastAsia="Times New Roman" w:hAnsi="Times New Roman" w:cs="Times New Roman"/>
          <w:color w:val="000000" w:themeColor="text1"/>
          <w:sz w:val="24"/>
          <w:szCs w:val="24"/>
          <w:lang w:val="en-US" w:eastAsia="tr-TR"/>
        </w:rPr>
      </w:pPr>
      <w:r w:rsidRPr="002C5DE1">
        <w:rPr>
          <w:rFonts w:ascii="Times New Roman" w:hAnsi="Times New Roman" w:cs="Times New Roman"/>
          <w:color w:val="000000" w:themeColor="text1"/>
          <w:sz w:val="24"/>
          <w:szCs w:val="24"/>
          <w:shd w:val="clear" w:color="auto" w:fill="FFFFFF"/>
          <w:lang w:val="en-US"/>
        </w:rPr>
        <w:lastRenderedPageBreak/>
        <w:t xml:space="preserve">Enders, W., &amp; </w:t>
      </w:r>
      <w:proofErr w:type="spellStart"/>
      <w:r w:rsidRPr="002C5DE1">
        <w:rPr>
          <w:rFonts w:ascii="Times New Roman" w:hAnsi="Times New Roman" w:cs="Times New Roman"/>
          <w:color w:val="000000" w:themeColor="text1"/>
          <w:sz w:val="24"/>
          <w:szCs w:val="24"/>
          <w:shd w:val="clear" w:color="auto" w:fill="FFFFFF"/>
          <w:lang w:val="en-US"/>
        </w:rPr>
        <w:t>Siklos</w:t>
      </w:r>
      <w:proofErr w:type="spellEnd"/>
      <w:r w:rsidRPr="002C5DE1">
        <w:rPr>
          <w:rFonts w:ascii="Times New Roman" w:hAnsi="Times New Roman" w:cs="Times New Roman"/>
          <w:color w:val="000000" w:themeColor="text1"/>
          <w:sz w:val="24"/>
          <w:szCs w:val="24"/>
          <w:shd w:val="clear" w:color="auto" w:fill="FFFFFF"/>
          <w:lang w:val="en-US"/>
        </w:rPr>
        <w:t>, P.L. (2001). Cointegration and threshold adjustment. </w:t>
      </w:r>
      <w:r w:rsidRPr="002C5DE1">
        <w:rPr>
          <w:rFonts w:ascii="Times New Roman" w:hAnsi="Times New Roman" w:cs="Times New Roman"/>
          <w:i/>
          <w:iCs/>
          <w:color w:val="000000" w:themeColor="text1"/>
          <w:sz w:val="24"/>
          <w:szCs w:val="24"/>
          <w:shd w:val="clear" w:color="auto" w:fill="FFFFFF"/>
          <w:lang w:val="en-US"/>
        </w:rPr>
        <w:t>Journal of Business &amp; Economic Statistics</w:t>
      </w:r>
      <w:r w:rsidRPr="002C5DE1">
        <w:rPr>
          <w:rFonts w:ascii="Times New Roman" w:hAnsi="Times New Roman" w:cs="Times New Roman"/>
          <w:color w:val="000000" w:themeColor="text1"/>
          <w:sz w:val="24"/>
          <w:szCs w:val="24"/>
          <w:shd w:val="clear" w:color="auto" w:fill="FFFFFF"/>
          <w:lang w:val="en-US"/>
        </w:rPr>
        <w:t> 19(2), 166-176.</w:t>
      </w:r>
    </w:p>
    <w:p w14:paraId="0DBAAD25" w14:textId="77777777" w:rsidR="00390090" w:rsidRPr="002C5DE1" w:rsidRDefault="00390090" w:rsidP="00C145FF">
      <w:pPr>
        <w:spacing w:before="120" w:after="120" w:line="276" w:lineRule="auto"/>
        <w:ind w:left="720" w:hanging="720"/>
        <w:jc w:val="both"/>
        <w:rPr>
          <w:rFonts w:ascii="Times New Roman" w:eastAsia="Times New Roman" w:hAnsi="Times New Roman" w:cs="Times New Roman"/>
          <w:color w:val="000000" w:themeColor="text1"/>
          <w:sz w:val="24"/>
          <w:szCs w:val="24"/>
          <w:lang w:val="en-US" w:eastAsia="tr-TR"/>
        </w:rPr>
      </w:pPr>
      <w:r w:rsidRPr="002C5DE1">
        <w:rPr>
          <w:rFonts w:ascii="Times New Roman" w:eastAsia="Times New Roman" w:hAnsi="Times New Roman" w:cs="Times New Roman"/>
          <w:color w:val="000000" w:themeColor="text1"/>
          <w:sz w:val="24"/>
          <w:szCs w:val="24"/>
          <w:lang w:val="en-US" w:eastAsia="tr-TR"/>
        </w:rPr>
        <w:t>Engelhardt, G.V. (1996). House prices and home owner saving behavior. </w:t>
      </w:r>
      <w:r w:rsidRPr="002C5DE1">
        <w:rPr>
          <w:rFonts w:ascii="Times New Roman" w:eastAsia="Times New Roman" w:hAnsi="Times New Roman" w:cs="Times New Roman"/>
          <w:i/>
          <w:iCs/>
          <w:color w:val="000000" w:themeColor="text1"/>
          <w:sz w:val="24"/>
          <w:szCs w:val="24"/>
          <w:lang w:val="en-US" w:eastAsia="tr-TR"/>
        </w:rPr>
        <w:t xml:space="preserve">Regional </w:t>
      </w:r>
      <w:r w:rsidR="00D03E56" w:rsidRPr="002C5DE1">
        <w:rPr>
          <w:rFonts w:ascii="Times New Roman" w:eastAsia="Times New Roman" w:hAnsi="Times New Roman" w:cs="Times New Roman"/>
          <w:i/>
          <w:iCs/>
          <w:color w:val="000000" w:themeColor="text1"/>
          <w:sz w:val="24"/>
          <w:szCs w:val="24"/>
          <w:lang w:val="en-US" w:eastAsia="tr-TR"/>
        </w:rPr>
        <w:t>S</w:t>
      </w:r>
      <w:r w:rsidRPr="002C5DE1">
        <w:rPr>
          <w:rFonts w:ascii="Times New Roman" w:eastAsia="Times New Roman" w:hAnsi="Times New Roman" w:cs="Times New Roman"/>
          <w:i/>
          <w:iCs/>
          <w:color w:val="000000" w:themeColor="text1"/>
          <w:sz w:val="24"/>
          <w:szCs w:val="24"/>
          <w:lang w:val="en-US" w:eastAsia="tr-TR"/>
        </w:rPr>
        <w:t xml:space="preserve">cience and </w:t>
      </w:r>
      <w:r w:rsidR="00D03E56" w:rsidRPr="002C5DE1">
        <w:rPr>
          <w:rFonts w:ascii="Times New Roman" w:eastAsia="Times New Roman" w:hAnsi="Times New Roman" w:cs="Times New Roman"/>
          <w:i/>
          <w:iCs/>
          <w:color w:val="000000" w:themeColor="text1"/>
          <w:sz w:val="24"/>
          <w:szCs w:val="24"/>
          <w:lang w:val="en-US" w:eastAsia="tr-TR"/>
        </w:rPr>
        <w:t>U</w:t>
      </w:r>
      <w:r w:rsidRPr="002C5DE1">
        <w:rPr>
          <w:rFonts w:ascii="Times New Roman" w:eastAsia="Times New Roman" w:hAnsi="Times New Roman" w:cs="Times New Roman"/>
          <w:i/>
          <w:iCs/>
          <w:color w:val="000000" w:themeColor="text1"/>
          <w:sz w:val="24"/>
          <w:szCs w:val="24"/>
          <w:lang w:val="en-US" w:eastAsia="tr-TR"/>
        </w:rPr>
        <w:t>rban Economics</w:t>
      </w:r>
      <w:r w:rsidRPr="002C5DE1">
        <w:rPr>
          <w:rFonts w:ascii="Times New Roman" w:eastAsia="Times New Roman" w:hAnsi="Times New Roman" w:cs="Times New Roman"/>
          <w:color w:val="000000" w:themeColor="text1"/>
          <w:sz w:val="24"/>
          <w:szCs w:val="24"/>
          <w:lang w:val="en-US" w:eastAsia="tr-TR"/>
        </w:rPr>
        <w:t> 26(3-4), 313-336.</w:t>
      </w:r>
    </w:p>
    <w:p w14:paraId="4D9126D4" w14:textId="77777777" w:rsidR="00390090" w:rsidRPr="002C5DE1" w:rsidRDefault="00390090" w:rsidP="00C145FF">
      <w:pPr>
        <w:spacing w:before="120" w:after="120" w:line="276" w:lineRule="auto"/>
        <w:ind w:left="720" w:hanging="720"/>
        <w:jc w:val="both"/>
        <w:rPr>
          <w:rFonts w:ascii="Times New Roman" w:eastAsia="Times New Roman" w:hAnsi="Times New Roman" w:cs="Times New Roman"/>
          <w:color w:val="000000" w:themeColor="text1"/>
          <w:sz w:val="24"/>
          <w:szCs w:val="24"/>
          <w:lang w:val="en-US" w:eastAsia="tr-TR"/>
        </w:rPr>
      </w:pPr>
      <w:r w:rsidRPr="002C5DE1">
        <w:rPr>
          <w:rFonts w:ascii="Times New Roman" w:eastAsia="Times New Roman" w:hAnsi="Times New Roman" w:cs="Times New Roman"/>
          <w:color w:val="000000" w:themeColor="text1"/>
          <w:sz w:val="24"/>
          <w:szCs w:val="24"/>
          <w:lang w:val="en-US" w:eastAsia="tr-TR"/>
        </w:rPr>
        <w:t>Fisher, L.A., &amp; Voss, G.M. (2004). Consumption, wealth and expected stock returns in Australia. </w:t>
      </w:r>
      <w:r w:rsidRPr="002C5DE1">
        <w:rPr>
          <w:rFonts w:ascii="Times New Roman" w:eastAsia="Times New Roman" w:hAnsi="Times New Roman" w:cs="Times New Roman"/>
          <w:i/>
          <w:iCs/>
          <w:color w:val="000000" w:themeColor="text1"/>
          <w:sz w:val="24"/>
          <w:szCs w:val="24"/>
          <w:lang w:val="en-US" w:eastAsia="tr-TR"/>
        </w:rPr>
        <w:t>Economic Record</w:t>
      </w:r>
      <w:r w:rsidRPr="002C5DE1">
        <w:rPr>
          <w:rFonts w:ascii="Times New Roman" w:eastAsia="Times New Roman" w:hAnsi="Times New Roman" w:cs="Times New Roman"/>
          <w:color w:val="000000" w:themeColor="text1"/>
          <w:sz w:val="24"/>
          <w:szCs w:val="24"/>
          <w:lang w:val="en-US" w:eastAsia="tr-TR"/>
        </w:rPr>
        <w:t> 80(251), 359-372.</w:t>
      </w:r>
    </w:p>
    <w:p w14:paraId="548B6A4E" w14:textId="77777777" w:rsidR="00390090" w:rsidRPr="002C5DE1" w:rsidRDefault="00390090" w:rsidP="00C145FF">
      <w:pPr>
        <w:spacing w:before="120" w:after="120" w:line="276" w:lineRule="auto"/>
        <w:ind w:left="720" w:hanging="720"/>
        <w:jc w:val="both"/>
        <w:rPr>
          <w:rFonts w:ascii="Times New Roman" w:eastAsia="Times New Roman" w:hAnsi="Times New Roman" w:cs="Times New Roman"/>
          <w:color w:val="000000" w:themeColor="text1"/>
          <w:sz w:val="24"/>
          <w:szCs w:val="24"/>
          <w:lang w:val="en-US" w:eastAsia="tr-TR"/>
        </w:rPr>
      </w:pPr>
      <w:r w:rsidRPr="002C5DE1">
        <w:rPr>
          <w:rFonts w:ascii="Times New Roman" w:eastAsia="Times New Roman" w:hAnsi="Times New Roman" w:cs="Times New Roman"/>
          <w:color w:val="000000" w:themeColor="text1"/>
          <w:sz w:val="24"/>
          <w:szCs w:val="24"/>
          <w:lang w:val="en-US" w:eastAsia="tr-TR"/>
        </w:rPr>
        <w:t xml:space="preserve">Friedman, M. (1957). A </w:t>
      </w:r>
      <w:r w:rsidR="00D03E56" w:rsidRPr="002C5DE1">
        <w:rPr>
          <w:rFonts w:ascii="Times New Roman" w:eastAsia="Times New Roman" w:hAnsi="Times New Roman" w:cs="Times New Roman"/>
          <w:color w:val="000000" w:themeColor="text1"/>
          <w:sz w:val="24"/>
          <w:szCs w:val="24"/>
          <w:lang w:val="en-US" w:eastAsia="tr-TR"/>
        </w:rPr>
        <w:t>t</w:t>
      </w:r>
      <w:r w:rsidRPr="002C5DE1">
        <w:rPr>
          <w:rFonts w:ascii="Times New Roman" w:eastAsia="Times New Roman" w:hAnsi="Times New Roman" w:cs="Times New Roman"/>
          <w:color w:val="000000" w:themeColor="text1"/>
          <w:sz w:val="24"/>
          <w:szCs w:val="24"/>
          <w:lang w:val="en-US" w:eastAsia="tr-TR"/>
        </w:rPr>
        <w:t xml:space="preserve">heory of the </w:t>
      </w:r>
      <w:r w:rsidR="00D03E56" w:rsidRPr="002C5DE1">
        <w:rPr>
          <w:rFonts w:ascii="Times New Roman" w:eastAsia="Times New Roman" w:hAnsi="Times New Roman" w:cs="Times New Roman"/>
          <w:color w:val="000000" w:themeColor="text1"/>
          <w:sz w:val="24"/>
          <w:szCs w:val="24"/>
          <w:lang w:val="en-US" w:eastAsia="tr-TR"/>
        </w:rPr>
        <w:t>c</w:t>
      </w:r>
      <w:r w:rsidRPr="002C5DE1">
        <w:rPr>
          <w:rFonts w:ascii="Times New Roman" w:eastAsia="Times New Roman" w:hAnsi="Times New Roman" w:cs="Times New Roman"/>
          <w:color w:val="000000" w:themeColor="text1"/>
          <w:sz w:val="24"/>
          <w:szCs w:val="24"/>
          <w:lang w:val="en-US" w:eastAsia="tr-TR"/>
        </w:rPr>
        <w:t xml:space="preserve">onsumption </w:t>
      </w:r>
      <w:r w:rsidR="00D03E56" w:rsidRPr="002C5DE1">
        <w:rPr>
          <w:rFonts w:ascii="Times New Roman" w:eastAsia="Times New Roman" w:hAnsi="Times New Roman" w:cs="Times New Roman"/>
          <w:color w:val="000000" w:themeColor="text1"/>
          <w:sz w:val="24"/>
          <w:szCs w:val="24"/>
          <w:lang w:val="en-US" w:eastAsia="tr-TR"/>
        </w:rPr>
        <w:t>f</w:t>
      </w:r>
      <w:r w:rsidRPr="002C5DE1">
        <w:rPr>
          <w:rFonts w:ascii="Times New Roman" w:eastAsia="Times New Roman" w:hAnsi="Times New Roman" w:cs="Times New Roman"/>
          <w:color w:val="000000" w:themeColor="text1"/>
          <w:sz w:val="24"/>
          <w:szCs w:val="24"/>
          <w:lang w:val="en-US" w:eastAsia="tr-TR"/>
        </w:rPr>
        <w:t xml:space="preserve">unction. </w:t>
      </w:r>
      <w:r w:rsidR="00D03E56" w:rsidRPr="002C5DE1">
        <w:rPr>
          <w:rFonts w:ascii="Times New Roman" w:eastAsia="Times New Roman" w:hAnsi="Times New Roman" w:cs="Times New Roman"/>
          <w:color w:val="000000" w:themeColor="text1"/>
          <w:sz w:val="24"/>
          <w:szCs w:val="24"/>
          <w:lang w:val="en-US" w:eastAsia="tr-TR"/>
        </w:rPr>
        <w:t xml:space="preserve">Working Paper, No. 63, </w:t>
      </w:r>
      <w:r w:rsidRPr="002C5DE1">
        <w:rPr>
          <w:rFonts w:ascii="Times New Roman" w:eastAsia="Times New Roman" w:hAnsi="Times New Roman" w:cs="Times New Roman"/>
          <w:color w:val="000000" w:themeColor="text1"/>
          <w:sz w:val="24"/>
          <w:szCs w:val="24"/>
          <w:lang w:val="en-US" w:eastAsia="tr-TR"/>
        </w:rPr>
        <w:t>National Bureau of Economic Research, Princeton University Press, Princeton.</w:t>
      </w:r>
    </w:p>
    <w:p w14:paraId="037A23A2" w14:textId="77777777" w:rsidR="00F34E70" w:rsidRPr="002C5DE1" w:rsidRDefault="00F34E70" w:rsidP="00F34E70">
      <w:pPr>
        <w:spacing w:before="120" w:after="120" w:line="276" w:lineRule="auto"/>
        <w:ind w:left="720" w:hanging="720"/>
        <w:jc w:val="both"/>
        <w:rPr>
          <w:rFonts w:ascii="Times New Roman" w:eastAsia="Times New Roman" w:hAnsi="Times New Roman" w:cs="Times New Roman"/>
          <w:color w:val="000000" w:themeColor="text1"/>
          <w:sz w:val="24"/>
          <w:szCs w:val="24"/>
          <w:lang w:val="en-US" w:eastAsia="tr-TR"/>
        </w:rPr>
      </w:pPr>
      <w:r w:rsidRPr="002C5DE1">
        <w:rPr>
          <w:rFonts w:ascii="Times New Roman" w:eastAsia="Times New Roman" w:hAnsi="Times New Roman" w:cs="Times New Roman"/>
          <w:color w:val="000000" w:themeColor="text1"/>
          <w:sz w:val="24"/>
          <w:szCs w:val="24"/>
          <w:lang w:val="en-US" w:eastAsia="tr-TR"/>
        </w:rPr>
        <w:t xml:space="preserve">González, A., </w:t>
      </w:r>
      <w:proofErr w:type="spellStart"/>
      <w:r w:rsidRPr="002C5DE1">
        <w:rPr>
          <w:rFonts w:ascii="Times New Roman" w:eastAsia="Times New Roman" w:hAnsi="Times New Roman" w:cs="Times New Roman"/>
          <w:color w:val="000000" w:themeColor="text1"/>
          <w:sz w:val="24"/>
          <w:szCs w:val="24"/>
          <w:lang w:val="en-US" w:eastAsia="tr-TR"/>
        </w:rPr>
        <w:t>Teräsvirta</w:t>
      </w:r>
      <w:proofErr w:type="spellEnd"/>
      <w:r w:rsidRPr="002C5DE1">
        <w:rPr>
          <w:rFonts w:ascii="Times New Roman" w:eastAsia="Times New Roman" w:hAnsi="Times New Roman" w:cs="Times New Roman"/>
          <w:color w:val="000000" w:themeColor="text1"/>
          <w:sz w:val="24"/>
          <w:szCs w:val="24"/>
          <w:lang w:val="en-US" w:eastAsia="tr-TR"/>
        </w:rPr>
        <w:t>, T., &amp; van Dijk, D. (2005). Panel smooth transition regression models. Research Paper, No. 165, Sidney Quantitative Finance Research Centre, University of Technology.</w:t>
      </w:r>
    </w:p>
    <w:p w14:paraId="7FB5A389" w14:textId="77777777" w:rsidR="00390090" w:rsidRPr="002C5DE1" w:rsidRDefault="00390090" w:rsidP="00C145FF">
      <w:pPr>
        <w:spacing w:before="120" w:after="120" w:line="276" w:lineRule="auto"/>
        <w:ind w:left="720" w:hanging="720"/>
        <w:jc w:val="both"/>
        <w:rPr>
          <w:rFonts w:ascii="Times New Roman" w:eastAsia="Times New Roman" w:hAnsi="Times New Roman" w:cs="Times New Roman"/>
          <w:color w:val="000000" w:themeColor="text1"/>
          <w:sz w:val="24"/>
          <w:szCs w:val="24"/>
          <w:lang w:val="en-US" w:eastAsia="tr-TR"/>
        </w:rPr>
      </w:pPr>
      <w:r w:rsidRPr="002C5DE1">
        <w:rPr>
          <w:rFonts w:ascii="Times New Roman" w:eastAsia="Times New Roman" w:hAnsi="Times New Roman" w:cs="Times New Roman"/>
          <w:color w:val="000000" w:themeColor="text1"/>
          <w:sz w:val="24"/>
          <w:szCs w:val="24"/>
          <w:lang w:val="en-US" w:eastAsia="tr-TR"/>
        </w:rPr>
        <w:t>Greenwood, J., &amp; Jovanovic, B. (1990). Financial development, growth, and the distribution of income. </w:t>
      </w:r>
      <w:r w:rsidRPr="002C5DE1">
        <w:rPr>
          <w:rFonts w:ascii="Times New Roman" w:eastAsia="Times New Roman" w:hAnsi="Times New Roman" w:cs="Times New Roman"/>
          <w:i/>
          <w:iCs/>
          <w:color w:val="000000" w:themeColor="text1"/>
          <w:sz w:val="24"/>
          <w:szCs w:val="24"/>
          <w:lang w:val="en-US" w:eastAsia="tr-TR"/>
        </w:rPr>
        <w:t>Journal of political Economy</w:t>
      </w:r>
      <w:r w:rsidRPr="002C5DE1">
        <w:rPr>
          <w:rFonts w:ascii="Times New Roman" w:eastAsia="Times New Roman" w:hAnsi="Times New Roman" w:cs="Times New Roman"/>
          <w:color w:val="000000" w:themeColor="text1"/>
          <w:sz w:val="24"/>
          <w:szCs w:val="24"/>
          <w:lang w:val="en-US" w:eastAsia="tr-TR"/>
        </w:rPr>
        <w:t> 98(5, Part 1), 1076-1107.  </w:t>
      </w:r>
    </w:p>
    <w:p w14:paraId="764FCCFB" w14:textId="77777777" w:rsidR="00390090" w:rsidRPr="002C5DE1" w:rsidRDefault="00390090" w:rsidP="00C145FF">
      <w:pPr>
        <w:widowControl w:val="0"/>
        <w:autoSpaceDE w:val="0"/>
        <w:autoSpaceDN w:val="0"/>
        <w:adjustRightInd w:val="0"/>
        <w:spacing w:before="120" w:after="120" w:line="276" w:lineRule="auto"/>
        <w:ind w:left="720" w:hanging="720"/>
        <w:jc w:val="both"/>
        <w:rPr>
          <w:rFonts w:ascii="Times New Roman" w:hAnsi="Times New Roman" w:cs="Times New Roman"/>
          <w:color w:val="000000" w:themeColor="text1"/>
          <w:sz w:val="24"/>
          <w:szCs w:val="24"/>
          <w:shd w:val="clear" w:color="auto" w:fill="FFFFFF"/>
          <w:lang w:val="en-US"/>
        </w:rPr>
      </w:pPr>
      <w:r w:rsidRPr="002C5DE1">
        <w:rPr>
          <w:rFonts w:ascii="Times New Roman" w:hAnsi="Times New Roman" w:cs="Times New Roman"/>
          <w:color w:val="000000" w:themeColor="text1"/>
          <w:sz w:val="24"/>
          <w:szCs w:val="24"/>
          <w:shd w:val="clear" w:color="auto" w:fill="FFFFFF"/>
          <w:lang w:val="en-US"/>
        </w:rPr>
        <w:t xml:space="preserve">Hansen, B.E., 1999. Threshold effects in non-dynamic panels: estimation, testing, and inference. </w:t>
      </w:r>
      <w:r w:rsidRPr="002C5DE1">
        <w:rPr>
          <w:rFonts w:ascii="Times New Roman" w:hAnsi="Times New Roman" w:cs="Times New Roman"/>
          <w:i/>
          <w:iCs/>
          <w:color w:val="000000" w:themeColor="text1"/>
          <w:sz w:val="24"/>
          <w:szCs w:val="24"/>
          <w:shd w:val="clear" w:color="auto" w:fill="FFFFFF"/>
          <w:lang w:val="en-US"/>
        </w:rPr>
        <w:t>Journal of Econometrics</w:t>
      </w:r>
      <w:r w:rsidRPr="002C5DE1">
        <w:rPr>
          <w:rFonts w:ascii="Times New Roman" w:hAnsi="Times New Roman" w:cs="Times New Roman"/>
          <w:color w:val="000000" w:themeColor="text1"/>
          <w:sz w:val="24"/>
          <w:szCs w:val="24"/>
          <w:shd w:val="clear" w:color="auto" w:fill="FFFFFF"/>
          <w:lang w:val="en-US"/>
        </w:rPr>
        <w:t xml:space="preserve"> 93</w:t>
      </w:r>
      <w:r w:rsidR="00D03E56" w:rsidRPr="002C5DE1">
        <w:rPr>
          <w:rFonts w:ascii="Times New Roman" w:hAnsi="Times New Roman" w:cs="Times New Roman"/>
          <w:color w:val="000000" w:themeColor="text1"/>
          <w:sz w:val="24"/>
          <w:szCs w:val="24"/>
          <w:shd w:val="clear" w:color="auto" w:fill="FFFFFF"/>
          <w:lang w:val="en-US"/>
        </w:rPr>
        <w:t>(2)</w:t>
      </w:r>
      <w:r w:rsidRPr="002C5DE1">
        <w:rPr>
          <w:rFonts w:ascii="Times New Roman" w:hAnsi="Times New Roman" w:cs="Times New Roman"/>
          <w:color w:val="000000" w:themeColor="text1"/>
          <w:sz w:val="24"/>
          <w:szCs w:val="24"/>
          <w:shd w:val="clear" w:color="auto" w:fill="FFFFFF"/>
          <w:lang w:val="en-US"/>
        </w:rPr>
        <w:t>, 345-368.</w:t>
      </w:r>
    </w:p>
    <w:p w14:paraId="6E77B018" w14:textId="77777777" w:rsidR="00390090" w:rsidRPr="002C5DE1" w:rsidRDefault="00390090" w:rsidP="00C145FF">
      <w:pPr>
        <w:widowControl w:val="0"/>
        <w:autoSpaceDE w:val="0"/>
        <w:autoSpaceDN w:val="0"/>
        <w:adjustRightInd w:val="0"/>
        <w:spacing w:before="120" w:after="120" w:line="276" w:lineRule="auto"/>
        <w:ind w:left="720" w:hanging="720"/>
        <w:jc w:val="both"/>
        <w:rPr>
          <w:rFonts w:ascii="Times New Roman" w:hAnsi="Times New Roman" w:cs="Times New Roman"/>
          <w:color w:val="000000" w:themeColor="text1"/>
          <w:sz w:val="24"/>
          <w:szCs w:val="24"/>
          <w:shd w:val="clear" w:color="auto" w:fill="FFFFFF"/>
          <w:lang w:val="en-US"/>
        </w:rPr>
      </w:pPr>
      <w:proofErr w:type="spellStart"/>
      <w:r w:rsidRPr="002C5DE1">
        <w:rPr>
          <w:rFonts w:ascii="Times New Roman" w:hAnsi="Times New Roman" w:cs="Times New Roman"/>
          <w:color w:val="000000" w:themeColor="text1"/>
          <w:sz w:val="24"/>
          <w:szCs w:val="24"/>
          <w:shd w:val="clear" w:color="auto" w:fill="FFFFFF"/>
          <w:lang w:val="en-US"/>
        </w:rPr>
        <w:t>Holländer</w:t>
      </w:r>
      <w:proofErr w:type="spellEnd"/>
      <w:r w:rsidRPr="002C5DE1">
        <w:rPr>
          <w:rFonts w:ascii="Times New Roman" w:hAnsi="Times New Roman" w:cs="Times New Roman"/>
          <w:color w:val="000000" w:themeColor="text1"/>
          <w:sz w:val="24"/>
          <w:szCs w:val="24"/>
          <w:shd w:val="clear" w:color="auto" w:fill="FFFFFF"/>
          <w:lang w:val="en-US"/>
        </w:rPr>
        <w:t xml:space="preserve">, H. (2001). On the validity of utility statements: standard theory versus </w:t>
      </w:r>
      <w:proofErr w:type="spellStart"/>
      <w:r w:rsidRPr="002C5DE1">
        <w:rPr>
          <w:rFonts w:ascii="Times New Roman" w:hAnsi="Times New Roman" w:cs="Times New Roman"/>
          <w:color w:val="000000" w:themeColor="text1"/>
          <w:sz w:val="24"/>
          <w:szCs w:val="24"/>
          <w:shd w:val="clear" w:color="auto" w:fill="FFFFFF"/>
          <w:lang w:val="en-US"/>
        </w:rPr>
        <w:t>Duesenberry’s</w:t>
      </w:r>
      <w:proofErr w:type="spellEnd"/>
      <w:r w:rsidRPr="002C5DE1">
        <w:rPr>
          <w:rFonts w:ascii="Times New Roman" w:hAnsi="Times New Roman" w:cs="Times New Roman"/>
          <w:color w:val="000000" w:themeColor="text1"/>
          <w:sz w:val="24"/>
          <w:szCs w:val="24"/>
          <w:shd w:val="clear" w:color="auto" w:fill="FFFFFF"/>
          <w:lang w:val="en-US"/>
        </w:rPr>
        <w:t xml:space="preserve">. </w:t>
      </w:r>
      <w:r w:rsidRPr="002C5DE1">
        <w:rPr>
          <w:rFonts w:ascii="Times New Roman" w:hAnsi="Times New Roman" w:cs="Times New Roman"/>
          <w:i/>
          <w:iCs/>
          <w:color w:val="000000" w:themeColor="text1"/>
          <w:sz w:val="24"/>
          <w:szCs w:val="24"/>
          <w:shd w:val="clear" w:color="auto" w:fill="FFFFFF"/>
          <w:lang w:val="en-US"/>
        </w:rPr>
        <w:t>Journal of Economic Behavior &amp; Organization</w:t>
      </w:r>
      <w:r w:rsidRPr="002C5DE1">
        <w:rPr>
          <w:rFonts w:ascii="Times New Roman" w:hAnsi="Times New Roman" w:cs="Times New Roman"/>
          <w:color w:val="000000" w:themeColor="text1"/>
          <w:sz w:val="24"/>
          <w:szCs w:val="24"/>
          <w:shd w:val="clear" w:color="auto" w:fill="FFFFFF"/>
          <w:lang w:val="en-US"/>
        </w:rPr>
        <w:t xml:space="preserve"> 45(3), 227-249. </w:t>
      </w:r>
    </w:p>
    <w:p w14:paraId="00AB6CC1" w14:textId="77777777" w:rsidR="00390090" w:rsidRPr="002C5DE1" w:rsidRDefault="00390090" w:rsidP="00C145FF">
      <w:pPr>
        <w:widowControl w:val="0"/>
        <w:autoSpaceDE w:val="0"/>
        <w:autoSpaceDN w:val="0"/>
        <w:adjustRightInd w:val="0"/>
        <w:spacing w:before="120" w:after="120" w:line="276" w:lineRule="auto"/>
        <w:ind w:left="720" w:hanging="720"/>
        <w:jc w:val="both"/>
        <w:rPr>
          <w:rFonts w:ascii="Times New Roman" w:hAnsi="Times New Roman" w:cs="Times New Roman"/>
          <w:color w:val="000000" w:themeColor="text1"/>
          <w:sz w:val="24"/>
          <w:szCs w:val="24"/>
          <w:shd w:val="clear" w:color="auto" w:fill="FFFFFF"/>
          <w:lang w:val="en-US"/>
        </w:rPr>
      </w:pPr>
      <w:r w:rsidRPr="002C5DE1">
        <w:rPr>
          <w:rFonts w:ascii="Times New Roman" w:hAnsi="Times New Roman" w:cs="Times New Roman"/>
          <w:color w:val="000000" w:themeColor="text1"/>
          <w:sz w:val="24"/>
          <w:szCs w:val="24"/>
          <w:shd w:val="clear" w:color="auto" w:fill="FFFFFF"/>
          <w:lang w:val="en-US"/>
        </w:rPr>
        <w:t xml:space="preserve">Hui, E. C. M. &amp; Yue, S. (2006) Housing price bubbles in Hong Kong, Beijing and Shanghai: </w:t>
      </w:r>
      <w:r w:rsidR="00D03E56" w:rsidRPr="002C5DE1">
        <w:rPr>
          <w:rFonts w:ascii="Times New Roman" w:hAnsi="Times New Roman" w:cs="Times New Roman"/>
          <w:color w:val="000000" w:themeColor="text1"/>
          <w:sz w:val="24"/>
          <w:szCs w:val="24"/>
          <w:shd w:val="clear" w:color="auto" w:fill="FFFFFF"/>
          <w:lang w:val="en-US"/>
        </w:rPr>
        <w:t>a</w:t>
      </w:r>
      <w:r w:rsidRPr="002C5DE1">
        <w:rPr>
          <w:rFonts w:ascii="Times New Roman" w:hAnsi="Times New Roman" w:cs="Times New Roman"/>
          <w:color w:val="000000" w:themeColor="text1"/>
          <w:sz w:val="24"/>
          <w:szCs w:val="24"/>
          <w:shd w:val="clear" w:color="auto" w:fill="FFFFFF"/>
          <w:lang w:val="en-US"/>
        </w:rPr>
        <w:t xml:space="preserve"> comparative study</w:t>
      </w:r>
      <w:r w:rsidR="00D03E56" w:rsidRPr="002C5DE1">
        <w:rPr>
          <w:rFonts w:ascii="Times New Roman" w:hAnsi="Times New Roman" w:cs="Times New Roman"/>
          <w:color w:val="000000" w:themeColor="text1"/>
          <w:sz w:val="24"/>
          <w:szCs w:val="24"/>
          <w:shd w:val="clear" w:color="auto" w:fill="FFFFFF"/>
          <w:lang w:val="en-US"/>
        </w:rPr>
        <w:t>.</w:t>
      </w:r>
      <w:r w:rsidRPr="002C5DE1">
        <w:rPr>
          <w:rFonts w:ascii="Times New Roman" w:hAnsi="Times New Roman" w:cs="Times New Roman"/>
          <w:color w:val="000000" w:themeColor="text1"/>
          <w:sz w:val="24"/>
          <w:szCs w:val="24"/>
          <w:shd w:val="clear" w:color="auto" w:fill="FFFFFF"/>
          <w:lang w:val="en-US"/>
        </w:rPr>
        <w:t xml:space="preserve"> </w:t>
      </w:r>
      <w:r w:rsidRPr="002C5DE1">
        <w:rPr>
          <w:rFonts w:ascii="Times New Roman" w:hAnsi="Times New Roman" w:cs="Times New Roman"/>
          <w:i/>
          <w:iCs/>
          <w:color w:val="000000" w:themeColor="text1"/>
          <w:sz w:val="24"/>
          <w:szCs w:val="24"/>
          <w:shd w:val="clear" w:color="auto" w:fill="FFFFFF"/>
          <w:lang w:val="en-US"/>
        </w:rPr>
        <w:t>The Journal of Real Estate Finance and Economics</w:t>
      </w:r>
      <w:r w:rsidRPr="002C5DE1">
        <w:rPr>
          <w:rFonts w:ascii="Times New Roman" w:hAnsi="Times New Roman" w:cs="Times New Roman"/>
          <w:color w:val="000000" w:themeColor="text1"/>
          <w:sz w:val="24"/>
          <w:szCs w:val="24"/>
          <w:shd w:val="clear" w:color="auto" w:fill="FFFFFF"/>
          <w:lang w:val="en-US"/>
        </w:rPr>
        <w:t xml:space="preserve"> 33</w:t>
      </w:r>
      <w:r w:rsidR="00D03E56" w:rsidRPr="002C5DE1">
        <w:rPr>
          <w:rFonts w:ascii="Times New Roman" w:hAnsi="Times New Roman" w:cs="Times New Roman"/>
          <w:color w:val="000000" w:themeColor="text1"/>
          <w:sz w:val="24"/>
          <w:szCs w:val="24"/>
          <w:shd w:val="clear" w:color="auto" w:fill="FFFFFF"/>
          <w:lang w:val="en-US"/>
        </w:rPr>
        <w:t>(2)</w:t>
      </w:r>
      <w:r w:rsidRPr="002C5DE1">
        <w:rPr>
          <w:rFonts w:ascii="Times New Roman" w:hAnsi="Times New Roman" w:cs="Times New Roman"/>
          <w:color w:val="000000" w:themeColor="text1"/>
          <w:sz w:val="24"/>
          <w:szCs w:val="24"/>
          <w:shd w:val="clear" w:color="auto" w:fill="FFFFFF"/>
          <w:lang w:val="en-US"/>
        </w:rPr>
        <w:t>, 299</w:t>
      </w:r>
      <w:r w:rsidR="00D03E56" w:rsidRPr="002C5DE1">
        <w:rPr>
          <w:rFonts w:ascii="Times New Roman" w:hAnsi="Times New Roman" w:cs="Times New Roman"/>
          <w:color w:val="000000" w:themeColor="text1"/>
          <w:sz w:val="24"/>
          <w:szCs w:val="24"/>
          <w:shd w:val="clear" w:color="auto" w:fill="FFFFFF"/>
          <w:lang w:val="en-US"/>
        </w:rPr>
        <w:t>-</w:t>
      </w:r>
      <w:r w:rsidRPr="002C5DE1">
        <w:rPr>
          <w:rFonts w:ascii="Times New Roman" w:hAnsi="Times New Roman" w:cs="Times New Roman"/>
          <w:color w:val="000000" w:themeColor="text1"/>
          <w:sz w:val="24"/>
          <w:szCs w:val="24"/>
          <w:shd w:val="clear" w:color="auto" w:fill="FFFFFF"/>
          <w:lang w:val="en-US"/>
        </w:rPr>
        <w:t>327.</w:t>
      </w:r>
    </w:p>
    <w:p w14:paraId="4B77C81B" w14:textId="77777777" w:rsidR="00390090" w:rsidRPr="002C5DE1" w:rsidRDefault="00390090" w:rsidP="00C145FF">
      <w:pPr>
        <w:autoSpaceDE w:val="0"/>
        <w:autoSpaceDN w:val="0"/>
        <w:adjustRightInd w:val="0"/>
        <w:spacing w:before="120" w:after="120" w:line="276" w:lineRule="auto"/>
        <w:ind w:left="720" w:hanging="720"/>
        <w:jc w:val="both"/>
        <w:rPr>
          <w:rFonts w:ascii="Times New Roman" w:hAnsi="Times New Roman" w:cs="Times New Roman"/>
          <w:color w:val="000000" w:themeColor="text1"/>
          <w:sz w:val="24"/>
          <w:szCs w:val="24"/>
          <w:shd w:val="clear" w:color="auto" w:fill="FFFFFF"/>
          <w:lang w:val="en-US"/>
        </w:rPr>
      </w:pPr>
      <w:r w:rsidRPr="002C5DE1">
        <w:rPr>
          <w:rFonts w:ascii="Times New Roman" w:hAnsi="Times New Roman" w:cs="Times New Roman"/>
          <w:color w:val="000000" w:themeColor="text1"/>
          <w:sz w:val="24"/>
          <w:szCs w:val="24"/>
          <w:shd w:val="clear" w:color="auto" w:fill="FFFFFF"/>
          <w:lang w:val="en-US"/>
        </w:rPr>
        <w:t xml:space="preserve">Hui, E.C., Dong, Z., &amp; Jia, S. (2018). How do housing price and sentiment affect consumption distribution in </w:t>
      </w:r>
      <w:proofErr w:type="gramStart"/>
      <w:r w:rsidRPr="002C5DE1">
        <w:rPr>
          <w:rFonts w:ascii="Times New Roman" w:hAnsi="Times New Roman" w:cs="Times New Roman"/>
          <w:color w:val="000000" w:themeColor="text1"/>
          <w:sz w:val="24"/>
          <w:szCs w:val="24"/>
          <w:shd w:val="clear" w:color="auto" w:fill="FFFFFF"/>
          <w:lang w:val="en-US"/>
        </w:rPr>
        <w:t>China?.</w:t>
      </w:r>
      <w:proofErr w:type="gramEnd"/>
      <w:r w:rsidRPr="002C5DE1">
        <w:rPr>
          <w:rFonts w:ascii="Times New Roman" w:hAnsi="Times New Roman" w:cs="Times New Roman"/>
          <w:color w:val="000000" w:themeColor="text1"/>
          <w:sz w:val="24"/>
          <w:szCs w:val="24"/>
          <w:shd w:val="clear" w:color="auto" w:fill="FFFFFF"/>
          <w:lang w:val="en-US"/>
        </w:rPr>
        <w:t> </w:t>
      </w:r>
      <w:r w:rsidRPr="002C5DE1">
        <w:rPr>
          <w:rFonts w:ascii="Times New Roman" w:hAnsi="Times New Roman" w:cs="Times New Roman"/>
          <w:i/>
          <w:iCs/>
          <w:color w:val="000000" w:themeColor="text1"/>
          <w:sz w:val="24"/>
          <w:szCs w:val="24"/>
          <w:shd w:val="clear" w:color="auto" w:fill="FFFFFF"/>
          <w:lang w:val="en-US"/>
        </w:rPr>
        <w:t>Habitat International</w:t>
      </w:r>
      <w:r w:rsidRPr="002C5DE1">
        <w:rPr>
          <w:rFonts w:ascii="Times New Roman" w:hAnsi="Times New Roman" w:cs="Times New Roman"/>
          <w:color w:val="000000" w:themeColor="text1"/>
          <w:sz w:val="24"/>
          <w:szCs w:val="24"/>
          <w:shd w:val="clear" w:color="auto" w:fill="FFFFFF"/>
          <w:lang w:val="en-US"/>
        </w:rPr>
        <w:t> 77</w:t>
      </w:r>
      <w:r w:rsidR="00D03E56" w:rsidRPr="002C5DE1">
        <w:rPr>
          <w:rFonts w:ascii="Times New Roman" w:hAnsi="Times New Roman" w:cs="Times New Roman"/>
          <w:color w:val="000000" w:themeColor="text1"/>
          <w:sz w:val="24"/>
          <w:szCs w:val="24"/>
          <w:shd w:val="clear" w:color="auto" w:fill="FFFFFF"/>
          <w:lang w:val="en-US"/>
        </w:rPr>
        <w:t>(1)</w:t>
      </w:r>
      <w:r w:rsidRPr="002C5DE1">
        <w:rPr>
          <w:rFonts w:ascii="Times New Roman" w:hAnsi="Times New Roman" w:cs="Times New Roman"/>
          <w:color w:val="000000" w:themeColor="text1"/>
          <w:sz w:val="24"/>
          <w:szCs w:val="24"/>
          <w:shd w:val="clear" w:color="auto" w:fill="FFFFFF"/>
          <w:lang w:val="en-US"/>
        </w:rPr>
        <w:t>, 99-109.</w:t>
      </w:r>
    </w:p>
    <w:p w14:paraId="4D44A327" w14:textId="77777777" w:rsidR="00390090" w:rsidRPr="002C5DE1" w:rsidRDefault="00390090" w:rsidP="00C145FF">
      <w:pPr>
        <w:autoSpaceDE w:val="0"/>
        <w:autoSpaceDN w:val="0"/>
        <w:adjustRightInd w:val="0"/>
        <w:spacing w:before="120" w:after="120" w:line="276" w:lineRule="auto"/>
        <w:ind w:left="720" w:hanging="720"/>
        <w:jc w:val="both"/>
        <w:rPr>
          <w:rFonts w:ascii="Times New Roman" w:hAnsi="Times New Roman" w:cs="Times New Roman"/>
          <w:color w:val="000000" w:themeColor="text1"/>
          <w:sz w:val="24"/>
          <w:szCs w:val="24"/>
          <w:shd w:val="clear" w:color="auto" w:fill="FFFFFF"/>
          <w:lang w:val="en-US"/>
        </w:rPr>
      </w:pPr>
      <w:proofErr w:type="spellStart"/>
      <w:r w:rsidRPr="002C5DE1">
        <w:rPr>
          <w:rFonts w:ascii="Times New Roman" w:hAnsi="Times New Roman" w:cs="Times New Roman"/>
          <w:color w:val="000000" w:themeColor="text1"/>
          <w:sz w:val="24"/>
          <w:szCs w:val="24"/>
          <w:shd w:val="clear" w:color="auto" w:fill="FFFFFF"/>
          <w:lang w:val="en-US"/>
        </w:rPr>
        <w:t>Iacoviello</w:t>
      </w:r>
      <w:proofErr w:type="spellEnd"/>
      <w:r w:rsidRPr="002C5DE1">
        <w:rPr>
          <w:rFonts w:ascii="Times New Roman" w:hAnsi="Times New Roman" w:cs="Times New Roman"/>
          <w:color w:val="000000" w:themeColor="text1"/>
          <w:sz w:val="24"/>
          <w:szCs w:val="24"/>
          <w:shd w:val="clear" w:color="auto" w:fill="FFFFFF"/>
          <w:lang w:val="en-US"/>
        </w:rPr>
        <w:t>, M. (2004). Consumption, house prices, and collateral constraints: a structural econometric analysis. </w:t>
      </w:r>
      <w:r w:rsidRPr="002C5DE1">
        <w:rPr>
          <w:rFonts w:ascii="Times New Roman" w:hAnsi="Times New Roman" w:cs="Times New Roman"/>
          <w:i/>
          <w:iCs/>
          <w:color w:val="000000" w:themeColor="text1"/>
          <w:sz w:val="24"/>
          <w:szCs w:val="24"/>
          <w:shd w:val="clear" w:color="auto" w:fill="FFFFFF"/>
          <w:lang w:val="en-US"/>
        </w:rPr>
        <w:t xml:space="preserve">Journal of </w:t>
      </w:r>
      <w:r w:rsidR="00D03E56" w:rsidRPr="002C5DE1">
        <w:rPr>
          <w:rFonts w:ascii="Times New Roman" w:hAnsi="Times New Roman" w:cs="Times New Roman"/>
          <w:i/>
          <w:iCs/>
          <w:color w:val="000000" w:themeColor="text1"/>
          <w:sz w:val="24"/>
          <w:szCs w:val="24"/>
          <w:shd w:val="clear" w:color="auto" w:fill="FFFFFF"/>
          <w:lang w:val="en-US"/>
        </w:rPr>
        <w:t>H</w:t>
      </w:r>
      <w:r w:rsidRPr="002C5DE1">
        <w:rPr>
          <w:rFonts w:ascii="Times New Roman" w:hAnsi="Times New Roman" w:cs="Times New Roman"/>
          <w:i/>
          <w:iCs/>
          <w:color w:val="000000" w:themeColor="text1"/>
          <w:sz w:val="24"/>
          <w:szCs w:val="24"/>
          <w:shd w:val="clear" w:color="auto" w:fill="FFFFFF"/>
          <w:lang w:val="en-US"/>
        </w:rPr>
        <w:t>ousing Economics</w:t>
      </w:r>
      <w:r w:rsidRPr="002C5DE1">
        <w:rPr>
          <w:rFonts w:ascii="Times New Roman" w:hAnsi="Times New Roman" w:cs="Times New Roman"/>
          <w:color w:val="000000" w:themeColor="text1"/>
          <w:sz w:val="24"/>
          <w:szCs w:val="24"/>
          <w:shd w:val="clear" w:color="auto" w:fill="FFFFFF"/>
          <w:lang w:val="en-US"/>
        </w:rPr>
        <w:t> 13(4), 304-320.</w:t>
      </w:r>
    </w:p>
    <w:p w14:paraId="5D33F153" w14:textId="77777777" w:rsidR="00390090" w:rsidRPr="002C5DE1" w:rsidRDefault="00390090" w:rsidP="00C145FF">
      <w:pPr>
        <w:widowControl w:val="0"/>
        <w:autoSpaceDE w:val="0"/>
        <w:autoSpaceDN w:val="0"/>
        <w:adjustRightInd w:val="0"/>
        <w:spacing w:before="120" w:after="120" w:line="276" w:lineRule="auto"/>
        <w:ind w:left="720" w:hanging="720"/>
        <w:jc w:val="both"/>
        <w:rPr>
          <w:rFonts w:ascii="Times New Roman" w:hAnsi="Times New Roman" w:cs="Times New Roman"/>
          <w:color w:val="000000" w:themeColor="text1"/>
          <w:sz w:val="24"/>
          <w:szCs w:val="24"/>
          <w:shd w:val="clear" w:color="auto" w:fill="FFFFFF"/>
          <w:lang w:val="en-US"/>
        </w:rPr>
      </w:pPr>
      <w:proofErr w:type="spellStart"/>
      <w:r w:rsidRPr="002C5DE1">
        <w:rPr>
          <w:rFonts w:ascii="Times New Roman" w:hAnsi="Times New Roman" w:cs="Times New Roman"/>
          <w:color w:val="000000" w:themeColor="text1"/>
          <w:sz w:val="24"/>
          <w:szCs w:val="24"/>
          <w:shd w:val="clear" w:color="auto" w:fill="FFFFFF"/>
          <w:lang w:val="en-US"/>
        </w:rPr>
        <w:t>Iacoviello</w:t>
      </w:r>
      <w:proofErr w:type="spellEnd"/>
      <w:r w:rsidRPr="002C5DE1">
        <w:rPr>
          <w:rFonts w:ascii="Times New Roman" w:hAnsi="Times New Roman" w:cs="Times New Roman"/>
          <w:color w:val="000000" w:themeColor="text1"/>
          <w:sz w:val="24"/>
          <w:szCs w:val="24"/>
          <w:shd w:val="clear" w:color="auto" w:fill="FFFFFF"/>
          <w:lang w:val="en-US"/>
        </w:rPr>
        <w:t xml:space="preserve">, M.M. (2011). Housing wealth and consumption. FRB International Finance Discussion Paper, </w:t>
      </w:r>
      <w:r w:rsidR="00D03E56" w:rsidRPr="002C5DE1">
        <w:rPr>
          <w:rFonts w:ascii="Times New Roman" w:hAnsi="Times New Roman" w:cs="Times New Roman"/>
          <w:color w:val="000000" w:themeColor="text1"/>
          <w:sz w:val="24"/>
          <w:szCs w:val="24"/>
          <w:shd w:val="clear" w:color="auto" w:fill="FFFFFF"/>
          <w:lang w:val="en-US"/>
        </w:rPr>
        <w:t xml:space="preserve">No. </w:t>
      </w:r>
      <w:r w:rsidRPr="002C5DE1">
        <w:rPr>
          <w:rFonts w:ascii="Times New Roman" w:hAnsi="Times New Roman" w:cs="Times New Roman"/>
          <w:color w:val="000000" w:themeColor="text1"/>
          <w:sz w:val="24"/>
          <w:szCs w:val="24"/>
          <w:shd w:val="clear" w:color="auto" w:fill="FFFFFF"/>
          <w:lang w:val="en-US"/>
        </w:rPr>
        <w:t>1027.</w:t>
      </w:r>
    </w:p>
    <w:p w14:paraId="2CBDD50B" w14:textId="77777777" w:rsidR="00390090" w:rsidRPr="002C5DE1" w:rsidRDefault="00390090" w:rsidP="00C145FF">
      <w:pPr>
        <w:widowControl w:val="0"/>
        <w:autoSpaceDE w:val="0"/>
        <w:autoSpaceDN w:val="0"/>
        <w:adjustRightInd w:val="0"/>
        <w:spacing w:before="120" w:after="120" w:line="276" w:lineRule="auto"/>
        <w:ind w:left="720" w:hanging="720"/>
        <w:jc w:val="both"/>
        <w:rPr>
          <w:rFonts w:ascii="Times New Roman" w:hAnsi="Times New Roman" w:cs="Times New Roman"/>
          <w:color w:val="000000" w:themeColor="text1"/>
          <w:sz w:val="24"/>
          <w:szCs w:val="24"/>
          <w:shd w:val="clear" w:color="auto" w:fill="FFFFFF"/>
          <w:lang w:val="en-US"/>
        </w:rPr>
      </w:pPr>
      <w:r w:rsidRPr="002C5DE1">
        <w:rPr>
          <w:rFonts w:ascii="Times New Roman" w:hAnsi="Times New Roman" w:cs="Times New Roman"/>
          <w:color w:val="000000" w:themeColor="text1"/>
          <w:sz w:val="24"/>
          <w:szCs w:val="24"/>
          <w:shd w:val="clear" w:color="auto" w:fill="FFFFFF"/>
          <w:lang w:val="en-US"/>
        </w:rPr>
        <w:t xml:space="preserve">Johansen, S., &amp; </w:t>
      </w:r>
      <w:proofErr w:type="spellStart"/>
      <w:r w:rsidRPr="002C5DE1">
        <w:rPr>
          <w:rFonts w:ascii="Times New Roman" w:hAnsi="Times New Roman" w:cs="Times New Roman"/>
          <w:color w:val="000000" w:themeColor="text1"/>
          <w:sz w:val="24"/>
          <w:szCs w:val="24"/>
          <w:shd w:val="clear" w:color="auto" w:fill="FFFFFF"/>
          <w:lang w:val="en-US"/>
        </w:rPr>
        <w:t>Juselius</w:t>
      </w:r>
      <w:proofErr w:type="spellEnd"/>
      <w:r w:rsidRPr="002C5DE1">
        <w:rPr>
          <w:rFonts w:ascii="Times New Roman" w:hAnsi="Times New Roman" w:cs="Times New Roman"/>
          <w:color w:val="000000" w:themeColor="text1"/>
          <w:sz w:val="24"/>
          <w:szCs w:val="24"/>
          <w:shd w:val="clear" w:color="auto" w:fill="FFFFFF"/>
          <w:lang w:val="en-US"/>
        </w:rPr>
        <w:t>, K. (1990). Maximum likelihood estimation and inference on cointegration</w:t>
      </w:r>
      <w:r w:rsidR="00D03E56" w:rsidRPr="002C5DE1">
        <w:rPr>
          <w:rFonts w:ascii="Times New Roman" w:hAnsi="Times New Roman" w:cs="Times New Roman"/>
          <w:color w:val="000000" w:themeColor="text1"/>
          <w:sz w:val="24"/>
          <w:szCs w:val="24"/>
          <w:shd w:val="clear" w:color="auto" w:fill="FFFFFF"/>
          <w:lang w:val="en-US"/>
        </w:rPr>
        <w:t>-</w:t>
      </w:r>
      <w:r w:rsidRPr="002C5DE1">
        <w:rPr>
          <w:rFonts w:ascii="Times New Roman" w:hAnsi="Times New Roman" w:cs="Times New Roman"/>
          <w:color w:val="000000" w:themeColor="text1"/>
          <w:sz w:val="24"/>
          <w:szCs w:val="24"/>
          <w:shd w:val="clear" w:color="auto" w:fill="FFFFFF"/>
          <w:lang w:val="en-US"/>
        </w:rPr>
        <w:t xml:space="preserve">with applications to the demand for money. </w:t>
      </w:r>
      <w:r w:rsidRPr="002C5DE1">
        <w:rPr>
          <w:rFonts w:ascii="Times New Roman" w:hAnsi="Times New Roman" w:cs="Times New Roman"/>
          <w:i/>
          <w:iCs/>
          <w:color w:val="000000" w:themeColor="text1"/>
          <w:sz w:val="24"/>
          <w:szCs w:val="24"/>
          <w:shd w:val="clear" w:color="auto" w:fill="FFFFFF"/>
          <w:lang w:val="en-US"/>
        </w:rPr>
        <w:t xml:space="preserve">Oxford Bulletin of Economics and </w:t>
      </w:r>
      <w:r w:rsidR="00D03E56" w:rsidRPr="002C5DE1">
        <w:rPr>
          <w:rFonts w:ascii="Times New Roman" w:hAnsi="Times New Roman" w:cs="Times New Roman"/>
          <w:i/>
          <w:iCs/>
          <w:color w:val="000000" w:themeColor="text1"/>
          <w:sz w:val="24"/>
          <w:szCs w:val="24"/>
          <w:shd w:val="clear" w:color="auto" w:fill="FFFFFF"/>
          <w:lang w:val="en-US"/>
        </w:rPr>
        <w:t>S</w:t>
      </w:r>
      <w:r w:rsidRPr="002C5DE1">
        <w:rPr>
          <w:rFonts w:ascii="Times New Roman" w:hAnsi="Times New Roman" w:cs="Times New Roman"/>
          <w:i/>
          <w:iCs/>
          <w:color w:val="000000" w:themeColor="text1"/>
          <w:sz w:val="24"/>
          <w:szCs w:val="24"/>
          <w:shd w:val="clear" w:color="auto" w:fill="FFFFFF"/>
          <w:lang w:val="en-US"/>
        </w:rPr>
        <w:t>tatistics</w:t>
      </w:r>
      <w:r w:rsidRPr="002C5DE1">
        <w:rPr>
          <w:rFonts w:ascii="Times New Roman" w:hAnsi="Times New Roman" w:cs="Times New Roman"/>
          <w:color w:val="000000" w:themeColor="text1"/>
          <w:sz w:val="24"/>
          <w:szCs w:val="24"/>
          <w:shd w:val="clear" w:color="auto" w:fill="FFFFFF"/>
          <w:lang w:val="en-US"/>
        </w:rPr>
        <w:t xml:space="preserve"> 52(2), 169-210.</w:t>
      </w:r>
    </w:p>
    <w:p w14:paraId="09A2E350" w14:textId="77777777" w:rsidR="00390090" w:rsidRPr="002C5DE1" w:rsidRDefault="00390090" w:rsidP="00C145FF">
      <w:pPr>
        <w:widowControl w:val="0"/>
        <w:autoSpaceDE w:val="0"/>
        <w:autoSpaceDN w:val="0"/>
        <w:adjustRightInd w:val="0"/>
        <w:spacing w:before="120" w:after="120" w:line="276" w:lineRule="auto"/>
        <w:ind w:left="720" w:hanging="720"/>
        <w:jc w:val="both"/>
        <w:rPr>
          <w:rFonts w:ascii="Times New Roman" w:hAnsi="Times New Roman" w:cs="Times New Roman"/>
          <w:color w:val="000000" w:themeColor="text1"/>
          <w:sz w:val="24"/>
          <w:szCs w:val="24"/>
          <w:shd w:val="clear" w:color="auto" w:fill="FFFFFF"/>
          <w:lang w:val="en-US"/>
        </w:rPr>
      </w:pPr>
      <w:r w:rsidRPr="002C5DE1">
        <w:rPr>
          <w:rFonts w:ascii="Times New Roman" w:hAnsi="Times New Roman" w:cs="Times New Roman"/>
          <w:color w:val="000000" w:themeColor="text1"/>
          <w:sz w:val="24"/>
          <w:szCs w:val="24"/>
          <w:shd w:val="clear" w:color="auto" w:fill="FFFFFF"/>
          <w:lang w:val="en-US"/>
        </w:rPr>
        <w:t>Johansen, S., &amp; Schaumburg, E. (1999). Likelihood analysis of seasonal cointegration. </w:t>
      </w:r>
      <w:r w:rsidRPr="002C5DE1">
        <w:rPr>
          <w:rFonts w:ascii="Times New Roman" w:hAnsi="Times New Roman" w:cs="Times New Roman"/>
          <w:i/>
          <w:iCs/>
          <w:color w:val="000000" w:themeColor="text1"/>
          <w:sz w:val="24"/>
          <w:szCs w:val="24"/>
          <w:shd w:val="clear" w:color="auto" w:fill="FFFFFF"/>
          <w:lang w:val="en-US"/>
        </w:rPr>
        <w:t>Journal of Econometrics</w:t>
      </w:r>
      <w:r w:rsidRPr="002C5DE1">
        <w:rPr>
          <w:rFonts w:ascii="Times New Roman" w:hAnsi="Times New Roman" w:cs="Times New Roman"/>
          <w:color w:val="000000" w:themeColor="text1"/>
          <w:sz w:val="24"/>
          <w:szCs w:val="24"/>
          <w:shd w:val="clear" w:color="auto" w:fill="FFFFFF"/>
          <w:lang w:val="en-US"/>
        </w:rPr>
        <w:t> 88(2), 301-339.</w:t>
      </w:r>
    </w:p>
    <w:p w14:paraId="48F71F25" w14:textId="77777777" w:rsidR="00390090" w:rsidRPr="002C5DE1" w:rsidRDefault="00390090" w:rsidP="00C145FF">
      <w:pPr>
        <w:widowControl w:val="0"/>
        <w:autoSpaceDE w:val="0"/>
        <w:autoSpaceDN w:val="0"/>
        <w:adjustRightInd w:val="0"/>
        <w:spacing w:before="120" w:after="120" w:line="276" w:lineRule="auto"/>
        <w:ind w:left="720" w:hanging="720"/>
        <w:jc w:val="both"/>
        <w:rPr>
          <w:rFonts w:ascii="Times New Roman" w:hAnsi="Times New Roman" w:cs="Times New Roman"/>
          <w:color w:val="000000" w:themeColor="text1"/>
          <w:sz w:val="24"/>
          <w:szCs w:val="24"/>
          <w:shd w:val="clear" w:color="auto" w:fill="FFFFFF"/>
          <w:lang w:val="en-US"/>
        </w:rPr>
      </w:pPr>
      <w:r w:rsidRPr="002C5DE1">
        <w:rPr>
          <w:rFonts w:ascii="Times New Roman" w:hAnsi="Times New Roman" w:cs="Times New Roman"/>
          <w:color w:val="000000" w:themeColor="text1"/>
          <w:sz w:val="24"/>
          <w:szCs w:val="24"/>
          <w:shd w:val="clear" w:color="auto" w:fill="FFFFFF"/>
          <w:lang w:val="en-US"/>
        </w:rPr>
        <w:t xml:space="preserve">Keynes, J.M. </w:t>
      </w:r>
      <w:r w:rsidR="00D03E56" w:rsidRPr="002C5DE1">
        <w:rPr>
          <w:rFonts w:ascii="Times New Roman" w:hAnsi="Times New Roman" w:cs="Times New Roman"/>
          <w:color w:val="000000" w:themeColor="text1"/>
          <w:sz w:val="24"/>
          <w:szCs w:val="24"/>
          <w:shd w:val="clear" w:color="auto" w:fill="FFFFFF"/>
          <w:lang w:val="en-US"/>
        </w:rPr>
        <w:t>(</w:t>
      </w:r>
      <w:r w:rsidRPr="002C5DE1">
        <w:rPr>
          <w:rFonts w:ascii="Times New Roman" w:hAnsi="Times New Roman" w:cs="Times New Roman"/>
          <w:color w:val="000000" w:themeColor="text1"/>
          <w:sz w:val="24"/>
          <w:szCs w:val="24"/>
          <w:shd w:val="clear" w:color="auto" w:fill="FFFFFF"/>
          <w:lang w:val="en-US"/>
        </w:rPr>
        <w:t>1936</w:t>
      </w:r>
      <w:r w:rsidR="00D03E56" w:rsidRPr="002C5DE1">
        <w:rPr>
          <w:rFonts w:ascii="Times New Roman" w:hAnsi="Times New Roman" w:cs="Times New Roman"/>
          <w:color w:val="000000" w:themeColor="text1"/>
          <w:sz w:val="24"/>
          <w:szCs w:val="24"/>
          <w:shd w:val="clear" w:color="auto" w:fill="FFFFFF"/>
          <w:lang w:val="en-US"/>
        </w:rPr>
        <w:t>)</w:t>
      </w:r>
      <w:r w:rsidRPr="002C5DE1">
        <w:rPr>
          <w:rFonts w:ascii="Times New Roman" w:hAnsi="Times New Roman" w:cs="Times New Roman"/>
          <w:color w:val="000000" w:themeColor="text1"/>
          <w:sz w:val="24"/>
          <w:szCs w:val="24"/>
          <w:shd w:val="clear" w:color="auto" w:fill="FFFFFF"/>
          <w:lang w:val="en-US"/>
        </w:rPr>
        <w:t xml:space="preserve">. </w:t>
      </w:r>
      <w:r w:rsidRPr="002C5DE1">
        <w:rPr>
          <w:rFonts w:ascii="Times New Roman" w:hAnsi="Times New Roman" w:cs="Times New Roman"/>
          <w:i/>
          <w:iCs/>
          <w:color w:val="000000" w:themeColor="text1"/>
          <w:sz w:val="24"/>
          <w:szCs w:val="24"/>
          <w:shd w:val="clear" w:color="auto" w:fill="FFFFFF"/>
          <w:lang w:val="en-US"/>
        </w:rPr>
        <w:t>The General Theory of Employment, Interest and Money</w:t>
      </w:r>
      <w:r w:rsidRPr="002C5DE1">
        <w:rPr>
          <w:rFonts w:ascii="Times New Roman" w:hAnsi="Times New Roman" w:cs="Times New Roman"/>
          <w:color w:val="000000" w:themeColor="text1"/>
          <w:sz w:val="24"/>
          <w:szCs w:val="24"/>
          <w:shd w:val="clear" w:color="auto" w:fill="FFFFFF"/>
          <w:lang w:val="en-US"/>
        </w:rPr>
        <w:t>. Macmillan, London.</w:t>
      </w:r>
    </w:p>
    <w:p w14:paraId="4B72B94A" w14:textId="77777777" w:rsidR="00390090" w:rsidRPr="002C5DE1" w:rsidRDefault="00390090" w:rsidP="00C145FF">
      <w:pPr>
        <w:autoSpaceDE w:val="0"/>
        <w:autoSpaceDN w:val="0"/>
        <w:adjustRightInd w:val="0"/>
        <w:spacing w:before="120" w:after="120" w:line="276" w:lineRule="auto"/>
        <w:ind w:left="720" w:hanging="720"/>
        <w:jc w:val="both"/>
        <w:rPr>
          <w:rFonts w:ascii="Times New Roman" w:hAnsi="Times New Roman" w:cs="Times New Roman"/>
          <w:color w:val="000000" w:themeColor="text1"/>
          <w:sz w:val="24"/>
          <w:szCs w:val="24"/>
          <w:shd w:val="clear" w:color="auto" w:fill="FFFFFF"/>
          <w:lang w:val="en-US"/>
        </w:rPr>
      </w:pPr>
      <w:r w:rsidRPr="002C5DE1">
        <w:rPr>
          <w:rFonts w:ascii="Times New Roman" w:hAnsi="Times New Roman" w:cs="Times New Roman"/>
          <w:color w:val="000000" w:themeColor="text1"/>
          <w:sz w:val="24"/>
          <w:szCs w:val="24"/>
          <w:shd w:val="clear" w:color="auto" w:fill="FFFFFF"/>
          <w:lang w:val="en-US"/>
        </w:rPr>
        <w:t xml:space="preserve">Khalifa, S., </w:t>
      </w:r>
      <w:proofErr w:type="spellStart"/>
      <w:r w:rsidRPr="002C5DE1">
        <w:rPr>
          <w:rFonts w:ascii="Times New Roman" w:hAnsi="Times New Roman" w:cs="Times New Roman"/>
          <w:color w:val="000000" w:themeColor="text1"/>
          <w:sz w:val="24"/>
          <w:szCs w:val="24"/>
          <w:shd w:val="clear" w:color="auto" w:fill="FFFFFF"/>
          <w:lang w:val="en-US"/>
        </w:rPr>
        <w:t>Seck</w:t>
      </w:r>
      <w:proofErr w:type="spellEnd"/>
      <w:r w:rsidRPr="002C5DE1">
        <w:rPr>
          <w:rFonts w:ascii="Times New Roman" w:hAnsi="Times New Roman" w:cs="Times New Roman"/>
          <w:color w:val="000000" w:themeColor="text1"/>
          <w:sz w:val="24"/>
          <w:szCs w:val="24"/>
          <w:shd w:val="clear" w:color="auto" w:fill="FFFFFF"/>
          <w:lang w:val="en-US"/>
        </w:rPr>
        <w:t xml:space="preserve">, O., &amp; </w:t>
      </w:r>
      <w:proofErr w:type="spellStart"/>
      <w:r w:rsidRPr="002C5DE1">
        <w:rPr>
          <w:rFonts w:ascii="Times New Roman" w:hAnsi="Times New Roman" w:cs="Times New Roman"/>
          <w:color w:val="000000" w:themeColor="text1"/>
          <w:sz w:val="24"/>
          <w:szCs w:val="24"/>
          <w:shd w:val="clear" w:color="auto" w:fill="FFFFFF"/>
          <w:lang w:val="en-US"/>
        </w:rPr>
        <w:t>Tobing</w:t>
      </w:r>
      <w:proofErr w:type="spellEnd"/>
      <w:r w:rsidRPr="002C5DE1">
        <w:rPr>
          <w:rFonts w:ascii="Times New Roman" w:hAnsi="Times New Roman" w:cs="Times New Roman"/>
          <w:color w:val="000000" w:themeColor="text1"/>
          <w:sz w:val="24"/>
          <w:szCs w:val="24"/>
          <w:shd w:val="clear" w:color="auto" w:fill="FFFFFF"/>
          <w:lang w:val="en-US"/>
        </w:rPr>
        <w:t xml:space="preserve">, E. (2013). Housing wealth effect: </w:t>
      </w:r>
      <w:r w:rsidR="00D03E56" w:rsidRPr="002C5DE1">
        <w:rPr>
          <w:rFonts w:ascii="Times New Roman" w:hAnsi="Times New Roman" w:cs="Times New Roman"/>
          <w:color w:val="000000" w:themeColor="text1"/>
          <w:sz w:val="24"/>
          <w:szCs w:val="24"/>
          <w:shd w:val="clear" w:color="auto" w:fill="FFFFFF"/>
          <w:lang w:val="en-US"/>
        </w:rPr>
        <w:t>e</w:t>
      </w:r>
      <w:r w:rsidRPr="002C5DE1">
        <w:rPr>
          <w:rFonts w:ascii="Times New Roman" w:hAnsi="Times New Roman" w:cs="Times New Roman"/>
          <w:color w:val="000000" w:themeColor="text1"/>
          <w:sz w:val="24"/>
          <w:szCs w:val="24"/>
          <w:shd w:val="clear" w:color="auto" w:fill="FFFFFF"/>
          <w:lang w:val="en-US"/>
        </w:rPr>
        <w:t>vidence from threshold estimation. </w:t>
      </w:r>
      <w:r w:rsidRPr="002C5DE1">
        <w:rPr>
          <w:rFonts w:ascii="Times New Roman" w:hAnsi="Times New Roman" w:cs="Times New Roman"/>
          <w:i/>
          <w:iCs/>
          <w:color w:val="000000" w:themeColor="text1"/>
          <w:sz w:val="24"/>
          <w:szCs w:val="24"/>
          <w:shd w:val="clear" w:color="auto" w:fill="FFFFFF"/>
          <w:lang w:val="en-US"/>
        </w:rPr>
        <w:t>Journal of Housing Economics</w:t>
      </w:r>
      <w:r w:rsidRPr="002C5DE1">
        <w:rPr>
          <w:rFonts w:ascii="Times New Roman" w:hAnsi="Times New Roman" w:cs="Times New Roman"/>
          <w:color w:val="000000" w:themeColor="text1"/>
          <w:sz w:val="24"/>
          <w:szCs w:val="24"/>
          <w:shd w:val="clear" w:color="auto" w:fill="FFFFFF"/>
          <w:lang w:val="en-US"/>
        </w:rPr>
        <w:t> 22(1), 25-35.</w:t>
      </w:r>
    </w:p>
    <w:p w14:paraId="0B3B267A" w14:textId="77777777" w:rsidR="00390090" w:rsidRPr="002C5DE1" w:rsidRDefault="00390090" w:rsidP="00C145FF">
      <w:pPr>
        <w:widowControl w:val="0"/>
        <w:autoSpaceDE w:val="0"/>
        <w:autoSpaceDN w:val="0"/>
        <w:adjustRightInd w:val="0"/>
        <w:spacing w:before="120" w:after="120" w:line="276" w:lineRule="auto"/>
        <w:ind w:left="720" w:hanging="720"/>
        <w:jc w:val="both"/>
        <w:rPr>
          <w:rFonts w:ascii="Times New Roman" w:hAnsi="Times New Roman" w:cs="Times New Roman"/>
          <w:color w:val="000000" w:themeColor="text1"/>
          <w:sz w:val="24"/>
          <w:szCs w:val="24"/>
          <w:shd w:val="clear" w:color="auto" w:fill="FFFFFF"/>
          <w:lang w:val="en-US"/>
        </w:rPr>
      </w:pPr>
      <w:r w:rsidRPr="002C5DE1">
        <w:rPr>
          <w:rFonts w:ascii="Times New Roman" w:hAnsi="Times New Roman" w:cs="Times New Roman"/>
          <w:color w:val="000000" w:themeColor="text1"/>
          <w:sz w:val="24"/>
          <w:szCs w:val="24"/>
          <w:shd w:val="clear" w:color="auto" w:fill="FFFFFF"/>
          <w:lang w:val="en-US"/>
        </w:rPr>
        <w:t xml:space="preserve">Kremer, S., Bick, A., </w:t>
      </w:r>
      <w:r w:rsidRPr="002C5DE1">
        <w:rPr>
          <w:rFonts w:ascii="Times New Roman" w:hAnsi="Times New Roman" w:cs="Times New Roman"/>
          <w:color w:val="000000" w:themeColor="text1"/>
          <w:sz w:val="24"/>
          <w:szCs w:val="24"/>
          <w:lang w:val="en-US"/>
        </w:rPr>
        <w:t xml:space="preserve">&amp; </w:t>
      </w:r>
      <w:proofErr w:type="spellStart"/>
      <w:r w:rsidRPr="002C5DE1">
        <w:rPr>
          <w:rFonts w:ascii="Times New Roman" w:hAnsi="Times New Roman" w:cs="Times New Roman"/>
          <w:color w:val="000000" w:themeColor="text1"/>
          <w:sz w:val="24"/>
          <w:szCs w:val="24"/>
          <w:shd w:val="clear" w:color="auto" w:fill="FFFFFF"/>
          <w:lang w:val="en-US"/>
        </w:rPr>
        <w:t>Nautz</w:t>
      </w:r>
      <w:proofErr w:type="spellEnd"/>
      <w:r w:rsidRPr="002C5DE1">
        <w:rPr>
          <w:rFonts w:ascii="Times New Roman" w:hAnsi="Times New Roman" w:cs="Times New Roman"/>
          <w:color w:val="000000" w:themeColor="text1"/>
          <w:sz w:val="24"/>
          <w:szCs w:val="24"/>
          <w:shd w:val="clear" w:color="auto" w:fill="FFFFFF"/>
          <w:lang w:val="en-US"/>
        </w:rPr>
        <w:t xml:space="preserve">, D., (2013). Inflation and growth: new evidence from a dynamic panel threshold analysis. </w:t>
      </w:r>
      <w:r w:rsidRPr="002C5DE1">
        <w:rPr>
          <w:rFonts w:ascii="Times New Roman" w:hAnsi="Times New Roman" w:cs="Times New Roman"/>
          <w:i/>
          <w:iCs/>
          <w:color w:val="000000" w:themeColor="text1"/>
          <w:sz w:val="24"/>
          <w:szCs w:val="24"/>
          <w:shd w:val="clear" w:color="auto" w:fill="FFFFFF"/>
          <w:lang w:val="en-US"/>
        </w:rPr>
        <w:t>Empirical Economics</w:t>
      </w:r>
      <w:r w:rsidRPr="002C5DE1">
        <w:rPr>
          <w:rFonts w:ascii="Times New Roman" w:hAnsi="Times New Roman" w:cs="Times New Roman"/>
          <w:color w:val="000000" w:themeColor="text1"/>
          <w:sz w:val="24"/>
          <w:szCs w:val="24"/>
          <w:shd w:val="clear" w:color="auto" w:fill="FFFFFF"/>
          <w:lang w:val="en-US"/>
        </w:rPr>
        <w:t xml:space="preserve"> 44</w:t>
      </w:r>
      <w:r w:rsidR="00D03E56" w:rsidRPr="002C5DE1">
        <w:rPr>
          <w:rFonts w:ascii="Times New Roman" w:hAnsi="Times New Roman" w:cs="Times New Roman"/>
          <w:color w:val="000000" w:themeColor="text1"/>
          <w:sz w:val="24"/>
          <w:szCs w:val="24"/>
          <w:shd w:val="clear" w:color="auto" w:fill="FFFFFF"/>
          <w:lang w:val="en-US"/>
        </w:rPr>
        <w:t>(4)</w:t>
      </w:r>
      <w:r w:rsidRPr="002C5DE1">
        <w:rPr>
          <w:rFonts w:ascii="Times New Roman" w:hAnsi="Times New Roman" w:cs="Times New Roman"/>
          <w:color w:val="000000" w:themeColor="text1"/>
          <w:sz w:val="24"/>
          <w:szCs w:val="24"/>
          <w:shd w:val="clear" w:color="auto" w:fill="FFFFFF"/>
          <w:lang w:val="en-US"/>
        </w:rPr>
        <w:t>, 861-878.</w:t>
      </w:r>
    </w:p>
    <w:p w14:paraId="773FBA95" w14:textId="77777777" w:rsidR="00390090" w:rsidRPr="002C5DE1" w:rsidRDefault="00390090" w:rsidP="00C145FF">
      <w:pPr>
        <w:spacing w:before="120" w:after="120" w:line="276" w:lineRule="auto"/>
        <w:ind w:left="720" w:hanging="720"/>
        <w:jc w:val="both"/>
        <w:rPr>
          <w:rFonts w:ascii="Times New Roman" w:eastAsia="Times New Roman" w:hAnsi="Times New Roman" w:cs="Times New Roman"/>
          <w:color w:val="000000" w:themeColor="text1"/>
          <w:sz w:val="24"/>
          <w:szCs w:val="24"/>
          <w:lang w:val="en-US" w:eastAsia="tr-TR"/>
        </w:rPr>
      </w:pPr>
      <w:proofErr w:type="spellStart"/>
      <w:r w:rsidRPr="002C5DE1">
        <w:rPr>
          <w:rFonts w:ascii="Times New Roman" w:eastAsia="Times New Roman" w:hAnsi="Times New Roman" w:cs="Times New Roman"/>
          <w:color w:val="000000" w:themeColor="text1"/>
          <w:sz w:val="24"/>
          <w:szCs w:val="24"/>
          <w:lang w:val="en-US" w:eastAsia="tr-TR"/>
        </w:rPr>
        <w:lastRenderedPageBreak/>
        <w:t>Labhard</w:t>
      </w:r>
      <w:proofErr w:type="spellEnd"/>
      <w:r w:rsidRPr="002C5DE1">
        <w:rPr>
          <w:rFonts w:ascii="Times New Roman" w:eastAsia="Times New Roman" w:hAnsi="Times New Roman" w:cs="Times New Roman"/>
          <w:color w:val="000000" w:themeColor="text1"/>
          <w:sz w:val="24"/>
          <w:szCs w:val="24"/>
          <w:lang w:val="en-US" w:eastAsia="tr-TR"/>
        </w:rPr>
        <w:t xml:space="preserve">, V., Sterne, G., &amp; Young, C. (2005). The wealth effects on consumption in industrialized countries. Bank of England </w:t>
      </w:r>
      <w:r w:rsidR="00D03E56" w:rsidRPr="002C5DE1">
        <w:rPr>
          <w:rFonts w:ascii="Times New Roman" w:eastAsia="Times New Roman" w:hAnsi="Times New Roman" w:cs="Times New Roman"/>
          <w:color w:val="000000" w:themeColor="text1"/>
          <w:sz w:val="24"/>
          <w:szCs w:val="24"/>
          <w:lang w:val="en-US" w:eastAsia="tr-TR"/>
        </w:rPr>
        <w:t>W</w:t>
      </w:r>
      <w:r w:rsidRPr="002C5DE1">
        <w:rPr>
          <w:rFonts w:ascii="Times New Roman" w:eastAsia="Times New Roman" w:hAnsi="Times New Roman" w:cs="Times New Roman"/>
          <w:color w:val="000000" w:themeColor="text1"/>
          <w:sz w:val="24"/>
          <w:szCs w:val="24"/>
          <w:lang w:val="en-US" w:eastAsia="tr-TR"/>
        </w:rPr>
        <w:t xml:space="preserve">orking </w:t>
      </w:r>
      <w:r w:rsidR="00D03E56" w:rsidRPr="002C5DE1">
        <w:rPr>
          <w:rFonts w:ascii="Times New Roman" w:eastAsia="Times New Roman" w:hAnsi="Times New Roman" w:cs="Times New Roman"/>
          <w:color w:val="000000" w:themeColor="text1"/>
          <w:sz w:val="24"/>
          <w:szCs w:val="24"/>
          <w:lang w:val="en-US" w:eastAsia="tr-TR"/>
        </w:rPr>
        <w:t>P</w:t>
      </w:r>
      <w:r w:rsidRPr="002C5DE1">
        <w:rPr>
          <w:rFonts w:ascii="Times New Roman" w:eastAsia="Times New Roman" w:hAnsi="Times New Roman" w:cs="Times New Roman"/>
          <w:color w:val="000000" w:themeColor="text1"/>
          <w:sz w:val="24"/>
          <w:szCs w:val="24"/>
          <w:lang w:val="en-US" w:eastAsia="tr-TR"/>
        </w:rPr>
        <w:t>aper.</w:t>
      </w:r>
    </w:p>
    <w:p w14:paraId="62E5E308" w14:textId="77777777" w:rsidR="00390090" w:rsidRPr="002C5DE1" w:rsidRDefault="00390090" w:rsidP="00C145FF">
      <w:pPr>
        <w:autoSpaceDE w:val="0"/>
        <w:autoSpaceDN w:val="0"/>
        <w:adjustRightInd w:val="0"/>
        <w:spacing w:before="120" w:after="120" w:line="276" w:lineRule="auto"/>
        <w:ind w:left="720" w:hanging="720"/>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 xml:space="preserve">Lin, Y-J, Chang, C-O and Chen, C-L. (2014). Why homebuyers have a high housing affordability problem: </w:t>
      </w:r>
      <w:r w:rsidR="00D03E56" w:rsidRPr="002C5DE1">
        <w:rPr>
          <w:rFonts w:ascii="Times New Roman" w:hAnsi="Times New Roman" w:cs="Times New Roman"/>
          <w:color w:val="000000" w:themeColor="text1"/>
          <w:sz w:val="24"/>
          <w:szCs w:val="24"/>
          <w:lang w:val="en-US"/>
        </w:rPr>
        <w:t>q</w:t>
      </w:r>
      <w:r w:rsidRPr="002C5DE1">
        <w:rPr>
          <w:rFonts w:ascii="Times New Roman" w:hAnsi="Times New Roman" w:cs="Times New Roman"/>
          <w:color w:val="000000" w:themeColor="text1"/>
          <w:sz w:val="24"/>
          <w:szCs w:val="24"/>
          <w:lang w:val="en-US"/>
        </w:rPr>
        <w:t xml:space="preserve">uantile regression analysis. </w:t>
      </w:r>
      <w:r w:rsidRPr="002C5DE1">
        <w:rPr>
          <w:rFonts w:ascii="Times New Roman" w:hAnsi="Times New Roman" w:cs="Times New Roman"/>
          <w:i/>
          <w:iCs/>
          <w:color w:val="000000" w:themeColor="text1"/>
          <w:sz w:val="24"/>
          <w:szCs w:val="24"/>
          <w:lang w:val="en-US"/>
        </w:rPr>
        <w:t>Habitat International</w:t>
      </w:r>
      <w:r w:rsidRPr="002C5DE1">
        <w:rPr>
          <w:rFonts w:ascii="Times New Roman" w:hAnsi="Times New Roman" w:cs="Times New Roman"/>
          <w:color w:val="000000" w:themeColor="text1"/>
          <w:sz w:val="24"/>
          <w:szCs w:val="24"/>
          <w:lang w:val="en-US"/>
        </w:rPr>
        <w:t xml:space="preserve"> 43</w:t>
      </w:r>
      <w:r w:rsidR="00D03E56" w:rsidRPr="002C5DE1">
        <w:rPr>
          <w:rFonts w:ascii="Times New Roman" w:hAnsi="Times New Roman" w:cs="Times New Roman"/>
          <w:color w:val="000000" w:themeColor="text1"/>
          <w:sz w:val="24"/>
          <w:szCs w:val="24"/>
          <w:lang w:val="en-US"/>
        </w:rPr>
        <w:t>(1)</w:t>
      </w:r>
      <w:r w:rsidRPr="002C5DE1">
        <w:rPr>
          <w:rFonts w:ascii="Times New Roman" w:hAnsi="Times New Roman" w:cs="Times New Roman"/>
          <w:color w:val="000000" w:themeColor="text1"/>
          <w:sz w:val="24"/>
          <w:szCs w:val="24"/>
          <w:lang w:val="en-US"/>
        </w:rPr>
        <w:t xml:space="preserve">, 41-47. </w:t>
      </w:r>
    </w:p>
    <w:p w14:paraId="2843A251" w14:textId="77777777" w:rsidR="00390090" w:rsidRPr="002C5DE1" w:rsidRDefault="00390090" w:rsidP="00C145FF">
      <w:pPr>
        <w:widowControl w:val="0"/>
        <w:autoSpaceDE w:val="0"/>
        <w:autoSpaceDN w:val="0"/>
        <w:adjustRightInd w:val="0"/>
        <w:spacing w:before="120" w:after="120" w:line="276" w:lineRule="auto"/>
        <w:ind w:left="720" w:hanging="720"/>
        <w:jc w:val="both"/>
        <w:rPr>
          <w:rFonts w:ascii="Times New Roman" w:hAnsi="Times New Roman" w:cs="Times New Roman"/>
          <w:color w:val="000000" w:themeColor="text1"/>
          <w:sz w:val="24"/>
          <w:szCs w:val="24"/>
          <w:shd w:val="clear" w:color="auto" w:fill="FFFFFF"/>
          <w:lang w:val="en-US"/>
        </w:rPr>
      </w:pPr>
      <w:proofErr w:type="spellStart"/>
      <w:r w:rsidRPr="002C5DE1">
        <w:rPr>
          <w:rFonts w:ascii="Times New Roman" w:hAnsi="Times New Roman" w:cs="Times New Roman"/>
          <w:color w:val="000000" w:themeColor="text1"/>
          <w:sz w:val="24"/>
          <w:szCs w:val="24"/>
          <w:shd w:val="clear" w:color="auto" w:fill="FFFFFF"/>
          <w:lang w:val="en-US"/>
        </w:rPr>
        <w:t>Luengo</w:t>
      </w:r>
      <w:proofErr w:type="spellEnd"/>
      <w:r w:rsidRPr="002C5DE1">
        <w:rPr>
          <w:rFonts w:ascii="Times New Roman" w:hAnsi="Times New Roman" w:cs="Times New Roman"/>
          <w:color w:val="000000" w:themeColor="text1"/>
          <w:sz w:val="24"/>
          <w:szCs w:val="24"/>
          <w:shd w:val="clear" w:color="auto" w:fill="FFFFFF"/>
          <w:lang w:val="en-US"/>
        </w:rPr>
        <w:t>-Prado, M.J. (2006). Durables, nondurables, down payments and consumption excesses. </w:t>
      </w:r>
      <w:r w:rsidRPr="002C5DE1">
        <w:rPr>
          <w:rFonts w:ascii="Times New Roman" w:hAnsi="Times New Roman" w:cs="Times New Roman"/>
          <w:i/>
          <w:iCs/>
          <w:color w:val="000000" w:themeColor="text1"/>
          <w:sz w:val="24"/>
          <w:szCs w:val="24"/>
          <w:shd w:val="clear" w:color="auto" w:fill="FFFFFF"/>
          <w:lang w:val="en-US"/>
        </w:rPr>
        <w:t>Journal of Monetary Economics</w:t>
      </w:r>
      <w:r w:rsidRPr="002C5DE1">
        <w:rPr>
          <w:rFonts w:ascii="Times New Roman" w:hAnsi="Times New Roman" w:cs="Times New Roman"/>
          <w:color w:val="000000" w:themeColor="text1"/>
          <w:sz w:val="24"/>
          <w:szCs w:val="24"/>
          <w:shd w:val="clear" w:color="auto" w:fill="FFFFFF"/>
          <w:lang w:val="en-US"/>
        </w:rPr>
        <w:t> 53(7), 1509-1539.</w:t>
      </w:r>
    </w:p>
    <w:p w14:paraId="45B6D34B" w14:textId="77777777" w:rsidR="00390090" w:rsidRPr="002C5DE1" w:rsidRDefault="00390090" w:rsidP="00C145FF">
      <w:pPr>
        <w:widowControl w:val="0"/>
        <w:autoSpaceDE w:val="0"/>
        <w:autoSpaceDN w:val="0"/>
        <w:adjustRightInd w:val="0"/>
        <w:spacing w:before="120" w:after="120" w:line="276" w:lineRule="auto"/>
        <w:ind w:left="720" w:hanging="720"/>
        <w:jc w:val="both"/>
        <w:rPr>
          <w:rFonts w:ascii="Times New Roman" w:hAnsi="Times New Roman" w:cs="Times New Roman"/>
          <w:color w:val="000000" w:themeColor="text1"/>
          <w:sz w:val="24"/>
          <w:szCs w:val="24"/>
          <w:shd w:val="clear" w:color="auto" w:fill="FFFFFF"/>
          <w:lang w:val="en-US"/>
        </w:rPr>
      </w:pPr>
      <w:r w:rsidRPr="002C5DE1">
        <w:rPr>
          <w:rFonts w:ascii="Times New Roman" w:hAnsi="Times New Roman" w:cs="Times New Roman"/>
          <w:color w:val="000000" w:themeColor="text1"/>
          <w:sz w:val="24"/>
          <w:szCs w:val="24"/>
          <w:shd w:val="clear" w:color="auto" w:fill="FFFFFF"/>
          <w:lang w:val="en-US"/>
        </w:rPr>
        <w:t>Márquez, E., Martínez-Cañete, A. R., &amp; Pérez-Soba, I. (2013). Wealth shocks, credit conditions and asymmetric consumption response: empirical evidence for the UK. </w:t>
      </w:r>
      <w:r w:rsidRPr="002C5DE1">
        <w:rPr>
          <w:rFonts w:ascii="Times New Roman" w:hAnsi="Times New Roman" w:cs="Times New Roman"/>
          <w:i/>
          <w:iCs/>
          <w:color w:val="000000" w:themeColor="text1"/>
          <w:sz w:val="24"/>
          <w:szCs w:val="24"/>
          <w:shd w:val="clear" w:color="auto" w:fill="FFFFFF"/>
          <w:lang w:val="en-US"/>
        </w:rPr>
        <w:t>Economic Modelling</w:t>
      </w:r>
      <w:r w:rsidRPr="002C5DE1">
        <w:rPr>
          <w:rFonts w:ascii="Times New Roman" w:hAnsi="Times New Roman" w:cs="Times New Roman"/>
          <w:color w:val="000000" w:themeColor="text1"/>
          <w:sz w:val="24"/>
          <w:szCs w:val="24"/>
          <w:shd w:val="clear" w:color="auto" w:fill="FFFFFF"/>
          <w:lang w:val="en-US"/>
        </w:rPr>
        <w:t> 33</w:t>
      </w:r>
      <w:r w:rsidR="00D03E56" w:rsidRPr="002C5DE1">
        <w:rPr>
          <w:rFonts w:ascii="Times New Roman" w:hAnsi="Times New Roman" w:cs="Times New Roman"/>
          <w:color w:val="000000" w:themeColor="text1"/>
          <w:sz w:val="24"/>
          <w:szCs w:val="24"/>
          <w:shd w:val="clear" w:color="auto" w:fill="FFFFFF"/>
          <w:lang w:val="en-US"/>
        </w:rPr>
        <w:t>(3)</w:t>
      </w:r>
      <w:r w:rsidRPr="002C5DE1">
        <w:rPr>
          <w:rFonts w:ascii="Times New Roman" w:hAnsi="Times New Roman" w:cs="Times New Roman"/>
          <w:color w:val="000000" w:themeColor="text1"/>
          <w:sz w:val="24"/>
          <w:szCs w:val="24"/>
          <w:shd w:val="clear" w:color="auto" w:fill="FFFFFF"/>
          <w:lang w:val="en-US"/>
        </w:rPr>
        <w:t>, 357-366.</w:t>
      </w:r>
    </w:p>
    <w:p w14:paraId="11D4C43B" w14:textId="77777777" w:rsidR="00390090" w:rsidRPr="002C5DE1" w:rsidRDefault="00390090" w:rsidP="00C145FF">
      <w:pPr>
        <w:widowControl w:val="0"/>
        <w:autoSpaceDE w:val="0"/>
        <w:autoSpaceDN w:val="0"/>
        <w:adjustRightInd w:val="0"/>
        <w:spacing w:before="120" w:after="120" w:line="276" w:lineRule="auto"/>
        <w:ind w:left="720" w:hanging="720"/>
        <w:jc w:val="both"/>
        <w:rPr>
          <w:rFonts w:ascii="Times New Roman" w:hAnsi="Times New Roman" w:cs="Times New Roman"/>
          <w:color w:val="000000" w:themeColor="text1"/>
          <w:sz w:val="24"/>
          <w:szCs w:val="24"/>
          <w:shd w:val="clear" w:color="auto" w:fill="FFFFFF"/>
          <w:lang w:val="en-US"/>
        </w:rPr>
      </w:pPr>
      <w:r w:rsidRPr="002C5DE1">
        <w:rPr>
          <w:rFonts w:ascii="Times New Roman" w:hAnsi="Times New Roman" w:cs="Times New Roman"/>
          <w:color w:val="000000" w:themeColor="text1"/>
          <w:sz w:val="24"/>
          <w:szCs w:val="24"/>
          <w:shd w:val="clear" w:color="auto" w:fill="FFFFFF"/>
          <w:lang w:val="en-US"/>
        </w:rPr>
        <w:t xml:space="preserve">Martin, A., &amp; Ventura, J. (2012). Economic growth with bubbles. </w:t>
      </w:r>
      <w:r w:rsidRPr="002C5DE1">
        <w:rPr>
          <w:rFonts w:ascii="Times New Roman" w:hAnsi="Times New Roman" w:cs="Times New Roman"/>
          <w:i/>
          <w:iCs/>
          <w:color w:val="000000" w:themeColor="text1"/>
          <w:sz w:val="24"/>
          <w:szCs w:val="24"/>
          <w:shd w:val="clear" w:color="auto" w:fill="FFFFFF"/>
          <w:lang w:val="en-US"/>
        </w:rPr>
        <w:t>American Economic Review</w:t>
      </w:r>
      <w:r w:rsidRPr="002C5DE1">
        <w:rPr>
          <w:rFonts w:ascii="Times New Roman" w:hAnsi="Times New Roman" w:cs="Times New Roman"/>
          <w:color w:val="000000" w:themeColor="text1"/>
          <w:sz w:val="24"/>
          <w:szCs w:val="24"/>
          <w:shd w:val="clear" w:color="auto" w:fill="FFFFFF"/>
          <w:lang w:val="en-US"/>
        </w:rPr>
        <w:t xml:space="preserve"> 102(6), 3033-</w:t>
      </w:r>
      <w:r w:rsidR="00D03E56" w:rsidRPr="002C5DE1">
        <w:rPr>
          <w:rFonts w:ascii="Times New Roman" w:hAnsi="Times New Roman" w:cs="Times New Roman"/>
          <w:color w:val="000000" w:themeColor="text1"/>
          <w:sz w:val="24"/>
          <w:szCs w:val="24"/>
          <w:shd w:val="clear" w:color="auto" w:fill="FFFFFF"/>
          <w:lang w:val="en-US"/>
        </w:rPr>
        <w:t>30</w:t>
      </w:r>
      <w:r w:rsidRPr="002C5DE1">
        <w:rPr>
          <w:rFonts w:ascii="Times New Roman" w:hAnsi="Times New Roman" w:cs="Times New Roman"/>
          <w:color w:val="000000" w:themeColor="text1"/>
          <w:sz w:val="24"/>
          <w:szCs w:val="24"/>
          <w:shd w:val="clear" w:color="auto" w:fill="FFFFFF"/>
          <w:lang w:val="en-US"/>
        </w:rPr>
        <w:t>58.</w:t>
      </w:r>
    </w:p>
    <w:p w14:paraId="2A78D910" w14:textId="77777777" w:rsidR="00390090" w:rsidRPr="002C5DE1" w:rsidRDefault="00390090" w:rsidP="00C145FF">
      <w:pPr>
        <w:autoSpaceDE w:val="0"/>
        <w:autoSpaceDN w:val="0"/>
        <w:adjustRightInd w:val="0"/>
        <w:spacing w:before="120" w:after="120" w:line="276" w:lineRule="auto"/>
        <w:ind w:left="720" w:hanging="720"/>
        <w:jc w:val="both"/>
        <w:rPr>
          <w:rFonts w:ascii="Times New Roman" w:hAnsi="Times New Roman" w:cs="Times New Roman"/>
          <w:color w:val="000000" w:themeColor="text1"/>
          <w:sz w:val="24"/>
          <w:szCs w:val="24"/>
          <w:lang w:val="en-US"/>
        </w:rPr>
      </w:pPr>
      <w:proofErr w:type="spellStart"/>
      <w:r w:rsidRPr="002C5DE1">
        <w:rPr>
          <w:rFonts w:ascii="Times New Roman" w:hAnsi="Times New Roman" w:cs="Times New Roman"/>
          <w:color w:val="000000" w:themeColor="text1"/>
          <w:sz w:val="24"/>
          <w:szCs w:val="24"/>
          <w:lang w:val="en-US"/>
        </w:rPr>
        <w:t>Meen</w:t>
      </w:r>
      <w:proofErr w:type="spellEnd"/>
      <w:r w:rsidRPr="002C5DE1">
        <w:rPr>
          <w:rFonts w:ascii="Times New Roman" w:hAnsi="Times New Roman" w:cs="Times New Roman"/>
          <w:color w:val="000000" w:themeColor="text1"/>
          <w:sz w:val="24"/>
          <w:szCs w:val="24"/>
          <w:lang w:val="en-US"/>
        </w:rPr>
        <w:t>, G., &amp; Andrew, M. (2008)</w:t>
      </w:r>
      <w:r w:rsidR="00D03E56" w:rsidRPr="002C5DE1">
        <w:rPr>
          <w:rFonts w:ascii="Times New Roman" w:hAnsi="Times New Roman" w:cs="Times New Roman"/>
          <w:color w:val="000000" w:themeColor="text1"/>
          <w:sz w:val="24"/>
          <w:szCs w:val="24"/>
          <w:lang w:val="en-US"/>
        </w:rPr>
        <w:t>.</w:t>
      </w:r>
      <w:r w:rsidRPr="002C5DE1">
        <w:rPr>
          <w:rFonts w:ascii="Times New Roman" w:hAnsi="Times New Roman" w:cs="Times New Roman"/>
          <w:color w:val="000000" w:themeColor="text1"/>
          <w:sz w:val="24"/>
          <w:szCs w:val="24"/>
          <w:lang w:val="en-US"/>
        </w:rPr>
        <w:t xml:space="preserve"> Planning for housing in the post-Barker era: affordability, household formation, and tenure choice</w:t>
      </w:r>
      <w:r w:rsidR="00D03E56" w:rsidRPr="002C5DE1">
        <w:rPr>
          <w:rFonts w:ascii="Times New Roman" w:hAnsi="Times New Roman" w:cs="Times New Roman"/>
          <w:color w:val="000000" w:themeColor="text1"/>
          <w:sz w:val="24"/>
          <w:szCs w:val="24"/>
          <w:lang w:val="en-US"/>
        </w:rPr>
        <w:t>.</w:t>
      </w:r>
      <w:r w:rsidRPr="002C5DE1">
        <w:rPr>
          <w:rFonts w:ascii="Times New Roman" w:hAnsi="Times New Roman" w:cs="Times New Roman"/>
          <w:color w:val="000000" w:themeColor="text1"/>
          <w:sz w:val="24"/>
          <w:szCs w:val="24"/>
          <w:lang w:val="en-US"/>
        </w:rPr>
        <w:t xml:space="preserve"> </w:t>
      </w:r>
      <w:r w:rsidRPr="002C5DE1">
        <w:rPr>
          <w:rFonts w:ascii="Times New Roman" w:hAnsi="Times New Roman" w:cs="Times New Roman"/>
          <w:i/>
          <w:iCs/>
          <w:color w:val="000000" w:themeColor="text1"/>
          <w:sz w:val="24"/>
          <w:szCs w:val="24"/>
          <w:lang w:val="en-US"/>
        </w:rPr>
        <w:t>Oxford Review of Economic Policy</w:t>
      </w:r>
      <w:r w:rsidRPr="002C5DE1">
        <w:rPr>
          <w:rFonts w:ascii="Times New Roman" w:hAnsi="Times New Roman" w:cs="Times New Roman"/>
          <w:color w:val="000000" w:themeColor="text1"/>
          <w:sz w:val="24"/>
          <w:szCs w:val="24"/>
          <w:lang w:val="en-US"/>
        </w:rPr>
        <w:t xml:space="preserve"> 24(1), 79</w:t>
      </w:r>
      <w:r w:rsidR="00D03E56" w:rsidRPr="002C5DE1">
        <w:rPr>
          <w:rFonts w:ascii="Times New Roman" w:hAnsi="Times New Roman" w:cs="Times New Roman"/>
          <w:color w:val="000000" w:themeColor="text1"/>
          <w:sz w:val="24"/>
          <w:szCs w:val="24"/>
          <w:lang w:val="en-US"/>
        </w:rPr>
        <w:t>-</w:t>
      </w:r>
      <w:r w:rsidRPr="002C5DE1">
        <w:rPr>
          <w:rFonts w:ascii="Times New Roman" w:hAnsi="Times New Roman" w:cs="Times New Roman"/>
          <w:color w:val="000000" w:themeColor="text1"/>
          <w:sz w:val="24"/>
          <w:szCs w:val="24"/>
          <w:lang w:val="en-US"/>
        </w:rPr>
        <w:t>98.</w:t>
      </w:r>
    </w:p>
    <w:p w14:paraId="792BF52E" w14:textId="77777777" w:rsidR="00390090" w:rsidRPr="002C5DE1" w:rsidRDefault="00390090" w:rsidP="00C145FF">
      <w:pPr>
        <w:spacing w:before="120" w:after="120" w:line="276" w:lineRule="auto"/>
        <w:ind w:left="720" w:hanging="720"/>
        <w:jc w:val="both"/>
        <w:rPr>
          <w:rFonts w:ascii="Times New Roman" w:eastAsia="Times New Roman" w:hAnsi="Times New Roman" w:cs="Times New Roman"/>
          <w:color w:val="000000" w:themeColor="text1"/>
          <w:sz w:val="24"/>
          <w:szCs w:val="24"/>
          <w:lang w:val="en-US" w:eastAsia="tr-TR"/>
        </w:rPr>
      </w:pPr>
      <w:proofErr w:type="spellStart"/>
      <w:r w:rsidRPr="002C5DE1">
        <w:rPr>
          <w:rFonts w:ascii="Times New Roman" w:eastAsia="Times New Roman" w:hAnsi="Times New Roman" w:cs="Times New Roman"/>
          <w:color w:val="000000" w:themeColor="text1"/>
          <w:sz w:val="24"/>
          <w:szCs w:val="24"/>
          <w:lang w:val="en-US" w:eastAsia="tr-TR"/>
        </w:rPr>
        <w:t>Mehra</w:t>
      </w:r>
      <w:proofErr w:type="spellEnd"/>
      <w:r w:rsidRPr="002C5DE1">
        <w:rPr>
          <w:rFonts w:ascii="Times New Roman" w:eastAsia="Times New Roman" w:hAnsi="Times New Roman" w:cs="Times New Roman"/>
          <w:color w:val="000000" w:themeColor="text1"/>
          <w:sz w:val="24"/>
          <w:szCs w:val="24"/>
          <w:lang w:val="en-US" w:eastAsia="tr-TR"/>
        </w:rPr>
        <w:t>, Y.P. (2001). The wealth effect in empirical life-cycle aggregate consumption equations. </w:t>
      </w:r>
      <w:r w:rsidRPr="002C5DE1">
        <w:rPr>
          <w:rFonts w:ascii="Times New Roman" w:eastAsia="Times New Roman" w:hAnsi="Times New Roman" w:cs="Times New Roman"/>
          <w:i/>
          <w:iCs/>
          <w:color w:val="000000" w:themeColor="text1"/>
          <w:sz w:val="24"/>
          <w:szCs w:val="24"/>
          <w:lang w:val="en-US" w:eastAsia="tr-TR"/>
        </w:rPr>
        <w:t>FRB Richmond Economic Quarterly</w:t>
      </w:r>
      <w:r w:rsidRPr="002C5DE1">
        <w:rPr>
          <w:rFonts w:ascii="Times New Roman" w:eastAsia="Times New Roman" w:hAnsi="Times New Roman" w:cs="Times New Roman"/>
          <w:color w:val="000000" w:themeColor="text1"/>
          <w:sz w:val="24"/>
          <w:szCs w:val="24"/>
          <w:lang w:val="en-US" w:eastAsia="tr-TR"/>
        </w:rPr>
        <w:t> 87(2), 45-68.</w:t>
      </w:r>
      <w:r w:rsidRPr="002C5DE1">
        <w:rPr>
          <w:rFonts w:ascii="Times New Roman" w:eastAsia="Times New Roman" w:hAnsi="Times New Roman" w:cs="Times New Roman"/>
          <w:color w:val="000000" w:themeColor="text1"/>
          <w:sz w:val="24"/>
          <w:szCs w:val="24"/>
          <w:shd w:val="clear" w:color="auto" w:fill="FFFFFF"/>
          <w:lang w:val="en-US" w:eastAsia="tr-TR"/>
        </w:rPr>
        <w:t> </w:t>
      </w:r>
    </w:p>
    <w:p w14:paraId="2669D2A9" w14:textId="77777777" w:rsidR="00390090" w:rsidRPr="002C5DE1" w:rsidRDefault="00390090" w:rsidP="00C145FF">
      <w:pPr>
        <w:autoSpaceDE w:val="0"/>
        <w:autoSpaceDN w:val="0"/>
        <w:adjustRightInd w:val="0"/>
        <w:spacing w:before="120" w:after="120" w:line="276" w:lineRule="auto"/>
        <w:ind w:left="720" w:hanging="720"/>
        <w:jc w:val="both"/>
        <w:rPr>
          <w:rFonts w:ascii="Times New Roman" w:hAnsi="Times New Roman" w:cs="Times New Roman"/>
          <w:color w:val="000000" w:themeColor="text1"/>
          <w:sz w:val="24"/>
          <w:szCs w:val="24"/>
          <w:lang w:val="en-US"/>
        </w:rPr>
      </w:pPr>
      <w:proofErr w:type="spellStart"/>
      <w:r w:rsidRPr="002C5DE1">
        <w:rPr>
          <w:rFonts w:ascii="Times New Roman" w:hAnsi="Times New Roman" w:cs="Times New Roman"/>
          <w:color w:val="000000" w:themeColor="text1"/>
          <w:sz w:val="24"/>
          <w:szCs w:val="24"/>
          <w:lang w:val="en-US"/>
        </w:rPr>
        <w:t>Mengjie</w:t>
      </w:r>
      <w:proofErr w:type="spellEnd"/>
      <w:r w:rsidRPr="002C5DE1">
        <w:rPr>
          <w:rFonts w:ascii="Times New Roman" w:hAnsi="Times New Roman" w:cs="Times New Roman"/>
          <w:color w:val="000000" w:themeColor="text1"/>
          <w:sz w:val="24"/>
          <w:szCs w:val="24"/>
          <w:lang w:val="en-US"/>
        </w:rPr>
        <w:t>, L., Reed, R. &amp; Wu, H. (2008)</w:t>
      </w:r>
      <w:r w:rsidR="004F73CF" w:rsidRPr="002C5DE1">
        <w:rPr>
          <w:rFonts w:ascii="Times New Roman" w:hAnsi="Times New Roman" w:cs="Times New Roman"/>
          <w:color w:val="000000" w:themeColor="text1"/>
          <w:sz w:val="24"/>
          <w:szCs w:val="24"/>
          <w:lang w:val="en-US"/>
        </w:rPr>
        <w:t>.</w:t>
      </w:r>
      <w:r w:rsidRPr="002C5DE1">
        <w:rPr>
          <w:rFonts w:ascii="Times New Roman" w:hAnsi="Times New Roman" w:cs="Times New Roman"/>
          <w:color w:val="000000" w:themeColor="text1"/>
          <w:sz w:val="24"/>
          <w:szCs w:val="24"/>
          <w:lang w:val="en-US"/>
        </w:rPr>
        <w:t xml:space="preserve"> Challenges facing housing affordability in Beijing in the twenty-first century</w:t>
      </w:r>
      <w:r w:rsidR="004F73CF" w:rsidRPr="002C5DE1">
        <w:rPr>
          <w:rFonts w:ascii="Times New Roman" w:hAnsi="Times New Roman" w:cs="Times New Roman"/>
          <w:color w:val="000000" w:themeColor="text1"/>
          <w:sz w:val="24"/>
          <w:szCs w:val="24"/>
          <w:lang w:val="en-US"/>
        </w:rPr>
        <w:t>.</w:t>
      </w:r>
      <w:r w:rsidRPr="002C5DE1">
        <w:rPr>
          <w:rFonts w:ascii="Times New Roman" w:hAnsi="Times New Roman" w:cs="Times New Roman"/>
          <w:color w:val="000000" w:themeColor="text1"/>
          <w:sz w:val="24"/>
          <w:szCs w:val="24"/>
          <w:lang w:val="en-US"/>
        </w:rPr>
        <w:t xml:space="preserve"> </w:t>
      </w:r>
      <w:r w:rsidRPr="002C5DE1">
        <w:rPr>
          <w:rFonts w:ascii="Times New Roman" w:hAnsi="Times New Roman" w:cs="Times New Roman"/>
          <w:i/>
          <w:iCs/>
          <w:color w:val="000000" w:themeColor="text1"/>
          <w:sz w:val="24"/>
          <w:szCs w:val="24"/>
          <w:lang w:val="en-US"/>
        </w:rPr>
        <w:t xml:space="preserve">International </w:t>
      </w:r>
      <w:r w:rsidR="004F73CF" w:rsidRPr="002C5DE1">
        <w:rPr>
          <w:rFonts w:ascii="Times New Roman" w:hAnsi="Times New Roman" w:cs="Times New Roman"/>
          <w:i/>
          <w:iCs/>
          <w:color w:val="000000" w:themeColor="text1"/>
          <w:sz w:val="24"/>
          <w:szCs w:val="24"/>
          <w:lang w:val="en-US"/>
        </w:rPr>
        <w:t>J</w:t>
      </w:r>
      <w:r w:rsidRPr="002C5DE1">
        <w:rPr>
          <w:rFonts w:ascii="Times New Roman" w:hAnsi="Times New Roman" w:cs="Times New Roman"/>
          <w:i/>
          <w:iCs/>
          <w:color w:val="000000" w:themeColor="text1"/>
          <w:sz w:val="24"/>
          <w:szCs w:val="24"/>
          <w:lang w:val="en-US"/>
        </w:rPr>
        <w:t>ournal of Housing Markets and Analysis</w:t>
      </w:r>
      <w:r w:rsidRPr="002C5DE1">
        <w:rPr>
          <w:rFonts w:ascii="Times New Roman" w:hAnsi="Times New Roman" w:cs="Times New Roman"/>
          <w:color w:val="000000" w:themeColor="text1"/>
          <w:sz w:val="24"/>
          <w:szCs w:val="24"/>
          <w:lang w:val="en-US"/>
        </w:rPr>
        <w:t xml:space="preserve"> 1(3), 275-287.</w:t>
      </w:r>
    </w:p>
    <w:p w14:paraId="44C35511" w14:textId="77777777" w:rsidR="00390090" w:rsidRPr="002C5DE1" w:rsidRDefault="00390090" w:rsidP="00C145FF">
      <w:pPr>
        <w:widowControl w:val="0"/>
        <w:autoSpaceDE w:val="0"/>
        <w:autoSpaceDN w:val="0"/>
        <w:adjustRightInd w:val="0"/>
        <w:spacing w:before="120" w:after="120" w:line="276" w:lineRule="auto"/>
        <w:ind w:left="720" w:hanging="720"/>
        <w:jc w:val="both"/>
        <w:rPr>
          <w:rFonts w:ascii="Times New Roman" w:hAnsi="Times New Roman" w:cs="Times New Roman"/>
          <w:color w:val="000000" w:themeColor="text1"/>
          <w:sz w:val="24"/>
          <w:szCs w:val="24"/>
          <w:shd w:val="clear" w:color="auto" w:fill="FFFFFF"/>
          <w:lang w:val="en-US"/>
        </w:rPr>
      </w:pPr>
      <w:r w:rsidRPr="002C5DE1">
        <w:rPr>
          <w:rFonts w:ascii="Times New Roman" w:hAnsi="Times New Roman" w:cs="Times New Roman"/>
          <w:color w:val="000000" w:themeColor="text1"/>
          <w:sz w:val="24"/>
          <w:szCs w:val="24"/>
          <w:shd w:val="clear" w:color="auto" w:fill="FFFFFF"/>
          <w:lang w:val="en-US"/>
        </w:rPr>
        <w:t xml:space="preserve">Modigliani, F., </w:t>
      </w:r>
      <w:r w:rsidRPr="002C5DE1">
        <w:rPr>
          <w:rFonts w:ascii="Times New Roman" w:hAnsi="Times New Roman" w:cs="Times New Roman"/>
          <w:color w:val="000000" w:themeColor="text1"/>
          <w:sz w:val="24"/>
          <w:szCs w:val="24"/>
          <w:lang w:val="en-US"/>
        </w:rPr>
        <w:t xml:space="preserve">&amp; </w:t>
      </w:r>
      <w:proofErr w:type="spellStart"/>
      <w:r w:rsidRPr="002C5DE1">
        <w:rPr>
          <w:rFonts w:ascii="Times New Roman" w:hAnsi="Times New Roman" w:cs="Times New Roman"/>
          <w:color w:val="000000" w:themeColor="text1"/>
          <w:sz w:val="24"/>
          <w:szCs w:val="24"/>
          <w:shd w:val="clear" w:color="auto" w:fill="FFFFFF"/>
          <w:lang w:val="en-US"/>
        </w:rPr>
        <w:t>Brumberg</w:t>
      </w:r>
      <w:proofErr w:type="spellEnd"/>
      <w:r w:rsidRPr="002C5DE1">
        <w:rPr>
          <w:rFonts w:ascii="Times New Roman" w:hAnsi="Times New Roman" w:cs="Times New Roman"/>
          <w:color w:val="000000" w:themeColor="text1"/>
          <w:sz w:val="24"/>
          <w:szCs w:val="24"/>
          <w:shd w:val="clear" w:color="auto" w:fill="FFFFFF"/>
          <w:lang w:val="en-US"/>
        </w:rPr>
        <w:t xml:space="preserve">, R., (1954). Utility analysis and the consumption function: an interpretation of cross-section data. In: </w:t>
      </w:r>
      <w:proofErr w:type="spellStart"/>
      <w:r w:rsidRPr="002C5DE1">
        <w:rPr>
          <w:rFonts w:ascii="Times New Roman" w:hAnsi="Times New Roman" w:cs="Times New Roman"/>
          <w:color w:val="000000" w:themeColor="text1"/>
          <w:sz w:val="24"/>
          <w:szCs w:val="24"/>
          <w:shd w:val="clear" w:color="auto" w:fill="FFFFFF"/>
          <w:lang w:val="en-US"/>
        </w:rPr>
        <w:t>Kurihara</w:t>
      </w:r>
      <w:proofErr w:type="spellEnd"/>
      <w:r w:rsidRPr="002C5DE1">
        <w:rPr>
          <w:rFonts w:ascii="Times New Roman" w:hAnsi="Times New Roman" w:cs="Times New Roman"/>
          <w:color w:val="000000" w:themeColor="text1"/>
          <w:sz w:val="24"/>
          <w:szCs w:val="24"/>
          <w:shd w:val="clear" w:color="auto" w:fill="FFFFFF"/>
          <w:lang w:val="en-US"/>
        </w:rPr>
        <w:t xml:space="preserve">, K.K. (Ed.), </w:t>
      </w:r>
      <w:r w:rsidRPr="002C5DE1">
        <w:rPr>
          <w:rFonts w:ascii="Times New Roman" w:hAnsi="Times New Roman" w:cs="Times New Roman"/>
          <w:i/>
          <w:iCs/>
          <w:color w:val="000000" w:themeColor="text1"/>
          <w:sz w:val="24"/>
          <w:szCs w:val="24"/>
          <w:shd w:val="clear" w:color="auto" w:fill="FFFFFF"/>
          <w:lang w:val="en-US"/>
        </w:rPr>
        <w:t>Post-</w:t>
      </w:r>
      <w:r w:rsidR="004F73CF" w:rsidRPr="002C5DE1">
        <w:rPr>
          <w:rFonts w:ascii="Times New Roman" w:hAnsi="Times New Roman" w:cs="Times New Roman"/>
          <w:i/>
          <w:iCs/>
          <w:color w:val="000000" w:themeColor="text1"/>
          <w:sz w:val="24"/>
          <w:szCs w:val="24"/>
          <w:shd w:val="clear" w:color="auto" w:fill="FFFFFF"/>
          <w:lang w:val="en-US"/>
        </w:rPr>
        <w:t>K</w:t>
      </w:r>
      <w:r w:rsidRPr="002C5DE1">
        <w:rPr>
          <w:rFonts w:ascii="Times New Roman" w:hAnsi="Times New Roman" w:cs="Times New Roman"/>
          <w:i/>
          <w:iCs/>
          <w:color w:val="000000" w:themeColor="text1"/>
          <w:sz w:val="24"/>
          <w:szCs w:val="24"/>
          <w:shd w:val="clear" w:color="auto" w:fill="FFFFFF"/>
          <w:lang w:val="en-US"/>
        </w:rPr>
        <w:t>eynesian Economics</w:t>
      </w:r>
      <w:r w:rsidRPr="002C5DE1">
        <w:rPr>
          <w:rFonts w:ascii="Times New Roman" w:hAnsi="Times New Roman" w:cs="Times New Roman"/>
          <w:color w:val="000000" w:themeColor="text1"/>
          <w:sz w:val="24"/>
          <w:szCs w:val="24"/>
          <w:shd w:val="clear" w:color="auto" w:fill="FFFFFF"/>
          <w:lang w:val="en-US"/>
        </w:rPr>
        <w:t>. Rutgers University Press, New Brunswick, 388-436.</w:t>
      </w:r>
    </w:p>
    <w:p w14:paraId="14A34572" w14:textId="77777777" w:rsidR="00390090" w:rsidRPr="002C5DE1" w:rsidRDefault="00390090" w:rsidP="00C145FF">
      <w:pPr>
        <w:widowControl w:val="0"/>
        <w:autoSpaceDE w:val="0"/>
        <w:autoSpaceDN w:val="0"/>
        <w:adjustRightInd w:val="0"/>
        <w:spacing w:before="120" w:after="120" w:line="276" w:lineRule="auto"/>
        <w:ind w:left="720" w:hanging="720"/>
        <w:jc w:val="both"/>
        <w:rPr>
          <w:rFonts w:ascii="Times New Roman" w:hAnsi="Times New Roman" w:cs="Times New Roman"/>
          <w:color w:val="000000" w:themeColor="text1"/>
          <w:sz w:val="24"/>
          <w:szCs w:val="24"/>
          <w:shd w:val="clear" w:color="auto" w:fill="FFFFFF"/>
          <w:lang w:val="en-US"/>
        </w:rPr>
      </w:pPr>
      <w:r w:rsidRPr="002C5DE1">
        <w:rPr>
          <w:rFonts w:ascii="Times New Roman" w:hAnsi="Times New Roman" w:cs="Times New Roman"/>
          <w:color w:val="000000" w:themeColor="text1"/>
          <w:sz w:val="24"/>
          <w:szCs w:val="24"/>
          <w:shd w:val="clear" w:color="auto" w:fill="FFFFFF"/>
          <w:lang w:val="en-US"/>
        </w:rPr>
        <w:t xml:space="preserve">Modigliani, F., </w:t>
      </w:r>
      <w:r w:rsidRPr="002C5DE1">
        <w:rPr>
          <w:rFonts w:ascii="Times New Roman" w:hAnsi="Times New Roman" w:cs="Times New Roman"/>
          <w:color w:val="000000" w:themeColor="text1"/>
          <w:sz w:val="24"/>
          <w:szCs w:val="24"/>
          <w:lang w:val="en-US"/>
        </w:rPr>
        <w:t xml:space="preserve">&amp; </w:t>
      </w:r>
      <w:proofErr w:type="spellStart"/>
      <w:r w:rsidRPr="002C5DE1">
        <w:rPr>
          <w:rFonts w:ascii="Times New Roman" w:hAnsi="Times New Roman" w:cs="Times New Roman"/>
          <w:color w:val="000000" w:themeColor="text1"/>
          <w:sz w:val="24"/>
          <w:szCs w:val="24"/>
          <w:shd w:val="clear" w:color="auto" w:fill="FFFFFF"/>
          <w:lang w:val="en-US"/>
        </w:rPr>
        <w:t>Brumberg</w:t>
      </w:r>
      <w:proofErr w:type="spellEnd"/>
      <w:r w:rsidRPr="002C5DE1">
        <w:rPr>
          <w:rFonts w:ascii="Times New Roman" w:hAnsi="Times New Roman" w:cs="Times New Roman"/>
          <w:color w:val="000000" w:themeColor="text1"/>
          <w:sz w:val="24"/>
          <w:szCs w:val="24"/>
          <w:shd w:val="clear" w:color="auto" w:fill="FFFFFF"/>
          <w:lang w:val="en-US"/>
        </w:rPr>
        <w:t xml:space="preserve">, R. (1979). Utility analysis and the consumption function: an attempt at integration. In: Abel, A. (Ed.), </w:t>
      </w:r>
      <w:r w:rsidRPr="002C5DE1">
        <w:rPr>
          <w:rFonts w:ascii="Times New Roman" w:hAnsi="Times New Roman" w:cs="Times New Roman"/>
          <w:i/>
          <w:iCs/>
          <w:color w:val="000000" w:themeColor="text1"/>
          <w:sz w:val="24"/>
          <w:szCs w:val="24"/>
          <w:shd w:val="clear" w:color="auto" w:fill="FFFFFF"/>
          <w:lang w:val="en-US"/>
        </w:rPr>
        <w:t>The Collected Papers of Franco Modigliani</w:t>
      </w:r>
      <w:r w:rsidRPr="002C5DE1">
        <w:rPr>
          <w:rFonts w:ascii="Times New Roman" w:hAnsi="Times New Roman" w:cs="Times New Roman"/>
          <w:color w:val="000000" w:themeColor="text1"/>
          <w:sz w:val="24"/>
          <w:szCs w:val="24"/>
          <w:shd w:val="clear" w:color="auto" w:fill="FFFFFF"/>
          <w:lang w:val="en-US"/>
        </w:rPr>
        <w:t>. MIT Press, Cambridge.</w:t>
      </w:r>
    </w:p>
    <w:p w14:paraId="56ABD8D7" w14:textId="77777777" w:rsidR="00390090" w:rsidRPr="002C5DE1" w:rsidRDefault="00390090" w:rsidP="00C145FF">
      <w:pPr>
        <w:spacing w:before="120" w:after="120" w:line="276" w:lineRule="auto"/>
        <w:ind w:left="720" w:hanging="720"/>
        <w:jc w:val="both"/>
        <w:rPr>
          <w:rFonts w:ascii="Times New Roman" w:hAnsi="Times New Roman" w:cs="Times New Roman"/>
          <w:color w:val="000000" w:themeColor="text1"/>
          <w:sz w:val="24"/>
          <w:szCs w:val="24"/>
          <w:shd w:val="clear" w:color="auto" w:fill="FFFFFF"/>
          <w:lang w:val="en-US"/>
        </w:rPr>
      </w:pPr>
      <w:proofErr w:type="spellStart"/>
      <w:r w:rsidRPr="002C5DE1">
        <w:rPr>
          <w:rFonts w:ascii="Times New Roman" w:hAnsi="Times New Roman" w:cs="Times New Roman"/>
          <w:color w:val="000000" w:themeColor="text1"/>
          <w:sz w:val="24"/>
          <w:szCs w:val="24"/>
          <w:shd w:val="clear" w:color="auto" w:fill="FFFFFF"/>
          <w:lang w:val="en-US"/>
        </w:rPr>
        <w:t>Palley</w:t>
      </w:r>
      <w:proofErr w:type="spellEnd"/>
      <w:r w:rsidRPr="002C5DE1">
        <w:rPr>
          <w:rFonts w:ascii="Times New Roman" w:hAnsi="Times New Roman" w:cs="Times New Roman"/>
          <w:color w:val="000000" w:themeColor="text1"/>
          <w:sz w:val="24"/>
          <w:szCs w:val="24"/>
          <w:shd w:val="clear" w:color="auto" w:fill="FFFFFF"/>
          <w:lang w:val="en-US"/>
        </w:rPr>
        <w:t>, T. I. (2010). The relative permanent income theory of consumption: a synthetic Keynes–</w:t>
      </w:r>
      <w:proofErr w:type="spellStart"/>
      <w:r w:rsidRPr="002C5DE1">
        <w:rPr>
          <w:rFonts w:ascii="Times New Roman" w:hAnsi="Times New Roman" w:cs="Times New Roman"/>
          <w:color w:val="000000" w:themeColor="text1"/>
          <w:sz w:val="24"/>
          <w:szCs w:val="24"/>
          <w:shd w:val="clear" w:color="auto" w:fill="FFFFFF"/>
          <w:lang w:val="en-US"/>
        </w:rPr>
        <w:t>Duesenberry</w:t>
      </w:r>
      <w:proofErr w:type="spellEnd"/>
      <w:r w:rsidRPr="002C5DE1">
        <w:rPr>
          <w:rFonts w:ascii="Times New Roman" w:hAnsi="Times New Roman" w:cs="Times New Roman"/>
          <w:color w:val="000000" w:themeColor="text1"/>
          <w:sz w:val="24"/>
          <w:szCs w:val="24"/>
          <w:shd w:val="clear" w:color="auto" w:fill="FFFFFF"/>
          <w:lang w:val="en-US"/>
        </w:rPr>
        <w:t xml:space="preserve">–Friedman model. </w:t>
      </w:r>
      <w:r w:rsidRPr="002C5DE1">
        <w:rPr>
          <w:rFonts w:ascii="Times New Roman" w:hAnsi="Times New Roman" w:cs="Times New Roman"/>
          <w:i/>
          <w:iCs/>
          <w:color w:val="000000" w:themeColor="text1"/>
          <w:sz w:val="24"/>
          <w:szCs w:val="24"/>
          <w:shd w:val="clear" w:color="auto" w:fill="FFFFFF"/>
          <w:lang w:val="en-US"/>
        </w:rPr>
        <w:t>Review of Political Economy</w:t>
      </w:r>
      <w:r w:rsidRPr="002C5DE1">
        <w:rPr>
          <w:rFonts w:ascii="Times New Roman" w:hAnsi="Times New Roman" w:cs="Times New Roman"/>
          <w:color w:val="000000" w:themeColor="text1"/>
          <w:sz w:val="24"/>
          <w:szCs w:val="24"/>
          <w:shd w:val="clear" w:color="auto" w:fill="FFFFFF"/>
          <w:lang w:val="en-US"/>
        </w:rPr>
        <w:t xml:space="preserve"> 22(1), 41-56.</w:t>
      </w:r>
    </w:p>
    <w:p w14:paraId="19AA9350" w14:textId="77777777" w:rsidR="00390090" w:rsidRPr="002C5DE1" w:rsidRDefault="00390090" w:rsidP="00C145FF">
      <w:pPr>
        <w:spacing w:before="120" w:after="120" w:line="276" w:lineRule="auto"/>
        <w:ind w:left="720" w:hanging="720"/>
        <w:jc w:val="both"/>
        <w:rPr>
          <w:rFonts w:ascii="Times New Roman" w:hAnsi="Times New Roman" w:cs="Times New Roman"/>
          <w:color w:val="000000" w:themeColor="text1"/>
          <w:sz w:val="24"/>
          <w:szCs w:val="24"/>
          <w:shd w:val="clear" w:color="auto" w:fill="FFFFFF"/>
          <w:lang w:val="en-US"/>
        </w:rPr>
      </w:pPr>
      <w:proofErr w:type="spellStart"/>
      <w:r w:rsidRPr="002C5DE1">
        <w:rPr>
          <w:rFonts w:ascii="Times New Roman" w:hAnsi="Times New Roman" w:cs="Times New Roman"/>
          <w:color w:val="000000" w:themeColor="text1"/>
          <w:sz w:val="24"/>
          <w:szCs w:val="24"/>
          <w:shd w:val="clear" w:color="auto" w:fill="FFFFFF"/>
          <w:lang w:val="en-US"/>
        </w:rPr>
        <w:t>Peltonen</w:t>
      </w:r>
      <w:proofErr w:type="spellEnd"/>
      <w:r w:rsidRPr="002C5DE1">
        <w:rPr>
          <w:rFonts w:ascii="Times New Roman" w:hAnsi="Times New Roman" w:cs="Times New Roman"/>
          <w:color w:val="000000" w:themeColor="text1"/>
          <w:sz w:val="24"/>
          <w:szCs w:val="24"/>
          <w:shd w:val="clear" w:color="auto" w:fill="FFFFFF"/>
          <w:lang w:val="en-US"/>
        </w:rPr>
        <w:t xml:space="preserve">, T. A., Sousa, R. M., &amp; </w:t>
      </w:r>
      <w:proofErr w:type="spellStart"/>
      <w:r w:rsidRPr="002C5DE1">
        <w:rPr>
          <w:rFonts w:ascii="Times New Roman" w:hAnsi="Times New Roman" w:cs="Times New Roman"/>
          <w:color w:val="000000" w:themeColor="text1"/>
          <w:sz w:val="24"/>
          <w:szCs w:val="24"/>
          <w:shd w:val="clear" w:color="auto" w:fill="FFFFFF"/>
          <w:lang w:val="en-US"/>
        </w:rPr>
        <w:t>Vansteenkiste</w:t>
      </w:r>
      <w:proofErr w:type="spellEnd"/>
      <w:r w:rsidRPr="002C5DE1">
        <w:rPr>
          <w:rFonts w:ascii="Times New Roman" w:hAnsi="Times New Roman" w:cs="Times New Roman"/>
          <w:color w:val="000000" w:themeColor="text1"/>
          <w:sz w:val="24"/>
          <w:szCs w:val="24"/>
          <w:shd w:val="clear" w:color="auto" w:fill="FFFFFF"/>
          <w:lang w:val="en-US"/>
        </w:rPr>
        <w:t xml:space="preserve">, I.S. (2012). Wealth effects in emerging market economies. </w:t>
      </w:r>
      <w:r w:rsidRPr="002C5DE1">
        <w:rPr>
          <w:rFonts w:ascii="Times New Roman" w:hAnsi="Times New Roman" w:cs="Times New Roman"/>
          <w:i/>
          <w:iCs/>
          <w:color w:val="000000" w:themeColor="text1"/>
          <w:sz w:val="24"/>
          <w:szCs w:val="24"/>
          <w:shd w:val="clear" w:color="auto" w:fill="FFFFFF"/>
          <w:lang w:val="en-US"/>
        </w:rPr>
        <w:t>International Review of Economics &amp; Finance</w:t>
      </w:r>
      <w:r w:rsidRPr="002C5DE1">
        <w:rPr>
          <w:rFonts w:ascii="Times New Roman" w:hAnsi="Times New Roman" w:cs="Times New Roman"/>
          <w:color w:val="000000" w:themeColor="text1"/>
          <w:sz w:val="24"/>
          <w:szCs w:val="24"/>
          <w:shd w:val="clear" w:color="auto" w:fill="FFFFFF"/>
          <w:lang w:val="en-US"/>
        </w:rPr>
        <w:t xml:space="preserve"> 24</w:t>
      </w:r>
      <w:r w:rsidR="004F73CF" w:rsidRPr="002C5DE1">
        <w:rPr>
          <w:rFonts w:ascii="Times New Roman" w:hAnsi="Times New Roman" w:cs="Times New Roman"/>
          <w:color w:val="000000" w:themeColor="text1"/>
          <w:sz w:val="24"/>
          <w:szCs w:val="24"/>
          <w:shd w:val="clear" w:color="auto" w:fill="FFFFFF"/>
          <w:lang w:val="en-US"/>
        </w:rPr>
        <w:t>(2)</w:t>
      </w:r>
      <w:r w:rsidRPr="002C5DE1">
        <w:rPr>
          <w:rFonts w:ascii="Times New Roman" w:hAnsi="Times New Roman" w:cs="Times New Roman"/>
          <w:color w:val="000000" w:themeColor="text1"/>
          <w:sz w:val="24"/>
          <w:szCs w:val="24"/>
          <w:shd w:val="clear" w:color="auto" w:fill="FFFFFF"/>
          <w:lang w:val="en-US"/>
        </w:rPr>
        <w:t>, 155-166.</w:t>
      </w:r>
    </w:p>
    <w:p w14:paraId="3FE22A6C" w14:textId="77777777" w:rsidR="00390090" w:rsidRPr="002C5DE1" w:rsidRDefault="00390090" w:rsidP="00C145FF">
      <w:pPr>
        <w:spacing w:before="120" w:after="120" w:line="276" w:lineRule="auto"/>
        <w:ind w:left="720" w:hanging="720"/>
        <w:jc w:val="both"/>
        <w:rPr>
          <w:rFonts w:ascii="Times New Roman" w:hAnsi="Times New Roman" w:cs="Times New Roman"/>
          <w:color w:val="000000" w:themeColor="text1"/>
          <w:sz w:val="24"/>
          <w:szCs w:val="24"/>
          <w:lang w:val="en-US"/>
        </w:rPr>
      </w:pPr>
      <w:proofErr w:type="spellStart"/>
      <w:r w:rsidRPr="002C5DE1">
        <w:rPr>
          <w:rFonts w:ascii="Times New Roman" w:hAnsi="Times New Roman" w:cs="Times New Roman"/>
          <w:color w:val="000000" w:themeColor="text1"/>
          <w:sz w:val="24"/>
          <w:szCs w:val="24"/>
          <w:lang w:val="en-US"/>
        </w:rPr>
        <w:t>Perron</w:t>
      </w:r>
      <w:proofErr w:type="spellEnd"/>
      <w:r w:rsidRPr="002C5DE1">
        <w:rPr>
          <w:rFonts w:ascii="Times New Roman" w:hAnsi="Times New Roman" w:cs="Times New Roman"/>
          <w:color w:val="000000" w:themeColor="text1"/>
          <w:sz w:val="24"/>
          <w:szCs w:val="24"/>
          <w:lang w:val="en-US"/>
        </w:rPr>
        <w:t xml:space="preserve">, P., &amp; Vogelsang, T.J. (1992). </w:t>
      </w:r>
      <w:proofErr w:type="spellStart"/>
      <w:r w:rsidRPr="002C5DE1">
        <w:rPr>
          <w:rFonts w:ascii="Times New Roman" w:hAnsi="Times New Roman" w:cs="Times New Roman"/>
          <w:color w:val="000000" w:themeColor="text1"/>
          <w:sz w:val="24"/>
          <w:szCs w:val="24"/>
          <w:lang w:val="en-US"/>
        </w:rPr>
        <w:t>Nonstationarity</w:t>
      </w:r>
      <w:proofErr w:type="spellEnd"/>
      <w:r w:rsidRPr="002C5DE1">
        <w:rPr>
          <w:rFonts w:ascii="Times New Roman" w:hAnsi="Times New Roman" w:cs="Times New Roman"/>
          <w:color w:val="000000" w:themeColor="text1"/>
          <w:sz w:val="24"/>
          <w:szCs w:val="24"/>
          <w:lang w:val="en-US"/>
        </w:rPr>
        <w:t xml:space="preserve"> and level shifts with an application to purchasing power parity. </w:t>
      </w:r>
      <w:r w:rsidRPr="002C5DE1">
        <w:rPr>
          <w:rFonts w:ascii="Times New Roman" w:hAnsi="Times New Roman" w:cs="Times New Roman"/>
          <w:i/>
          <w:iCs/>
          <w:color w:val="000000" w:themeColor="text1"/>
          <w:sz w:val="24"/>
          <w:szCs w:val="24"/>
          <w:lang w:val="en-US"/>
        </w:rPr>
        <w:t>Journal of Business &amp; Economic Statistics</w:t>
      </w:r>
      <w:r w:rsidRPr="002C5DE1">
        <w:rPr>
          <w:rFonts w:ascii="Times New Roman" w:hAnsi="Times New Roman" w:cs="Times New Roman"/>
          <w:color w:val="000000" w:themeColor="text1"/>
          <w:sz w:val="24"/>
          <w:szCs w:val="24"/>
          <w:lang w:val="en-US"/>
        </w:rPr>
        <w:t xml:space="preserve"> 10(3), 301-320.</w:t>
      </w:r>
    </w:p>
    <w:p w14:paraId="62823A36" w14:textId="77777777" w:rsidR="00390090" w:rsidRPr="002C5DE1" w:rsidRDefault="00390090" w:rsidP="00C145FF">
      <w:pPr>
        <w:spacing w:before="120" w:after="120" w:line="276" w:lineRule="auto"/>
        <w:ind w:left="720" w:hanging="720"/>
        <w:jc w:val="both"/>
        <w:rPr>
          <w:rFonts w:ascii="Times New Roman" w:hAnsi="Times New Roman" w:cs="Times New Roman"/>
          <w:color w:val="000000" w:themeColor="text1"/>
          <w:sz w:val="24"/>
          <w:szCs w:val="24"/>
          <w:lang w:val="en-US"/>
        </w:rPr>
      </w:pPr>
      <w:proofErr w:type="spellStart"/>
      <w:r w:rsidRPr="002C5DE1">
        <w:rPr>
          <w:rFonts w:ascii="Times New Roman" w:hAnsi="Times New Roman" w:cs="Times New Roman"/>
          <w:color w:val="000000" w:themeColor="text1"/>
          <w:sz w:val="24"/>
          <w:szCs w:val="24"/>
          <w:lang w:val="en-US"/>
        </w:rPr>
        <w:t>Pesaran</w:t>
      </w:r>
      <w:proofErr w:type="spellEnd"/>
      <w:r w:rsidRPr="002C5DE1">
        <w:rPr>
          <w:rFonts w:ascii="Times New Roman" w:hAnsi="Times New Roman" w:cs="Times New Roman"/>
          <w:color w:val="000000" w:themeColor="text1"/>
          <w:sz w:val="24"/>
          <w:szCs w:val="24"/>
          <w:lang w:val="en-US"/>
        </w:rPr>
        <w:t>, M.H. (2007). A simple panel unit root test in the presence of cross</w:t>
      </w:r>
      <w:r w:rsidRPr="002C5DE1">
        <w:rPr>
          <w:rFonts w:ascii="Cambria Math" w:hAnsi="Cambria Math" w:cs="Cambria Math"/>
          <w:color w:val="000000" w:themeColor="text1"/>
          <w:sz w:val="24"/>
          <w:szCs w:val="24"/>
          <w:lang w:val="en-US"/>
        </w:rPr>
        <w:t>‐</w:t>
      </w:r>
      <w:r w:rsidRPr="002C5DE1">
        <w:rPr>
          <w:rFonts w:ascii="Times New Roman" w:hAnsi="Times New Roman" w:cs="Times New Roman"/>
          <w:color w:val="000000" w:themeColor="text1"/>
          <w:sz w:val="24"/>
          <w:szCs w:val="24"/>
          <w:lang w:val="en-US"/>
        </w:rPr>
        <w:t xml:space="preserve">section dependence. </w:t>
      </w:r>
      <w:r w:rsidRPr="002C5DE1">
        <w:rPr>
          <w:rFonts w:ascii="Times New Roman" w:hAnsi="Times New Roman" w:cs="Times New Roman"/>
          <w:i/>
          <w:iCs/>
          <w:color w:val="000000" w:themeColor="text1"/>
          <w:sz w:val="24"/>
          <w:szCs w:val="24"/>
          <w:lang w:val="en-US"/>
        </w:rPr>
        <w:t>Journal of Applied Econometrics</w:t>
      </w:r>
      <w:r w:rsidRPr="002C5DE1">
        <w:rPr>
          <w:rFonts w:ascii="Times New Roman" w:hAnsi="Times New Roman" w:cs="Times New Roman"/>
          <w:color w:val="000000" w:themeColor="text1"/>
          <w:sz w:val="24"/>
          <w:szCs w:val="24"/>
          <w:lang w:val="en-US"/>
        </w:rPr>
        <w:t xml:space="preserve"> 22, 265-312.</w:t>
      </w:r>
    </w:p>
    <w:p w14:paraId="390026AC" w14:textId="77777777" w:rsidR="00390090" w:rsidRPr="002C5DE1" w:rsidRDefault="00390090" w:rsidP="00C145FF">
      <w:pPr>
        <w:spacing w:before="120" w:after="120" w:line="276" w:lineRule="auto"/>
        <w:ind w:left="720" w:hanging="720"/>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 xml:space="preserve">Poterba, J. M. (2000). Stock market wealth and consumption. </w:t>
      </w:r>
      <w:r w:rsidRPr="002C5DE1">
        <w:rPr>
          <w:rFonts w:ascii="Times New Roman" w:hAnsi="Times New Roman" w:cs="Times New Roman"/>
          <w:i/>
          <w:iCs/>
          <w:color w:val="000000" w:themeColor="text1"/>
          <w:sz w:val="24"/>
          <w:szCs w:val="24"/>
          <w:lang w:val="en-US"/>
        </w:rPr>
        <w:t>Journal of Economic Perspectives</w:t>
      </w:r>
      <w:r w:rsidRPr="002C5DE1">
        <w:rPr>
          <w:rFonts w:ascii="Times New Roman" w:hAnsi="Times New Roman" w:cs="Times New Roman"/>
          <w:color w:val="000000" w:themeColor="text1"/>
          <w:sz w:val="24"/>
          <w:szCs w:val="24"/>
          <w:lang w:val="en-US"/>
        </w:rPr>
        <w:t xml:space="preserve"> 14</w:t>
      </w:r>
      <w:r w:rsidR="004F73CF" w:rsidRPr="002C5DE1">
        <w:rPr>
          <w:rFonts w:ascii="Times New Roman" w:hAnsi="Times New Roman" w:cs="Times New Roman"/>
          <w:color w:val="000000" w:themeColor="text1"/>
          <w:sz w:val="24"/>
          <w:szCs w:val="24"/>
          <w:lang w:val="en-US"/>
        </w:rPr>
        <w:t>,</w:t>
      </w:r>
      <w:r w:rsidRPr="002C5DE1">
        <w:rPr>
          <w:rFonts w:ascii="Times New Roman" w:hAnsi="Times New Roman" w:cs="Times New Roman"/>
          <w:color w:val="000000" w:themeColor="text1"/>
          <w:sz w:val="24"/>
          <w:szCs w:val="24"/>
          <w:lang w:val="en-US"/>
        </w:rPr>
        <w:t xml:space="preserve"> 99</w:t>
      </w:r>
      <w:r w:rsidR="004F73CF" w:rsidRPr="002C5DE1">
        <w:rPr>
          <w:rFonts w:ascii="Times New Roman" w:hAnsi="Times New Roman" w:cs="Times New Roman"/>
          <w:color w:val="000000" w:themeColor="text1"/>
          <w:sz w:val="24"/>
          <w:szCs w:val="24"/>
          <w:lang w:val="en-US"/>
        </w:rPr>
        <w:t>-</w:t>
      </w:r>
      <w:r w:rsidRPr="002C5DE1">
        <w:rPr>
          <w:rFonts w:ascii="Times New Roman" w:hAnsi="Times New Roman" w:cs="Times New Roman"/>
          <w:color w:val="000000" w:themeColor="text1"/>
          <w:sz w:val="24"/>
          <w:szCs w:val="24"/>
          <w:lang w:val="en-US"/>
        </w:rPr>
        <w:t>118.</w:t>
      </w:r>
    </w:p>
    <w:p w14:paraId="55D87464" w14:textId="77777777" w:rsidR="00390090" w:rsidRPr="002C5DE1" w:rsidRDefault="00390090" w:rsidP="00C145FF">
      <w:pPr>
        <w:spacing w:before="120" w:after="120" w:line="276" w:lineRule="auto"/>
        <w:ind w:left="720" w:hanging="720"/>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 xml:space="preserve">Poterba, J., &amp; </w:t>
      </w:r>
      <w:proofErr w:type="spellStart"/>
      <w:r w:rsidRPr="002C5DE1">
        <w:rPr>
          <w:rFonts w:ascii="Times New Roman" w:hAnsi="Times New Roman" w:cs="Times New Roman"/>
          <w:color w:val="000000" w:themeColor="text1"/>
          <w:sz w:val="24"/>
          <w:szCs w:val="24"/>
          <w:lang w:val="en-US"/>
        </w:rPr>
        <w:t>Samwick</w:t>
      </w:r>
      <w:proofErr w:type="spellEnd"/>
      <w:r w:rsidRPr="002C5DE1">
        <w:rPr>
          <w:rFonts w:ascii="Times New Roman" w:hAnsi="Times New Roman" w:cs="Times New Roman"/>
          <w:color w:val="000000" w:themeColor="text1"/>
          <w:sz w:val="24"/>
          <w:szCs w:val="24"/>
          <w:lang w:val="en-US"/>
        </w:rPr>
        <w:t xml:space="preserve">, A. (1995). Stock </w:t>
      </w:r>
      <w:r w:rsidR="004F73CF" w:rsidRPr="002C5DE1">
        <w:rPr>
          <w:rFonts w:ascii="Times New Roman" w:hAnsi="Times New Roman" w:cs="Times New Roman"/>
          <w:color w:val="000000" w:themeColor="text1"/>
          <w:sz w:val="24"/>
          <w:szCs w:val="24"/>
          <w:lang w:val="en-US"/>
        </w:rPr>
        <w:t>o</w:t>
      </w:r>
      <w:r w:rsidRPr="002C5DE1">
        <w:rPr>
          <w:rFonts w:ascii="Times New Roman" w:hAnsi="Times New Roman" w:cs="Times New Roman"/>
          <w:color w:val="000000" w:themeColor="text1"/>
          <w:sz w:val="24"/>
          <w:szCs w:val="24"/>
          <w:lang w:val="en-US"/>
        </w:rPr>
        <w:t xml:space="preserve">wnership </w:t>
      </w:r>
      <w:r w:rsidR="004F73CF" w:rsidRPr="002C5DE1">
        <w:rPr>
          <w:rFonts w:ascii="Times New Roman" w:hAnsi="Times New Roman" w:cs="Times New Roman"/>
          <w:color w:val="000000" w:themeColor="text1"/>
          <w:sz w:val="24"/>
          <w:szCs w:val="24"/>
          <w:lang w:val="en-US"/>
        </w:rPr>
        <w:t>p</w:t>
      </w:r>
      <w:r w:rsidRPr="002C5DE1">
        <w:rPr>
          <w:rFonts w:ascii="Times New Roman" w:hAnsi="Times New Roman" w:cs="Times New Roman"/>
          <w:color w:val="000000" w:themeColor="text1"/>
          <w:sz w:val="24"/>
          <w:szCs w:val="24"/>
          <w:lang w:val="en-US"/>
        </w:rPr>
        <w:t xml:space="preserve">atterns, </w:t>
      </w:r>
      <w:r w:rsidR="004F73CF" w:rsidRPr="002C5DE1">
        <w:rPr>
          <w:rFonts w:ascii="Times New Roman" w:hAnsi="Times New Roman" w:cs="Times New Roman"/>
          <w:color w:val="000000" w:themeColor="text1"/>
          <w:sz w:val="24"/>
          <w:szCs w:val="24"/>
          <w:lang w:val="en-US"/>
        </w:rPr>
        <w:t>s</w:t>
      </w:r>
      <w:r w:rsidRPr="002C5DE1">
        <w:rPr>
          <w:rFonts w:ascii="Times New Roman" w:hAnsi="Times New Roman" w:cs="Times New Roman"/>
          <w:color w:val="000000" w:themeColor="text1"/>
          <w:sz w:val="24"/>
          <w:szCs w:val="24"/>
          <w:lang w:val="en-US"/>
        </w:rPr>
        <w:t xml:space="preserve">tock </w:t>
      </w:r>
      <w:r w:rsidR="004F73CF" w:rsidRPr="002C5DE1">
        <w:rPr>
          <w:rFonts w:ascii="Times New Roman" w:hAnsi="Times New Roman" w:cs="Times New Roman"/>
          <w:color w:val="000000" w:themeColor="text1"/>
          <w:sz w:val="24"/>
          <w:szCs w:val="24"/>
          <w:lang w:val="en-US"/>
        </w:rPr>
        <w:t>m</w:t>
      </w:r>
      <w:r w:rsidRPr="002C5DE1">
        <w:rPr>
          <w:rFonts w:ascii="Times New Roman" w:hAnsi="Times New Roman" w:cs="Times New Roman"/>
          <w:color w:val="000000" w:themeColor="text1"/>
          <w:sz w:val="24"/>
          <w:szCs w:val="24"/>
          <w:lang w:val="en-US"/>
        </w:rPr>
        <w:t xml:space="preserve">arket </w:t>
      </w:r>
      <w:r w:rsidR="004F73CF" w:rsidRPr="002C5DE1">
        <w:rPr>
          <w:rFonts w:ascii="Times New Roman" w:hAnsi="Times New Roman" w:cs="Times New Roman"/>
          <w:color w:val="000000" w:themeColor="text1"/>
          <w:sz w:val="24"/>
          <w:szCs w:val="24"/>
          <w:lang w:val="en-US"/>
        </w:rPr>
        <w:t>f</w:t>
      </w:r>
      <w:r w:rsidRPr="002C5DE1">
        <w:rPr>
          <w:rFonts w:ascii="Times New Roman" w:hAnsi="Times New Roman" w:cs="Times New Roman"/>
          <w:color w:val="000000" w:themeColor="text1"/>
          <w:sz w:val="24"/>
          <w:szCs w:val="24"/>
          <w:lang w:val="en-US"/>
        </w:rPr>
        <w:t xml:space="preserve">luctuations, and </w:t>
      </w:r>
      <w:r w:rsidR="004F73CF" w:rsidRPr="002C5DE1">
        <w:rPr>
          <w:rFonts w:ascii="Times New Roman" w:hAnsi="Times New Roman" w:cs="Times New Roman"/>
          <w:color w:val="000000" w:themeColor="text1"/>
          <w:sz w:val="24"/>
          <w:szCs w:val="24"/>
          <w:lang w:val="en-US"/>
        </w:rPr>
        <w:t>c</w:t>
      </w:r>
      <w:r w:rsidRPr="002C5DE1">
        <w:rPr>
          <w:rFonts w:ascii="Times New Roman" w:hAnsi="Times New Roman" w:cs="Times New Roman"/>
          <w:color w:val="000000" w:themeColor="text1"/>
          <w:sz w:val="24"/>
          <w:szCs w:val="24"/>
          <w:lang w:val="en-US"/>
        </w:rPr>
        <w:t xml:space="preserve">onsumption. </w:t>
      </w:r>
      <w:r w:rsidRPr="002C5DE1">
        <w:rPr>
          <w:rFonts w:ascii="Times New Roman" w:hAnsi="Times New Roman" w:cs="Times New Roman"/>
          <w:i/>
          <w:iCs/>
          <w:color w:val="000000" w:themeColor="text1"/>
          <w:sz w:val="24"/>
          <w:szCs w:val="24"/>
          <w:lang w:val="en-US"/>
        </w:rPr>
        <w:t>Brookings Papers on Economic Activity</w:t>
      </w:r>
      <w:r w:rsidRPr="002C5DE1">
        <w:rPr>
          <w:rFonts w:ascii="Times New Roman" w:hAnsi="Times New Roman" w:cs="Times New Roman"/>
          <w:color w:val="000000" w:themeColor="text1"/>
          <w:sz w:val="24"/>
          <w:szCs w:val="24"/>
          <w:lang w:val="en-US"/>
        </w:rPr>
        <w:t xml:space="preserve"> 2</w:t>
      </w:r>
      <w:r w:rsidR="004F73CF" w:rsidRPr="002C5DE1">
        <w:rPr>
          <w:rFonts w:ascii="Times New Roman" w:hAnsi="Times New Roman" w:cs="Times New Roman"/>
          <w:color w:val="000000" w:themeColor="text1"/>
          <w:sz w:val="24"/>
          <w:szCs w:val="24"/>
          <w:lang w:val="en-US"/>
        </w:rPr>
        <w:t>(2),</w:t>
      </w:r>
      <w:r w:rsidRPr="002C5DE1">
        <w:rPr>
          <w:rFonts w:ascii="Times New Roman" w:hAnsi="Times New Roman" w:cs="Times New Roman"/>
          <w:color w:val="000000" w:themeColor="text1"/>
          <w:sz w:val="24"/>
          <w:szCs w:val="24"/>
          <w:lang w:val="en-US"/>
        </w:rPr>
        <w:t xml:space="preserve"> 295</w:t>
      </w:r>
      <w:r w:rsidR="004F73CF" w:rsidRPr="002C5DE1">
        <w:rPr>
          <w:rFonts w:ascii="Times New Roman" w:hAnsi="Times New Roman" w:cs="Times New Roman"/>
          <w:color w:val="000000" w:themeColor="text1"/>
          <w:sz w:val="24"/>
          <w:szCs w:val="24"/>
          <w:lang w:val="en-US"/>
        </w:rPr>
        <w:t>-</w:t>
      </w:r>
      <w:r w:rsidRPr="002C5DE1">
        <w:rPr>
          <w:rFonts w:ascii="Times New Roman" w:hAnsi="Times New Roman" w:cs="Times New Roman"/>
          <w:color w:val="000000" w:themeColor="text1"/>
          <w:sz w:val="24"/>
          <w:szCs w:val="24"/>
          <w:lang w:val="en-US"/>
        </w:rPr>
        <w:t>357.</w:t>
      </w:r>
    </w:p>
    <w:p w14:paraId="6BF60D59" w14:textId="77777777" w:rsidR="00390090" w:rsidRPr="002C5DE1" w:rsidRDefault="00390090" w:rsidP="00C145FF">
      <w:pPr>
        <w:spacing w:before="120" w:after="120" w:line="276" w:lineRule="auto"/>
        <w:ind w:left="720" w:hanging="720"/>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lastRenderedPageBreak/>
        <w:t>Sahay, R</w:t>
      </w:r>
      <w:r w:rsidR="004F73CF" w:rsidRPr="002C5DE1">
        <w:rPr>
          <w:rFonts w:ascii="Times New Roman" w:hAnsi="Times New Roman" w:cs="Times New Roman"/>
          <w:color w:val="000000" w:themeColor="text1"/>
          <w:sz w:val="24"/>
          <w:szCs w:val="24"/>
          <w:lang w:val="en-US"/>
        </w:rPr>
        <w:t>.</w:t>
      </w:r>
      <w:r w:rsidRPr="002C5DE1">
        <w:rPr>
          <w:rFonts w:ascii="Times New Roman" w:hAnsi="Times New Roman" w:cs="Times New Roman"/>
          <w:color w:val="000000" w:themeColor="text1"/>
          <w:sz w:val="24"/>
          <w:szCs w:val="24"/>
          <w:lang w:val="en-US"/>
        </w:rPr>
        <w:t xml:space="preserve">, </w:t>
      </w:r>
      <w:proofErr w:type="spellStart"/>
      <w:r w:rsidRPr="002C5DE1">
        <w:rPr>
          <w:rFonts w:ascii="Times New Roman" w:hAnsi="Times New Roman" w:cs="Times New Roman"/>
          <w:color w:val="000000" w:themeColor="text1"/>
          <w:sz w:val="24"/>
          <w:szCs w:val="24"/>
          <w:lang w:val="en-US"/>
        </w:rPr>
        <w:t>Cihák</w:t>
      </w:r>
      <w:proofErr w:type="spellEnd"/>
      <w:r w:rsidRPr="002C5DE1">
        <w:rPr>
          <w:rFonts w:ascii="Times New Roman" w:hAnsi="Times New Roman" w:cs="Times New Roman"/>
          <w:color w:val="000000" w:themeColor="text1"/>
          <w:sz w:val="24"/>
          <w:szCs w:val="24"/>
          <w:lang w:val="en-US"/>
        </w:rPr>
        <w:t xml:space="preserve">, </w:t>
      </w:r>
      <w:r w:rsidR="004F73CF" w:rsidRPr="002C5DE1">
        <w:rPr>
          <w:rFonts w:ascii="Times New Roman" w:hAnsi="Times New Roman" w:cs="Times New Roman"/>
          <w:color w:val="000000" w:themeColor="text1"/>
          <w:sz w:val="24"/>
          <w:szCs w:val="24"/>
          <w:lang w:val="en-US"/>
        </w:rPr>
        <w:t xml:space="preserve">M., </w:t>
      </w:r>
      <w:proofErr w:type="spellStart"/>
      <w:r w:rsidRPr="002C5DE1">
        <w:rPr>
          <w:rFonts w:ascii="Times New Roman" w:hAnsi="Times New Roman" w:cs="Times New Roman"/>
          <w:color w:val="000000" w:themeColor="text1"/>
          <w:sz w:val="24"/>
          <w:szCs w:val="24"/>
          <w:lang w:val="en-US"/>
        </w:rPr>
        <w:t>N’Diaye</w:t>
      </w:r>
      <w:proofErr w:type="spellEnd"/>
      <w:r w:rsidRPr="002C5DE1">
        <w:rPr>
          <w:rFonts w:ascii="Times New Roman" w:hAnsi="Times New Roman" w:cs="Times New Roman"/>
          <w:color w:val="000000" w:themeColor="text1"/>
          <w:sz w:val="24"/>
          <w:szCs w:val="24"/>
          <w:lang w:val="en-US"/>
        </w:rPr>
        <w:t xml:space="preserve">, </w:t>
      </w:r>
      <w:r w:rsidR="004F73CF" w:rsidRPr="002C5DE1">
        <w:rPr>
          <w:rFonts w:ascii="Times New Roman" w:hAnsi="Times New Roman" w:cs="Times New Roman"/>
          <w:color w:val="000000" w:themeColor="text1"/>
          <w:sz w:val="24"/>
          <w:szCs w:val="24"/>
          <w:lang w:val="en-US"/>
        </w:rPr>
        <w:t xml:space="preserve">P., </w:t>
      </w:r>
      <w:r w:rsidRPr="002C5DE1">
        <w:rPr>
          <w:rFonts w:ascii="Times New Roman" w:hAnsi="Times New Roman" w:cs="Times New Roman"/>
          <w:color w:val="000000" w:themeColor="text1"/>
          <w:sz w:val="24"/>
          <w:szCs w:val="24"/>
          <w:lang w:val="en-US"/>
        </w:rPr>
        <w:t xml:space="preserve">Barajas, </w:t>
      </w:r>
      <w:r w:rsidR="004F73CF" w:rsidRPr="002C5DE1">
        <w:rPr>
          <w:rFonts w:ascii="Times New Roman" w:hAnsi="Times New Roman" w:cs="Times New Roman"/>
          <w:color w:val="000000" w:themeColor="text1"/>
          <w:sz w:val="24"/>
          <w:szCs w:val="24"/>
          <w:lang w:val="en-US"/>
        </w:rPr>
        <w:t xml:space="preserve">A., </w:t>
      </w:r>
      <w:r w:rsidRPr="002C5DE1">
        <w:rPr>
          <w:rFonts w:ascii="Times New Roman" w:hAnsi="Times New Roman" w:cs="Times New Roman"/>
          <w:color w:val="000000" w:themeColor="text1"/>
          <w:sz w:val="24"/>
          <w:szCs w:val="24"/>
          <w:lang w:val="en-US"/>
        </w:rPr>
        <w:t xml:space="preserve">Bi, </w:t>
      </w:r>
      <w:r w:rsidR="004F73CF" w:rsidRPr="002C5DE1">
        <w:rPr>
          <w:rFonts w:ascii="Times New Roman" w:hAnsi="Times New Roman" w:cs="Times New Roman"/>
          <w:color w:val="000000" w:themeColor="text1"/>
          <w:sz w:val="24"/>
          <w:szCs w:val="24"/>
          <w:lang w:val="en-US"/>
        </w:rPr>
        <w:t xml:space="preserve">R., </w:t>
      </w:r>
      <w:r w:rsidRPr="002C5DE1">
        <w:rPr>
          <w:rFonts w:ascii="Times New Roman" w:hAnsi="Times New Roman" w:cs="Times New Roman"/>
          <w:color w:val="000000" w:themeColor="text1"/>
          <w:sz w:val="24"/>
          <w:szCs w:val="24"/>
          <w:lang w:val="en-US"/>
        </w:rPr>
        <w:t xml:space="preserve">Ayala, </w:t>
      </w:r>
      <w:r w:rsidR="004F73CF" w:rsidRPr="002C5DE1">
        <w:rPr>
          <w:rFonts w:ascii="Times New Roman" w:hAnsi="Times New Roman" w:cs="Times New Roman"/>
          <w:color w:val="000000" w:themeColor="text1"/>
          <w:sz w:val="24"/>
          <w:szCs w:val="24"/>
          <w:lang w:val="en-US"/>
        </w:rPr>
        <w:t xml:space="preserve">D., </w:t>
      </w:r>
      <w:r w:rsidRPr="002C5DE1">
        <w:rPr>
          <w:rFonts w:ascii="Times New Roman" w:hAnsi="Times New Roman" w:cs="Times New Roman"/>
          <w:color w:val="000000" w:themeColor="text1"/>
          <w:sz w:val="24"/>
          <w:szCs w:val="24"/>
          <w:lang w:val="en-US"/>
        </w:rPr>
        <w:t xml:space="preserve">Gao, </w:t>
      </w:r>
      <w:r w:rsidR="004F73CF" w:rsidRPr="002C5DE1">
        <w:rPr>
          <w:rFonts w:ascii="Times New Roman" w:hAnsi="Times New Roman" w:cs="Times New Roman"/>
          <w:color w:val="000000" w:themeColor="text1"/>
          <w:sz w:val="24"/>
          <w:szCs w:val="24"/>
          <w:lang w:val="en-US"/>
        </w:rPr>
        <w:t xml:space="preserve">Y., </w:t>
      </w:r>
      <w:proofErr w:type="spellStart"/>
      <w:r w:rsidRPr="002C5DE1">
        <w:rPr>
          <w:rFonts w:ascii="Times New Roman" w:hAnsi="Times New Roman" w:cs="Times New Roman"/>
          <w:color w:val="000000" w:themeColor="text1"/>
          <w:sz w:val="24"/>
          <w:szCs w:val="24"/>
          <w:lang w:val="en-US"/>
        </w:rPr>
        <w:t>Kyobe</w:t>
      </w:r>
      <w:proofErr w:type="spellEnd"/>
      <w:r w:rsidRPr="002C5DE1">
        <w:rPr>
          <w:rFonts w:ascii="Times New Roman" w:hAnsi="Times New Roman" w:cs="Times New Roman"/>
          <w:color w:val="000000" w:themeColor="text1"/>
          <w:sz w:val="24"/>
          <w:szCs w:val="24"/>
          <w:lang w:val="en-US"/>
        </w:rPr>
        <w:t xml:space="preserve">, </w:t>
      </w:r>
      <w:r w:rsidR="004F73CF" w:rsidRPr="002C5DE1">
        <w:rPr>
          <w:rFonts w:ascii="Times New Roman" w:hAnsi="Times New Roman" w:cs="Times New Roman"/>
          <w:color w:val="000000" w:themeColor="text1"/>
          <w:sz w:val="24"/>
          <w:szCs w:val="24"/>
          <w:lang w:val="en-US"/>
        </w:rPr>
        <w:t xml:space="preserve">A., </w:t>
      </w:r>
      <w:r w:rsidRPr="002C5DE1">
        <w:rPr>
          <w:rFonts w:ascii="Times New Roman" w:hAnsi="Times New Roman" w:cs="Times New Roman"/>
          <w:color w:val="000000" w:themeColor="text1"/>
          <w:sz w:val="24"/>
          <w:szCs w:val="24"/>
          <w:lang w:val="en-US"/>
        </w:rPr>
        <w:t>Nguyen,</w:t>
      </w:r>
      <w:r w:rsidR="004F73CF" w:rsidRPr="002C5DE1">
        <w:rPr>
          <w:rFonts w:ascii="Times New Roman" w:hAnsi="Times New Roman" w:cs="Times New Roman"/>
          <w:color w:val="000000" w:themeColor="text1"/>
          <w:sz w:val="24"/>
          <w:szCs w:val="24"/>
          <w:lang w:val="en-US"/>
        </w:rPr>
        <w:t xml:space="preserve"> L.,</w:t>
      </w:r>
      <w:r w:rsidRPr="002C5DE1">
        <w:rPr>
          <w:rFonts w:ascii="Times New Roman" w:hAnsi="Times New Roman" w:cs="Times New Roman"/>
          <w:color w:val="000000" w:themeColor="text1"/>
          <w:sz w:val="24"/>
          <w:szCs w:val="24"/>
          <w:lang w:val="en-US"/>
        </w:rPr>
        <w:t xml:space="preserve"> </w:t>
      </w:r>
      <w:proofErr w:type="spellStart"/>
      <w:r w:rsidR="004F73CF" w:rsidRPr="002C5DE1">
        <w:rPr>
          <w:rFonts w:ascii="Times New Roman" w:hAnsi="Times New Roman" w:cs="Times New Roman"/>
          <w:color w:val="000000" w:themeColor="text1"/>
          <w:sz w:val="24"/>
          <w:szCs w:val="24"/>
          <w:lang w:val="en-US"/>
        </w:rPr>
        <w:t>S</w:t>
      </w:r>
      <w:r w:rsidRPr="002C5DE1">
        <w:rPr>
          <w:rFonts w:ascii="Times New Roman" w:hAnsi="Times New Roman" w:cs="Times New Roman"/>
          <w:color w:val="000000" w:themeColor="text1"/>
          <w:sz w:val="24"/>
          <w:szCs w:val="24"/>
          <w:lang w:val="en-US"/>
        </w:rPr>
        <w:t>aborowski</w:t>
      </w:r>
      <w:proofErr w:type="spellEnd"/>
      <w:r w:rsidRPr="002C5DE1">
        <w:rPr>
          <w:rFonts w:ascii="Times New Roman" w:hAnsi="Times New Roman" w:cs="Times New Roman"/>
          <w:color w:val="000000" w:themeColor="text1"/>
          <w:sz w:val="24"/>
          <w:szCs w:val="24"/>
          <w:lang w:val="en-US"/>
        </w:rPr>
        <w:t xml:space="preserve">, </w:t>
      </w:r>
      <w:r w:rsidR="004F73CF" w:rsidRPr="002C5DE1">
        <w:rPr>
          <w:rFonts w:ascii="Times New Roman" w:hAnsi="Times New Roman" w:cs="Times New Roman"/>
          <w:color w:val="000000" w:themeColor="text1"/>
          <w:sz w:val="24"/>
          <w:szCs w:val="24"/>
          <w:lang w:val="en-US"/>
        </w:rPr>
        <w:t xml:space="preserve">C., </w:t>
      </w:r>
      <w:proofErr w:type="spellStart"/>
      <w:r w:rsidRPr="002C5DE1">
        <w:rPr>
          <w:rFonts w:ascii="Times New Roman" w:hAnsi="Times New Roman" w:cs="Times New Roman"/>
          <w:color w:val="000000" w:themeColor="text1"/>
          <w:sz w:val="24"/>
          <w:szCs w:val="24"/>
          <w:lang w:val="en-US"/>
        </w:rPr>
        <w:t>Svirydzenka</w:t>
      </w:r>
      <w:proofErr w:type="spellEnd"/>
      <w:r w:rsidRPr="002C5DE1">
        <w:rPr>
          <w:rFonts w:ascii="Times New Roman" w:hAnsi="Times New Roman" w:cs="Times New Roman"/>
          <w:color w:val="000000" w:themeColor="text1"/>
          <w:sz w:val="24"/>
          <w:szCs w:val="24"/>
          <w:lang w:val="en-US"/>
        </w:rPr>
        <w:t xml:space="preserve">, </w:t>
      </w:r>
      <w:r w:rsidR="004F73CF" w:rsidRPr="002C5DE1">
        <w:rPr>
          <w:rFonts w:ascii="Times New Roman" w:hAnsi="Times New Roman" w:cs="Times New Roman"/>
          <w:color w:val="000000" w:themeColor="text1"/>
          <w:sz w:val="24"/>
          <w:szCs w:val="24"/>
          <w:lang w:val="en-US"/>
        </w:rPr>
        <w:t>K., &amp;</w:t>
      </w:r>
      <w:r w:rsidRPr="002C5DE1">
        <w:rPr>
          <w:rFonts w:ascii="Times New Roman" w:hAnsi="Times New Roman" w:cs="Times New Roman"/>
          <w:color w:val="000000" w:themeColor="text1"/>
          <w:sz w:val="24"/>
          <w:szCs w:val="24"/>
          <w:lang w:val="en-US"/>
        </w:rPr>
        <w:t xml:space="preserve"> </w:t>
      </w:r>
      <w:proofErr w:type="spellStart"/>
      <w:r w:rsidRPr="002C5DE1">
        <w:rPr>
          <w:rFonts w:ascii="Times New Roman" w:hAnsi="Times New Roman" w:cs="Times New Roman"/>
          <w:color w:val="000000" w:themeColor="text1"/>
          <w:sz w:val="24"/>
          <w:szCs w:val="24"/>
          <w:lang w:val="en-US"/>
        </w:rPr>
        <w:t>Yousefi</w:t>
      </w:r>
      <w:proofErr w:type="spellEnd"/>
      <w:r w:rsidRPr="002C5DE1">
        <w:rPr>
          <w:rFonts w:ascii="Times New Roman" w:hAnsi="Times New Roman" w:cs="Times New Roman"/>
          <w:color w:val="000000" w:themeColor="text1"/>
          <w:sz w:val="24"/>
          <w:szCs w:val="24"/>
          <w:lang w:val="en-US"/>
        </w:rPr>
        <w:t xml:space="preserve">, </w:t>
      </w:r>
      <w:r w:rsidR="004F73CF" w:rsidRPr="002C5DE1">
        <w:rPr>
          <w:rFonts w:ascii="Times New Roman" w:hAnsi="Times New Roman" w:cs="Times New Roman"/>
          <w:color w:val="000000" w:themeColor="text1"/>
          <w:sz w:val="24"/>
          <w:szCs w:val="24"/>
          <w:lang w:val="en-US"/>
        </w:rPr>
        <w:t xml:space="preserve">S.R. </w:t>
      </w:r>
      <w:r w:rsidRPr="002C5DE1">
        <w:rPr>
          <w:rFonts w:ascii="Times New Roman" w:hAnsi="Times New Roman" w:cs="Times New Roman"/>
          <w:color w:val="000000" w:themeColor="text1"/>
          <w:sz w:val="24"/>
          <w:szCs w:val="24"/>
          <w:lang w:val="en-US"/>
        </w:rPr>
        <w:t xml:space="preserve">(2015). Rethinking </w:t>
      </w:r>
      <w:r w:rsidR="004F73CF" w:rsidRPr="002C5DE1">
        <w:rPr>
          <w:rFonts w:ascii="Times New Roman" w:hAnsi="Times New Roman" w:cs="Times New Roman"/>
          <w:color w:val="000000" w:themeColor="text1"/>
          <w:sz w:val="24"/>
          <w:szCs w:val="24"/>
          <w:lang w:val="en-US"/>
        </w:rPr>
        <w:t>f</w:t>
      </w:r>
      <w:r w:rsidRPr="002C5DE1">
        <w:rPr>
          <w:rFonts w:ascii="Times New Roman" w:hAnsi="Times New Roman" w:cs="Times New Roman"/>
          <w:color w:val="000000" w:themeColor="text1"/>
          <w:sz w:val="24"/>
          <w:szCs w:val="24"/>
          <w:lang w:val="en-US"/>
        </w:rPr>
        <w:t xml:space="preserve">inancial </w:t>
      </w:r>
      <w:r w:rsidR="004F73CF" w:rsidRPr="002C5DE1">
        <w:rPr>
          <w:rFonts w:ascii="Times New Roman" w:hAnsi="Times New Roman" w:cs="Times New Roman"/>
          <w:color w:val="000000" w:themeColor="text1"/>
          <w:sz w:val="24"/>
          <w:szCs w:val="24"/>
          <w:lang w:val="en-US"/>
        </w:rPr>
        <w:t>d</w:t>
      </w:r>
      <w:r w:rsidRPr="002C5DE1">
        <w:rPr>
          <w:rFonts w:ascii="Times New Roman" w:hAnsi="Times New Roman" w:cs="Times New Roman"/>
          <w:color w:val="000000" w:themeColor="text1"/>
          <w:sz w:val="24"/>
          <w:szCs w:val="24"/>
          <w:lang w:val="en-US"/>
        </w:rPr>
        <w:t xml:space="preserve">eepening: </w:t>
      </w:r>
      <w:r w:rsidR="004F73CF" w:rsidRPr="002C5DE1">
        <w:rPr>
          <w:rFonts w:ascii="Times New Roman" w:hAnsi="Times New Roman" w:cs="Times New Roman"/>
          <w:color w:val="000000" w:themeColor="text1"/>
          <w:sz w:val="24"/>
          <w:szCs w:val="24"/>
          <w:lang w:val="en-US"/>
        </w:rPr>
        <w:t>s</w:t>
      </w:r>
      <w:r w:rsidRPr="002C5DE1">
        <w:rPr>
          <w:rFonts w:ascii="Times New Roman" w:hAnsi="Times New Roman" w:cs="Times New Roman"/>
          <w:color w:val="000000" w:themeColor="text1"/>
          <w:sz w:val="24"/>
          <w:szCs w:val="24"/>
          <w:lang w:val="en-US"/>
        </w:rPr>
        <w:t xml:space="preserve">tability and </w:t>
      </w:r>
      <w:r w:rsidR="004F73CF" w:rsidRPr="002C5DE1">
        <w:rPr>
          <w:rFonts w:ascii="Times New Roman" w:hAnsi="Times New Roman" w:cs="Times New Roman"/>
          <w:color w:val="000000" w:themeColor="text1"/>
          <w:sz w:val="24"/>
          <w:szCs w:val="24"/>
          <w:lang w:val="en-US"/>
        </w:rPr>
        <w:t>g</w:t>
      </w:r>
      <w:r w:rsidRPr="002C5DE1">
        <w:rPr>
          <w:rFonts w:ascii="Times New Roman" w:hAnsi="Times New Roman" w:cs="Times New Roman"/>
          <w:color w:val="000000" w:themeColor="text1"/>
          <w:sz w:val="24"/>
          <w:szCs w:val="24"/>
          <w:lang w:val="en-US"/>
        </w:rPr>
        <w:t xml:space="preserve">rowth in </w:t>
      </w:r>
      <w:r w:rsidR="004F73CF" w:rsidRPr="002C5DE1">
        <w:rPr>
          <w:rFonts w:ascii="Times New Roman" w:hAnsi="Times New Roman" w:cs="Times New Roman"/>
          <w:color w:val="000000" w:themeColor="text1"/>
          <w:sz w:val="24"/>
          <w:szCs w:val="24"/>
          <w:lang w:val="en-US"/>
        </w:rPr>
        <w:t>e</w:t>
      </w:r>
      <w:r w:rsidRPr="002C5DE1">
        <w:rPr>
          <w:rFonts w:ascii="Times New Roman" w:hAnsi="Times New Roman" w:cs="Times New Roman"/>
          <w:color w:val="000000" w:themeColor="text1"/>
          <w:sz w:val="24"/>
          <w:szCs w:val="24"/>
          <w:lang w:val="en-US"/>
        </w:rPr>
        <w:t xml:space="preserve">merging </w:t>
      </w:r>
      <w:r w:rsidR="004F73CF" w:rsidRPr="002C5DE1">
        <w:rPr>
          <w:rFonts w:ascii="Times New Roman" w:hAnsi="Times New Roman" w:cs="Times New Roman"/>
          <w:color w:val="000000" w:themeColor="text1"/>
          <w:sz w:val="24"/>
          <w:szCs w:val="24"/>
          <w:lang w:val="en-US"/>
        </w:rPr>
        <w:t>m</w:t>
      </w:r>
      <w:r w:rsidRPr="002C5DE1">
        <w:rPr>
          <w:rFonts w:ascii="Times New Roman" w:hAnsi="Times New Roman" w:cs="Times New Roman"/>
          <w:color w:val="000000" w:themeColor="text1"/>
          <w:sz w:val="24"/>
          <w:szCs w:val="24"/>
          <w:lang w:val="en-US"/>
        </w:rPr>
        <w:t>arkets. IMF Staff Discussion Note 15/08. Washington: International Monetary Fund.</w:t>
      </w:r>
    </w:p>
    <w:p w14:paraId="596AF42F" w14:textId="77777777" w:rsidR="00390090" w:rsidRPr="002C5DE1" w:rsidRDefault="00390090" w:rsidP="00C145FF">
      <w:pPr>
        <w:spacing w:before="120" w:after="120" w:line="276" w:lineRule="auto"/>
        <w:ind w:left="720" w:hanging="720"/>
        <w:jc w:val="both"/>
        <w:rPr>
          <w:rFonts w:ascii="Times New Roman" w:hAnsi="Times New Roman" w:cs="Times New Roman"/>
          <w:color w:val="000000" w:themeColor="text1"/>
          <w:sz w:val="24"/>
          <w:szCs w:val="24"/>
          <w:lang w:val="en-US"/>
        </w:rPr>
      </w:pPr>
      <w:r w:rsidRPr="002C5DE1">
        <w:rPr>
          <w:rFonts w:ascii="Times New Roman" w:eastAsia="Times New Roman" w:hAnsi="Times New Roman" w:cs="Times New Roman"/>
          <w:color w:val="000000" w:themeColor="text1"/>
          <w:sz w:val="24"/>
          <w:szCs w:val="24"/>
          <w:lang w:val="en-US" w:eastAsia="tr-TR"/>
        </w:rPr>
        <w:t xml:space="preserve">Searle, B. </w:t>
      </w:r>
      <w:r w:rsidR="004F73CF" w:rsidRPr="002C5DE1">
        <w:rPr>
          <w:rFonts w:ascii="Times New Roman" w:eastAsia="Times New Roman" w:hAnsi="Times New Roman" w:cs="Times New Roman"/>
          <w:color w:val="000000" w:themeColor="text1"/>
          <w:sz w:val="24"/>
          <w:szCs w:val="24"/>
          <w:lang w:val="en-US" w:eastAsia="tr-TR"/>
        </w:rPr>
        <w:t>(</w:t>
      </w:r>
      <w:r w:rsidRPr="002C5DE1">
        <w:rPr>
          <w:rFonts w:ascii="Times New Roman" w:eastAsia="Times New Roman" w:hAnsi="Times New Roman" w:cs="Times New Roman"/>
          <w:color w:val="000000" w:themeColor="text1"/>
          <w:sz w:val="24"/>
          <w:szCs w:val="24"/>
          <w:lang w:val="en-US" w:eastAsia="tr-TR"/>
        </w:rPr>
        <w:t>2011</w:t>
      </w:r>
      <w:r w:rsidR="004F73CF" w:rsidRPr="002C5DE1">
        <w:rPr>
          <w:rFonts w:ascii="Times New Roman" w:eastAsia="Times New Roman" w:hAnsi="Times New Roman" w:cs="Times New Roman"/>
          <w:color w:val="000000" w:themeColor="text1"/>
          <w:sz w:val="24"/>
          <w:szCs w:val="24"/>
          <w:lang w:val="en-US" w:eastAsia="tr-TR"/>
        </w:rPr>
        <w:t>)</w:t>
      </w:r>
      <w:r w:rsidRPr="002C5DE1">
        <w:rPr>
          <w:rFonts w:ascii="Times New Roman" w:eastAsia="Times New Roman" w:hAnsi="Times New Roman" w:cs="Times New Roman"/>
          <w:color w:val="000000" w:themeColor="text1"/>
          <w:sz w:val="24"/>
          <w:szCs w:val="24"/>
          <w:lang w:val="en-US" w:eastAsia="tr-TR"/>
        </w:rPr>
        <w:t xml:space="preserve">. Recession and housing wealth. </w:t>
      </w:r>
      <w:r w:rsidRPr="002C5DE1">
        <w:rPr>
          <w:rFonts w:ascii="Times New Roman" w:eastAsia="Times New Roman" w:hAnsi="Times New Roman" w:cs="Times New Roman"/>
          <w:i/>
          <w:iCs/>
          <w:color w:val="000000" w:themeColor="text1"/>
          <w:sz w:val="24"/>
          <w:szCs w:val="24"/>
          <w:lang w:val="en-US" w:eastAsia="tr-TR"/>
        </w:rPr>
        <w:t>Journal of Financial Economic Policy</w:t>
      </w:r>
      <w:r w:rsidRPr="002C5DE1">
        <w:rPr>
          <w:rFonts w:ascii="Times New Roman" w:eastAsia="Times New Roman" w:hAnsi="Times New Roman" w:cs="Times New Roman"/>
          <w:color w:val="000000" w:themeColor="text1"/>
          <w:sz w:val="24"/>
          <w:szCs w:val="24"/>
          <w:lang w:val="en-US" w:eastAsia="tr-TR"/>
        </w:rPr>
        <w:t xml:space="preserve"> 3</w:t>
      </w:r>
      <w:r w:rsidR="004F73CF" w:rsidRPr="002C5DE1">
        <w:rPr>
          <w:rFonts w:ascii="Times New Roman" w:eastAsia="Times New Roman" w:hAnsi="Times New Roman" w:cs="Times New Roman"/>
          <w:color w:val="000000" w:themeColor="text1"/>
          <w:sz w:val="24"/>
          <w:szCs w:val="24"/>
          <w:lang w:val="en-US" w:eastAsia="tr-TR"/>
        </w:rPr>
        <w:t>,</w:t>
      </w:r>
      <w:r w:rsidRPr="002C5DE1">
        <w:rPr>
          <w:rFonts w:ascii="Times New Roman" w:eastAsia="Times New Roman" w:hAnsi="Times New Roman" w:cs="Times New Roman"/>
          <w:color w:val="000000" w:themeColor="text1"/>
          <w:sz w:val="24"/>
          <w:szCs w:val="24"/>
          <w:lang w:val="en-US" w:eastAsia="tr-TR"/>
        </w:rPr>
        <w:t xml:space="preserve"> 33</w:t>
      </w:r>
      <w:r w:rsidR="004F73CF" w:rsidRPr="002C5DE1">
        <w:rPr>
          <w:rFonts w:ascii="Times New Roman" w:eastAsia="Times New Roman" w:hAnsi="Times New Roman" w:cs="Times New Roman"/>
          <w:color w:val="000000" w:themeColor="text1"/>
          <w:sz w:val="24"/>
          <w:szCs w:val="24"/>
          <w:lang w:val="en-US" w:eastAsia="tr-TR"/>
        </w:rPr>
        <w:t>-</w:t>
      </w:r>
      <w:r w:rsidRPr="002C5DE1">
        <w:rPr>
          <w:rFonts w:ascii="Times New Roman" w:eastAsia="Times New Roman" w:hAnsi="Times New Roman" w:cs="Times New Roman"/>
          <w:color w:val="000000" w:themeColor="text1"/>
          <w:sz w:val="24"/>
          <w:szCs w:val="24"/>
          <w:lang w:val="en-US" w:eastAsia="tr-TR"/>
        </w:rPr>
        <w:t>48.</w:t>
      </w:r>
    </w:p>
    <w:p w14:paraId="77269BCB" w14:textId="77777777" w:rsidR="00390090" w:rsidRPr="002C5DE1" w:rsidRDefault="00390090" w:rsidP="00C145FF">
      <w:pPr>
        <w:spacing w:before="120" w:after="120" w:line="276" w:lineRule="auto"/>
        <w:ind w:left="720" w:hanging="720"/>
        <w:jc w:val="both"/>
        <w:rPr>
          <w:rFonts w:ascii="Times New Roman" w:eastAsia="Times New Roman" w:hAnsi="Times New Roman" w:cs="Times New Roman"/>
          <w:color w:val="000000" w:themeColor="text1"/>
          <w:sz w:val="24"/>
          <w:szCs w:val="24"/>
          <w:lang w:val="en-US" w:eastAsia="tr-TR"/>
        </w:rPr>
      </w:pPr>
      <w:r w:rsidRPr="002C5DE1">
        <w:rPr>
          <w:rFonts w:ascii="Times New Roman" w:eastAsia="Times New Roman" w:hAnsi="Times New Roman" w:cs="Times New Roman"/>
          <w:color w:val="000000" w:themeColor="text1"/>
          <w:sz w:val="24"/>
          <w:szCs w:val="24"/>
          <w:lang w:val="en-US" w:eastAsia="tr-TR"/>
        </w:rPr>
        <w:t>Seven, U., &amp; Coskun, Y. (2016). Does financial development reduce income inequality and poverty? Evidence from emerging countries. </w:t>
      </w:r>
      <w:r w:rsidRPr="002C5DE1">
        <w:rPr>
          <w:rFonts w:ascii="Times New Roman" w:eastAsia="Times New Roman" w:hAnsi="Times New Roman" w:cs="Times New Roman"/>
          <w:i/>
          <w:iCs/>
          <w:color w:val="000000" w:themeColor="text1"/>
          <w:sz w:val="24"/>
          <w:szCs w:val="24"/>
          <w:lang w:val="en-US" w:eastAsia="tr-TR"/>
        </w:rPr>
        <w:t>Emerging Markets Review</w:t>
      </w:r>
      <w:r w:rsidRPr="002C5DE1">
        <w:rPr>
          <w:rFonts w:ascii="Times New Roman" w:eastAsia="Times New Roman" w:hAnsi="Times New Roman" w:cs="Times New Roman"/>
          <w:color w:val="000000" w:themeColor="text1"/>
          <w:sz w:val="24"/>
          <w:szCs w:val="24"/>
          <w:lang w:val="en-US" w:eastAsia="tr-TR"/>
        </w:rPr>
        <w:t>, 26</w:t>
      </w:r>
      <w:r w:rsidR="004F73CF" w:rsidRPr="002C5DE1">
        <w:rPr>
          <w:rFonts w:ascii="Times New Roman" w:eastAsia="Times New Roman" w:hAnsi="Times New Roman" w:cs="Times New Roman"/>
          <w:color w:val="000000" w:themeColor="text1"/>
          <w:sz w:val="24"/>
          <w:szCs w:val="24"/>
          <w:lang w:val="en-US" w:eastAsia="tr-TR"/>
        </w:rPr>
        <w:t>(1)</w:t>
      </w:r>
      <w:r w:rsidRPr="002C5DE1">
        <w:rPr>
          <w:rFonts w:ascii="Times New Roman" w:eastAsia="Times New Roman" w:hAnsi="Times New Roman" w:cs="Times New Roman"/>
          <w:color w:val="000000" w:themeColor="text1"/>
          <w:sz w:val="24"/>
          <w:szCs w:val="24"/>
          <w:lang w:val="en-US" w:eastAsia="tr-TR"/>
        </w:rPr>
        <w:t>, 34-63. </w:t>
      </w:r>
    </w:p>
    <w:p w14:paraId="1F33AA18" w14:textId="77777777" w:rsidR="00390090" w:rsidRPr="002C5DE1" w:rsidRDefault="00390090" w:rsidP="00C145FF">
      <w:pPr>
        <w:spacing w:before="120" w:after="120" w:line="276" w:lineRule="auto"/>
        <w:ind w:left="720" w:hanging="720"/>
        <w:jc w:val="both"/>
        <w:rPr>
          <w:rFonts w:ascii="Times New Roman" w:eastAsia="Times New Roman" w:hAnsi="Times New Roman" w:cs="Times New Roman"/>
          <w:color w:val="000000" w:themeColor="text1"/>
          <w:sz w:val="24"/>
          <w:szCs w:val="24"/>
          <w:lang w:val="en-US" w:eastAsia="tr-TR"/>
        </w:rPr>
      </w:pPr>
      <w:proofErr w:type="spellStart"/>
      <w:r w:rsidRPr="002C5DE1">
        <w:rPr>
          <w:rFonts w:ascii="Times New Roman" w:hAnsi="Times New Roman" w:cs="Times New Roman"/>
          <w:color w:val="000000" w:themeColor="text1"/>
          <w:sz w:val="24"/>
          <w:szCs w:val="24"/>
          <w:shd w:val="clear" w:color="auto" w:fill="FFFFFF"/>
          <w:lang w:val="en-US"/>
        </w:rPr>
        <w:t>Šonje</w:t>
      </w:r>
      <w:proofErr w:type="spellEnd"/>
      <w:r w:rsidRPr="002C5DE1">
        <w:rPr>
          <w:rFonts w:ascii="Times New Roman" w:hAnsi="Times New Roman" w:cs="Times New Roman"/>
          <w:color w:val="000000" w:themeColor="text1"/>
          <w:sz w:val="24"/>
          <w:szCs w:val="24"/>
          <w:shd w:val="clear" w:color="auto" w:fill="FFFFFF"/>
          <w:lang w:val="en-US"/>
        </w:rPr>
        <w:t xml:space="preserve">, A. A., </w:t>
      </w:r>
      <w:proofErr w:type="spellStart"/>
      <w:r w:rsidRPr="002C5DE1">
        <w:rPr>
          <w:rFonts w:ascii="Times New Roman" w:hAnsi="Times New Roman" w:cs="Times New Roman"/>
          <w:color w:val="000000" w:themeColor="text1"/>
          <w:sz w:val="24"/>
          <w:szCs w:val="24"/>
          <w:shd w:val="clear" w:color="auto" w:fill="FFFFFF"/>
          <w:lang w:val="en-US"/>
        </w:rPr>
        <w:t>Časni</w:t>
      </w:r>
      <w:proofErr w:type="spellEnd"/>
      <w:r w:rsidRPr="002C5DE1">
        <w:rPr>
          <w:rFonts w:ascii="Times New Roman" w:hAnsi="Times New Roman" w:cs="Times New Roman"/>
          <w:color w:val="000000" w:themeColor="text1"/>
          <w:sz w:val="24"/>
          <w:szCs w:val="24"/>
          <w:shd w:val="clear" w:color="auto" w:fill="FFFFFF"/>
          <w:lang w:val="en-US"/>
        </w:rPr>
        <w:t xml:space="preserve">, A. Č., &amp; </w:t>
      </w:r>
      <w:proofErr w:type="spellStart"/>
      <w:r w:rsidRPr="002C5DE1">
        <w:rPr>
          <w:rFonts w:ascii="Times New Roman" w:hAnsi="Times New Roman" w:cs="Times New Roman"/>
          <w:color w:val="000000" w:themeColor="text1"/>
          <w:sz w:val="24"/>
          <w:szCs w:val="24"/>
          <w:shd w:val="clear" w:color="auto" w:fill="FFFFFF"/>
          <w:lang w:val="en-US"/>
        </w:rPr>
        <w:t>Vizek</w:t>
      </w:r>
      <w:proofErr w:type="spellEnd"/>
      <w:r w:rsidRPr="002C5DE1">
        <w:rPr>
          <w:rFonts w:ascii="Times New Roman" w:hAnsi="Times New Roman" w:cs="Times New Roman"/>
          <w:color w:val="000000" w:themeColor="text1"/>
          <w:sz w:val="24"/>
          <w:szCs w:val="24"/>
          <w:shd w:val="clear" w:color="auto" w:fill="FFFFFF"/>
          <w:lang w:val="en-US"/>
        </w:rPr>
        <w:t>, M. (2012). Does housing wealth affect private consumption in European post-transition countries? Evidence from linear and threshold models. </w:t>
      </w:r>
      <w:r w:rsidRPr="002C5DE1">
        <w:rPr>
          <w:rFonts w:ascii="Times New Roman" w:hAnsi="Times New Roman" w:cs="Times New Roman"/>
          <w:i/>
          <w:iCs/>
          <w:color w:val="000000" w:themeColor="text1"/>
          <w:sz w:val="24"/>
          <w:szCs w:val="24"/>
          <w:shd w:val="clear" w:color="auto" w:fill="FFFFFF"/>
          <w:lang w:val="en-US"/>
        </w:rPr>
        <w:t>Post-</w:t>
      </w:r>
      <w:r w:rsidR="004F73CF" w:rsidRPr="002C5DE1">
        <w:rPr>
          <w:rFonts w:ascii="Times New Roman" w:hAnsi="Times New Roman" w:cs="Times New Roman"/>
          <w:i/>
          <w:iCs/>
          <w:color w:val="000000" w:themeColor="text1"/>
          <w:sz w:val="24"/>
          <w:szCs w:val="24"/>
          <w:shd w:val="clear" w:color="auto" w:fill="FFFFFF"/>
          <w:lang w:val="en-US"/>
        </w:rPr>
        <w:t>C</w:t>
      </w:r>
      <w:r w:rsidRPr="002C5DE1">
        <w:rPr>
          <w:rFonts w:ascii="Times New Roman" w:hAnsi="Times New Roman" w:cs="Times New Roman"/>
          <w:i/>
          <w:iCs/>
          <w:color w:val="000000" w:themeColor="text1"/>
          <w:sz w:val="24"/>
          <w:szCs w:val="24"/>
          <w:shd w:val="clear" w:color="auto" w:fill="FFFFFF"/>
          <w:lang w:val="en-US"/>
        </w:rPr>
        <w:t xml:space="preserve">ommunist </w:t>
      </w:r>
      <w:r w:rsidR="004F73CF" w:rsidRPr="002C5DE1">
        <w:rPr>
          <w:rFonts w:ascii="Times New Roman" w:hAnsi="Times New Roman" w:cs="Times New Roman"/>
          <w:i/>
          <w:iCs/>
          <w:color w:val="000000" w:themeColor="text1"/>
          <w:sz w:val="24"/>
          <w:szCs w:val="24"/>
          <w:shd w:val="clear" w:color="auto" w:fill="FFFFFF"/>
          <w:lang w:val="en-US"/>
        </w:rPr>
        <w:t>E</w:t>
      </w:r>
      <w:r w:rsidRPr="002C5DE1">
        <w:rPr>
          <w:rFonts w:ascii="Times New Roman" w:hAnsi="Times New Roman" w:cs="Times New Roman"/>
          <w:i/>
          <w:iCs/>
          <w:color w:val="000000" w:themeColor="text1"/>
          <w:sz w:val="24"/>
          <w:szCs w:val="24"/>
          <w:shd w:val="clear" w:color="auto" w:fill="FFFFFF"/>
          <w:lang w:val="en-US"/>
        </w:rPr>
        <w:t>conomies</w:t>
      </w:r>
      <w:r w:rsidRPr="002C5DE1">
        <w:rPr>
          <w:rFonts w:ascii="Times New Roman" w:hAnsi="Times New Roman" w:cs="Times New Roman"/>
          <w:color w:val="000000" w:themeColor="text1"/>
          <w:sz w:val="24"/>
          <w:szCs w:val="24"/>
          <w:shd w:val="clear" w:color="auto" w:fill="FFFFFF"/>
          <w:lang w:val="en-US"/>
        </w:rPr>
        <w:t> 24(1), 73-85.</w:t>
      </w:r>
    </w:p>
    <w:p w14:paraId="1C110B33" w14:textId="77777777" w:rsidR="00390090" w:rsidRPr="002C5DE1" w:rsidRDefault="00390090" w:rsidP="00C145FF">
      <w:pPr>
        <w:spacing w:before="120" w:after="120" w:line="276" w:lineRule="auto"/>
        <w:ind w:left="720" w:hanging="720"/>
        <w:jc w:val="both"/>
        <w:rPr>
          <w:rFonts w:ascii="Times New Roman" w:hAnsi="Times New Roman" w:cs="Times New Roman"/>
          <w:color w:val="000000" w:themeColor="text1"/>
          <w:sz w:val="24"/>
          <w:szCs w:val="24"/>
          <w:lang w:val="en-US"/>
        </w:rPr>
      </w:pPr>
      <w:proofErr w:type="spellStart"/>
      <w:r w:rsidRPr="002C5DE1">
        <w:rPr>
          <w:rFonts w:ascii="Times New Roman" w:hAnsi="Times New Roman" w:cs="Times New Roman"/>
          <w:color w:val="000000" w:themeColor="text1"/>
          <w:sz w:val="24"/>
          <w:szCs w:val="24"/>
          <w:lang w:val="en-US"/>
        </w:rPr>
        <w:t>Šonje</w:t>
      </w:r>
      <w:proofErr w:type="spellEnd"/>
      <w:r w:rsidRPr="002C5DE1">
        <w:rPr>
          <w:rFonts w:ascii="Times New Roman" w:hAnsi="Times New Roman" w:cs="Times New Roman"/>
          <w:color w:val="000000" w:themeColor="text1"/>
          <w:sz w:val="24"/>
          <w:szCs w:val="24"/>
          <w:lang w:val="en-US"/>
        </w:rPr>
        <w:t xml:space="preserve">, A. A., Anita C. Cˇ </w:t>
      </w:r>
      <w:proofErr w:type="spellStart"/>
      <w:r w:rsidRPr="002C5DE1">
        <w:rPr>
          <w:rFonts w:ascii="Times New Roman" w:hAnsi="Times New Roman" w:cs="Times New Roman"/>
          <w:color w:val="000000" w:themeColor="text1"/>
          <w:sz w:val="24"/>
          <w:szCs w:val="24"/>
          <w:lang w:val="en-US"/>
        </w:rPr>
        <w:t>asni</w:t>
      </w:r>
      <w:proofErr w:type="spellEnd"/>
      <w:r w:rsidRPr="002C5DE1">
        <w:rPr>
          <w:rFonts w:ascii="Times New Roman" w:hAnsi="Times New Roman" w:cs="Times New Roman"/>
          <w:color w:val="000000" w:themeColor="text1"/>
          <w:sz w:val="24"/>
          <w:szCs w:val="24"/>
          <w:lang w:val="en-US"/>
        </w:rPr>
        <w:t xml:space="preserve">, &amp; </w:t>
      </w:r>
      <w:proofErr w:type="spellStart"/>
      <w:r w:rsidRPr="002C5DE1">
        <w:rPr>
          <w:rFonts w:ascii="Times New Roman" w:hAnsi="Times New Roman" w:cs="Times New Roman"/>
          <w:color w:val="000000" w:themeColor="text1"/>
          <w:sz w:val="24"/>
          <w:szCs w:val="24"/>
          <w:lang w:val="en-US"/>
        </w:rPr>
        <w:t>Maruska</w:t>
      </w:r>
      <w:proofErr w:type="spellEnd"/>
      <w:r w:rsidRPr="002C5DE1">
        <w:rPr>
          <w:rFonts w:ascii="Times New Roman" w:hAnsi="Times New Roman" w:cs="Times New Roman"/>
          <w:color w:val="000000" w:themeColor="text1"/>
          <w:sz w:val="24"/>
          <w:szCs w:val="24"/>
          <w:lang w:val="en-US"/>
        </w:rPr>
        <w:t xml:space="preserve"> </w:t>
      </w:r>
      <w:proofErr w:type="spellStart"/>
      <w:r w:rsidRPr="002C5DE1">
        <w:rPr>
          <w:rFonts w:ascii="Times New Roman" w:hAnsi="Times New Roman" w:cs="Times New Roman"/>
          <w:color w:val="000000" w:themeColor="text1"/>
          <w:sz w:val="24"/>
          <w:szCs w:val="24"/>
          <w:lang w:val="en-US"/>
        </w:rPr>
        <w:t>Vizek</w:t>
      </w:r>
      <w:proofErr w:type="spellEnd"/>
      <w:r w:rsidRPr="002C5DE1">
        <w:rPr>
          <w:rFonts w:ascii="Times New Roman" w:hAnsi="Times New Roman" w:cs="Times New Roman"/>
          <w:color w:val="000000" w:themeColor="text1"/>
          <w:sz w:val="24"/>
          <w:szCs w:val="24"/>
          <w:lang w:val="en-US"/>
        </w:rPr>
        <w:t xml:space="preserve">. (2014). The effect of housing and stock market wealth on consumption in emerging and developed countries. </w:t>
      </w:r>
      <w:r w:rsidRPr="002C5DE1">
        <w:rPr>
          <w:rFonts w:ascii="Times New Roman" w:hAnsi="Times New Roman" w:cs="Times New Roman"/>
          <w:i/>
          <w:iCs/>
          <w:color w:val="000000" w:themeColor="text1"/>
          <w:sz w:val="24"/>
          <w:szCs w:val="24"/>
          <w:lang w:val="en-US"/>
        </w:rPr>
        <w:t>Economic Systems</w:t>
      </w:r>
      <w:r w:rsidRPr="002C5DE1">
        <w:rPr>
          <w:rFonts w:ascii="Times New Roman" w:hAnsi="Times New Roman" w:cs="Times New Roman"/>
          <w:color w:val="000000" w:themeColor="text1"/>
          <w:sz w:val="24"/>
          <w:szCs w:val="24"/>
          <w:lang w:val="en-US"/>
        </w:rPr>
        <w:t xml:space="preserve"> 38</w:t>
      </w:r>
      <w:r w:rsidR="004F73CF" w:rsidRPr="002C5DE1">
        <w:rPr>
          <w:rFonts w:ascii="Times New Roman" w:hAnsi="Times New Roman" w:cs="Times New Roman"/>
          <w:color w:val="000000" w:themeColor="text1"/>
          <w:sz w:val="24"/>
          <w:szCs w:val="24"/>
          <w:lang w:val="en-US"/>
        </w:rPr>
        <w:t>,</w:t>
      </w:r>
      <w:r w:rsidRPr="002C5DE1">
        <w:rPr>
          <w:rFonts w:ascii="Times New Roman" w:hAnsi="Times New Roman" w:cs="Times New Roman"/>
          <w:color w:val="000000" w:themeColor="text1"/>
          <w:sz w:val="24"/>
          <w:szCs w:val="24"/>
          <w:lang w:val="en-US"/>
        </w:rPr>
        <w:t xml:space="preserve"> 433</w:t>
      </w:r>
      <w:r w:rsidR="004F73CF" w:rsidRPr="002C5DE1">
        <w:rPr>
          <w:rFonts w:ascii="Times New Roman" w:hAnsi="Times New Roman" w:cs="Times New Roman"/>
          <w:color w:val="000000" w:themeColor="text1"/>
          <w:sz w:val="24"/>
          <w:szCs w:val="24"/>
          <w:lang w:val="en-US"/>
        </w:rPr>
        <w:t>-4</w:t>
      </w:r>
      <w:r w:rsidRPr="002C5DE1">
        <w:rPr>
          <w:rFonts w:ascii="Times New Roman" w:hAnsi="Times New Roman" w:cs="Times New Roman"/>
          <w:color w:val="000000" w:themeColor="text1"/>
          <w:sz w:val="24"/>
          <w:szCs w:val="24"/>
          <w:lang w:val="en-US"/>
        </w:rPr>
        <w:t>50.</w:t>
      </w:r>
    </w:p>
    <w:p w14:paraId="54E76B02" w14:textId="77777777" w:rsidR="00390090" w:rsidRPr="002C5DE1" w:rsidRDefault="00390090" w:rsidP="004F73CF">
      <w:pPr>
        <w:spacing w:before="120" w:after="120" w:line="276" w:lineRule="auto"/>
        <w:ind w:left="720" w:hanging="720"/>
        <w:jc w:val="both"/>
        <w:rPr>
          <w:rFonts w:ascii="Times New Roman" w:hAnsi="Times New Roman" w:cs="Times New Roman"/>
          <w:color w:val="000000" w:themeColor="text1"/>
          <w:sz w:val="24"/>
          <w:szCs w:val="24"/>
          <w:shd w:val="clear" w:color="auto" w:fill="FFFFFF"/>
          <w:lang w:val="en-US"/>
        </w:rPr>
      </w:pPr>
      <w:proofErr w:type="spellStart"/>
      <w:r w:rsidRPr="002C5DE1">
        <w:rPr>
          <w:rFonts w:ascii="Times New Roman" w:hAnsi="Times New Roman" w:cs="Times New Roman"/>
          <w:color w:val="000000" w:themeColor="text1"/>
          <w:sz w:val="24"/>
          <w:szCs w:val="24"/>
          <w:shd w:val="clear" w:color="auto" w:fill="FFFFFF"/>
          <w:lang w:val="en-US"/>
        </w:rPr>
        <w:t>Stevans</w:t>
      </w:r>
      <w:proofErr w:type="spellEnd"/>
      <w:r w:rsidRPr="002C5DE1">
        <w:rPr>
          <w:rFonts w:ascii="Times New Roman" w:hAnsi="Times New Roman" w:cs="Times New Roman"/>
          <w:color w:val="000000" w:themeColor="text1"/>
          <w:sz w:val="24"/>
          <w:szCs w:val="24"/>
          <w:shd w:val="clear" w:color="auto" w:fill="FFFFFF"/>
          <w:lang w:val="en-US"/>
        </w:rPr>
        <w:t>, L.K. (2004). Aggregate consumption spending, the stock market and asymmetric error correction. </w:t>
      </w:r>
      <w:r w:rsidRPr="002C5DE1">
        <w:rPr>
          <w:rFonts w:ascii="Times New Roman" w:hAnsi="Times New Roman" w:cs="Times New Roman"/>
          <w:i/>
          <w:iCs/>
          <w:color w:val="000000" w:themeColor="text1"/>
          <w:sz w:val="24"/>
          <w:szCs w:val="24"/>
          <w:shd w:val="clear" w:color="auto" w:fill="FFFFFF"/>
          <w:lang w:val="en-US"/>
        </w:rPr>
        <w:t>Quantitative Finance</w:t>
      </w:r>
      <w:r w:rsidRPr="002C5DE1">
        <w:rPr>
          <w:rFonts w:ascii="Times New Roman" w:hAnsi="Times New Roman" w:cs="Times New Roman"/>
          <w:color w:val="000000" w:themeColor="text1"/>
          <w:sz w:val="24"/>
          <w:szCs w:val="24"/>
          <w:shd w:val="clear" w:color="auto" w:fill="FFFFFF"/>
          <w:lang w:val="en-US"/>
        </w:rPr>
        <w:t> 4(2), 191-198.</w:t>
      </w:r>
    </w:p>
    <w:p w14:paraId="4D011081" w14:textId="77777777" w:rsidR="00390090" w:rsidRPr="002C5DE1" w:rsidRDefault="00390090" w:rsidP="00C145FF">
      <w:pPr>
        <w:spacing w:before="120" w:after="120" w:line="276" w:lineRule="auto"/>
        <w:ind w:left="720" w:hanging="720"/>
        <w:jc w:val="both"/>
        <w:rPr>
          <w:rFonts w:ascii="Times New Roman" w:hAnsi="Times New Roman" w:cs="Times New Roman"/>
          <w:color w:val="000000" w:themeColor="text1"/>
          <w:sz w:val="24"/>
          <w:szCs w:val="24"/>
          <w:shd w:val="clear" w:color="auto" w:fill="FFFFFF"/>
          <w:lang w:val="en-US"/>
        </w:rPr>
      </w:pPr>
      <w:proofErr w:type="spellStart"/>
      <w:r w:rsidRPr="002C5DE1">
        <w:rPr>
          <w:rFonts w:ascii="Times New Roman" w:hAnsi="Times New Roman" w:cs="Times New Roman"/>
          <w:color w:val="000000" w:themeColor="text1"/>
          <w:sz w:val="24"/>
          <w:szCs w:val="24"/>
          <w:shd w:val="clear" w:color="auto" w:fill="FFFFFF"/>
          <w:lang w:val="en-US"/>
        </w:rPr>
        <w:t>Svirydzenka</w:t>
      </w:r>
      <w:proofErr w:type="spellEnd"/>
      <w:r w:rsidRPr="002C5DE1">
        <w:rPr>
          <w:rFonts w:ascii="Times New Roman" w:hAnsi="Times New Roman" w:cs="Times New Roman"/>
          <w:color w:val="000000" w:themeColor="text1"/>
          <w:sz w:val="24"/>
          <w:szCs w:val="24"/>
          <w:shd w:val="clear" w:color="auto" w:fill="FFFFFF"/>
          <w:lang w:val="en-US"/>
        </w:rPr>
        <w:t xml:space="preserve">, K. (2016). Introducing a new broad-based index of financial development. </w:t>
      </w:r>
      <w:r w:rsidR="004F73CF" w:rsidRPr="002C5DE1">
        <w:rPr>
          <w:rFonts w:ascii="Times New Roman" w:hAnsi="Times New Roman" w:cs="Times New Roman"/>
          <w:color w:val="000000" w:themeColor="text1"/>
          <w:sz w:val="24"/>
          <w:szCs w:val="24"/>
          <w:shd w:val="clear" w:color="auto" w:fill="FFFFFF"/>
          <w:lang w:val="en-US"/>
        </w:rPr>
        <w:t xml:space="preserve">Working Paper, No. 5, </w:t>
      </w:r>
      <w:r w:rsidRPr="002C5DE1">
        <w:rPr>
          <w:rFonts w:ascii="Times New Roman" w:hAnsi="Times New Roman" w:cs="Times New Roman"/>
          <w:color w:val="000000" w:themeColor="text1"/>
          <w:sz w:val="24"/>
          <w:szCs w:val="24"/>
          <w:shd w:val="clear" w:color="auto" w:fill="FFFFFF"/>
          <w:lang w:val="en-US"/>
        </w:rPr>
        <w:t>International Monetary Fund.</w:t>
      </w:r>
    </w:p>
    <w:p w14:paraId="3CE30A77" w14:textId="77777777" w:rsidR="00390090" w:rsidRPr="002C5DE1" w:rsidRDefault="00390090" w:rsidP="00C145FF">
      <w:pPr>
        <w:spacing w:before="120" w:after="120" w:line="276" w:lineRule="auto"/>
        <w:ind w:left="720" w:hanging="720"/>
        <w:jc w:val="both"/>
        <w:rPr>
          <w:rFonts w:ascii="Times New Roman" w:eastAsia="Times New Roman" w:hAnsi="Times New Roman" w:cs="Times New Roman"/>
          <w:color w:val="000000" w:themeColor="text1"/>
          <w:sz w:val="24"/>
          <w:szCs w:val="24"/>
          <w:lang w:val="en-US" w:eastAsia="tr-TR"/>
        </w:rPr>
      </w:pPr>
      <w:r w:rsidRPr="002C5DE1">
        <w:rPr>
          <w:rFonts w:ascii="Times New Roman" w:eastAsia="Times New Roman" w:hAnsi="Times New Roman" w:cs="Times New Roman"/>
          <w:color w:val="000000" w:themeColor="text1"/>
          <w:sz w:val="24"/>
          <w:szCs w:val="24"/>
          <w:lang w:val="en-US" w:eastAsia="tr-TR"/>
        </w:rPr>
        <w:t>Tan, A., &amp; Voss, G. (2003). Consumption and wealth in Australia. </w:t>
      </w:r>
      <w:r w:rsidRPr="002C5DE1">
        <w:rPr>
          <w:rFonts w:ascii="Times New Roman" w:eastAsia="Times New Roman" w:hAnsi="Times New Roman" w:cs="Times New Roman"/>
          <w:i/>
          <w:iCs/>
          <w:color w:val="000000" w:themeColor="text1"/>
          <w:sz w:val="24"/>
          <w:szCs w:val="24"/>
          <w:lang w:val="en-US" w:eastAsia="tr-TR"/>
        </w:rPr>
        <w:t>Economic Record</w:t>
      </w:r>
      <w:r w:rsidRPr="002C5DE1">
        <w:rPr>
          <w:rFonts w:ascii="Times New Roman" w:eastAsia="Times New Roman" w:hAnsi="Times New Roman" w:cs="Times New Roman"/>
          <w:color w:val="000000" w:themeColor="text1"/>
          <w:sz w:val="24"/>
          <w:szCs w:val="24"/>
          <w:lang w:val="en-US" w:eastAsia="tr-TR"/>
        </w:rPr>
        <w:t> 79(244), 39-56.</w:t>
      </w:r>
    </w:p>
    <w:p w14:paraId="6D155CC2" w14:textId="77777777" w:rsidR="00390090" w:rsidRPr="002C5DE1" w:rsidRDefault="00390090" w:rsidP="00C145FF">
      <w:pPr>
        <w:spacing w:before="120" w:after="120" w:line="276" w:lineRule="auto"/>
        <w:ind w:left="720" w:hanging="720"/>
        <w:jc w:val="both"/>
        <w:rPr>
          <w:rFonts w:ascii="Times New Roman" w:hAnsi="Times New Roman" w:cs="Times New Roman"/>
          <w:color w:val="000000" w:themeColor="text1"/>
          <w:sz w:val="24"/>
          <w:szCs w:val="24"/>
          <w:shd w:val="clear" w:color="auto" w:fill="FFFFFF"/>
          <w:lang w:val="en-US"/>
        </w:rPr>
      </w:pPr>
      <w:proofErr w:type="spellStart"/>
      <w:r w:rsidRPr="002C5DE1">
        <w:rPr>
          <w:rFonts w:ascii="Times New Roman" w:hAnsi="Times New Roman" w:cs="Times New Roman"/>
          <w:color w:val="000000" w:themeColor="text1"/>
          <w:sz w:val="24"/>
          <w:szCs w:val="24"/>
          <w:shd w:val="clear" w:color="auto" w:fill="FFFFFF"/>
          <w:lang w:val="en-US"/>
        </w:rPr>
        <w:t>Tobing</w:t>
      </w:r>
      <w:proofErr w:type="spellEnd"/>
      <w:r w:rsidRPr="002C5DE1">
        <w:rPr>
          <w:rFonts w:ascii="Times New Roman" w:hAnsi="Times New Roman" w:cs="Times New Roman"/>
          <w:color w:val="000000" w:themeColor="text1"/>
          <w:sz w:val="24"/>
          <w:szCs w:val="24"/>
          <w:shd w:val="clear" w:color="auto" w:fill="FFFFFF"/>
          <w:lang w:val="en-US"/>
        </w:rPr>
        <w:t>, E. (2012). How do housing wealth effects vary with age? </w:t>
      </w:r>
      <w:r w:rsidRPr="002C5DE1">
        <w:rPr>
          <w:rFonts w:ascii="Times New Roman" w:hAnsi="Times New Roman" w:cs="Times New Roman"/>
          <w:i/>
          <w:iCs/>
          <w:color w:val="000000" w:themeColor="text1"/>
          <w:sz w:val="24"/>
          <w:szCs w:val="24"/>
          <w:shd w:val="clear" w:color="auto" w:fill="FFFFFF"/>
          <w:lang w:val="en-US"/>
        </w:rPr>
        <w:t>Applied Economics Letters</w:t>
      </w:r>
      <w:r w:rsidRPr="002C5DE1">
        <w:rPr>
          <w:rFonts w:ascii="Times New Roman" w:hAnsi="Times New Roman" w:cs="Times New Roman"/>
          <w:color w:val="000000" w:themeColor="text1"/>
          <w:sz w:val="24"/>
          <w:szCs w:val="24"/>
          <w:shd w:val="clear" w:color="auto" w:fill="FFFFFF"/>
          <w:lang w:val="en-US"/>
        </w:rPr>
        <w:t> 19(7), 649-652.</w:t>
      </w:r>
    </w:p>
    <w:p w14:paraId="67945D09" w14:textId="77777777" w:rsidR="00390090" w:rsidRPr="002C5DE1" w:rsidRDefault="00390090" w:rsidP="00C145FF">
      <w:pPr>
        <w:spacing w:before="120" w:after="120" w:line="276" w:lineRule="auto"/>
        <w:ind w:left="720" w:hanging="720"/>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shd w:val="clear" w:color="auto" w:fill="FFFFFF"/>
          <w:lang w:val="en-US"/>
        </w:rPr>
        <w:t xml:space="preserve">Van </w:t>
      </w:r>
      <w:proofErr w:type="spellStart"/>
      <w:r w:rsidRPr="002C5DE1">
        <w:rPr>
          <w:rFonts w:ascii="Times New Roman" w:hAnsi="Times New Roman" w:cs="Times New Roman"/>
          <w:color w:val="000000" w:themeColor="text1"/>
          <w:sz w:val="24"/>
          <w:szCs w:val="24"/>
          <w:shd w:val="clear" w:color="auto" w:fill="FFFFFF"/>
          <w:lang w:val="en-US"/>
        </w:rPr>
        <w:t>Treeck</w:t>
      </w:r>
      <w:proofErr w:type="spellEnd"/>
      <w:r w:rsidRPr="002C5DE1">
        <w:rPr>
          <w:rFonts w:ascii="Times New Roman" w:hAnsi="Times New Roman" w:cs="Times New Roman"/>
          <w:color w:val="000000" w:themeColor="text1"/>
          <w:sz w:val="24"/>
          <w:szCs w:val="24"/>
          <w:shd w:val="clear" w:color="auto" w:fill="FFFFFF"/>
          <w:lang w:val="en-US"/>
        </w:rPr>
        <w:t>, T. (2008). Asymmetric income and wealth effects in a non-linear error correction model of US consumer spending. IMK Working Paper</w:t>
      </w:r>
      <w:r w:rsidR="004F73CF" w:rsidRPr="002C5DE1">
        <w:rPr>
          <w:rFonts w:ascii="Times New Roman" w:hAnsi="Times New Roman" w:cs="Times New Roman"/>
          <w:color w:val="000000" w:themeColor="text1"/>
          <w:sz w:val="24"/>
          <w:szCs w:val="24"/>
          <w:shd w:val="clear" w:color="auto" w:fill="FFFFFF"/>
          <w:lang w:val="en-US"/>
        </w:rPr>
        <w:t>, No. 6</w:t>
      </w:r>
      <w:r w:rsidRPr="002C5DE1">
        <w:rPr>
          <w:rFonts w:ascii="Times New Roman" w:hAnsi="Times New Roman" w:cs="Times New Roman"/>
          <w:color w:val="000000" w:themeColor="text1"/>
          <w:sz w:val="24"/>
          <w:szCs w:val="24"/>
          <w:shd w:val="clear" w:color="auto" w:fill="FFFFFF"/>
          <w:lang w:val="en-US"/>
        </w:rPr>
        <w:t>.</w:t>
      </w:r>
    </w:p>
    <w:p w14:paraId="41C2051A" w14:textId="77777777" w:rsidR="00390090" w:rsidRPr="002C5DE1" w:rsidRDefault="00390090" w:rsidP="00C145FF">
      <w:pPr>
        <w:spacing w:line="276" w:lineRule="auto"/>
        <w:ind w:left="720" w:hanging="720"/>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 xml:space="preserve">Veblen, T., 1898. </w:t>
      </w:r>
      <w:r w:rsidRPr="002C5DE1">
        <w:rPr>
          <w:rFonts w:ascii="Times New Roman" w:hAnsi="Times New Roman" w:cs="Times New Roman"/>
          <w:i/>
          <w:iCs/>
          <w:color w:val="000000" w:themeColor="text1"/>
          <w:sz w:val="24"/>
          <w:szCs w:val="24"/>
          <w:lang w:val="en-US"/>
        </w:rPr>
        <w:t>The Theory of the Leisure Class</w:t>
      </w:r>
      <w:r w:rsidRPr="002C5DE1">
        <w:rPr>
          <w:rFonts w:ascii="Times New Roman" w:hAnsi="Times New Roman" w:cs="Times New Roman"/>
          <w:color w:val="000000" w:themeColor="text1"/>
          <w:sz w:val="24"/>
          <w:szCs w:val="24"/>
          <w:lang w:val="en-US"/>
        </w:rPr>
        <w:t>. MacMillan, New York.</w:t>
      </w:r>
    </w:p>
    <w:p w14:paraId="4B4A8053" w14:textId="77777777" w:rsidR="00F34E70" w:rsidRPr="002C5DE1" w:rsidRDefault="00F34E70" w:rsidP="00F34E70">
      <w:pPr>
        <w:spacing w:line="276" w:lineRule="auto"/>
        <w:ind w:left="720" w:hanging="720"/>
        <w:jc w:val="both"/>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 xml:space="preserve">Wu, P.-C., Liu, S.-Y., &amp; Pan, S.-C. (2013). Nonlinear bilateral trade balance-fundamentals nexus: a panel smooth transition regression approach. </w:t>
      </w:r>
      <w:r w:rsidRPr="002C5DE1">
        <w:rPr>
          <w:rFonts w:ascii="Times New Roman" w:hAnsi="Times New Roman" w:cs="Times New Roman"/>
          <w:i/>
          <w:iCs/>
          <w:color w:val="000000" w:themeColor="text1"/>
          <w:sz w:val="24"/>
          <w:szCs w:val="24"/>
          <w:lang w:val="en-US"/>
        </w:rPr>
        <w:t>International Review of Economics and Finance</w:t>
      </w:r>
      <w:r w:rsidRPr="002C5DE1">
        <w:rPr>
          <w:rFonts w:ascii="Times New Roman" w:hAnsi="Times New Roman" w:cs="Times New Roman"/>
          <w:color w:val="000000" w:themeColor="text1"/>
          <w:sz w:val="24"/>
          <w:szCs w:val="24"/>
          <w:lang w:val="en-US"/>
        </w:rPr>
        <w:t xml:space="preserve"> 27(2), 318-329.</w:t>
      </w:r>
    </w:p>
    <w:p w14:paraId="0429CDBE" w14:textId="77777777" w:rsidR="00C145FF" w:rsidRPr="002C5DE1" w:rsidRDefault="00C145FF" w:rsidP="00DF22B7">
      <w:pPr>
        <w:rPr>
          <w:color w:val="000000" w:themeColor="text1"/>
          <w:lang w:val="en-US"/>
        </w:rPr>
      </w:pPr>
    </w:p>
    <w:p w14:paraId="52C6A07A" w14:textId="77777777" w:rsidR="00E237B8" w:rsidRPr="002C5DE1" w:rsidRDefault="00AC5AE4" w:rsidP="00D5509B">
      <w:pPr>
        <w:pStyle w:val="Heading1"/>
        <w:rPr>
          <w:rFonts w:ascii="Times New Roman" w:eastAsia="Times New Roman" w:hAnsi="Times New Roman" w:cs="Times New Roman"/>
          <w:b/>
          <w:color w:val="000000" w:themeColor="text1"/>
          <w:sz w:val="24"/>
          <w:szCs w:val="24"/>
          <w:lang w:val="en-US"/>
        </w:rPr>
      </w:pPr>
      <w:r w:rsidRPr="002C5DE1">
        <w:rPr>
          <w:rFonts w:ascii="Times New Roman" w:hAnsi="Times New Roman" w:cs="Times New Roman"/>
          <w:b/>
          <w:color w:val="000000" w:themeColor="text1"/>
          <w:sz w:val="24"/>
          <w:szCs w:val="24"/>
          <w:lang w:val="en-US"/>
        </w:rPr>
        <w:t xml:space="preserve">Appendix </w:t>
      </w:r>
      <w:r w:rsidR="009A6F68" w:rsidRPr="002C5DE1">
        <w:rPr>
          <w:rFonts w:ascii="Times New Roman" w:hAnsi="Times New Roman" w:cs="Times New Roman"/>
          <w:b/>
          <w:color w:val="000000" w:themeColor="text1"/>
          <w:sz w:val="24"/>
          <w:szCs w:val="24"/>
          <w:lang w:val="en-US"/>
        </w:rPr>
        <w:t>A</w:t>
      </w:r>
      <w:r w:rsidRPr="002C5DE1">
        <w:rPr>
          <w:rFonts w:ascii="Times New Roman" w:hAnsi="Times New Roman" w:cs="Times New Roman"/>
          <w:b/>
          <w:color w:val="000000" w:themeColor="text1"/>
          <w:sz w:val="24"/>
          <w:szCs w:val="24"/>
          <w:lang w:val="en-US"/>
        </w:rPr>
        <w:t xml:space="preserve">: </w:t>
      </w:r>
      <w:r w:rsidR="00F5548A" w:rsidRPr="002C5DE1">
        <w:rPr>
          <w:rFonts w:ascii="Times New Roman" w:eastAsia="Times New Roman" w:hAnsi="Times New Roman" w:cs="Times New Roman"/>
          <w:b/>
          <w:color w:val="000000" w:themeColor="text1"/>
          <w:sz w:val="24"/>
          <w:szCs w:val="24"/>
          <w:lang w:val="en-US"/>
        </w:rPr>
        <w:t>Figures</w:t>
      </w:r>
    </w:p>
    <w:p w14:paraId="290759D7" w14:textId="77777777" w:rsidR="003921A7" w:rsidRPr="002C5DE1" w:rsidRDefault="003921A7" w:rsidP="003921A7">
      <w:pPr>
        <w:rPr>
          <w:color w:val="000000" w:themeColor="text1"/>
          <w:lang w:val="en-US"/>
        </w:rPr>
      </w:pPr>
    </w:p>
    <w:p w14:paraId="1A0E47B4" w14:textId="77777777" w:rsidR="007B371B" w:rsidRPr="002C5DE1" w:rsidRDefault="007B371B" w:rsidP="007B371B">
      <w:pPr>
        <w:spacing w:after="120" w:line="276" w:lineRule="auto"/>
        <w:ind w:firstLine="357"/>
        <w:jc w:val="center"/>
        <w:rPr>
          <w:rFonts w:ascii="Times New Roman" w:hAnsi="Times New Roman" w:cs="Times New Roman"/>
          <w:b/>
          <w:color w:val="000000" w:themeColor="text1"/>
          <w:sz w:val="24"/>
          <w:szCs w:val="24"/>
          <w:lang w:val="en-US"/>
        </w:rPr>
      </w:pPr>
      <w:r w:rsidRPr="002C5DE1">
        <w:rPr>
          <w:rFonts w:ascii="Times New Roman" w:hAnsi="Times New Roman" w:cs="Times New Roman"/>
          <w:b/>
          <w:color w:val="000000" w:themeColor="text1"/>
          <w:sz w:val="24"/>
          <w:szCs w:val="24"/>
          <w:lang w:val="en-US"/>
        </w:rPr>
        <w:t>[</w:t>
      </w:r>
      <w:r w:rsidRPr="002C5DE1">
        <w:rPr>
          <w:rFonts w:ascii="Times New Roman" w:hAnsi="Times New Roman" w:cs="Times New Roman"/>
          <w:b/>
          <w:color w:val="000000" w:themeColor="text1"/>
          <w:sz w:val="24"/>
          <w:szCs w:val="24"/>
          <w:shd w:val="clear" w:color="auto" w:fill="FFFFFF"/>
          <w:lang w:val="en-US"/>
        </w:rPr>
        <w:t>Place Figure A1 Here</w:t>
      </w:r>
      <w:r w:rsidRPr="002C5DE1">
        <w:rPr>
          <w:rFonts w:ascii="Times New Roman" w:hAnsi="Times New Roman" w:cs="Times New Roman"/>
          <w:b/>
          <w:color w:val="000000" w:themeColor="text1"/>
          <w:sz w:val="24"/>
          <w:szCs w:val="24"/>
          <w:lang w:val="en-US"/>
        </w:rPr>
        <w:t>]</w:t>
      </w:r>
    </w:p>
    <w:p w14:paraId="30E17984" w14:textId="77777777" w:rsidR="003376EF" w:rsidRPr="002C5DE1" w:rsidRDefault="003376EF" w:rsidP="007B371B">
      <w:pPr>
        <w:spacing w:after="120" w:line="276" w:lineRule="auto"/>
        <w:ind w:firstLine="357"/>
        <w:jc w:val="center"/>
        <w:rPr>
          <w:rFonts w:ascii="Times New Roman" w:hAnsi="Times New Roman" w:cs="Times New Roman"/>
          <w:b/>
          <w:color w:val="000000" w:themeColor="text1"/>
          <w:sz w:val="24"/>
          <w:szCs w:val="24"/>
          <w:lang w:val="en-US"/>
        </w:rPr>
      </w:pPr>
    </w:p>
    <w:p w14:paraId="54FF8E79" w14:textId="77777777" w:rsidR="007B371B" w:rsidRPr="002C5DE1" w:rsidRDefault="007B371B" w:rsidP="007B371B">
      <w:pPr>
        <w:spacing w:after="120" w:line="276" w:lineRule="auto"/>
        <w:ind w:firstLine="357"/>
        <w:jc w:val="center"/>
        <w:rPr>
          <w:rFonts w:ascii="Times New Roman" w:hAnsi="Times New Roman" w:cs="Times New Roman"/>
          <w:b/>
          <w:color w:val="000000" w:themeColor="text1"/>
          <w:sz w:val="24"/>
          <w:szCs w:val="24"/>
          <w:lang w:val="en-US"/>
        </w:rPr>
      </w:pPr>
      <w:r w:rsidRPr="002C5DE1">
        <w:rPr>
          <w:rFonts w:ascii="Times New Roman" w:hAnsi="Times New Roman" w:cs="Times New Roman"/>
          <w:b/>
          <w:color w:val="000000" w:themeColor="text1"/>
          <w:sz w:val="24"/>
          <w:szCs w:val="24"/>
          <w:lang w:val="en-US"/>
        </w:rPr>
        <w:t>[</w:t>
      </w:r>
      <w:r w:rsidRPr="002C5DE1">
        <w:rPr>
          <w:rFonts w:ascii="Times New Roman" w:hAnsi="Times New Roman" w:cs="Times New Roman"/>
          <w:b/>
          <w:color w:val="000000" w:themeColor="text1"/>
          <w:sz w:val="24"/>
          <w:szCs w:val="24"/>
          <w:shd w:val="clear" w:color="auto" w:fill="FFFFFF"/>
          <w:lang w:val="en-US"/>
        </w:rPr>
        <w:t>Place Figure A2 Here</w:t>
      </w:r>
      <w:r w:rsidRPr="002C5DE1">
        <w:rPr>
          <w:rFonts w:ascii="Times New Roman" w:hAnsi="Times New Roman" w:cs="Times New Roman"/>
          <w:b/>
          <w:color w:val="000000" w:themeColor="text1"/>
          <w:sz w:val="24"/>
          <w:szCs w:val="24"/>
          <w:lang w:val="en-US"/>
        </w:rPr>
        <w:t>]</w:t>
      </w:r>
    </w:p>
    <w:p w14:paraId="6B09A9C5" w14:textId="77777777" w:rsidR="006300F0" w:rsidRPr="002C5DE1" w:rsidRDefault="006300F0" w:rsidP="00AC5AE4">
      <w:pPr>
        <w:spacing w:after="0" w:line="240" w:lineRule="auto"/>
        <w:rPr>
          <w:rFonts w:ascii="Times New Roman" w:hAnsi="Times New Roman" w:cs="Times New Roman"/>
          <w:b/>
          <w:color w:val="000000" w:themeColor="text1"/>
          <w:sz w:val="24"/>
          <w:szCs w:val="24"/>
          <w:lang w:val="en-US"/>
        </w:rPr>
      </w:pPr>
    </w:p>
    <w:p w14:paraId="6CC2E765" w14:textId="77777777" w:rsidR="007B371B" w:rsidRPr="002C5DE1" w:rsidRDefault="007B371B" w:rsidP="007B371B">
      <w:pPr>
        <w:spacing w:after="120" w:line="276" w:lineRule="auto"/>
        <w:ind w:firstLine="357"/>
        <w:jc w:val="center"/>
        <w:rPr>
          <w:rFonts w:ascii="Times New Roman" w:hAnsi="Times New Roman" w:cs="Times New Roman"/>
          <w:b/>
          <w:color w:val="000000" w:themeColor="text1"/>
          <w:sz w:val="24"/>
          <w:szCs w:val="24"/>
          <w:lang w:val="en-US"/>
        </w:rPr>
      </w:pPr>
      <w:r w:rsidRPr="002C5DE1">
        <w:rPr>
          <w:rFonts w:ascii="Times New Roman" w:hAnsi="Times New Roman" w:cs="Times New Roman"/>
          <w:b/>
          <w:color w:val="000000" w:themeColor="text1"/>
          <w:sz w:val="24"/>
          <w:szCs w:val="24"/>
          <w:lang w:val="en-US"/>
        </w:rPr>
        <w:t>[</w:t>
      </w:r>
      <w:r w:rsidRPr="002C5DE1">
        <w:rPr>
          <w:rFonts w:ascii="Times New Roman" w:hAnsi="Times New Roman" w:cs="Times New Roman"/>
          <w:b/>
          <w:color w:val="000000" w:themeColor="text1"/>
          <w:sz w:val="24"/>
          <w:szCs w:val="24"/>
          <w:shd w:val="clear" w:color="auto" w:fill="FFFFFF"/>
          <w:lang w:val="en-US"/>
        </w:rPr>
        <w:t xml:space="preserve">Place Figure </w:t>
      </w:r>
      <w:r w:rsidRPr="002C5DE1">
        <w:rPr>
          <w:rFonts w:ascii="Times New Roman" w:hAnsi="Times New Roman" w:cs="Times New Roman"/>
          <w:b/>
          <w:color w:val="000000" w:themeColor="text1"/>
          <w:sz w:val="24"/>
          <w:szCs w:val="24"/>
          <w:lang w:val="en-US"/>
        </w:rPr>
        <w:t>A3a</w:t>
      </w:r>
      <w:r w:rsidRPr="002C5DE1">
        <w:rPr>
          <w:rFonts w:ascii="Times New Roman" w:hAnsi="Times New Roman" w:cs="Times New Roman"/>
          <w:b/>
          <w:color w:val="000000" w:themeColor="text1"/>
          <w:sz w:val="24"/>
          <w:szCs w:val="24"/>
          <w:shd w:val="clear" w:color="auto" w:fill="FFFFFF"/>
          <w:lang w:val="en-US"/>
        </w:rPr>
        <w:t xml:space="preserve"> Here</w:t>
      </w:r>
      <w:r w:rsidRPr="002C5DE1">
        <w:rPr>
          <w:rFonts w:ascii="Times New Roman" w:hAnsi="Times New Roman" w:cs="Times New Roman"/>
          <w:b/>
          <w:color w:val="000000" w:themeColor="text1"/>
          <w:sz w:val="24"/>
          <w:szCs w:val="24"/>
          <w:lang w:val="en-US"/>
        </w:rPr>
        <w:t>]</w:t>
      </w:r>
    </w:p>
    <w:p w14:paraId="0C33FF36" w14:textId="77777777" w:rsidR="006300F0" w:rsidRPr="002C5DE1" w:rsidRDefault="006300F0" w:rsidP="00AC5AE4">
      <w:pPr>
        <w:spacing w:after="0" w:line="240" w:lineRule="auto"/>
        <w:rPr>
          <w:rFonts w:ascii="Times New Roman" w:hAnsi="Times New Roman" w:cs="Times New Roman"/>
          <w:b/>
          <w:color w:val="000000" w:themeColor="text1"/>
          <w:sz w:val="24"/>
          <w:szCs w:val="24"/>
          <w:lang w:val="en-US"/>
        </w:rPr>
      </w:pPr>
    </w:p>
    <w:p w14:paraId="41D27549" w14:textId="77777777" w:rsidR="00192213" w:rsidRPr="002C5DE1" w:rsidRDefault="007B371B" w:rsidP="00E03EA5">
      <w:pPr>
        <w:spacing w:after="120" w:line="276" w:lineRule="auto"/>
        <w:ind w:firstLine="357"/>
        <w:jc w:val="center"/>
        <w:rPr>
          <w:rFonts w:ascii="Times New Roman" w:hAnsi="Times New Roman" w:cs="Times New Roman"/>
          <w:b/>
          <w:color w:val="000000" w:themeColor="text1"/>
          <w:sz w:val="24"/>
          <w:szCs w:val="24"/>
          <w:lang w:val="en-US"/>
        </w:rPr>
      </w:pPr>
      <w:r w:rsidRPr="002C5DE1">
        <w:rPr>
          <w:rFonts w:ascii="Times New Roman" w:hAnsi="Times New Roman" w:cs="Times New Roman"/>
          <w:b/>
          <w:color w:val="000000" w:themeColor="text1"/>
          <w:sz w:val="24"/>
          <w:szCs w:val="24"/>
          <w:lang w:val="en-US"/>
        </w:rPr>
        <w:lastRenderedPageBreak/>
        <w:t>[</w:t>
      </w:r>
      <w:r w:rsidRPr="002C5DE1">
        <w:rPr>
          <w:rFonts w:ascii="Times New Roman" w:hAnsi="Times New Roman" w:cs="Times New Roman"/>
          <w:b/>
          <w:color w:val="000000" w:themeColor="text1"/>
          <w:sz w:val="24"/>
          <w:szCs w:val="24"/>
          <w:shd w:val="clear" w:color="auto" w:fill="FFFFFF"/>
          <w:lang w:val="en-US"/>
        </w:rPr>
        <w:t xml:space="preserve">Place Figure </w:t>
      </w:r>
      <w:r w:rsidRPr="002C5DE1">
        <w:rPr>
          <w:rFonts w:ascii="Times New Roman" w:hAnsi="Times New Roman" w:cs="Times New Roman"/>
          <w:b/>
          <w:color w:val="000000" w:themeColor="text1"/>
          <w:sz w:val="24"/>
          <w:szCs w:val="24"/>
          <w:lang w:val="en-US"/>
        </w:rPr>
        <w:t>A3b</w:t>
      </w:r>
      <w:r w:rsidRPr="002C5DE1">
        <w:rPr>
          <w:rFonts w:ascii="Times New Roman" w:hAnsi="Times New Roman" w:cs="Times New Roman"/>
          <w:b/>
          <w:color w:val="000000" w:themeColor="text1"/>
          <w:sz w:val="24"/>
          <w:szCs w:val="24"/>
          <w:shd w:val="clear" w:color="auto" w:fill="FFFFFF"/>
          <w:lang w:val="en-US"/>
        </w:rPr>
        <w:t xml:space="preserve"> Here</w:t>
      </w:r>
      <w:r w:rsidR="00E03EA5" w:rsidRPr="002C5DE1">
        <w:rPr>
          <w:rFonts w:ascii="Times New Roman" w:hAnsi="Times New Roman" w:cs="Times New Roman"/>
          <w:b/>
          <w:color w:val="000000" w:themeColor="text1"/>
          <w:sz w:val="24"/>
          <w:szCs w:val="24"/>
          <w:lang w:val="en-US"/>
        </w:rPr>
        <w:t>]</w:t>
      </w:r>
    </w:p>
    <w:p w14:paraId="41EA53FA" w14:textId="77777777" w:rsidR="00C9589E" w:rsidRPr="002C5DE1" w:rsidRDefault="00C9589E" w:rsidP="00F70B9C">
      <w:pPr>
        <w:spacing w:line="276" w:lineRule="auto"/>
        <w:jc w:val="both"/>
        <w:rPr>
          <w:rFonts w:ascii="Times New Roman" w:hAnsi="Times New Roman" w:cs="Times New Roman"/>
          <w:b/>
          <w:color w:val="000000" w:themeColor="text1"/>
          <w:sz w:val="24"/>
          <w:szCs w:val="24"/>
          <w:lang w:val="en-US"/>
        </w:rPr>
      </w:pPr>
    </w:p>
    <w:p w14:paraId="55A46B38" w14:textId="77777777" w:rsidR="00F70B9C" w:rsidRPr="002C5DE1" w:rsidRDefault="00F70B9C" w:rsidP="00F70B9C">
      <w:pPr>
        <w:spacing w:line="276" w:lineRule="auto"/>
        <w:jc w:val="both"/>
        <w:rPr>
          <w:rFonts w:ascii="Times New Roman" w:hAnsi="Times New Roman" w:cs="Times New Roman"/>
          <w:b/>
          <w:color w:val="000000" w:themeColor="text1"/>
          <w:sz w:val="24"/>
          <w:szCs w:val="24"/>
          <w:lang w:val="en-US"/>
        </w:rPr>
      </w:pPr>
      <w:r w:rsidRPr="002C5DE1">
        <w:rPr>
          <w:rFonts w:ascii="Times New Roman" w:hAnsi="Times New Roman" w:cs="Times New Roman"/>
          <w:b/>
          <w:color w:val="000000" w:themeColor="text1"/>
          <w:sz w:val="24"/>
          <w:szCs w:val="24"/>
          <w:lang w:val="en-US"/>
        </w:rPr>
        <w:t>Table 1. The Summary of Literature Review</w:t>
      </w:r>
    </w:p>
    <w:tbl>
      <w:tblPr>
        <w:tblStyle w:val="TableGrid"/>
        <w:tblW w:w="9351" w:type="dxa"/>
        <w:tblLayout w:type="fixed"/>
        <w:tblLook w:val="04A0" w:firstRow="1" w:lastRow="0" w:firstColumn="1" w:lastColumn="0" w:noHBand="0" w:noVBand="1"/>
      </w:tblPr>
      <w:tblGrid>
        <w:gridCol w:w="1413"/>
        <w:gridCol w:w="1843"/>
        <w:gridCol w:w="2409"/>
        <w:gridCol w:w="3686"/>
      </w:tblGrid>
      <w:tr w:rsidR="00F70B9C" w:rsidRPr="002C5DE1" w14:paraId="3A0D75FE" w14:textId="77777777" w:rsidTr="00035946">
        <w:tc>
          <w:tcPr>
            <w:tcW w:w="1413" w:type="dxa"/>
            <w:vAlign w:val="center"/>
          </w:tcPr>
          <w:p w14:paraId="1FB23589" w14:textId="77777777" w:rsidR="00F70B9C" w:rsidRPr="002C5DE1" w:rsidRDefault="00F70B9C" w:rsidP="00035946">
            <w:pPr>
              <w:spacing w:line="276" w:lineRule="auto"/>
              <w:rPr>
                <w:rFonts w:ascii="Times New Roman" w:hAnsi="Times New Roman" w:cs="Times New Roman"/>
                <w:b/>
                <w:color w:val="000000" w:themeColor="text1"/>
                <w:sz w:val="24"/>
                <w:szCs w:val="24"/>
                <w:lang w:val="en-US"/>
              </w:rPr>
            </w:pPr>
            <w:r w:rsidRPr="002C5DE1">
              <w:rPr>
                <w:rFonts w:ascii="Times New Roman" w:hAnsi="Times New Roman" w:cs="Times New Roman"/>
                <w:b/>
                <w:color w:val="000000" w:themeColor="text1"/>
                <w:sz w:val="24"/>
                <w:szCs w:val="24"/>
                <w:lang w:val="en-US"/>
              </w:rPr>
              <w:t>Author</w:t>
            </w:r>
          </w:p>
        </w:tc>
        <w:tc>
          <w:tcPr>
            <w:tcW w:w="1843" w:type="dxa"/>
            <w:vAlign w:val="center"/>
          </w:tcPr>
          <w:p w14:paraId="12BC9BB8" w14:textId="77777777" w:rsidR="00F70B9C" w:rsidRPr="002C5DE1" w:rsidRDefault="00F70B9C" w:rsidP="00035946">
            <w:pPr>
              <w:spacing w:line="276" w:lineRule="auto"/>
              <w:rPr>
                <w:rFonts w:ascii="Times New Roman" w:hAnsi="Times New Roman" w:cs="Times New Roman"/>
                <w:b/>
                <w:color w:val="000000" w:themeColor="text1"/>
                <w:sz w:val="24"/>
                <w:szCs w:val="24"/>
                <w:lang w:val="en-US"/>
              </w:rPr>
            </w:pPr>
            <w:r w:rsidRPr="002C5DE1">
              <w:rPr>
                <w:rFonts w:ascii="Times New Roman" w:hAnsi="Times New Roman" w:cs="Times New Roman"/>
                <w:b/>
                <w:color w:val="000000" w:themeColor="text1"/>
                <w:sz w:val="24"/>
                <w:szCs w:val="24"/>
                <w:lang w:val="en-US"/>
              </w:rPr>
              <w:t>Sample&amp; Period</w:t>
            </w:r>
          </w:p>
        </w:tc>
        <w:tc>
          <w:tcPr>
            <w:tcW w:w="2409" w:type="dxa"/>
            <w:vAlign w:val="center"/>
          </w:tcPr>
          <w:p w14:paraId="68AE983D" w14:textId="77777777" w:rsidR="00F70B9C" w:rsidRPr="002C5DE1" w:rsidRDefault="00F70B9C" w:rsidP="00035946">
            <w:pPr>
              <w:spacing w:line="276" w:lineRule="auto"/>
              <w:rPr>
                <w:rFonts w:ascii="Times New Roman" w:hAnsi="Times New Roman" w:cs="Times New Roman"/>
                <w:b/>
                <w:color w:val="000000" w:themeColor="text1"/>
                <w:sz w:val="24"/>
                <w:szCs w:val="24"/>
                <w:lang w:val="en-US"/>
              </w:rPr>
            </w:pPr>
            <w:r w:rsidRPr="002C5DE1">
              <w:rPr>
                <w:rFonts w:ascii="Times New Roman" w:hAnsi="Times New Roman" w:cs="Times New Roman"/>
                <w:b/>
                <w:color w:val="000000" w:themeColor="text1"/>
                <w:sz w:val="24"/>
                <w:szCs w:val="24"/>
                <w:lang w:val="en-US"/>
              </w:rPr>
              <w:t>Methodology</w:t>
            </w:r>
          </w:p>
        </w:tc>
        <w:tc>
          <w:tcPr>
            <w:tcW w:w="3686" w:type="dxa"/>
            <w:vAlign w:val="center"/>
          </w:tcPr>
          <w:p w14:paraId="0D13576C" w14:textId="77777777" w:rsidR="00F70B9C" w:rsidRPr="002C5DE1" w:rsidRDefault="00F70B9C" w:rsidP="00035946">
            <w:pPr>
              <w:spacing w:line="276" w:lineRule="auto"/>
              <w:rPr>
                <w:rFonts w:ascii="Times New Roman" w:hAnsi="Times New Roman" w:cs="Times New Roman"/>
                <w:b/>
                <w:color w:val="000000" w:themeColor="text1"/>
                <w:sz w:val="24"/>
                <w:szCs w:val="24"/>
                <w:lang w:val="en-US"/>
              </w:rPr>
            </w:pPr>
            <w:r w:rsidRPr="002C5DE1">
              <w:rPr>
                <w:rFonts w:ascii="Times New Roman" w:hAnsi="Times New Roman" w:cs="Times New Roman"/>
                <w:b/>
                <w:color w:val="000000" w:themeColor="text1"/>
                <w:sz w:val="24"/>
                <w:szCs w:val="24"/>
                <w:lang w:val="en-US"/>
              </w:rPr>
              <w:t>Result</w:t>
            </w:r>
          </w:p>
        </w:tc>
      </w:tr>
      <w:tr w:rsidR="00F70B9C" w:rsidRPr="002C5DE1" w14:paraId="1F7CDF1D" w14:textId="77777777" w:rsidTr="00035946">
        <w:tc>
          <w:tcPr>
            <w:tcW w:w="1413" w:type="dxa"/>
          </w:tcPr>
          <w:p w14:paraId="31746E1C" w14:textId="77777777" w:rsidR="00F70B9C" w:rsidRPr="002C5DE1" w:rsidRDefault="00F70B9C" w:rsidP="00035946">
            <w:pPr>
              <w:spacing w:line="276" w:lineRule="auto"/>
              <w:jc w:val="both"/>
              <w:rPr>
                <w:rFonts w:ascii="Times New Roman" w:hAnsi="Times New Roman" w:cs="Times New Roman"/>
                <w:color w:val="000000" w:themeColor="text1"/>
                <w:lang w:val="en-US"/>
              </w:rPr>
            </w:pPr>
            <w:r w:rsidRPr="002C5DE1">
              <w:rPr>
                <w:rFonts w:ascii="Times New Roman" w:hAnsi="Times New Roman" w:cs="Times New Roman"/>
                <w:color w:val="000000" w:themeColor="text1"/>
                <w:lang w:val="en-US"/>
              </w:rPr>
              <w:t>Apergis and Miller (2006)</w:t>
            </w:r>
          </w:p>
        </w:tc>
        <w:tc>
          <w:tcPr>
            <w:tcW w:w="1843" w:type="dxa"/>
          </w:tcPr>
          <w:p w14:paraId="5AB10408" w14:textId="77777777" w:rsidR="00F70B9C" w:rsidRPr="002C5DE1" w:rsidRDefault="00F70B9C" w:rsidP="00035946">
            <w:pPr>
              <w:spacing w:line="276" w:lineRule="auto"/>
              <w:jc w:val="both"/>
              <w:rPr>
                <w:rFonts w:ascii="Times New Roman" w:hAnsi="Times New Roman" w:cs="Times New Roman"/>
                <w:color w:val="000000" w:themeColor="text1"/>
                <w:lang w:val="en-US"/>
              </w:rPr>
            </w:pPr>
            <w:r w:rsidRPr="002C5DE1">
              <w:rPr>
                <w:rFonts w:ascii="Times New Roman" w:hAnsi="Times New Roman" w:cs="Times New Roman"/>
                <w:color w:val="000000" w:themeColor="text1"/>
                <w:lang w:val="en-US"/>
              </w:rPr>
              <w:t>United States.</w:t>
            </w:r>
          </w:p>
          <w:p w14:paraId="53F49B45" w14:textId="77777777" w:rsidR="00F70B9C" w:rsidRPr="002C5DE1" w:rsidRDefault="00F70B9C" w:rsidP="00035946">
            <w:pPr>
              <w:spacing w:line="276" w:lineRule="auto"/>
              <w:jc w:val="both"/>
              <w:rPr>
                <w:rFonts w:ascii="Times New Roman" w:hAnsi="Times New Roman" w:cs="Times New Roman"/>
                <w:color w:val="000000" w:themeColor="text1"/>
                <w:lang w:val="en-US"/>
              </w:rPr>
            </w:pPr>
            <w:r w:rsidRPr="002C5DE1">
              <w:rPr>
                <w:rFonts w:ascii="Times New Roman" w:hAnsi="Times New Roman" w:cs="Times New Roman"/>
                <w:color w:val="000000" w:themeColor="text1"/>
                <w:lang w:val="en-US"/>
              </w:rPr>
              <w:t>Quarterly data from 1957 to 2002</w:t>
            </w:r>
          </w:p>
        </w:tc>
        <w:tc>
          <w:tcPr>
            <w:tcW w:w="2409" w:type="dxa"/>
          </w:tcPr>
          <w:p w14:paraId="69F58346" w14:textId="77777777" w:rsidR="00F70B9C" w:rsidRPr="002C5DE1" w:rsidRDefault="00F70B9C" w:rsidP="00035946">
            <w:pPr>
              <w:spacing w:line="276" w:lineRule="auto"/>
              <w:jc w:val="both"/>
              <w:rPr>
                <w:rFonts w:ascii="Times New Roman" w:hAnsi="Times New Roman" w:cs="Times New Roman"/>
                <w:color w:val="000000" w:themeColor="text1"/>
                <w:lang w:val="en-US"/>
              </w:rPr>
            </w:pPr>
            <w:r w:rsidRPr="002C5DE1">
              <w:rPr>
                <w:rFonts w:ascii="Times New Roman" w:hAnsi="Times New Roman" w:cs="Times New Roman"/>
                <w:color w:val="000000" w:themeColor="text1"/>
                <w:lang w:val="en-US"/>
              </w:rPr>
              <w:t xml:space="preserve">Cointegration based on Johansen and </w:t>
            </w:r>
            <w:proofErr w:type="spellStart"/>
            <w:r w:rsidRPr="002C5DE1">
              <w:rPr>
                <w:rFonts w:ascii="Times New Roman" w:hAnsi="Times New Roman" w:cs="Times New Roman"/>
                <w:color w:val="000000" w:themeColor="text1"/>
                <w:lang w:val="en-US"/>
              </w:rPr>
              <w:t>Juselius</w:t>
            </w:r>
            <w:proofErr w:type="spellEnd"/>
            <w:r w:rsidRPr="002C5DE1">
              <w:rPr>
                <w:rFonts w:ascii="Times New Roman" w:hAnsi="Times New Roman" w:cs="Times New Roman"/>
                <w:color w:val="000000" w:themeColor="text1"/>
                <w:lang w:val="en-US"/>
              </w:rPr>
              <w:t xml:space="preserve"> (1990) and error-correction methodology based on </w:t>
            </w:r>
            <w:proofErr w:type="spellStart"/>
            <w:r w:rsidRPr="002C5DE1">
              <w:rPr>
                <w:rFonts w:ascii="Times New Roman" w:hAnsi="Times New Roman" w:cs="Times New Roman"/>
                <w:color w:val="000000" w:themeColor="text1"/>
                <w:lang w:val="en-US"/>
              </w:rPr>
              <w:t>Perron</w:t>
            </w:r>
            <w:proofErr w:type="spellEnd"/>
            <w:r w:rsidRPr="002C5DE1">
              <w:rPr>
                <w:rFonts w:ascii="Times New Roman" w:hAnsi="Times New Roman" w:cs="Times New Roman"/>
                <w:color w:val="000000" w:themeColor="text1"/>
                <w:lang w:val="en-US"/>
              </w:rPr>
              <w:t xml:space="preserve"> and Vogelsang (1992)</w:t>
            </w:r>
          </w:p>
        </w:tc>
        <w:tc>
          <w:tcPr>
            <w:tcW w:w="3686" w:type="dxa"/>
          </w:tcPr>
          <w:p w14:paraId="0ABA1323" w14:textId="77777777" w:rsidR="00F70B9C" w:rsidRPr="002C5DE1" w:rsidRDefault="00F70B9C" w:rsidP="00035946">
            <w:pPr>
              <w:spacing w:line="276" w:lineRule="auto"/>
              <w:jc w:val="both"/>
              <w:rPr>
                <w:rFonts w:ascii="Times New Roman" w:hAnsi="Times New Roman" w:cs="Times New Roman"/>
                <w:color w:val="000000" w:themeColor="text1"/>
                <w:lang w:val="en-US"/>
              </w:rPr>
            </w:pPr>
            <w:r w:rsidRPr="002C5DE1">
              <w:rPr>
                <w:rFonts w:ascii="Times New Roman" w:hAnsi="Times New Roman" w:cs="Times New Roman"/>
                <w:color w:val="000000" w:themeColor="text1"/>
                <w:lang w:val="en-US"/>
              </w:rPr>
              <w:t>Stock market affects real per capita consumption asymmetrically during the short-run adjustment process, where bad news exhibits a stronger effect than good news.</w:t>
            </w:r>
          </w:p>
        </w:tc>
      </w:tr>
      <w:tr w:rsidR="00F70B9C" w:rsidRPr="002C5DE1" w14:paraId="0D585A50" w14:textId="77777777" w:rsidTr="00035946">
        <w:tc>
          <w:tcPr>
            <w:tcW w:w="1413" w:type="dxa"/>
          </w:tcPr>
          <w:p w14:paraId="14881442" w14:textId="77777777" w:rsidR="00F70B9C" w:rsidRPr="002C5DE1" w:rsidRDefault="00F70B9C" w:rsidP="00035946">
            <w:pPr>
              <w:spacing w:line="276" w:lineRule="auto"/>
              <w:jc w:val="both"/>
              <w:rPr>
                <w:rFonts w:ascii="Times New Roman" w:hAnsi="Times New Roman" w:cs="Times New Roman"/>
                <w:color w:val="000000" w:themeColor="text1"/>
                <w:lang w:val="en-US"/>
              </w:rPr>
            </w:pPr>
            <w:r w:rsidRPr="002C5DE1">
              <w:rPr>
                <w:rFonts w:ascii="Times New Roman" w:hAnsi="Times New Roman" w:cs="Times New Roman"/>
                <w:color w:val="000000" w:themeColor="text1"/>
                <w:lang w:val="en-US"/>
              </w:rPr>
              <w:t xml:space="preserve">Van </w:t>
            </w:r>
            <w:proofErr w:type="spellStart"/>
            <w:r w:rsidRPr="002C5DE1">
              <w:rPr>
                <w:rFonts w:ascii="Times New Roman" w:hAnsi="Times New Roman" w:cs="Times New Roman"/>
                <w:color w:val="000000" w:themeColor="text1"/>
                <w:lang w:val="en-US"/>
              </w:rPr>
              <w:t>Treeck</w:t>
            </w:r>
            <w:proofErr w:type="spellEnd"/>
            <w:r w:rsidRPr="002C5DE1">
              <w:rPr>
                <w:rFonts w:ascii="Times New Roman" w:hAnsi="Times New Roman" w:cs="Times New Roman"/>
                <w:color w:val="000000" w:themeColor="text1"/>
                <w:lang w:val="en-US"/>
              </w:rPr>
              <w:t xml:space="preserve"> (2008)</w:t>
            </w:r>
          </w:p>
        </w:tc>
        <w:tc>
          <w:tcPr>
            <w:tcW w:w="1843" w:type="dxa"/>
          </w:tcPr>
          <w:p w14:paraId="437DEEB6" w14:textId="77777777" w:rsidR="00F70B9C" w:rsidRPr="002C5DE1" w:rsidRDefault="00F70B9C" w:rsidP="00035946">
            <w:pPr>
              <w:spacing w:line="276" w:lineRule="auto"/>
              <w:jc w:val="both"/>
              <w:rPr>
                <w:rFonts w:ascii="Times New Roman" w:hAnsi="Times New Roman" w:cs="Times New Roman"/>
                <w:color w:val="000000" w:themeColor="text1"/>
                <w:lang w:val="en-US"/>
              </w:rPr>
            </w:pPr>
            <w:r w:rsidRPr="002C5DE1">
              <w:rPr>
                <w:rFonts w:ascii="Times New Roman" w:hAnsi="Times New Roman" w:cs="Times New Roman"/>
                <w:color w:val="000000" w:themeColor="text1"/>
                <w:lang w:val="en-US"/>
              </w:rPr>
              <w:t>United States.</w:t>
            </w:r>
          </w:p>
          <w:p w14:paraId="513B8193" w14:textId="77777777" w:rsidR="00F70B9C" w:rsidRPr="002C5DE1" w:rsidRDefault="00F70B9C" w:rsidP="00035946">
            <w:pPr>
              <w:spacing w:line="276" w:lineRule="auto"/>
              <w:jc w:val="both"/>
              <w:rPr>
                <w:rFonts w:ascii="Times New Roman" w:hAnsi="Times New Roman" w:cs="Times New Roman"/>
                <w:color w:val="000000" w:themeColor="text1"/>
                <w:lang w:val="en-US"/>
              </w:rPr>
            </w:pPr>
            <w:r w:rsidRPr="002C5DE1">
              <w:rPr>
                <w:rFonts w:ascii="Times New Roman" w:hAnsi="Times New Roman" w:cs="Times New Roman"/>
                <w:color w:val="000000" w:themeColor="text1"/>
                <w:lang w:val="en-US"/>
              </w:rPr>
              <w:t>1953Q1–2007Q3</w:t>
            </w:r>
          </w:p>
        </w:tc>
        <w:tc>
          <w:tcPr>
            <w:tcW w:w="2409" w:type="dxa"/>
          </w:tcPr>
          <w:p w14:paraId="72E6CCD9" w14:textId="77777777" w:rsidR="00F70B9C" w:rsidRPr="002C5DE1" w:rsidRDefault="00F70B9C" w:rsidP="00035946">
            <w:pPr>
              <w:spacing w:line="276" w:lineRule="auto"/>
              <w:jc w:val="both"/>
              <w:rPr>
                <w:rFonts w:ascii="Times New Roman" w:hAnsi="Times New Roman" w:cs="Times New Roman"/>
                <w:color w:val="000000" w:themeColor="text1"/>
                <w:lang w:val="en-US"/>
              </w:rPr>
            </w:pPr>
            <w:r w:rsidRPr="002C5DE1">
              <w:rPr>
                <w:rFonts w:ascii="Times New Roman" w:hAnsi="Times New Roman" w:cs="Times New Roman"/>
                <w:color w:val="000000" w:themeColor="text1"/>
                <w:lang w:val="en-US"/>
              </w:rPr>
              <w:t>Asymmetric error correction model</w:t>
            </w:r>
          </w:p>
        </w:tc>
        <w:tc>
          <w:tcPr>
            <w:tcW w:w="3686" w:type="dxa"/>
          </w:tcPr>
          <w:p w14:paraId="1B4DA8FB" w14:textId="77777777" w:rsidR="00F70B9C" w:rsidRPr="002C5DE1" w:rsidRDefault="00F70B9C" w:rsidP="00035946">
            <w:pPr>
              <w:jc w:val="both"/>
              <w:rPr>
                <w:rFonts w:ascii="Times New Roman" w:hAnsi="Times New Roman" w:cs="Times New Roman"/>
                <w:color w:val="000000" w:themeColor="text1"/>
                <w:lang w:val="en-US"/>
              </w:rPr>
            </w:pPr>
            <w:r w:rsidRPr="002C5DE1">
              <w:rPr>
                <w:rFonts w:ascii="Times New Roman" w:hAnsi="Times New Roman" w:cs="Times New Roman"/>
                <w:color w:val="000000" w:themeColor="text1"/>
                <w:lang w:val="en-US"/>
              </w:rPr>
              <w:t>Private households have managed to considerably expand consumption as income and wealth have increased, but they have not reduced their expenditure in a symmetric fashion following income and wealth declines.</w:t>
            </w:r>
          </w:p>
        </w:tc>
      </w:tr>
      <w:tr w:rsidR="00F70B9C" w:rsidRPr="002C5DE1" w14:paraId="6D9F57ED" w14:textId="77777777" w:rsidTr="00035946">
        <w:tc>
          <w:tcPr>
            <w:tcW w:w="1413" w:type="dxa"/>
          </w:tcPr>
          <w:p w14:paraId="118D5A39" w14:textId="77777777" w:rsidR="00F70B9C" w:rsidRPr="002C5DE1" w:rsidRDefault="00F70B9C" w:rsidP="00035946">
            <w:pPr>
              <w:spacing w:line="276" w:lineRule="auto"/>
              <w:jc w:val="both"/>
              <w:rPr>
                <w:rFonts w:ascii="Times New Roman" w:hAnsi="Times New Roman" w:cs="Times New Roman"/>
                <w:color w:val="000000" w:themeColor="text1"/>
                <w:lang w:val="en-US"/>
              </w:rPr>
            </w:pPr>
            <w:r w:rsidRPr="002C5DE1">
              <w:rPr>
                <w:rFonts w:ascii="Times New Roman" w:hAnsi="Times New Roman" w:cs="Times New Roman"/>
                <w:color w:val="000000" w:themeColor="text1"/>
                <w:lang w:val="en-US"/>
              </w:rPr>
              <w:t>Chen et al. (2010)</w:t>
            </w:r>
          </w:p>
        </w:tc>
        <w:tc>
          <w:tcPr>
            <w:tcW w:w="1843" w:type="dxa"/>
          </w:tcPr>
          <w:p w14:paraId="76CB0828" w14:textId="77777777" w:rsidR="00F70B9C" w:rsidRPr="002C5DE1" w:rsidRDefault="00F70B9C" w:rsidP="00035946">
            <w:pPr>
              <w:spacing w:line="276" w:lineRule="auto"/>
              <w:jc w:val="both"/>
              <w:rPr>
                <w:rFonts w:ascii="Times New Roman" w:hAnsi="Times New Roman" w:cs="Times New Roman"/>
                <w:color w:val="000000" w:themeColor="text1"/>
                <w:lang w:val="en-US"/>
              </w:rPr>
            </w:pPr>
            <w:r w:rsidRPr="002C5DE1">
              <w:rPr>
                <w:rFonts w:ascii="Times New Roman" w:hAnsi="Times New Roman" w:cs="Times New Roman"/>
                <w:color w:val="000000" w:themeColor="text1"/>
                <w:lang w:val="en-US"/>
              </w:rPr>
              <w:t>Taiwan.</w:t>
            </w:r>
          </w:p>
          <w:p w14:paraId="6604E35C" w14:textId="77777777" w:rsidR="00F70B9C" w:rsidRPr="002C5DE1" w:rsidRDefault="00F70B9C" w:rsidP="00035946">
            <w:pPr>
              <w:spacing w:line="276" w:lineRule="auto"/>
              <w:jc w:val="both"/>
              <w:rPr>
                <w:rFonts w:ascii="Times New Roman" w:hAnsi="Times New Roman" w:cs="Times New Roman"/>
                <w:color w:val="000000" w:themeColor="text1"/>
                <w:lang w:val="en-US"/>
              </w:rPr>
            </w:pPr>
            <w:r w:rsidRPr="002C5DE1">
              <w:rPr>
                <w:rFonts w:ascii="Times New Roman" w:hAnsi="Times New Roman" w:cs="Times New Roman"/>
                <w:color w:val="000000" w:themeColor="text1"/>
                <w:lang w:val="en-US"/>
              </w:rPr>
              <w:t>1991Q3- 2007Q2</w:t>
            </w:r>
          </w:p>
        </w:tc>
        <w:tc>
          <w:tcPr>
            <w:tcW w:w="2409" w:type="dxa"/>
          </w:tcPr>
          <w:p w14:paraId="649331F0" w14:textId="77777777" w:rsidR="00F70B9C" w:rsidRPr="002C5DE1" w:rsidRDefault="00F70B9C" w:rsidP="00035946">
            <w:pPr>
              <w:spacing w:line="276" w:lineRule="auto"/>
              <w:jc w:val="both"/>
              <w:rPr>
                <w:rFonts w:ascii="Times New Roman" w:hAnsi="Times New Roman" w:cs="Times New Roman"/>
                <w:color w:val="000000" w:themeColor="text1"/>
                <w:lang w:val="en-US"/>
              </w:rPr>
            </w:pPr>
            <w:r w:rsidRPr="002C5DE1">
              <w:rPr>
                <w:rFonts w:ascii="Times New Roman" w:hAnsi="Times New Roman" w:cs="Times New Roman"/>
                <w:color w:val="000000" w:themeColor="text1"/>
                <w:lang w:val="en-US"/>
              </w:rPr>
              <w:t>Threshold regression model based on Caner and Hansen (2004) and seasonal error-correction model (ECM) based on Johansen and Schaumberg (1999)</w:t>
            </w:r>
          </w:p>
        </w:tc>
        <w:tc>
          <w:tcPr>
            <w:tcW w:w="3686" w:type="dxa"/>
          </w:tcPr>
          <w:p w14:paraId="7DEFA524" w14:textId="77777777" w:rsidR="00F70B9C" w:rsidRPr="002C5DE1" w:rsidRDefault="00F70B9C" w:rsidP="00035946">
            <w:pPr>
              <w:spacing w:line="276" w:lineRule="auto"/>
              <w:jc w:val="both"/>
              <w:rPr>
                <w:rFonts w:ascii="Times New Roman" w:hAnsi="Times New Roman" w:cs="Times New Roman"/>
                <w:color w:val="000000" w:themeColor="text1"/>
                <w:lang w:val="en-US"/>
              </w:rPr>
            </w:pPr>
            <w:r w:rsidRPr="002C5DE1">
              <w:rPr>
                <w:rFonts w:ascii="Times New Roman" w:hAnsi="Times New Roman" w:cs="Times New Roman"/>
                <w:color w:val="000000" w:themeColor="text1"/>
                <w:lang w:val="en-US"/>
              </w:rPr>
              <w:t>The response of durable consumption to real house prices is statistically significant in constrained regimes; however, the impact on non-durable consumption and total consumption is mostly insignificant.</w:t>
            </w:r>
          </w:p>
        </w:tc>
      </w:tr>
      <w:tr w:rsidR="00F70B9C" w:rsidRPr="002C5DE1" w14:paraId="6CB49319" w14:textId="77777777" w:rsidTr="00035946">
        <w:tc>
          <w:tcPr>
            <w:tcW w:w="1413" w:type="dxa"/>
          </w:tcPr>
          <w:p w14:paraId="14FD1710" w14:textId="77777777" w:rsidR="00F70B9C" w:rsidRPr="002C5DE1" w:rsidRDefault="00F70B9C" w:rsidP="00035946">
            <w:pPr>
              <w:spacing w:line="276" w:lineRule="auto"/>
              <w:jc w:val="both"/>
              <w:rPr>
                <w:rFonts w:ascii="Times New Roman" w:hAnsi="Times New Roman" w:cs="Times New Roman"/>
                <w:color w:val="000000" w:themeColor="text1"/>
                <w:lang w:val="en-US"/>
              </w:rPr>
            </w:pPr>
            <w:proofErr w:type="spellStart"/>
            <w:r w:rsidRPr="002C5DE1">
              <w:rPr>
                <w:rFonts w:ascii="Times New Roman" w:hAnsi="Times New Roman" w:cs="Times New Roman"/>
                <w:color w:val="000000" w:themeColor="text1"/>
                <w:lang w:val="en-US"/>
              </w:rPr>
              <w:t>Tobing</w:t>
            </w:r>
            <w:proofErr w:type="spellEnd"/>
            <w:r w:rsidRPr="002C5DE1">
              <w:rPr>
                <w:rFonts w:ascii="Times New Roman" w:hAnsi="Times New Roman" w:cs="Times New Roman"/>
                <w:color w:val="000000" w:themeColor="text1"/>
                <w:lang w:val="en-US"/>
              </w:rPr>
              <w:t xml:space="preserve"> (2012)</w:t>
            </w:r>
          </w:p>
        </w:tc>
        <w:tc>
          <w:tcPr>
            <w:tcW w:w="1843" w:type="dxa"/>
          </w:tcPr>
          <w:p w14:paraId="4C6A6CF2" w14:textId="77777777" w:rsidR="00F70B9C" w:rsidRPr="002C5DE1" w:rsidRDefault="00F70B9C" w:rsidP="00035946">
            <w:pPr>
              <w:spacing w:line="276" w:lineRule="auto"/>
              <w:jc w:val="both"/>
              <w:rPr>
                <w:rFonts w:ascii="Times New Roman" w:hAnsi="Times New Roman" w:cs="Times New Roman"/>
                <w:color w:val="000000" w:themeColor="text1"/>
                <w:lang w:val="en-US"/>
              </w:rPr>
            </w:pPr>
            <w:r w:rsidRPr="002C5DE1">
              <w:rPr>
                <w:rFonts w:ascii="Times New Roman" w:hAnsi="Times New Roman" w:cs="Times New Roman"/>
                <w:color w:val="000000" w:themeColor="text1"/>
                <w:lang w:val="en-US"/>
              </w:rPr>
              <w:t>United States. Panel Study of Income Dynamics (PSID)</w:t>
            </w:r>
          </w:p>
          <w:p w14:paraId="29E2593B" w14:textId="77777777" w:rsidR="00F70B9C" w:rsidRPr="002C5DE1" w:rsidRDefault="00F70B9C" w:rsidP="00035946">
            <w:pPr>
              <w:spacing w:line="276" w:lineRule="auto"/>
              <w:jc w:val="both"/>
              <w:rPr>
                <w:rFonts w:ascii="Times New Roman" w:hAnsi="Times New Roman" w:cs="Times New Roman"/>
                <w:color w:val="000000" w:themeColor="text1"/>
                <w:lang w:val="en-US"/>
              </w:rPr>
            </w:pPr>
            <w:r w:rsidRPr="002C5DE1">
              <w:rPr>
                <w:rFonts w:ascii="Times New Roman" w:hAnsi="Times New Roman" w:cs="Times New Roman"/>
                <w:color w:val="000000" w:themeColor="text1"/>
                <w:lang w:val="en-US"/>
              </w:rPr>
              <w:t>Dataset during the waves of 2001, 2003 and 2005.</w:t>
            </w:r>
          </w:p>
        </w:tc>
        <w:tc>
          <w:tcPr>
            <w:tcW w:w="2409" w:type="dxa"/>
          </w:tcPr>
          <w:p w14:paraId="6B85F3B0" w14:textId="77777777" w:rsidR="00F70B9C" w:rsidRPr="002C5DE1" w:rsidRDefault="00F70B9C" w:rsidP="00035946">
            <w:pPr>
              <w:spacing w:line="276" w:lineRule="auto"/>
              <w:jc w:val="both"/>
              <w:rPr>
                <w:rFonts w:ascii="Times New Roman" w:hAnsi="Times New Roman" w:cs="Times New Roman"/>
                <w:color w:val="000000" w:themeColor="text1"/>
                <w:lang w:val="en-US"/>
              </w:rPr>
            </w:pPr>
            <w:r w:rsidRPr="002C5DE1">
              <w:rPr>
                <w:rFonts w:ascii="Times New Roman" w:hAnsi="Times New Roman" w:cs="Times New Roman"/>
                <w:color w:val="000000" w:themeColor="text1"/>
                <w:lang w:val="en-US"/>
              </w:rPr>
              <w:t>Threshold regression model, Hansen (1999)</w:t>
            </w:r>
          </w:p>
        </w:tc>
        <w:tc>
          <w:tcPr>
            <w:tcW w:w="3686" w:type="dxa"/>
          </w:tcPr>
          <w:p w14:paraId="0CE29D2E" w14:textId="77777777" w:rsidR="00F70B9C" w:rsidRPr="002C5DE1" w:rsidRDefault="00F70B9C" w:rsidP="00035946">
            <w:pPr>
              <w:spacing w:line="276" w:lineRule="auto"/>
              <w:jc w:val="both"/>
              <w:rPr>
                <w:rFonts w:ascii="Times New Roman" w:hAnsi="Times New Roman" w:cs="Times New Roman"/>
                <w:color w:val="000000" w:themeColor="text1"/>
                <w:lang w:val="en-US"/>
              </w:rPr>
            </w:pPr>
            <w:r w:rsidRPr="002C5DE1">
              <w:rPr>
                <w:rFonts w:ascii="Times New Roman" w:hAnsi="Times New Roman" w:cs="Times New Roman"/>
                <w:color w:val="000000" w:themeColor="text1"/>
                <w:lang w:val="en-US"/>
              </w:rPr>
              <w:t>There are three significant threshold age groups of 49, 55 and 65. If age is below 49 or between 55-65 years, the housing wealth effect is insignificant.</w:t>
            </w:r>
          </w:p>
        </w:tc>
      </w:tr>
      <w:tr w:rsidR="00F70B9C" w:rsidRPr="002C5DE1" w14:paraId="346257A2" w14:textId="77777777" w:rsidTr="00035946">
        <w:tc>
          <w:tcPr>
            <w:tcW w:w="1413" w:type="dxa"/>
          </w:tcPr>
          <w:p w14:paraId="667C186C" w14:textId="77777777" w:rsidR="00F70B9C" w:rsidRPr="002C5DE1" w:rsidRDefault="00F70B9C" w:rsidP="00035946">
            <w:pPr>
              <w:spacing w:line="276" w:lineRule="auto"/>
              <w:jc w:val="both"/>
              <w:rPr>
                <w:rFonts w:ascii="Times New Roman" w:hAnsi="Times New Roman" w:cs="Times New Roman"/>
                <w:color w:val="000000" w:themeColor="text1"/>
                <w:lang w:val="en-US"/>
              </w:rPr>
            </w:pPr>
            <w:proofErr w:type="spellStart"/>
            <w:r w:rsidRPr="002C5DE1">
              <w:rPr>
                <w:rFonts w:ascii="Times New Roman" w:hAnsi="Times New Roman" w:cs="Times New Roman"/>
                <w:color w:val="000000" w:themeColor="text1"/>
                <w:sz w:val="24"/>
                <w:szCs w:val="24"/>
                <w:lang w:val="en-US"/>
              </w:rPr>
              <w:t>Šonje</w:t>
            </w:r>
            <w:proofErr w:type="spellEnd"/>
            <w:r w:rsidRPr="002C5DE1">
              <w:rPr>
                <w:rFonts w:ascii="Times New Roman" w:hAnsi="Times New Roman" w:cs="Times New Roman"/>
                <w:color w:val="000000" w:themeColor="text1"/>
                <w:lang w:val="en-US"/>
              </w:rPr>
              <w:t xml:space="preserve"> et al., (2012)</w:t>
            </w:r>
          </w:p>
        </w:tc>
        <w:tc>
          <w:tcPr>
            <w:tcW w:w="1843" w:type="dxa"/>
          </w:tcPr>
          <w:p w14:paraId="41C1C844" w14:textId="77777777" w:rsidR="00F70B9C" w:rsidRPr="002C5DE1" w:rsidRDefault="00F70B9C" w:rsidP="00035946">
            <w:pPr>
              <w:spacing w:line="276" w:lineRule="auto"/>
              <w:jc w:val="both"/>
              <w:rPr>
                <w:rFonts w:ascii="Times New Roman" w:hAnsi="Times New Roman" w:cs="Times New Roman"/>
                <w:color w:val="000000" w:themeColor="text1"/>
                <w:lang w:val="en-US"/>
              </w:rPr>
            </w:pPr>
            <w:r w:rsidRPr="002C5DE1">
              <w:rPr>
                <w:rFonts w:ascii="Times New Roman" w:hAnsi="Times New Roman" w:cs="Times New Roman"/>
                <w:color w:val="000000" w:themeColor="text1"/>
                <w:lang w:val="en-US"/>
              </w:rPr>
              <w:t>Bulgaria, the Czech Republic, Croatia and Estonia.</w:t>
            </w:r>
          </w:p>
          <w:p w14:paraId="422CBB29" w14:textId="77777777" w:rsidR="00F70B9C" w:rsidRPr="002C5DE1" w:rsidRDefault="00F70B9C" w:rsidP="00035946">
            <w:pPr>
              <w:spacing w:line="276" w:lineRule="auto"/>
              <w:jc w:val="both"/>
              <w:rPr>
                <w:rFonts w:ascii="Times New Roman" w:hAnsi="Times New Roman" w:cs="Times New Roman"/>
                <w:color w:val="000000" w:themeColor="text1"/>
                <w:lang w:val="en-US"/>
              </w:rPr>
            </w:pPr>
            <w:r w:rsidRPr="002C5DE1">
              <w:rPr>
                <w:rFonts w:ascii="Times New Roman" w:hAnsi="Times New Roman" w:cs="Times New Roman"/>
                <w:color w:val="000000" w:themeColor="text1"/>
                <w:lang w:val="en-US"/>
              </w:rPr>
              <w:t>1997Q1-2010Q1</w:t>
            </w:r>
          </w:p>
        </w:tc>
        <w:tc>
          <w:tcPr>
            <w:tcW w:w="2409" w:type="dxa"/>
          </w:tcPr>
          <w:p w14:paraId="4914E14C" w14:textId="77777777" w:rsidR="00F70B9C" w:rsidRPr="002C5DE1" w:rsidRDefault="00F70B9C" w:rsidP="00035946">
            <w:pPr>
              <w:spacing w:line="276" w:lineRule="auto"/>
              <w:jc w:val="both"/>
              <w:rPr>
                <w:rFonts w:ascii="Times New Roman" w:hAnsi="Times New Roman" w:cs="Times New Roman"/>
                <w:color w:val="000000" w:themeColor="text1"/>
                <w:lang w:val="en-US"/>
              </w:rPr>
            </w:pPr>
            <w:r w:rsidRPr="002C5DE1">
              <w:rPr>
                <w:rFonts w:ascii="Times New Roman" w:hAnsi="Times New Roman" w:cs="Times New Roman"/>
                <w:color w:val="000000" w:themeColor="text1"/>
                <w:lang w:val="en-US"/>
              </w:rPr>
              <w:t>Vector error correction and threshold error correction models</w:t>
            </w:r>
          </w:p>
        </w:tc>
        <w:tc>
          <w:tcPr>
            <w:tcW w:w="3686" w:type="dxa"/>
          </w:tcPr>
          <w:p w14:paraId="4113EC70" w14:textId="77777777" w:rsidR="00F70B9C" w:rsidRPr="002C5DE1" w:rsidRDefault="00F70B9C" w:rsidP="00035946">
            <w:pPr>
              <w:spacing w:line="276" w:lineRule="auto"/>
              <w:jc w:val="both"/>
              <w:rPr>
                <w:rFonts w:ascii="Times New Roman" w:hAnsi="Times New Roman" w:cs="Times New Roman"/>
                <w:color w:val="000000" w:themeColor="text1"/>
                <w:lang w:val="en-US"/>
              </w:rPr>
            </w:pPr>
            <w:r w:rsidRPr="002C5DE1">
              <w:rPr>
                <w:rFonts w:ascii="Times New Roman" w:hAnsi="Times New Roman" w:cs="Times New Roman"/>
                <w:color w:val="000000" w:themeColor="text1"/>
                <w:lang w:val="en-US"/>
              </w:rPr>
              <w:t xml:space="preserve">The response of private consumption to changes in income and housing wealth is </w:t>
            </w:r>
            <w:r w:rsidR="00700218" w:rsidRPr="002C5DE1">
              <w:rPr>
                <w:rFonts w:ascii="Times New Roman" w:hAnsi="Times New Roman" w:cs="Times New Roman"/>
                <w:color w:val="000000" w:themeColor="text1"/>
                <w:lang w:val="en-US"/>
              </w:rPr>
              <w:t>characterized</w:t>
            </w:r>
            <w:r w:rsidRPr="002C5DE1">
              <w:rPr>
                <w:rFonts w:ascii="Times New Roman" w:hAnsi="Times New Roman" w:cs="Times New Roman"/>
                <w:color w:val="000000" w:themeColor="text1"/>
                <w:lang w:val="en-US"/>
              </w:rPr>
              <w:t xml:space="preserve"> by non-linear properties.</w:t>
            </w:r>
          </w:p>
        </w:tc>
      </w:tr>
      <w:tr w:rsidR="00F70B9C" w:rsidRPr="002C5DE1" w14:paraId="2AE9E539" w14:textId="77777777" w:rsidTr="00035946">
        <w:tc>
          <w:tcPr>
            <w:tcW w:w="1413" w:type="dxa"/>
          </w:tcPr>
          <w:p w14:paraId="3BC8BE9D" w14:textId="77777777" w:rsidR="00F70B9C" w:rsidRPr="002C5DE1" w:rsidRDefault="00F70B9C" w:rsidP="00035946">
            <w:pPr>
              <w:spacing w:line="276" w:lineRule="auto"/>
              <w:jc w:val="both"/>
              <w:rPr>
                <w:rFonts w:ascii="Times New Roman" w:hAnsi="Times New Roman" w:cs="Times New Roman"/>
                <w:color w:val="000000" w:themeColor="text1"/>
                <w:lang w:val="en-US"/>
              </w:rPr>
            </w:pPr>
            <w:r w:rsidRPr="002C5DE1">
              <w:rPr>
                <w:rFonts w:ascii="Times New Roman" w:hAnsi="Times New Roman" w:cs="Times New Roman"/>
                <w:color w:val="000000" w:themeColor="text1"/>
                <w:lang w:val="en-US"/>
              </w:rPr>
              <w:t>Marquez et al., (2013)</w:t>
            </w:r>
          </w:p>
        </w:tc>
        <w:tc>
          <w:tcPr>
            <w:tcW w:w="1843" w:type="dxa"/>
          </w:tcPr>
          <w:p w14:paraId="1F4561EE" w14:textId="77777777" w:rsidR="00F70B9C" w:rsidRPr="002C5DE1" w:rsidRDefault="00F70B9C" w:rsidP="00035946">
            <w:pPr>
              <w:spacing w:line="276" w:lineRule="auto"/>
              <w:jc w:val="both"/>
              <w:rPr>
                <w:rFonts w:ascii="Times New Roman" w:hAnsi="Times New Roman" w:cs="Times New Roman"/>
                <w:color w:val="000000" w:themeColor="text1"/>
                <w:lang w:val="en-US"/>
              </w:rPr>
            </w:pPr>
            <w:r w:rsidRPr="002C5DE1">
              <w:rPr>
                <w:rFonts w:ascii="Times New Roman" w:hAnsi="Times New Roman" w:cs="Times New Roman"/>
                <w:color w:val="000000" w:themeColor="text1"/>
                <w:lang w:val="en-US"/>
              </w:rPr>
              <w:t>United Kingdom.</w:t>
            </w:r>
          </w:p>
          <w:p w14:paraId="43CAB995" w14:textId="77777777" w:rsidR="00F70B9C" w:rsidRPr="002C5DE1" w:rsidRDefault="00F70B9C" w:rsidP="00035946">
            <w:pPr>
              <w:spacing w:line="276" w:lineRule="auto"/>
              <w:jc w:val="both"/>
              <w:rPr>
                <w:rFonts w:ascii="Times New Roman" w:hAnsi="Times New Roman" w:cs="Times New Roman"/>
                <w:color w:val="000000" w:themeColor="text1"/>
                <w:lang w:val="en-US"/>
              </w:rPr>
            </w:pPr>
            <w:r w:rsidRPr="002C5DE1">
              <w:rPr>
                <w:rFonts w:ascii="Times New Roman" w:hAnsi="Times New Roman" w:cs="Times New Roman"/>
                <w:color w:val="000000" w:themeColor="text1"/>
                <w:lang w:val="en-US"/>
              </w:rPr>
              <w:t>1976:Q1-2009:Q4</w:t>
            </w:r>
          </w:p>
        </w:tc>
        <w:tc>
          <w:tcPr>
            <w:tcW w:w="2409" w:type="dxa"/>
          </w:tcPr>
          <w:p w14:paraId="533E65F7" w14:textId="77777777" w:rsidR="00F70B9C" w:rsidRPr="002C5DE1" w:rsidRDefault="00F70B9C" w:rsidP="00035946">
            <w:pPr>
              <w:spacing w:line="276" w:lineRule="auto"/>
              <w:jc w:val="both"/>
              <w:rPr>
                <w:rFonts w:ascii="Times New Roman" w:hAnsi="Times New Roman" w:cs="Times New Roman"/>
                <w:color w:val="000000" w:themeColor="text1"/>
                <w:lang w:val="en-US"/>
              </w:rPr>
            </w:pPr>
            <w:r w:rsidRPr="002C5DE1">
              <w:rPr>
                <w:rFonts w:ascii="Times New Roman" w:hAnsi="Times New Roman" w:cs="Times New Roman"/>
                <w:color w:val="000000" w:themeColor="text1"/>
                <w:lang w:val="en-US"/>
              </w:rPr>
              <w:t xml:space="preserve">M-TAR methodology, (Enders and </w:t>
            </w:r>
            <w:proofErr w:type="spellStart"/>
            <w:r w:rsidRPr="002C5DE1">
              <w:rPr>
                <w:rFonts w:ascii="Times New Roman" w:hAnsi="Times New Roman" w:cs="Times New Roman"/>
                <w:color w:val="000000" w:themeColor="text1"/>
                <w:lang w:val="en-US"/>
              </w:rPr>
              <w:t>Siklos</w:t>
            </w:r>
            <w:proofErr w:type="spellEnd"/>
            <w:r w:rsidRPr="002C5DE1">
              <w:rPr>
                <w:rFonts w:ascii="Times New Roman" w:hAnsi="Times New Roman" w:cs="Times New Roman"/>
                <w:color w:val="000000" w:themeColor="text1"/>
                <w:lang w:val="en-US"/>
              </w:rPr>
              <w:t xml:space="preserve">, 2001; </w:t>
            </w:r>
            <w:proofErr w:type="spellStart"/>
            <w:r w:rsidRPr="002C5DE1">
              <w:rPr>
                <w:rFonts w:ascii="Times New Roman" w:hAnsi="Times New Roman" w:cs="Times New Roman"/>
                <w:color w:val="000000" w:themeColor="text1"/>
                <w:lang w:val="en-US"/>
              </w:rPr>
              <w:t>Stevans</w:t>
            </w:r>
            <w:proofErr w:type="spellEnd"/>
            <w:r w:rsidRPr="002C5DE1">
              <w:rPr>
                <w:rFonts w:ascii="Times New Roman" w:hAnsi="Times New Roman" w:cs="Times New Roman"/>
                <w:color w:val="000000" w:themeColor="text1"/>
                <w:lang w:val="en-US"/>
              </w:rPr>
              <w:t>, 2004)</w:t>
            </w:r>
          </w:p>
        </w:tc>
        <w:tc>
          <w:tcPr>
            <w:tcW w:w="3686" w:type="dxa"/>
          </w:tcPr>
          <w:p w14:paraId="1BDA9098" w14:textId="77777777" w:rsidR="00F70B9C" w:rsidRPr="002C5DE1" w:rsidRDefault="00F70B9C" w:rsidP="00035946">
            <w:pPr>
              <w:spacing w:line="276" w:lineRule="auto"/>
              <w:jc w:val="both"/>
              <w:rPr>
                <w:rFonts w:ascii="Times New Roman" w:hAnsi="Times New Roman" w:cs="Times New Roman"/>
                <w:color w:val="000000" w:themeColor="text1"/>
                <w:lang w:val="en-US"/>
              </w:rPr>
            </w:pPr>
            <w:r w:rsidRPr="002C5DE1">
              <w:rPr>
                <w:rFonts w:ascii="Times New Roman" w:hAnsi="Times New Roman" w:cs="Times New Roman"/>
                <w:color w:val="000000" w:themeColor="text1"/>
                <w:lang w:val="en-US"/>
              </w:rPr>
              <w:t>UK consumption responses to wealth shocks is asymmetric.</w:t>
            </w:r>
          </w:p>
        </w:tc>
      </w:tr>
      <w:tr w:rsidR="00F70B9C" w:rsidRPr="002C5DE1" w14:paraId="2A842A4F" w14:textId="77777777" w:rsidTr="00035946">
        <w:tc>
          <w:tcPr>
            <w:tcW w:w="1413" w:type="dxa"/>
          </w:tcPr>
          <w:p w14:paraId="6A0B728D" w14:textId="77777777" w:rsidR="00F70B9C" w:rsidRPr="002C5DE1" w:rsidRDefault="00F70B9C" w:rsidP="00035946">
            <w:pPr>
              <w:spacing w:line="276" w:lineRule="auto"/>
              <w:jc w:val="both"/>
              <w:rPr>
                <w:rFonts w:ascii="Times New Roman" w:hAnsi="Times New Roman" w:cs="Times New Roman"/>
                <w:color w:val="000000" w:themeColor="text1"/>
                <w:lang w:val="en-US"/>
              </w:rPr>
            </w:pPr>
            <w:r w:rsidRPr="002C5DE1">
              <w:rPr>
                <w:rFonts w:ascii="Times New Roman" w:hAnsi="Times New Roman" w:cs="Times New Roman"/>
                <w:color w:val="000000" w:themeColor="text1"/>
                <w:lang w:val="en-US"/>
              </w:rPr>
              <w:t>Khalifa et al., (2013)</w:t>
            </w:r>
          </w:p>
        </w:tc>
        <w:tc>
          <w:tcPr>
            <w:tcW w:w="1843" w:type="dxa"/>
          </w:tcPr>
          <w:p w14:paraId="543689ED" w14:textId="77777777" w:rsidR="00F70B9C" w:rsidRPr="002C5DE1" w:rsidRDefault="00F70B9C" w:rsidP="00035946">
            <w:pPr>
              <w:spacing w:line="276" w:lineRule="auto"/>
              <w:jc w:val="both"/>
              <w:rPr>
                <w:rFonts w:ascii="Times New Roman" w:hAnsi="Times New Roman" w:cs="Times New Roman"/>
                <w:color w:val="000000" w:themeColor="text1"/>
                <w:lang w:val="en-US"/>
              </w:rPr>
            </w:pPr>
            <w:r w:rsidRPr="002C5DE1">
              <w:rPr>
                <w:rFonts w:ascii="Times New Roman" w:hAnsi="Times New Roman" w:cs="Times New Roman"/>
                <w:color w:val="000000" w:themeColor="text1"/>
                <w:lang w:val="en-US"/>
              </w:rPr>
              <w:t>United States. Panel Study of Income Dynamics (PSID)</w:t>
            </w:r>
          </w:p>
          <w:p w14:paraId="4B5628DB" w14:textId="77777777" w:rsidR="00F70B9C" w:rsidRPr="002C5DE1" w:rsidRDefault="00F70B9C" w:rsidP="00035946">
            <w:pPr>
              <w:spacing w:line="276" w:lineRule="auto"/>
              <w:jc w:val="both"/>
              <w:rPr>
                <w:rFonts w:ascii="Times New Roman" w:hAnsi="Times New Roman" w:cs="Times New Roman"/>
                <w:color w:val="000000" w:themeColor="text1"/>
                <w:lang w:val="en-US"/>
              </w:rPr>
            </w:pPr>
            <w:r w:rsidRPr="002C5DE1">
              <w:rPr>
                <w:rFonts w:ascii="Times New Roman" w:hAnsi="Times New Roman" w:cs="Times New Roman"/>
                <w:color w:val="000000" w:themeColor="text1"/>
                <w:lang w:val="en-US"/>
              </w:rPr>
              <w:t>Dataset during the waves of 2001, 2003 and 2005.</w:t>
            </w:r>
          </w:p>
        </w:tc>
        <w:tc>
          <w:tcPr>
            <w:tcW w:w="2409" w:type="dxa"/>
          </w:tcPr>
          <w:p w14:paraId="436A38A5" w14:textId="77777777" w:rsidR="00F70B9C" w:rsidRPr="002C5DE1" w:rsidRDefault="00F70B9C" w:rsidP="00035946">
            <w:pPr>
              <w:spacing w:line="276" w:lineRule="auto"/>
              <w:jc w:val="both"/>
              <w:rPr>
                <w:rFonts w:ascii="Times New Roman" w:hAnsi="Times New Roman" w:cs="Times New Roman"/>
                <w:color w:val="000000" w:themeColor="text1"/>
                <w:lang w:val="en-US"/>
              </w:rPr>
            </w:pPr>
            <w:r w:rsidRPr="002C5DE1">
              <w:rPr>
                <w:rFonts w:ascii="Times New Roman" w:hAnsi="Times New Roman" w:cs="Times New Roman"/>
                <w:color w:val="000000" w:themeColor="text1"/>
                <w:lang w:val="en-US"/>
              </w:rPr>
              <w:t>Threshold regression model, Hansen (1999)</w:t>
            </w:r>
          </w:p>
        </w:tc>
        <w:tc>
          <w:tcPr>
            <w:tcW w:w="3686" w:type="dxa"/>
          </w:tcPr>
          <w:p w14:paraId="5D0BD8AC" w14:textId="77777777" w:rsidR="00F70B9C" w:rsidRPr="002C5DE1" w:rsidRDefault="00F70B9C" w:rsidP="00035946">
            <w:pPr>
              <w:spacing w:line="276" w:lineRule="auto"/>
              <w:jc w:val="both"/>
              <w:rPr>
                <w:rFonts w:ascii="Times New Roman" w:hAnsi="Times New Roman" w:cs="Times New Roman"/>
                <w:color w:val="000000" w:themeColor="text1"/>
                <w:lang w:val="en-US"/>
              </w:rPr>
            </w:pPr>
            <w:r w:rsidRPr="002C5DE1">
              <w:rPr>
                <w:rFonts w:ascii="Times New Roman" w:hAnsi="Times New Roman" w:cs="Times New Roman"/>
                <w:color w:val="000000" w:themeColor="text1"/>
                <w:lang w:val="en-US"/>
              </w:rPr>
              <w:t>There are two significant threshold income levels of $74,046 and $501,000. Housing wealth effect is significant if income is below $74,046 or between $74,046 and $501,000. For incomes above $501,000 the coefficient is not statistically significant.</w:t>
            </w:r>
          </w:p>
        </w:tc>
      </w:tr>
      <w:tr w:rsidR="00F70B9C" w:rsidRPr="002C5DE1" w14:paraId="36CC2764" w14:textId="77777777" w:rsidTr="00035946">
        <w:tc>
          <w:tcPr>
            <w:tcW w:w="1413" w:type="dxa"/>
          </w:tcPr>
          <w:p w14:paraId="2B57DACA" w14:textId="77777777" w:rsidR="00F70B9C" w:rsidRPr="002C5DE1" w:rsidRDefault="00F70B9C" w:rsidP="00035946">
            <w:pPr>
              <w:spacing w:line="276" w:lineRule="auto"/>
              <w:jc w:val="both"/>
              <w:rPr>
                <w:rFonts w:ascii="Times New Roman" w:hAnsi="Times New Roman" w:cs="Times New Roman"/>
                <w:color w:val="000000" w:themeColor="text1"/>
                <w:lang w:val="en-US"/>
              </w:rPr>
            </w:pPr>
            <w:r w:rsidRPr="002C5DE1">
              <w:rPr>
                <w:rFonts w:ascii="Times New Roman" w:hAnsi="Times New Roman" w:cs="Times New Roman"/>
                <w:color w:val="000000" w:themeColor="text1"/>
                <w:lang w:val="en-US"/>
              </w:rPr>
              <w:lastRenderedPageBreak/>
              <w:t>Dong et al., (2017)</w:t>
            </w:r>
          </w:p>
        </w:tc>
        <w:tc>
          <w:tcPr>
            <w:tcW w:w="1843" w:type="dxa"/>
          </w:tcPr>
          <w:p w14:paraId="647132CD" w14:textId="77777777" w:rsidR="00F70B9C" w:rsidRPr="002C5DE1" w:rsidRDefault="00F70B9C" w:rsidP="00035946">
            <w:pPr>
              <w:spacing w:line="276" w:lineRule="auto"/>
              <w:jc w:val="both"/>
              <w:rPr>
                <w:rFonts w:ascii="Times New Roman" w:hAnsi="Times New Roman" w:cs="Times New Roman"/>
                <w:color w:val="000000" w:themeColor="text1"/>
                <w:lang w:val="en-US"/>
              </w:rPr>
            </w:pPr>
            <w:r w:rsidRPr="002C5DE1">
              <w:rPr>
                <w:rFonts w:ascii="Times New Roman" w:hAnsi="Times New Roman" w:cs="Times New Roman"/>
                <w:color w:val="000000" w:themeColor="text1"/>
                <w:lang w:val="en-US"/>
              </w:rPr>
              <w:t>35 major Chinese cities. 2003-2014.</w:t>
            </w:r>
          </w:p>
        </w:tc>
        <w:tc>
          <w:tcPr>
            <w:tcW w:w="2409" w:type="dxa"/>
          </w:tcPr>
          <w:p w14:paraId="65B6BDE2" w14:textId="77777777" w:rsidR="00F70B9C" w:rsidRPr="002C5DE1" w:rsidRDefault="00F70B9C" w:rsidP="00035946">
            <w:pPr>
              <w:spacing w:line="276" w:lineRule="auto"/>
              <w:jc w:val="both"/>
              <w:rPr>
                <w:rFonts w:ascii="Times New Roman" w:hAnsi="Times New Roman" w:cs="Times New Roman"/>
                <w:color w:val="000000" w:themeColor="text1"/>
                <w:lang w:val="en-US"/>
              </w:rPr>
            </w:pPr>
            <w:r w:rsidRPr="002C5DE1">
              <w:rPr>
                <w:rFonts w:ascii="Times New Roman" w:hAnsi="Times New Roman" w:cs="Times New Roman"/>
                <w:color w:val="000000" w:themeColor="text1"/>
                <w:lang w:val="en-US"/>
              </w:rPr>
              <w:t>Threshold regression model, Hansen (1999)</w:t>
            </w:r>
          </w:p>
        </w:tc>
        <w:tc>
          <w:tcPr>
            <w:tcW w:w="3686" w:type="dxa"/>
          </w:tcPr>
          <w:p w14:paraId="2E9F7805" w14:textId="77777777" w:rsidR="00F70B9C" w:rsidRPr="002C5DE1" w:rsidRDefault="00F70B9C" w:rsidP="00035946">
            <w:pPr>
              <w:spacing w:line="276" w:lineRule="auto"/>
              <w:jc w:val="both"/>
              <w:rPr>
                <w:rFonts w:ascii="Times New Roman" w:hAnsi="Times New Roman" w:cs="Times New Roman"/>
                <w:color w:val="000000" w:themeColor="text1"/>
                <w:lang w:val="en-US"/>
              </w:rPr>
            </w:pPr>
            <w:r w:rsidRPr="002C5DE1">
              <w:rPr>
                <w:rFonts w:ascii="Times New Roman" w:hAnsi="Times New Roman" w:cs="Times New Roman"/>
                <w:color w:val="000000" w:themeColor="text1"/>
                <w:lang w:val="en-US"/>
              </w:rPr>
              <w:t>The results imply that the housing market is highly important to the association between housing prices and consumption. The findings also confirm the vital role of the financial market in the transmission channels from housing wealth to consumption.</w:t>
            </w:r>
          </w:p>
        </w:tc>
      </w:tr>
      <w:tr w:rsidR="00F70B9C" w:rsidRPr="002C5DE1" w14:paraId="36565F4D" w14:textId="77777777" w:rsidTr="00035946">
        <w:tc>
          <w:tcPr>
            <w:tcW w:w="1413" w:type="dxa"/>
          </w:tcPr>
          <w:p w14:paraId="510FFD6C" w14:textId="77777777" w:rsidR="00F70B9C" w:rsidRPr="002C5DE1" w:rsidRDefault="00F70B9C" w:rsidP="00035946">
            <w:pPr>
              <w:spacing w:line="276" w:lineRule="auto"/>
              <w:jc w:val="both"/>
              <w:rPr>
                <w:rFonts w:ascii="Times New Roman" w:hAnsi="Times New Roman" w:cs="Times New Roman"/>
                <w:color w:val="000000" w:themeColor="text1"/>
                <w:lang w:val="en-US"/>
              </w:rPr>
            </w:pPr>
            <w:r w:rsidRPr="002C5DE1">
              <w:rPr>
                <w:rFonts w:ascii="Times New Roman" w:hAnsi="Times New Roman" w:cs="Times New Roman"/>
                <w:color w:val="000000" w:themeColor="text1"/>
                <w:lang w:val="en-US"/>
              </w:rPr>
              <w:t>Hui et al., (2018)</w:t>
            </w:r>
          </w:p>
        </w:tc>
        <w:tc>
          <w:tcPr>
            <w:tcW w:w="1843" w:type="dxa"/>
          </w:tcPr>
          <w:p w14:paraId="6D79E6C2" w14:textId="77777777" w:rsidR="00F70B9C" w:rsidRPr="002C5DE1" w:rsidRDefault="00F70B9C" w:rsidP="00035946">
            <w:pPr>
              <w:spacing w:line="276" w:lineRule="auto"/>
              <w:jc w:val="both"/>
              <w:rPr>
                <w:rFonts w:ascii="Times New Roman" w:hAnsi="Times New Roman" w:cs="Times New Roman"/>
                <w:color w:val="000000" w:themeColor="text1"/>
                <w:lang w:val="en-US"/>
              </w:rPr>
            </w:pPr>
            <w:r w:rsidRPr="002C5DE1">
              <w:rPr>
                <w:rFonts w:ascii="Times New Roman" w:hAnsi="Times New Roman" w:cs="Times New Roman"/>
                <w:color w:val="000000" w:themeColor="text1"/>
                <w:lang w:val="en-US"/>
              </w:rPr>
              <w:t>China Family Panel Studies (CFPS), 2010, 2012, 2014</w:t>
            </w:r>
          </w:p>
        </w:tc>
        <w:tc>
          <w:tcPr>
            <w:tcW w:w="2409" w:type="dxa"/>
          </w:tcPr>
          <w:p w14:paraId="78968819" w14:textId="77777777" w:rsidR="00F70B9C" w:rsidRPr="002C5DE1" w:rsidRDefault="00F70B9C" w:rsidP="00035946">
            <w:pPr>
              <w:spacing w:line="276" w:lineRule="auto"/>
              <w:jc w:val="both"/>
              <w:rPr>
                <w:rFonts w:ascii="Times New Roman" w:hAnsi="Times New Roman" w:cs="Times New Roman"/>
                <w:color w:val="000000" w:themeColor="text1"/>
                <w:lang w:val="en-US"/>
              </w:rPr>
            </w:pPr>
            <w:r w:rsidRPr="002C5DE1">
              <w:rPr>
                <w:rFonts w:ascii="Times New Roman" w:hAnsi="Times New Roman" w:cs="Times New Roman"/>
                <w:color w:val="000000" w:themeColor="text1"/>
                <w:lang w:val="en-US"/>
              </w:rPr>
              <w:t>Quantile regression for panel data (QRPD)</w:t>
            </w:r>
          </w:p>
        </w:tc>
        <w:tc>
          <w:tcPr>
            <w:tcW w:w="3686" w:type="dxa"/>
          </w:tcPr>
          <w:p w14:paraId="41F02F60" w14:textId="77777777" w:rsidR="00F70B9C" w:rsidRPr="002C5DE1" w:rsidRDefault="00F70B9C" w:rsidP="00035946">
            <w:pPr>
              <w:spacing w:line="276" w:lineRule="auto"/>
              <w:jc w:val="both"/>
              <w:rPr>
                <w:rFonts w:ascii="Times New Roman" w:hAnsi="Times New Roman" w:cs="Times New Roman"/>
                <w:color w:val="000000" w:themeColor="text1"/>
                <w:lang w:val="en-US"/>
              </w:rPr>
            </w:pPr>
            <w:r w:rsidRPr="002C5DE1">
              <w:rPr>
                <w:rFonts w:ascii="Times New Roman" w:hAnsi="Times New Roman" w:cs="Times New Roman"/>
                <w:color w:val="000000" w:themeColor="text1"/>
                <w:lang w:val="en-US"/>
              </w:rPr>
              <w:t>The evidence shows that housing prices and sentiments have significantly heterogeneous effects on the distribution of the consumption across different groups of households.</w:t>
            </w:r>
          </w:p>
        </w:tc>
      </w:tr>
    </w:tbl>
    <w:p w14:paraId="2A92D641" w14:textId="77777777" w:rsidR="00F70B9C" w:rsidRPr="002C5DE1" w:rsidRDefault="00F70B9C" w:rsidP="00F70B9C">
      <w:pPr>
        <w:rPr>
          <w:color w:val="000000" w:themeColor="text1"/>
          <w:lang w:val="en-US"/>
        </w:rPr>
      </w:pPr>
    </w:p>
    <w:p w14:paraId="5E3247D0" w14:textId="77777777" w:rsidR="00C9589E" w:rsidRPr="002C5DE1" w:rsidRDefault="00C9589E" w:rsidP="00F70B9C">
      <w:pPr>
        <w:spacing w:after="0" w:line="240" w:lineRule="auto"/>
        <w:rPr>
          <w:rFonts w:ascii="Times New Roman" w:hAnsi="Times New Roman" w:cs="Times New Roman"/>
          <w:b/>
          <w:color w:val="000000" w:themeColor="text1"/>
          <w:sz w:val="24"/>
          <w:szCs w:val="24"/>
          <w:lang w:val="en-US"/>
        </w:rPr>
      </w:pPr>
    </w:p>
    <w:p w14:paraId="49F9EC59" w14:textId="77777777" w:rsidR="00F70B9C" w:rsidRPr="002C5DE1" w:rsidRDefault="00F70B9C" w:rsidP="00F70B9C">
      <w:pPr>
        <w:spacing w:after="0" w:line="240" w:lineRule="auto"/>
        <w:rPr>
          <w:rFonts w:ascii="Times New Roman" w:hAnsi="Times New Roman" w:cs="Times New Roman"/>
          <w:b/>
          <w:color w:val="000000" w:themeColor="text1"/>
          <w:sz w:val="24"/>
          <w:szCs w:val="24"/>
          <w:lang w:val="en-US"/>
        </w:rPr>
      </w:pPr>
      <w:r w:rsidRPr="002C5DE1">
        <w:rPr>
          <w:rFonts w:ascii="Times New Roman" w:hAnsi="Times New Roman" w:cs="Times New Roman"/>
          <w:b/>
          <w:color w:val="000000" w:themeColor="text1"/>
          <w:sz w:val="24"/>
          <w:szCs w:val="24"/>
          <w:lang w:val="en-US"/>
        </w:rPr>
        <w:t>Table 2. Summary statistics</w:t>
      </w:r>
    </w:p>
    <w:p w14:paraId="13ED00DB" w14:textId="77777777" w:rsidR="00F70B9C" w:rsidRPr="002C5DE1" w:rsidRDefault="00F70B9C" w:rsidP="00F70B9C">
      <w:pPr>
        <w:spacing w:after="0" w:line="240" w:lineRule="auto"/>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___________________________________________________________________________</w:t>
      </w:r>
    </w:p>
    <w:p w14:paraId="064681F7" w14:textId="77777777" w:rsidR="00F70B9C" w:rsidRPr="002C5DE1" w:rsidRDefault="00F70B9C" w:rsidP="00F70B9C">
      <w:pPr>
        <w:pBdr>
          <w:bottom w:val="single" w:sz="6" w:space="1" w:color="auto"/>
        </w:pBdr>
        <w:spacing w:after="0" w:line="240" w:lineRule="auto"/>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Variables</w:t>
      </w:r>
      <w:r w:rsidRPr="002C5DE1">
        <w:rPr>
          <w:rFonts w:ascii="Times New Roman" w:hAnsi="Times New Roman" w:cs="Times New Roman"/>
          <w:color w:val="000000" w:themeColor="text1"/>
          <w:sz w:val="24"/>
          <w:szCs w:val="24"/>
          <w:lang w:val="en-US"/>
        </w:rPr>
        <w:tab/>
      </w:r>
      <w:r w:rsidRPr="002C5DE1">
        <w:rPr>
          <w:rFonts w:ascii="Times New Roman" w:hAnsi="Times New Roman" w:cs="Times New Roman"/>
          <w:color w:val="000000" w:themeColor="text1"/>
          <w:sz w:val="24"/>
          <w:szCs w:val="24"/>
          <w:lang w:val="en-US"/>
        </w:rPr>
        <w:tab/>
      </w:r>
      <w:r w:rsidRPr="002C5DE1">
        <w:rPr>
          <w:rFonts w:ascii="Times New Roman" w:hAnsi="Times New Roman" w:cs="Times New Roman"/>
          <w:color w:val="000000" w:themeColor="text1"/>
          <w:sz w:val="24"/>
          <w:szCs w:val="24"/>
          <w:lang w:val="en-US"/>
        </w:rPr>
        <w:tab/>
        <w:t>Mean</w:t>
      </w:r>
      <w:r w:rsidRPr="002C5DE1">
        <w:rPr>
          <w:rFonts w:ascii="Times New Roman" w:hAnsi="Times New Roman" w:cs="Times New Roman"/>
          <w:color w:val="000000" w:themeColor="text1"/>
          <w:sz w:val="24"/>
          <w:szCs w:val="24"/>
          <w:lang w:val="en-US"/>
        </w:rPr>
        <w:tab/>
      </w:r>
      <w:r w:rsidRPr="002C5DE1">
        <w:rPr>
          <w:rFonts w:ascii="Times New Roman" w:hAnsi="Times New Roman" w:cs="Times New Roman"/>
          <w:color w:val="000000" w:themeColor="text1"/>
          <w:sz w:val="24"/>
          <w:szCs w:val="24"/>
          <w:lang w:val="en-US"/>
        </w:rPr>
        <w:tab/>
      </w:r>
      <w:r w:rsidRPr="002C5DE1">
        <w:rPr>
          <w:rFonts w:ascii="Times New Roman" w:hAnsi="Times New Roman" w:cs="Times New Roman"/>
          <w:color w:val="000000" w:themeColor="text1"/>
          <w:sz w:val="24"/>
          <w:szCs w:val="24"/>
          <w:lang w:val="en-US"/>
        </w:rPr>
        <w:tab/>
        <w:t>S.D.</w:t>
      </w:r>
      <w:r w:rsidRPr="002C5DE1">
        <w:rPr>
          <w:rFonts w:ascii="Times New Roman" w:hAnsi="Times New Roman" w:cs="Times New Roman"/>
          <w:color w:val="000000" w:themeColor="text1"/>
          <w:sz w:val="24"/>
          <w:szCs w:val="24"/>
          <w:lang w:val="en-US"/>
        </w:rPr>
        <w:tab/>
      </w:r>
      <w:r w:rsidRPr="002C5DE1">
        <w:rPr>
          <w:rFonts w:ascii="Times New Roman" w:hAnsi="Times New Roman" w:cs="Times New Roman"/>
          <w:color w:val="000000" w:themeColor="text1"/>
          <w:sz w:val="24"/>
          <w:szCs w:val="24"/>
          <w:lang w:val="en-US"/>
        </w:rPr>
        <w:tab/>
        <w:t>Min</w:t>
      </w:r>
      <w:r w:rsidRPr="002C5DE1">
        <w:rPr>
          <w:rFonts w:ascii="Times New Roman" w:hAnsi="Times New Roman" w:cs="Times New Roman"/>
          <w:color w:val="000000" w:themeColor="text1"/>
          <w:sz w:val="24"/>
          <w:szCs w:val="24"/>
          <w:lang w:val="en-US"/>
        </w:rPr>
        <w:tab/>
      </w:r>
      <w:r w:rsidRPr="002C5DE1">
        <w:rPr>
          <w:rFonts w:ascii="Times New Roman" w:hAnsi="Times New Roman" w:cs="Times New Roman"/>
          <w:color w:val="000000" w:themeColor="text1"/>
          <w:sz w:val="24"/>
          <w:szCs w:val="24"/>
          <w:lang w:val="en-US"/>
        </w:rPr>
        <w:tab/>
        <w:t>Max</w:t>
      </w:r>
    </w:p>
    <w:p w14:paraId="59F4A13E" w14:textId="77777777" w:rsidR="00F70B9C" w:rsidRPr="002C5DE1" w:rsidRDefault="00F70B9C" w:rsidP="00F70B9C">
      <w:pPr>
        <w:spacing w:after="0" w:line="240" w:lineRule="auto"/>
        <w:rPr>
          <w:rFonts w:ascii="Times New Roman" w:hAnsi="Times New Roman" w:cs="Times New Roman"/>
          <w:i/>
          <w:color w:val="000000" w:themeColor="text1"/>
          <w:lang w:val="en-US"/>
        </w:rPr>
      </w:pPr>
      <w:r w:rsidRPr="002C5DE1">
        <w:rPr>
          <w:rFonts w:ascii="Times New Roman" w:hAnsi="Times New Roman" w:cs="Times New Roman"/>
          <w:i/>
          <w:color w:val="000000" w:themeColor="text1"/>
          <w:lang w:val="en-US"/>
        </w:rPr>
        <w:t>Dependent variable</w:t>
      </w:r>
    </w:p>
    <w:p w14:paraId="18DAB06D" w14:textId="77777777" w:rsidR="00F70B9C" w:rsidRPr="002C5DE1" w:rsidRDefault="00F70B9C" w:rsidP="00F70B9C">
      <w:pPr>
        <w:spacing w:after="0" w:line="240" w:lineRule="auto"/>
        <w:rPr>
          <w:rFonts w:ascii="Times New Roman" w:hAnsi="Times New Roman" w:cs="Times New Roman"/>
          <w:color w:val="000000" w:themeColor="text1"/>
          <w:lang w:val="en-US"/>
        </w:rPr>
      </w:pPr>
      <w:r w:rsidRPr="002C5DE1">
        <w:rPr>
          <w:rFonts w:ascii="Times New Roman" w:hAnsi="Times New Roman" w:cs="Times New Roman"/>
          <w:color w:val="000000" w:themeColor="text1"/>
          <w:lang w:val="en-US"/>
        </w:rPr>
        <w:t>Real consumption per</w:t>
      </w:r>
    </w:p>
    <w:p w14:paraId="18AF0477" w14:textId="77777777" w:rsidR="00F70B9C" w:rsidRPr="002C5DE1" w:rsidRDefault="00F70B9C" w:rsidP="00F70B9C">
      <w:pPr>
        <w:spacing w:after="0" w:line="240" w:lineRule="auto"/>
        <w:rPr>
          <w:rFonts w:ascii="Times New Roman" w:hAnsi="Times New Roman" w:cs="Times New Roman"/>
          <w:color w:val="000000" w:themeColor="text1"/>
          <w:lang w:val="en-US"/>
        </w:rPr>
      </w:pPr>
      <w:r w:rsidRPr="002C5DE1">
        <w:rPr>
          <w:rFonts w:ascii="Times New Roman" w:hAnsi="Times New Roman" w:cs="Times New Roman"/>
          <w:color w:val="000000" w:themeColor="text1"/>
          <w:lang w:val="en-US"/>
        </w:rPr>
        <w:t>capita</w:t>
      </w:r>
      <w:r w:rsidRPr="002C5DE1">
        <w:rPr>
          <w:rFonts w:ascii="Times New Roman" w:hAnsi="Times New Roman" w:cs="Times New Roman"/>
          <w:color w:val="000000" w:themeColor="text1"/>
          <w:lang w:val="en-US"/>
        </w:rPr>
        <w:tab/>
      </w:r>
      <w:r w:rsidRPr="002C5DE1">
        <w:rPr>
          <w:rFonts w:ascii="Times New Roman" w:hAnsi="Times New Roman" w:cs="Times New Roman"/>
          <w:color w:val="000000" w:themeColor="text1"/>
          <w:lang w:val="en-US"/>
        </w:rPr>
        <w:tab/>
      </w:r>
      <w:r w:rsidRPr="002C5DE1">
        <w:rPr>
          <w:rFonts w:ascii="Times New Roman" w:hAnsi="Times New Roman" w:cs="Times New Roman"/>
          <w:color w:val="000000" w:themeColor="text1"/>
          <w:lang w:val="en-US"/>
        </w:rPr>
        <w:tab/>
      </w:r>
      <w:r w:rsidRPr="002C5DE1">
        <w:rPr>
          <w:rFonts w:ascii="Times New Roman" w:hAnsi="Times New Roman" w:cs="Times New Roman"/>
          <w:color w:val="000000" w:themeColor="text1"/>
          <w:lang w:val="en-US"/>
        </w:rPr>
        <w:tab/>
        <w:t>0.00020</w:t>
      </w:r>
      <w:r w:rsidRPr="002C5DE1">
        <w:rPr>
          <w:rFonts w:ascii="Times New Roman" w:hAnsi="Times New Roman" w:cs="Times New Roman"/>
          <w:color w:val="000000" w:themeColor="text1"/>
          <w:lang w:val="en-US"/>
        </w:rPr>
        <w:tab/>
      </w:r>
      <w:r w:rsidRPr="002C5DE1">
        <w:rPr>
          <w:rFonts w:ascii="Times New Roman" w:hAnsi="Times New Roman" w:cs="Times New Roman"/>
          <w:color w:val="000000" w:themeColor="text1"/>
          <w:lang w:val="en-US"/>
        </w:rPr>
        <w:tab/>
        <w:t>0.00023</w:t>
      </w:r>
      <w:r w:rsidRPr="002C5DE1">
        <w:rPr>
          <w:rFonts w:ascii="Times New Roman" w:hAnsi="Times New Roman" w:cs="Times New Roman"/>
          <w:color w:val="000000" w:themeColor="text1"/>
          <w:lang w:val="en-US"/>
        </w:rPr>
        <w:tab/>
        <w:t>0.0000424</w:t>
      </w:r>
      <w:r w:rsidRPr="002C5DE1">
        <w:rPr>
          <w:rFonts w:ascii="Times New Roman" w:hAnsi="Times New Roman" w:cs="Times New Roman"/>
          <w:color w:val="000000" w:themeColor="text1"/>
          <w:lang w:val="en-US"/>
        </w:rPr>
        <w:tab/>
        <w:t>0.0003</w:t>
      </w:r>
      <w:r w:rsidRPr="002C5DE1">
        <w:rPr>
          <w:rFonts w:ascii="Times New Roman" w:hAnsi="Times New Roman" w:cs="Times New Roman"/>
          <w:color w:val="000000" w:themeColor="text1"/>
          <w:lang w:val="en-US"/>
        </w:rPr>
        <w:tab/>
      </w:r>
    </w:p>
    <w:p w14:paraId="0D4B0BEC" w14:textId="77777777" w:rsidR="00F70B9C" w:rsidRPr="002C5DE1" w:rsidRDefault="00F70B9C" w:rsidP="00F70B9C">
      <w:pPr>
        <w:spacing w:after="0" w:line="240" w:lineRule="auto"/>
        <w:rPr>
          <w:rFonts w:ascii="Times New Roman" w:hAnsi="Times New Roman" w:cs="Times New Roman"/>
          <w:i/>
          <w:color w:val="000000" w:themeColor="text1"/>
          <w:lang w:val="en-US"/>
        </w:rPr>
      </w:pPr>
      <w:r w:rsidRPr="002C5DE1">
        <w:rPr>
          <w:rFonts w:ascii="Times New Roman" w:hAnsi="Times New Roman" w:cs="Times New Roman"/>
          <w:i/>
          <w:color w:val="000000" w:themeColor="text1"/>
          <w:lang w:val="en-US"/>
        </w:rPr>
        <w:t>Independent variables</w:t>
      </w:r>
    </w:p>
    <w:p w14:paraId="1315032D" w14:textId="77777777" w:rsidR="00F70B9C" w:rsidRPr="002C5DE1" w:rsidRDefault="00F70B9C" w:rsidP="00F70B9C">
      <w:pPr>
        <w:spacing w:after="0" w:line="240" w:lineRule="auto"/>
        <w:rPr>
          <w:rFonts w:ascii="Times New Roman" w:hAnsi="Times New Roman" w:cs="Times New Roman"/>
          <w:color w:val="000000" w:themeColor="text1"/>
          <w:lang w:val="en-US"/>
        </w:rPr>
      </w:pPr>
      <w:r w:rsidRPr="002C5DE1">
        <w:rPr>
          <w:rFonts w:ascii="Times New Roman" w:hAnsi="Times New Roman" w:cs="Times New Roman"/>
          <w:color w:val="000000" w:themeColor="text1"/>
          <w:lang w:val="en-US"/>
        </w:rPr>
        <w:t>Real housing prices</w:t>
      </w:r>
      <w:r w:rsidRPr="002C5DE1">
        <w:rPr>
          <w:rFonts w:ascii="Times New Roman" w:hAnsi="Times New Roman" w:cs="Times New Roman"/>
          <w:color w:val="000000" w:themeColor="text1"/>
          <w:lang w:val="en-US"/>
        </w:rPr>
        <w:tab/>
      </w:r>
      <w:r w:rsidRPr="002C5DE1">
        <w:rPr>
          <w:rFonts w:ascii="Times New Roman" w:hAnsi="Times New Roman" w:cs="Times New Roman"/>
          <w:color w:val="000000" w:themeColor="text1"/>
          <w:lang w:val="en-US"/>
        </w:rPr>
        <w:tab/>
        <w:t>77.61</w:t>
      </w:r>
      <w:r w:rsidRPr="002C5DE1">
        <w:rPr>
          <w:rFonts w:ascii="Times New Roman" w:hAnsi="Times New Roman" w:cs="Times New Roman"/>
          <w:color w:val="000000" w:themeColor="text1"/>
          <w:lang w:val="en-US"/>
        </w:rPr>
        <w:tab/>
      </w:r>
      <w:r w:rsidRPr="002C5DE1">
        <w:rPr>
          <w:rFonts w:ascii="Times New Roman" w:hAnsi="Times New Roman" w:cs="Times New Roman"/>
          <w:color w:val="000000" w:themeColor="text1"/>
          <w:lang w:val="en-US"/>
        </w:rPr>
        <w:tab/>
      </w:r>
      <w:r w:rsidRPr="002C5DE1">
        <w:rPr>
          <w:rFonts w:ascii="Times New Roman" w:hAnsi="Times New Roman" w:cs="Times New Roman"/>
          <w:color w:val="000000" w:themeColor="text1"/>
          <w:lang w:val="en-US"/>
        </w:rPr>
        <w:tab/>
        <w:t>40.99</w:t>
      </w:r>
      <w:r w:rsidRPr="002C5DE1">
        <w:rPr>
          <w:rFonts w:ascii="Times New Roman" w:hAnsi="Times New Roman" w:cs="Times New Roman"/>
          <w:color w:val="000000" w:themeColor="text1"/>
          <w:lang w:val="en-US"/>
        </w:rPr>
        <w:tab/>
      </w:r>
      <w:r w:rsidRPr="002C5DE1">
        <w:rPr>
          <w:rFonts w:ascii="Times New Roman" w:hAnsi="Times New Roman" w:cs="Times New Roman"/>
          <w:color w:val="000000" w:themeColor="text1"/>
          <w:lang w:val="en-US"/>
        </w:rPr>
        <w:tab/>
        <w:t>48.62</w:t>
      </w:r>
      <w:r w:rsidRPr="002C5DE1">
        <w:rPr>
          <w:rFonts w:ascii="Times New Roman" w:hAnsi="Times New Roman" w:cs="Times New Roman"/>
          <w:color w:val="000000" w:themeColor="text1"/>
          <w:lang w:val="en-US"/>
        </w:rPr>
        <w:tab/>
      </w:r>
      <w:r w:rsidRPr="002C5DE1">
        <w:rPr>
          <w:rFonts w:ascii="Times New Roman" w:hAnsi="Times New Roman" w:cs="Times New Roman"/>
          <w:color w:val="000000" w:themeColor="text1"/>
          <w:lang w:val="en-US"/>
        </w:rPr>
        <w:tab/>
        <w:t>106.59</w:t>
      </w:r>
    </w:p>
    <w:p w14:paraId="28278FCB" w14:textId="77777777" w:rsidR="00F70B9C" w:rsidRPr="002C5DE1" w:rsidRDefault="00F70B9C" w:rsidP="00F70B9C">
      <w:pPr>
        <w:spacing w:after="0" w:line="240" w:lineRule="auto"/>
        <w:rPr>
          <w:rFonts w:ascii="Times New Roman" w:hAnsi="Times New Roman" w:cs="Times New Roman"/>
          <w:color w:val="000000" w:themeColor="text1"/>
          <w:lang w:val="en-US"/>
        </w:rPr>
      </w:pPr>
      <w:r w:rsidRPr="002C5DE1">
        <w:rPr>
          <w:rFonts w:ascii="Times New Roman" w:hAnsi="Times New Roman" w:cs="Times New Roman"/>
          <w:color w:val="000000" w:themeColor="text1"/>
          <w:lang w:val="en-US"/>
        </w:rPr>
        <w:t>Stock prices</w:t>
      </w:r>
      <w:r w:rsidRPr="002C5DE1">
        <w:rPr>
          <w:rFonts w:ascii="Times New Roman" w:hAnsi="Times New Roman" w:cs="Times New Roman"/>
          <w:color w:val="000000" w:themeColor="text1"/>
          <w:lang w:val="en-US"/>
        </w:rPr>
        <w:tab/>
      </w:r>
      <w:r w:rsidRPr="002C5DE1">
        <w:rPr>
          <w:rFonts w:ascii="Times New Roman" w:hAnsi="Times New Roman" w:cs="Times New Roman"/>
          <w:color w:val="000000" w:themeColor="text1"/>
          <w:lang w:val="en-US"/>
        </w:rPr>
        <w:tab/>
      </w:r>
      <w:r w:rsidRPr="002C5DE1">
        <w:rPr>
          <w:rFonts w:ascii="Times New Roman" w:hAnsi="Times New Roman" w:cs="Times New Roman"/>
          <w:color w:val="000000" w:themeColor="text1"/>
          <w:lang w:val="en-US"/>
        </w:rPr>
        <w:tab/>
        <w:t>79.00</w:t>
      </w:r>
      <w:r w:rsidRPr="002C5DE1">
        <w:rPr>
          <w:rFonts w:ascii="Times New Roman" w:hAnsi="Times New Roman" w:cs="Times New Roman"/>
          <w:color w:val="000000" w:themeColor="text1"/>
          <w:lang w:val="en-US"/>
        </w:rPr>
        <w:tab/>
      </w:r>
      <w:r w:rsidRPr="002C5DE1">
        <w:rPr>
          <w:rFonts w:ascii="Times New Roman" w:hAnsi="Times New Roman" w:cs="Times New Roman"/>
          <w:color w:val="000000" w:themeColor="text1"/>
          <w:lang w:val="en-US"/>
        </w:rPr>
        <w:tab/>
      </w:r>
      <w:r w:rsidRPr="002C5DE1">
        <w:rPr>
          <w:rFonts w:ascii="Times New Roman" w:hAnsi="Times New Roman" w:cs="Times New Roman"/>
          <w:color w:val="000000" w:themeColor="text1"/>
          <w:lang w:val="en-US"/>
        </w:rPr>
        <w:tab/>
        <w:t>30.97</w:t>
      </w:r>
      <w:r w:rsidRPr="002C5DE1">
        <w:rPr>
          <w:rFonts w:ascii="Times New Roman" w:hAnsi="Times New Roman" w:cs="Times New Roman"/>
          <w:color w:val="000000" w:themeColor="text1"/>
          <w:lang w:val="en-US"/>
        </w:rPr>
        <w:tab/>
      </w:r>
      <w:r w:rsidRPr="002C5DE1">
        <w:rPr>
          <w:rFonts w:ascii="Times New Roman" w:hAnsi="Times New Roman" w:cs="Times New Roman"/>
          <w:color w:val="000000" w:themeColor="text1"/>
          <w:lang w:val="en-US"/>
        </w:rPr>
        <w:tab/>
        <w:t>57.10</w:t>
      </w:r>
      <w:r w:rsidRPr="002C5DE1">
        <w:rPr>
          <w:rFonts w:ascii="Times New Roman" w:hAnsi="Times New Roman" w:cs="Times New Roman"/>
          <w:color w:val="000000" w:themeColor="text1"/>
          <w:lang w:val="en-US"/>
        </w:rPr>
        <w:tab/>
      </w:r>
      <w:r w:rsidRPr="002C5DE1">
        <w:rPr>
          <w:rFonts w:ascii="Times New Roman" w:hAnsi="Times New Roman" w:cs="Times New Roman"/>
          <w:color w:val="000000" w:themeColor="text1"/>
          <w:lang w:val="en-US"/>
        </w:rPr>
        <w:tab/>
        <w:t>100.90</w:t>
      </w:r>
    </w:p>
    <w:p w14:paraId="10C42C4D" w14:textId="77777777" w:rsidR="00F70B9C" w:rsidRPr="002C5DE1" w:rsidRDefault="00F70B9C" w:rsidP="00F70B9C">
      <w:pPr>
        <w:spacing w:after="0" w:line="240" w:lineRule="auto"/>
        <w:rPr>
          <w:rFonts w:ascii="Times New Roman" w:hAnsi="Times New Roman" w:cs="Times New Roman"/>
          <w:color w:val="000000" w:themeColor="text1"/>
          <w:lang w:val="en-US"/>
        </w:rPr>
      </w:pPr>
      <w:r w:rsidRPr="002C5DE1">
        <w:rPr>
          <w:rFonts w:ascii="Times New Roman" w:hAnsi="Times New Roman" w:cs="Times New Roman"/>
          <w:color w:val="000000" w:themeColor="text1"/>
          <w:lang w:val="en-US"/>
        </w:rPr>
        <w:t>Real income per capita</w:t>
      </w:r>
      <w:r w:rsidRPr="002C5DE1">
        <w:rPr>
          <w:rFonts w:ascii="Times New Roman" w:hAnsi="Times New Roman" w:cs="Times New Roman"/>
          <w:color w:val="000000" w:themeColor="text1"/>
          <w:lang w:val="en-US"/>
        </w:rPr>
        <w:tab/>
        <w:t xml:space="preserve">             0.00030</w:t>
      </w:r>
      <w:r w:rsidRPr="002C5DE1">
        <w:rPr>
          <w:rFonts w:ascii="Times New Roman" w:hAnsi="Times New Roman" w:cs="Times New Roman"/>
          <w:color w:val="000000" w:themeColor="text1"/>
          <w:lang w:val="en-US"/>
        </w:rPr>
        <w:tab/>
      </w:r>
      <w:r w:rsidRPr="002C5DE1">
        <w:rPr>
          <w:rFonts w:ascii="Times New Roman" w:hAnsi="Times New Roman" w:cs="Times New Roman"/>
          <w:color w:val="000000" w:themeColor="text1"/>
          <w:lang w:val="en-US"/>
        </w:rPr>
        <w:tab/>
        <w:t>0.00032</w:t>
      </w:r>
      <w:r w:rsidRPr="002C5DE1">
        <w:rPr>
          <w:rFonts w:ascii="Times New Roman" w:hAnsi="Times New Roman" w:cs="Times New Roman"/>
          <w:color w:val="000000" w:themeColor="text1"/>
          <w:lang w:val="en-US"/>
        </w:rPr>
        <w:tab/>
        <w:t>0.000074</w:t>
      </w:r>
      <w:r w:rsidRPr="002C5DE1">
        <w:rPr>
          <w:rFonts w:ascii="Times New Roman" w:hAnsi="Times New Roman" w:cs="Times New Roman"/>
          <w:color w:val="000000" w:themeColor="text1"/>
          <w:lang w:val="en-US"/>
        </w:rPr>
        <w:tab/>
        <w:t>0.0005</w:t>
      </w:r>
      <w:r w:rsidRPr="002C5DE1">
        <w:rPr>
          <w:rFonts w:ascii="Times New Roman" w:hAnsi="Times New Roman" w:cs="Times New Roman"/>
          <w:color w:val="000000" w:themeColor="text1"/>
          <w:lang w:val="en-US"/>
        </w:rPr>
        <w:tab/>
      </w:r>
    </w:p>
    <w:p w14:paraId="50E4395F" w14:textId="77777777" w:rsidR="00F70B9C" w:rsidRPr="002C5DE1" w:rsidRDefault="00F70B9C" w:rsidP="00F70B9C">
      <w:pPr>
        <w:spacing w:after="0" w:line="240" w:lineRule="auto"/>
        <w:rPr>
          <w:rFonts w:ascii="Times New Roman" w:hAnsi="Times New Roman" w:cs="Times New Roman"/>
          <w:color w:val="000000" w:themeColor="text1"/>
          <w:lang w:val="en-US"/>
        </w:rPr>
      </w:pPr>
      <w:r w:rsidRPr="002C5DE1">
        <w:rPr>
          <w:rFonts w:ascii="Times New Roman" w:hAnsi="Times New Roman" w:cs="Times New Roman"/>
          <w:color w:val="000000" w:themeColor="text1"/>
          <w:lang w:val="en-US"/>
        </w:rPr>
        <w:t>Financial development index</w:t>
      </w:r>
      <w:r w:rsidRPr="002C5DE1">
        <w:rPr>
          <w:rFonts w:ascii="Times New Roman" w:hAnsi="Times New Roman" w:cs="Times New Roman"/>
          <w:color w:val="000000" w:themeColor="text1"/>
          <w:lang w:val="en-US"/>
        </w:rPr>
        <w:tab/>
        <w:t>0.73</w:t>
      </w:r>
      <w:r w:rsidRPr="002C5DE1">
        <w:rPr>
          <w:rFonts w:ascii="Times New Roman" w:hAnsi="Times New Roman" w:cs="Times New Roman"/>
          <w:color w:val="000000" w:themeColor="text1"/>
          <w:lang w:val="en-US"/>
        </w:rPr>
        <w:tab/>
      </w:r>
      <w:r w:rsidRPr="002C5DE1">
        <w:rPr>
          <w:rFonts w:ascii="Times New Roman" w:hAnsi="Times New Roman" w:cs="Times New Roman"/>
          <w:color w:val="000000" w:themeColor="text1"/>
          <w:lang w:val="en-US"/>
        </w:rPr>
        <w:tab/>
      </w:r>
      <w:r w:rsidRPr="002C5DE1">
        <w:rPr>
          <w:rFonts w:ascii="Times New Roman" w:hAnsi="Times New Roman" w:cs="Times New Roman"/>
          <w:color w:val="000000" w:themeColor="text1"/>
          <w:lang w:val="en-US"/>
        </w:rPr>
        <w:tab/>
        <w:t>0.045</w:t>
      </w:r>
      <w:r w:rsidRPr="002C5DE1">
        <w:rPr>
          <w:rFonts w:ascii="Times New Roman" w:hAnsi="Times New Roman" w:cs="Times New Roman"/>
          <w:color w:val="000000" w:themeColor="text1"/>
          <w:lang w:val="en-US"/>
        </w:rPr>
        <w:tab/>
      </w:r>
      <w:r w:rsidRPr="002C5DE1">
        <w:rPr>
          <w:rFonts w:ascii="Times New Roman" w:hAnsi="Times New Roman" w:cs="Times New Roman"/>
          <w:color w:val="000000" w:themeColor="text1"/>
          <w:lang w:val="en-US"/>
        </w:rPr>
        <w:tab/>
        <w:t xml:space="preserve"> 0.42</w:t>
      </w:r>
      <w:r w:rsidRPr="002C5DE1">
        <w:rPr>
          <w:rFonts w:ascii="Times New Roman" w:hAnsi="Times New Roman" w:cs="Times New Roman"/>
          <w:color w:val="000000" w:themeColor="text1"/>
          <w:lang w:val="en-US"/>
        </w:rPr>
        <w:tab/>
      </w:r>
      <w:r w:rsidRPr="002C5DE1">
        <w:rPr>
          <w:rFonts w:ascii="Times New Roman" w:hAnsi="Times New Roman" w:cs="Times New Roman"/>
          <w:color w:val="000000" w:themeColor="text1"/>
          <w:lang w:val="en-US"/>
        </w:rPr>
        <w:tab/>
        <w:t>0.98</w:t>
      </w:r>
    </w:p>
    <w:p w14:paraId="5E79E294" w14:textId="77777777" w:rsidR="00F70B9C" w:rsidRPr="002C5DE1" w:rsidRDefault="00F70B9C" w:rsidP="00F70B9C">
      <w:pPr>
        <w:spacing w:after="0" w:line="240" w:lineRule="auto"/>
        <w:rPr>
          <w:rFonts w:ascii="Times New Roman" w:hAnsi="Times New Roman" w:cs="Times New Roman"/>
          <w:color w:val="000000" w:themeColor="text1"/>
          <w:lang w:val="en-US"/>
        </w:rPr>
      </w:pPr>
      <w:r w:rsidRPr="002C5DE1">
        <w:rPr>
          <w:rFonts w:ascii="Times New Roman" w:hAnsi="Times New Roman" w:cs="Times New Roman"/>
          <w:color w:val="000000" w:themeColor="text1"/>
          <w:lang w:val="en-US"/>
        </w:rPr>
        <w:t>Standardized housing</w:t>
      </w:r>
    </w:p>
    <w:p w14:paraId="04F62548" w14:textId="77777777" w:rsidR="00F70B9C" w:rsidRPr="002C5DE1" w:rsidRDefault="00F70B9C" w:rsidP="00F70B9C">
      <w:pPr>
        <w:spacing w:after="0" w:line="240" w:lineRule="auto"/>
        <w:rPr>
          <w:rFonts w:ascii="Times New Roman" w:hAnsi="Times New Roman" w:cs="Times New Roman"/>
          <w:color w:val="000000" w:themeColor="text1"/>
          <w:lang w:val="en-US"/>
        </w:rPr>
      </w:pPr>
      <w:r w:rsidRPr="002C5DE1">
        <w:rPr>
          <w:rFonts w:ascii="Times New Roman" w:hAnsi="Times New Roman" w:cs="Times New Roman"/>
          <w:color w:val="000000" w:themeColor="text1"/>
          <w:lang w:val="en-US"/>
        </w:rPr>
        <w:t>prices to income ratio</w:t>
      </w:r>
      <w:r w:rsidRPr="002C5DE1">
        <w:rPr>
          <w:rFonts w:ascii="Times New Roman" w:hAnsi="Times New Roman" w:cs="Times New Roman"/>
          <w:color w:val="000000" w:themeColor="text1"/>
          <w:lang w:val="en-US"/>
        </w:rPr>
        <w:tab/>
      </w:r>
      <w:r w:rsidRPr="002C5DE1">
        <w:rPr>
          <w:rFonts w:ascii="Times New Roman" w:hAnsi="Times New Roman" w:cs="Times New Roman"/>
          <w:color w:val="000000" w:themeColor="text1"/>
          <w:lang w:val="en-US"/>
        </w:rPr>
        <w:tab/>
        <w:t>92.72</w:t>
      </w:r>
      <w:r w:rsidRPr="002C5DE1">
        <w:rPr>
          <w:rFonts w:ascii="Times New Roman" w:hAnsi="Times New Roman" w:cs="Times New Roman"/>
          <w:color w:val="000000" w:themeColor="text1"/>
          <w:lang w:val="en-US"/>
        </w:rPr>
        <w:tab/>
      </w:r>
      <w:r w:rsidRPr="002C5DE1">
        <w:rPr>
          <w:rFonts w:ascii="Times New Roman" w:hAnsi="Times New Roman" w:cs="Times New Roman"/>
          <w:color w:val="000000" w:themeColor="text1"/>
          <w:lang w:val="en-US"/>
        </w:rPr>
        <w:tab/>
      </w:r>
      <w:r w:rsidRPr="002C5DE1">
        <w:rPr>
          <w:rFonts w:ascii="Times New Roman" w:hAnsi="Times New Roman" w:cs="Times New Roman"/>
          <w:color w:val="000000" w:themeColor="text1"/>
          <w:lang w:val="en-US"/>
        </w:rPr>
        <w:tab/>
        <w:t>2.71</w:t>
      </w:r>
      <w:r w:rsidRPr="002C5DE1">
        <w:rPr>
          <w:rFonts w:ascii="Times New Roman" w:hAnsi="Times New Roman" w:cs="Times New Roman"/>
          <w:color w:val="000000" w:themeColor="text1"/>
          <w:lang w:val="en-US"/>
        </w:rPr>
        <w:tab/>
      </w:r>
      <w:r w:rsidRPr="002C5DE1">
        <w:rPr>
          <w:rFonts w:ascii="Times New Roman" w:hAnsi="Times New Roman" w:cs="Times New Roman"/>
          <w:color w:val="000000" w:themeColor="text1"/>
          <w:lang w:val="en-US"/>
        </w:rPr>
        <w:tab/>
        <w:t>90.80</w:t>
      </w:r>
      <w:r w:rsidRPr="002C5DE1">
        <w:rPr>
          <w:rFonts w:ascii="Times New Roman" w:hAnsi="Times New Roman" w:cs="Times New Roman"/>
          <w:color w:val="000000" w:themeColor="text1"/>
          <w:lang w:val="en-US"/>
        </w:rPr>
        <w:tab/>
      </w:r>
      <w:r w:rsidRPr="002C5DE1">
        <w:rPr>
          <w:rFonts w:ascii="Times New Roman" w:hAnsi="Times New Roman" w:cs="Times New Roman"/>
          <w:color w:val="000000" w:themeColor="text1"/>
          <w:lang w:val="en-US"/>
        </w:rPr>
        <w:tab/>
        <w:t>94.63</w:t>
      </w:r>
    </w:p>
    <w:p w14:paraId="7200E2A4" w14:textId="77777777" w:rsidR="00F70B9C" w:rsidRPr="002C5DE1" w:rsidRDefault="00F70B9C" w:rsidP="00F70B9C">
      <w:pPr>
        <w:pBdr>
          <w:bottom w:val="single" w:sz="6" w:space="1" w:color="auto"/>
        </w:pBdr>
        <w:spacing w:after="0" w:line="240" w:lineRule="auto"/>
        <w:rPr>
          <w:rFonts w:ascii="Times New Roman" w:hAnsi="Times New Roman" w:cs="Times New Roman"/>
          <w:color w:val="000000" w:themeColor="text1"/>
          <w:lang w:val="en-US"/>
        </w:rPr>
      </w:pPr>
      <w:r w:rsidRPr="002C5DE1">
        <w:rPr>
          <w:rFonts w:ascii="Times New Roman" w:hAnsi="Times New Roman" w:cs="Times New Roman"/>
          <w:color w:val="000000" w:themeColor="text1"/>
          <w:lang w:val="en-US"/>
        </w:rPr>
        <w:t>Observations</w:t>
      </w:r>
      <w:r w:rsidRPr="002C5DE1">
        <w:rPr>
          <w:rFonts w:ascii="Times New Roman" w:hAnsi="Times New Roman" w:cs="Times New Roman"/>
          <w:color w:val="000000" w:themeColor="text1"/>
          <w:lang w:val="en-US"/>
        </w:rPr>
        <w:tab/>
      </w:r>
      <w:r w:rsidRPr="002C5DE1">
        <w:rPr>
          <w:rFonts w:ascii="Times New Roman" w:hAnsi="Times New Roman" w:cs="Times New Roman"/>
          <w:color w:val="000000" w:themeColor="text1"/>
          <w:lang w:val="en-US"/>
        </w:rPr>
        <w:tab/>
      </w:r>
      <w:r w:rsidRPr="002C5DE1">
        <w:rPr>
          <w:rFonts w:ascii="Times New Roman" w:hAnsi="Times New Roman" w:cs="Times New Roman"/>
          <w:color w:val="000000" w:themeColor="text1"/>
          <w:lang w:val="en-US"/>
        </w:rPr>
        <w:tab/>
        <w:t>1,</w:t>
      </w:r>
      <w:r w:rsidR="005726F1" w:rsidRPr="002C5DE1">
        <w:rPr>
          <w:rFonts w:ascii="Times New Roman" w:hAnsi="Times New Roman" w:cs="Times New Roman"/>
          <w:color w:val="000000" w:themeColor="text1"/>
          <w:lang w:val="en-US"/>
        </w:rPr>
        <w:t>632</w:t>
      </w:r>
    </w:p>
    <w:p w14:paraId="2703A338" w14:textId="77777777" w:rsidR="00F70B9C" w:rsidRPr="002C5DE1" w:rsidRDefault="00F70B9C" w:rsidP="00F70B9C">
      <w:pPr>
        <w:spacing w:after="0" w:line="240" w:lineRule="auto"/>
        <w:rPr>
          <w:rFonts w:ascii="Times New Roman" w:hAnsi="Times New Roman" w:cs="Times New Roman"/>
          <w:color w:val="000000" w:themeColor="text1"/>
          <w:sz w:val="20"/>
          <w:szCs w:val="20"/>
          <w:lang w:val="en-US"/>
        </w:rPr>
      </w:pPr>
      <w:r w:rsidRPr="002C5DE1">
        <w:rPr>
          <w:rFonts w:ascii="Times New Roman" w:hAnsi="Times New Roman" w:cs="Times New Roman"/>
          <w:b/>
          <w:i/>
          <w:color w:val="000000" w:themeColor="text1"/>
          <w:sz w:val="20"/>
          <w:szCs w:val="20"/>
          <w:lang w:val="en-US"/>
        </w:rPr>
        <w:t>Notes:</w:t>
      </w:r>
      <w:r w:rsidRPr="002C5DE1">
        <w:rPr>
          <w:rFonts w:ascii="Times New Roman" w:hAnsi="Times New Roman" w:cs="Times New Roman"/>
          <w:color w:val="000000" w:themeColor="text1"/>
          <w:sz w:val="20"/>
          <w:szCs w:val="20"/>
          <w:lang w:val="en-US"/>
        </w:rPr>
        <w:t xml:space="preserve"> All variables, except the interest rates, are expressed in logarithms. S.D. stands for standard deviation.</w:t>
      </w:r>
    </w:p>
    <w:p w14:paraId="519955B6" w14:textId="77777777" w:rsidR="00F70B9C" w:rsidRPr="002C5DE1" w:rsidRDefault="00F70B9C" w:rsidP="00F70B9C">
      <w:pPr>
        <w:rPr>
          <w:color w:val="000000" w:themeColor="text1"/>
          <w:lang w:val="en-US"/>
        </w:rPr>
      </w:pPr>
    </w:p>
    <w:p w14:paraId="027A1411" w14:textId="77777777" w:rsidR="00C9589E" w:rsidRPr="002C5DE1" w:rsidRDefault="00C9589E" w:rsidP="00F70B9C">
      <w:pPr>
        <w:pBdr>
          <w:bottom w:val="single" w:sz="6" w:space="1" w:color="auto"/>
        </w:pBdr>
        <w:spacing w:after="0" w:line="240" w:lineRule="auto"/>
        <w:rPr>
          <w:rFonts w:ascii="Times New Roman" w:hAnsi="Times New Roman" w:cs="Times New Roman"/>
          <w:b/>
          <w:color w:val="000000" w:themeColor="text1"/>
          <w:sz w:val="24"/>
          <w:szCs w:val="24"/>
          <w:lang w:val="en-US"/>
        </w:rPr>
      </w:pPr>
    </w:p>
    <w:p w14:paraId="206087B3" w14:textId="77777777" w:rsidR="00C9589E" w:rsidRPr="002C5DE1" w:rsidRDefault="00C9589E" w:rsidP="00F70B9C">
      <w:pPr>
        <w:pBdr>
          <w:bottom w:val="single" w:sz="6" w:space="1" w:color="auto"/>
        </w:pBdr>
        <w:spacing w:after="0" w:line="240" w:lineRule="auto"/>
        <w:rPr>
          <w:rFonts w:ascii="Times New Roman" w:hAnsi="Times New Roman" w:cs="Times New Roman"/>
          <w:b/>
          <w:color w:val="000000" w:themeColor="text1"/>
          <w:sz w:val="24"/>
          <w:szCs w:val="24"/>
          <w:lang w:val="en-US"/>
        </w:rPr>
      </w:pPr>
    </w:p>
    <w:p w14:paraId="3242A85C" w14:textId="77777777" w:rsidR="00F70B9C" w:rsidRPr="002C5DE1" w:rsidRDefault="00F70B9C" w:rsidP="00F70B9C">
      <w:pPr>
        <w:pBdr>
          <w:bottom w:val="single" w:sz="6" w:space="1" w:color="auto"/>
        </w:pBdr>
        <w:spacing w:after="0" w:line="240" w:lineRule="auto"/>
        <w:rPr>
          <w:rFonts w:ascii="Times New Roman" w:hAnsi="Times New Roman" w:cs="Times New Roman"/>
          <w:b/>
          <w:color w:val="000000" w:themeColor="text1"/>
          <w:sz w:val="24"/>
          <w:szCs w:val="24"/>
          <w:lang w:val="en-US"/>
        </w:rPr>
      </w:pPr>
      <w:r w:rsidRPr="002C5DE1">
        <w:rPr>
          <w:rFonts w:ascii="Times New Roman" w:hAnsi="Times New Roman" w:cs="Times New Roman"/>
          <w:b/>
          <w:color w:val="000000" w:themeColor="text1"/>
          <w:sz w:val="24"/>
          <w:szCs w:val="24"/>
          <w:lang w:val="en-US"/>
        </w:rPr>
        <w:t>Table 3. Panel unit root tests</w:t>
      </w:r>
    </w:p>
    <w:p w14:paraId="4241A318" w14:textId="77777777" w:rsidR="00F70B9C" w:rsidRPr="002C5DE1" w:rsidRDefault="00F70B9C" w:rsidP="00F70B9C">
      <w:pPr>
        <w:spacing w:after="0" w:line="240" w:lineRule="auto"/>
        <w:ind w:left="2880" w:firstLine="720"/>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 xml:space="preserve"> </w:t>
      </w:r>
      <w:r w:rsidRPr="002C5DE1">
        <w:rPr>
          <w:rFonts w:ascii="Times New Roman" w:hAnsi="Times New Roman" w:cs="Times New Roman"/>
          <w:color w:val="000000" w:themeColor="text1"/>
          <w:sz w:val="24"/>
          <w:szCs w:val="24"/>
          <w:lang w:val="en-US"/>
        </w:rPr>
        <w:tab/>
      </w:r>
      <w:r w:rsidRPr="002C5DE1">
        <w:rPr>
          <w:rFonts w:ascii="Times New Roman" w:hAnsi="Times New Roman" w:cs="Times New Roman"/>
          <w:color w:val="000000" w:themeColor="text1"/>
          <w:sz w:val="24"/>
          <w:szCs w:val="24"/>
          <w:lang w:val="en-US"/>
        </w:rPr>
        <w:tab/>
        <w:t xml:space="preserve">   CIPS</w:t>
      </w:r>
    </w:p>
    <w:p w14:paraId="6B1AA91B" w14:textId="77777777" w:rsidR="00F70B9C" w:rsidRPr="002C5DE1" w:rsidRDefault="00F70B9C" w:rsidP="00F70B9C">
      <w:pPr>
        <w:pBdr>
          <w:bottom w:val="single" w:sz="6" w:space="1" w:color="auto"/>
        </w:pBdr>
        <w:spacing w:after="0" w:line="240" w:lineRule="auto"/>
        <w:rPr>
          <w:rFonts w:ascii="Times New Roman" w:hAnsi="Times New Roman" w:cs="Times New Roman"/>
          <w:color w:val="000000" w:themeColor="text1"/>
          <w:lang w:val="en-US"/>
        </w:rPr>
      </w:pPr>
      <w:r w:rsidRPr="002C5DE1">
        <w:rPr>
          <w:rFonts w:ascii="Times New Roman" w:hAnsi="Times New Roman" w:cs="Times New Roman"/>
          <w:color w:val="000000" w:themeColor="text1"/>
          <w:lang w:val="en-US"/>
        </w:rPr>
        <w:t>Variables</w:t>
      </w:r>
      <w:r w:rsidRPr="002C5DE1">
        <w:rPr>
          <w:rFonts w:ascii="Times New Roman" w:hAnsi="Times New Roman" w:cs="Times New Roman"/>
          <w:color w:val="000000" w:themeColor="text1"/>
          <w:lang w:val="en-US"/>
        </w:rPr>
        <w:tab/>
      </w:r>
      <w:r w:rsidRPr="002C5DE1">
        <w:rPr>
          <w:rFonts w:ascii="Times New Roman" w:hAnsi="Times New Roman" w:cs="Times New Roman"/>
          <w:color w:val="000000" w:themeColor="text1"/>
          <w:lang w:val="en-US"/>
        </w:rPr>
        <w:tab/>
      </w:r>
      <w:r w:rsidRPr="002C5DE1">
        <w:rPr>
          <w:rFonts w:ascii="Times New Roman" w:hAnsi="Times New Roman" w:cs="Times New Roman"/>
          <w:color w:val="000000" w:themeColor="text1"/>
          <w:lang w:val="en-US"/>
        </w:rPr>
        <w:tab/>
      </w:r>
      <w:r w:rsidRPr="002C5DE1">
        <w:rPr>
          <w:rFonts w:ascii="Times New Roman" w:hAnsi="Times New Roman" w:cs="Times New Roman"/>
          <w:color w:val="000000" w:themeColor="text1"/>
          <w:lang w:val="en-US"/>
        </w:rPr>
        <w:tab/>
      </w:r>
      <w:r w:rsidRPr="002C5DE1">
        <w:rPr>
          <w:rFonts w:ascii="Times New Roman" w:hAnsi="Times New Roman" w:cs="Times New Roman"/>
          <w:color w:val="000000" w:themeColor="text1"/>
          <w:lang w:val="en-US"/>
        </w:rPr>
        <w:tab/>
        <w:t>Levels</w:t>
      </w:r>
      <w:r w:rsidRPr="002C5DE1">
        <w:rPr>
          <w:rFonts w:ascii="Times New Roman" w:hAnsi="Times New Roman" w:cs="Times New Roman"/>
          <w:color w:val="000000" w:themeColor="text1"/>
          <w:lang w:val="en-US"/>
        </w:rPr>
        <w:tab/>
      </w:r>
      <w:r w:rsidRPr="002C5DE1">
        <w:rPr>
          <w:rFonts w:ascii="Times New Roman" w:hAnsi="Times New Roman" w:cs="Times New Roman"/>
          <w:color w:val="000000" w:themeColor="text1"/>
          <w:lang w:val="en-US"/>
        </w:rPr>
        <w:tab/>
        <w:t xml:space="preserve">       1</w:t>
      </w:r>
      <w:r w:rsidRPr="002C5DE1">
        <w:rPr>
          <w:rFonts w:ascii="Times New Roman" w:hAnsi="Times New Roman" w:cs="Times New Roman"/>
          <w:color w:val="000000" w:themeColor="text1"/>
          <w:vertAlign w:val="superscript"/>
          <w:lang w:val="en-US"/>
        </w:rPr>
        <w:t>st</w:t>
      </w:r>
      <w:r w:rsidRPr="002C5DE1">
        <w:rPr>
          <w:rFonts w:ascii="Times New Roman" w:hAnsi="Times New Roman" w:cs="Times New Roman"/>
          <w:color w:val="000000" w:themeColor="text1"/>
          <w:lang w:val="en-US"/>
        </w:rPr>
        <w:t xml:space="preserve"> Differences</w:t>
      </w:r>
    </w:p>
    <w:p w14:paraId="78D66565" w14:textId="77777777" w:rsidR="00F70B9C" w:rsidRPr="002C5DE1" w:rsidRDefault="00F70B9C" w:rsidP="00F70B9C">
      <w:pPr>
        <w:spacing w:after="0" w:line="240" w:lineRule="auto"/>
        <w:rPr>
          <w:rFonts w:ascii="Times New Roman" w:hAnsi="Times New Roman" w:cs="Times New Roman"/>
          <w:i/>
          <w:color w:val="000000" w:themeColor="text1"/>
          <w:lang w:val="en-US"/>
        </w:rPr>
      </w:pPr>
      <w:r w:rsidRPr="002C5DE1">
        <w:rPr>
          <w:rFonts w:ascii="Times New Roman" w:hAnsi="Times New Roman" w:cs="Times New Roman"/>
          <w:i/>
          <w:color w:val="000000" w:themeColor="text1"/>
          <w:lang w:val="en-US"/>
        </w:rPr>
        <w:t>Dependent variable</w:t>
      </w:r>
    </w:p>
    <w:p w14:paraId="53FCC5CE" w14:textId="77777777" w:rsidR="00F70B9C" w:rsidRPr="002C5DE1" w:rsidRDefault="00F70B9C" w:rsidP="00F70B9C">
      <w:pPr>
        <w:spacing w:after="0" w:line="240" w:lineRule="auto"/>
        <w:rPr>
          <w:rFonts w:ascii="Times New Roman" w:hAnsi="Times New Roman" w:cs="Times New Roman"/>
          <w:color w:val="000000" w:themeColor="text1"/>
          <w:lang w:val="en-US"/>
        </w:rPr>
      </w:pPr>
      <w:r w:rsidRPr="002C5DE1">
        <w:rPr>
          <w:rFonts w:ascii="Times New Roman" w:hAnsi="Times New Roman" w:cs="Times New Roman"/>
          <w:color w:val="000000" w:themeColor="text1"/>
          <w:lang w:val="en-US"/>
        </w:rPr>
        <w:t>Real consumption per capita</w:t>
      </w:r>
      <w:r w:rsidRPr="002C5DE1">
        <w:rPr>
          <w:rFonts w:ascii="Times New Roman" w:hAnsi="Times New Roman" w:cs="Times New Roman"/>
          <w:color w:val="000000" w:themeColor="text1"/>
          <w:lang w:val="en-US"/>
        </w:rPr>
        <w:tab/>
      </w:r>
      <w:r w:rsidRPr="002C5DE1">
        <w:rPr>
          <w:rFonts w:ascii="Times New Roman" w:hAnsi="Times New Roman" w:cs="Times New Roman"/>
          <w:color w:val="000000" w:themeColor="text1"/>
          <w:lang w:val="en-US"/>
        </w:rPr>
        <w:tab/>
      </w:r>
      <w:r w:rsidRPr="002C5DE1">
        <w:rPr>
          <w:rFonts w:ascii="Times New Roman" w:hAnsi="Times New Roman" w:cs="Times New Roman"/>
          <w:color w:val="000000" w:themeColor="text1"/>
          <w:lang w:val="en-US"/>
        </w:rPr>
        <w:tab/>
        <w:t>-1.409</w:t>
      </w:r>
      <w:r w:rsidRPr="002C5DE1">
        <w:rPr>
          <w:rFonts w:ascii="Times New Roman" w:hAnsi="Times New Roman" w:cs="Times New Roman"/>
          <w:color w:val="000000" w:themeColor="text1"/>
          <w:lang w:val="en-US"/>
        </w:rPr>
        <w:tab/>
      </w:r>
      <w:r w:rsidRPr="002C5DE1">
        <w:rPr>
          <w:rFonts w:ascii="Times New Roman" w:hAnsi="Times New Roman" w:cs="Times New Roman"/>
          <w:color w:val="000000" w:themeColor="text1"/>
          <w:lang w:val="en-US"/>
        </w:rPr>
        <w:tab/>
      </w:r>
      <w:r w:rsidRPr="002C5DE1">
        <w:rPr>
          <w:rFonts w:ascii="Times New Roman" w:hAnsi="Times New Roman" w:cs="Times New Roman"/>
          <w:color w:val="000000" w:themeColor="text1"/>
          <w:lang w:val="en-US"/>
        </w:rPr>
        <w:tab/>
        <w:t>-5.984***</w:t>
      </w:r>
    </w:p>
    <w:p w14:paraId="233D6241" w14:textId="77777777" w:rsidR="00F70B9C" w:rsidRPr="002C5DE1" w:rsidRDefault="00F70B9C" w:rsidP="00F70B9C">
      <w:pPr>
        <w:spacing w:after="0" w:line="240" w:lineRule="auto"/>
        <w:rPr>
          <w:rFonts w:ascii="Times New Roman" w:hAnsi="Times New Roman" w:cs="Times New Roman"/>
          <w:color w:val="000000" w:themeColor="text1"/>
          <w:lang w:val="en-US"/>
        </w:rPr>
      </w:pPr>
    </w:p>
    <w:p w14:paraId="04EF191B" w14:textId="77777777" w:rsidR="00F70B9C" w:rsidRPr="002C5DE1" w:rsidRDefault="00F70B9C" w:rsidP="00F70B9C">
      <w:pPr>
        <w:spacing w:after="0" w:line="240" w:lineRule="auto"/>
        <w:rPr>
          <w:rFonts w:ascii="Times New Roman" w:hAnsi="Times New Roman" w:cs="Times New Roman"/>
          <w:i/>
          <w:color w:val="000000" w:themeColor="text1"/>
          <w:lang w:val="en-US"/>
        </w:rPr>
      </w:pPr>
      <w:r w:rsidRPr="002C5DE1">
        <w:rPr>
          <w:rFonts w:ascii="Times New Roman" w:hAnsi="Times New Roman" w:cs="Times New Roman"/>
          <w:i/>
          <w:color w:val="000000" w:themeColor="text1"/>
          <w:lang w:val="en-US"/>
        </w:rPr>
        <w:t>Independent variables</w:t>
      </w:r>
    </w:p>
    <w:p w14:paraId="63A2CAD7" w14:textId="77777777" w:rsidR="00F70B9C" w:rsidRPr="002C5DE1" w:rsidRDefault="00F70B9C" w:rsidP="00F70B9C">
      <w:pPr>
        <w:spacing w:after="0" w:line="240" w:lineRule="auto"/>
        <w:rPr>
          <w:rFonts w:ascii="Times New Roman" w:hAnsi="Times New Roman" w:cs="Times New Roman"/>
          <w:color w:val="000000" w:themeColor="text1"/>
          <w:lang w:val="en-US"/>
        </w:rPr>
      </w:pPr>
      <w:r w:rsidRPr="002C5DE1">
        <w:rPr>
          <w:rFonts w:ascii="Times New Roman" w:hAnsi="Times New Roman" w:cs="Times New Roman"/>
          <w:color w:val="000000" w:themeColor="text1"/>
          <w:lang w:val="en-US"/>
        </w:rPr>
        <w:t>Real housing prices</w:t>
      </w:r>
      <w:r w:rsidRPr="002C5DE1">
        <w:rPr>
          <w:rFonts w:ascii="Times New Roman" w:hAnsi="Times New Roman" w:cs="Times New Roman"/>
          <w:color w:val="000000" w:themeColor="text1"/>
          <w:lang w:val="en-US"/>
        </w:rPr>
        <w:tab/>
      </w:r>
      <w:r w:rsidRPr="002C5DE1">
        <w:rPr>
          <w:rFonts w:ascii="Times New Roman" w:hAnsi="Times New Roman" w:cs="Times New Roman"/>
          <w:color w:val="000000" w:themeColor="text1"/>
          <w:lang w:val="en-US"/>
        </w:rPr>
        <w:tab/>
      </w:r>
      <w:r w:rsidRPr="002C5DE1">
        <w:rPr>
          <w:rFonts w:ascii="Times New Roman" w:hAnsi="Times New Roman" w:cs="Times New Roman"/>
          <w:color w:val="000000" w:themeColor="text1"/>
          <w:lang w:val="en-US"/>
        </w:rPr>
        <w:tab/>
      </w:r>
      <w:r w:rsidRPr="002C5DE1">
        <w:rPr>
          <w:rFonts w:ascii="Times New Roman" w:hAnsi="Times New Roman" w:cs="Times New Roman"/>
          <w:color w:val="000000" w:themeColor="text1"/>
          <w:lang w:val="en-US"/>
        </w:rPr>
        <w:tab/>
        <w:t>-1.385</w:t>
      </w:r>
      <w:r w:rsidRPr="002C5DE1">
        <w:rPr>
          <w:rFonts w:ascii="Times New Roman" w:hAnsi="Times New Roman" w:cs="Times New Roman"/>
          <w:color w:val="000000" w:themeColor="text1"/>
          <w:lang w:val="en-US"/>
        </w:rPr>
        <w:tab/>
      </w:r>
      <w:r w:rsidRPr="002C5DE1">
        <w:rPr>
          <w:rFonts w:ascii="Times New Roman" w:hAnsi="Times New Roman" w:cs="Times New Roman"/>
          <w:color w:val="000000" w:themeColor="text1"/>
          <w:lang w:val="en-US"/>
        </w:rPr>
        <w:tab/>
      </w:r>
      <w:r w:rsidRPr="002C5DE1">
        <w:rPr>
          <w:rFonts w:ascii="Times New Roman" w:hAnsi="Times New Roman" w:cs="Times New Roman"/>
          <w:color w:val="000000" w:themeColor="text1"/>
          <w:lang w:val="en-US"/>
        </w:rPr>
        <w:tab/>
        <w:t>-5.774***</w:t>
      </w:r>
    </w:p>
    <w:p w14:paraId="774C967C" w14:textId="77777777" w:rsidR="00F70B9C" w:rsidRPr="002C5DE1" w:rsidRDefault="00F70B9C" w:rsidP="00F70B9C">
      <w:pPr>
        <w:spacing w:after="0" w:line="240" w:lineRule="auto"/>
        <w:rPr>
          <w:rFonts w:ascii="Times New Roman" w:hAnsi="Times New Roman" w:cs="Times New Roman"/>
          <w:color w:val="000000" w:themeColor="text1"/>
          <w:lang w:val="en-US"/>
        </w:rPr>
      </w:pPr>
      <w:r w:rsidRPr="002C5DE1">
        <w:rPr>
          <w:rFonts w:ascii="Times New Roman" w:hAnsi="Times New Roman" w:cs="Times New Roman"/>
          <w:color w:val="000000" w:themeColor="text1"/>
          <w:lang w:val="en-US"/>
        </w:rPr>
        <w:t>Stock prices</w:t>
      </w:r>
      <w:r w:rsidRPr="002C5DE1">
        <w:rPr>
          <w:rFonts w:ascii="Times New Roman" w:hAnsi="Times New Roman" w:cs="Times New Roman"/>
          <w:color w:val="000000" w:themeColor="text1"/>
          <w:lang w:val="en-US"/>
        </w:rPr>
        <w:tab/>
      </w:r>
      <w:r w:rsidRPr="002C5DE1">
        <w:rPr>
          <w:rFonts w:ascii="Times New Roman" w:hAnsi="Times New Roman" w:cs="Times New Roman"/>
          <w:color w:val="000000" w:themeColor="text1"/>
          <w:lang w:val="en-US"/>
        </w:rPr>
        <w:tab/>
      </w:r>
      <w:r w:rsidRPr="002C5DE1">
        <w:rPr>
          <w:rFonts w:ascii="Times New Roman" w:hAnsi="Times New Roman" w:cs="Times New Roman"/>
          <w:color w:val="000000" w:themeColor="text1"/>
          <w:lang w:val="en-US"/>
        </w:rPr>
        <w:tab/>
      </w:r>
      <w:r w:rsidRPr="002C5DE1">
        <w:rPr>
          <w:rFonts w:ascii="Times New Roman" w:hAnsi="Times New Roman" w:cs="Times New Roman"/>
          <w:color w:val="000000" w:themeColor="text1"/>
          <w:lang w:val="en-US"/>
        </w:rPr>
        <w:tab/>
      </w:r>
      <w:r w:rsidRPr="002C5DE1">
        <w:rPr>
          <w:rFonts w:ascii="Times New Roman" w:hAnsi="Times New Roman" w:cs="Times New Roman"/>
          <w:color w:val="000000" w:themeColor="text1"/>
          <w:lang w:val="en-US"/>
        </w:rPr>
        <w:tab/>
        <w:t>-1.355</w:t>
      </w:r>
      <w:r w:rsidRPr="002C5DE1">
        <w:rPr>
          <w:rFonts w:ascii="Times New Roman" w:hAnsi="Times New Roman" w:cs="Times New Roman"/>
          <w:color w:val="000000" w:themeColor="text1"/>
          <w:lang w:val="en-US"/>
        </w:rPr>
        <w:tab/>
      </w:r>
      <w:r w:rsidRPr="002C5DE1">
        <w:rPr>
          <w:rFonts w:ascii="Times New Roman" w:hAnsi="Times New Roman" w:cs="Times New Roman"/>
          <w:color w:val="000000" w:themeColor="text1"/>
          <w:lang w:val="en-US"/>
        </w:rPr>
        <w:tab/>
      </w:r>
      <w:r w:rsidRPr="002C5DE1">
        <w:rPr>
          <w:rFonts w:ascii="Times New Roman" w:hAnsi="Times New Roman" w:cs="Times New Roman"/>
          <w:color w:val="000000" w:themeColor="text1"/>
          <w:lang w:val="en-US"/>
        </w:rPr>
        <w:tab/>
        <w:t>-6.219***</w:t>
      </w:r>
    </w:p>
    <w:p w14:paraId="503600F7" w14:textId="77777777" w:rsidR="00F70B9C" w:rsidRPr="002C5DE1" w:rsidRDefault="00F70B9C" w:rsidP="00F70B9C">
      <w:pPr>
        <w:spacing w:after="0" w:line="240" w:lineRule="auto"/>
        <w:rPr>
          <w:rFonts w:ascii="Times New Roman" w:hAnsi="Times New Roman" w:cs="Times New Roman"/>
          <w:color w:val="000000" w:themeColor="text1"/>
          <w:lang w:val="en-US"/>
        </w:rPr>
      </w:pPr>
      <w:r w:rsidRPr="002C5DE1">
        <w:rPr>
          <w:rFonts w:ascii="Times New Roman" w:hAnsi="Times New Roman" w:cs="Times New Roman"/>
          <w:color w:val="000000" w:themeColor="text1"/>
          <w:lang w:val="en-US"/>
        </w:rPr>
        <w:t>Real income per capita</w:t>
      </w:r>
      <w:r w:rsidRPr="002C5DE1">
        <w:rPr>
          <w:rFonts w:ascii="Times New Roman" w:hAnsi="Times New Roman" w:cs="Times New Roman"/>
          <w:color w:val="000000" w:themeColor="text1"/>
          <w:lang w:val="en-US"/>
        </w:rPr>
        <w:tab/>
      </w:r>
      <w:r w:rsidRPr="002C5DE1">
        <w:rPr>
          <w:rFonts w:ascii="Times New Roman" w:hAnsi="Times New Roman" w:cs="Times New Roman"/>
          <w:color w:val="000000" w:themeColor="text1"/>
          <w:lang w:val="en-US"/>
        </w:rPr>
        <w:tab/>
      </w:r>
      <w:r w:rsidRPr="002C5DE1">
        <w:rPr>
          <w:rFonts w:ascii="Times New Roman" w:hAnsi="Times New Roman" w:cs="Times New Roman"/>
          <w:color w:val="000000" w:themeColor="text1"/>
          <w:lang w:val="en-US"/>
        </w:rPr>
        <w:tab/>
      </w:r>
      <w:r w:rsidRPr="002C5DE1">
        <w:rPr>
          <w:rFonts w:ascii="Times New Roman" w:hAnsi="Times New Roman" w:cs="Times New Roman"/>
          <w:color w:val="000000" w:themeColor="text1"/>
          <w:lang w:val="en-US"/>
        </w:rPr>
        <w:tab/>
        <w:t>-1.373</w:t>
      </w:r>
      <w:r w:rsidRPr="002C5DE1">
        <w:rPr>
          <w:rFonts w:ascii="Times New Roman" w:hAnsi="Times New Roman" w:cs="Times New Roman"/>
          <w:color w:val="000000" w:themeColor="text1"/>
          <w:lang w:val="en-US"/>
        </w:rPr>
        <w:tab/>
      </w:r>
      <w:r w:rsidRPr="002C5DE1">
        <w:rPr>
          <w:rFonts w:ascii="Times New Roman" w:hAnsi="Times New Roman" w:cs="Times New Roman"/>
          <w:color w:val="000000" w:themeColor="text1"/>
          <w:lang w:val="en-US"/>
        </w:rPr>
        <w:tab/>
      </w:r>
      <w:r w:rsidRPr="002C5DE1">
        <w:rPr>
          <w:rFonts w:ascii="Times New Roman" w:hAnsi="Times New Roman" w:cs="Times New Roman"/>
          <w:color w:val="000000" w:themeColor="text1"/>
          <w:lang w:val="en-US"/>
        </w:rPr>
        <w:tab/>
        <w:t>-6.083***</w:t>
      </w:r>
    </w:p>
    <w:p w14:paraId="42CFEF8D" w14:textId="77777777" w:rsidR="00F70B9C" w:rsidRPr="002C5DE1" w:rsidRDefault="00F70B9C" w:rsidP="00F70B9C">
      <w:pPr>
        <w:spacing w:after="0" w:line="240" w:lineRule="auto"/>
        <w:rPr>
          <w:rFonts w:ascii="Times New Roman" w:hAnsi="Times New Roman" w:cs="Times New Roman"/>
          <w:color w:val="000000" w:themeColor="text1"/>
          <w:lang w:val="en-US"/>
        </w:rPr>
      </w:pPr>
      <w:r w:rsidRPr="002C5DE1">
        <w:rPr>
          <w:rFonts w:ascii="Times New Roman" w:hAnsi="Times New Roman" w:cs="Times New Roman"/>
          <w:color w:val="000000" w:themeColor="text1"/>
          <w:lang w:val="en-US"/>
        </w:rPr>
        <w:t>Financial development index</w:t>
      </w:r>
      <w:r w:rsidRPr="002C5DE1">
        <w:rPr>
          <w:rFonts w:ascii="Times New Roman" w:hAnsi="Times New Roman" w:cs="Times New Roman"/>
          <w:color w:val="000000" w:themeColor="text1"/>
          <w:lang w:val="en-US"/>
        </w:rPr>
        <w:tab/>
      </w:r>
      <w:r w:rsidRPr="002C5DE1">
        <w:rPr>
          <w:rFonts w:ascii="Times New Roman" w:hAnsi="Times New Roman" w:cs="Times New Roman"/>
          <w:color w:val="000000" w:themeColor="text1"/>
          <w:lang w:val="en-US"/>
        </w:rPr>
        <w:tab/>
      </w:r>
      <w:r w:rsidRPr="002C5DE1">
        <w:rPr>
          <w:rFonts w:ascii="Times New Roman" w:hAnsi="Times New Roman" w:cs="Times New Roman"/>
          <w:color w:val="000000" w:themeColor="text1"/>
          <w:lang w:val="en-US"/>
        </w:rPr>
        <w:tab/>
        <w:t>-1.386</w:t>
      </w:r>
      <w:r w:rsidRPr="002C5DE1">
        <w:rPr>
          <w:rFonts w:ascii="Times New Roman" w:hAnsi="Times New Roman" w:cs="Times New Roman"/>
          <w:color w:val="000000" w:themeColor="text1"/>
          <w:lang w:val="en-US"/>
        </w:rPr>
        <w:tab/>
      </w:r>
      <w:r w:rsidRPr="002C5DE1">
        <w:rPr>
          <w:rFonts w:ascii="Times New Roman" w:hAnsi="Times New Roman" w:cs="Times New Roman"/>
          <w:color w:val="000000" w:themeColor="text1"/>
          <w:lang w:val="en-US"/>
        </w:rPr>
        <w:tab/>
      </w:r>
      <w:r w:rsidRPr="002C5DE1">
        <w:rPr>
          <w:rFonts w:ascii="Times New Roman" w:hAnsi="Times New Roman" w:cs="Times New Roman"/>
          <w:color w:val="000000" w:themeColor="text1"/>
          <w:lang w:val="en-US"/>
        </w:rPr>
        <w:tab/>
        <w:t>-6.147***</w:t>
      </w:r>
    </w:p>
    <w:p w14:paraId="3E25DCAC" w14:textId="77777777" w:rsidR="00F70B9C" w:rsidRPr="002C5DE1" w:rsidRDefault="00F70B9C" w:rsidP="00F70B9C">
      <w:pPr>
        <w:pBdr>
          <w:bottom w:val="single" w:sz="6" w:space="1" w:color="auto"/>
        </w:pBdr>
        <w:spacing w:after="0" w:line="240" w:lineRule="auto"/>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lang w:val="en-US"/>
        </w:rPr>
        <w:t>Standardized housing prices to income ratio</w:t>
      </w:r>
      <w:r w:rsidRPr="002C5DE1">
        <w:rPr>
          <w:rFonts w:ascii="Times New Roman" w:hAnsi="Times New Roman" w:cs="Times New Roman"/>
          <w:color w:val="000000" w:themeColor="text1"/>
          <w:lang w:val="en-US"/>
        </w:rPr>
        <w:tab/>
        <w:t>-1.386</w:t>
      </w:r>
      <w:r w:rsidRPr="002C5DE1">
        <w:rPr>
          <w:rFonts w:ascii="Times New Roman" w:hAnsi="Times New Roman" w:cs="Times New Roman"/>
          <w:color w:val="000000" w:themeColor="text1"/>
          <w:lang w:val="en-US"/>
        </w:rPr>
        <w:tab/>
      </w:r>
      <w:r w:rsidRPr="002C5DE1">
        <w:rPr>
          <w:rFonts w:ascii="Times New Roman" w:hAnsi="Times New Roman" w:cs="Times New Roman"/>
          <w:color w:val="000000" w:themeColor="text1"/>
          <w:lang w:val="en-US"/>
        </w:rPr>
        <w:tab/>
      </w:r>
      <w:r w:rsidRPr="002C5DE1">
        <w:rPr>
          <w:rFonts w:ascii="Times New Roman" w:hAnsi="Times New Roman" w:cs="Times New Roman"/>
          <w:color w:val="000000" w:themeColor="text1"/>
          <w:lang w:val="en-US"/>
        </w:rPr>
        <w:tab/>
        <w:t>-6.007***</w:t>
      </w:r>
    </w:p>
    <w:p w14:paraId="4D8F9444" w14:textId="77777777" w:rsidR="00F70B9C" w:rsidRPr="002C5DE1" w:rsidRDefault="00F70B9C" w:rsidP="00F70B9C">
      <w:pPr>
        <w:spacing w:after="0" w:line="240" w:lineRule="auto"/>
        <w:rPr>
          <w:rFonts w:ascii="Times New Roman" w:hAnsi="Times New Roman" w:cs="Times New Roman"/>
          <w:color w:val="000000" w:themeColor="text1"/>
          <w:sz w:val="20"/>
          <w:szCs w:val="20"/>
          <w:lang w:val="en-US"/>
        </w:rPr>
      </w:pPr>
      <w:r w:rsidRPr="002C5DE1">
        <w:rPr>
          <w:rFonts w:ascii="Times New Roman" w:hAnsi="Times New Roman" w:cs="Times New Roman"/>
          <w:b/>
          <w:i/>
          <w:color w:val="000000" w:themeColor="text1"/>
          <w:sz w:val="20"/>
          <w:szCs w:val="20"/>
          <w:lang w:val="en-US"/>
        </w:rPr>
        <w:t>Notes:</w:t>
      </w:r>
      <w:r w:rsidRPr="002C5DE1">
        <w:rPr>
          <w:rFonts w:ascii="Times New Roman" w:hAnsi="Times New Roman" w:cs="Times New Roman"/>
          <w:color w:val="000000" w:themeColor="text1"/>
          <w:sz w:val="20"/>
          <w:szCs w:val="20"/>
          <w:lang w:val="en-US"/>
        </w:rPr>
        <w:t xml:space="preserve"> </w:t>
      </w:r>
      <w:r w:rsidR="000F28A9" w:rsidRPr="002C5DE1">
        <w:rPr>
          <w:rFonts w:ascii="Times New Roman" w:hAnsi="Times New Roman" w:cs="Times New Roman"/>
          <w:color w:val="000000" w:themeColor="text1"/>
          <w:sz w:val="20"/>
          <w:szCs w:val="20"/>
          <w:lang w:val="en-US"/>
        </w:rPr>
        <w:t xml:space="preserve">All variables are expressed in logs. </w:t>
      </w:r>
      <w:r w:rsidRPr="002C5DE1">
        <w:rPr>
          <w:rFonts w:ascii="Times New Roman" w:hAnsi="Times New Roman" w:cs="Times New Roman"/>
          <w:color w:val="000000" w:themeColor="text1"/>
          <w:sz w:val="20"/>
          <w:szCs w:val="20"/>
          <w:lang w:val="en-US"/>
        </w:rPr>
        <w:t>***: p≤0.01.</w:t>
      </w:r>
    </w:p>
    <w:p w14:paraId="1837D01E" w14:textId="77777777" w:rsidR="00F70B9C" w:rsidRPr="002C5DE1" w:rsidRDefault="00F70B9C" w:rsidP="00F70B9C">
      <w:pPr>
        <w:rPr>
          <w:color w:val="000000" w:themeColor="text1"/>
          <w:lang w:val="en-US"/>
        </w:rPr>
      </w:pPr>
    </w:p>
    <w:p w14:paraId="3037D974" w14:textId="77777777" w:rsidR="00C9589E" w:rsidRPr="002C5DE1" w:rsidRDefault="00C9589E" w:rsidP="00F70B9C">
      <w:pPr>
        <w:rPr>
          <w:color w:val="000000" w:themeColor="text1"/>
          <w:lang w:val="en-US"/>
        </w:rPr>
      </w:pPr>
    </w:p>
    <w:p w14:paraId="699E06B6" w14:textId="77777777" w:rsidR="00C9589E" w:rsidRPr="002C5DE1" w:rsidRDefault="00C9589E" w:rsidP="00F70B9C">
      <w:pPr>
        <w:rPr>
          <w:color w:val="000000" w:themeColor="text1"/>
          <w:lang w:val="en-US"/>
        </w:rPr>
      </w:pPr>
    </w:p>
    <w:p w14:paraId="6E747092" w14:textId="77777777" w:rsidR="00C9589E" w:rsidRPr="002C5DE1" w:rsidRDefault="00C9589E" w:rsidP="00F70B9C">
      <w:pPr>
        <w:rPr>
          <w:color w:val="000000" w:themeColor="text1"/>
          <w:lang w:val="en-US"/>
        </w:rPr>
      </w:pPr>
    </w:p>
    <w:p w14:paraId="040F85EE" w14:textId="77777777" w:rsidR="00C9589E" w:rsidRPr="002C5DE1" w:rsidRDefault="00C9589E" w:rsidP="00F70B9C">
      <w:pPr>
        <w:rPr>
          <w:color w:val="000000" w:themeColor="text1"/>
          <w:lang w:val="en-US"/>
        </w:rPr>
      </w:pPr>
    </w:p>
    <w:p w14:paraId="6291BCB9" w14:textId="77777777" w:rsidR="00F70B9C" w:rsidRPr="002C5DE1" w:rsidRDefault="00F70B9C" w:rsidP="00F70B9C">
      <w:pPr>
        <w:pBdr>
          <w:bottom w:val="single" w:sz="6" w:space="1" w:color="auto"/>
          <w:between w:val="single" w:sz="6" w:space="1" w:color="auto"/>
        </w:pBdr>
        <w:spacing w:after="120" w:line="240" w:lineRule="auto"/>
        <w:rPr>
          <w:rFonts w:ascii="Times New Roman" w:hAnsi="Times New Roman" w:cs="Times New Roman"/>
          <w:b/>
          <w:color w:val="000000" w:themeColor="text1"/>
          <w:sz w:val="24"/>
          <w:szCs w:val="24"/>
          <w:lang w:val="en-US"/>
        </w:rPr>
      </w:pPr>
      <w:r w:rsidRPr="002C5DE1">
        <w:rPr>
          <w:rFonts w:ascii="Times New Roman" w:hAnsi="Times New Roman" w:cs="Times New Roman"/>
          <w:b/>
          <w:color w:val="000000" w:themeColor="text1"/>
          <w:sz w:val="24"/>
          <w:szCs w:val="24"/>
          <w:lang w:val="en-US"/>
        </w:rPr>
        <w:t>Table 4. Threshold Effects Test for Entire Period: 2000-2016</w:t>
      </w:r>
    </w:p>
    <w:p w14:paraId="0C01E711" w14:textId="77777777" w:rsidR="00F70B9C" w:rsidRPr="002C5DE1" w:rsidRDefault="00F70B9C" w:rsidP="00F70B9C">
      <w:pPr>
        <w:pBdr>
          <w:bottom w:val="single" w:sz="6" w:space="1" w:color="auto"/>
        </w:pBdr>
        <w:spacing w:after="0" w:line="240" w:lineRule="auto"/>
        <w:rPr>
          <w:rFonts w:ascii="Times New Roman" w:hAnsi="Times New Roman" w:cs="Times New Roman"/>
          <w:b/>
          <w:color w:val="000000" w:themeColor="text1"/>
          <w:lang w:val="en-US"/>
        </w:rPr>
      </w:pPr>
      <w:r w:rsidRPr="002C5DE1">
        <w:rPr>
          <w:rFonts w:ascii="Times New Roman" w:hAnsi="Times New Roman" w:cs="Times New Roman"/>
          <w:b/>
          <w:color w:val="000000" w:themeColor="text1"/>
          <w:lang w:val="en-US"/>
        </w:rPr>
        <w:t>Threshold</w:t>
      </w:r>
      <w:r w:rsidRPr="002C5DE1">
        <w:rPr>
          <w:rFonts w:ascii="Times New Roman" w:hAnsi="Times New Roman" w:cs="Times New Roman"/>
          <w:b/>
          <w:color w:val="000000" w:themeColor="text1"/>
          <w:lang w:val="en-US"/>
        </w:rPr>
        <w:tab/>
        <w:t xml:space="preserve">    Financial Development </w:t>
      </w:r>
      <w:proofErr w:type="gramStart"/>
      <w:r w:rsidRPr="002C5DE1">
        <w:rPr>
          <w:rFonts w:ascii="Times New Roman" w:hAnsi="Times New Roman" w:cs="Times New Roman"/>
          <w:b/>
          <w:color w:val="000000" w:themeColor="text1"/>
          <w:lang w:val="en-US"/>
        </w:rPr>
        <w:t xml:space="preserve">Index  </w:t>
      </w:r>
      <w:r w:rsidRPr="002C5DE1">
        <w:rPr>
          <w:rFonts w:ascii="Times New Roman" w:hAnsi="Times New Roman" w:cs="Times New Roman"/>
          <w:b/>
          <w:color w:val="000000" w:themeColor="text1"/>
          <w:lang w:val="en-US"/>
        </w:rPr>
        <w:tab/>
      </w:r>
      <w:proofErr w:type="gramEnd"/>
      <w:r w:rsidRPr="002C5DE1">
        <w:rPr>
          <w:rFonts w:ascii="Times New Roman" w:hAnsi="Times New Roman" w:cs="Times New Roman"/>
          <w:b/>
          <w:color w:val="000000" w:themeColor="text1"/>
          <w:lang w:val="en-US"/>
        </w:rPr>
        <w:t xml:space="preserve">      Housing prices to income ratio</w:t>
      </w:r>
    </w:p>
    <w:p w14:paraId="400A3332" w14:textId="77777777" w:rsidR="00F70B9C" w:rsidRPr="002C5DE1" w:rsidRDefault="00F70B9C" w:rsidP="00F70B9C">
      <w:pPr>
        <w:spacing w:after="0" w:line="240" w:lineRule="auto"/>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Single</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18.96***</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32.71***</w:t>
      </w:r>
    </w:p>
    <w:p w14:paraId="625ACB98" w14:textId="77777777" w:rsidR="00F70B9C" w:rsidRPr="002C5DE1" w:rsidRDefault="00F70B9C" w:rsidP="00F70B9C">
      <w:pPr>
        <w:spacing w:after="0" w:line="240" w:lineRule="auto"/>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[0.00]</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[0.00]</w:t>
      </w:r>
    </w:p>
    <w:p w14:paraId="50417C88" w14:textId="77777777" w:rsidR="00F70B9C" w:rsidRPr="002C5DE1" w:rsidRDefault="00F70B9C" w:rsidP="00F70B9C">
      <w:pPr>
        <w:spacing w:after="0" w:line="240" w:lineRule="auto"/>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Double</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3.87</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3.42</w:t>
      </w:r>
    </w:p>
    <w:p w14:paraId="7B533FF9" w14:textId="77777777" w:rsidR="00F70B9C" w:rsidRPr="002C5DE1" w:rsidRDefault="00F70B9C" w:rsidP="00F70B9C">
      <w:pPr>
        <w:spacing w:after="0" w:line="240" w:lineRule="auto"/>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[0.28]</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[0.33]</w:t>
      </w:r>
    </w:p>
    <w:p w14:paraId="43CA3A1A" w14:textId="77777777" w:rsidR="00F70B9C" w:rsidRPr="002C5DE1" w:rsidRDefault="00F70B9C" w:rsidP="00F70B9C">
      <w:pPr>
        <w:spacing w:after="0" w:line="240" w:lineRule="auto"/>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Triple</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3.16</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2.73</w:t>
      </w:r>
    </w:p>
    <w:p w14:paraId="4023E105" w14:textId="77777777" w:rsidR="00F70B9C" w:rsidRPr="002C5DE1" w:rsidRDefault="00F70B9C" w:rsidP="00F70B9C">
      <w:pPr>
        <w:pBdr>
          <w:bottom w:val="single" w:sz="6" w:space="1" w:color="auto"/>
        </w:pBdr>
        <w:spacing w:after="0" w:line="240" w:lineRule="auto"/>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[0.42]</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[0.51]</w:t>
      </w:r>
    </w:p>
    <w:p w14:paraId="3B7C5409" w14:textId="77777777" w:rsidR="00F70B9C" w:rsidRPr="002C5DE1" w:rsidRDefault="00F70B9C" w:rsidP="00F70B9C">
      <w:pPr>
        <w:spacing w:after="0" w:line="240" w:lineRule="auto"/>
        <w:rPr>
          <w:rFonts w:ascii="Times New Roman" w:hAnsi="Times New Roman" w:cs="Times New Roman"/>
          <w:color w:val="000000" w:themeColor="text1"/>
          <w:sz w:val="20"/>
          <w:szCs w:val="20"/>
          <w:lang w:val="en-US"/>
        </w:rPr>
      </w:pPr>
      <w:r w:rsidRPr="002C5DE1">
        <w:rPr>
          <w:rFonts w:ascii="Times New Roman" w:hAnsi="Times New Roman" w:cs="Times New Roman"/>
          <w:b/>
          <w:i/>
          <w:color w:val="000000" w:themeColor="text1"/>
          <w:sz w:val="20"/>
          <w:szCs w:val="20"/>
          <w:lang w:val="en-US"/>
        </w:rPr>
        <w:t>Notes:</w:t>
      </w:r>
      <w:r w:rsidRPr="002C5DE1">
        <w:rPr>
          <w:rFonts w:ascii="Times New Roman" w:hAnsi="Times New Roman" w:cs="Times New Roman"/>
          <w:color w:val="000000" w:themeColor="text1"/>
          <w:sz w:val="20"/>
          <w:szCs w:val="20"/>
          <w:lang w:val="en-US"/>
        </w:rPr>
        <w:t xml:space="preserve"> Figures indicate the results of the F-test. Figures in brackets denote p-values. ***: p≤0.01.</w:t>
      </w:r>
    </w:p>
    <w:p w14:paraId="2BB0A13B" w14:textId="77777777" w:rsidR="00F70B9C" w:rsidRPr="002C5DE1" w:rsidRDefault="00F70B9C" w:rsidP="00F70B9C">
      <w:pPr>
        <w:spacing w:after="0" w:line="240" w:lineRule="auto"/>
        <w:rPr>
          <w:rFonts w:ascii="Times New Roman" w:hAnsi="Times New Roman" w:cs="Times New Roman"/>
          <w:color w:val="000000" w:themeColor="text1"/>
          <w:sz w:val="20"/>
          <w:szCs w:val="20"/>
          <w:lang w:val="en-US"/>
        </w:rPr>
      </w:pPr>
    </w:p>
    <w:p w14:paraId="3226249C" w14:textId="77777777" w:rsidR="00C9589E" w:rsidRPr="002C5DE1" w:rsidRDefault="00C9589E" w:rsidP="00F70B9C">
      <w:pPr>
        <w:spacing w:after="120" w:line="240" w:lineRule="auto"/>
        <w:jc w:val="both"/>
        <w:rPr>
          <w:rFonts w:ascii="Times New Roman" w:hAnsi="Times New Roman" w:cs="Times New Roman"/>
          <w:b/>
          <w:color w:val="000000" w:themeColor="text1"/>
          <w:sz w:val="24"/>
          <w:szCs w:val="24"/>
          <w:lang w:val="en-US"/>
        </w:rPr>
      </w:pPr>
    </w:p>
    <w:p w14:paraId="7C5735C8" w14:textId="77777777" w:rsidR="00F70B9C" w:rsidRPr="002C5DE1" w:rsidRDefault="00F70B9C" w:rsidP="00F70B9C">
      <w:pPr>
        <w:spacing w:after="120" w:line="240" w:lineRule="auto"/>
        <w:jc w:val="both"/>
        <w:rPr>
          <w:rFonts w:ascii="Times New Roman" w:hAnsi="Times New Roman" w:cs="Times New Roman"/>
          <w:b/>
          <w:color w:val="000000" w:themeColor="text1"/>
          <w:sz w:val="24"/>
          <w:szCs w:val="24"/>
          <w:lang w:val="en-US"/>
        </w:rPr>
      </w:pPr>
      <w:r w:rsidRPr="002C5DE1">
        <w:rPr>
          <w:rFonts w:ascii="Times New Roman" w:hAnsi="Times New Roman" w:cs="Times New Roman"/>
          <w:b/>
          <w:color w:val="000000" w:themeColor="text1"/>
          <w:sz w:val="24"/>
          <w:szCs w:val="24"/>
          <w:lang w:val="en-US"/>
        </w:rPr>
        <w:t xml:space="preserve">Table 5. The Effect of Housing Prices on Household Consumption: Dynamic Panel Threshold Model for </w:t>
      </w:r>
      <w:r w:rsidR="00574C94" w:rsidRPr="002C5DE1">
        <w:rPr>
          <w:rFonts w:ascii="Times New Roman" w:hAnsi="Times New Roman" w:cs="Times New Roman"/>
          <w:b/>
          <w:color w:val="000000" w:themeColor="text1"/>
          <w:sz w:val="24"/>
          <w:szCs w:val="24"/>
          <w:lang w:val="en-US"/>
        </w:rPr>
        <w:t xml:space="preserve">the </w:t>
      </w:r>
      <w:r w:rsidRPr="002C5DE1">
        <w:rPr>
          <w:rFonts w:ascii="Times New Roman" w:hAnsi="Times New Roman" w:cs="Times New Roman"/>
          <w:b/>
          <w:color w:val="000000" w:themeColor="text1"/>
          <w:sz w:val="24"/>
          <w:szCs w:val="24"/>
          <w:lang w:val="en-US"/>
        </w:rPr>
        <w:t>Entire Period: 2000-2016</w:t>
      </w:r>
    </w:p>
    <w:p w14:paraId="38B733F1" w14:textId="77777777" w:rsidR="00F70B9C" w:rsidRPr="002C5DE1" w:rsidRDefault="00F70B9C" w:rsidP="00F70B9C">
      <w:pPr>
        <w:pBdr>
          <w:top w:val="single" w:sz="6" w:space="1" w:color="auto"/>
          <w:bottom w:val="single" w:sz="6" w:space="1" w:color="auto"/>
        </w:pBdr>
        <w:spacing w:after="0" w:line="240" w:lineRule="auto"/>
        <w:jc w:val="both"/>
        <w:rPr>
          <w:rFonts w:ascii="Times New Roman" w:hAnsi="Times New Roman" w:cs="Times New Roman"/>
          <w:b/>
          <w:color w:val="000000" w:themeColor="text1"/>
          <w:lang w:val="en-US"/>
        </w:rPr>
      </w:pPr>
      <w:r w:rsidRPr="002C5DE1">
        <w:rPr>
          <w:rFonts w:ascii="Times New Roman" w:hAnsi="Times New Roman" w:cs="Times New Roman"/>
          <w:b/>
          <w:color w:val="000000" w:themeColor="text1"/>
          <w:lang w:val="en-US"/>
        </w:rPr>
        <w:t xml:space="preserve">Variable                              Equation (2)          </w:t>
      </w:r>
      <w:r w:rsidR="000F28A9" w:rsidRPr="002C5DE1">
        <w:rPr>
          <w:rFonts w:ascii="Times New Roman" w:hAnsi="Times New Roman" w:cs="Times New Roman"/>
          <w:b/>
          <w:color w:val="000000" w:themeColor="text1"/>
          <w:lang w:val="en-US"/>
        </w:rPr>
        <w:t xml:space="preserve">       </w:t>
      </w:r>
      <w:r w:rsidRPr="002C5DE1">
        <w:rPr>
          <w:rFonts w:ascii="Times New Roman" w:hAnsi="Times New Roman" w:cs="Times New Roman"/>
          <w:b/>
          <w:color w:val="000000" w:themeColor="text1"/>
          <w:lang w:val="en-US"/>
        </w:rPr>
        <w:t>Equation (3)</w:t>
      </w:r>
    </w:p>
    <w:p w14:paraId="675068CF" w14:textId="77777777" w:rsidR="00F70B9C" w:rsidRPr="002C5DE1" w:rsidRDefault="00F70B9C" w:rsidP="00F70B9C">
      <w:pPr>
        <w:spacing w:after="0" w:line="240" w:lineRule="auto"/>
        <w:jc w:val="both"/>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Threshold estimate</w:t>
      </w:r>
    </w:p>
    <w:p w14:paraId="12D1B940" w14:textId="77777777" w:rsidR="00F70B9C" w:rsidRPr="002C5DE1" w:rsidRDefault="00F70B9C" w:rsidP="00F70B9C">
      <w:pPr>
        <w:spacing w:after="0" w:line="240" w:lineRule="auto"/>
        <w:jc w:val="both"/>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γ</w:t>
      </w:r>
      <w:r w:rsidRPr="002C5DE1">
        <w:rPr>
          <w:rFonts w:ascii="Times New Roman" w:hAnsi="Times New Roman" w:cs="Times New Roman"/>
          <w:color w:val="000000" w:themeColor="text1"/>
          <w:sz w:val="20"/>
          <w:szCs w:val="20"/>
          <w:vertAlign w:val="superscript"/>
          <w:lang w:val="en-US"/>
        </w:rPr>
        <w:t>1</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0.58</w:t>
      </w:r>
    </w:p>
    <w:p w14:paraId="12BC7CE2" w14:textId="77777777" w:rsidR="00F70B9C" w:rsidRPr="002C5DE1" w:rsidRDefault="00F70B9C" w:rsidP="00F70B9C">
      <w:pPr>
        <w:spacing w:after="0" w:line="240" w:lineRule="auto"/>
        <w:jc w:val="both"/>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95% confidence interval</w:t>
      </w:r>
      <w:r w:rsidRPr="002C5DE1">
        <w:rPr>
          <w:rFonts w:ascii="Times New Roman" w:hAnsi="Times New Roman" w:cs="Times New Roman"/>
          <w:color w:val="000000" w:themeColor="text1"/>
          <w:sz w:val="20"/>
          <w:szCs w:val="20"/>
          <w:lang w:val="en-US"/>
        </w:rPr>
        <w:tab/>
        <w:t xml:space="preserve">      </w:t>
      </w:r>
      <w:proofErr w:type="gramStart"/>
      <w:r w:rsidRPr="002C5DE1">
        <w:rPr>
          <w:rFonts w:ascii="Times New Roman" w:hAnsi="Times New Roman" w:cs="Times New Roman"/>
          <w:color w:val="000000" w:themeColor="text1"/>
          <w:sz w:val="20"/>
          <w:szCs w:val="20"/>
          <w:lang w:val="en-US"/>
        </w:rPr>
        <w:t xml:space="preserve">   [</w:t>
      </w:r>
      <w:proofErr w:type="gramEnd"/>
      <w:r w:rsidRPr="002C5DE1">
        <w:rPr>
          <w:rFonts w:ascii="Times New Roman" w:hAnsi="Times New Roman" w:cs="Times New Roman"/>
          <w:color w:val="000000" w:themeColor="text1"/>
          <w:sz w:val="20"/>
          <w:szCs w:val="20"/>
          <w:lang w:val="en-US"/>
        </w:rPr>
        <w:t>0.54-0.61]</w:t>
      </w:r>
    </w:p>
    <w:p w14:paraId="640F9928" w14:textId="77777777" w:rsidR="00F70B9C" w:rsidRPr="002C5DE1" w:rsidRDefault="00F70B9C" w:rsidP="00F70B9C">
      <w:pPr>
        <w:spacing w:after="0" w:line="240" w:lineRule="auto"/>
        <w:jc w:val="both"/>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γ</w:t>
      </w:r>
      <w:r w:rsidRPr="002C5DE1">
        <w:rPr>
          <w:rFonts w:ascii="Times New Roman" w:hAnsi="Times New Roman" w:cs="Times New Roman"/>
          <w:color w:val="000000" w:themeColor="text1"/>
          <w:sz w:val="20"/>
          <w:szCs w:val="20"/>
          <w:vertAlign w:val="superscript"/>
          <w:lang w:val="en-US"/>
        </w:rPr>
        <w:t>2</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000443BF" w:rsidRPr="002C5DE1">
        <w:rPr>
          <w:rFonts w:ascii="Times New Roman" w:hAnsi="Times New Roman" w:cs="Times New Roman"/>
          <w:color w:val="000000" w:themeColor="text1"/>
          <w:sz w:val="20"/>
          <w:szCs w:val="20"/>
          <w:lang w:val="en-US"/>
        </w:rPr>
        <w:t>1.88</w:t>
      </w:r>
    </w:p>
    <w:p w14:paraId="45737011" w14:textId="77777777" w:rsidR="00F70B9C" w:rsidRPr="002C5DE1" w:rsidRDefault="00F70B9C" w:rsidP="00F70B9C">
      <w:pPr>
        <w:spacing w:after="0" w:line="240" w:lineRule="auto"/>
        <w:jc w:val="both"/>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95% confidence interval</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 xml:space="preserve">     </w:t>
      </w:r>
      <w:proofErr w:type="gramStart"/>
      <w:r w:rsidRPr="002C5DE1">
        <w:rPr>
          <w:rFonts w:ascii="Times New Roman" w:hAnsi="Times New Roman" w:cs="Times New Roman"/>
          <w:color w:val="000000" w:themeColor="text1"/>
          <w:sz w:val="20"/>
          <w:szCs w:val="20"/>
          <w:lang w:val="en-US"/>
        </w:rPr>
        <w:t xml:space="preserve">   [</w:t>
      </w:r>
      <w:proofErr w:type="gramEnd"/>
      <w:r w:rsidR="000443BF" w:rsidRPr="002C5DE1">
        <w:rPr>
          <w:rFonts w:ascii="Times New Roman" w:hAnsi="Times New Roman" w:cs="Times New Roman"/>
          <w:color w:val="000000" w:themeColor="text1"/>
          <w:sz w:val="20"/>
          <w:szCs w:val="20"/>
          <w:lang w:val="en-US"/>
        </w:rPr>
        <w:t>1</w:t>
      </w:r>
      <w:r w:rsidRPr="002C5DE1">
        <w:rPr>
          <w:rFonts w:ascii="Times New Roman" w:hAnsi="Times New Roman" w:cs="Times New Roman"/>
          <w:color w:val="000000" w:themeColor="text1"/>
          <w:sz w:val="20"/>
          <w:szCs w:val="20"/>
          <w:lang w:val="en-US"/>
        </w:rPr>
        <w:t>.</w:t>
      </w:r>
      <w:r w:rsidR="000443BF" w:rsidRPr="002C5DE1">
        <w:rPr>
          <w:rFonts w:ascii="Times New Roman" w:hAnsi="Times New Roman" w:cs="Times New Roman"/>
          <w:color w:val="000000" w:themeColor="text1"/>
          <w:sz w:val="20"/>
          <w:szCs w:val="20"/>
          <w:lang w:val="en-US"/>
        </w:rPr>
        <w:t>86</w:t>
      </w:r>
      <w:r w:rsidRPr="002C5DE1">
        <w:rPr>
          <w:rFonts w:ascii="Times New Roman" w:hAnsi="Times New Roman" w:cs="Times New Roman"/>
          <w:color w:val="000000" w:themeColor="text1"/>
          <w:sz w:val="20"/>
          <w:szCs w:val="20"/>
          <w:lang w:val="en-US"/>
        </w:rPr>
        <w:t>-</w:t>
      </w:r>
      <w:r w:rsidR="000443BF" w:rsidRPr="002C5DE1">
        <w:rPr>
          <w:rFonts w:ascii="Times New Roman" w:hAnsi="Times New Roman" w:cs="Times New Roman"/>
          <w:color w:val="000000" w:themeColor="text1"/>
          <w:sz w:val="20"/>
          <w:szCs w:val="20"/>
          <w:lang w:val="en-US"/>
        </w:rPr>
        <w:t>1</w:t>
      </w:r>
      <w:r w:rsidRPr="002C5DE1">
        <w:rPr>
          <w:rFonts w:ascii="Times New Roman" w:hAnsi="Times New Roman" w:cs="Times New Roman"/>
          <w:color w:val="000000" w:themeColor="text1"/>
          <w:sz w:val="20"/>
          <w:szCs w:val="20"/>
          <w:lang w:val="en-US"/>
        </w:rPr>
        <w:t>.</w:t>
      </w:r>
      <w:r w:rsidR="000443BF" w:rsidRPr="002C5DE1">
        <w:rPr>
          <w:rFonts w:ascii="Times New Roman" w:hAnsi="Times New Roman" w:cs="Times New Roman"/>
          <w:color w:val="000000" w:themeColor="text1"/>
          <w:sz w:val="20"/>
          <w:szCs w:val="20"/>
          <w:lang w:val="en-US"/>
        </w:rPr>
        <w:t>90</w:t>
      </w:r>
      <w:r w:rsidRPr="002C5DE1">
        <w:rPr>
          <w:rFonts w:ascii="Times New Roman" w:hAnsi="Times New Roman" w:cs="Times New Roman"/>
          <w:color w:val="000000" w:themeColor="text1"/>
          <w:sz w:val="20"/>
          <w:szCs w:val="20"/>
          <w:lang w:val="en-US"/>
        </w:rPr>
        <w:t>]</w:t>
      </w:r>
    </w:p>
    <w:p w14:paraId="789F2286" w14:textId="77777777" w:rsidR="00F70B9C" w:rsidRPr="002C5DE1" w:rsidRDefault="00F70B9C" w:rsidP="00F70B9C">
      <w:pPr>
        <w:spacing w:after="0" w:line="240" w:lineRule="auto"/>
        <w:jc w:val="both"/>
        <w:rPr>
          <w:rFonts w:ascii="Times New Roman" w:hAnsi="Times New Roman" w:cs="Times New Roman"/>
          <w:color w:val="000000" w:themeColor="text1"/>
          <w:sz w:val="20"/>
          <w:szCs w:val="20"/>
          <w:lang w:val="en-US"/>
        </w:rPr>
      </w:pPr>
    </w:p>
    <w:p w14:paraId="0BFC7388" w14:textId="77777777" w:rsidR="00F70B9C" w:rsidRPr="002C5DE1" w:rsidRDefault="00F70B9C" w:rsidP="00F70B9C">
      <w:pPr>
        <w:spacing w:after="0" w:line="240" w:lineRule="auto"/>
        <w:jc w:val="both"/>
        <w:rPr>
          <w:rFonts w:ascii="Times New Roman" w:hAnsi="Times New Roman" w:cs="Times New Roman"/>
          <w:i/>
          <w:color w:val="000000" w:themeColor="text1"/>
          <w:sz w:val="20"/>
          <w:szCs w:val="20"/>
          <w:lang w:val="en-US"/>
        </w:rPr>
      </w:pPr>
      <w:r w:rsidRPr="002C5DE1">
        <w:rPr>
          <w:rFonts w:ascii="Times New Roman" w:hAnsi="Times New Roman" w:cs="Times New Roman"/>
          <w:i/>
          <w:color w:val="000000" w:themeColor="text1"/>
          <w:sz w:val="20"/>
          <w:szCs w:val="20"/>
          <w:lang w:val="en-US"/>
        </w:rPr>
        <w:t>Regime-dependent variables</w:t>
      </w:r>
    </w:p>
    <w:p w14:paraId="6EE8DDD4" w14:textId="77777777" w:rsidR="00F70B9C" w:rsidRPr="002C5DE1" w:rsidRDefault="00F70B9C" w:rsidP="00F70B9C">
      <w:pPr>
        <w:spacing w:after="0" w:line="240" w:lineRule="auto"/>
        <w:jc w:val="both"/>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θ</w:t>
      </w:r>
      <w:r w:rsidRPr="002C5DE1">
        <w:rPr>
          <w:rFonts w:ascii="Times New Roman" w:hAnsi="Times New Roman" w:cs="Times New Roman"/>
          <w:color w:val="000000" w:themeColor="text1"/>
          <w:sz w:val="20"/>
          <w:szCs w:val="20"/>
          <w:vertAlign w:val="subscript"/>
          <w:lang w:val="en-US"/>
        </w:rPr>
        <w:t>1</w:t>
      </w:r>
      <w:r w:rsidRPr="002C5DE1">
        <w:rPr>
          <w:rFonts w:ascii="Times New Roman" w:hAnsi="Times New Roman" w:cs="Times New Roman"/>
          <w:color w:val="000000" w:themeColor="text1"/>
          <w:sz w:val="20"/>
          <w:szCs w:val="20"/>
          <w:lang w:val="en-US"/>
        </w:rPr>
        <w:t xml:space="preserve"> (coefficient below γ</w:t>
      </w:r>
      <w:r w:rsidRPr="002C5DE1">
        <w:rPr>
          <w:rFonts w:ascii="Times New Roman" w:hAnsi="Times New Roman" w:cs="Times New Roman"/>
          <w:color w:val="000000" w:themeColor="text1"/>
          <w:sz w:val="20"/>
          <w:szCs w:val="20"/>
          <w:vertAlign w:val="superscript"/>
          <w:lang w:val="en-US"/>
        </w:rPr>
        <w:t>1</w:t>
      </w:r>
      <w:r w:rsidRPr="002C5DE1">
        <w:rPr>
          <w:rFonts w:ascii="Times New Roman" w:hAnsi="Times New Roman" w:cs="Times New Roman"/>
          <w:color w:val="000000" w:themeColor="text1"/>
          <w:sz w:val="20"/>
          <w:szCs w:val="20"/>
          <w:lang w:val="en-US"/>
        </w:rPr>
        <w:t>)</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0.043</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p>
    <w:p w14:paraId="7692FB68" w14:textId="77777777" w:rsidR="00F70B9C" w:rsidRPr="002C5DE1" w:rsidRDefault="00F70B9C" w:rsidP="00F70B9C">
      <w:pPr>
        <w:spacing w:after="0" w:line="240" w:lineRule="auto"/>
        <w:jc w:val="both"/>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[0.18]</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p>
    <w:p w14:paraId="7FC3CC79" w14:textId="77777777" w:rsidR="00F70B9C" w:rsidRPr="002C5DE1" w:rsidRDefault="00D76A00" w:rsidP="00F70B9C">
      <w:pPr>
        <w:spacing w:after="0" w:line="240" w:lineRule="auto"/>
        <w:jc w:val="both"/>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No. of obs.</w:t>
      </w:r>
      <w:r w:rsidR="00F70B9C" w:rsidRPr="002C5DE1">
        <w:rPr>
          <w:rFonts w:ascii="Times New Roman" w:hAnsi="Times New Roman" w:cs="Times New Roman"/>
          <w:color w:val="000000" w:themeColor="text1"/>
          <w:sz w:val="20"/>
          <w:szCs w:val="20"/>
          <w:lang w:val="en-US"/>
        </w:rPr>
        <w:tab/>
      </w:r>
      <w:r w:rsidR="00F70B9C" w:rsidRPr="002C5DE1">
        <w:rPr>
          <w:rFonts w:ascii="Times New Roman" w:hAnsi="Times New Roman" w:cs="Times New Roman"/>
          <w:color w:val="000000" w:themeColor="text1"/>
          <w:sz w:val="20"/>
          <w:szCs w:val="20"/>
          <w:lang w:val="en-US"/>
        </w:rPr>
        <w:tab/>
      </w:r>
      <w:r w:rsidR="00F70B9C" w:rsidRPr="002C5DE1">
        <w:rPr>
          <w:rFonts w:ascii="Times New Roman" w:hAnsi="Times New Roman" w:cs="Times New Roman"/>
          <w:color w:val="000000" w:themeColor="text1"/>
          <w:sz w:val="20"/>
          <w:szCs w:val="20"/>
          <w:lang w:val="en-US"/>
        </w:rPr>
        <w:tab/>
        <w:t>719</w:t>
      </w:r>
      <w:r w:rsidR="00F70B9C" w:rsidRPr="002C5DE1">
        <w:rPr>
          <w:rFonts w:ascii="Times New Roman" w:hAnsi="Times New Roman" w:cs="Times New Roman"/>
          <w:color w:val="000000" w:themeColor="text1"/>
          <w:sz w:val="20"/>
          <w:szCs w:val="20"/>
          <w:lang w:val="en-US"/>
        </w:rPr>
        <w:tab/>
      </w:r>
      <w:r w:rsidR="00F70B9C" w:rsidRPr="002C5DE1">
        <w:rPr>
          <w:rFonts w:ascii="Times New Roman" w:hAnsi="Times New Roman" w:cs="Times New Roman"/>
          <w:color w:val="000000" w:themeColor="text1"/>
          <w:sz w:val="20"/>
          <w:szCs w:val="20"/>
          <w:lang w:val="en-US"/>
        </w:rPr>
        <w:tab/>
      </w:r>
      <w:r w:rsidR="00F70B9C" w:rsidRPr="002C5DE1">
        <w:rPr>
          <w:rFonts w:ascii="Times New Roman" w:hAnsi="Times New Roman" w:cs="Times New Roman"/>
          <w:color w:val="000000" w:themeColor="text1"/>
          <w:sz w:val="20"/>
          <w:szCs w:val="20"/>
          <w:lang w:val="en-US"/>
        </w:rPr>
        <w:tab/>
      </w:r>
      <w:r w:rsidR="00F70B9C" w:rsidRPr="002C5DE1">
        <w:rPr>
          <w:rFonts w:ascii="Times New Roman" w:hAnsi="Times New Roman" w:cs="Times New Roman"/>
          <w:color w:val="000000" w:themeColor="text1"/>
          <w:sz w:val="20"/>
          <w:szCs w:val="20"/>
          <w:lang w:val="en-US"/>
        </w:rPr>
        <w:tab/>
      </w:r>
      <w:r w:rsidR="00F70B9C" w:rsidRPr="002C5DE1">
        <w:rPr>
          <w:rFonts w:ascii="Times New Roman" w:hAnsi="Times New Roman" w:cs="Times New Roman"/>
          <w:color w:val="000000" w:themeColor="text1"/>
          <w:sz w:val="20"/>
          <w:szCs w:val="20"/>
          <w:lang w:val="en-US"/>
        </w:rPr>
        <w:tab/>
      </w:r>
    </w:p>
    <w:p w14:paraId="15883C5D" w14:textId="77777777" w:rsidR="00F70B9C" w:rsidRPr="002C5DE1" w:rsidRDefault="00F70B9C" w:rsidP="00F70B9C">
      <w:pPr>
        <w:spacing w:after="0" w:line="240" w:lineRule="auto"/>
        <w:jc w:val="both"/>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θ</w:t>
      </w:r>
      <w:r w:rsidRPr="002C5DE1">
        <w:rPr>
          <w:rFonts w:ascii="Times New Roman" w:hAnsi="Times New Roman" w:cs="Times New Roman"/>
          <w:color w:val="000000" w:themeColor="text1"/>
          <w:sz w:val="20"/>
          <w:szCs w:val="20"/>
          <w:vertAlign w:val="subscript"/>
          <w:lang w:val="en-US"/>
        </w:rPr>
        <w:t>2</w:t>
      </w:r>
      <w:r w:rsidRPr="002C5DE1">
        <w:rPr>
          <w:rFonts w:ascii="Times New Roman" w:hAnsi="Times New Roman" w:cs="Times New Roman"/>
          <w:color w:val="000000" w:themeColor="text1"/>
          <w:sz w:val="20"/>
          <w:szCs w:val="20"/>
          <w:lang w:val="en-US"/>
        </w:rPr>
        <w:t xml:space="preserve"> (coefficient above γ</w:t>
      </w:r>
      <w:r w:rsidRPr="002C5DE1">
        <w:rPr>
          <w:rFonts w:ascii="Times New Roman" w:hAnsi="Times New Roman" w:cs="Times New Roman"/>
          <w:color w:val="000000" w:themeColor="text1"/>
          <w:sz w:val="20"/>
          <w:szCs w:val="20"/>
          <w:vertAlign w:val="superscript"/>
          <w:lang w:val="en-US"/>
        </w:rPr>
        <w:t>1</w:t>
      </w:r>
      <w:r w:rsidRPr="002C5DE1">
        <w:rPr>
          <w:rFonts w:ascii="Times New Roman" w:hAnsi="Times New Roman" w:cs="Times New Roman"/>
          <w:color w:val="000000" w:themeColor="text1"/>
          <w:sz w:val="20"/>
          <w:szCs w:val="20"/>
          <w:lang w:val="en-US"/>
        </w:rPr>
        <w:t>)</w:t>
      </w:r>
      <w:r w:rsidRPr="002C5DE1">
        <w:rPr>
          <w:rFonts w:ascii="Times New Roman" w:hAnsi="Times New Roman" w:cs="Times New Roman"/>
          <w:color w:val="000000" w:themeColor="text1"/>
          <w:sz w:val="20"/>
          <w:szCs w:val="20"/>
          <w:lang w:val="en-US"/>
        </w:rPr>
        <w:tab/>
        <w:t xml:space="preserve">              0.095***</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p>
    <w:p w14:paraId="26807FBF" w14:textId="77777777" w:rsidR="00F70B9C" w:rsidRPr="002C5DE1" w:rsidRDefault="00F70B9C" w:rsidP="00F70B9C">
      <w:pPr>
        <w:spacing w:after="0" w:line="240" w:lineRule="auto"/>
        <w:jc w:val="both"/>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[0.00]</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p>
    <w:p w14:paraId="2AB19290" w14:textId="77777777" w:rsidR="00F70B9C" w:rsidRPr="002C5DE1" w:rsidRDefault="00D76A00" w:rsidP="00F70B9C">
      <w:pPr>
        <w:spacing w:after="0" w:line="240" w:lineRule="auto"/>
        <w:jc w:val="both"/>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No. of obs.</w:t>
      </w:r>
      <w:r w:rsidR="00F70B9C" w:rsidRPr="002C5DE1">
        <w:rPr>
          <w:rFonts w:ascii="Times New Roman" w:hAnsi="Times New Roman" w:cs="Times New Roman"/>
          <w:color w:val="000000" w:themeColor="text1"/>
          <w:sz w:val="20"/>
          <w:szCs w:val="20"/>
          <w:lang w:val="en-US"/>
        </w:rPr>
        <w:tab/>
      </w:r>
      <w:r w:rsidR="00F70B9C" w:rsidRPr="002C5DE1">
        <w:rPr>
          <w:rFonts w:ascii="Times New Roman" w:hAnsi="Times New Roman" w:cs="Times New Roman"/>
          <w:color w:val="000000" w:themeColor="text1"/>
          <w:sz w:val="20"/>
          <w:szCs w:val="20"/>
          <w:lang w:val="en-US"/>
        </w:rPr>
        <w:tab/>
      </w:r>
      <w:r w:rsidR="00F70B9C"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913</w:t>
      </w:r>
    </w:p>
    <w:p w14:paraId="79505F6C" w14:textId="77777777" w:rsidR="00F70B9C" w:rsidRPr="002C5DE1" w:rsidRDefault="00F70B9C" w:rsidP="00F70B9C">
      <w:pPr>
        <w:spacing w:after="0" w:line="240" w:lineRule="auto"/>
        <w:jc w:val="both"/>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θ</w:t>
      </w:r>
      <w:r w:rsidRPr="002C5DE1">
        <w:rPr>
          <w:rFonts w:ascii="Times New Roman" w:hAnsi="Times New Roman" w:cs="Times New Roman"/>
          <w:color w:val="000000" w:themeColor="text1"/>
          <w:sz w:val="20"/>
          <w:szCs w:val="20"/>
          <w:vertAlign w:val="subscript"/>
          <w:lang w:val="en-US"/>
        </w:rPr>
        <w:t>5</w:t>
      </w:r>
      <w:r w:rsidRPr="002C5DE1">
        <w:rPr>
          <w:rFonts w:ascii="Times New Roman" w:hAnsi="Times New Roman" w:cs="Times New Roman"/>
          <w:color w:val="000000" w:themeColor="text1"/>
          <w:sz w:val="20"/>
          <w:szCs w:val="20"/>
          <w:lang w:val="en-US"/>
        </w:rPr>
        <w:t xml:space="preserve"> (coefficient below γ</w:t>
      </w:r>
      <w:r w:rsidRPr="002C5DE1">
        <w:rPr>
          <w:rFonts w:ascii="Times New Roman" w:hAnsi="Times New Roman" w:cs="Times New Roman"/>
          <w:color w:val="000000" w:themeColor="text1"/>
          <w:sz w:val="20"/>
          <w:szCs w:val="20"/>
          <w:vertAlign w:val="superscript"/>
          <w:lang w:val="en-US"/>
        </w:rPr>
        <w:t>2</w:t>
      </w:r>
      <w:r w:rsidRPr="002C5DE1">
        <w:rPr>
          <w:rFonts w:ascii="Times New Roman" w:hAnsi="Times New Roman" w:cs="Times New Roman"/>
          <w:color w:val="000000" w:themeColor="text1"/>
          <w:sz w:val="20"/>
          <w:szCs w:val="20"/>
          <w:lang w:val="en-US"/>
        </w:rPr>
        <w:t>)</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0.038</w:t>
      </w:r>
    </w:p>
    <w:p w14:paraId="1B69AC85" w14:textId="77777777" w:rsidR="00F70B9C" w:rsidRPr="002C5DE1" w:rsidRDefault="00F70B9C" w:rsidP="00F70B9C">
      <w:pPr>
        <w:spacing w:after="0" w:line="240" w:lineRule="auto"/>
        <w:jc w:val="both"/>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[0.25]</w:t>
      </w:r>
    </w:p>
    <w:p w14:paraId="400C2E94" w14:textId="77777777" w:rsidR="00F70B9C" w:rsidRPr="002C5DE1" w:rsidRDefault="00D76A00" w:rsidP="00F70B9C">
      <w:pPr>
        <w:spacing w:after="0" w:line="240" w:lineRule="auto"/>
        <w:jc w:val="both"/>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No. of obs.</w:t>
      </w:r>
      <w:r w:rsidR="00F70B9C" w:rsidRPr="002C5DE1">
        <w:rPr>
          <w:rFonts w:ascii="Times New Roman" w:hAnsi="Times New Roman" w:cs="Times New Roman"/>
          <w:color w:val="000000" w:themeColor="text1"/>
          <w:sz w:val="20"/>
          <w:szCs w:val="20"/>
          <w:lang w:val="en-US"/>
        </w:rPr>
        <w:tab/>
      </w:r>
      <w:r w:rsidR="00F70B9C" w:rsidRPr="002C5DE1">
        <w:rPr>
          <w:rFonts w:ascii="Times New Roman" w:hAnsi="Times New Roman" w:cs="Times New Roman"/>
          <w:color w:val="000000" w:themeColor="text1"/>
          <w:sz w:val="20"/>
          <w:szCs w:val="20"/>
          <w:lang w:val="en-US"/>
        </w:rPr>
        <w:tab/>
      </w:r>
      <w:r w:rsidR="00F70B9C" w:rsidRPr="002C5DE1">
        <w:rPr>
          <w:rFonts w:ascii="Times New Roman" w:hAnsi="Times New Roman" w:cs="Times New Roman"/>
          <w:color w:val="000000" w:themeColor="text1"/>
          <w:sz w:val="20"/>
          <w:szCs w:val="20"/>
          <w:lang w:val="en-US"/>
        </w:rPr>
        <w:tab/>
      </w:r>
      <w:r w:rsidR="00F70B9C" w:rsidRPr="002C5DE1">
        <w:rPr>
          <w:rFonts w:ascii="Times New Roman" w:hAnsi="Times New Roman" w:cs="Times New Roman"/>
          <w:color w:val="000000" w:themeColor="text1"/>
          <w:sz w:val="20"/>
          <w:szCs w:val="20"/>
          <w:lang w:val="en-US"/>
        </w:rPr>
        <w:tab/>
      </w:r>
      <w:r w:rsidR="00F70B9C" w:rsidRPr="002C5DE1">
        <w:rPr>
          <w:rFonts w:ascii="Times New Roman" w:hAnsi="Times New Roman" w:cs="Times New Roman"/>
          <w:color w:val="000000" w:themeColor="text1"/>
          <w:sz w:val="20"/>
          <w:szCs w:val="20"/>
          <w:lang w:val="en-US"/>
        </w:rPr>
        <w:tab/>
      </w:r>
      <w:r w:rsidR="00F70B9C" w:rsidRPr="002C5DE1">
        <w:rPr>
          <w:rFonts w:ascii="Times New Roman" w:hAnsi="Times New Roman" w:cs="Times New Roman"/>
          <w:color w:val="000000" w:themeColor="text1"/>
          <w:sz w:val="20"/>
          <w:szCs w:val="20"/>
          <w:lang w:val="en-US"/>
        </w:rPr>
        <w:tab/>
        <w:t>688</w:t>
      </w:r>
    </w:p>
    <w:p w14:paraId="2E63A973" w14:textId="77777777" w:rsidR="00F70B9C" w:rsidRPr="002C5DE1" w:rsidRDefault="00F70B9C" w:rsidP="00F70B9C">
      <w:pPr>
        <w:spacing w:after="0" w:line="240" w:lineRule="auto"/>
        <w:jc w:val="both"/>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θ</w:t>
      </w:r>
      <w:r w:rsidRPr="002C5DE1">
        <w:rPr>
          <w:rFonts w:ascii="Times New Roman" w:hAnsi="Times New Roman" w:cs="Times New Roman"/>
          <w:color w:val="000000" w:themeColor="text1"/>
          <w:sz w:val="20"/>
          <w:szCs w:val="20"/>
          <w:vertAlign w:val="subscript"/>
          <w:lang w:val="en-US"/>
        </w:rPr>
        <w:t>6</w:t>
      </w:r>
      <w:r w:rsidRPr="002C5DE1">
        <w:rPr>
          <w:rFonts w:ascii="Times New Roman" w:hAnsi="Times New Roman" w:cs="Times New Roman"/>
          <w:color w:val="000000" w:themeColor="text1"/>
          <w:sz w:val="20"/>
          <w:szCs w:val="20"/>
          <w:lang w:val="en-US"/>
        </w:rPr>
        <w:t xml:space="preserve"> (coefficient above γ</w:t>
      </w:r>
      <w:r w:rsidRPr="002C5DE1">
        <w:rPr>
          <w:rFonts w:ascii="Times New Roman" w:hAnsi="Times New Roman" w:cs="Times New Roman"/>
          <w:color w:val="000000" w:themeColor="text1"/>
          <w:sz w:val="20"/>
          <w:szCs w:val="20"/>
          <w:vertAlign w:val="superscript"/>
          <w:lang w:val="en-US"/>
        </w:rPr>
        <w:t>2</w:t>
      </w:r>
      <w:r w:rsidRPr="002C5DE1">
        <w:rPr>
          <w:rFonts w:ascii="Times New Roman" w:hAnsi="Times New Roman" w:cs="Times New Roman"/>
          <w:color w:val="000000" w:themeColor="text1"/>
          <w:sz w:val="20"/>
          <w:szCs w:val="20"/>
          <w:lang w:val="en-US"/>
        </w:rPr>
        <w:t>)</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0.065**</w:t>
      </w:r>
    </w:p>
    <w:p w14:paraId="406877C5" w14:textId="77777777" w:rsidR="00F70B9C" w:rsidRPr="002C5DE1" w:rsidRDefault="00F70B9C" w:rsidP="00F70B9C">
      <w:pPr>
        <w:spacing w:after="0" w:line="240" w:lineRule="auto"/>
        <w:jc w:val="both"/>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[0.03]</w:t>
      </w:r>
    </w:p>
    <w:p w14:paraId="02C795FD" w14:textId="77777777" w:rsidR="00F70B9C" w:rsidRPr="002C5DE1" w:rsidRDefault="00D76A00" w:rsidP="00F70B9C">
      <w:pPr>
        <w:spacing w:after="0" w:line="240" w:lineRule="auto"/>
        <w:jc w:val="both"/>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No. of obs.</w:t>
      </w:r>
      <w:r w:rsidR="00F70B9C" w:rsidRPr="002C5DE1">
        <w:rPr>
          <w:rFonts w:ascii="Times New Roman" w:hAnsi="Times New Roman" w:cs="Times New Roman"/>
          <w:color w:val="000000" w:themeColor="text1"/>
          <w:sz w:val="20"/>
          <w:szCs w:val="20"/>
          <w:lang w:val="en-US"/>
        </w:rPr>
        <w:tab/>
      </w:r>
      <w:r w:rsidR="00F70B9C" w:rsidRPr="002C5DE1">
        <w:rPr>
          <w:rFonts w:ascii="Times New Roman" w:hAnsi="Times New Roman" w:cs="Times New Roman"/>
          <w:color w:val="000000" w:themeColor="text1"/>
          <w:sz w:val="20"/>
          <w:szCs w:val="20"/>
          <w:lang w:val="en-US"/>
        </w:rPr>
        <w:tab/>
      </w:r>
      <w:r w:rsidR="00F70B9C" w:rsidRPr="002C5DE1">
        <w:rPr>
          <w:rFonts w:ascii="Times New Roman" w:hAnsi="Times New Roman" w:cs="Times New Roman"/>
          <w:color w:val="000000" w:themeColor="text1"/>
          <w:sz w:val="20"/>
          <w:szCs w:val="20"/>
          <w:lang w:val="en-US"/>
        </w:rPr>
        <w:tab/>
      </w:r>
      <w:r w:rsidR="00F70B9C" w:rsidRPr="002C5DE1">
        <w:rPr>
          <w:rFonts w:ascii="Times New Roman" w:hAnsi="Times New Roman" w:cs="Times New Roman"/>
          <w:color w:val="000000" w:themeColor="text1"/>
          <w:sz w:val="20"/>
          <w:szCs w:val="20"/>
          <w:lang w:val="en-US"/>
        </w:rPr>
        <w:tab/>
      </w:r>
      <w:r w:rsidR="00F70B9C" w:rsidRPr="002C5DE1">
        <w:rPr>
          <w:rFonts w:ascii="Times New Roman" w:hAnsi="Times New Roman" w:cs="Times New Roman"/>
          <w:color w:val="000000" w:themeColor="text1"/>
          <w:sz w:val="20"/>
          <w:szCs w:val="20"/>
          <w:lang w:val="en-US"/>
        </w:rPr>
        <w:tab/>
      </w:r>
      <w:r w:rsidR="00F70B9C"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944</w:t>
      </w:r>
    </w:p>
    <w:p w14:paraId="3DD1C115" w14:textId="77777777" w:rsidR="00F70B9C" w:rsidRPr="002C5DE1" w:rsidRDefault="00F70B9C" w:rsidP="00F70B9C">
      <w:pPr>
        <w:spacing w:after="0" w:line="240" w:lineRule="auto"/>
        <w:jc w:val="both"/>
        <w:rPr>
          <w:rFonts w:ascii="Times New Roman" w:hAnsi="Times New Roman" w:cs="Times New Roman"/>
          <w:i/>
          <w:color w:val="000000" w:themeColor="text1"/>
          <w:sz w:val="20"/>
          <w:szCs w:val="20"/>
          <w:lang w:val="en-US"/>
        </w:rPr>
      </w:pPr>
    </w:p>
    <w:p w14:paraId="32E928FC" w14:textId="77777777" w:rsidR="00F70B9C" w:rsidRPr="002C5DE1" w:rsidRDefault="00F70B9C" w:rsidP="00F70B9C">
      <w:pPr>
        <w:spacing w:after="0" w:line="240" w:lineRule="auto"/>
        <w:jc w:val="both"/>
        <w:rPr>
          <w:rFonts w:ascii="Times New Roman" w:hAnsi="Times New Roman" w:cs="Times New Roman"/>
          <w:i/>
          <w:color w:val="000000" w:themeColor="text1"/>
          <w:sz w:val="20"/>
          <w:szCs w:val="20"/>
          <w:lang w:val="en-US"/>
        </w:rPr>
      </w:pPr>
      <w:r w:rsidRPr="002C5DE1">
        <w:rPr>
          <w:rFonts w:ascii="Times New Roman" w:hAnsi="Times New Roman" w:cs="Times New Roman"/>
          <w:i/>
          <w:color w:val="000000" w:themeColor="text1"/>
          <w:sz w:val="20"/>
          <w:szCs w:val="20"/>
          <w:lang w:val="en-US"/>
        </w:rPr>
        <w:t>Regime-independent variables</w:t>
      </w:r>
    </w:p>
    <w:p w14:paraId="35D61AAC" w14:textId="77777777" w:rsidR="00F70B9C" w:rsidRPr="002C5DE1" w:rsidRDefault="000F28A9" w:rsidP="00F70B9C">
      <w:pPr>
        <w:spacing w:after="0" w:line="240" w:lineRule="auto"/>
        <w:jc w:val="both"/>
        <w:rPr>
          <w:rFonts w:ascii="Times New Roman" w:hAnsi="Times New Roman" w:cs="Times New Roman"/>
          <w:color w:val="000000" w:themeColor="text1"/>
          <w:sz w:val="20"/>
          <w:szCs w:val="20"/>
          <w:lang w:val="en-US"/>
        </w:rPr>
      </w:pPr>
      <w:proofErr w:type="spellStart"/>
      <w:r w:rsidRPr="002C5DE1">
        <w:rPr>
          <w:rFonts w:ascii="Times New Roman" w:hAnsi="Times New Roman" w:cs="Times New Roman"/>
          <w:color w:val="000000" w:themeColor="text1"/>
          <w:sz w:val="20"/>
          <w:szCs w:val="20"/>
          <w:lang w:val="en-US"/>
        </w:rPr>
        <w:t>Δln</w:t>
      </w:r>
      <w:r w:rsidR="00F70B9C" w:rsidRPr="002C5DE1">
        <w:rPr>
          <w:rFonts w:ascii="Times New Roman" w:hAnsi="Times New Roman" w:cs="Times New Roman"/>
          <w:color w:val="000000" w:themeColor="text1"/>
          <w:sz w:val="20"/>
          <w:szCs w:val="20"/>
          <w:lang w:val="en-US"/>
        </w:rPr>
        <w:t>Stock</w:t>
      </w:r>
      <w:proofErr w:type="spellEnd"/>
      <w:r w:rsidR="00F70B9C" w:rsidRPr="002C5DE1">
        <w:rPr>
          <w:rFonts w:ascii="Times New Roman" w:hAnsi="Times New Roman" w:cs="Times New Roman"/>
          <w:color w:val="000000" w:themeColor="text1"/>
          <w:sz w:val="20"/>
          <w:szCs w:val="20"/>
          <w:lang w:val="en-US"/>
        </w:rPr>
        <w:t xml:space="preserve"> prices (θ</w:t>
      </w:r>
      <w:r w:rsidR="00F70B9C" w:rsidRPr="002C5DE1">
        <w:rPr>
          <w:rFonts w:ascii="Times New Roman" w:hAnsi="Times New Roman" w:cs="Times New Roman"/>
          <w:color w:val="000000" w:themeColor="text1"/>
          <w:sz w:val="20"/>
          <w:szCs w:val="20"/>
          <w:vertAlign w:val="subscript"/>
          <w:lang w:val="en-US"/>
        </w:rPr>
        <w:t>3</w:t>
      </w:r>
      <w:r w:rsidR="00F70B9C" w:rsidRPr="002C5DE1">
        <w:rPr>
          <w:rFonts w:ascii="Times New Roman" w:hAnsi="Times New Roman" w:cs="Times New Roman"/>
          <w:color w:val="000000" w:themeColor="text1"/>
          <w:sz w:val="20"/>
          <w:szCs w:val="20"/>
          <w:lang w:val="en-US"/>
        </w:rPr>
        <w:t>)</w:t>
      </w:r>
      <w:r w:rsidR="00F70B9C" w:rsidRPr="002C5DE1">
        <w:rPr>
          <w:rFonts w:ascii="Times New Roman" w:hAnsi="Times New Roman" w:cs="Times New Roman"/>
          <w:color w:val="000000" w:themeColor="text1"/>
          <w:sz w:val="20"/>
          <w:szCs w:val="20"/>
          <w:lang w:val="en-US"/>
        </w:rPr>
        <w:tab/>
      </w:r>
      <w:r w:rsidR="00F70B9C" w:rsidRPr="002C5DE1">
        <w:rPr>
          <w:rFonts w:ascii="Times New Roman" w:hAnsi="Times New Roman" w:cs="Times New Roman"/>
          <w:color w:val="000000" w:themeColor="text1"/>
          <w:sz w:val="20"/>
          <w:szCs w:val="20"/>
          <w:lang w:val="en-US"/>
        </w:rPr>
        <w:tab/>
        <w:t>0.086***</w:t>
      </w:r>
    </w:p>
    <w:p w14:paraId="71CA0B21" w14:textId="77777777" w:rsidR="00F70B9C" w:rsidRPr="002C5DE1" w:rsidRDefault="00F70B9C" w:rsidP="00F70B9C">
      <w:pPr>
        <w:spacing w:after="0" w:line="240" w:lineRule="auto"/>
        <w:jc w:val="both"/>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[0.00]</w:t>
      </w:r>
    </w:p>
    <w:p w14:paraId="6F19D83D" w14:textId="77777777" w:rsidR="00F70B9C" w:rsidRPr="002C5DE1" w:rsidRDefault="000F28A9" w:rsidP="00F70B9C">
      <w:pPr>
        <w:spacing w:after="0" w:line="240" w:lineRule="auto"/>
        <w:jc w:val="both"/>
        <w:rPr>
          <w:rFonts w:ascii="Times New Roman" w:hAnsi="Times New Roman" w:cs="Times New Roman"/>
          <w:color w:val="000000" w:themeColor="text1"/>
          <w:sz w:val="20"/>
          <w:szCs w:val="20"/>
          <w:lang w:val="en-US"/>
        </w:rPr>
      </w:pPr>
      <w:proofErr w:type="spellStart"/>
      <w:r w:rsidRPr="002C5DE1">
        <w:rPr>
          <w:rFonts w:ascii="Times New Roman" w:hAnsi="Times New Roman" w:cs="Times New Roman"/>
          <w:color w:val="000000" w:themeColor="text1"/>
          <w:sz w:val="20"/>
          <w:szCs w:val="20"/>
          <w:lang w:val="en-US"/>
        </w:rPr>
        <w:t>Δln</w:t>
      </w:r>
      <w:r w:rsidR="00F70B9C" w:rsidRPr="002C5DE1">
        <w:rPr>
          <w:rFonts w:ascii="Times New Roman" w:hAnsi="Times New Roman" w:cs="Times New Roman"/>
          <w:color w:val="000000" w:themeColor="text1"/>
          <w:sz w:val="20"/>
          <w:szCs w:val="20"/>
          <w:lang w:val="en-US"/>
        </w:rPr>
        <w:t>Stock</w:t>
      </w:r>
      <w:proofErr w:type="spellEnd"/>
      <w:r w:rsidR="00F70B9C" w:rsidRPr="002C5DE1">
        <w:rPr>
          <w:rFonts w:ascii="Times New Roman" w:hAnsi="Times New Roman" w:cs="Times New Roman"/>
          <w:color w:val="000000" w:themeColor="text1"/>
          <w:sz w:val="20"/>
          <w:szCs w:val="20"/>
          <w:lang w:val="en-US"/>
        </w:rPr>
        <w:t xml:space="preserve"> prices (θ</w:t>
      </w:r>
      <w:r w:rsidR="00F70B9C" w:rsidRPr="002C5DE1">
        <w:rPr>
          <w:rFonts w:ascii="Times New Roman" w:hAnsi="Times New Roman" w:cs="Times New Roman"/>
          <w:color w:val="000000" w:themeColor="text1"/>
          <w:sz w:val="20"/>
          <w:szCs w:val="20"/>
          <w:vertAlign w:val="subscript"/>
          <w:lang w:val="en-US"/>
        </w:rPr>
        <w:t>7</w:t>
      </w:r>
      <w:r w:rsidR="00F70B9C" w:rsidRPr="002C5DE1">
        <w:rPr>
          <w:rFonts w:ascii="Times New Roman" w:hAnsi="Times New Roman" w:cs="Times New Roman"/>
          <w:color w:val="000000" w:themeColor="text1"/>
          <w:sz w:val="20"/>
          <w:szCs w:val="20"/>
          <w:lang w:val="en-US"/>
        </w:rPr>
        <w:t>)</w:t>
      </w:r>
      <w:r w:rsidR="00F70B9C" w:rsidRPr="002C5DE1">
        <w:rPr>
          <w:rFonts w:ascii="Times New Roman" w:hAnsi="Times New Roman" w:cs="Times New Roman"/>
          <w:color w:val="000000" w:themeColor="text1"/>
          <w:sz w:val="20"/>
          <w:szCs w:val="20"/>
          <w:lang w:val="en-US"/>
        </w:rPr>
        <w:tab/>
      </w:r>
      <w:r w:rsidR="00F70B9C" w:rsidRPr="002C5DE1">
        <w:rPr>
          <w:rFonts w:ascii="Times New Roman" w:hAnsi="Times New Roman" w:cs="Times New Roman"/>
          <w:color w:val="000000" w:themeColor="text1"/>
          <w:sz w:val="20"/>
          <w:szCs w:val="20"/>
          <w:lang w:val="en-US"/>
        </w:rPr>
        <w:tab/>
      </w:r>
      <w:r w:rsidR="00F70B9C" w:rsidRPr="002C5DE1">
        <w:rPr>
          <w:rFonts w:ascii="Times New Roman" w:hAnsi="Times New Roman" w:cs="Times New Roman"/>
          <w:color w:val="000000" w:themeColor="text1"/>
          <w:sz w:val="20"/>
          <w:szCs w:val="20"/>
          <w:lang w:val="en-US"/>
        </w:rPr>
        <w:tab/>
      </w:r>
      <w:r w:rsidR="00F70B9C" w:rsidRPr="002C5DE1">
        <w:rPr>
          <w:rFonts w:ascii="Times New Roman" w:hAnsi="Times New Roman" w:cs="Times New Roman"/>
          <w:color w:val="000000" w:themeColor="text1"/>
          <w:sz w:val="20"/>
          <w:szCs w:val="20"/>
          <w:lang w:val="en-US"/>
        </w:rPr>
        <w:tab/>
      </w:r>
      <w:r w:rsidR="00F70B9C" w:rsidRPr="002C5DE1">
        <w:rPr>
          <w:rFonts w:ascii="Times New Roman" w:hAnsi="Times New Roman" w:cs="Times New Roman"/>
          <w:color w:val="000000" w:themeColor="text1"/>
          <w:sz w:val="20"/>
          <w:szCs w:val="20"/>
          <w:lang w:val="en-US"/>
        </w:rPr>
        <w:tab/>
        <w:t>0.062**</w:t>
      </w:r>
    </w:p>
    <w:p w14:paraId="4D8981B0" w14:textId="77777777" w:rsidR="00F70B9C" w:rsidRPr="002C5DE1" w:rsidRDefault="00F70B9C" w:rsidP="00F70B9C">
      <w:pPr>
        <w:spacing w:after="0" w:line="240" w:lineRule="auto"/>
        <w:jc w:val="both"/>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[0.02]</w:t>
      </w:r>
    </w:p>
    <w:p w14:paraId="2F411B93" w14:textId="77777777" w:rsidR="00F70B9C" w:rsidRPr="002C5DE1" w:rsidRDefault="000F28A9" w:rsidP="00F70B9C">
      <w:pPr>
        <w:spacing w:after="0" w:line="240" w:lineRule="auto"/>
        <w:jc w:val="both"/>
        <w:rPr>
          <w:rFonts w:ascii="Times New Roman" w:hAnsi="Times New Roman" w:cs="Times New Roman"/>
          <w:color w:val="000000" w:themeColor="text1"/>
          <w:sz w:val="20"/>
          <w:szCs w:val="20"/>
          <w:lang w:val="en-US"/>
        </w:rPr>
      </w:pPr>
      <w:proofErr w:type="spellStart"/>
      <w:r w:rsidRPr="002C5DE1">
        <w:rPr>
          <w:rFonts w:ascii="Times New Roman" w:hAnsi="Times New Roman" w:cs="Times New Roman"/>
          <w:color w:val="000000" w:themeColor="text1"/>
          <w:sz w:val="20"/>
          <w:szCs w:val="20"/>
          <w:lang w:val="en-US"/>
        </w:rPr>
        <w:t>Δln</w:t>
      </w:r>
      <w:r w:rsidR="00F70B9C" w:rsidRPr="002C5DE1">
        <w:rPr>
          <w:rFonts w:ascii="Times New Roman" w:hAnsi="Times New Roman" w:cs="Times New Roman"/>
          <w:color w:val="000000" w:themeColor="text1"/>
          <w:sz w:val="20"/>
          <w:szCs w:val="20"/>
          <w:lang w:val="en-US"/>
        </w:rPr>
        <w:t>Real</w:t>
      </w:r>
      <w:proofErr w:type="spellEnd"/>
      <w:r w:rsidR="00F70B9C" w:rsidRPr="002C5DE1">
        <w:rPr>
          <w:rFonts w:ascii="Times New Roman" w:hAnsi="Times New Roman" w:cs="Times New Roman"/>
          <w:color w:val="000000" w:themeColor="text1"/>
          <w:sz w:val="20"/>
          <w:szCs w:val="20"/>
          <w:lang w:val="en-US"/>
        </w:rPr>
        <w:t xml:space="preserve"> income per capita (θ</w:t>
      </w:r>
      <w:r w:rsidR="00F70B9C" w:rsidRPr="002C5DE1">
        <w:rPr>
          <w:rFonts w:ascii="Times New Roman" w:hAnsi="Times New Roman" w:cs="Times New Roman"/>
          <w:color w:val="000000" w:themeColor="text1"/>
          <w:sz w:val="20"/>
          <w:szCs w:val="20"/>
          <w:vertAlign w:val="subscript"/>
          <w:lang w:val="en-US"/>
        </w:rPr>
        <w:t>4</w:t>
      </w:r>
      <w:r w:rsidR="00F70B9C" w:rsidRPr="002C5DE1">
        <w:rPr>
          <w:rFonts w:ascii="Times New Roman" w:hAnsi="Times New Roman" w:cs="Times New Roman"/>
          <w:color w:val="000000" w:themeColor="text1"/>
          <w:sz w:val="20"/>
          <w:szCs w:val="20"/>
          <w:lang w:val="en-US"/>
        </w:rPr>
        <w:t>)</w:t>
      </w:r>
      <w:r w:rsidR="00F70B9C" w:rsidRPr="002C5DE1">
        <w:rPr>
          <w:rFonts w:ascii="Times New Roman" w:hAnsi="Times New Roman" w:cs="Times New Roman"/>
          <w:color w:val="000000" w:themeColor="text1"/>
          <w:sz w:val="20"/>
          <w:szCs w:val="20"/>
          <w:lang w:val="en-US"/>
        </w:rPr>
        <w:tab/>
        <w:t>0.651***</w:t>
      </w:r>
    </w:p>
    <w:p w14:paraId="6FCB99AF" w14:textId="77777777" w:rsidR="00F70B9C" w:rsidRPr="002C5DE1" w:rsidRDefault="00F70B9C" w:rsidP="00F70B9C">
      <w:pPr>
        <w:spacing w:after="0" w:line="240" w:lineRule="auto"/>
        <w:jc w:val="both"/>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[0.00]</w:t>
      </w:r>
    </w:p>
    <w:p w14:paraId="70D3D31F" w14:textId="77777777" w:rsidR="00F70B9C" w:rsidRPr="002C5DE1" w:rsidRDefault="000F28A9" w:rsidP="00F70B9C">
      <w:pPr>
        <w:spacing w:after="0" w:line="240" w:lineRule="auto"/>
        <w:jc w:val="both"/>
        <w:rPr>
          <w:rFonts w:ascii="Times New Roman" w:hAnsi="Times New Roman" w:cs="Times New Roman"/>
          <w:color w:val="000000" w:themeColor="text1"/>
          <w:sz w:val="20"/>
          <w:szCs w:val="20"/>
          <w:lang w:val="en-US"/>
        </w:rPr>
      </w:pPr>
      <w:proofErr w:type="spellStart"/>
      <w:r w:rsidRPr="002C5DE1">
        <w:rPr>
          <w:rFonts w:ascii="Times New Roman" w:hAnsi="Times New Roman" w:cs="Times New Roman"/>
          <w:color w:val="000000" w:themeColor="text1"/>
          <w:sz w:val="20"/>
          <w:szCs w:val="20"/>
          <w:lang w:val="en-US"/>
        </w:rPr>
        <w:t>Δln</w:t>
      </w:r>
      <w:r w:rsidR="00F70B9C" w:rsidRPr="002C5DE1">
        <w:rPr>
          <w:rFonts w:ascii="Times New Roman" w:hAnsi="Times New Roman" w:cs="Times New Roman"/>
          <w:color w:val="000000" w:themeColor="text1"/>
          <w:sz w:val="20"/>
          <w:szCs w:val="20"/>
          <w:lang w:val="en-US"/>
        </w:rPr>
        <w:t>Real</w:t>
      </w:r>
      <w:proofErr w:type="spellEnd"/>
      <w:r w:rsidR="00F70B9C" w:rsidRPr="002C5DE1">
        <w:rPr>
          <w:rFonts w:ascii="Times New Roman" w:hAnsi="Times New Roman" w:cs="Times New Roman"/>
          <w:color w:val="000000" w:themeColor="text1"/>
          <w:sz w:val="20"/>
          <w:szCs w:val="20"/>
          <w:lang w:val="en-US"/>
        </w:rPr>
        <w:t xml:space="preserve"> income per capita (θ</w:t>
      </w:r>
      <w:r w:rsidR="00F70B9C" w:rsidRPr="002C5DE1">
        <w:rPr>
          <w:rFonts w:ascii="Times New Roman" w:hAnsi="Times New Roman" w:cs="Times New Roman"/>
          <w:color w:val="000000" w:themeColor="text1"/>
          <w:sz w:val="20"/>
          <w:szCs w:val="20"/>
          <w:vertAlign w:val="subscript"/>
          <w:lang w:val="en-US"/>
        </w:rPr>
        <w:t>8</w:t>
      </w:r>
      <w:r w:rsidR="00F70B9C" w:rsidRPr="002C5DE1">
        <w:rPr>
          <w:rFonts w:ascii="Times New Roman" w:hAnsi="Times New Roman" w:cs="Times New Roman"/>
          <w:color w:val="000000" w:themeColor="text1"/>
          <w:sz w:val="20"/>
          <w:szCs w:val="20"/>
          <w:lang w:val="en-US"/>
        </w:rPr>
        <w:t>)</w:t>
      </w:r>
      <w:r w:rsidR="00F70B9C" w:rsidRPr="002C5DE1">
        <w:rPr>
          <w:rFonts w:ascii="Times New Roman" w:hAnsi="Times New Roman" w:cs="Times New Roman"/>
          <w:color w:val="000000" w:themeColor="text1"/>
          <w:sz w:val="20"/>
          <w:szCs w:val="20"/>
          <w:lang w:val="en-US"/>
        </w:rPr>
        <w:tab/>
      </w:r>
      <w:r w:rsidR="00F70B9C" w:rsidRPr="002C5DE1">
        <w:rPr>
          <w:rFonts w:ascii="Times New Roman" w:hAnsi="Times New Roman" w:cs="Times New Roman"/>
          <w:color w:val="000000" w:themeColor="text1"/>
          <w:sz w:val="20"/>
          <w:szCs w:val="20"/>
          <w:lang w:val="en-US"/>
        </w:rPr>
        <w:tab/>
      </w:r>
      <w:r w:rsidR="00F70B9C" w:rsidRPr="002C5DE1">
        <w:rPr>
          <w:rFonts w:ascii="Times New Roman" w:hAnsi="Times New Roman" w:cs="Times New Roman"/>
          <w:color w:val="000000" w:themeColor="text1"/>
          <w:sz w:val="20"/>
          <w:szCs w:val="20"/>
          <w:lang w:val="en-US"/>
        </w:rPr>
        <w:tab/>
      </w:r>
      <w:r w:rsidR="00F70B9C" w:rsidRPr="002C5DE1">
        <w:rPr>
          <w:rFonts w:ascii="Times New Roman" w:hAnsi="Times New Roman" w:cs="Times New Roman"/>
          <w:color w:val="000000" w:themeColor="text1"/>
          <w:sz w:val="20"/>
          <w:szCs w:val="20"/>
          <w:lang w:val="en-US"/>
        </w:rPr>
        <w:tab/>
        <w:t>0.618***</w:t>
      </w:r>
    </w:p>
    <w:p w14:paraId="0957328B" w14:textId="77777777" w:rsidR="00F70B9C" w:rsidRPr="002C5DE1" w:rsidRDefault="00F70B9C" w:rsidP="00F70B9C">
      <w:pPr>
        <w:spacing w:after="0" w:line="240" w:lineRule="auto"/>
        <w:jc w:val="both"/>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[0.00]</w:t>
      </w:r>
    </w:p>
    <w:p w14:paraId="713AAFB9" w14:textId="77777777" w:rsidR="00F70B9C" w:rsidRPr="002C5DE1" w:rsidRDefault="00F70B9C" w:rsidP="00F70B9C">
      <w:pPr>
        <w:spacing w:after="0" w:line="240" w:lineRule="auto"/>
        <w:jc w:val="both"/>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δ</w:t>
      </w:r>
      <w:r w:rsidRPr="002C5DE1">
        <w:rPr>
          <w:rFonts w:ascii="Times New Roman" w:hAnsi="Times New Roman" w:cs="Times New Roman"/>
          <w:color w:val="000000" w:themeColor="text1"/>
          <w:sz w:val="20"/>
          <w:szCs w:val="20"/>
          <w:vertAlign w:val="subscript"/>
          <w:lang w:val="en-US"/>
        </w:rPr>
        <w:t>1</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2.94**</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p>
    <w:p w14:paraId="73743301" w14:textId="77777777" w:rsidR="00F70B9C" w:rsidRPr="002C5DE1" w:rsidRDefault="00F70B9C" w:rsidP="00F70B9C">
      <w:pPr>
        <w:spacing w:after="0" w:line="240" w:lineRule="auto"/>
        <w:jc w:val="both"/>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[0.02]</w:t>
      </w:r>
    </w:p>
    <w:p w14:paraId="4BD5B5A8" w14:textId="77777777" w:rsidR="00F70B9C" w:rsidRPr="002C5DE1" w:rsidRDefault="00F70B9C" w:rsidP="00F70B9C">
      <w:pPr>
        <w:spacing w:after="0" w:line="240" w:lineRule="auto"/>
        <w:jc w:val="both"/>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δ</w:t>
      </w:r>
      <w:r w:rsidRPr="002C5DE1">
        <w:rPr>
          <w:rFonts w:ascii="Times New Roman" w:hAnsi="Times New Roman" w:cs="Times New Roman"/>
          <w:color w:val="000000" w:themeColor="text1"/>
          <w:sz w:val="20"/>
          <w:szCs w:val="20"/>
          <w:vertAlign w:val="subscript"/>
          <w:lang w:val="en-US"/>
        </w:rPr>
        <w:t>2</w:t>
      </w:r>
      <w:r w:rsidRPr="002C5DE1">
        <w:rPr>
          <w:rFonts w:ascii="Times New Roman" w:hAnsi="Times New Roman" w:cs="Times New Roman"/>
          <w:color w:val="000000" w:themeColor="text1"/>
          <w:sz w:val="20"/>
          <w:szCs w:val="20"/>
          <w:lang w:val="en-US"/>
        </w:rPr>
        <w:t xml:space="preserve"> </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2.77**</w:t>
      </w:r>
    </w:p>
    <w:p w14:paraId="60A6D774" w14:textId="77777777" w:rsidR="00F70B9C" w:rsidRPr="002C5DE1" w:rsidRDefault="00F70B9C" w:rsidP="00F70B9C">
      <w:pPr>
        <w:spacing w:after="0" w:line="240" w:lineRule="auto"/>
        <w:jc w:val="both"/>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[0.02]</w:t>
      </w:r>
    </w:p>
    <w:p w14:paraId="7BA46CC8" w14:textId="77777777" w:rsidR="00F70B9C" w:rsidRPr="002C5DE1" w:rsidRDefault="00F70B9C" w:rsidP="00F70B9C">
      <w:pPr>
        <w:pBdr>
          <w:bottom w:val="single" w:sz="6" w:space="1" w:color="auto"/>
        </w:pBdr>
        <w:spacing w:after="0" w:line="240" w:lineRule="auto"/>
        <w:jc w:val="both"/>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Hansen J-test</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[0.48]</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[0.43]</w:t>
      </w:r>
    </w:p>
    <w:p w14:paraId="6DEE2738" w14:textId="77777777" w:rsidR="00F70B9C" w:rsidRPr="002C5DE1" w:rsidRDefault="00F70B9C" w:rsidP="00F70B9C">
      <w:pPr>
        <w:spacing w:after="0" w:line="240" w:lineRule="auto"/>
        <w:jc w:val="both"/>
        <w:rPr>
          <w:rFonts w:ascii="Times New Roman" w:hAnsi="Times New Roman" w:cs="Times New Roman"/>
          <w:color w:val="000000" w:themeColor="text1"/>
          <w:sz w:val="20"/>
          <w:szCs w:val="20"/>
          <w:lang w:val="en-US"/>
        </w:rPr>
      </w:pPr>
      <w:r w:rsidRPr="002C5DE1">
        <w:rPr>
          <w:rFonts w:ascii="Times New Roman" w:hAnsi="Times New Roman" w:cs="Times New Roman"/>
          <w:b/>
          <w:i/>
          <w:color w:val="000000" w:themeColor="text1"/>
          <w:sz w:val="20"/>
          <w:szCs w:val="20"/>
          <w:lang w:val="en-US"/>
        </w:rPr>
        <w:t>Notes:</w:t>
      </w:r>
      <w:r w:rsidRPr="002C5DE1">
        <w:rPr>
          <w:rFonts w:ascii="Times New Roman" w:hAnsi="Times New Roman" w:cs="Times New Roman"/>
          <w:color w:val="000000" w:themeColor="text1"/>
          <w:sz w:val="20"/>
          <w:szCs w:val="20"/>
          <w:lang w:val="en-US"/>
        </w:rPr>
        <w:t xml:space="preserve"> The dependent variable is </w:t>
      </w:r>
      <w:r w:rsidR="000F28A9" w:rsidRPr="002C5DE1">
        <w:rPr>
          <w:rFonts w:ascii="Times New Roman" w:hAnsi="Times New Roman" w:cs="Times New Roman"/>
          <w:color w:val="000000" w:themeColor="text1"/>
          <w:sz w:val="20"/>
          <w:szCs w:val="20"/>
          <w:lang w:val="en-US"/>
        </w:rPr>
        <w:t xml:space="preserve">the log of </w:t>
      </w:r>
      <w:r w:rsidRPr="002C5DE1">
        <w:rPr>
          <w:rFonts w:ascii="Times New Roman" w:hAnsi="Times New Roman" w:cs="Times New Roman"/>
          <w:color w:val="000000" w:themeColor="text1"/>
          <w:sz w:val="20"/>
          <w:szCs w:val="20"/>
          <w:lang w:val="en-US"/>
        </w:rPr>
        <w:t xml:space="preserve">household consumption. The regime dependent variable is </w:t>
      </w:r>
      <w:r w:rsidR="000F28A9" w:rsidRPr="002C5DE1">
        <w:rPr>
          <w:rFonts w:ascii="Times New Roman" w:hAnsi="Times New Roman" w:cs="Times New Roman"/>
          <w:color w:val="000000" w:themeColor="text1"/>
          <w:sz w:val="20"/>
          <w:szCs w:val="20"/>
          <w:lang w:val="en-US"/>
        </w:rPr>
        <w:t xml:space="preserve">the log of </w:t>
      </w:r>
      <w:r w:rsidRPr="002C5DE1">
        <w:rPr>
          <w:rFonts w:ascii="Times New Roman" w:hAnsi="Times New Roman" w:cs="Times New Roman"/>
          <w:color w:val="000000" w:themeColor="text1"/>
          <w:sz w:val="20"/>
          <w:szCs w:val="20"/>
          <w:lang w:val="en-US"/>
        </w:rPr>
        <w:t xml:space="preserve">housing prices and the threshold variable is either the </w:t>
      </w:r>
      <w:r w:rsidR="000F28A9" w:rsidRPr="002C5DE1">
        <w:rPr>
          <w:rFonts w:ascii="Times New Roman" w:hAnsi="Times New Roman" w:cs="Times New Roman"/>
          <w:color w:val="000000" w:themeColor="text1"/>
          <w:sz w:val="20"/>
          <w:szCs w:val="20"/>
          <w:lang w:val="en-US"/>
        </w:rPr>
        <w:t xml:space="preserve">log of </w:t>
      </w:r>
      <w:r w:rsidRPr="002C5DE1">
        <w:rPr>
          <w:rFonts w:ascii="Times New Roman" w:hAnsi="Times New Roman" w:cs="Times New Roman"/>
          <w:color w:val="000000" w:themeColor="text1"/>
          <w:sz w:val="20"/>
          <w:szCs w:val="20"/>
          <w:lang w:val="en-US"/>
        </w:rPr>
        <w:t xml:space="preserve">financial development index (Equation 2) or the </w:t>
      </w:r>
      <w:r w:rsidR="000F28A9" w:rsidRPr="002C5DE1">
        <w:rPr>
          <w:rFonts w:ascii="Times New Roman" w:hAnsi="Times New Roman" w:cs="Times New Roman"/>
          <w:color w:val="000000" w:themeColor="text1"/>
          <w:sz w:val="20"/>
          <w:szCs w:val="20"/>
          <w:lang w:val="en-US"/>
        </w:rPr>
        <w:t xml:space="preserve">log of </w:t>
      </w:r>
      <w:r w:rsidRPr="002C5DE1">
        <w:rPr>
          <w:rFonts w:ascii="Times New Roman" w:hAnsi="Times New Roman" w:cs="Times New Roman"/>
          <w:color w:val="000000" w:themeColor="text1"/>
          <w:sz w:val="20"/>
          <w:szCs w:val="20"/>
          <w:lang w:val="en-US"/>
        </w:rPr>
        <w:t xml:space="preserve">housing prices to income ratio (Equation 3). Each regime contains at least 5% of all observations. </w:t>
      </w:r>
      <w:r w:rsidRPr="002C5DE1">
        <w:rPr>
          <w:rFonts w:ascii="Times New Roman" w:hAnsi="Times New Roman" w:cs="Times New Roman"/>
          <w:i/>
          <w:color w:val="000000" w:themeColor="text1"/>
          <w:sz w:val="20"/>
          <w:szCs w:val="20"/>
          <w:lang w:val="en-US"/>
        </w:rPr>
        <w:t>n</w:t>
      </w:r>
      <w:r w:rsidRPr="002C5DE1">
        <w:rPr>
          <w:rFonts w:ascii="Times New Roman" w:hAnsi="Times New Roman" w:cs="Times New Roman"/>
          <w:color w:val="000000" w:themeColor="text1"/>
          <w:sz w:val="20"/>
          <w:szCs w:val="20"/>
          <w:lang w:val="en-US"/>
        </w:rPr>
        <w:t xml:space="preserve"> indicates the number of observations in each regime. The Hansen test is distributed as χ</w:t>
      </w:r>
      <w:r w:rsidRPr="002C5DE1">
        <w:rPr>
          <w:rFonts w:ascii="Times New Roman" w:hAnsi="Times New Roman" w:cs="Times New Roman"/>
          <w:color w:val="000000" w:themeColor="text1"/>
          <w:sz w:val="20"/>
          <w:szCs w:val="20"/>
          <w:vertAlign w:val="superscript"/>
          <w:lang w:val="en-US"/>
        </w:rPr>
        <w:t>2</w:t>
      </w:r>
      <w:r w:rsidRPr="002C5DE1">
        <w:rPr>
          <w:rFonts w:ascii="Times New Roman" w:hAnsi="Times New Roman" w:cs="Times New Roman"/>
          <w:color w:val="000000" w:themeColor="text1"/>
          <w:sz w:val="20"/>
          <w:szCs w:val="20"/>
          <w:lang w:val="en-US"/>
        </w:rPr>
        <w:t xml:space="preserve"> under the null hypothesis that the over identifying restrictions are valid. Figures in brackets denote p-values. </w:t>
      </w:r>
      <w:r w:rsidRPr="002C5DE1">
        <w:rPr>
          <w:rFonts w:ascii="Cambria Math" w:hAnsi="Cambria Math" w:cs="Cambria Math"/>
          <w:color w:val="000000" w:themeColor="text1"/>
          <w:sz w:val="20"/>
          <w:szCs w:val="20"/>
          <w:lang w:val="en-US"/>
        </w:rPr>
        <w:t>∗∗</w:t>
      </w:r>
      <w:r w:rsidRPr="002C5DE1">
        <w:rPr>
          <w:rFonts w:ascii="Times New Roman" w:hAnsi="Times New Roman" w:cs="Times New Roman"/>
          <w:color w:val="000000" w:themeColor="text1"/>
          <w:sz w:val="20"/>
          <w:szCs w:val="20"/>
          <w:lang w:val="en-US"/>
        </w:rPr>
        <w:t>: p&lt;0.05, ***: p&lt;0.01.</w:t>
      </w:r>
    </w:p>
    <w:p w14:paraId="64638534" w14:textId="77777777" w:rsidR="00F70B9C" w:rsidRPr="002C5DE1" w:rsidRDefault="00F70B9C" w:rsidP="00F70B9C">
      <w:pPr>
        <w:rPr>
          <w:rFonts w:ascii="Times New Roman" w:hAnsi="Times New Roman" w:cs="Times New Roman"/>
          <w:color w:val="000000" w:themeColor="text1"/>
          <w:lang w:val="en-US"/>
        </w:rPr>
      </w:pPr>
    </w:p>
    <w:p w14:paraId="58FA1174" w14:textId="77777777" w:rsidR="00C9589E" w:rsidRPr="002C5DE1" w:rsidRDefault="00C9589E" w:rsidP="00F70B9C">
      <w:pPr>
        <w:rPr>
          <w:rFonts w:ascii="Times New Roman" w:hAnsi="Times New Roman" w:cs="Times New Roman"/>
          <w:b/>
          <w:bCs/>
          <w:color w:val="000000" w:themeColor="text1"/>
          <w:sz w:val="24"/>
          <w:szCs w:val="24"/>
          <w:lang w:val="en-US"/>
        </w:rPr>
      </w:pPr>
    </w:p>
    <w:p w14:paraId="0C7C68C2" w14:textId="77777777" w:rsidR="00EB13CE" w:rsidRPr="002C5DE1" w:rsidRDefault="00EB13CE" w:rsidP="00F70B9C">
      <w:pPr>
        <w:rPr>
          <w:rFonts w:ascii="Times New Roman" w:hAnsi="Times New Roman" w:cs="Times New Roman"/>
          <w:b/>
          <w:bCs/>
          <w:color w:val="000000" w:themeColor="text1"/>
          <w:sz w:val="24"/>
          <w:szCs w:val="24"/>
          <w:lang w:val="en-US"/>
        </w:rPr>
      </w:pPr>
      <w:r w:rsidRPr="002C5DE1">
        <w:rPr>
          <w:rFonts w:ascii="Times New Roman" w:hAnsi="Times New Roman" w:cs="Times New Roman"/>
          <w:b/>
          <w:bCs/>
          <w:color w:val="000000" w:themeColor="text1"/>
          <w:sz w:val="24"/>
          <w:szCs w:val="24"/>
          <w:lang w:val="en-US"/>
        </w:rPr>
        <w:t>Table 5a. Linearity Tests</w:t>
      </w:r>
    </w:p>
    <w:p w14:paraId="1BCB973F" w14:textId="77777777" w:rsidR="00EB13CE" w:rsidRPr="002C5DE1" w:rsidRDefault="00EB13CE" w:rsidP="00F70B9C">
      <w:pPr>
        <w:rPr>
          <w:rFonts w:ascii="Times New Roman" w:hAnsi="Times New Roman" w:cs="Times New Roman"/>
          <w:color w:val="000000" w:themeColor="text1"/>
          <w:sz w:val="24"/>
          <w:szCs w:val="24"/>
          <w:lang w:val="en-US"/>
        </w:rPr>
      </w:pPr>
      <w:r w:rsidRPr="002C5DE1">
        <w:rPr>
          <w:rFonts w:ascii="Times New Roman" w:hAnsi="Times New Roman" w:cs="Times New Roman"/>
          <w:color w:val="000000" w:themeColor="text1"/>
          <w:sz w:val="24"/>
          <w:szCs w:val="24"/>
          <w:lang w:val="en-US"/>
        </w:rPr>
        <w:t xml:space="preserve">___________________________________________________________________________ </w:t>
      </w:r>
    </w:p>
    <w:p w14:paraId="6C760B46" w14:textId="77777777" w:rsidR="0029123D" w:rsidRPr="002C5DE1" w:rsidRDefault="00E025E0" w:rsidP="00E025E0">
      <w:pPr>
        <w:spacing w:after="120" w:line="240" w:lineRule="auto"/>
        <w:jc w:val="both"/>
        <w:rPr>
          <w:rFonts w:ascii="Times New Roman" w:hAnsi="Times New Roman" w:cs="Times New Roman"/>
          <w:b/>
          <w:color w:val="000000" w:themeColor="text1"/>
          <w:sz w:val="24"/>
          <w:szCs w:val="24"/>
          <w:lang w:val="en-US"/>
        </w:rPr>
      </w:pPr>
      <w:r w:rsidRPr="002C5DE1">
        <w:rPr>
          <w:rFonts w:ascii="Times New Roman" w:hAnsi="Times New Roman" w:cs="Times New Roman"/>
          <w:color w:val="000000" w:themeColor="text1"/>
          <w:sz w:val="24"/>
          <w:szCs w:val="24"/>
          <w:lang w:val="en-US"/>
        </w:rPr>
        <w:t xml:space="preserve">             </w:t>
      </w:r>
      <w:r w:rsidR="00EB13CE" w:rsidRPr="002C5DE1">
        <w:rPr>
          <w:rFonts w:ascii="Times New Roman" w:hAnsi="Times New Roman" w:cs="Times New Roman"/>
          <w:color w:val="000000" w:themeColor="text1"/>
          <w:sz w:val="24"/>
          <w:szCs w:val="24"/>
          <w:lang w:val="en-US"/>
        </w:rPr>
        <w:t>Number of location parameters (m)</w:t>
      </w:r>
      <w:r w:rsidRPr="002C5DE1">
        <w:rPr>
          <w:rFonts w:ascii="Times New Roman" w:hAnsi="Times New Roman" w:cs="Times New Roman"/>
          <w:color w:val="000000" w:themeColor="text1"/>
          <w:sz w:val="24"/>
          <w:szCs w:val="24"/>
          <w:lang w:val="en-US"/>
        </w:rPr>
        <w:t>-FD</w:t>
      </w:r>
      <w:r w:rsidR="00EB13CE" w:rsidRPr="002C5DE1">
        <w:rPr>
          <w:rFonts w:ascii="Times New Roman" w:hAnsi="Times New Roman" w:cs="Times New Roman"/>
          <w:color w:val="000000" w:themeColor="text1"/>
          <w:sz w:val="24"/>
          <w:szCs w:val="24"/>
          <w:lang w:val="en-US"/>
        </w:rPr>
        <w:tab/>
        <w:t xml:space="preserve">    Number of location parameters (m)</w:t>
      </w:r>
      <w:r w:rsidRPr="002C5DE1">
        <w:rPr>
          <w:rFonts w:ascii="Times New Roman" w:hAnsi="Times New Roman" w:cs="Times New Roman"/>
          <w:color w:val="000000" w:themeColor="text1"/>
          <w:sz w:val="24"/>
          <w:szCs w:val="24"/>
          <w:lang w:val="en-US"/>
        </w:rPr>
        <w:t>-HPI</w:t>
      </w:r>
    </w:p>
    <w:p w14:paraId="079B6FE6" w14:textId="77777777" w:rsidR="00EB13CE" w:rsidRPr="002C5DE1" w:rsidRDefault="00EB13CE" w:rsidP="00F70B9C">
      <w:pPr>
        <w:spacing w:after="120" w:line="240" w:lineRule="auto"/>
        <w:jc w:val="both"/>
        <w:rPr>
          <w:rFonts w:ascii="Times New Roman" w:hAnsi="Times New Roman" w:cs="Times New Roman"/>
          <w:bCs/>
          <w:color w:val="000000" w:themeColor="text1"/>
          <w:sz w:val="24"/>
          <w:szCs w:val="24"/>
          <w:lang w:val="en-US"/>
        </w:rPr>
      </w:pPr>
      <w:r w:rsidRPr="002C5DE1">
        <w:rPr>
          <w:rFonts w:ascii="Times New Roman" w:hAnsi="Times New Roman" w:cs="Times New Roman"/>
          <w:bCs/>
          <w:color w:val="000000" w:themeColor="text1"/>
          <w:sz w:val="24"/>
          <w:szCs w:val="24"/>
          <w:lang w:val="en-US"/>
        </w:rPr>
        <w:t>Test</w:t>
      </w:r>
      <w:r w:rsidRPr="002C5DE1">
        <w:rPr>
          <w:rFonts w:ascii="Times New Roman" w:hAnsi="Times New Roman" w:cs="Times New Roman"/>
          <w:bCs/>
          <w:color w:val="000000" w:themeColor="text1"/>
          <w:sz w:val="24"/>
          <w:szCs w:val="24"/>
          <w:lang w:val="en-US"/>
        </w:rPr>
        <w:tab/>
      </w:r>
      <w:r w:rsidRPr="002C5DE1">
        <w:rPr>
          <w:rFonts w:ascii="Times New Roman" w:hAnsi="Times New Roman" w:cs="Times New Roman"/>
          <w:bCs/>
          <w:color w:val="000000" w:themeColor="text1"/>
          <w:sz w:val="24"/>
          <w:szCs w:val="24"/>
          <w:lang w:val="en-US"/>
        </w:rPr>
        <w:tab/>
      </w:r>
      <w:r w:rsidR="00E025E0" w:rsidRPr="002C5DE1">
        <w:rPr>
          <w:rFonts w:ascii="Times New Roman" w:hAnsi="Times New Roman" w:cs="Times New Roman"/>
          <w:bCs/>
          <w:color w:val="000000" w:themeColor="text1"/>
          <w:sz w:val="24"/>
          <w:szCs w:val="24"/>
          <w:lang w:val="en-US"/>
        </w:rPr>
        <w:t xml:space="preserve"> </w:t>
      </w:r>
      <w:r w:rsidRPr="002C5DE1">
        <w:rPr>
          <w:rFonts w:ascii="Times New Roman" w:hAnsi="Times New Roman" w:cs="Times New Roman"/>
          <w:bCs/>
          <w:color w:val="000000" w:themeColor="text1"/>
          <w:sz w:val="24"/>
          <w:szCs w:val="24"/>
          <w:lang w:val="en-US"/>
        </w:rPr>
        <w:t>m=1</w:t>
      </w:r>
      <w:r w:rsidRPr="002C5DE1">
        <w:rPr>
          <w:rFonts w:ascii="Times New Roman" w:hAnsi="Times New Roman" w:cs="Times New Roman"/>
          <w:bCs/>
          <w:color w:val="000000" w:themeColor="text1"/>
          <w:sz w:val="24"/>
          <w:szCs w:val="24"/>
          <w:lang w:val="en-US"/>
        </w:rPr>
        <w:tab/>
      </w:r>
      <w:r w:rsidR="00E025E0" w:rsidRPr="002C5DE1">
        <w:rPr>
          <w:rFonts w:ascii="Times New Roman" w:hAnsi="Times New Roman" w:cs="Times New Roman"/>
          <w:bCs/>
          <w:color w:val="000000" w:themeColor="text1"/>
          <w:sz w:val="24"/>
          <w:szCs w:val="24"/>
          <w:lang w:val="en-US"/>
        </w:rPr>
        <w:t xml:space="preserve">             </w:t>
      </w:r>
      <w:r w:rsidRPr="002C5DE1">
        <w:rPr>
          <w:rFonts w:ascii="Times New Roman" w:hAnsi="Times New Roman" w:cs="Times New Roman"/>
          <w:bCs/>
          <w:color w:val="000000" w:themeColor="text1"/>
          <w:sz w:val="24"/>
          <w:szCs w:val="24"/>
          <w:lang w:val="en-US"/>
        </w:rPr>
        <w:t>m=2</w:t>
      </w:r>
      <w:r w:rsidRPr="002C5DE1">
        <w:rPr>
          <w:rFonts w:ascii="Times New Roman" w:hAnsi="Times New Roman" w:cs="Times New Roman"/>
          <w:bCs/>
          <w:color w:val="000000" w:themeColor="text1"/>
          <w:sz w:val="24"/>
          <w:szCs w:val="24"/>
          <w:lang w:val="en-US"/>
        </w:rPr>
        <w:tab/>
      </w:r>
      <w:r w:rsidRPr="002C5DE1">
        <w:rPr>
          <w:rFonts w:ascii="Times New Roman" w:hAnsi="Times New Roman" w:cs="Times New Roman"/>
          <w:bCs/>
          <w:color w:val="000000" w:themeColor="text1"/>
          <w:sz w:val="24"/>
          <w:szCs w:val="24"/>
          <w:lang w:val="en-US"/>
        </w:rPr>
        <w:tab/>
      </w:r>
      <w:r w:rsidR="00E025E0" w:rsidRPr="002C5DE1">
        <w:rPr>
          <w:rFonts w:ascii="Times New Roman" w:hAnsi="Times New Roman" w:cs="Times New Roman"/>
          <w:bCs/>
          <w:color w:val="000000" w:themeColor="text1"/>
          <w:sz w:val="24"/>
          <w:szCs w:val="24"/>
          <w:lang w:val="en-US"/>
        </w:rPr>
        <w:tab/>
        <w:t xml:space="preserve">            </w:t>
      </w:r>
      <w:r w:rsidRPr="002C5DE1">
        <w:rPr>
          <w:rFonts w:ascii="Times New Roman" w:hAnsi="Times New Roman" w:cs="Times New Roman"/>
          <w:bCs/>
          <w:color w:val="000000" w:themeColor="text1"/>
          <w:sz w:val="24"/>
          <w:szCs w:val="24"/>
          <w:lang w:val="en-US"/>
        </w:rPr>
        <w:t>m=1</w:t>
      </w:r>
      <w:r w:rsidRPr="002C5DE1">
        <w:rPr>
          <w:rFonts w:ascii="Times New Roman" w:hAnsi="Times New Roman" w:cs="Times New Roman"/>
          <w:bCs/>
          <w:color w:val="000000" w:themeColor="text1"/>
          <w:sz w:val="24"/>
          <w:szCs w:val="24"/>
          <w:lang w:val="en-US"/>
        </w:rPr>
        <w:tab/>
      </w:r>
      <w:r w:rsidR="00E025E0" w:rsidRPr="002C5DE1">
        <w:rPr>
          <w:rFonts w:ascii="Times New Roman" w:hAnsi="Times New Roman" w:cs="Times New Roman"/>
          <w:bCs/>
          <w:color w:val="000000" w:themeColor="text1"/>
          <w:sz w:val="24"/>
          <w:szCs w:val="24"/>
          <w:lang w:val="en-US"/>
        </w:rPr>
        <w:tab/>
        <w:t xml:space="preserve">             </w:t>
      </w:r>
      <w:r w:rsidRPr="002C5DE1">
        <w:rPr>
          <w:rFonts w:ascii="Times New Roman" w:hAnsi="Times New Roman" w:cs="Times New Roman"/>
          <w:bCs/>
          <w:color w:val="000000" w:themeColor="text1"/>
          <w:sz w:val="24"/>
          <w:szCs w:val="24"/>
          <w:lang w:val="en-US"/>
        </w:rPr>
        <w:t>m=2</w:t>
      </w:r>
    </w:p>
    <w:p w14:paraId="71207A95" w14:textId="77777777" w:rsidR="00E025E0" w:rsidRPr="002C5DE1" w:rsidRDefault="00E025E0" w:rsidP="00F70B9C">
      <w:pPr>
        <w:spacing w:after="120" w:line="240" w:lineRule="auto"/>
        <w:jc w:val="both"/>
        <w:rPr>
          <w:rFonts w:ascii="Times New Roman" w:hAnsi="Times New Roman" w:cs="Times New Roman"/>
          <w:bCs/>
          <w:color w:val="000000" w:themeColor="text1"/>
          <w:sz w:val="24"/>
          <w:szCs w:val="24"/>
          <w:lang w:val="en-US"/>
        </w:rPr>
      </w:pPr>
      <w:r w:rsidRPr="002C5DE1">
        <w:rPr>
          <w:rFonts w:ascii="Times New Roman" w:hAnsi="Times New Roman" w:cs="Times New Roman"/>
          <w:bCs/>
          <w:color w:val="000000" w:themeColor="text1"/>
          <w:sz w:val="24"/>
          <w:szCs w:val="24"/>
          <w:lang w:val="en-US"/>
        </w:rPr>
        <w:t>___________________________________________________________________________</w:t>
      </w:r>
    </w:p>
    <w:p w14:paraId="060B9088" w14:textId="77777777" w:rsidR="00E025E0" w:rsidRPr="002C5DE1" w:rsidRDefault="00E025E0" w:rsidP="00F70B9C">
      <w:pPr>
        <w:spacing w:after="120" w:line="240" w:lineRule="auto"/>
        <w:jc w:val="both"/>
        <w:rPr>
          <w:rFonts w:ascii="Times New Roman" w:hAnsi="Times New Roman" w:cs="Times New Roman"/>
          <w:bCs/>
          <w:color w:val="000000" w:themeColor="text1"/>
          <w:sz w:val="24"/>
          <w:szCs w:val="24"/>
          <w:lang w:val="en-US"/>
        </w:rPr>
      </w:pPr>
      <w:r w:rsidRPr="002C5DE1">
        <w:rPr>
          <w:rFonts w:ascii="Times New Roman" w:hAnsi="Times New Roman" w:cs="Times New Roman"/>
          <w:bCs/>
          <w:color w:val="000000" w:themeColor="text1"/>
          <w:sz w:val="24"/>
          <w:szCs w:val="24"/>
          <w:lang w:val="en-US"/>
        </w:rPr>
        <w:t>LM</w:t>
      </w:r>
      <w:r w:rsidRPr="002C5DE1">
        <w:rPr>
          <w:rFonts w:ascii="Times New Roman" w:hAnsi="Times New Roman" w:cs="Times New Roman"/>
          <w:bCs/>
          <w:color w:val="000000" w:themeColor="text1"/>
          <w:sz w:val="24"/>
          <w:szCs w:val="24"/>
          <w:lang w:val="en-US"/>
        </w:rPr>
        <w:tab/>
      </w:r>
      <w:r w:rsidRPr="002C5DE1">
        <w:rPr>
          <w:rFonts w:ascii="Times New Roman" w:hAnsi="Times New Roman" w:cs="Times New Roman"/>
          <w:bCs/>
          <w:color w:val="000000" w:themeColor="text1"/>
          <w:sz w:val="24"/>
          <w:szCs w:val="24"/>
          <w:lang w:val="en-US"/>
        </w:rPr>
        <w:tab/>
        <w:t>0.693</w:t>
      </w:r>
      <w:r w:rsidRPr="002C5DE1">
        <w:rPr>
          <w:rFonts w:ascii="Times New Roman" w:hAnsi="Times New Roman" w:cs="Times New Roman"/>
          <w:bCs/>
          <w:color w:val="000000" w:themeColor="text1"/>
          <w:sz w:val="24"/>
          <w:szCs w:val="24"/>
          <w:lang w:val="en-US"/>
        </w:rPr>
        <w:tab/>
      </w:r>
      <w:r w:rsidRPr="002C5DE1">
        <w:rPr>
          <w:rFonts w:ascii="Times New Roman" w:hAnsi="Times New Roman" w:cs="Times New Roman"/>
          <w:bCs/>
          <w:color w:val="000000" w:themeColor="text1"/>
          <w:sz w:val="24"/>
          <w:szCs w:val="24"/>
          <w:lang w:val="en-US"/>
        </w:rPr>
        <w:tab/>
        <w:t>0.904</w:t>
      </w:r>
      <w:r w:rsidRPr="002C5DE1">
        <w:rPr>
          <w:rFonts w:ascii="Times New Roman" w:hAnsi="Times New Roman" w:cs="Times New Roman"/>
          <w:bCs/>
          <w:color w:val="000000" w:themeColor="text1"/>
          <w:sz w:val="24"/>
          <w:szCs w:val="24"/>
          <w:lang w:val="en-US"/>
        </w:rPr>
        <w:tab/>
      </w:r>
      <w:r w:rsidRPr="002C5DE1">
        <w:rPr>
          <w:rFonts w:ascii="Times New Roman" w:hAnsi="Times New Roman" w:cs="Times New Roman"/>
          <w:bCs/>
          <w:color w:val="000000" w:themeColor="text1"/>
          <w:sz w:val="24"/>
          <w:szCs w:val="24"/>
          <w:lang w:val="en-US"/>
        </w:rPr>
        <w:tab/>
      </w:r>
      <w:r w:rsidRPr="002C5DE1">
        <w:rPr>
          <w:rFonts w:ascii="Times New Roman" w:hAnsi="Times New Roman" w:cs="Times New Roman"/>
          <w:bCs/>
          <w:color w:val="000000" w:themeColor="text1"/>
          <w:sz w:val="24"/>
          <w:szCs w:val="24"/>
          <w:lang w:val="en-US"/>
        </w:rPr>
        <w:tab/>
      </w:r>
      <w:r w:rsidRPr="002C5DE1">
        <w:rPr>
          <w:rFonts w:ascii="Times New Roman" w:hAnsi="Times New Roman" w:cs="Times New Roman"/>
          <w:bCs/>
          <w:color w:val="000000" w:themeColor="text1"/>
          <w:sz w:val="24"/>
          <w:szCs w:val="24"/>
          <w:lang w:val="en-US"/>
        </w:rPr>
        <w:tab/>
        <w:t>0.614</w:t>
      </w:r>
      <w:r w:rsidRPr="002C5DE1">
        <w:rPr>
          <w:rFonts w:ascii="Times New Roman" w:hAnsi="Times New Roman" w:cs="Times New Roman"/>
          <w:bCs/>
          <w:color w:val="000000" w:themeColor="text1"/>
          <w:sz w:val="24"/>
          <w:szCs w:val="24"/>
          <w:lang w:val="en-US"/>
        </w:rPr>
        <w:tab/>
      </w:r>
      <w:r w:rsidRPr="002C5DE1">
        <w:rPr>
          <w:rFonts w:ascii="Times New Roman" w:hAnsi="Times New Roman" w:cs="Times New Roman"/>
          <w:bCs/>
          <w:color w:val="000000" w:themeColor="text1"/>
          <w:sz w:val="24"/>
          <w:szCs w:val="24"/>
          <w:lang w:val="en-US"/>
        </w:rPr>
        <w:tab/>
      </w:r>
      <w:r w:rsidRPr="002C5DE1">
        <w:rPr>
          <w:rFonts w:ascii="Times New Roman" w:hAnsi="Times New Roman" w:cs="Times New Roman"/>
          <w:bCs/>
          <w:color w:val="000000" w:themeColor="text1"/>
          <w:sz w:val="24"/>
          <w:szCs w:val="24"/>
          <w:lang w:val="en-US"/>
        </w:rPr>
        <w:tab/>
        <w:t>0.857</w:t>
      </w:r>
    </w:p>
    <w:p w14:paraId="04B46230" w14:textId="77777777" w:rsidR="00E025E0" w:rsidRPr="002C5DE1" w:rsidRDefault="00E025E0" w:rsidP="00F70B9C">
      <w:pPr>
        <w:spacing w:after="120" w:line="240" w:lineRule="auto"/>
        <w:jc w:val="both"/>
        <w:rPr>
          <w:rFonts w:ascii="Times New Roman" w:hAnsi="Times New Roman" w:cs="Times New Roman"/>
          <w:bCs/>
          <w:color w:val="000000" w:themeColor="text1"/>
          <w:sz w:val="24"/>
          <w:szCs w:val="24"/>
          <w:lang w:val="en-US"/>
        </w:rPr>
      </w:pPr>
      <w:r w:rsidRPr="002C5DE1">
        <w:rPr>
          <w:rFonts w:ascii="Times New Roman" w:hAnsi="Times New Roman" w:cs="Times New Roman"/>
          <w:bCs/>
          <w:color w:val="000000" w:themeColor="text1"/>
          <w:sz w:val="24"/>
          <w:szCs w:val="24"/>
          <w:lang w:val="en-US"/>
        </w:rPr>
        <w:tab/>
      </w:r>
      <w:r w:rsidRPr="002C5DE1">
        <w:rPr>
          <w:rFonts w:ascii="Times New Roman" w:hAnsi="Times New Roman" w:cs="Times New Roman"/>
          <w:bCs/>
          <w:color w:val="000000" w:themeColor="text1"/>
          <w:sz w:val="24"/>
          <w:szCs w:val="24"/>
          <w:lang w:val="en-US"/>
        </w:rPr>
        <w:tab/>
        <w:t>[0.68]</w:t>
      </w:r>
      <w:r w:rsidRPr="002C5DE1">
        <w:rPr>
          <w:rFonts w:ascii="Times New Roman" w:hAnsi="Times New Roman" w:cs="Times New Roman"/>
          <w:bCs/>
          <w:color w:val="000000" w:themeColor="text1"/>
          <w:sz w:val="24"/>
          <w:szCs w:val="24"/>
          <w:lang w:val="en-US"/>
        </w:rPr>
        <w:tab/>
      </w:r>
      <w:r w:rsidRPr="002C5DE1">
        <w:rPr>
          <w:rFonts w:ascii="Times New Roman" w:hAnsi="Times New Roman" w:cs="Times New Roman"/>
          <w:bCs/>
          <w:color w:val="000000" w:themeColor="text1"/>
          <w:sz w:val="24"/>
          <w:szCs w:val="24"/>
          <w:lang w:val="en-US"/>
        </w:rPr>
        <w:tab/>
        <w:t>[0.41]</w:t>
      </w:r>
      <w:r w:rsidRPr="002C5DE1">
        <w:rPr>
          <w:rFonts w:ascii="Times New Roman" w:hAnsi="Times New Roman" w:cs="Times New Roman"/>
          <w:bCs/>
          <w:color w:val="000000" w:themeColor="text1"/>
          <w:sz w:val="24"/>
          <w:szCs w:val="24"/>
          <w:lang w:val="en-US"/>
        </w:rPr>
        <w:tab/>
      </w:r>
      <w:r w:rsidRPr="002C5DE1">
        <w:rPr>
          <w:rFonts w:ascii="Times New Roman" w:hAnsi="Times New Roman" w:cs="Times New Roman"/>
          <w:bCs/>
          <w:color w:val="000000" w:themeColor="text1"/>
          <w:sz w:val="24"/>
          <w:szCs w:val="24"/>
          <w:lang w:val="en-US"/>
        </w:rPr>
        <w:tab/>
      </w:r>
      <w:r w:rsidRPr="002C5DE1">
        <w:rPr>
          <w:rFonts w:ascii="Times New Roman" w:hAnsi="Times New Roman" w:cs="Times New Roman"/>
          <w:bCs/>
          <w:color w:val="000000" w:themeColor="text1"/>
          <w:sz w:val="24"/>
          <w:szCs w:val="24"/>
          <w:lang w:val="en-US"/>
        </w:rPr>
        <w:tab/>
      </w:r>
      <w:r w:rsidRPr="002C5DE1">
        <w:rPr>
          <w:rFonts w:ascii="Times New Roman" w:hAnsi="Times New Roman" w:cs="Times New Roman"/>
          <w:bCs/>
          <w:color w:val="000000" w:themeColor="text1"/>
          <w:sz w:val="24"/>
          <w:szCs w:val="24"/>
          <w:lang w:val="en-US"/>
        </w:rPr>
        <w:tab/>
        <w:t>[0.74]</w:t>
      </w:r>
      <w:r w:rsidRPr="002C5DE1">
        <w:rPr>
          <w:rFonts w:ascii="Times New Roman" w:hAnsi="Times New Roman" w:cs="Times New Roman"/>
          <w:bCs/>
          <w:color w:val="000000" w:themeColor="text1"/>
          <w:sz w:val="24"/>
          <w:szCs w:val="24"/>
          <w:lang w:val="en-US"/>
        </w:rPr>
        <w:tab/>
      </w:r>
      <w:r w:rsidRPr="002C5DE1">
        <w:rPr>
          <w:rFonts w:ascii="Times New Roman" w:hAnsi="Times New Roman" w:cs="Times New Roman"/>
          <w:bCs/>
          <w:color w:val="000000" w:themeColor="text1"/>
          <w:sz w:val="24"/>
          <w:szCs w:val="24"/>
          <w:lang w:val="en-US"/>
        </w:rPr>
        <w:tab/>
      </w:r>
      <w:r w:rsidRPr="002C5DE1">
        <w:rPr>
          <w:rFonts w:ascii="Times New Roman" w:hAnsi="Times New Roman" w:cs="Times New Roman"/>
          <w:bCs/>
          <w:color w:val="000000" w:themeColor="text1"/>
          <w:sz w:val="24"/>
          <w:szCs w:val="24"/>
          <w:lang w:val="en-US"/>
        </w:rPr>
        <w:tab/>
        <w:t>[0.37]</w:t>
      </w:r>
    </w:p>
    <w:p w14:paraId="1727886F" w14:textId="77777777" w:rsidR="00E025E0" w:rsidRPr="002C5DE1" w:rsidRDefault="00E025E0" w:rsidP="00F70B9C">
      <w:pPr>
        <w:spacing w:after="120" w:line="240" w:lineRule="auto"/>
        <w:jc w:val="both"/>
        <w:rPr>
          <w:rFonts w:ascii="Times New Roman" w:hAnsi="Times New Roman" w:cs="Times New Roman"/>
          <w:bCs/>
          <w:color w:val="000000" w:themeColor="text1"/>
          <w:sz w:val="24"/>
          <w:szCs w:val="24"/>
          <w:lang w:val="en-US"/>
        </w:rPr>
      </w:pPr>
      <w:r w:rsidRPr="002C5DE1">
        <w:rPr>
          <w:rFonts w:ascii="Times New Roman" w:hAnsi="Times New Roman" w:cs="Times New Roman"/>
          <w:bCs/>
          <w:color w:val="000000" w:themeColor="text1"/>
          <w:sz w:val="24"/>
          <w:szCs w:val="24"/>
          <w:lang w:val="en-US"/>
        </w:rPr>
        <w:t>___________________________________________________________________________</w:t>
      </w:r>
    </w:p>
    <w:p w14:paraId="62A9B841" w14:textId="77777777" w:rsidR="00C9589E" w:rsidRPr="002C5DE1" w:rsidRDefault="00E025E0" w:rsidP="00F70B9C">
      <w:pPr>
        <w:spacing w:after="120" w:line="240" w:lineRule="auto"/>
        <w:jc w:val="both"/>
        <w:rPr>
          <w:rFonts w:ascii="Times New Roman" w:hAnsi="Times New Roman" w:cs="Times New Roman"/>
          <w:b/>
          <w:color w:val="000000" w:themeColor="text1"/>
          <w:sz w:val="24"/>
          <w:szCs w:val="24"/>
          <w:lang w:val="en-US"/>
        </w:rPr>
      </w:pPr>
      <w:r w:rsidRPr="002C5DE1">
        <w:rPr>
          <w:rFonts w:ascii="Times New Roman" w:hAnsi="Times New Roman" w:cs="Times New Roman"/>
          <w:b/>
          <w:color w:val="000000" w:themeColor="text1"/>
          <w:sz w:val="20"/>
          <w:szCs w:val="20"/>
          <w:lang w:val="en-US"/>
        </w:rPr>
        <w:t>Notes</w:t>
      </w:r>
      <w:r w:rsidRPr="002C5DE1">
        <w:rPr>
          <w:rFonts w:ascii="Times New Roman" w:hAnsi="Times New Roman" w:cs="Times New Roman"/>
          <w:bCs/>
          <w:color w:val="000000" w:themeColor="text1"/>
          <w:sz w:val="20"/>
          <w:szCs w:val="20"/>
          <w:lang w:val="en-US"/>
        </w:rPr>
        <w:t>: Figur</w:t>
      </w:r>
      <w:r w:rsidR="00F57094" w:rsidRPr="002C5DE1">
        <w:rPr>
          <w:rFonts w:ascii="Times New Roman" w:hAnsi="Times New Roman" w:cs="Times New Roman"/>
          <w:bCs/>
          <w:color w:val="000000" w:themeColor="text1"/>
          <w:sz w:val="20"/>
          <w:szCs w:val="20"/>
          <w:lang w:val="en-US"/>
        </w:rPr>
        <w:t>es in brackets denote p-values.</w:t>
      </w:r>
    </w:p>
    <w:p w14:paraId="240E7CB7" w14:textId="77777777" w:rsidR="00C9589E" w:rsidRPr="002C5DE1" w:rsidRDefault="00C9589E" w:rsidP="00F70B9C">
      <w:pPr>
        <w:spacing w:after="120" w:line="240" w:lineRule="auto"/>
        <w:jc w:val="both"/>
        <w:rPr>
          <w:rFonts w:ascii="Times New Roman" w:hAnsi="Times New Roman" w:cs="Times New Roman"/>
          <w:b/>
          <w:color w:val="000000" w:themeColor="text1"/>
          <w:sz w:val="24"/>
          <w:szCs w:val="24"/>
          <w:lang w:val="en-US"/>
        </w:rPr>
      </w:pPr>
    </w:p>
    <w:p w14:paraId="5AD34FEC" w14:textId="77777777" w:rsidR="00C9589E" w:rsidRPr="002C5DE1" w:rsidRDefault="00C9589E" w:rsidP="00F70B9C">
      <w:pPr>
        <w:spacing w:after="120" w:line="240" w:lineRule="auto"/>
        <w:jc w:val="both"/>
        <w:rPr>
          <w:rFonts w:ascii="Times New Roman" w:hAnsi="Times New Roman" w:cs="Times New Roman"/>
          <w:b/>
          <w:color w:val="000000" w:themeColor="text1"/>
          <w:sz w:val="24"/>
          <w:szCs w:val="24"/>
          <w:lang w:val="en-US"/>
        </w:rPr>
      </w:pPr>
    </w:p>
    <w:p w14:paraId="77ADE999" w14:textId="77777777" w:rsidR="003719DB" w:rsidRPr="002C5DE1" w:rsidRDefault="003719DB" w:rsidP="00F70B9C">
      <w:pPr>
        <w:spacing w:after="120" w:line="240" w:lineRule="auto"/>
        <w:jc w:val="both"/>
        <w:rPr>
          <w:rFonts w:ascii="Times New Roman" w:hAnsi="Times New Roman" w:cs="Times New Roman"/>
          <w:b/>
          <w:color w:val="000000" w:themeColor="text1"/>
          <w:sz w:val="24"/>
          <w:szCs w:val="24"/>
          <w:lang w:val="en-US"/>
        </w:rPr>
      </w:pPr>
      <w:r w:rsidRPr="002C5DE1">
        <w:rPr>
          <w:rFonts w:ascii="Times New Roman" w:hAnsi="Times New Roman" w:cs="Times New Roman"/>
          <w:b/>
          <w:color w:val="000000" w:themeColor="text1"/>
          <w:sz w:val="24"/>
          <w:szCs w:val="24"/>
          <w:lang w:val="en-US"/>
        </w:rPr>
        <w:t>Table 5b. Test of no remaining non-linearity</w:t>
      </w:r>
    </w:p>
    <w:p w14:paraId="65E77CC1" w14:textId="77777777" w:rsidR="003719DB" w:rsidRPr="002C5DE1" w:rsidRDefault="003719DB" w:rsidP="00F70B9C">
      <w:pPr>
        <w:spacing w:after="120" w:line="240" w:lineRule="auto"/>
        <w:jc w:val="both"/>
        <w:rPr>
          <w:rFonts w:ascii="Times New Roman" w:hAnsi="Times New Roman" w:cs="Times New Roman"/>
          <w:bCs/>
          <w:color w:val="000000" w:themeColor="text1"/>
          <w:sz w:val="24"/>
          <w:szCs w:val="24"/>
          <w:lang w:val="en-US"/>
        </w:rPr>
      </w:pPr>
      <w:r w:rsidRPr="002C5DE1">
        <w:rPr>
          <w:rFonts w:ascii="Times New Roman" w:hAnsi="Times New Roman" w:cs="Times New Roman"/>
          <w:bCs/>
          <w:color w:val="000000" w:themeColor="text1"/>
          <w:sz w:val="24"/>
          <w:szCs w:val="24"/>
          <w:lang w:val="en-US"/>
        </w:rPr>
        <w:t>___________________________________________________________________________</w:t>
      </w:r>
    </w:p>
    <w:p w14:paraId="7CA9E0C9" w14:textId="77777777" w:rsidR="003719DB" w:rsidRPr="002C5DE1" w:rsidRDefault="003719DB" w:rsidP="003719DB">
      <w:pPr>
        <w:spacing w:after="120" w:line="240" w:lineRule="auto"/>
        <w:jc w:val="both"/>
        <w:rPr>
          <w:rFonts w:ascii="Times New Roman" w:hAnsi="Times New Roman" w:cs="Times New Roman"/>
          <w:b/>
          <w:color w:val="000000" w:themeColor="text1"/>
          <w:sz w:val="24"/>
          <w:szCs w:val="24"/>
          <w:lang w:val="en-US"/>
        </w:rPr>
      </w:pPr>
      <w:r w:rsidRPr="002C5DE1">
        <w:rPr>
          <w:rFonts w:ascii="Times New Roman" w:hAnsi="Times New Roman" w:cs="Times New Roman"/>
          <w:color w:val="000000" w:themeColor="text1"/>
          <w:sz w:val="24"/>
          <w:szCs w:val="24"/>
          <w:lang w:val="en-US"/>
        </w:rPr>
        <w:t xml:space="preserve">             Number of location parameters (m)-FD</w:t>
      </w:r>
      <w:r w:rsidRPr="002C5DE1">
        <w:rPr>
          <w:rFonts w:ascii="Times New Roman" w:hAnsi="Times New Roman" w:cs="Times New Roman"/>
          <w:color w:val="000000" w:themeColor="text1"/>
          <w:sz w:val="24"/>
          <w:szCs w:val="24"/>
          <w:lang w:val="en-US"/>
        </w:rPr>
        <w:tab/>
        <w:t xml:space="preserve">    Number of location parameters (m)-HPI</w:t>
      </w:r>
    </w:p>
    <w:p w14:paraId="1C2175B5" w14:textId="77777777" w:rsidR="003719DB" w:rsidRPr="002C5DE1" w:rsidRDefault="003719DB" w:rsidP="003719DB">
      <w:pPr>
        <w:spacing w:after="120" w:line="240" w:lineRule="auto"/>
        <w:jc w:val="both"/>
        <w:rPr>
          <w:rFonts w:ascii="Times New Roman" w:hAnsi="Times New Roman" w:cs="Times New Roman"/>
          <w:bCs/>
          <w:color w:val="000000" w:themeColor="text1"/>
          <w:sz w:val="24"/>
          <w:szCs w:val="24"/>
          <w:lang w:val="en-US"/>
        </w:rPr>
      </w:pPr>
      <w:r w:rsidRPr="002C5DE1">
        <w:rPr>
          <w:rFonts w:ascii="Times New Roman" w:hAnsi="Times New Roman" w:cs="Times New Roman"/>
          <w:bCs/>
          <w:color w:val="000000" w:themeColor="text1"/>
          <w:sz w:val="24"/>
          <w:szCs w:val="24"/>
          <w:lang w:val="en-US"/>
        </w:rPr>
        <w:t>Test</w:t>
      </w:r>
      <w:r w:rsidRPr="002C5DE1">
        <w:rPr>
          <w:rFonts w:ascii="Times New Roman" w:hAnsi="Times New Roman" w:cs="Times New Roman"/>
          <w:bCs/>
          <w:color w:val="000000" w:themeColor="text1"/>
          <w:sz w:val="24"/>
          <w:szCs w:val="24"/>
          <w:lang w:val="en-US"/>
        </w:rPr>
        <w:tab/>
      </w:r>
      <w:r w:rsidRPr="002C5DE1">
        <w:rPr>
          <w:rFonts w:ascii="Times New Roman" w:hAnsi="Times New Roman" w:cs="Times New Roman"/>
          <w:bCs/>
          <w:color w:val="000000" w:themeColor="text1"/>
          <w:sz w:val="24"/>
          <w:szCs w:val="24"/>
          <w:lang w:val="en-US"/>
        </w:rPr>
        <w:tab/>
        <w:t xml:space="preserve"> m=1</w:t>
      </w:r>
      <w:r w:rsidRPr="002C5DE1">
        <w:rPr>
          <w:rFonts w:ascii="Times New Roman" w:hAnsi="Times New Roman" w:cs="Times New Roman"/>
          <w:bCs/>
          <w:color w:val="000000" w:themeColor="text1"/>
          <w:sz w:val="24"/>
          <w:szCs w:val="24"/>
          <w:lang w:val="en-US"/>
        </w:rPr>
        <w:tab/>
        <w:t xml:space="preserve">             m=2</w:t>
      </w:r>
      <w:r w:rsidRPr="002C5DE1">
        <w:rPr>
          <w:rFonts w:ascii="Times New Roman" w:hAnsi="Times New Roman" w:cs="Times New Roman"/>
          <w:bCs/>
          <w:color w:val="000000" w:themeColor="text1"/>
          <w:sz w:val="24"/>
          <w:szCs w:val="24"/>
          <w:lang w:val="en-US"/>
        </w:rPr>
        <w:tab/>
      </w:r>
      <w:r w:rsidRPr="002C5DE1">
        <w:rPr>
          <w:rFonts w:ascii="Times New Roman" w:hAnsi="Times New Roman" w:cs="Times New Roman"/>
          <w:bCs/>
          <w:color w:val="000000" w:themeColor="text1"/>
          <w:sz w:val="24"/>
          <w:szCs w:val="24"/>
          <w:lang w:val="en-US"/>
        </w:rPr>
        <w:tab/>
      </w:r>
      <w:r w:rsidRPr="002C5DE1">
        <w:rPr>
          <w:rFonts w:ascii="Times New Roman" w:hAnsi="Times New Roman" w:cs="Times New Roman"/>
          <w:bCs/>
          <w:color w:val="000000" w:themeColor="text1"/>
          <w:sz w:val="24"/>
          <w:szCs w:val="24"/>
          <w:lang w:val="en-US"/>
        </w:rPr>
        <w:tab/>
        <w:t xml:space="preserve">            m=1</w:t>
      </w:r>
      <w:r w:rsidRPr="002C5DE1">
        <w:rPr>
          <w:rFonts w:ascii="Times New Roman" w:hAnsi="Times New Roman" w:cs="Times New Roman"/>
          <w:bCs/>
          <w:color w:val="000000" w:themeColor="text1"/>
          <w:sz w:val="24"/>
          <w:szCs w:val="24"/>
          <w:lang w:val="en-US"/>
        </w:rPr>
        <w:tab/>
      </w:r>
      <w:r w:rsidRPr="002C5DE1">
        <w:rPr>
          <w:rFonts w:ascii="Times New Roman" w:hAnsi="Times New Roman" w:cs="Times New Roman"/>
          <w:bCs/>
          <w:color w:val="000000" w:themeColor="text1"/>
          <w:sz w:val="24"/>
          <w:szCs w:val="24"/>
          <w:lang w:val="en-US"/>
        </w:rPr>
        <w:tab/>
        <w:t xml:space="preserve">             m=2</w:t>
      </w:r>
    </w:p>
    <w:p w14:paraId="4AAD6FCE" w14:textId="77777777" w:rsidR="003719DB" w:rsidRPr="002C5DE1" w:rsidRDefault="003719DB" w:rsidP="003719DB">
      <w:pPr>
        <w:spacing w:after="120" w:line="240" w:lineRule="auto"/>
        <w:jc w:val="both"/>
        <w:rPr>
          <w:rFonts w:ascii="Times New Roman" w:hAnsi="Times New Roman" w:cs="Times New Roman"/>
          <w:bCs/>
          <w:color w:val="000000" w:themeColor="text1"/>
          <w:sz w:val="24"/>
          <w:szCs w:val="24"/>
          <w:lang w:val="en-US"/>
        </w:rPr>
      </w:pPr>
      <w:r w:rsidRPr="002C5DE1">
        <w:rPr>
          <w:rFonts w:ascii="Times New Roman" w:hAnsi="Times New Roman" w:cs="Times New Roman"/>
          <w:bCs/>
          <w:color w:val="000000" w:themeColor="text1"/>
          <w:sz w:val="24"/>
          <w:szCs w:val="24"/>
          <w:lang w:val="en-US"/>
        </w:rPr>
        <w:t>___________________________________________________________________________</w:t>
      </w:r>
    </w:p>
    <w:p w14:paraId="7AA6FD83" w14:textId="77777777" w:rsidR="003719DB" w:rsidRPr="002C5DE1" w:rsidRDefault="003719DB" w:rsidP="003719DB">
      <w:pPr>
        <w:spacing w:after="120" w:line="240" w:lineRule="auto"/>
        <w:jc w:val="both"/>
        <w:rPr>
          <w:rFonts w:ascii="Times New Roman" w:hAnsi="Times New Roman" w:cs="Times New Roman"/>
          <w:bCs/>
          <w:color w:val="000000" w:themeColor="text1"/>
          <w:sz w:val="24"/>
          <w:szCs w:val="24"/>
          <w:lang w:val="en-US"/>
        </w:rPr>
      </w:pPr>
      <w:r w:rsidRPr="002C5DE1">
        <w:rPr>
          <w:rFonts w:ascii="Times New Roman" w:hAnsi="Times New Roman" w:cs="Times New Roman"/>
          <w:bCs/>
          <w:color w:val="000000" w:themeColor="text1"/>
          <w:sz w:val="24"/>
          <w:szCs w:val="24"/>
          <w:lang w:val="en-US"/>
        </w:rPr>
        <w:t>LM</w:t>
      </w:r>
      <w:r w:rsidRPr="002C5DE1">
        <w:rPr>
          <w:rFonts w:ascii="Times New Roman" w:hAnsi="Times New Roman" w:cs="Times New Roman"/>
          <w:bCs/>
          <w:color w:val="000000" w:themeColor="text1"/>
          <w:sz w:val="24"/>
          <w:szCs w:val="24"/>
          <w:lang w:val="en-US"/>
        </w:rPr>
        <w:tab/>
      </w:r>
      <w:r w:rsidRPr="002C5DE1">
        <w:rPr>
          <w:rFonts w:ascii="Times New Roman" w:hAnsi="Times New Roman" w:cs="Times New Roman"/>
          <w:bCs/>
          <w:color w:val="000000" w:themeColor="text1"/>
          <w:sz w:val="24"/>
          <w:szCs w:val="24"/>
          <w:lang w:val="en-US"/>
        </w:rPr>
        <w:tab/>
        <w:t>0.9</w:t>
      </w:r>
      <w:r w:rsidR="00574C94" w:rsidRPr="002C5DE1">
        <w:rPr>
          <w:rFonts w:ascii="Times New Roman" w:hAnsi="Times New Roman" w:cs="Times New Roman"/>
          <w:bCs/>
          <w:color w:val="000000" w:themeColor="text1"/>
          <w:sz w:val="24"/>
          <w:szCs w:val="24"/>
          <w:lang w:val="en-US"/>
        </w:rPr>
        <w:t>24</w:t>
      </w:r>
      <w:r w:rsidRPr="002C5DE1">
        <w:rPr>
          <w:rFonts w:ascii="Times New Roman" w:hAnsi="Times New Roman" w:cs="Times New Roman"/>
          <w:bCs/>
          <w:color w:val="000000" w:themeColor="text1"/>
          <w:sz w:val="24"/>
          <w:szCs w:val="24"/>
          <w:lang w:val="en-US"/>
        </w:rPr>
        <w:tab/>
      </w:r>
      <w:r w:rsidRPr="002C5DE1">
        <w:rPr>
          <w:rFonts w:ascii="Times New Roman" w:hAnsi="Times New Roman" w:cs="Times New Roman"/>
          <w:bCs/>
          <w:color w:val="000000" w:themeColor="text1"/>
          <w:sz w:val="24"/>
          <w:szCs w:val="24"/>
          <w:lang w:val="en-US"/>
        </w:rPr>
        <w:tab/>
      </w:r>
      <w:r w:rsidR="00574C94" w:rsidRPr="002C5DE1">
        <w:rPr>
          <w:rFonts w:ascii="Times New Roman" w:hAnsi="Times New Roman" w:cs="Times New Roman"/>
          <w:bCs/>
          <w:color w:val="000000" w:themeColor="text1"/>
          <w:sz w:val="24"/>
          <w:szCs w:val="24"/>
          <w:lang w:val="en-US"/>
        </w:rPr>
        <w:t>1</w:t>
      </w:r>
      <w:r w:rsidRPr="002C5DE1">
        <w:rPr>
          <w:rFonts w:ascii="Times New Roman" w:hAnsi="Times New Roman" w:cs="Times New Roman"/>
          <w:bCs/>
          <w:color w:val="000000" w:themeColor="text1"/>
          <w:sz w:val="24"/>
          <w:szCs w:val="24"/>
          <w:lang w:val="en-US"/>
        </w:rPr>
        <w:t>.</w:t>
      </w:r>
      <w:r w:rsidR="00574C94" w:rsidRPr="002C5DE1">
        <w:rPr>
          <w:rFonts w:ascii="Times New Roman" w:hAnsi="Times New Roman" w:cs="Times New Roman"/>
          <w:bCs/>
          <w:color w:val="000000" w:themeColor="text1"/>
          <w:sz w:val="24"/>
          <w:szCs w:val="24"/>
          <w:lang w:val="en-US"/>
        </w:rPr>
        <w:t>133</w:t>
      </w:r>
      <w:r w:rsidRPr="002C5DE1">
        <w:rPr>
          <w:rFonts w:ascii="Times New Roman" w:hAnsi="Times New Roman" w:cs="Times New Roman"/>
          <w:bCs/>
          <w:color w:val="000000" w:themeColor="text1"/>
          <w:sz w:val="24"/>
          <w:szCs w:val="24"/>
          <w:lang w:val="en-US"/>
        </w:rPr>
        <w:tab/>
      </w:r>
      <w:r w:rsidRPr="002C5DE1">
        <w:rPr>
          <w:rFonts w:ascii="Times New Roman" w:hAnsi="Times New Roman" w:cs="Times New Roman"/>
          <w:bCs/>
          <w:color w:val="000000" w:themeColor="text1"/>
          <w:sz w:val="24"/>
          <w:szCs w:val="24"/>
          <w:lang w:val="en-US"/>
        </w:rPr>
        <w:tab/>
      </w:r>
      <w:r w:rsidRPr="002C5DE1">
        <w:rPr>
          <w:rFonts w:ascii="Times New Roman" w:hAnsi="Times New Roman" w:cs="Times New Roman"/>
          <w:bCs/>
          <w:color w:val="000000" w:themeColor="text1"/>
          <w:sz w:val="24"/>
          <w:szCs w:val="24"/>
          <w:lang w:val="en-US"/>
        </w:rPr>
        <w:tab/>
      </w:r>
      <w:r w:rsidRPr="002C5DE1">
        <w:rPr>
          <w:rFonts w:ascii="Times New Roman" w:hAnsi="Times New Roman" w:cs="Times New Roman"/>
          <w:bCs/>
          <w:color w:val="000000" w:themeColor="text1"/>
          <w:sz w:val="24"/>
          <w:szCs w:val="24"/>
          <w:lang w:val="en-US"/>
        </w:rPr>
        <w:tab/>
        <w:t>0.</w:t>
      </w:r>
      <w:r w:rsidR="00574C94" w:rsidRPr="002C5DE1">
        <w:rPr>
          <w:rFonts w:ascii="Times New Roman" w:hAnsi="Times New Roman" w:cs="Times New Roman"/>
          <w:bCs/>
          <w:color w:val="000000" w:themeColor="text1"/>
          <w:sz w:val="24"/>
          <w:szCs w:val="24"/>
          <w:lang w:val="en-US"/>
        </w:rPr>
        <w:t>8</w:t>
      </w:r>
      <w:r w:rsidRPr="002C5DE1">
        <w:rPr>
          <w:rFonts w:ascii="Times New Roman" w:hAnsi="Times New Roman" w:cs="Times New Roman"/>
          <w:bCs/>
          <w:color w:val="000000" w:themeColor="text1"/>
          <w:sz w:val="24"/>
          <w:szCs w:val="24"/>
          <w:lang w:val="en-US"/>
        </w:rPr>
        <w:t>4</w:t>
      </w:r>
      <w:r w:rsidR="00574C94" w:rsidRPr="002C5DE1">
        <w:rPr>
          <w:rFonts w:ascii="Times New Roman" w:hAnsi="Times New Roman" w:cs="Times New Roman"/>
          <w:bCs/>
          <w:color w:val="000000" w:themeColor="text1"/>
          <w:sz w:val="24"/>
          <w:szCs w:val="24"/>
          <w:lang w:val="en-US"/>
        </w:rPr>
        <w:t>2</w:t>
      </w:r>
      <w:r w:rsidRPr="002C5DE1">
        <w:rPr>
          <w:rFonts w:ascii="Times New Roman" w:hAnsi="Times New Roman" w:cs="Times New Roman"/>
          <w:bCs/>
          <w:color w:val="000000" w:themeColor="text1"/>
          <w:sz w:val="24"/>
          <w:szCs w:val="24"/>
          <w:lang w:val="en-US"/>
        </w:rPr>
        <w:tab/>
      </w:r>
      <w:r w:rsidRPr="002C5DE1">
        <w:rPr>
          <w:rFonts w:ascii="Times New Roman" w:hAnsi="Times New Roman" w:cs="Times New Roman"/>
          <w:bCs/>
          <w:color w:val="000000" w:themeColor="text1"/>
          <w:sz w:val="24"/>
          <w:szCs w:val="24"/>
          <w:lang w:val="en-US"/>
        </w:rPr>
        <w:tab/>
      </w:r>
      <w:r w:rsidRPr="002C5DE1">
        <w:rPr>
          <w:rFonts w:ascii="Times New Roman" w:hAnsi="Times New Roman" w:cs="Times New Roman"/>
          <w:bCs/>
          <w:color w:val="000000" w:themeColor="text1"/>
          <w:sz w:val="24"/>
          <w:szCs w:val="24"/>
          <w:lang w:val="en-US"/>
        </w:rPr>
        <w:tab/>
        <w:t>0.</w:t>
      </w:r>
      <w:r w:rsidR="00574C94" w:rsidRPr="002C5DE1">
        <w:rPr>
          <w:rFonts w:ascii="Times New Roman" w:hAnsi="Times New Roman" w:cs="Times New Roman"/>
          <w:bCs/>
          <w:color w:val="000000" w:themeColor="text1"/>
          <w:sz w:val="24"/>
          <w:szCs w:val="24"/>
          <w:lang w:val="en-US"/>
        </w:rPr>
        <w:t>9</w:t>
      </w:r>
      <w:r w:rsidRPr="002C5DE1">
        <w:rPr>
          <w:rFonts w:ascii="Times New Roman" w:hAnsi="Times New Roman" w:cs="Times New Roman"/>
          <w:bCs/>
          <w:color w:val="000000" w:themeColor="text1"/>
          <w:sz w:val="24"/>
          <w:szCs w:val="24"/>
          <w:lang w:val="en-US"/>
        </w:rPr>
        <w:t>7</w:t>
      </w:r>
      <w:r w:rsidR="00574C94" w:rsidRPr="002C5DE1">
        <w:rPr>
          <w:rFonts w:ascii="Times New Roman" w:hAnsi="Times New Roman" w:cs="Times New Roman"/>
          <w:bCs/>
          <w:color w:val="000000" w:themeColor="text1"/>
          <w:sz w:val="24"/>
          <w:szCs w:val="24"/>
          <w:lang w:val="en-US"/>
        </w:rPr>
        <w:t>6</w:t>
      </w:r>
    </w:p>
    <w:p w14:paraId="735875F6" w14:textId="77777777" w:rsidR="003719DB" w:rsidRPr="002C5DE1" w:rsidRDefault="003719DB" w:rsidP="003719DB">
      <w:pPr>
        <w:spacing w:after="120" w:line="240" w:lineRule="auto"/>
        <w:jc w:val="both"/>
        <w:rPr>
          <w:rFonts w:ascii="Times New Roman" w:hAnsi="Times New Roman" w:cs="Times New Roman"/>
          <w:bCs/>
          <w:color w:val="000000" w:themeColor="text1"/>
          <w:sz w:val="24"/>
          <w:szCs w:val="24"/>
          <w:lang w:val="en-US"/>
        </w:rPr>
      </w:pPr>
      <w:r w:rsidRPr="002C5DE1">
        <w:rPr>
          <w:rFonts w:ascii="Times New Roman" w:hAnsi="Times New Roman" w:cs="Times New Roman"/>
          <w:bCs/>
          <w:color w:val="000000" w:themeColor="text1"/>
          <w:sz w:val="24"/>
          <w:szCs w:val="24"/>
          <w:lang w:val="en-US"/>
        </w:rPr>
        <w:tab/>
      </w:r>
      <w:r w:rsidRPr="002C5DE1">
        <w:rPr>
          <w:rFonts w:ascii="Times New Roman" w:hAnsi="Times New Roman" w:cs="Times New Roman"/>
          <w:bCs/>
          <w:color w:val="000000" w:themeColor="text1"/>
          <w:sz w:val="24"/>
          <w:szCs w:val="24"/>
          <w:lang w:val="en-US"/>
        </w:rPr>
        <w:tab/>
        <w:t>[0.</w:t>
      </w:r>
      <w:r w:rsidR="00574C94" w:rsidRPr="002C5DE1">
        <w:rPr>
          <w:rFonts w:ascii="Times New Roman" w:hAnsi="Times New Roman" w:cs="Times New Roman"/>
          <w:bCs/>
          <w:color w:val="000000" w:themeColor="text1"/>
          <w:sz w:val="24"/>
          <w:szCs w:val="24"/>
          <w:lang w:val="en-US"/>
        </w:rPr>
        <w:t>37</w:t>
      </w:r>
      <w:r w:rsidRPr="002C5DE1">
        <w:rPr>
          <w:rFonts w:ascii="Times New Roman" w:hAnsi="Times New Roman" w:cs="Times New Roman"/>
          <w:bCs/>
          <w:color w:val="000000" w:themeColor="text1"/>
          <w:sz w:val="24"/>
          <w:szCs w:val="24"/>
          <w:lang w:val="en-US"/>
        </w:rPr>
        <w:t>]</w:t>
      </w:r>
      <w:r w:rsidRPr="002C5DE1">
        <w:rPr>
          <w:rFonts w:ascii="Times New Roman" w:hAnsi="Times New Roman" w:cs="Times New Roman"/>
          <w:bCs/>
          <w:color w:val="000000" w:themeColor="text1"/>
          <w:sz w:val="24"/>
          <w:szCs w:val="24"/>
          <w:lang w:val="en-US"/>
        </w:rPr>
        <w:tab/>
      </w:r>
      <w:r w:rsidRPr="002C5DE1">
        <w:rPr>
          <w:rFonts w:ascii="Times New Roman" w:hAnsi="Times New Roman" w:cs="Times New Roman"/>
          <w:bCs/>
          <w:color w:val="000000" w:themeColor="text1"/>
          <w:sz w:val="24"/>
          <w:szCs w:val="24"/>
          <w:lang w:val="en-US"/>
        </w:rPr>
        <w:tab/>
        <w:t>[0.</w:t>
      </w:r>
      <w:r w:rsidR="00574C94" w:rsidRPr="002C5DE1">
        <w:rPr>
          <w:rFonts w:ascii="Times New Roman" w:hAnsi="Times New Roman" w:cs="Times New Roman"/>
          <w:bCs/>
          <w:color w:val="000000" w:themeColor="text1"/>
          <w:sz w:val="24"/>
          <w:szCs w:val="24"/>
          <w:lang w:val="en-US"/>
        </w:rPr>
        <w:t>26</w:t>
      </w:r>
      <w:r w:rsidRPr="002C5DE1">
        <w:rPr>
          <w:rFonts w:ascii="Times New Roman" w:hAnsi="Times New Roman" w:cs="Times New Roman"/>
          <w:bCs/>
          <w:color w:val="000000" w:themeColor="text1"/>
          <w:sz w:val="24"/>
          <w:szCs w:val="24"/>
          <w:lang w:val="en-US"/>
        </w:rPr>
        <w:t>]</w:t>
      </w:r>
      <w:r w:rsidRPr="002C5DE1">
        <w:rPr>
          <w:rFonts w:ascii="Times New Roman" w:hAnsi="Times New Roman" w:cs="Times New Roman"/>
          <w:bCs/>
          <w:color w:val="000000" w:themeColor="text1"/>
          <w:sz w:val="24"/>
          <w:szCs w:val="24"/>
          <w:lang w:val="en-US"/>
        </w:rPr>
        <w:tab/>
      </w:r>
      <w:r w:rsidRPr="002C5DE1">
        <w:rPr>
          <w:rFonts w:ascii="Times New Roman" w:hAnsi="Times New Roman" w:cs="Times New Roman"/>
          <w:bCs/>
          <w:color w:val="000000" w:themeColor="text1"/>
          <w:sz w:val="24"/>
          <w:szCs w:val="24"/>
          <w:lang w:val="en-US"/>
        </w:rPr>
        <w:tab/>
      </w:r>
      <w:r w:rsidRPr="002C5DE1">
        <w:rPr>
          <w:rFonts w:ascii="Times New Roman" w:hAnsi="Times New Roman" w:cs="Times New Roman"/>
          <w:bCs/>
          <w:color w:val="000000" w:themeColor="text1"/>
          <w:sz w:val="24"/>
          <w:szCs w:val="24"/>
          <w:lang w:val="en-US"/>
        </w:rPr>
        <w:tab/>
      </w:r>
      <w:r w:rsidRPr="002C5DE1">
        <w:rPr>
          <w:rFonts w:ascii="Times New Roman" w:hAnsi="Times New Roman" w:cs="Times New Roman"/>
          <w:bCs/>
          <w:color w:val="000000" w:themeColor="text1"/>
          <w:sz w:val="24"/>
          <w:szCs w:val="24"/>
          <w:lang w:val="en-US"/>
        </w:rPr>
        <w:tab/>
        <w:t>[0.4</w:t>
      </w:r>
      <w:r w:rsidR="00574C94" w:rsidRPr="002C5DE1">
        <w:rPr>
          <w:rFonts w:ascii="Times New Roman" w:hAnsi="Times New Roman" w:cs="Times New Roman"/>
          <w:bCs/>
          <w:color w:val="000000" w:themeColor="text1"/>
          <w:sz w:val="24"/>
          <w:szCs w:val="24"/>
          <w:lang w:val="en-US"/>
        </w:rPr>
        <w:t>3</w:t>
      </w:r>
      <w:r w:rsidRPr="002C5DE1">
        <w:rPr>
          <w:rFonts w:ascii="Times New Roman" w:hAnsi="Times New Roman" w:cs="Times New Roman"/>
          <w:bCs/>
          <w:color w:val="000000" w:themeColor="text1"/>
          <w:sz w:val="24"/>
          <w:szCs w:val="24"/>
          <w:lang w:val="en-US"/>
        </w:rPr>
        <w:t>]</w:t>
      </w:r>
      <w:r w:rsidRPr="002C5DE1">
        <w:rPr>
          <w:rFonts w:ascii="Times New Roman" w:hAnsi="Times New Roman" w:cs="Times New Roman"/>
          <w:bCs/>
          <w:color w:val="000000" w:themeColor="text1"/>
          <w:sz w:val="24"/>
          <w:szCs w:val="24"/>
          <w:lang w:val="en-US"/>
        </w:rPr>
        <w:tab/>
      </w:r>
      <w:r w:rsidRPr="002C5DE1">
        <w:rPr>
          <w:rFonts w:ascii="Times New Roman" w:hAnsi="Times New Roman" w:cs="Times New Roman"/>
          <w:bCs/>
          <w:color w:val="000000" w:themeColor="text1"/>
          <w:sz w:val="24"/>
          <w:szCs w:val="24"/>
          <w:lang w:val="en-US"/>
        </w:rPr>
        <w:tab/>
      </w:r>
      <w:r w:rsidRPr="002C5DE1">
        <w:rPr>
          <w:rFonts w:ascii="Times New Roman" w:hAnsi="Times New Roman" w:cs="Times New Roman"/>
          <w:bCs/>
          <w:color w:val="000000" w:themeColor="text1"/>
          <w:sz w:val="24"/>
          <w:szCs w:val="24"/>
          <w:lang w:val="en-US"/>
        </w:rPr>
        <w:tab/>
        <w:t>[0.3</w:t>
      </w:r>
      <w:r w:rsidR="00574C94" w:rsidRPr="002C5DE1">
        <w:rPr>
          <w:rFonts w:ascii="Times New Roman" w:hAnsi="Times New Roman" w:cs="Times New Roman"/>
          <w:bCs/>
          <w:color w:val="000000" w:themeColor="text1"/>
          <w:sz w:val="24"/>
          <w:szCs w:val="24"/>
          <w:lang w:val="en-US"/>
        </w:rPr>
        <w:t>1</w:t>
      </w:r>
      <w:r w:rsidRPr="002C5DE1">
        <w:rPr>
          <w:rFonts w:ascii="Times New Roman" w:hAnsi="Times New Roman" w:cs="Times New Roman"/>
          <w:bCs/>
          <w:color w:val="000000" w:themeColor="text1"/>
          <w:sz w:val="24"/>
          <w:szCs w:val="24"/>
          <w:lang w:val="en-US"/>
        </w:rPr>
        <w:t>]</w:t>
      </w:r>
    </w:p>
    <w:p w14:paraId="23B24373" w14:textId="77777777" w:rsidR="003719DB" w:rsidRPr="002C5DE1" w:rsidRDefault="003719DB" w:rsidP="003719DB">
      <w:pPr>
        <w:spacing w:after="120" w:line="240" w:lineRule="auto"/>
        <w:jc w:val="both"/>
        <w:rPr>
          <w:rFonts w:ascii="Times New Roman" w:hAnsi="Times New Roman" w:cs="Times New Roman"/>
          <w:bCs/>
          <w:color w:val="000000" w:themeColor="text1"/>
          <w:sz w:val="24"/>
          <w:szCs w:val="24"/>
          <w:lang w:val="en-US"/>
        </w:rPr>
      </w:pPr>
      <w:r w:rsidRPr="002C5DE1">
        <w:rPr>
          <w:rFonts w:ascii="Times New Roman" w:hAnsi="Times New Roman" w:cs="Times New Roman"/>
          <w:bCs/>
          <w:color w:val="000000" w:themeColor="text1"/>
          <w:sz w:val="24"/>
          <w:szCs w:val="24"/>
          <w:lang w:val="en-US"/>
        </w:rPr>
        <w:t>___________________________________________________________________________</w:t>
      </w:r>
    </w:p>
    <w:p w14:paraId="08D2479B" w14:textId="77777777" w:rsidR="00C9589E" w:rsidRPr="002C5DE1" w:rsidRDefault="003719DB" w:rsidP="00F70B9C">
      <w:pPr>
        <w:spacing w:after="120" w:line="240" w:lineRule="auto"/>
        <w:jc w:val="both"/>
        <w:rPr>
          <w:rFonts w:ascii="Times New Roman" w:hAnsi="Times New Roman" w:cs="Times New Roman"/>
          <w:b/>
          <w:color w:val="000000" w:themeColor="text1"/>
          <w:sz w:val="24"/>
          <w:szCs w:val="24"/>
          <w:lang w:val="en-US"/>
        </w:rPr>
      </w:pPr>
      <w:r w:rsidRPr="002C5DE1">
        <w:rPr>
          <w:rFonts w:ascii="Times New Roman" w:hAnsi="Times New Roman" w:cs="Times New Roman"/>
          <w:b/>
          <w:color w:val="000000" w:themeColor="text1"/>
          <w:sz w:val="20"/>
          <w:szCs w:val="20"/>
          <w:lang w:val="en-US"/>
        </w:rPr>
        <w:t>Notes</w:t>
      </w:r>
      <w:r w:rsidRPr="002C5DE1">
        <w:rPr>
          <w:rFonts w:ascii="Times New Roman" w:hAnsi="Times New Roman" w:cs="Times New Roman"/>
          <w:bCs/>
          <w:color w:val="000000" w:themeColor="text1"/>
          <w:sz w:val="20"/>
          <w:szCs w:val="20"/>
          <w:lang w:val="en-US"/>
        </w:rPr>
        <w:t>: Figures in brackets denote p-values.</w:t>
      </w:r>
    </w:p>
    <w:p w14:paraId="0611BAF6" w14:textId="77777777" w:rsidR="00C9589E" w:rsidRPr="002C5DE1" w:rsidRDefault="00C9589E" w:rsidP="00F70B9C">
      <w:pPr>
        <w:spacing w:after="120" w:line="240" w:lineRule="auto"/>
        <w:jc w:val="both"/>
        <w:rPr>
          <w:rFonts w:ascii="Times New Roman" w:hAnsi="Times New Roman" w:cs="Times New Roman"/>
          <w:b/>
          <w:color w:val="000000" w:themeColor="text1"/>
          <w:sz w:val="24"/>
          <w:szCs w:val="24"/>
          <w:lang w:val="en-US"/>
        </w:rPr>
      </w:pPr>
    </w:p>
    <w:p w14:paraId="713E24F0" w14:textId="77777777" w:rsidR="00574C94" w:rsidRPr="002C5DE1" w:rsidRDefault="00574C94" w:rsidP="00574C94">
      <w:pPr>
        <w:spacing w:after="120" w:line="240" w:lineRule="auto"/>
        <w:jc w:val="both"/>
        <w:rPr>
          <w:rFonts w:ascii="Times New Roman" w:hAnsi="Times New Roman" w:cs="Times New Roman"/>
          <w:b/>
          <w:color w:val="000000" w:themeColor="text1"/>
          <w:sz w:val="24"/>
          <w:szCs w:val="24"/>
          <w:lang w:val="en-US"/>
        </w:rPr>
      </w:pPr>
      <w:r w:rsidRPr="002C5DE1">
        <w:rPr>
          <w:rFonts w:ascii="Times New Roman" w:hAnsi="Times New Roman" w:cs="Times New Roman"/>
          <w:b/>
          <w:color w:val="000000" w:themeColor="text1"/>
          <w:sz w:val="24"/>
          <w:szCs w:val="24"/>
          <w:lang w:val="en-US"/>
        </w:rPr>
        <w:t>Table 5c. The Effect of Housing Prices on Household Consumption: PSTR Panel Threshold Model for the Entire Period: 2000-2016</w:t>
      </w:r>
    </w:p>
    <w:p w14:paraId="781C0684" w14:textId="77777777" w:rsidR="00574C94" w:rsidRPr="002C5DE1" w:rsidRDefault="00574C94" w:rsidP="00574C94">
      <w:pPr>
        <w:pBdr>
          <w:top w:val="single" w:sz="6" w:space="1" w:color="auto"/>
          <w:bottom w:val="single" w:sz="6" w:space="1" w:color="auto"/>
        </w:pBdr>
        <w:spacing w:after="0" w:line="240" w:lineRule="auto"/>
        <w:jc w:val="both"/>
        <w:rPr>
          <w:rFonts w:ascii="Times New Roman" w:hAnsi="Times New Roman" w:cs="Times New Roman"/>
          <w:b/>
          <w:color w:val="000000" w:themeColor="text1"/>
          <w:lang w:val="en-US"/>
        </w:rPr>
      </w:pPr>
      <w:r w:rsidRPr="002C5DE1">
        <w:rPr>
          <w:rFonts w:ascii="Times New Roman" w:hAnsi="Times New Roman" w:cs="Times New Roman"/>
          <w:b/>
          <w:color w:val="000000" w:themeColor="text1"/>
          <w:lang w:val="en-US"/>
        </w:rPr>
        <w:t xml:space="preserve">Variable                            </w:t>
      </w:r>
      <w:r w:rsidR="00D76A00" w:rsidRPr="002C5DE1">
        <w:rPr>
          <w:rFonts w:ascii="Times New Roman" w:hAnsi="Times New Roman" w:cs="Times New Roman"/>
          <w:b/>
          <w:color w:val="000000" w:themeColor="text1"/>
          <w:lang w:val="en-US"/>
        </w:rPr>
        <w:t>E</w:t>
      </w:r>
      <w:r w:rsidRPr="002C5DE1">
        <w:rPr>
          <w:rFonts w:ascii="Times New Roman" w:hAnsi="Times New Roman" w:cs="Times New Roman"/>
          <w:b/>
          <w:color w:val="000000" w:themeColor="text1"/>
          <w:lang w:val="en-US"/>
        </w:rPr>
        <w:t>quation</w:t>
      </w:r>
      <w:r w:rsidR="00BC316C" w:rsidRPr="002C5DE1">
        <w:rPr>
          <w:rFonts w:ascii="Times New Roman" w:hAnsi="Times New Roman" w:cs="Times New Roman"/>
          <w:b/>
          <w:color w:val="000000" w:themeColor="text1"/>
          <w:lang w:val="en-US"/>
        </w:rPr>
        <w:t xml:space="preserve"> (4)-FD         Equation (4)-HPI</w:t>
      </w:r>
    </w:p>
    <w:p w14:paraId="6632F58E" w14:textId="77777777" w:rsidR="00574C94" w:rsidRPr="002C5DE1" w:rsidRDefault="00574C94" w:rsidP="00574C94">
      <w:pPr>
        <w:spacing w:after="0" w:line="240" w:lineRule="auto"/>
        <w:jc w:val="both"/>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Threshold estimate</w:t>
      </w:r>
    </w:p>
    <w:p w14:paraId="4C032F50" w14:textId="77777777" w:rsidR="00574C94" w:rsidRPr="002C5DE1" w:rsidRDefault="00574C94" w:rsidP="00574C94">
      <w:pPr>
        <w:spacing w:after="0" w:line="240" w:lineRule="auto"/>
        <w:jc w:val="both"/>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γ</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0.5</w:t>
      </w:r>
      <w:r w:rsidR="000443BF" w:rsidRPr="002C5DE1">
        <w:rPr>
          <w:rFonts w:ascii="Times New Roman" w:hAnsi="Times New Roman" w:cs="Times New Roman"/>
          <w:color w:val="000000" w:themeColor="text1"/>
          <w:sz w:val="20"/>
          <w:szCs w:val="20"/>
          <w:lang w:val="en-US"/>
        </w:rPr>
        <w:t>4</w:t>
      </w:r>
    </w:p>
    <w:p w14:paraId="313AEB07" w14:textId="77777777" w:rsidR="00574C94" w:rsidRPr="002C5DE1" w:rsidRDefault="00574C94" w:rsidP="00574C94">
      <w:pPr>
        <w:spacing w:after="0" w:line="240" w:lineRule="auto"/>
        <w:jc w:val="both"/>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γ</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000443BF" w:rsidRPr="002C5DE1">
        <w:rPr>
          <w:rFonts w:ascii="Times New Roman" w:hAnsi="Times New Roman" w:cs="Times New Roman"/>
          <w:color w:val="000000" w:themeColor="text1"/>
          <w:sz w:val="20"/>
          <w:szCs w:val="20"/>
          <w:lang w:val="en-US"/>
        </w:rPr>
        <w:t>1</w:t>
      </w:r>
      <w:r w:rsidRPr="002C5DE1">
        <w:rPr>
          <w:rFonts w:ascii="Times New Roman" w:hAnsi="Times New Roman" w:cs="Times New Roman"/>
          <w:color w:val="000000" w:themeColor="text1"/>
          <w:sz w:val="20"/>
          <w:szCs w:val="20"/>
          <w:lang w:val="en-US"/>
        </w:rPr>
        <w:t>.</w:t>
      </w:r>
      <w:r w:rsidR="000443BF" w:rsidRPr="002C5DE1">
        <w:rPr>
          <w:rFonts w:ascii="Times New Roman" w:hAnsi="Times New Roman" w:cs="Times New Roman"/>
          <w:color w:val="000000" w:themeColor="text1"/>
          <w:sz w:val="20"/>
          <w:szCs w:val="20"/>
          <w:lang w:val="en-US"/>
        </w:rPr>
        <w:t>85</w:t>
      </w:r>
    </w:p>
    <w:p w14:paraId="3C5732A7" w14:textId="77777777" w:rsidR="00574C94" w:rsidRPr="002C5DE1" w:rsidRDefault="000B7D46" w:rsidP="00574C94">
      <w:pPr>
        <w:spacing w:after="0" w:line="240" w:lineRule="auto"/>
        <w:jc w:val="both"/>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c</w:t>
      </w:r>
    </w:p>
    <w:p w14:paraId="783EF29A" w14:textId="77777777" w:rsidR="000B7D46" w:rsidRPr="002C5DE1" w:rsidRDefault="000B7D46" w:rsidP="00574C94">
      <w:pPr>
        <w:spacing w:after="0" w:line="240" w:lineRule="auto"/>
        <w:jc w:val="both"/>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c</w:t>
      </w:r>
    </w:p>
    <w:p w14:paraId="21EDF828" w14:textId="77777777" w:rsidR="000B7D46" w:rsidRPr="002C5DE1" w:rsidRDefault="000B7D46" w:rsidP="00574C94">
      <w:pPr>
        <w:spacing w:after="0" w:line="240" w:lineRule="auto"/>
        <w:jc w:val="both"/>
        <w:rPr>
          <w:rFonts w:ascii="Times New Roman" w:hAnsi="Times New Roman" w:cs="Times New Roman"/>
          <w:color w:val="000000" w:themeColor="text1"/>
          <w:sz w:val="20"/>
          <w:szCs w:val="20"/>
          <w:lang w:val="en-US"/>
        </w:rPr>
      </w:pPr>
    </w:p>
    <w:p w14:paraId="4155D3E6" w14:textId="77777777" w:rsidR="00574C94" w:rsidRPr="002C5DE1" w:rsidRDefault="00574C94" w:rsidP="00574C94">
      <w:pPr>
        <w:spacing w:after="0" w:line="240" w:lineRule="auto"/>
        <w:jc w:val="both"/>
        <w:rPr>
          <w:rFonts w:ascii="Times New Roman" w:hAnsi="Times New Roman" w:cs="Times New Roman"/>
          <w:i/>
          <w:color w:val="000000" w:themeColor="text1"/>
          <w:sz w:val="20"/>
          <w:szCs w:val="20"/>
          <w:lang w:val="en-US"/>
        </w:rPr>
      </w:pPr>
      <w:r w:rsidRPr="002C5DE1">
        <w:rPr>
          <w:rFonts w:ascii="Times New Roman" w:hAnsi="Times New Roman" w:cs="Times New Roman"/>
          <w:i/>
          <w:color w:val="000000" w:themeColor="text1"/>
          <w:sz w:val="20"/>
          <w:szCs w:val="20"/>
          <w:lang w:val="en-US"/>
        </w:rPr>
        <w:t>Regime-dependent variables</w:t>
      </w:r>
    </w:p>
    <w:p w14:paraId="14AEEF55" w14:textId="77777777" w:rsidR="00574C94" w:rsidRPr="002C5DE1" w:rsidRDefault="00574C94" w:rsidP="00574C94">
      <w:pPr>
        <w:spacing w:after="0" w:line="240" w:lineRule="auto"/>
        <w:jc w:val="both"/>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β</w:t>
      </w:r>
      <w:r w:rsidRPr="002C5DE1">
        <w:rPr>
          <w:rFonts w:ascii="Times New Roman" w:hAnsi="Times New Roman" w:cs="Times New Roman"/>
          <w:color w:val="000000" w:themeColor="text1"/>
          <w:sz w:val="20"/>
          <w:szCs w:val="20"/>
          <w:vertAlign w:val="subscript"/>
          <w:lang w:val="en-US"/>
        </w:rPr>
        <w:t>1</w:t>
      </w:r>
      <w:r w:rsidRPr="002C5DE1">
        <w:rPr>
          <w:rFonts w:ascii="Times New Roman" w:hAnsi="Times New Roman" w:cs="Times New Roman"/>
          <w:color w:val="000000" w:themeColor="text1"/>
          <w:sz w:val="20"/>
          <w:szCs w:val="20"/>
          <w:lang w:val="en-US"/>
        </w:rPr>
        <w:t xml:space="preserve"> (coefficient below γ)</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0.04</w:t>
      </w:r>
      <w:r w:rsidR="000443BF" w:rsidRPr="002C5DE1">
        <w:rPr>
          <w:rFonts w:ascii="Times New Roman" w:hAnsi="Times New Roman" w:cs="Times New Roman"/>
          <w:color w:val="000000" w:themeColor="text1"/>
          <w:sz w:val="20"/>
          <w:szCs w:val="20"/>
          <w:lang w:val="en-US"/>
        </w:rPr>
        <w:t>1</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p>
    <w:p w14:paraId="16203C04" w14:textId="77777777" w:rsidR="00574C94" w:rsidRPr="002C5DE1" w:rsidRDefault="00574C94" w:rsidP="00574C94">
      <w:pPr>
        <w:spacing w:after="0" w:line="240" w:lineRule="auto"/>
        <w:jc w:val="both"/>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[0.</w:t>
      </w:r>
      <w:r w:rsidR="000443BF" w:rsidRPr="002C5DE1">
        <w:rPr>
          <w:rFonts w:ascii="Times New Roman" w:hAnsi="Times New Roman" w:cs="Times New Roman"/>
          <w:color w:val="000000" w:themeColor="text1"/>
          <w:sz w:val="20"/>
          <w:szCs w:val="20"/>
          <w:lang w:val="en-US"/>
        </w:rPr>
        <w:t>22</w:t>
      </w:r>
      <w:r w:rsidRPr="002C5DE1">
        <w:rPr>
          <w:rFonts w:ascii="Times New Roman" w:hAnsi="Times New Roman" w:cs="Times New Roman"/>
          <w:color w:val="000000" w:themeColor="text1"/>
          <w:sz w:val="20"/>
          <w:szCs w:val="20"/>
          <w:lang w:val="en-US"/>
        </w:rPr>
        <w:t>]</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p>
    <w:p w14:paraId="6DAB1867" w14:textId="77777777" w:rsidR="00574C94" w:rsidRPr="002C5DE1" w:rsidRDefault="00574C94" w:rsidP="00574C94">
      <w:pPr>
        <w:spacing w:after="0" w:line="240" w:lineRule="auto"/>
        <w:jc w:val="both"/>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n</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7</w:t>
      </w:r>
      <w:r w:rsidR="00D76A00" w:rsidRPr="002C5DE1">
        <w:rPr>
          <w:rFonts w:ascii="Times New Roman" w:hAnsi="Times New Roman" w:cs="Times New Roman"/>
          <w:color w:val="000000" w:themeColor="text1"/>
          <w:sz w:val="20"/>
          <w:szCs w:val="20"/>
          <w:lang w:val="en-US"/>
        </w:rPr>
        <w:t>04</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p>
    <w:p w14:paraId="57D41509" w14:textId="77777777" w:rsidR="00574C94" w:rsidRPr="002C5DE1" w:rsidRDefault="00574C94" w:rsidP="00574C94">
      <w:pPr>
        <w:spacing w:after="0" w:line="240" w:lineRule="auto"/>
        <w:jc w:val="both"/>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β’</w:t>
      </w:r>
      <w:r w:rsidR="000B7D46" w:rsidRPr="002C5DE1">
        <w:rPr>
          <w:rFonts w:ascii="Times New Roman" w:hAnsi="Times New Roman" w:cs="Times New Roman"/>
          <w:color w:val="000000" w:themeColor="text1"/>
          <w:sz w:val="20"/>
          <w:szCs w:val="20"/>
          <w:vertAlign w:val="subscript"/>
          <w:lang w:val="en-US"/>
        </w:rPr>
        <w:t>4</w:t>
      </w:r>
      <w:r w:rsidRPr="002C5DE1">
        <w:rPr>
          <w:rFonts w:ascii="Times New Roman" w:hAnsi="Times New Roman" w:cs="Times New Roman"/>
          <w:color w:val="000000" w:themeColor="text1"/>
          <w:sz w:val="20"/>
          <w:szCs w:val="20"/>
          <w:lang w:val="en-US"/>
        </w:rPr>
        <w:t xml:space="preserve"> (coefficient above γ)</w:t>
      </w:r>
      <w:r w:rsidRPr="002C5DE1">
        <w:rPr>
          <w:rFonts w:ascii="Times New Roman" w:hAnsi="Times New Roman" w:cs="Times New Roman"/>
          <w:color w:val="000000" w:themeColor="text1"/>
          <w:sz w:val="20"/>
          <w:szCs w:val="20"/>
          <w:lang w:val="en-US"/>
        </w:rPr>
        <w:tab/>
        <w:t xml:space="preserve">              0.</w:t>
      </w:r>
      <w:r w:rsidR="000443BF" w:rsidRPr="002C5DE1">
        <w:rPr>
          <w:rFonts w:ascii="Times New Roman" w:hAnsi="Times New Roman" w:cs="Times New Roman"/>
          <w:color w:val="000000" w:themeColor="text1"/>
          <w:sz w:val="20"/>
          <w:szCs w:val="20"/>
          <w:lang w:val="en-US"/>
        </w:rPr>
        <w:t>102</w:t>
      </w:r>
      <w:r w:rsidRPr="002C5DE1">
        <w:rPr>
          <w:rFonts w:ascii="Times New Roman" w:hAnsi="Times New Roman" w:cs="Times New Roman"/>
          <w:color w:val="000000" w:themeColor="text1"/>
          <w:sz w:val="20"/>
          <w:szCs w:val="20"/>
          <w:lang w:val="en-US"/>
        </w:rPr>
        <w:t>***</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p>
    <w:p w14:paraId="7E37F094" w14:textId="77777777" w:rsidR="00574C94" w:rsidRPr="002C5DE1" w:rsidRDefault="00574C94" w:rsidP="00574C94">
      <w:pPr>
        <w:spacing w:after="0" w:line="240" w:lineRule="auto"/>
        <w:jc w:val="both"/>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[0.00]</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p>
    <w:p w14:paraId="431556B3" w14:textId="77777777" w:rsidR="00574C94" w:rsidRPr="002C5DE1" w:rsidRDefault="00574C94" w:rsidP="00574C94">
      <w:pPr>
        <w:spacing w:after="0" w:line="240" w:lineRule="auto"/>
        <w:jc w:val="both"/>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n</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00D76A00" w:rsidRPr="002C5DE1">
        <w:rPr>
          <w:rFonts w:ascii="Times New Roman" w:hAnsi="Times New Roman" w:cs="Times New Roman"/>
          <w:color w:val="000000" w:themeColor="text1"/>
          <w:sz w:val="20"/>
          <w:szCs w:val="20"/>
          <w:lang w:val="en-US"/>
        </w:rPr>
        <w:t>928</w:t>
      </w:r>
    </w:p>
    <w:p w14:paraId="24ABF176" w14:textId="77777777" w:rsidR="00574C94" w:rsidRPr="002C5DE1" w:rsidRDefault="000B7D46" w:rsidP="00574C94">
      <w:pPr>
        <w:spacing w:after="0" w:line="240" w:lineRule="auto"/>
        <w:jc w:val="both"/>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β</w:t>
      </w:r>
      <w:r w:rsidRPr="002C5DE1">
        <w:rPr>
          <w:rFonts w:ascii="Times New Roman" w:hAnsi="Times New Roman" w:cs="Times New Roman"/>
          <w:color w:val="000000" w:themeColor="text1"/>
          <w:sz w:val="20"/>
          <w:szCs w:val="20"/>
          <w:vertAlign w:val="subscript"/>
          <w:lang w:val="en-US"/>
        </w:rPr>
        <w:t>1</w:t>
      </w:r>
      <w:r w:rsidR="00574C94" w:rsidRPr="002C5DE1">
        <w:rPr>
          <w:rFonts w:ascii="Times New Roman" w:hAnsi="Times New Roman" w:cs="Times New Roman"/>
          <w:color w:val="000000" w:themeColor="text1"/>
          <w:sz w:val="20"/>
          <w:szCs w:val="20"/>
          <w:lang w:val="en-US"/>
        </w:rPr>
        <w:t xml:space="preserve"> (coefficient below γ)</w:t>
      </w:r>
      <w:r w:rsidR="00574C94" w:rsidRPr="002C5DE1">
        <w:rPr>
          <w:rFonts w:ascii="Times New Roman" w:hAnsi="Times New Roman" w:cs="Times New Roman"/>
          <w:color w:val="000000" w:themeColor="text1"/>
          <w:sz w:val="20"/>
          <w:szCs w:val="20"/>
          <w:lang w:val="en-US"/>
        </w:rPr>
        <w:tab/>
      </w:r>
      <w:r w:rsidR="00574C94" w:rsidRPr="002C5DE1">
        <w:rPr>
          <w:rFonts w:ascii="Times New Roman" w:hAnsi="Times New Roman" w:cs="Times New Roman"/>
          <w:color w:val="000000" w:themeColor="text1"/>
          <w:sz w:val="20"/>
          <w:szCs w:val="20"/>
          <w:lang w:val="en-US"/>
        </w:rPr>
        <w:tab/>
      </w:r>
      <w:r w:rsidR="00574C94" w:rsidRPr="002C5DE1">
        <w:rPr>
          <w:rFonts w:ascii="Times New Roman" w:hAnsi="Times New Roman" w:cs="Times New Roman"/>
          <w:color w:val="000000" w:themeColor="text1"/>
          <w:sz w:val="20"/>
          <w:szCs w:val="20"/>
          <w:lang w:val="en-US"/>
        </w:rPr>
        <w:tab/>
      </w:r>
      <w:r w:rsidR="00574C94" w:rsidRPr="002C5DE1">
        <w:rPr>
          <w:rFonts w:ascii="Times New Roman" w:hAnsi="Times New Roman" w:cs="Times New Roman"/>
          <w:color w:val="000000" w:themeColor="text1"/>
          <w:sz w:val="20"/>
          <w:szCs w:val="20"/>
          <w:lang w:val="en-US"/>
        </w:rPr>
        <w:tab/>
      </w:r>
      <w:r w:rsidR="00574C94" w:rsidRPr="002C5DE1">
        <w:rPr>
          <w:rFonts w:ascii="Times New Roman" w:hAnsi="Times New Roman" w:cs="Times New Roman"/>
          <w:color w:val="000000" w:themeColor="text1"/>
          <w:sz w:val="20"/>
          <w:szCs w:val="20"/>
          <w:lang w:val="en-US"/>
        </w:rPr>
        <w:tab/>
        <w:t>0.03</w:t>
      </w:r>
      <w:r w:rsidR="000443BF" w:rsidRPr="002C5DE1">
        <w:rPr>
          <w:rFonts w:ascii="Times New Roman" w:hAnsi="Times New Roman" w:cs="Times New Roman"/>
          <w:color w:val="000000" w:themeColor="text1"/>
          <w:sz w:val="20"/>
          <w:szCs w:val="20"/>
          <w:lang w:val="en-US"/>
        </w:rPr>
        <w:t>6</w:t>
      </w:r>
    </w:p>
    <w:p w14:paraId="735B0CF0" w14:textId="77777777" w:rsidR="00574C94" w:rsidRPr="002C5DE1" w:rsidRDefault="00574C94" w:rsidP="00574C94">
      <w:pPr>
        <w:spacing w:after="0" w:line="240" w:lineRule="auto"/>
        <w:jc w:val="both"/>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[0.2</w:t>
      </w:r>
      <w:r w:rsidR="000443BF" w:rsidRPr="002C5DE1">
        <w:rPr>
          <w:rFonts w:ascii="Times New Roman" w:hAnsi="Times New Roman" w:cs="Times New Roman"/>
          <w:color w:val="000000" w:themeColor="text1"/>
          <w:sz w:val="20"/>
          <w:szCs w:val="20"/>
          <w:lang w:val="en-US"/>
        </w:rPr>
        <w:t>9</w:t>
      </w:r>
      <w:r w:rsidRPr="002C5DE1">
        <w:rPr>
          <w:rFonts w:ascii="Times New Roman" w:hAnsi="Times New Roman" w:cs="Times New Roman"/>
          <w:color w:val="000000" w:themeColor="text1"/>
          <w:sz w:val="20"/>
          <w:szCs w:val="20"/>
          <w:lang w:val="en-US"/>
        </w:rPr>
        <w:t>]</w:t>
      </w:r>
    </w:p>
    <w:p w14:paraId="070C4190" w14:textId="77777777" w:rsidR="00574C94" w:rsidRPr="002C5DE1" w:rsidRDefault="00574C94" w:rsidP="00574C94">
      <w:pPr>
        <w:spacing w:after="0" w:line="240" w:lineRule="auto"/>
        <w:jc w:val="both"/>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n</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6</w:t>
      </w:r>
      <w:r w:rsidR="00D76A00" w:rsidRPr="002C5DE1">
        <w:rPr>
          <w:rFonts w:ascii="Times New Roman" w:hAnsi="Times New Roman" w:cs="Times New Roman"/>
          <w:color w:val="000000" w:themeColor="text1"/>
          <w:sz w:val="20"/>
          <w:szCs w:val="20"/>
          <w:lang w:val="en-US"/>
        </w:rPr>
        <w:t>43</w:t>
      </w:r>
    </w:p>
    <w:p w14:paraId="7C3BD3DA" w14:textId="77777777" w:rsidR="00574C94" w:rsidRPr="002C5DE1" w:rsidRDefault="000B7D46" w:rsidP="00574C94">
      <w:pPr>
        <w:spacing w:after="0" w:line="240" w:lineRule="auto"/>
        <w:jc w:val="both"/>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lastRenderedPageBreak/>
        <w:t>β</w:t>
      </w:r>
      <w:r w:rsidR="00574C94" w:rsidRPr="002C5DE1">
        <w:rPr>
          <w:rFonts w:ascii="Times New Roman" w:hAnsi="Times New Roman" w:cs="Times New Roman"/>
          <w:color w:val="000000" w:themeColor="text1"/>
          <w:sz w:val="20"/>
          <w:szCs w:val="20"/>
          <w:lang w:val="en-US"/>
        </w:rPr>
        <w:t>’</w:t>
      </w:r>
      <w:r w:rsidR="00574C94" w:rsidRPr="002C5DE1">
        <w:rPr>
          <w:rFonts w:ascii="Times New Roman" w:hAnsi="Times New Roman" w:cs="Times New Roman"/>
          <w:color w:val="000000" w:themeColor="text1"/>
          <w:sz w:val="20"/>
          <w:szCs w:val="20"/>
          <w:vertAlign w:val="subscript"/>
          <w:lang w:val="en-US"/>
        </w:rPr>
        <w:t>4</w:t>
      </w:r>
      <w:r w:rsidR="00574C94" w:rsidRPr="002C5DE1">
        <w:rPr>
          <w:rFonts w:ascii="Times New Roman" w:hAnsi="Times New Roman" w:cs="Times New Roman"/>
          <w:color w:val="000000" w:themeColor="text1"/>
          <w:sz w:val="20"/>
          <w:szCs w:val="20"/>
          <w:lang w:val="en-US"/>
        </w:rPr>
        <w:t xml:space="preserve"> (coefficient above γ)</w:t>
      </w:r>
      <w:r w:rsidR="00574C94" w:rsidRPr="002C5DE1">
        <w:rPr>
          <w:rFonts w:ascii="Times New Roman" w:hAnsi="Times New Roman" w:cs="Times New Roman"/>
          <w:color w:val="000000" w:themeColor="text1"/>
          <w:sz w:val="20"/>
          <w:szCs w:val="20"/>
          <w:lang w:val="en-US"/>
        </w:rPr>
        <w:tab/>
      </w:r>
      <w:r w:rsidR="00574C94" w:rsidRPr="002C5DE1">
        <w:rPr>
          <w:rFonts w:ascii="Times New Roman" w:hAnsi="Times New Roman" w:cs="Times New Roman"/>
          <w:color w:val="000000" w:themeColor="text1"/>
          <w:sz w:val="20"/>
          <w:szCs w:val="20"/>
          <w:lang w:val="en-US"/>
        </w:rPr>
        <w:tab/>
      </w:r>
      <w:r w:rsidR="00574C94" w:rsidRPr="002C5DE1">
        <w:rPr>
          <w:rFonts w:ascii="Times New Roman" w:hAnsi="Times New Roman" w:cs="Times New Roman"/>
          <w:color w:val="000000" w:themeColor="text1"/>
          <w:sz w:val="20"/>
          <w:szCs w:val="20"/>
          <w:lang w:val="en-US"/>
        </w:rPr>
        <w:tab/>
      </w:r>
      <w:r w:rsidR="00574C94" w:rsidRPr="002C5DE1">
        <w:rPr>
          <w:rFonts w:ascii="Times New Roman" w:hAnsi="Times New Roman" w:cs="Times New Roman"/>
          <w:color w:val="000000" w:themeColor="text1"/>
          <w:sz w:val="20"/>
          <w:szCs w:val="20"/>
          <w:lang w:val="en-US"/>
        </w:rPr>
        <w:tab/>
      </w:r>
      <w:r w:rsidR="00574C94" w:rsidRPr="002C5DE1">
        <w:rPr>
          <w:rFonts w:ascii="Times New Roman" w:hAnsi="Times New Roman" w:cs="Times New Roman"/>
          <w:color w:val="000000" w:themeColor="text1"/>
          <w:sz w:val="20"/>
          <w:szCs w:val="20"/>
          <w:lang w:val="en-US"/>
        </w:rPr>
        <w:tab/>
        <w:t>0.0</w:t>
      </w:r>
      <w:r w:rsidR="000443BF" w:rsidRPr="002C5DE1">
        <w:rPr>
          <w:rFonts w:ascii="Times New Roman" w:hAnsi="Times New Roman" w:cs="Times New Roman"/>
          <w:color w:val="000000" w:themeColor="text1"/>
          <w:sz w:val="20"/>
          <w:szCs w:val="20"/>
          <w:lang w:val="en-US"/>
        </w:rPr>
        <w:t>70</w:t>
      </w:r>
      <w:r w:rsidR="00574C94" w:rsidRPr="002C5DE1">
        <w:rPr>
          <w:rFonts w:ascii="Times New Roman" w:hAnsi="Times New Roman" w:cs="Times New Roman"/>
          <w:color w:val="000000" w:themeColor="text1"/>
          <w:sz w:val="20"/>
          <w:szCs w:val="20"/>
          <w:lang w:val="en-US"/>
        </w:rPr>
        <w:t>**</w:t>
      </w:r>
    </w:p>
    <w:p w14:paraId="1E3B4849" w14:textId="77777777" w:rsidR="00574C94" w:rsidRPr="002C5DE1" w:rsidRDefault="00574C94" w:rsidP="00574C94">
      <w:pPr>
        <w:spacing w:after="0" w:line="240" w:lineRule="auto"/>
        <w:jc w:val="both"/>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[0.0</w:t>
      </w:r>
      <w:r w:rsidR="000443BF" w:rsidRPr="002C5DE1">
        <w:rPr>
          <w:rFonts w:ascii="Times New Roman" w:hAnsi="Times New Roman" w:cs="Times New Roman"/>
          <w:color w:val="000000" w:themeColor="text1"/>
          <w:sz w:val="20"/>
          <w:szCs w:val="20"/>
          <w:lang w:val="en-US"/>
        </w:rPr>
        <w:t>2</w:t>
      </w:r>
      <w:r w:rsidRPr="002C5DE1">
        <w:rPr>
          <w:rFonts w:ascii="Times New Roman" w:hAnsi="Times New Roman" w:cs="Times New Roman"/>
          <w:color w:val="000000" w:themeColor="text1"/>
          <w:sz w:val="20"/>
          <w:szCs w:val="20"/>
          <w:lang w:val="en-US"/>
        </w:rPr>
        <w:t>]</w:t>
      </w:r>
    </w:p>
    <w:p w14:paraId="6350D62F" w14:textId="77777777" w:rsidR="00574C94" w:rsidRPr="002C5DE1" w:rsidRDefault="00574C94" w:rsidP="00574C94">
      <w:pPr>
        <w:spacing w:after="0" w:line="240" w:lineRule="auto"/>
        <w:jc w:val="both"/>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n</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000443BF" w:rsidRPr="002C5DE1">
        <w:rPr>
          <w:rFonts w:ascii="Times New Roman" w:hAnsi="Times New Roman" w:cs="Times New Roman"/>
          <w:color w:val="000000" w:themeColor="text1"/>
          <w:sz w:val="20"/>
          <w:szCs w:val="20"/>
          <w:lang w:val="en-US"/>
        </w:rPr>
        <w:t>989</w:t>
      </w:r>
    </w:p>
    <w:p w14:paraId="2F35B5B9" w14:textId="77777777" w:rsidR="00574C94" w:rsidRPr="002C5DE1" w:rsidRDefault="00574C94" w:rsidP="00574C94">
      <w:pPr>
        <w:spacing w:after="0" w:line="240" w:lineRule="auto"/>
        <w:jc w:val="both"/>
        <w:rPr>
          <w:rFonts w:ascii="Times New Roman" w:hAnsi="Times New Roman" w:cs="Times New Roman"/>
          <w:i/>
          <w:color w:val="000000" w:themeColor="text1"/>
          <w:sz w:val="20"/>
          <w:szCs w:val="20"/>
          <w:lang w:val="en-US"/>
        </w:rPr>
      </w:pPr>
    </w:p>
    <w:p w14:paraId="3A893C38" w14:textId="77777777" w:rsidR="00574C94" w:rsidRPr="002C5DE1" w:rsidRDefault="00574C94" w:rsidP="00574C94">
      <w:pPr>
        <w:spacing w:after="0" w:line="240" w:lineRule="auto"/>
        <w:jc w:val="both"/>
        <w:rPr>
          <w:rFonts w:ascii="Times New Roman" w:hAnsi="Times New Roman" w:cs="Times New Roman"/>
          <w:i/>
          <w:color w:val="000000" w:themeColor="text1"/>
          <w:sz w:val="20"/>
          <w:szCs w:val="20"/>
          <w:lang w:val="en-US"/>
        </w:rPr>
      </w:pPr>
      <w:r w:rsidRPr="002C5DE1">
        <w:rPr>
          <w:rFonts w:ascii="Times New Roman" w:hAnsi="Times New Roman" w:cs="Times New Roman"/>
          <w:i/>
          <w:color w:val="000000" w:themeColor="text1"/>
          <w:sz w:val="20"/>
          <w:szCs w:val="20"/>
          <w:lang w:val="en-US"/>
        </w:rPr>
        <w:t>Regime-independent variables</w:t>
      </w:r>
    </w:p>
    <w:p w14:paraId="3DD80B28" w14:textId="77777777" w:rsidR="00574C94" w:rsidRPr="002C5DE1" w:rsidRDefault="00574C94" w:rsidP="00574C94">
      <w:pPr>
        <w:spacing w:after="0" w:line="240" w:lineRule="auto"/>
        <w:jc w:val="both"/>
        <w:rPr>
          <w:rFonts w:ascii="Times New Roman" w:hAnsi="Times New Roman" w:cs="Times New Roman"/>
          <w:color w:val="000000" w:themeColor="text1"/>
          <w:sz w:val="20"/>
          <w:szCs w:val="20"/>
          <w:lang w:val="en-US"/>
        </w:rPr>
      </w:pPr>
      <w:proofErr w:type="spellStart"/>
      <w:r w:rsidRPr="002C5DE1">
        <w:rPr>
          <w:rFonts w:ascii="Times New Roman" w:hAnsi="Times New Roman" w:cs="Times New Roman"/>
          <w:color w:val="000000" w:themeColor="text1"/>
          <w:sz w:val="20"/>
          <w:szCs w:val="20"/>
          <w:lang w:val="en-US"/>
        </w:rPr>
        <w:t>ΔlnStock</w:t>
      </w:r>
      <w:proofErr w:type="spellEnd"/>
      <w:r w:rsidRPr="002C5DE1">
        <w:rPr>
          <w:rFonts w:ascii="Times New Roman" w:hAnsi="Times New Roman" w:cs="Times New Roman"/>
          <w:color w:val="000000" w:themeColor="text1"/>
          <w:sz w:val="20"/>
          <w:szCs w:val="20"/>
          <w:lang w:val="en-US"/>
        </w:rPr>
        <w:t xml:space="preserve"> prices (β</w:t>
      </w:r>
      <w:r w:rsidRPr="002C5DE1">
        <w:rPr>
          <w:rFonts w:ascii="Times New Roman" w:hAnsi="Times New Roman" w:cs="Times New Roman"/>
          <w:color w:val="000000" w:themeColor="text1"/>
          <w:sz w:val="20"/>
          <w:szCs w:val="20"/>
          <w:vertAlign w:val="subscript"/>
          <w:lang w:val="en-US"/>
        </w:rPr>
        <w:t>3</w:t>
      </w:r>
      <w:r w:rsidRPr="002C5DE1">
        <w:rPr>
          <w:rFonts w:ascii="Times New Roman" w:hAnsi="Times New Roman" w:cs="Times New Roman"/>
          <w:color w:val="000000" w:themeColor="text1"/>
          <w:sz w:val="20"/>
          <w:szCs w:val="20"/>
          <w:lang w:val="en-US"/>
        </w:rPr>
        <w:t>)</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0.08</w:t>
      </w:r>
      <w:r w:rsidR="000443BF" w:rsidRPr="002C5DE1">
        <w:rPr>
          <w:rFonts w:ascii="Times New Roman" w:hAnsi="Times New Roman" w:cs="Times New Roman"/>
          <w:color w:val="000000" w:themeColor="text1"/>
          <w:sz w:val="20"/>
          <w:szCs w:val="20"/>
          <w:lang w:val="en-US"/>
        </w:rPr>
        <w:t>3</w:t>
      </w:r>
      <w:r w:rsidRPr="002C5DE1">
        <w:rPr>
          <w:rFonts w:ascii="Times New Roman" w:hAnsi="Times New Roman" w:cs="Times New Roman"/>
          <w:color w:val="000000" w:themeColor="text1"/>
          <w:sz w:val="20"/>
          <w:szCs w:val="20"/>
          <w:lang w:val="en-US"/>
        </w:rPr>
        <w:t>***</w:t>
      </w:r>
    </w:p>
    <w:p w14:paraId="2430DD11" w14:textId="77777777" w:rsidR="00574C94" w:rsidRPr="002C5DE1" w:rsidRDefault="00574C94" w:rsidP="00574C94">
      <w:pPr>
        <w:spacing w:after="0" w:line="240" w:lineRule="auto"/>
        <w:jc w:val="both"/>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[0.00]</w:t>
      </w:r>
    </w:p>
    <w:p w14:paraId="019D9F5C" w14:textId="77777777" w:rsidR="00574C94" w:rsidRPr="002C5DE1" w:rsidRDefault="00574C94" w:rsidP="00574C94">
      <w:pPr>
        <w:spacing w:after="0" w:line="240" w:lineRule="auto"/>
        <w:jc w:val="both"/>
        <w:rPr>
          <w:rFonts w:ascii="Times New Roman" w:hAnsi="Times New Roman" w:cs="Times New Roman"/>
          <w:color w:val="000000" w:themeColor="text1"/>
          <w:sz w:val="20"/>
          <w:szCs w:val="20"/>
          <w:lang w:val="en-US"/>
        </w:rPr>
      </w:pPr>
      <w:proofErr w:type="spellStart"/>
      <w:r w:rsidRPr="002C5DE1">
        <w:rPr>
          <w:rFonts w:ascii="Times New Roman" w:hAnsi="Times New Roman" w:cs="Times New Roman"/>
          <w:color w:val="000000" w:themeColor="text1"/>
          <w:sz w:val="20"/>
          <w:szCs w:val="20"/>
          <w:lang w:val="en-US"/>
        </w:rPr>
        <w:t>ΔlnStock</w:t>
      </w:r>
      <w:proofErr w:type="spellEnd"/>
      <w:r w:rsidRPr="002C5DE1">
        <w:rPr>
          <w:rFonts w:ascii="Times New Roman" w:hAnsi="Times New Roman" w:cs="Times New Roman"/>
          <w:color w:val="000000" w:themeColor="text1"/>
          <w:sz w:val="20"/>
          <w:szCs w:val="20"/>
          <w:lang w:val="en-US"/>
        </w:rPr>
        <w:t xml:space="preserve"> prices (β’</w:t>
      </w:r>
      <w:r w:rsidR="000B7D46" w:rsidRPr="002C5DE1">
        <w:rPr>
          <w:rFonts w:ascii="Times New Roman" w:hAnsi="Times New Roman" w:cs="Times New Roman"/>
          <w:color w:val="000000" w:themeColor="text1"/>
          <w:sz w:val="20"/>
          <w:szCs w:val="20"/>
          <w:vertAlign w:val="subscript"/>
          <w:lang w:val="en-US"/>
        </w:rPr>
        <w:t>6</w:t>
      </w:r>
      <w:r w:rsidRPr="002C5DE1">
        <w:rPr>
          <w:rFonts w:ascii="Times New Roman" w:hAnsi="Times New Roman" w:cs="Times New Roman"/>
          <w:color w:val="000000" w:themeColor="text1"/>
          <w:sz w:val="20"/>
          <w:szCs w:val="20"/>
          <w:lang w:val="en-US"/>
        </w:rPr>
        <w:t>)</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0.06</w:t>
      </w:r>
      <w:r w:rsidR="000443BF" w:rsidRPr="002C5DE1">
        <w:rPr>
          <w:rFonts w:ascii="Times New Roman" w:hAnsi="Times New Roman" w:cs="Times New Roman"/>
          <w:color w:val="000000" w:themeColor="text1"/>
          <w:sz w:val="20"/>
          <w:szCs w:val="20"/>
          <w:lang w:val="en-US"/>
        </w:rPr>
        <w:t>5</w:t>
      </w:r>
      <w:r w:rsidRPr="002C5DE1">
        <w:rPr>
          <w:rFonts w:ascii="Times New Roman" w:hAnsi="Times New Roman" w:cs="Times New Roman"/>
          <w:color w:val="000000" w:themeColor="text1"/>
          <w:sz w:val="20"/>
          <w:szCs w:val="20"/>
          <w:lang w:val="en-US"/>
        </w:rPr>
        <w:t>**</w:t>
      </w:r>
    </w:p>
    <w:p w14:paraId="16F73928" w14:textId="77777777" w:rsidR="00574C94" w:rsidRPr="002C5DE1" w:rsidRDefault="00574C94" w:rsidP="00574C94">
      <w:pPr>
        <w:spacing w:after="0" w:line="240" w:lineRule="auto"/>
        <w:jc w:val="both"/>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[0.02]</w:t>
      </w:r>
    </w:p>
    <w:p w14:paraId="255877DE" w14:textId="77777777" w:rsidR="00574C94" w:rsidRPr="002C5DE1" w:rsidRDefault="00574C94" w:rsidP="00574C94">
      <w:pPr>
        <w:spacing w:after="0" w:line="240" w:lineRule="auto"/>
        <w:jc w:val="both"/>
        <w:rPr>
          <w:rFonts w:ascii="Times New Roman" w:hAnsi="Times New Roman" w:cs="Times New Roman"/>
          <w:color w:val="000000" w:themeColor="text1"/>
          <w:sz w:val="20"/>
          <w:szCs w:val="20"/>
          <w:lang w:val="en-US"/>
        </w:rPr>
      </w:pPr>
      <w:proofErr w:type="spellStart"/>
      <w:r w:rsidRPr="002C5DE1">
        <w:rPr>
          <w:rFonts w:ascii="Times New Roman" w:hAnsi="Times New Roman" w:cs="Times New Roman"/>
          <w:color w:val="000000" w:themeColor="text1"/>
          <w:sz w:val="20"/>
          <w:szCs w:val="20"/>
          <w:lang w:val="en-US"/>
        </w:rPr>
        <w:t>ΔlnReal</w:t>
      </w:r>
      <w:proofErr w:type="spellEnd"/>
      <w:r w:rsidRPr="002C5DE1">
        <w:rPr>
          <w:rFonts w:ascii="Times New Roman" w:hAnsi="Times New Roman" w:cs="Times New Roman"/>
          <w:color w:val="000000" w:themeColor="text1"/>
          <w:sz w:val="20"/>
          <w:szCs w:val="20"/>
          <w:lang w:val="en-US"/>
        </w:rPr>
        <w:t xml:space="preserve"> income per capita (β</w:t>
      </w:r>
      <w:r w:rsidRPr="002C5DE1">
        <w:rPr>
          <w:rFonts w:ascii="Times New Roman" w:hAnsi="Times New Roman" w:cs="Times New Roman"/>
          <w:color w:val="000000" w:themeColor="text1"/>
          <w:sz w:val="20"/>
          <w:szCs w:val="20"/>
          <w:vertAlign w:val="subscript"/>
          <w:lang w:val="en-US"/>
        </w:rPr>
        <w:t>2</w:t>
      </w:r>
      <w:r w:rsidRPr="002C5DE1">
        <w:rPr>
          <w:rFonts w:ascii="Times New Roman" w:hAnsi="Times New Roman" w:cs="Times New Roman"/>
          <w:color w:val="000000" w:themeColor="text1"/>
          <w:sz w:val="20"/>
          <w:szCs w:val="20"/>
          <w:lang w:val="en-US"/>
        </w:rPr>
        <w:t>)</w:t>
      </w:r>
      <w:r w:rsidRPr="002C5DE1">
        <w:rPr>
          <w:rFonts w:ascii="Times New Roman" w:hAnsi="Times New Roman" w:cs="Times New Roman"/>
          <w:color w:val="000000" w:themeColor="text1"/>
          <w:sz w:val="20"/>
          <w:szCs w:val="20"/>
          <w:lang w:val="en-US"/>
        </w:rPr>
        <w:tab/>
        <w:t>0.6</w:t>
      </w:r>
      <w:r w:rsidR="000443BF" w:rsidRPr="002C5DE1">
        <w:rPr>
          <w:rFonts w:ascii="Times New Roman" w:hAnsi="Times New Roman" w:cs="Times New Roman"/>
          <w:color w:val="000000" w:themeColor="text1"/>
          <w:sz w:val="20"/>
          <w:szCs w:val="20"/>
          <w:lang w:val="en-US"/>
        </w:rPr>
        <w:t>79</w:t>
      </w:r>
      <w:r w:rsidRPr="002C5DE1">
        <w:rPr>
          <w:rFonts w:ascii="Times New Roman" w:hAnsi="Times New Roman" w:cs="Times New Roman"/>
          <w:color w:val="000000" w:themeColor="text1"/>
          <w:sz w:val="20"/>
          <w:szCs w:val="20"/>
          <w:lang w:val="en-US"/>
        </w:rPr>
        <w:t>***</w:t>
      </w:r>
    </w:p>
    <w:p w14:paraId="4DFB57CD" w14:textId="77777777" w:rsidR="00574C94" w:rsidRPr="002C5DE1" w:rsidRDefault="00574C94" w:rsidP="00574C94">
      <w:pPr>
        <w:spacing w:after="0" w:line="240" w:lineRule="auto"/>
        <w:jc w:val="both"/>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[0.00]</w:t>
      </w:r>
    </w:p>
    <w:p w14:paraId="3E6434FE" w14:textId="77777777" w:rsidR="00574C94" w:rsidRPr="002C5DE1" w:rsidRDefault="00574C94" w:rsidP="00574C94">
      <w:pPr>
        <w:spacing w:after="0" w:line="240" w:lineRule="auto"/>
        <w:jc w:val="both"/>
        <w:rPr>
          <w:rFonts w:ascii="Times New Roman" w:hAnsi="Times New Roman" w:cs="Times New Roman"/>
          <w:color w:val="000000" w:themeColor="text1"/>
          <w:sz w:val="20"/>
          <w:szCs w:val="20"/>
          <w:lang w:val="en-US"/>
        </w:rPr>
      </w:pPr>
      <w:proofErr w:type="spellStart"/>
      <w:r w:rsidRPr="002C5DE1">
        <w:rPr>
          <w:rFonts w:ascii="Times New Roman" w:hAnsi="Times New Roman" w:cs="Times New Roman"/>
          <w:color w:val="000000" w:themeColor="text1"/>
          <w:sz w:val="20"/>
          <w:szCs w:val="20"/>
          <w:lang w:val="en-US"/>
        </w:rPr>
        <w:t>ΔlnReal</w:t>
      </w:r>
      <w:proofErr w:type="spellEnd"/>
      <w:r w:rsidRPr="002C5DE1">
        <w:rPr>
          <w:rFonts w:ascii="Times New Roman" w:hAnsi="Times New Roman" w:cs="Times New Roman"/>
          <w:color w:val="000000" w:themeColor="text1"/>
          <w:sz w:val="20"/>
          <w:szCs w:val="20"/>
          <w:lang w:val="en-US"/>
        </w:rPr>
        <w:t xml:space="preserve"> income per capita (β’</w:t>
      </w:r>
      <w:r w:rsidR="000B7D46" w:rsidRPr="002C5DE1">
        <w:rPr>
          <w:rFonts w:ascii="Times New Roman" w:hAnsi="Times New Roman" w:cs="Times New Roman"/>
          <w:color w:val="000000" w:themeColor="text1"/>
          <w:sz w:val="20"/>
          <w:szCs w:val="20"/>
          <w:vertAlign w:val="subscript"/>
          <w:lang w:val="en-US"/>
        </w:rPr>
        <w:t>5</w:t>
      </w:r>
      <w:r w:rsidRPr="002C5DE1">
        <w:rPr>
          <w:rFonts w:ascii="Times New Roman" w:hAnsi="Times New Roman" w:cs="Times New Roman"/>
          <w:color w:val="000000" w:themeColor="text1"/>
          <w:sz w:val="20"/>
          <w:szCs w:val="20"/>
          <w:lang w:val="en-US"/>
        </w:rPr>
        <w:t>)</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0.6</w:t>
      </w:r>
      <w:r w:rsidR="000443BF" w:rsidRPr="002C5DE1">
        <w:rPr>
          <w:rFonts w:ascii="Times New Roman" w:hAnsi="Times New Roman" w:cs="Times New Roman"/>
          <w:color w:val="000000" w:themeColor="text1"/>
          <w:sz w:val="20"/>
          <w:szCs w:val="20"/>
          <w:lang w:val="en-US"/>
        </w:rPr>
        <w:t>32</w:t>
      </w:r>
      <w:r w:rsidRPr="002C5DE1">
        <w:rPr>
          <w:rFonts w:ascii="Times New Roman" w:hAnsi="Times New Roman" w:cs="Times New Roman"/>
          <w:color w:val="000000" w:themeColor="text1"/>
          <w:sz w:val="20"/>
          <w:szCs w:val="20"/>
          <w:lang w:val="en-US"/>
        </w:rPr>
        <w:t>***</w:t>
      </w:r>
    </w:p>
    <w:p w14:paraId="2551CA71" w14:textId="77777777" w:rsidR="00574C94" w:rsidRPr="002C5DE1" w:rsidRDefault="00574C94" w:rsidP="00574C94">
      <w:pPr>
        <w:spacing w:after="0" w:line="240" w:lineRule="auto"/>
        <w:jc w:val="both"/>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[0.00]</w:t>
      </w:r>
    </w:p>
    <w:p w14:paraId="4DD0268B" w14:textId="77777777" w:rsidR="000B7D46" w:rsidRPr="002C5DE1" w:rsidRDefault="000B7D46" w:rsidP="00574C94">
      <w:pPr>
        <w:spacing w:after="0" w:line="240" w:lineRule="auto"/>
        <w:jc w:val="both"/>
        <w:rPr>
          <w:rFonts w:ascii="Times New Roman" w:hAnsi="Times New Roman" w:cs="Times New Roman"/>
          <w:bCs/>
          <w:iCs/>
          <w:color w:val="000000" w:themeColor="text1"/>
          <w:sz w:val="20"/>
          <w:szCs w:val="20"/>
          <w:lang w:val="en-US"/>
        </w:rPr>
      </w:pPr>
      <w:r w:rsidRPr="002C5DE1">
        <w:rPr>
          <w:rFonts w:ascii="Times New Roman" w:hAnsi="Times New Roman" w:cs="Times New Roman"/>
          <w:bCs/>
          <w:iCs/>
          <w:color w:val="000000" w:themeColor="text1"/>
          <w:sz w:val="20"/>
          <w:szCs w:val="20"/>
          <w:lang w:val="en-US"/>
        </w:rPr>
        <w:t>__________________________________________________________________________________________</w:t>
      </w:r>
    </w:p>
    <w:p w14:paraId="45638600" w14:textId="77777777" w:rsidR="00574C94" w:rsidRPr="002C5DE1" w:rsidRDefault="00574C94" w:rsidP="00574C94">
      <w:pPr>
        <w:spacing w:after="0" w:line="240" w:lineRule="auto"/>
        <w:jc w:val="both"/>
        <w:rPr>
          <w:rFonts w:ascii="Times New Roman" w:hAnsi="Times New Roman" w:cs="Times New Roman"/>
          <w:color w:val="000000" w:themeColor="text1"/>
          <w:sz w:val="20"/>
          <w:szCs w:val="20"/>
          <w:lang w:val="en-US"/>
        </w:rPr>
      </w:pPr>
      <w:r w:rsidRPr="002C5DE1">
        <w:rPr>
          <w:rFonts w:ascii="Times New Roman" w:hAnsi="Times New Roman" w:cs="Times New Roman"/>
          <w:b/>
          <w:i/>
          <w:color w:val="000000" w:themeColor="text1"/>
          <w:sz w:val="20"/>
          <w:szCs w:val="20"/>
          <w:lang w:val="en-US"/>
        </w:rPr>
        <w:t>Notes:</w:t>
      </w:r>
      <w:r w:rsidRPr="002C5DE1">
        <w:rPr>
          <w:rFonts w:ascii="Times New Roman" w:hAnsi="Times New Roman" w:cs="Times New Roman"/>
          <w:color w:val="000000" w:themeColor="text1"/>
          <w:sz w:val="20"/>
          <w:szCs w:val="20"/>
          <w:lang w:val="en-US"/>
        </w:rPr>
        <w:t xml:space="preserve"> The dependent variable is the log of household consumption. The regime dependent variable is the log of housing prices and the threshold variable is either the log of financial development index or the log of housing prices to income ratio. Each regime contains at least 5% of all observations. </w:t>
      </w:r>
      <w:r w:rsidRPr="002C5DE1">
        <w:rPr>
          <w:rFonts w:ascii="Times New Roman" w:hAnsi="Times New Roman" w:cs="Times New Roman"/>
          <w:i/>
          <w:color w:val="000000" w:themeColor="text1"/>
          <w:sz w:val="20"/>
          <w:szCs w:val="20"/>
          <w:lang w:val="en-US"/>
        </w:rPr>
        <w:t>n</w:t>
      </w:r>
      <w:r w:rsidRPr="002C5DE1">
        <w:rPr>
          <w:rFonts w:ascii="Times New Roman" w:hAnsi="Times New Roman" w:cs="Times New Roman"/>
          <w:color w:val="000000" w:themeColor="text1"/>
          <w:sz w:val="20"/>
          <w:szCs w:val="20"/>
          <w:lang w:val="en-US"/>
        </w:rPr>
        <w:t xml:space="preserve"> indicates the number of observations in each regime. Figures in brackets denote p-values. </w:t>
      </w:r>
      <w:r w:rsidRPr="002C5DE1">
        <w:rPr>
          <w:rFonts w:ascii="Cambria Math" w:hAnsi="Cambria Math" w:cs="Cambria Math"/>
          <w:color w:val="000000" w:themeColor="text1"/>
          <w:sz w:val="20"/>
          <w:szCs w:val="20"/>
          <w:lang w:val="en-US"/>
        </w:rPr>
        <w:t>∗∗</w:t>
      </w:r>
      <w:r w:rsidRPr="002C5DE1">
        <w:rPr>
          <w:rFonts w:ascii="Times New Roman" w:hAnsi="Times New Roman" w:cs="Times New Roman"/>
          <w:color w:val="000000" w:themeColor="text1"/>
          <w:sz w:val="20"/>
          <w:szCs w:val="20"/>
          <w:lang w:val="en-US"/>
        </w:rPr>
        <w:t>: p&lt;0.05, ***: p&lt;0.01.</w:t>
      </w:r>
    </w:p>
    <w:p w14:paraId="1618903C" w14:textId="77777777" w:rsidR="003719DB" w:rsidRPr="002C5DE1" w:rsidRDefault="003719DB" w:rsidP="00F70B9C">
      <w:pPr>
        <w:spacing w:after="120" w:line="240" w:lineRule="auto"/>
        <w:jc w:val="both"/>
        <w:rPr>
          <w:rFonts w:ascii="Times New Roman" w:hAnsi="Times New Roman" w:cs="Times New Roman"/>
          <w:b/>
          <w:color w:val="000000" w:themeColor="text1"/>
          <w:sz w:val="24"/>
          <w:szCs w:val="24"/>
          <w:lang w:val="en-US"/>
        </w:rPr>
      </w:pPr>
    </w:p>
    <w:p w14:paraId="4762064B" w14:textId="77777777" w:rsidR="00C9589E" w:rsidRPr="002C5DE1" w:rsidRDefault="00C9589E" w:rsidP="00F70B9C">
      <w:pPr>
        <w:spacing w:after="120" w:line="240" w:lineRule="auto"/>
        <w:jc w:val="both"/>
        <w:rPr>
          <w:rFonts w:ascii="Times New Roman" w:hAnsi="Times New Roman" w:cs="Times New Roman"/>
          <w:b/>
          <w:color w:val="000000" w:themeColor="text1"/>
          <w:sz w:val="24"/>
          <w:szCs w:val="24"/>
          <w:lang w:val="en-US"/>
        </w:rPr>
      </w:pPr>
    </w:p>
    <w:p w14:paraId="16984371" w14:textId="77777777" w:rsidR="00F70B9C" w:rsidRPr="002C5DE1" w:rsidRDefault="00F70B9C" w:rsidP="00F70B9C">
      <w:pPr>
        <w:spacing w:after="120" w:line="240" w:lineRule="auto"/>
        <w:jc w:val="both"/>
        <w:rPr>
          <w:rFonts w:ascii="Times New Roman" w:hAnsi="Times New Roman" w:cs="Times New Roman"/>
          <w:b/>
          <w:color w:val="000000" w:themeColor="text1"/>
          <w:sz w:val="24"/>
          <w:szCs w:val="24"/>
          <w:lang w:val="en-US"/>
        </w:rPr>
      </w:pPr>
      <w:r w:rsidRPr="002C5DE1">
        <w:rPr>
          <w:rFonts w:ascii="Times New Roman" w:hAnsi="Times New Roman" w:cs="Times New Roman"/>
          <w:b/>
          <w:color w:val="000000" w:themeColor="text1"/>
          <w:sz w:val="24"/>
          <w:szCs w:val="24"/>
          <w:lang w:val="en-US"/>
        </w:rPr>
        <w:t xml:space="preserve">Table 6. Threshold Effects Tests </w:t>
      </w:r>
      <w:r w:rsidR="005726F1" w:rsidRPr="002C5DE1">
        <w:rPr>
          <w:rFonts w:ascii="Times New Roman" w:hAnsi="Times New Roman" w:cs="Times New Roman"/>
          <w:b/>
          <w:color w:val="000000" w:themeColor="text1"/>
          <w:sz w:val="24"/>
          <w:szCs w:val="24"/>
          <w:lang w:val="en-US"/>
        </w:rPr>
        <w:t>in</w:t>
      </w:r>
      <w:r w:rsidRPr="002C5DE1">
        <w:rPr>
          <w:rFonts w:ascii="Times New Roman" w:hAnsi="Times New Roman" w:cs="Times New Roman"/>
          <w:b/>
          <w:color w:val="000000" w:themeColor="text1"/>
          <w:sz w:val="24"/>
          <w:szCs w:val="24"/>
          <w:lang w:val="en-US"/>
        </w:rPr>
        <w:t xml:space="preserve"> Sub-Periods</w:t>
      </w:r>
    </w:p>
    <w:p w14:paraId="6A5FF182" w14:textId="77777777" w:rsidR="00F70B9C" w:rsidRPr="002C5DE1" w:rsidRDefault="00F70B9C" w:rsidP="00F70B9C">
      <w:pPr>
        <w:pBdr>
          <w:top w:val="single" w:sz="6" w:space="1" w:color="auto"/>
          <w:bottom w:val="single" w:sz="6" w:space="1" w:color="auto"/>
        </w:pBdr>
        <w:spacing w:after="0" w:line="240" w:lineRule="auto"/>
        <w:rPr>
          <w:rFonts w:ascii="Times New Roman" w:hAnsi="Times New Roman" w:cs="Times New Roman"/>
          <w:b/>
          <w:color w:val="000000" w:themeColor="text1"/>
          <w:lang w:val="en-US"/>
        </w:rPr>
      </w:pPr>
      <w:r w:rsidRPr="002C5DE1">
        <w:rPr>
          <w:rFonts w:ascii="Times New Roman" w:hAnsi="Times New Roman" w:cs="Times New Roman"/>
          <w:b/>
          <w:color w:val="000000" w:themeColor="text1"/>
          <w:lang w:val="en-US"/>
        </w:rPr>
        <w:t>Dot.com bubble era: 2000</w:t>
      </w:r>
      <w:r w:rsidR="005726F1" w:rsidRPr="002C5DE1">
        <w:rPr>
          <w:rFonts w:ascii="Times New Roman" w:hAnsi="Times New Roman" w:cs="Times New Roman"/>
          <w:b/>
          <w:color w:val="000000" w:themeColor="text1"/>
          <w:lang w:val="en-US"/>
        </w:rPr>
        <w:t>Q1</w:t>
      </w:r>
      <w:r w:rsidRPr="002C5DE1">
        <w:rPr>
          <w:rFonts w:ascii="Times New Roman" w:hAnsi="Times New Roman" w:cs="Times New Roman"/>
          <w:b/>
          <w:color w:val="000000" w:themeColor="text1"/>
          <w:lang w:val="en-US"/>
        </w:rPr>
        <w:t>-2003</w:t>
      </w:r>
      <w:r w:rsidR="005726F1" w:rsidRPr="002C5DE1">
        <w:rPr>
          <w:rFonts w:ascii="Times New Roman" w:hAnsi="Times New Roman" w:cs="Times New Roman"/>
          <w:b/>
          <w:color w:val="000000" w:themeColor="text1"/>
          <w:lang w:val="en-US"/>
        </w:rPr>
        <w:t>Q4 (No. of obs. = 384)</w:t>
      </w:r>
    </w:p>
    <w:p w14:paraId="7DC0EF8D" w14:textId="77777777" w:rsidR="00F70B9C" w:rsidRPr="002C5DE1" w:rsidRDefault="00F70B9C" w:rsidP="00F70B9C">
      <w:pPr>
        <w:pBdr>
          <w:bottom w:val="single" w:sz="6" w:space="1" w:color="auto"/>
        </w:pBdr>
        <w:spacing w:after="0" w:line="240" w:lineRule="auto"/>
        <w:rPr>
          <w:rFonts w:ascii="Times New Roman" w:hAnsi="Times New Roman" w:cs="Times New Roman"/>
          <w:b/>
          <w:color w:val="000000" w:themeColor="text1"/>
          <w:lang w:val="en-US"/>
        </w:rPr>
      </w:pPr>
      <w:r w:rsidRPr="002C5DE1">
        <w:rPr>
          <w:rFonts w:ascii="Times New Roman" w:hAnsi="Times New Roman" w:cs="Times New Roman"/>
          <w:b/>
          <w:color w:val="000000" w:themeColor="text1"/>
          <w:lang w:val="en-US"/>
        </w:rPr>
        <w:t>Threshold</w:t>
      </w:r>
      <w:r w:rsidRPr="002C5DE1">
        <w:rPr>
          <w:rFonts w:ascii="Times New Roman" w:hAnsi="Times New Roman" w:cs="Times New Roman"/>
          <w:b/>
          <w:color w:val="000000" w:themeColor="text1"/>
          <w:lang w:val="en-US"/>
        </w:rPr>
        <w:tab/>
        <w:t xml:space="preserve">    Financial development index   </w:t>
      </w:r>
      <w:r w:rsidRPr="002C5DE1">
        <w:rPr>
          <w:rFonts w:ascii="Times New Roman" w:hAnsi="Times New Roman" w:cs="Times New Roman"/>
          <w:b/>
          <w:color w:val="000000" w:themeColor="text1"/>
          <w:lang w:val="en-US"/>
        </w:rPr>
        <w:tab/>
        <w:t xml:space="preserve">      Housing prices to income ratio</w:t>
      </w:r>
    </w:p>
    <w:p w14:paraId="6DB2E091" w14:textId="77777777" w:rsidR="00F70B9C" w:rsidRPr="002C5DE1" w:rsidRDefault="00F70B9C" w:rsidP="00F70B9C">
      <w:pPr>
        <w:spacing w:after="0" w:line="240" w:lineRule="auto"/>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Single</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16.57***</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28.19***</w:t>
      </w:r>
    </w:p>
    <w:p w14:paraId="025E0DB2" w14:textId="77777777" w:rsidR="00F70B9C" w:rsidRPr="002C5DE1" w:rsidRDefault="00F70B9C" w:rsidP="00F70B9C">
      <w:pPr>
        <w:spacing w:after="0" w:line="240" w:lineRule="auto"/>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[0.00]</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[0.00]</w:t>
      </w:r>
    </w:p>
    <w:p w14:paraId="6D40123E" w14:textId="77777777" w:rsidR="00F70B9C" w:rsidRPr="002C5DE1" w:rsidRDefault="00F70B9C" w:rsidP="00F70B9C">
      <w:pPr>
        <w:spacing w:after="0" w:line="240" w:lineRule="auto"/>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Double</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2.91</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3.02</w:t>
      </w:r>
    </w:p>
    <w:p w14:paraId="4E08D7A6" w14:textId="77777777" w:rsidR="00F70B9C" w:rsidRPr="002C5DE1" w:rsidRDefault="00F70B9C" w:rsidP="00F70B9C">
      <w:pPr>
        <w:spacing w:after="0" w:line="240" w:lineRule="auto"/>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[0.39]</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[0.35]</w:t>
      </w:r>
    </w:p>
    <w:p w14:paraId="4445E747" w14:textId="77777777" w:rsidR="00F70B9C" w:rsidRPr="002C5DE1" w:rsidRDefault="00F70B9C" w:rsidP="00F70B9C">
      <w:pPr>
        <w:spacing w:after="0" w:line="240" w:lineRule="auto"/>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Triple</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2.68</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2.44</w:t>
      </w:r>
    </w:p>
    <w:p w14:paraId="48C65ED1" w14:textId="77777777" w:rsidR="00F70B9C" w:rsidRPr="002C5DE1" w:rsidRDefault="00F70B9C" w:rsidP="00F70B9C">
      <w:pPr>
        <w:spacing w:after="0" w:line="240" w:lineRule="auto"/>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[0.49]</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[0.56]</w:t>
      </w:r>
    </w:p>
    <w:p w14:paraId="7D305176" w14:textId="77777777" w:rsidR="00F70B9C" w:rsidRPr="002C5DE1" w:rsidRDefault="00F70B9C" w:rsidP="00F70B9C">
      <w:pPr>
        <w:pBdr>
          <w:top w:val="single" w:sz="6" w:space="1" w:color="auto"/>
          <w:bottom w:val="single" w:sz="6" w:space="1" w:color="auto"/>
        </w:pBdr>
        <w:spacing w:after="0" w:line="240" w:lineRule="auto"/>
        <w:rPr>
          <w:rFonts w:ascii="Times New Roman" w:hAnsi="Times New Roman" w:cs="Times New Roman"/>
          <w:color w:val="000000" w:themeColor="text1"/>
          <w:lang w:val="en-US"/>
        </w:rPr>
      </w:pPr>
      <w:r w:rsidRPr="002C5DE1">
        <w:rPr>
          <w:rFonts w:ascii="Times New Roman" w:hAnsi="Times New Roman" w:cs="Times New Roman"/>
          <w:b/>
          <w:color w:val="000000" w:themeColor="text1"/>
          <w:lang w:val="en-US"/>
        </w:rPr>
        <w:t>Housing bubble period: 2003</w:t>
      </w:r>
      <w:r w:rsidR="005726F1" w:rsidRPr="002C5DE1">
        <w:rPr>
          <w:rFonts w:ascii="Times New Roman" w:hAnsi="Times New Roman" w:cs="Times New Roman"/>
          <w:b/>
          <w:color w:val="000000" w:themeColor="text1"/>
          <w:lang w:val="en-US"/>
        </w:rPr>
        <w:t>Q1</w:t>
      </w:r>
      <w:r w:rsidRPr="002C5DE1">
        <w:rPr>
          <w:rFonts w:ascii="Times New Roman" w:hAnsi="Times New Roman" w:cs="Times New Roman"/>
          <w:b/>
          <w:color w:val="000000" w:themeColor="text1"/>
          <w:lang w:val="en-US"/>
        </w:rPr>
        <w:t>-2007Q2</w:t>
      </w:r>
      <w:r w:rsidR="005726F1" w:rsidRPr="002C5DE1">
        <w:rPr>
          <w:rFonts w:ascii="Times New Roman" w:hAnsi="Times New Roman" w:cs="Times New Roman"/>
          <w:b/>
          <w:color w:val="000000" w:themeColor="text1"/>
          <w:lang w:val="en-US"/>
        </w:rPr>
        <w:t xml:space="preserve"> (No. of obs. = 432)</w:t>
      </w:r>
    </w:p>
    <w:p w14:paraId="41B21E64" w14:textId="77777777" w:rsidR="00F70B9C" w:rsidRPr="002C5DE1" w:rsidRDefault="00F70B9C" w:rsidP="00F70B9C">
      <w:pPr>
        <w:spacing w:after="0" w:line="240" w:lineRule="auto"/>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Single</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27.04***</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39.48***</w:t>
      </w:r>
    </w:p>
    <w:p w14:paraId="6944CC59" w14:textId="77777777" w:rsidR="00F70B9C" w:rsidRPr="002C5DE1" w:rsidRDefault="00F70B9C" w:rsidP="00F70B9C">
      <w:pPr>
        <w:spacing w:after="0" w:line="240" w:lineRule="auto"/>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[0.00]</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[0.00]</w:t>
      </w:r>
    </w:p>
    <w:p w14:paraId="0F60735D" w14:textId="77777777" w:rsidR="00F70B9C" w:rsidRPr="002C5DE1" w:rsidRDefault="00F70B9C" w:rsidP="00F70B9C">
      <w:pPr>
        <w:spacing w:after="0" w:line="240" w:lineRule="auto"/>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Double</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3.16</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3.01</w:t>
      </w:r>
    </w:p>
    <w:p w14:paraId="02366206" w14:textId="77777777" w:rsidR="00F70B9C" w:rsidRPr="002C5DE1" w:rsidRDefault="00F70B9C" w:rsidP="00F70B9C">
      <w:pPr>
        <w:spacing w:after="0" w:line="240" w:lineRule="auto"/>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[0.37]</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[0.40]</w:t>
      </w:r>
    </w:p>
    <w:p w14:paraId="7B5B2C3C" w14:textId="77777777" w:rsidR="00F70B9C" w:rsidRPr="002C5DE1" w:rsidRDefault="00F70B9C" w:rsidP="00F70B9C">
      <w:pPr>
        <w:spacing w:after="0" w:line="240" w:lineRule="auto"/>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Triple</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2.84</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2.48</w:t>
      </w:r>
    </w:p>
    <w:p w14:paraId="73BCF282" w14:textId="77777777" w:rsidR="00F70B9C" w:rsidRPr="002C5DE1" w:rsidRDefault="00F70B9C" w:rsidP="00F70B9C">
      <w:pPr>
        <w:spacing w:after="0" w:line="240" w:lineRule="auto"/>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[0.50]</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[0.57]</w:t>
      </w:r>
    </w:p>
    <w:p w14:paraId="32B0479C" w14:textId="77777777" w:rsidR="00F70B9C" w:rsidRPr="002C5DE1" w:rsidRDefault="00F70B9C" w:rsidP="00F70B9C">
      <w:pPr>
        <w:pBdr>
          <w:top w:val="single" w:sz="6" w:space="1" w:color="auto"/>
          <w:bottom w:val="single" w:sz="6" w:space="1" w:color="auto"/>
        </w:pBdr>
        <w:spacing w:after="0" w:line="240" w:lineRule="auto"/>
        <w:rPr>
          <w:rFonts w:ascii="Times New Roman" w:hAnsi="Times New Roman" w:cs="Times New Roman"/>
          <w:b/>
          <w:color w:val="000000" w:themeColor="text1"/>
          <w:lang w:val="en-US"/>
        </w:rPr>
      </w:pPr>
      <w:r w:rsidRPr="002C5DE1">
        <w:rPr>
          <w:rFonts w:ascii="Times New Roman" w:hAnsi="Times New Roman" w:cs="Times New Roman"/>
          <w:b/>
          <w:color w:val="000000" w:themeColor="text1"/>
          <w:lang w:val="en-US"/>
        </w:rPr>
        <w:t>Global financial crisis period: 2007Q3-2010</w:t>
      </w:r>
      <w:r w:rsidR="005726F1" w:rsidRPr="002C5DE1">
        <w:rPr>
          <w:rFonts w:ascii="Times New Roman" w:hAnsi="Times New Roman" w:cs="Times New Roman"/>
          <w:b/>
          <w:color w:val="000000" w:themeColor="text1"/>
          <w:lang w:val="en-US"/>
        </w:rPr>
        <w:t>Q4 (No. of obs. = 336)</w:t>
      </w:r>
    </w:p>
    <w:p w14:paraId="2FB7F22E" w14:textId="77777777" w:rsidR="00F70B9C" w:rsidRPr="002C5DE1" w:rsidRDefault="00F70B9C" w:rsidP="00F70B9C">
      <w:pPr>
        <w:spacing w:after="0" w:line="240" w:lineRule="auto"/>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Single</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11.08***</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23.10***</w:t>
      </w:r>
    </w:p>
    <w:p w14:paraId="3ED2A5A1" w14:textId="77777777" w:rsidR="00F70B9C" w:rsidRPr="002C5DE1" w:rsidRDefault="00F70B9C" w:rsidP="00F70B9C">
      <w:pPr>
        <w:spacing w:after="0" w:line="240" w:lineRule="auto"/>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[0.01]</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[0.01]</w:t>
      </w:r>
    </w:p>
    <w:p w14:paraId="3228DFF0" w14:textId="77777777" w:rsidR="00F70B9C" w:rsidRPr="002C5DE1" w:rsidRDefault="00F70B9C" w:rsidP="00F70B9C">
      <w:pPr>
        <w:spacing w:after="0" w:line="240" w:lineRule="auto"/>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Double</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3.20</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3.06</w:t>
      </w:r>
    </w:p>
    <w:p w14:paraId="6523DAD8" w14:textId="77777777" w:rsidR="00F70B9C" w:rsidRPr="002C5DE1" w:rsidRDefault="00F70B9C" w:rsidP="00F70B9C">
      <w:pPr>
        <w:spacing w:after="0" w:line="240" w:lineRule="auto"/>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[0.39]</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[0.41]</w:t>
      </w:r>
    </w:p>
    <w:p w14:paraId="2B8F7673" w14:textId="77777777" w:rsidR="00F70B9C" w:rsidRPr="002C5DE1" w:rsidRDefault="00F70B9C" w:rsidP="00F70B9C">
      <w:pPr>
        <w:spacing w:after="0" w:line="240" w:lineRule="auto"/>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Triple</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2.75</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2.36</w:t>
      </w:r>
    </w:p>
    <w:p w14:paraId="39BFD56C" w14:textId="77777777" w:rsidR="00F70B9C" w:rsidRPr="002C5DE1" w:rsidRDefault="00F70B9C" w:rsidP="00F70B9C">
      <w:pPr>
        <w:spacing w:after="0" w:line="240" w:lineRule="auto"/>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[0.49]</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[0.58]</w:t>
      </w:r>
    </w:p>
    <w:p w14:paraId="0F6B5A31" w14:textId="77777777" w:rsidR="00F70B9C" w:rsidRPr="002C5DE1" w:rsidRDefault="00F70B9C" w:rsidP="00F70B9C">
      <w:pPr>
        <w:pBdr>
          <w:top w:val="single" w:sz="6" w:space="1" w:color="auto"/>
          <w:bottom w:val="single" w:sz="6" w:space="1" w:color="auto"/>
        </w:pBdr>
        <w:spacing w:after="0" w:line="240" w:lineRule="auto"/>
        <w:rPr>
          <w:rFonts w:ascii="Times New Roman" w:hAnsi="Times New Roman" w:cs="Times New Roman"/>
          <w:color w:val="000000" w:themeColor="text1"/>
          <w:lang w:val="en-US"/>
        </w:rPr>
      </w:pPr>
      <w:r w:rsidRPr="002C5DE1">
        <w:rPr>
          <w:rFonts w:ascii="Times New Roman" w:hAnsi="Times New Roman" w:cs="Times New Roman"/>
          <w:b/>
          <w:color w:val="000000" w:themeColor="text1"/>
          <w:lang w:val="en-US"/>
        </w:rPr>
        <w:t>Post- global financial crisis period: 2011</w:t>
      </w:r>
      <w:r w:rsidR="005726F1" w:rsidRPr="002C5DE1">
        <w:rPr>
          <w:rFonts w:ascii="Times New Roman" w:hAnsi="Times New Roman" w:cs="Times New Roman"/>
          <w:b/>
          <w:color w:val="000000" w:themeColor="text1"/>
          <w:lang w:val="en-US"/>
        </w:rPr>
        <w:t>Q1</w:t>
      </w:r>
      <w:r w:rsidRPr="002C5DE1">
        <w:rPr>
          <w:rFonts w:ascii="Times New Roman" w:hAnsi="Times New Roman" w:cs="Times New Roman"/>
          <w:b/>
          <w:color w:val="000000" w:themeColor="text1"/>
          <w:lang w:val="en-US"/>
        </w:rPr>
        <w:t>-2016</w:t>
      </w:r>
      <w:r w:rsidR="005726F1" w:rsidRPr="002C5DE1">
        <w:rPr>
          <w:rFonts w:ascii="Times New Roman" w:hAnsi="Times New Roman" w:cs="Times New Roman"/>
          <w:b/>
          <w:color w:val="000000" w:themeColor="text1"/>
          <w:lang w:val="en-US"/>
        </w:rPr>
        <w:t>Q4 (No. of obs. = 576)</w:t>
      </w:r>
    </w:p>
    <w:p w14:paraId="246FC7FE" w14:textId="77777777" w:rsidR="00F70B9C" w:rsidRPr="002C5DE1" w:rsidRDefault="00F70B9C" w:rsidP="00F70B9C">
      <w:pPr>
        <w:spacing w:after="0" w:line="240" w:lineRule="auto"/>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Single</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15.33***</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27.38***</w:t>
      </w:r>
    </w:p>
    <w:p w14:paraId="6F582BF8" w14:textId="77777777" w:rsidR="00F70B9C" w:rsidRPr="002C5DE1" w:rsidRDefault="00F70B9C" w:rsidP="00F70B9C">
      <w:pPr>
        <w:spacing w:after="0" w:line="240" w:lineRule="auto"/>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[0.00]</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[0.00]</w:t>
      </w:r>
    </w:p>
    <w:p w14:paraId="249BBAFD" w14:textId="77777777" w:rsidR="00F70B9C" w:rsidRPr="002C5DE1" w:rsidRDefault="00F70B9C" w:rsidP="00F70B9C">
      <w:pPr>
        <w:spacing w:after="0" w:line="240" w:lineRule="auto"/>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Double</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1.14</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1.85</w:t>
      </w:r>
    </w:p>
    <w:p w14:paraId="056132FD" w14:textId="77777777" w:rsidR="00F70B9C" w:rsidRPr="002C5DE1" w:rsidRDefault="00F70B9C" w:rsidP="00F70B9C">
      <w:pPr>
        <w:spacing w:after="0" w:line="240" w:lineRule="auto"/>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[0.44]</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[0.64]</w:t>
      </w:r>
    </w:p>
    <w:p w14:paraId="7CEDB46D" w14:textId="77777777" w:rsidR="00F70B9C" w:rsidRPr="002C5DE1" w:rsidRDefault="00F70B9C" w:rsidP="00F70B9C">
      <w:pPr>
        <w:spacing w:after="0" w:line="240" w:lineRule="auto"/>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Triple</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1.05</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1.39</w:t>
      </w:r>
    </w:p>
    <w:p w14:paraId="462FB35B" w14:textId="77777777" w:rsidR="00F70B9C" w:rsidRPr="002C5DE1" w:rsidRDefault="00F70B9C" w:rsidP="00F70B9C">
      <w:pPr>
        <w:pBdr>
          <w:bottom w:val="single" w:sz="6" w:space="1" w:color="auto"/>
        </w:pBdr>
        <w:spacing w:after="0" w:line="240" w:lineRule="auto"/>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[0.52]</w:t>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r>
      <w:r w:rsidRPr="002C5DE1">
        <w:rPr>
          <w:rFonts w:ascii="Times New Roman" w:hAnsi="Times New Roman" w:cs="Times New Roman"/>
          <w:color w:val="000000" w:themeColor="text1"/>
          <w:sz w:val="20"/>
          <w:szCs w:val="20"/>
          <w:lang w:val="en-US"/>
        </w:rPr>
        <w:tab/>
        <w:t>[0.69]</w:t>
      </w:r>
    </w:p>
    <w:p w14:paraId="2F008A58" w14:textId="77777777" w:rsidR="00F70B9C" w:rsidRPr="002C5DE1" w:rsidRDefault="00F70B9C" w:rsidP="00F70B9C">
      <w:pPr>
        <w:spacing w:after="0" w:line="240" w:lineRule="auto"/>
        <w:rPr>
          <w:rFonts w:ascii="Times New Roman" w:hAnsi="Times New Roman" w:cs="Times New Roman"/>
          <w:color w:val="000000" w:themeColor="text1"/>
          <w:sz w:val="20"/>
          <w:szCs w:val="20"/>
          <w:lang w:val="en-US"/>
        </w:rPr>
      </w:pPr>
      <w:r w:rsidRPr="002C5DE1">
        <w:rPr>
          <w:rFonts w:ascii="Times New Roman" w:hAnsi="Times New Roman" w:cs="Times New Roman"/>
          <w:b/>
          <w:i/>
          <w:color w:val="000000" w:themeColor="text1"/>
          <w:sz w:val="20"/>
          <w:szCs w:val="20"/>
          <w:lang w:val="en-US"/>
        </w:rPr>
        <w:t>Notes:</w:t>
      </w:r>
      <w:r w:rsidRPr="002C5DE1">
        <w:rPr>
          <w:rFonts w:ascii="Times New Roman" w:hAnsi="Times New Roman" w:cs="Times New Roman"/>
          <w:color w:val="000000" w:themeColor="text1"/>
          <w:sz w:val="20"/>
          <w:szCs w:val="20"/>
          <w:lang w:val="en-US"/>
        </w:rPr>
        <w:t xml:space="preserve"> Figures indicate the results of the F-test. Figures in brackets denote p-values. ***: p≤0.01.</w:t>
      </w:r>
    </w:p>
    <w:p w14:paraId="42C8151B" w14:textId="77777777" w:rsidR="00C9589E" w:rsidRPr="002C5DE1" w:rsidRDefault="00C9589E" w:rsidP="00453B3E">
      <w:pPr>
        <w:jc w:val="both"/>
        <w:rPr>
          <w:rFonts w:ascii="Times New Roman" w:hAnsi="Times New Roman" w:cs="Times New Roman"/>
          <w:b/>
          <w:color w:val="000000" w:themeColor="text1"/>
          <w:sz w:val="24"/>
          <w:szCs w:val="24"/>
          <w:lang w:val="en-US"/>
        </w:rPr>
      </w:pPr>
    </w:p>
    <w:p w14:paraId="10DE7D0F" w14:textId="77777777" w:rsidR="00C9589E" w:rsidRPr="002C5DE1" w:rsidRDefault="00C9589E" w:rsidP="00453B3E">
      <w:pPr>
        <w:jc w:val="both"/>
        <w:rPr>
          <w:rFonts w:ascii="Times New Roman" w:hAnsi="Times New Roman" w:cs="Times New Roman"/>
          <w:b/>
          <w:color w:val="000000" w:themeColor="text1"/>
          <w:sz w:val="24"/>
          <w:szCs w:val="24"/>
          <w:lang w:val="en-US"/>
        </w:rPr>
      </w:pPr>
    </w:p>
    <w:p w14:paraId="42707088" w14:textId="77777777" w:rsidR="00C9589E" w:rsidRPr="002C5DE1" w:rsidRDefault="00C9589E" w:rsidP="00453B3E">
      <w:pPr>
        <w:jc w:val="both"/>
        <w:rPr>
          <w:rFonts w:ascii="Times New Roman" w:hAnsi="Times New Roman" w:cs="Times New Roman"/>
          <w:b/>
          <w:color w:val="000000" w:themeColor="text1"/>
          <w:sz w:val="24"/>
          <w:szCs w:val="24"/>
          <w:lang w:val="en-US"/>
        </w:rPr>
      </w:pPr>
    </w:p>
    <w:p w14:paraId="6E99E134" w14:textId="77777777" w:rsidR="00F70B9C" w:rsidRPr="002C5DE1" w:rsidRDefault="00F70B9C" w:rsidP="00453B3E">
      <w:pPr>
        <w:jc w:val="both"/>
        <w:rPr>
          <w:rFonts w:ascii="Times New Roman" w:hAnsi="Times New Roman" w:cs="Times New Roman"/>
          <w:b/>
          <w:color w:val="000000" w:themeColor="text1"/>
          <w:sz w:val="24"/>
          <w:szCs w:val="24"/>
          <w:lang w:val="en-US"/>
        </w:rPr>
      </w:pPr>
      <w:r w:rsidRPr="002C5DE1">
        <w:rPr>
          <w:rFonts w:ascii="Times New Roman" w:hAnsi="Times New Roman" w:cs="Times New Roman"/>
          <w:b/>
          <w:color w:val="000000" w:themeColor="text1"/>
          <w:sz w:val="24"/>
          <w:szCs w:val="24"/>
          <w:lang w:val="en-US"/>
        </w:rPr>
        <w:lastRenderedPageBreak/>
        <w:t>Table 7. The Effect of Housing Prices on Household Consumption: Dynamic Panel Threshold Model for Sub-Periods</w:t>
      </w:r>
    </w:p>
    <w:tbl>
      <w:tblPr>
        <w:tblStyle w:val="TableGrid"/>
        <w:tblW w:w="5632" w:type="pct"/>
        <w:tblInd w:w="-431" w:type="dxa"/>
        <w:tblLook w:val="04A0" w:firstRow="1" w:lastRow="0" w:firstColumn="1" w:lastColumn="0" w:noHBand="0" w:noVBand="1"/>
      </w:tblPr>
      <w:tblGrid>
        <w:gridCol w:w="1213"/>
        <w:gridCol w:w="1125"/>
        <w:gridCol w:w="1125"/>
        <w:gridCol w:w="1124"/>
        <w:gridCol w:w="1124"/>
        <w:gridCol w:w="1124"/>
        <w:gridCol w:w="1124"/>
        <w:gridCol w:w="1124"/>
        <w:gridCol w:w="1124"/>
      </w:tblGrid>
      <w:tr w:rsidR="00F70B9C" w:rsidRPr="002C5DE1" w14:paraId="049B9624" w14:textId="77777777" w:rsidTr="00035946">
        <w:tc>
          <w:tcPr>
            <w:tcW w:w="1260" w:type="dxa"/>
          </w:tcPr>
          <w:p w14:paraId="206172E4" w14:textId="77777777" w:rsidR="00F70B9C" w:rsidRPr="002C5DE1" w:rsidRDefault="00F70B9C" w:rsidP="00035946">
            <w:pPr>
              <w:jc w:val="both"/>
              <w:rPr>
                <w:rFonts w:ascii="Times New Roman" w:hAnsi="Times New Roman" w:cs="Times New Roman"/>
                <w:color w:val="000000" w:themeColor="text1"/>
                <w:sz w:val="20"/>
                <w:szCs w:val="20"/>
                <w:lang w:val="en-US"/>
              </w:rPr>
            </w:pPr>
          </w:p>
        </w:tc>
        <w:tc>
          <w:tcPr>
            <w:tcW w:w="1202" w:type="dxa"/>
            <w:gridSpan w:val="2"/>
            <w:vAlign w:val="center"/>
          </w:tcPr>
          <w:p w14:paraId="558156FD" w14:textId="77777777" w:rsidR="00F70B9C" w:rsidRPr="002C5DE1" w:rsidRDefault="00F70B9C" w:rsidP="00035946">
            <w:pPr>
              <w:rPr>
                <w:rFonts w:ascii="Times New Roman" w:hAnsi="Times New Roman" w:cs="Times New Roman"/>
                <w:b/>
                <w:color w:val="000000" w:themeColor="text1"/>
                <w:sz w:val="20"/>
                <w:szCs w:val="20"/>
                <w:lang w:val="en-US"/>
              </w:rPr>
            </w:pPr>
            <w:r w:rsidRPr="002C5DE1">
              <w:rPr>
                <w:rFonts w:ascii="Times New Roman" w:hAnsi="Times New Roman" w:cs="Times New Roman"/>
                <w:b/>
                <w:color w:val="000000" w:themeColor="text1"/>
                <w:sz w:val="20"/>
                <w:szCs w:val="20"/>
                <w:lang w:val="en-US"/>
              </w:rPr>
              <w:t xml:space="preserve">Dot.com bubble era: </w:t>
            </w:r>
          </w:p>
          <w:p w14:paraId="5DF310A9" w14:textId="77777777" w:rsidR="00F70B9C" w:rsidRPr="002C5DE1" w:rsidRDefault="00F70B9C" w:rsidP="00035946">
            <w:pPr>
              <w:rPr>
                <w:rFonts w:ascii="Times New Roman" w:hAnsi="Times New Roman" w:cs="Times New Roman"/>
                <w:color w:val="000000" w:themeColor="text1"/>
                <w:sz w:val="20"/>
                <w:szCs w:val="20"/>
                <w:lang w:val="en-US"/>
              </w:rPr>
            </w:pPr>
            <w:r w:rsidRPr="002C5DE1">
              <w:rPr>
                <w:rFonts w:ascii="Times New Roman" w:hAnsi="Times New Roman" w:cs="Times New Roman"/>
                <w:b/>
                <w:color w:val="000000" w:themeColor="text1"/>
                <w:sz w:val="20"/>
                <w:szCs w:val="20"/>
                <w:lang w:val="en-US"/>
              </w:rPr>
              <w:t>2000-2003</w:t>
            </w:r>
          </w:p>
        </w:tc>
        <w:tc>
          <w:tcPr>
            <w:tcW w:w="1202" w:type="dxa"/>
            <w:gridSpan w:val="2"/>
            <w:vAlign w:val="center"/>
          </w:tcPr>
          <w:p w14:paraId="50D2FAAF" w14:textId="77777777" w:rsidR="00F70B9C" w:rsidRPr="002C5DE1" w:rsidRDefault="00F70B9C" w:rsidP="00035946">
            <w:pPr>
              <w:rPr>
                <w:rFonts w:ascii="Times New Roman" w:hAnsi="Times New Roman" w:cs="Times New Roman"/>
                <w:b/>
                <w:color w:val="000000" w:themeColor="text1"/>
                <w:sz w:val="20"/>
                <w:szCs w:val="20"/>
                <w:lang w:val="en-US"/>
              </w:rPr>
            </w:pPr>
            <w:r w:rsidRPr="002C5DE1">
              <w:rPr>
                <w:rFonts w:ascii="Times New Roman" w:hAnsi="Times New Roman" w:cs="Times New Roman"/>
                <w:b/>
                <w:color w:val="000000" w:themeColor="text1"/>
                <w:sz w:val="20"/>
                <w:szCs w:val="20"/>
                <w:lang w:val="en-US"/>
              </w:rPr>
              <w:t>Housing bubble period: 2003-2007Q2</w:t>
            </w:r>
          </w:p>
        </w:tc>
        <w:tc>
          <w:tcPr>
            <w:tcW w:w="1202" w:type="dxa"/>
            <w:gridSpan w:val="2"/>
            <w:vAlign w:val="center"/>
          </w:tcPr>
          <w:p w14:paraId="48E7FCDE" w14:textId="77777777" w:rsidR="00F70B9C" w:rsidRPr="002C5DE1" w:rsidRDefault="00F70B9C" w:rsidP="00035946">
            <w:pPr>
              <w:rPr>
                <w:rFonts w:ascii="Times New Roman" w:hAnsi="Times New Roman" w:cs="Times New Roman"/>
                <w:b/>
                <w:color w:val="000000" w:themeColor="text1"/>
                <w:sz w:val="20"/>
                <w:szCs w:val="20"/>
                <w:lang w:val="en-US"/>
              </w:rPr>
            </w:pPr>
            <w:r w:rsidRPr="002C5DE1">
              <w:rPr>
                <w:rFonts w:ascii="Times New Roman" w:hAnsi="Times New Roman" w:cs="Times New Roman"/>
                <w:b/>
                <w:color w:val="000000" w:themeColor="text1"/>
                <w:sz w:val="20"/>
                <w:szCs w:val="20"/>
                <w:lang w:val="en-US"/>
              </w:rPr>
              <w:t xml:space="preserve">GFC period: </w:t>
            </w:r>
          </w:p>
          <w:p w14:paraId="06DC9CB4" w14:textId="77777777" w:rsidR="00F70B9C" w:rsidRPr="002C5DE1" w:rsidRDefault="00F70B9C" w:rsidP="00035946">
            <w:pPr>
              <w:rPr>
                <w:rFonts w:ascii="Times New Roman" w:hAnsi="Times New Roman" w:cs="Times New Roman"/>
                <w:b/>
                <w:color w:val="000000" w:themeColor="text1"/>
                <w:sz w:val="20"/>
                <w:szCs w:val="20"/>
                <w:lang w:val="en-US"/>
              </w:rPr>
            </w:pPr>
            <w:r w:rsidRPr="002C5DE1">
              <w:rPr>
                <w:rFonts w:ascii="Times New Roman" w:hAnsi="Times New Roman" w:cs="Times New Roman"/>
                <w:b/>
                <w:color w:val="000000" w:themeColor="text1"/>
                <w:sz w:val="20"/>
                <w:szCs w:val="20"/>
                <w:lang w:val="en-US"/>
              </w:rPr>
              <w:t>2007Q3-2010</w:t>
            </w:r>
          </w:p>
        </w:tc>
        <w:tc>
          <w:tcPr>
            <w:tcW w:w="1202" w:type="dxa"/>
            <w:gridSpan w:val="2"/>
            <w:vAlign w:val="center"/>
          </w:tcPr>
          <w:p w14:paraId="587466E0" w14:textId="77777777" w:rsidR="00F70B9C" w:rsidRPr="002C5DE1" w:rsidRDefault="00F70B9C" w:rsidP="00035946">
            <w:pPr>
              <w:rPr>
                <w:rFonts w:ascii="Times New Roman" w:hAnsi="Times New Roman" w:cs="Times New Roman"/>
                <w:b/>
                <w:color w:val="000000" w:themeColor="text1"/>
                <w:sz w:val="20"/>
                <w:szCs w:val="20"/>
                <w:lang w:val="en-US"/>
              </w:rPr>
            </w:pPr>
            <w:r w:rsidRPr="002C5DE1">
              <w:rPr>
                <w:rFonts w:ascii="Times New Roman" w:hAnsi="Times New Roman" w:cs="Times New Roman"/>
                <w:b/>
                <w:color w:val="000000" w:themeColor="text1"/>
                <w:sz w:val="20"/>
                <w:szCs w:val="20"/>
                <w:lang w:val="en-US"/>
              </w:rPr>
              <w:t>Post-GFC period: 2011-2016</w:t>
            </w:r>
          </w:p>
        </w:tc>
      </w:tr>
      <w:tr w:rsidR="00F70B9C" w:rsidRPr="002C5DE1" w14:paraId="398B6BC4" w14:textId="77777777" w:rsidTr="00035946">
        <w:tc>
          <w:tcPr>
            <w:tcW w:w="1260" w:type="dxa"/>
            <w:vAlign w:val="center"/>
          </w:tcPr>
          <w:p w14:paraId="5FDB92BB" w14:textId="77777777" w:rsidR="00F70B9C" w:rsidRPr="002C5DE1" w:rsidRDefault="00F70B9C" w:rsidP="00035946">
            <w:pPr>
              <w:rPr>
                <w:rFonts w:ascii="Times New Roman" w:hAnsi="Times New Roman" w:cs="Times New Roman"/>
                <w:b/>
                <w:color w:val="000000" w:themeColor="text1"/>
                <w:sz w:val="20"/>
                <w:szCs w:val="20"/>
                <w:lang w:val="en-US"/>
              </w:rPr>
            </w:pPr>
            <w:r w:rsidRPr="002C5DE1">
              <w:rPr>
                <w:rFonts w:ascii="Times New Roman" w:hAnsi="Times New Roman" w:cs="Times New Roman"/>
                <w:b/>
                <w:color w:val="000000" w:themeColor="text1"/>
                <w:sz w:val="20"/>
                <w:szCs w:val="20"/>
                <w:lang w:val="en-US"/>
              </w:rPr>
              <w:t>Variable</w:t>
            </w:r>
          </w:p>
        </w:tc>
        <w:tc>
          <w:tcPr>
            <w:tcW w:w="1202" w:type="dxa"/>
            <w:vAlign w:val="center"/>
          </w:tcPr>
          <w:p w14:paraId="0598FDDB" w14:textId="77777777" w:rsidR="00F70B9C" w:rsidRPr="002C5DE1" w:rsidRDefault="00F70B9C" w:rsidP="00035946">
            <w:pPr>
              <w:jc w:val="center"/>
              <w:rPr>
                <w:rFonts w:ascii="Times New Roman" w:hAnsi="Times New Roman" w:cs="Times New Roman"/>
                <w:b/>
                <w:color w:val="000000" w:themeColor="text1"/>
                <w:sz w:val="20"/>
                <w:szCs w:val="20"/>
                <w:lang w:val="en-US"/>
              </w:rPr>
            </w:pPr>
            <w:r w:rsidRPr="002C5DE1">
              <w:rPr>
                <w:rFonts w:ascii="Times New Roman" w:hAnsi="Times New Roman" w:cs="Times New Roman"/>
                <w:b/>
                <w:color w:val="000000" w:themeColor="text1"/>
                <w:sz w:val="20"/>
                <w:szCs w:val="20"/>
                <w:lang w:val="en-US"/>
              </w:rPr>
              <w:t>Equation (2)</w:t>
            </w:r>
          </w:p>
        </w:tc>
        <w:tc>
          <w:tcPr>
            <w:tcW w:w="1202" w:type="dxa"/>
            <w:vAlign w:val="center"/>
          </w:tcPr>
          <w:p w14:paraId="594F7FF1" w14:textId="77777777" w:rsidR="00F70B9C" w:rsidRPr="002C5DE1" w:rsidRDefault="00F70B9C" w:rsidP="00035946">
            <w:pPr>
              <w:jc w:val="center"/>
              <w:rPr>
                <w:rFonts w:ascii="Times New Roman" w:hAnsi="Times New Roman" w:cs="Times New Roman"/>
                <w:b/>
                <w:color w:val="000000" w:themeColor="text1"/>
                <w:sz w:val="20"/>
                <w:szCs w:val="20"/>
                <w:lang w:val="en-US"/>
              </w:rPr>
            </w:pPr>
            <w:r w:rsidRPr="002C5DE1">
              <w:rPr>
                <w:rFonts w:ascii="Times New Roman" w:hAnsi="Times New Roman" w:cs="Times New Roman"/>
                <w:b/>
                <w:color w:val="000000" w:themeColor="text1"/>
                <w:sz w:val="20"/>
                <w:szCs w:val="20"/>
                <w:lang w:val="en-US"/>
              </w:rPr>
              <w:t>Equation (3)</w:t>
            </w:r>
          </w:p>
        </w:tc>
        <w:tc>
          <w:tcPr>
            <w:tcW w:w="1202" w:type="dxa"/>
            <w:vAlign w:val="center"/>
          </w:tcPr>
          <w:p w14:paraId="59EC2208" w14:textId="77777777" w:rsidR="00F70B9C" w:rsidRPr="002C5DE1" w:rsidRDefault="00F70B9C" w:rsidP="00035946">
            <w:pPr>
              <w:jc w:val="center"/>
              <w:rPr>
                <w:rFonts w:ascii="Times New Roman" w:hAnsi="Times New Roman" w:cs="Times New Roman"/>
                <w:b/>
                <w:color w:val="000000" w:themeColor="text1"/>
                <w:sz w:val="20"/>
                <w:szCs w:val="20"/>
                <w:lang w:val="en-US"/>
              </w:rPr>
            </w:pPr>
            <w:r w:rsidRPr="002C5DE1">
              <w:rPr>
                <w:rFonts w:ascii="Times New Roman" w:hAnsi="Times New Roman" w:cs="Times New Roman"/>
                <w:b/>
                <w:color w:val="000000" w:themeColor="text1"/>
                <w:sz w:val="20"/>
                <w:szCs w:val="20"/>
                <w:lang w:val="en-US"/>
              </w:rPr>
              <w:t>Equation (2)</w:t>
            </w:r>
          </w:p>
        </w:tc>
        <w:tc>
          <w:tcPr>
            <w:tcW w:w="1202" w:type="dxa"/>
            <w:vAlign w:val="center"/>
          </w:tcPr>
          <w:p w14:paraId="52E272CF" w14:textId="77777777" w:rsidR="00F70B9C" w:rsidRPr="002C5DE1" w:rsidRDefault="00F70B9C" w:rsidP="00035946">
            <w:pPr>
              <w:jc w:val="center"/>
              <w:rPr>
                <w:rFonts w:ascii="Times New Roman" w:hAnsi="Times New Roman" w:cs="Times New Roman"/>
                <w:b/>
                <w:color w:val="000000" w:themeColor="text1"/>
                <w:sz w:val="20"/>
                <w:szCs w:val="20"/>
                <w:lang w:val="en-US"/>
              </w:rPr>
            </w:pPr>
            <w:r w:rsidRPr="002C5DE1">
              <w:rPr>
                <w:rFonts w:ascii="Times New Roman" w:hAnsi="Times New Roman" w:cs="Times New Roman"/>
                <w:b/>
                <w:color w:val="000000" w:themeColor="text1"/>
                <w:sz w:val="20"/>
                <w:szCs w:val="20"/>
                <w:lang w:val="en-US"/>
              </w:rPr>
              <w:t>Equation (3)</w:t>
            </w:r>
          </w:p>
        </w:tc>
        <w:tc>
          <w:tcPr>
            <w:tcW w:w="1202" w:type="dxa"/>
            <w:vAlign w:val="center"/>
          </w:tcPr>
          <w:p w14:paraId="545B4A3C" w14:textId="77777777" w:rsidR="00F70B9C" w:rsidRPr="002C5DE1" w:rsidRDefault="00F70B9C" w:rsidP="00035946">
            <w:pPr>
              <w:jc w:val="center"/>
              <w:rPr>
                <w:rFonts w:ascii="Times New Roman" w:hAnsi="Times New Roman" w:cs="Times New Roman"/>
                <w:b/>
                <w:color w:val="000000" w:themeColor="text1"/>
                <w:sz w:val="20"/>
                <w:szCs w:val="20"/>
                <w:lang w:val="en-US"/>
              </w:rPr>
            </w:pPr>
            <w:r w:rsidRPr="002C5DE1">
              <w:rPr>
                <w:rFonts w:ascii="Times New Roman" w:hAnsi="Times New Roman" w:cs="Times New Roman"/>
                <w:b/>
                <w:color w:val="000000" w:themeColor="text1"/>
                <w:sz w:val="20"/>
                <w:szCs w:val="20"/>
                <w:lang w:val="en-US"/>
              </w:rPr>
              <w:t>Equation (2)</w:t>
            </w:r>
          </w:p>
        </w:tc>
        <w:tc>
          <w:tcPr>
            <w:tcW w:w="1202" w:type="dxa"/>
            <w:vAlign w:val="center"/>
          </w:tcPr>
          <w:p w14:paraId="4D3BD43C" w14:textId="77777777" w:rsidR="00F70B9C" w:rsidRPr="002C5DE1" w:rsidRDefault="00F70B9C" w:rsidP="00035946">
            <w:pPr>
              <w:jc w:val="center"/>
              <w:rPr>
                <w:rFonts w:ascii="Times New Roman" w:hAnsi="Times New Roman" w:cs="Times New Roman"/>
                <w:b/>
                <w:color w:val="000000" w:themeColor="text1"/>
                <w:sz w:val="20"/>
                <w:szCs w:val="20"/>
                <w:lang w:val="en-US"/>
              </w:rPr>
            </w:pPr>
            <w:r w:rsidRPr="002C5DE1">
              <w:rPr>
                <w:rFonts w:ascii="Times New Roman" w:hAnsi="Times New Roman" w:cs="Times New Roman"/>
                <w:b/>
                <w:color w:val="000000" w:themeColor="text1"/>
                <w:sz w:val="20"/>
                <w:szCs w:val="20"/>
                <w:lang w:val="en-US"/>
              </w:rPr>
              <w:t>Equation (3)</w:t>
            </w:r>
          </w:p>
        </w:tc>
        <w:tc>
          <w:tcPr>
            <w:tcW w:w="1202" w:type="dxa"/>
            <w:vAlign w:val="center"/>
          </w:tcPr>
          <w:p w14:paraId="0B49E5FB" w14:textId="77777777" w:rsidR="00F70B9C" w:rsidRPr="002C5DE1" w:rsidRDefault="00F70B9C" w:rsidP="00035946">
            <w:pPr>
              <w:jc w:val="center"/>
              <w:rPr>
                <w:rFonts w:ascii="Times New Roman" w:hAnsi="Times New Roman" w:cs="Times New Roman"/>
                <w:b/>
                <w:color w:val="000000" w:themeColor="text1"/>
                <w:sz w:val="20"/>
                <w:szCs w:val="20"/>
                <w:lang w:val="en-US"/>
              </w:rPr>
            </w:pPr>
            <w:r w:rsidRPr="002C5DE1">
              <w:rPr>
                <w:rFonts w:ascii="Times New Roman" w:hAnsi="Times New Roman" w:cs="Times New Roman"/>
                <w:b/>
                <w:color w:val="000000" w:themeColor="text1"/>
                <w:sz w:val="20"/>
                <w:szCs w:val="20"/>
                <w:lang w:val="en-US"/>
              </w:rPr>
              <w:t>Equation (2)</w:t>
            </w:r>
          </w:p>
        </w:tc>
        <w:tc>
          <w:tcPr>
            <w:tcW w:w="1202" w:type="dxa"/>
            <w:vAlign w:val="center"/>
          </w:tcPr>
          <w:p w14:paraId="2D087C0B" w14:textId="77777777" w:rsidR="00F70B9C" w:rsidRPr="002C5DE1" w:rsidRDefault="00F70B9C" w:rsidP="00035946">
            <w:pPr>
              <w:jc w:val="center"/>
              <w:rPr>
                <w:rFonts w:ascii="Times New Roman" w:hAnsi="Times New Roman" w:cs="Times New Roman"/>
                <w:b/>
                <w:color w:val="000000" w:themeColor="text1"/>
                <w:sz w:val="20"/>
                <w:szCs w:val="20"/>
                <w:lang w:val="en-US"/>
              </w:rPr>
            </w:pPr>
            <w:r w:rsidRPr="002C5DE1">
              <w:rPr>
                <w:rFonts w:ascii="Times New Roman" w:hAnsi="Times New Roman" w:cs="Times New Roman"/>
                <w:b/>
                <w:color w:val="000000" w:themeColor="text1"/>
                <w:sz w:val="20"/>
                <w:szCs w:val="20"/>
                <w:lang w:val="en-US"/>
              </w:rPr>
              <w:t>Equation (3)</w:t>
            </w:r>
          </w:p>
        </w:tc>
      </w:tr>
      <w:tr w:rsidR="00F70B9C" w:rsidRPr="002C5DE1" w14:paraId="2F934CB2" w14:textId="77777777" w:rsidTr="00035946">
        <w:tc>
          <w:tcPr>
            <w:tcW w:w="1202" w:type="dxa"/>
            <w:gridSpan w:val="9"/>
            <w:vAlign w:val="center"/>
          </w:tcPr>
          <w:p w14:paraId="34B219C4" w14:textId="77777777" w:rsidR="00F70B9C" w:rsidRPr="002C5DE1" w:rsidRDefault="00F70B9C" w:rsidP="00035946">
            <w:pPr>
              <w:rPr>
                <w:rFonts w:ascii="Times New Roman" w:hAnsi="Times New Roman" w:cs="Times New Roman"/>
                <w:b/>
                <w:color w:val="000000" w:themeColor="text1"/>
                <w:sz w:val="20"/>
                <w:szCs w:val="20"/>
                <w:lang w:val="en-US"/>
              </w:rPr>
            </w:pPr>
            <w:r w:rsidRPr="002C5DE1">
              <w:rPr>
                <w:rFonts w:ascii="Times New Roman" w:hAnsi="Times New Roman" w:cs="Times New Roman"/>
                <w:b/>
                <w:color w:val="000000" w:themeColor="text1"/>
                <w:sz w:val="20"/>
                <w:szCs w:val="20"/>
                <w:lang w:val="en-US"/>
              </w:rPr>
              <w:t>Threshold estimate</w:t>
            </w:r>
          </w:p>
        </w:tc>
      </w:tr>
      <w:tr w:rsidR="00F70B9C" w:rsidRPr="002C5DE1" w14:paraId="3C125A7F" w14:textId="77777777" w:rsidTr="00035946">
        <w:trPr>
          <w:trHeight w:val="470"/>
        </w:trPr>
        <w:tc>
          <w:tcPr>
            <w:tcW w:w="1260" w:type="dxa"/>
          </w:tcPr>
          <w:p w14:paraId="40F20FFF" w14:textId="77777777" w:rsidR="00F70B9C" w:rsidRPr="002C5DE1" w:rsidRDefault="00F70B9C" w:rsidP="00035946">
            <w:pPr>
              <w:jc w:val="both"/>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γ</w:t>
            </w:r>
            <w:r w:rsidRPr="002C5DE1">
              <w:rPr>
                <w:rFonts w:ascii="Times New Roman" w:hAnsi="Times New Roman" w:cs="Times New Roman"/>
                <w:color w:val="000000" w:themeColor="text1"/>
                <w:sz w:val="20"/>
                <w:szCs w:val="20"/>
                <w:vertAlign w:val="superscript"/>
                <w:lang w:val="en-US"/>
              </w:rPr>
              <w:t>1</w:t>
            </w:r>
          </w:p>
          <w:p w14:paraId="215C807B" w14:textId="77777777" w:rsidR="00F70B9C" w:rsidRPr="002C5DE1" w:rsidRDefault="00F70B9C" w:rsidP="00035946">
            <w:pP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95% confidence interval</w:t>
            </w:r>
          </w:p>
        </w:tc>
        <w:tc>
          <w:tcPr>
            <w:tcW w:w="1202" w:type="dxa"/>
            <w:vAlign w:val="center"/>
          </w:tcPr>
          <w:p w14:paraId="74B9B62A"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0.64</w:t>
            </w:r>
          </w:p>
          <w:p w14:paraId="138E4E0A"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[0.60-0.67]</w:t>
            </w:r>
          </w:p>
        </w:tc>
        <w:tc>
          <w:tcPr>
            <w:tcW w:w="1202" w:type="dxa"/>
            <w:vAlign w:val="center"/>
          </w:tcPr>
          <w:p w14:paraId="555494F2" w14:textId="77777777" w:rsidR="00F70B9C" w:rsidRPr="002C5DE1" w:rsidRDefault="00F70B9C" w:rsidP="00035946">
            <w:pPr>
              <w:jc w:val="center"/>
              <w:rPr>
                <w:rFonts w:ascii="Times New Roman" w:hAnsi="Times New Roman" w:cs="Times New Roman"/>
                <w:color w:val="000000" w:themeColor="text1"/>
                <w:sz w:val="20"/>
                <w:szCs w:val="20"/>
                <w:lang w:val="en-US"/>
              </w:rPr>
            </w:pPr>
          </w:p>
        </w:tc>
        <w:tc>
          <w:tcPr>
            <w:tcW w:w="1202" w:type="dxa"/>
            <w:vAlign w:val="center"/>
          </w:tcPr>
          <w:p w14:paraId="28E2F469"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0.61</w:t>
            </w:r>
          </w:p>
          <w:p w14:paraId="25C73A96"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[0.56-0.64]</w:t>
            </w:r>
          </w:p>
        </w:tc>
        <w:tc>
          <w:tcPr>
            <w:tcW w:w="1202" w:type="dxa"/>
            <w:vAlign w:val="center"/>
          </w:tcPr>
          <w:p w14:paraId="671F492F" w14:textId="77777777" w:rsidR="00F70B9C" w:rsidRPr="002C5DE1" w:rsidRDefault="00F70B9C" w:rsidP="00035946">
            <w:pPr>
              <w:jc w:val="center"/>
              <w:rPr>
                <w:rFonts w:ascii="Times New Roman" w:hAnsi="Times New Roman" w:cs="Times New Roman"/>
                <w:color w:val="000000" w:themeColor="text1"/>
                <w:sz w:val="20"/>
                <w:szCs w:val="20"/>
                <w:lang w:val="en-US"/>
              </w:rPr>
            </w:pPr>
          </w:p>
        </w:tc>
        <w:tc>
          <w:tcPr>
            <w:tcW w:w="1202" w:type="dxa"/>
            <w:vAlign w:val="center"/>
          </w:tcPr>
          <w:p w14:paraId="36476EDC"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0.59</w:t>
            </w:r>
          </w:p>
          <w:p w14:paraId="6D74BF24"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[0.55-0.63]</w:t>
            </w:r>
          </w:p>
        </w:tc>
        <w:tc>
          <w:tcPr>
            <w:tcW w:w="1202" w:type="dxa"/>
            <w:vAlign w:val="center"/>
          </w:tcPr>
          <w:p w14:paraId="32D5C463" w14:textId="77777777" w:rsidR="00F70B9C" w:rsidRPr="002C5DE1" w:rsidRDefault="00F70B9C" w:rsidP="00035946">
            <w:pPr>
              <w:jc w:val="center"/>
              <w:rPr>
                <w:rFonts w:ascii="Times New Roman" w:hAnsi="Times New Roman" w:cs="Times New Roman"/>
                <w:color w:val="000000" w:themeColor="text1"/>
                <w:sz w:val="20"/>
                <w:szCs w:val="20"/>
                <w:lang w:val="en-US"/>
              </w:rPr>
            </w:pPr>
          </w:p>
        </w:tc>
        <w:tc>
          <w:tcPr>
            <w:tcW w:w="1202" w:type="dxa"/>
            <w:vAlign w:val="center"/>
          </w:tcPr>
          <w:p w14:paraId="4DDBCAA1"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0.60</w:t>
            </w:r>
          </w:p>
          <w:p w14:paraId="03F952F7"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[0.54-0.64]</w:t>
            </w:r>
          </w:p>
        </w:tc>
        <w:tc>
          <w:tcPr>
            <w:tcW w:w="1202" w:type="dxa"/>
            <w:vAlign w:val="center"/>
          </w:tcPr>
          <w:p w14:paraId="0EF0845B" w14:textId="77777777" w:rsidR="00F70B9C" w:rsidRPr="002C5DE1" w:rsidRDefault="00F70B9C" w:rsidP="00035946">
            <w:pPr>
              <w:jc w:val="center"/>
              <w:rPr>
                <w:rFonts w:ascii="Times New Roman" w:hAnsi="Times New Roman" w:cs="Times New Roman"/>
                <w:color w:val="000000" w:themeColor="text1"/>
                <w:sz w:val="20"/>
                <w:szCs w:val="20"/>
                <w:lang w:val="en-US"/>
              </w:rPr>
            </w:pPr>
          </w:p>
        </w:tc>
      </w:tr>
      <w:tr w:rsidR="00F70B9C" w:rsidRPr="002C5DE1" w14:paraId="53A92C6F" w14:textId="77777777" w:rsidTr="00035946">
        <w:trPr>
          <w:trHeight w:val="470"/>
        </w:trPr>
        <w:tc>
          <w:tcPr>
            <w:tcW w:w="1260" w:type="dxa"/>
          </w:tcPr>
          <w:p w14:paraId="27267FE6" w14:textId="77777777" w:rsidR="00F70B9C" w:rsidRPr="002C5DE1" w:rsidRDefault="00F70B9C" w:rsidP="00035946">
            <w:pPr>
              <w:jc w:val="both"/>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γ</w:t>
            </w:r>
            <w:r w:rsidRPr="002C5DE1">
              <w:rPr>
                <w:rFonts w:ascii="Times New Roman" w:hAnsi="Times New Roman" w:cs="Times New Roman"/>
                <w:color w:val="000000" w:themeColor="text1"/>
                <w:sz w:val="20"/>
                <w:szCs w:val="20"/>
                <w:vertAlign w:val="superscript"/>
                <w:lang w:val="en-US"/>
              </w:rPr>
              <w:t>2</w:t>
            </w:r>
          </w:p>
          <w:p w14:paraId="0B055228" w14:textId="77777777" w:rsidR="00F70B9C" w:rsidRPr="002C5DE1" w:rsidRDefault="00F70B9C" w:rsidP="00035946">
            <w:pPr>
              <w:jc w:val="both"/>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95% confidence interval</w:t>
            </w:r>
          </w:p>
        </w:tc>
        <w:tc>
          <w:tcPr>
            <w:tcW w:w="1202" w:type="dxa"/>
            <w:vAlign w:val="center"/>
          </w:tcPr>
          <w:p w14:paraId="662D7377" w14:textId="77777777" w:rsidR="00F70B9C" w:rsidRPr="002C5DE1" w:rsidRDefault="00F70B9C" w:rsidP="00035946">
            <w:pPr>
              <w:jc w:val="center"/>
              <w:rPr>
                <w:rFonts w:ascii="Times New Roman" w:hAnsi="Times New Roman" w:cs="Times New Roman"/>
                <w:color w:val="000000" w:themeColor="text1"/>
                <w:sz w:val="20"/>
                <w:szCs w:val="20"/>
                <w:lang w:val="en-US"/>
              </w:rPr>
            </w:pPr>
          </w:p>
        </w:tc>
        <w:tc>
          <w:tcPr>
            <w:tcW w:w="1202" w:type="dxa"/>
            <w:vAlign w:val="center"/>
          </w:tcPr>
          <w:p w14:paraId="78B37923"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80.16</w:t>
            </w:r>
          </w:p>
          <w:p w14:paraId="183B3CE9"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[76.25-82.37]</w:t>
            </w:r>
          </w:p>
        </w:tc>
        <w:tc>
          <w:tcPr>
            <w:tcW w:w="1202" w:type="dxa"/>
            <w:vAlign w:val="center"/>
          </w:tcPr>
          <w:p w14:paraId="339C809A" w14:textId="77777777" w:rsidR="00F70B9C" w:rsidRPr="002C5DE1" w:rsidRDefault="00F70B9C" w:rsidP="00035946">
            <w:pPr>
              <w:jc w:val="center"/>
              <w:rPr>
                <w:rFonts w:ascii="Times New Roman" w:hAnsi="Times New Roman" w:cs="Times New Roman"/>
                <w:color w:val="000000" w:themeColor="text1"/>
                <w:sz w:val="20"/>
                <w:szCs w:val="20"/>
                <w:lang w:val="en-US"/>
              </w:rPr>
            </w:pPr>
          </w:p>
        </w:tc>
        <w:tc>
          <w:tcPr>
            <w:tcW w:w="1202" w:type="dxa"/>
            <w:vAlign w:val="center"/>
          </w:tcPr>
          <w:p w14:paraId="15FE5224"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79.91</w:t>
            </w:r>
          </w:p>
          <w:p w14:paraId="58A1D969"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[75.37-83.46]</w:t>
            </w:r>
          </w:p>
        </w:tc>
        <w:tc>
          <w:tcPr>
            <w:tcW w:w="1202" w:type="dxa"/>
            <w:vAlign w:val="center"/>
          </w:tcPr>
          <w:p w14:paraId="541E8309" w14:textId="77777777" w:rsidR="00F70B9C" w:rsidRPr="002C5DE1" w:rsidRDefault="00F70B9C" w:rsidP="00035946">
            <w:pPr>
              <w:jc w:val="center"/>
              <w:rPr>
                <w:rFonts w:ascii="Times New Roman" w:hAnsi="Times New Roman" w:cs="Times New Roman"/>
                <w:color w:val="000000" w:themeColor="text1"/>
                <w:sz w:val="20"/>
                <w:szCs w:val="20"/>
                <w:lang w:val="en-US"/>
              </w:rPr>
            </w:pPr>
          </w:p>
        </w:tc>
        <w:tc>
          <w:tcPr>
            <w:tcW w:w="1202" w:type="dxa"/>
            <w:vAlign w:val="center"/>
          </w:tcPr>
          <w:p w14:paraId="3195CDB5"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78.20</w:t>
            </w:r>
          </w:p>
          <w:p w14:paraId="5B015FA2"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[74.90-83.46]</w:t>
            </w:r>
          </w:p>
        </w:tc>
        <w:tc>
          <w:tcPr>
            <w:tcW w:w="1202" w:type="dxa"/>
            <w:vAlign w:val="center"/>
          </w:tcPr>
          <w:p w14:paraId="5EBEC39C" w14:textId="77777777" w:rsidR="00F70B9C" w:rsidRPr="002C5DE1" w:rsidRDefault="00F70B9C" w:rsidP="00035946">
            <w:pPr>
              <w:jc w:val="center"/>
              <w:rPr>
                <w:rFonts w:ascii="Times New Roman" w:hAnsi="Times New Roman" w:cs="Times New Roman"/>
                <w:color w:val="000000" w:themeColor="text1"/>
                <w:sz w:val="20"/>
                <w:szCs w:val="20"/>
                <w:lang w:val="en-US"/>
              </w:rPr>
            </w:pPr>
          </w:p>
        </w:tc>
        <w:tc>
          <w:tcPr>
            <w:tcW w:w="1202" w:type="dxa"/>
            <w:vAlign w:val="center"/>
          </w:tcPr>
          <w:p w14:paraId="576317E1"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79.04</w:t>
            </w:r>
          </w:p>
          <w:p w14:paraId="0F97F546"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[75.37-84.36]</w:t>
            </w:r>
          </w:p>
        </w:tc>
      </w:tr>
      <w:tr w:rsidR="00F70B9C" w:rsidRPr="002C5DE1" w14:paraId="4188D203" w14:textId="77777777" w:rsidTr="00035946">
        <w:tc>
          <w:tcPr>
            <w:tcW w:w="1202" w:type="dxa"/>
            <w:gridSpan w:val="9"/>
            <w:vAlign w:val="center"/>
          </w:tcPr>
          <w:p w14:paraId="1C1A8C65" w14:textId="77777777" w:rsidR="00F70B9C" w:rsidRPr="002C5DE1" w:rsidRDefault="00F70B9C" w:rsidP="00035946">
            <w:pPr>
              <w:rPr>
                <w:rFonts w:ascii="Times New Roman" w:hAnsi="Times New Roman" w:cs="Times New Roman"/>
                <w:b/>
                <w:color w:val="000000" w:themeColor="text1"/>
                <w:sz w:val="20"/>
                <w:szCs w:val="20"/>
                <w:lang w:val="en-US"/>
              </w:rPr>
            </w:pPr>
            <w:r w:rsidRPr="002C5DE1">
              <w:rPr>
                <w:rFonts w:ascii="Times New Roman" w:hAnsi="Times New Roman" w:cs="Times New Roman"/>
                <w:b/>
                <w:i/>
                <w:color w:val="000000" w:themeColor="text1"/>
                <w:sz w:val="20"/>
                <w:szCs w:val="20"/>
                <w:lang w:val="en-US"/>
              </w:rPr>
              <w:t>Regime-dependent variables</w:t>
            </w:r>
          </w:p>
        </w:tc>
      </w:tr>
      <w:tr w:rsidR="00F70B9C" w:rsidRPr="002C5DE1" w14:paraId="29E1A1A9" w14:textId="77777777" w:rsidTr="00035946">
        <w:trPr>
          <w:trHeight w:val="470"/>
        </w:trPr>
        <w:tc>
          <w:tcPr>
            <w:tcW w:w="1260" w:type="dxa"/>
            <w:vAlign w:val="center"/>
          </w:tcPr>
          <w:p w14:paraId="38ED9655" w14:textId="77777777" w:rsidR="00F70B9C" w:rsidRPr="002C5DE1" w:rsidRDefault="00F70B9C" w:rsidP="00035946">
            <w:pP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θ</w:t>
            </w:r>
            <w:r w:rsidRPr="002C5DE1">
              <w:rPr>
                <w:rFonts w:ascii="Times New Roman" w:hAnsi="Times New Roman" w:cs="Times New Roman"/>
                <w:color w:val="000000" w:themeColor="text1"/>
                <w:sz w:val="20"/>
                <w:szCs w:val="20"/>
                <w:vertAlign w:val="subscript"/>
                <w:lang w:val="en-US"/>
              </w:rPr>
              <w:t>1</w:t>
            </w:r>
            <w:r w:rsidRPr="002C5DE1">
              <w:rPr>
                <w:rFonts w:ascii="Times New Roman" w:hAnsi="Times New Roman" w:cs="Times New Roman"/>
                <w:color w:val="000000" w:themeColor="text1"/>
                <w:sz w:val="20"/>
                <w:szCs w:val="20"/>
                <w:lang w:val="en-US"/>
              </w:rPr>
              <w:t xml:space="preserve"> (coefficient below γ</w:t>
            </w:r>
            <w:r w:rsidRPr="002C5DE1">
              <w:rPr>
                <w:rFonts w:ascii="Times New Roman" w:hAnsi="Times New Roman" w:cs="Times New Roman"/>
                <w:color w:val="000000" w:themeColor="text1"/>
                <w:sz w:val="20"/>
                <w:szCs w:val="20"/>
                <w:vertAlign w:val="superscript"/>
                <w:lang w:val="en-US"/>
              </w:rPr>
              <w:t>1</w:t>
            </w:r>
            <w:r w:rsidRPr="002C5DE1">
              <w:rPr>
                <w:rFonts w:ascii="Times New Roman" w:hAnsi="Times New Roman" w:cs="Times New Roman"/>
                <w:color w:val="000000" w:themeColor="text1"/>
                <w:sz w:val="20"/>
                <w:szCs w:val="20"/>
                <w:lang w:val="en-US"/>
              </w:rPr>
              <w:t>)</w:t>
            </w:r>
          </w:p>
        </w:tc>
        <w:tc>
          <w:tcPr>
            <w:tcW w:w="1202" w:type="dxa"/>
            <w:vAlign w:val="center"/>
          </w:tcPr>
          <w:p w14:paraId="0DACFB2C"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0.019</w:t>
            </w:r>
          </w:p>
          <w:p w14:paraId="402C749E"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[0.41]</w:t>
            </w:r>
          </w:p>
        </w:tc>
        <w:tc>
          <w:tcPr>
            <w:tcW w:w="1202" w:type="dxa"/>
            <w:vAlign w:val="center"/>
          </w:tcPr>
          <w:p w14:paraId="04829CA1" w14:textId="77777777" w:rsidR="00F70B9C" w:rsidRPr="002C5DE1" w:rsidRDefault="00F70B9C" w:rsidP="00035946">
            <w:pPr>
              <w:jc w:val="center"/>
              <w:rPr>
                <w:rFonts w:ascii="Times New Roman" w:hAnsi="Times New Roman" w:cs="Times New Roman"/>
                <w:color w:val="000000" w:themeColor="text1"/>
                <w:sz w:val="20"/>
                <w:szCs w:val="20"/>
                <w:lang w:val="en-US"/>
              </w:rPr>
            </w:pPr>
          </w:p>
        </w:tc>
        <w:tc>
          <w:tcPr>
            <w:tcW w:w="1202" w:type="dxa"/>
            <w:vAlign w:val="center"/>
          </w:tcPr>
          <w:p w14:paraId="21BF8E0D"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0.032</w:t>
            </w:r>
          </w:p>
          <w:p w14:paraId="4CB96017"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[0.28]</w:t>
            </w:r>
          </w:p>
        </w:tc>
        <w:tc>
          <w:tcPr>
            <w:tcW w:w="1202" w:type="dxa"/>
            <w:vAlign w:val="center"/>
          </w:tcPr>
          <w:p w14:paraId="7EA82440" w14:textId="77777777" w:rsidR="00F70B9C" w:rsidRPr="002C5DE1" w:rsidRDefault="00F70B9C" w:rsidP="00035946">
            <w:pPr>
              <w:jc w:val="center"/>
              <w:rPr>
                <w:rFonts w:ascii="Times New Roman" w:hAnsi="Times New Roman" w:cs="Times New Roman"/>
                <w:color w:val="000000" w:themeColor="text1"/>
                <w:sz w:val="20"/>
                <w:szCs w:val="20"/>
                <w:lang w:val="en-US"/>
              </w:rPr>
            </w:pPr>
          </w:p>
        </w:tc>
        <w:tc>
          <w:tcPr>
            <w:tcW w:w="1202" w:type="dxa"/>
            <w:vAlign w:val="center"/>
          </w:tcPr>
          <w:p w14:paraId="1383998C"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0.024</w:t>
            </w:r>
          </w:p>
          <w:p w14:paraId="3AA651B9"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[0.35]</w:t>
            </w:r>
          </w:p>
        </w:tc>
        <w:tc>
          <w:tcPr>
            <w:tcW w:w="1202" w:type="dxa"/>
            <w:vAlign w:val="center"/>
          </w:tcPr>
          <w:p w14:paraId="1999F316" w14:textId="77777777" w:rsidR="00F70B9C" w:rsidRPr="002C5DE1" w:rsidRDefault="00F70B9C" w:rsidP="00035946">
            <w:pPr>
              <w:jc w:val="center"/>
              <w:rPr>
                <w:rFonts w:ascii="Times New Roman" w:hAnsi="Times New Roman" w:cs="Times New Roman"/>
                <w:color w:val="000000" w:themeColor="text1"/>
                <w:sz w:val="20"/>
                <w:szCs w:val="20"/>
                <w:lang w:val="en-US"/>
              </w:rPr>
            </w:pPr>
          </w:p>
        </w:tc>
        <w:tc>
          <w:tcPr>
            <w:tcW w:w="1202" w:type="dxa"/>
            <w:vAlign w:val="center"/>
          </w:tcPr>
          <w:p w14:paraId="420F5468"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0.029</w:t>
            </w:r>
          </w:p>
          <w:p w14:paraId="6125E336"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[0.30]</w:t>
            </w:r>
          </w:p>
        </w:tc>
        <w:tc>
          <w:tcPr>
            <w:tcW w:w="1202" w:type="dxa"/>
            <w:vAlign w:val="center"/>
          </w:tcPr>
          <w:p w14:paraId="058A68C3" w14:textId="77777777" w:rsidR="00F70B9C" w:rsidRPr="002C5DE1" w:rsidRDefault="00F70B9C" w:rsidP="00035946">
            <w:pPr>
              <w:jc w:val="center"/>
              <w:rPr>
                <w:rFonts w:ascii="Times New Roman" w:hAnsi="Times New Roman" w:cs="Times New Roman"/>
                <w:color w:val="000000" w:themeColor="text1"/>
                <w:sz w:val="20"/>
                <w:szCs w:val="20"/>
                <w:lang w:val="en-US"/>
              </w:rPr>
            </w:pPr>
          </w:p>
        </w:tc>
      </w:tr>
      <w:tr w:rsidR="00F70B9C" w:rsidRPr="002C5DE1" w14:paraId="2526680D" w14:textId="77777777" w:rsidTr="00035946">
        <w:tc>
          <w:tcPr>
            <w:tcW w:w="1260" w:type="dxa"/>
          </w:tcPr>
          <w:p w14:paraId="5003994D" w14:textId="77777777" w:rsidR="00F70B9C" w:rsidRPr="002C5DE1" w:rsidRDefault="00F70B9C" w:rsidP="00035946">
            <w:pPr>
              <w:jc w:val="both"/>
              <w:rPr>
                <w:rFonts w:ascii="Times New Roman" w:hAnsi="Times New Roman" w:cs="Times New Roman"/>
                <w:i/>
                <w:color w:val="000000" w:themeColor="text1"/>
                <w:sz w:val="20"/>
                <w:szCs w:val="20"/>
                <w:lang w:val="en-US"/>
              </w:rPr>
            </w:pPr>
            <w:r w:rsidRPr="002C5DE1">
              <w:rPr>
                <w:rFonts w:ascii="Times New Roman" w:hAnsi="Times New Roman" w:cs="Times New Roman"/>
                <w:i/>
                <w:color w:val="000000" w:themeColor="text1"/>
                <w:sz w:val="20"/>
                <w:szCs w:val="20"/>
                <w:lang w:val="en-US"/>
              </w:rPr>
              <w:t>n</w:t>
            </w:r>
          </w:p>
        </w:tc>
        <w:tc>
          <w:tcPr>
            <w:tcW w:w="1202" w:type="dxa"/>
            <w:vAlign w:val="center"/>
          </w:tcPr>
          <w:p w14:paraId="351CEEB3"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88</w:t>
            </w:r>
          </w:p>
        </w:tc>
        <w:tc>
          <w:tcPr>
            <w:tcW w:w="1202" w:type="dxa"/>
            <w:vAlign w:val="center"/>
          </w:tcPr>
          <w:p w14:paraId="31FE06B2" w14:textId="77777777" w:rsidR="00F70B9C" w:rsidRPr="002C5DE1" w:rsidRDefault="00F70B9C" w:rsidP="00035946">
            <w:pPr>
              <w:jc w:val="center"/>
              <w:rPr>
                <w:rFonts w:ascii="Times New Roman" w:hAnsi="Times New Roman" w:cs="Times New Roman"/>
                <w:color w:val="000000" w:themeColor="text1"/>
                <w:sz w:val="20"/>
                <w:szCs w:val="20"/>
                <w:lang w:val="en-US"/>
              </w:rPr>
            </w:pPr>
          </w:p>
        </w:tc>
        <w:tc>
          <w:tcPr>
            <w:tcW w:w="1202" w:type="dxa"/>
            <w:vAlign w:val="center"/>
          </w:tcPr>
          <w:p w14:paraId="7953A0F2"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116</w:t>
            </w:r>
          </w:p>
        </w:tc>
        <w:tc>
          <w:tcPr>
            <w:tcW w:w="1202" w:type="dxa"/>
            <w:vAlign w:val="center"/>
          </w:tcPr>
          <w:p w14:paraId="18524C4B" w14:textId="77777777" w:rsidR="00F70B9C" w:rsidRPr="002C5DE1" w:rsidRDefault="00F70B9C" w:rsidP="00035946">
            <w:pPr>
              <w:jc w:val="center"/>
              <w:rPr>
                <w:rFonts w:ascii="Times New Roman" w:hAnsi="Times New Roman" w:cs="Times New Roman"/>
                <w:color w:val="000000" w:themeColor="text1"/>
                <w:sz w:val="20"/>
                <w:szCs w:val="20"/>
                <w:lang w:val="en-US"/>
              </w:rPr>
            </w:pPr>
          </w:p>
        </w:tc>
        <w:tc>
          <w:tcPr>
            <w:tcW w:w="1202" w:type="dxa"/>
            <w:vAlign w:val="center"/>
          </w:tcPr>
          <w:p w14:paraId="28458DC6"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99</w:t>
            </w:r>
          </w:p>
        </w:tc>
        <w:tc>
          <w:tcPr>
            <w:tcW w:w="1202" w:type="dxa"/>
            <w:vAlign w:val="center"/>
          </w:tcPr>
          <w:p w14:paraId="0F5CA512" w14:textId="77777777" w:rsidR="00F70B9C" w:rsidRPr="002C5DE1" w:rsidRDefault="00F70B9C" w:rsidP="00035946">
            <w:pPr>
              <w:jc w:val="center"/>
              <w:rPr>
                <w:rFonts w:ascii="Times New Roman" w:hAnsi="Times New Roman" w:cs="Times New Roman"/>
                <w:color w:val="000000" w:themeColor="text1"/>
                <w:sz w:val="20"/>
                <w:szCs w:val="20"/>
                <w:lang w:val="en-US"/>
              </w:rPr>
            </w:pPr>
          </w:p>
        </w:tc>
        <w:tc>
          <w:tcPr>
            <w:tcW w:w="1202" w:type="dxa"/>
            <w:vAlign w:val="center"/>
          </w:tcPr>
          <w:p w14:paraId="70356998"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186</w:t>
            </w:r>
          </w:p>
        </w:tc>
        <w:tc>
          <w:tcPr>
            <w:tcW w:w="1202" w:type="dxa"/>
            <w:vAlign w:val="center"/>
          </w:tcPr>
          <w:p w14:paraId="4C20E60D" w14:textId="77777777" w:rsidR="00F70B9C" w:rsidRPr="002C5DE1" w:rsidRDefault="00F70B9C" w:rsidP="00035946">
            <w:pPr>
              <w:jc w:val="center"/>
              <w:rPr>
                <w:rFonts w:ascii="Times New Roman" w:hAnsi="Times New Roman" w:cs="Times New Roman"/>
                <w:color w:val="000000" w:themeColor="text1"/>
                <w:sz w:val="20"/>
                <w:szCs w:val="20"/>
                <w:lang w:val="en-US"/>
              </w:rPr>
            </w:pPr>
          </w:p>
        </w:tc>
      </w:tr>
      <w:tr w:rsidR="00F70B9C" w:rsidRPr="002C5DE1" w14:paraId="722DAEF6" w14:textId="77777777" w:rsidTr="00035946">
        <w:trPr>
          <w:trHeight w:val="470"/>
        </w:trPr>
        <w:tc>
          <w:tcPr>
            <w:tcW w:w="1260" w:type="dxa"/>
            <w:vAlign w:val="center"/>
          </w:tcPr>
          <w:p w14:paraId="4D7280B5" w14:textId="77777777" w:rsidR="00F70B9C" w:rsidRPr="002C5DE1" w:rsidRDefault="00F70B9C" w:rsidP="00035946">
            <w:pP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θ</w:t>
            </w:r>
            <w:r w:rsidRPr="002C5DE1">
              <w:rPr>
                <w:rFonts w:ascii="Times New Roman" w:hAnsi="Times New Roman" w:cs="Times New Roman"/>
                <w:color w:val="000000" w:themeColor="text1"/>
                <w:sz w:val="20"/>
                <w:szCs w:val="20"/>
                <w:vertAlign w:val="subscript"/>
                <w:lang w:val="en-US"/>
              </w:rPr>
              <w:t>2</w:t>
            </w:r>
            <w:r w:rsidRPr="002C5DE1">
              <w:rPr>
                <w:rFonts w:ascii="Times New Roman" w:hAnsi="Times New Roman" w:cs="Times New Roman"/>
                <w:color w:val="000000" w:themeColor="text1"/>
                <w:sz w:val="20"/>
                <w:szCs w:val="20"/>
                <w:lang w:val="en-US"/>
              </w:rPr>
              <w:t xml:space="preserve"> (coefficient above γ</w:t>
            </w:r>
            <w:r w:rsidRPr="002C5DE1">
              <w:rPr>
                <w:rFonts w:ascii="Times New Roman" w:hAnsi="Times New Roman" w:cs="Times New Roman"/>
                <w:color w:val="000000" w:themeColor="text1"/>
                <w:sz w:val="20"/>
                <w:szCs w:val="20"/>
                <w:vertAlign w:val="superscript"/>
                <w:lang w:val="en-US"/>
              </w:rPr>
              <w:t>1</w:t>
            </w:r>
            <w:r w:rsidRPr="002C5DE1">
              <w:rPr>
                <w:rFonts w:ascii="Times New Roman" w:hAnsi="Times New Roman" w:cs="Times New Roman"/>
                <w:color w:val="000000" w:themeColor="text1"/>
                <w:sz w:val="20"/>
                <w:szCs w:val="20"/>
                <w:lang w:val="en-US"/>
              </w:rPr>
              <w:t>)</w:t>
            </w:r>
          </w:p>
        </w:tc>
        <w:tc>
          <w:tcPr>
            <w:tcW w:w="1202" w:type="dxa"/>
            <w:vAlign w:val="center"/>
          </w:tcPr>
          <w:p w14:paraId="3CC06C42"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0.138***</w:t>
            </w:r>
          </w:p>
          <w:p w14:paraId="3D05E4E9"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[0.00]</w:t>
            </w:r>
          </w:p>
        </w:tc>
        <w:tc>
          <w:tcPr>
            <w:tcW w:w="1202" w:type="dxa"/>
            <w:vAlign w:val="center"/>
          </w:tcPr>
          <w:p w14:paraId="262B9CAE" w14:textId="77777777" w:rsidR="00F70B9C" w:rsidRPr="002C5DE1" w:rsidRDefault="00F70B9C" w:rsidP="00035946">
            <w:pPr>
              <w:jc w:val="center"/>
              <w:rPr>
                <w:rFonts w:ascii="Times New Roman" w:hAnsi="Times New Roman" w:cs="Times New Roman"/>
                <w:color w:val="000000" w:themeColor="text1"/>
                <w:sz w:val="20"/>
                <w:szCs w:val="20"/>
                <w:lang w:val="en-US"/>
              </w:rPr>
            </w:pPr>
          </w:p>
        </w:tc>
        <w:tc>
          <w:tcPr>
            <w:tcW w:w="1202" w:type="dxa"/>
            <w:vAlign w:val="center"/>
          </w:tcPr>
          <w:p w14:paraId="72269779"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0.108***</w:t>
            </w:r>
          </w:p>
          <w:p w14:paraId="4D8DFC1C"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[0.00]</w:t>
            </w:r>
          </w:p>
        </w:tc>
        <w:tc>
          <w:tcPr>
            <w:tcW w:w="1202" w:type="dxa"/>
            <w:vAlign w:val="center"/>
          </w:tcPr>
          <w:p w14:paraId="5B0DA173" w14:textId="77777777" w:rsidR="00F70B9C" w:rsidRPr="002C5DE1" w:rsidRDefault="00F70B9C" w:rsidP="00035946">
            <w:pPr>
              <w:jc w:val="center"/>
              <w:rPr>
                <w:rFonts w:ascii="Times New Roman" w:hAnsi="Times New Roman" w:cs="Times New Roman"/>
                <w:color w:val="000000" w:themeColor="text1"/>
                <w:sz w:val="20"/>
                <w:szCs w:val="20"/>
                <w:lang w:val="en-US"/>
              </w:rPr>
            </w:pPr>
          </w:p>
        </w:tc>
        <w:tc>
          <w:tcPr>
            <w:tcW w:w="1202" w:type="dxa"/>
            <w:vAlign w:val="center"/>
          </w:tcPr>
          <w:p w14:paraId="34F7AC78"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0.039</w:t>
            </w:r>
          </w:p>
          <w:p w14:paraId="1CA03C75"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[0.27]</w:t>
            </w:r>
          </w:p>
        </w:tc>
        <w:tc>
          <w:tcPr>
            <w:tcW w:w="1202" w:type="dxa"/>
            <w:vAlign w:val="center"/>
          </w:tcPr>
          <w:p w14:paraId="4A3C0535" w14:textId="77777777" w:rsidR="00F70B9C" w:rsidRPr="002C5DE1" w:rsidRDefault="00F70B9C" w:rsidP="00035946">
            <w:pPr>
              <w:jc w:val="center"/>
              <w:rPr>
                <w:rFonts w:ascii="Times New Roman" w:hAnsi="Times New Roman" w:cs="Times New Roman"/>
                <w:color w:val="000000" w:themeColor="text1"/>
                <w:sz w:val="20"/>
                <w:szCs w:val="20"/>
                <w:lang w:val="en-US"/>
              </w:rPr>
            </w:pPr>
          </w:p>
        </w:tc>
        <w:tc>
          <w:tcPr>
            <w:tcW w:w="1202" w:type="dxa"/>
            <w:vAlign w:val="center"/>
          </w:tcPr>
          <w:p w14:paraId="7BA09EA3"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0.062**</w:t>
            </w:r>
          </w:p>
          <w:p w14:paraId="5BF2D1FE"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[0.03]</w:t>
            </w:r>
          </w:p>
        </w:tc>
        <w:tc>
          <w:tcPr>
            <w:tcW w:w="1202" w:type="dxa"/>
            <w:vAlign w:val="center"/>
          </w:tcPr>
          <w:p w14:paraId="0D6EE401" w14:textId="77777777" w:rsidR="00F70B9C" w:rsidRPr="002C5DE1" w:rsidRDefault="00F70B9C" w:rsidP="00035946">
            <w:pPr>
              <w:jc w:val="center"/>
              <w:rPr>
                <w:rFonts w:ascii="Times New Roman" w:hAnsi="Times New Roman" w:cs="Times New Roman"/>
                <w:color w:val="000000" w:themeColor="text1"/>
                <w:sz w:val="20"/>
                <w:szCs w:val="20"/>
                <w:lang w:val="en-US"/>
              </w:rPr>
            </w:pPr>
          </w:p>
        </w:tc>
      </w:tr>
      <w:tr w:rsidR="00F70B9C" w:rsidRPr="002C5DE1" w14:paraId="5A69C9E9" w14:textId="77777777" w:rsidTr="00035946">
        <w:tc>
          <w:tcPr>
            <w:tcW w:w="1260" w:type="dxa"/>
          </w:tcPr>
          <w:p w14:paraId="5D9E00D6" w14:textId="77777777" w:rsidR="00F70B9C" w:rsidRPr="002C5DE1" w:rsidRDefault="00F70B9C" w:rsidP="00035946">
            <w:pPr>
              <w:jc w:val="both"/>
              <w:rPr>
                <w:rFonts w:ascii="Times New Roman" w:hAnsi="Times New Roman" w:cs="Times New Roman"/>
                <w:color w:val="000000" w:themeColor="text1"/>
                <w:sz w:val="20"/>
                <w:szCs w:val="20"/>
                <w:lang w:val="en-US"/>
              </w:rPr>
            </w:pPr>
            <w:r w:rsidRPr="002C5DE1">
              <w:rPr>
                <w:rFonts w:ascii="Times New Roman" w:hAnsi="Times New Roman" w:cs="Times New Roman"/>
                <w:i/>
                <w:color w:val="000000" w:themeColor="text1"/>
                <w:sz w:val="20"/>
                <w:szCs w:val="20"/>
                <w:lang w:val="en-US"/>
              </w:rPr>
              <w:t>n</w:t>
            </w:r>
          </w:p>
        </w:tc>
        <w:tc>
          <w:tcPr>
            <w:tcW w:w="1202" w:type="dxa"/>
            <w:vAlign w:val="center"/>
          </w:tcPr>
          <w:p w14:paraId="1192FA1F"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296</w:t>
            </w:r>
          </w:p>
        </w:tc>
        <w:tc>
          <w:tcPr>
            <w:tcW w:w="1202" w:type="dxa"/>
            <w:vAlign w:val="center"/>
          </w:tcPr>
          <w:p w14:paraId="4E922BB6" w14:textId="77777777" w:rsidR="00F70B9C" w:rsidRPr="002C5DE1" w:rsidRDefault="00F70B9C" w:rsidP="00035946">
            <w:pPr>
              <w:jc w:val="center"/>
              <w:rPr>
                <w:rFonts w:ascii="Times New Roman" w:hAnsi="Times New Roman" w:cs="Times New Roman"/>
                <w:color w:val="000000" w:themeColor="text1"/>
                <w:sz w:val="20"/>
                <w:szCs w:val="20"/>
                <w:lang w:val="en-US"/>
              </w:rPr>
            </w:pPr>
          </w:p>
        </w:tc>
        <w:tc>
          <w:tcPr>
            <w:tcW w:w="1202" w:type="dxa"/>
            <w:vAlign w:val="center"/>
          </w:tcPr>
          <w:p w14:paraId="58A3C4A6"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316</w:t>
            </w:r>
          </w:p>
        </w:tc>
        <w:tc>
          <w:tcPr>
            <w:tcW w:w="1202" w:type="dxa"/>
            <w:vAlign w:val="center"/>
          </w:tcPr>
          <w:p w14:paraId="1DBC04D9" w14:textId="77777777" w:rsidR="00F70B9C" w:rsidRPr="002C5DE1" w:rsidRDefault="00F70B9C" w:rsidP="00035946">
            <w:pPr>
              <w:jc w:val="center"/>
              <w:rPr>
                <w:rFonts w:ascii="Times New Roman" w:hAnsi="Times New Roman" w:cs="Times New Roman"/>
                <w:color w:val="000000" w:themeColor="text1"/>
                <w:sz w:val="20"/>
                <w:szCs w:val="20"/>
                <w:lang w:val="en-US"/>
              </w:rPr>
            </w:pPr>
          </w:p>
        </w:tc>
        <w:tc>
          <w:tcPr>
            <w:tcW w:w="1202" w:type="dxa"/>
            <w:vAlign w:val="center"/>
          </w:tcPr>
          <w:p w14:paraId="5112CBED"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237</w:t>
            </w:r>
          </w:p>
        </w:tc>
        <w:tc>
          <w:tcPr>
            <w:tcW w:w="1202" w:type="dxa"/>
            <w:vAlign w:val="center"/>
          </w:tcPr>
          <w:p w14:paraId="59262DCB" w14:textId="77777777" w:rsidR="00F70B9C" w:rsidRPr="002C5DE1" w:rsidRDefault="00F70B9C" w:rsidP="00035946">
            <w:pPr>
              <w:jc w:val="center"/>
              <w:rPr>
                <w:rFonts w:ascii="Times New Roman" w:hAnsi="Times New Roman" w:cs="Times New Roman"/>
                <w:color w:val="000000" w:themeColor="text1"/>
                <w:sz w:val="20"/>
                <w:szCs w:val="20"/>
                <w:lang w:val="en-US"/>
              </w:rPr>
            </w:pPr>
          </w:p>
        </w:tc>
        <w:tc>
          <w:tcPr>
            <w:tcW w:w="1202" w:type="dxa"/>
            <w:vAlign w:val="center"/>
          </w:tcPr>
          <w:p w14:paraId="28B7B7C3"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390</w:t>
            </w:r>
          </w:p>
        </w:tc>
        <w:tc>
          <w:tcPr>
            <w:tcW w:w="1202" w:type="dxa"/>
            <w:vAlign w:val="center"/>
          </w:tcPr>
          <w:p w14:paraId="2B1186B6" w14:textId="77777777" w:rsidR="00F70B9C" w:rsidRPr="002C5DE1" w:rsidRDefault="00F70B9C" w:rsidP="00035946">
            <w:pPr>
              <w:jc w:val="center"/>
              <w:rPr>
                <w:rFonts w:ascii="Times New Roman" w:hAnsi="Times New Roman" w:cs="Times New Roman"/>
                <w:color w:val="000000" w:themeColor="text1"/>
                <w:sz w:val="20"/>
                <w:szCs w:val="20"/>
                <w:lang w:val="en-US"/>
              </w:rPr>
            </w:pPr>
          </w:p>
        </w:tc>
      </w:tr>
      <w:tr w:rsidR="00F70B9C" w:rsidRPr="002C5DE1" w14:paraId="4E02DC1F" w14:textId="77777777" w:rsidTr="00035946">
        <w:trPr>
          <w:trHeight w:val="470"/>
        </w:trPr>
        <w:tc>
          <w:tcPr>
            <w:tcW w:w="1260" w:type="dxa"/>
            <w:vAlign w:val="center"/>
          </w:tcPr>
          <w:p w14:paraId="2773C8A9" w14:textId="77777777" w:rsidR="00F70B9C" w:rsidRPr="002C5DE1" w:rsidRDefault="00F70B9C" w:rsidP="00035946">
            <w:pP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θ</w:t>
            </w:r>
            <w:r w:rsidRPr="002C5DE1">
              <w:rPr>
                <w:rFonts w:ascii="Times New Roman" w:hAnsi="Times New Roman" w:cs="Times New Roman"/>
                <w:color w:val="000000" w:themeColor="text1"/>
                <w:sz w:val="20"/>
                <w:szCs w:val="20"/>
                <w:vertAlign w:val="subscript"/>
                <w:lang w:val="en-US"/>
              </w:rPr>
              <w:t>5</w:t>
            </w:r>
            <w:r w:rsidRPr="002C5DE1">
              <w:rPr>
                <w:rFonts w:ascii="Times New Roman" w:hAnsi="Times New Roman" w:cs="Times New Roman"/>
                <w:color w:val="000000" w:themeColor="text1"/>
                <w:sz w:val="20"/>
                <w:szCs w:val="20"/>
                <w:lang w:val="en-US"/>
              </w:rPr>
              <w:t xml:space="preserve"> (coefficient below γ</w:t>
            </w:r>
            <w:r w:rsidRPr="002C5DE1">
              <w:rPr>
                <w:rFonts w:ascii="Times New Roman" w:hAnsi="Times New Roman" w:cs="Times New Roman"/>
                <w:color w:val="000000" w:themeColor="text1"/>
                <w:sz w:val="20"/>
                <w:szCs w:val="20"/>
                <w:vertAlign w:val="superscript"/>
                <w:lang w:val="en-US"/>
              </w:rPr>
              <w:t>2</w:t>
            </w:r>
            <w:r w:rsidRPr="002C5DE1">
              <w:rPr>
                <w:rFonts w:ascii="Times New Roman" w:hAnsi="Times New Roman" w:cs="Times New Roman"/>
                <w:color w:val="000000" w:themeColor="text1"/>
                <w:sz w:val="20"/>
                <w:szCs w:val="20"/>
                <w:lang w:val="en-US"/>
              </w:rPr>
              <w:t>)</w:t>
            </w:r>
          </w:p>
        </w:tc>
        <w:tc>
          <w:tcPr>
            <w:tcW w:w="1202" w:type="dxa"/>
            <w:vAlign w:val="center"/>
          </w:tcPr>
          <w:p w14:paraId="1FE5CD25" w14:textId="77777777" w:rsidR="00F70B9C" w:rsidRPr="002C5DE1" w:rsidRDefault="00F70B9C" w:rsidP="00035946">
            <w:pPr>
              <w:jc w:val="center"/>
              <w:rPr>
                <w:rFonts w:ascii="Times New Roman" w:hAnsi="Times New Roman" w:cs="Times New Roman"/>
                <w:color w:val="000000" w:themeColor="text1"/>
                <w:sz w:val="20"/>
                <w:szCs w:val="20"/>
                <w:lang w:val="en-US"/>
              </w:rPr>
            </w:pPr>
          </w:p>
        </w:tc>
        <w:tc>
          <w:tcPr>
            <w:tcW w:w="1202" w:type="dxa"/>
            <w:vAlign w:val="center"/>
          </w:tcPr>
          <w:p w14:paraId="4DFBBE6F"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0.012</w:t>
            </w:r>
          </w:p>
          <w:p w14:paraId="4DC598CB"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[0.48]</w:t>
            </w:r>
          </w:p>
        </w:tc>
        <w:tc>
          <w:tcPr>
            <w:tcW w:w="1202" w:type="dxa"/>
            <w:vAlign w:val="center"/>
          </w:tcPr>
          <w:p w14:paraId="30836FE0" w14:textId="77777777" w:rsidR="00F70B9C" w:rsidRPr="002C5DE1" w:rsidRDefault="00F70B9C" w:rsidP="00035946">
            <w:pPr>
              <w:jc w:val="center"/>
              <w:rPr>
                <w:rFonts w:ascii="Times New Roman" w:hAnsi="Times New Roman" w:cs="Times New Roman"/>
                <w:color w:val="000000" w:themeColor="text1"/>
                <w:sz w:val="20"/>
                <w:szCs w:val="20"/>
                <w:lang w:val="en-US"/>
              </w:rPr>
            </w:pPr>
          </w:p>
        </w:tc>
        <w:tc>
          <w:tcPr>
            <w:tcW w:w="1202" w:type="dxa"/>
            <w:vAlign w:val="center"/>
          </w:tcPr>
          <w:p w14:paraId="3D67ACD5"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0.032</w:t>
            </w:r>
          </w:p>
          <w:p w14:paraId="4D5E33A8"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[0.31]</w:t>
            </w:r>
          </w:p>
        </w:tc>
        <w:tc>
          <w:tcPr>
            <w:tcW w:w="1202" w:type="dxa"/>
            <w:vAlign w:val="center"/>
          </w:tcPr>
          <w:p w14:paraId="31F08A6D" w14:textId="77777777" w:rsidR="00F70B9C" w:rsidRPr="002C5DE1" w:rsidRDefault="00F70B9C" w:rsidP="00035946">
            <w:pPr>
              <w:jc w:val="center"/>
              <w:rPr>
                <w:rFonts w:ascii="Times New Roman" w:hAnsi="Times New Roman" w:cs="Times New Roman"/>
                <w:color w:val="000000" w:themeColor="text1"/>
                <w:sz w:val="20"/>
                <w:szCs w:val="20"/>
                <w:lang w:val="en-US"/>
              </w:rPr>
            </w:pPr>
          </w:p>
        </w:tc>
        <w:tc>
          <w:tcPr>
            <w:tcW w:w="1202" w:type="dxa"/>
            <w:vAlign w:val="center"/>
          </w:tcPr>
          <w:p w14:paraId="73FB3BA1"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0.029</w:t>
            </w:r>
          </w:p>
          <w:p w14:paraId="082B8CFF"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[0.34]</w:t>
            </w:r>
          </w:p>
        </w:tc>
        <w:tc>
          <w:tcPr>
            <w:tcW w:w="1202" w:type="dxa"/>
            <w:vAlign w:val="center"/>
          </w:tcPr>
          <w:p w14:paraId="09CCCFB5" w14:textId="77777777" w:rsidR="00F70B9C" w:rsidRPr="002C5DE1" w:rsidRDefault="00F70B9C" w:rsidP="00035946">
            <w:pPr>
              <w:jc w:val="center"/>
              <w:rPr>
                <w:rFonts w:ascii="Times New Roman" w:hAnsi="Times New Roman" w:cs="Times New Roman"/>
                <w:color w:val="000000" w:themeColor="text1"/>
                <w:sz w:val="20"/>
                <w:szCs w:val="20"/>
                <w:lang w:val="en-US"/>
              </w:rPr>
            </w:pPr>
          </w:p>
        </w:tc>
        <w:tc>
          <w:tcPr>
            <w:tcW w:w="1202" w:type="dxa"/>
            <w:vAlign w:val="center"/>
          </w:tcPr>
          <w:p w14:paraId="114907A8"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0.032</w:t>
            </w:r>
          </w:p>
          <w:p w14:paraId="39B774A6"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[0.34]</w:t>
            </w:r>
          </w:p>
        </w:tc>
      </w:tr>
      <w:tr w:rsidR="00F70B9C" w:rsidRPr="002C5DE1" w14:paraId="51D3C440" w14:textId="77777777" w:rsidTr="00035946">
        <w:tc>
          <w:tcPr>
            <w:tcW w:w="1260" w:type="dxa"/>
          </w:tcPr>
          <w:p w14:paraId="5EC3669A" w14:textId="77777777" w:rsidR="00F70B9C" w:rsidRPr="002C5DE1" w:rsidRDefault="00F70B9C" w:rsidP="00035946">
            <w:pPr>
              <w:jc w:val="both"/>
              <w:rPr>
                <w:rFonts w:ascii="Times New Roman" w:hAnsi="Times New Roman" w:cs="Times New Roman"/>
                <w:color w:val="000000" w:themeColor="text1"/>
                <w:sz w:val="20"/>
                <w:szCs w:val="20"/>
                <w:lang w:val="en-US"/>
              </w:rPr>
            </w:pPr>
            <w:r w:rsidRPr="002C5DE1">
              <w:rPr>
                <w:rFonts w:ascii="Times New Roman" w:hAnsi="Times New Roman" w:cs="Times New Roman"/>
                <w:i/>
                <w:color w:val="000000" w:themeColor="text1"/>
                <w:sz w:val="20"/>
                <w:szCs w:val="20"/>
                <w:lang w:val="en-US"/>
              </w:rPr>
              <w:t>n</w:t>
            </w:r>
          </w:p>
        </w:tc>
        <w:tc>
          <w:tcPr>
            <w:tcW w:w="1202" w:type="dxa"/>
            <w:vAlign w:val="center"/>
          </w:tcPr>
          <w:p w14:paraId="09441DE1" w14:textId="77777777" w:rsidR="00F70B9C" w:rsidRPr="002C5DE1" w:rsidRDefault="00F70B9C" w:rsidP="00035946">
            <w:pPr>
              <w:jc w:val="center"/>
              <w:rPr>
                <w:rFonts w:ascii="Times New Roman" w:hAnsi="Times New Roman" w:cs="Times New Roman"/>
                <w:color w:val="000000" w:themeColor="text1"/>
                <w:sz w:val="20"/>
                <w:szCs w:val="20"/>
                <w:lang w:val="en-US"/>
              </w:rPr>
            </w:pPr>
          </w:p>
        </w:tc>
        <w:tc>
          <w:tcPr>
            <w:tcW w:w="1202" w:type="dxa"/>
            <w:vAlign w:val="center"/>
          </w:tcPr>
          <w:p w14:paraId="153B04DA"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93</w:t>
            </w:r>
          </w:p>
        </w:tc>
        <w:tc>
          <w:tcPr>
            <w:tcW w:w="1202" w:type="dxa"/>
            <w:vAlign w:val="center"/>
          </w:tcPr>
          <w:p w14:paraId="1435D6F2" w14:textId="77777777" w:rsidR="00F70B9C" w:rsidRPr="002C5DE1" w:rsidRDefault="00F70B9C" w:rsidP="00035946">
            <w:pPr>
              <w:jc w:val="center"/>
              <w:rPr>
                <w:rFonts w:ascii="Times New Roman" w:hAnsi="Times New Roman" w:cs="Times New Roman"/>
                <w:color w:val="000000" w:themeColor="text1"/>
                <w:sz w:val="20"/>
                <w:szCs w:val="20"/>
                <w:lang w:val="en-US"/>
              </w:rPr>
            </w:pPr>
          </w:p>
        </w:tc>
        <w:tc>
          <w:tcPr>
            <w:tcW w:w="1202" w:type="dxa"/>
            <w:vAlign w:val="center"/>
          </w:tcPr>
          <w:p w14:paraId="7083BAC8"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124</w:t>
            </w:r>
          </w:p>
        </w:tc>
        <w:tc>
          <w:tcPr>
            <w:tcW w:w="1202" w:type="dxa"/>
            <w:vAlign w:val="center"/>
          </w:tcPr>
          <w:p w14:paraId="08A185B1" w14:textId="77777777" w:rsidR="00F70B9C" w:rsidRPr="002C5DE1" w:rsidRDefault="00F70B9C" w:rsidP="00035946">
            <w:pPr>
              <w:jc w:val="center"/>
              <w:rPr>
                <w:rFonts w:ascii="Times New Roman" w:hAnsi="Times New Roman" w:cs="Times New Roman"/>
                <w:color w:val="000000" w:themeColor="text1"/>
                <w:sz w:val="20"/>
                <w:szCs w:val="20"/>
                <w:lang w:val="en-US"/>
              </w:rPr>
            </w:pPr>
          </w:p>
        </w:tc>
        <w:tc>
          <w:tcPr>
            <w:tcW w:w="1202" w:type="dxa"/>
            <w:vAlign w:val="center"/>
          </w:tcPr>
          <w:p w14:paraId="379294AB"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113</w:t>
            </w:r>
          </w:p>
        </w:tc>
        <w:tc>
          <w:tcPr>
            <w:tcW w:w="1202" w:type="dxa"/>
            <w:vAlign w:val="center"/>
          </w:tcPr>
          <w:p w14:paraId="0D5E34E6" w14:textId="77777777" w:rsidR="00F70B9C" w:rsidRPr="002C5DE1" w:rsidRDefault="00F70B9C" w:rsidP="00035946">
            <w:pPr>
              <w:jc w:val="center"/>
              <w:rPr>
                <w:rFonts w:ascii="Times New Roman" w:hAnsi="Times New Roman" w:cs="Times New Roman"/>
                <w:color w:val="000000" w:themeColor="text1"/>
                <w:sz w:val="20"/>
                <w:szCs w:val="20"/>
                <w:lang w:val="en-US"/>
              </w:rPr>
            </w:pPr>
          </w:p>
        </w:tc>
        <w:tc>
          <w:tcPr>
            <w:tcW w:w="1202" w:type="dxa"/>
            <w:vAlign w:val="center"/>
          </w:tcPr>
          <w:p w14:paraId="722007AF"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201</w:t>
            </w:r>
          </w:p>
        </w:tc>
      </w:tr>
      <w:tr w:rsidR="00F70B9C" w:rsidRPr="002C5DE1" w14:paraId="66179A06" w14:textId="77777777" w:rsidTr="00035946">
        <w:trPr>
          <w:trHeight w:val="470"/>
        </w:trPr>
        <w:tc>
          <w:tcPr>
            <w:tcW w:w="1260" w:type="dxa"/>
            <w:vAlign w:val="center"/>
          </w:tcPr>
          <w:p w14:paraId="441CB8DF" w14:textId="77777777" w:rsidR="00F70B9C" w:rsidRPr="002C5DE1" w:rsidRDefault="00F70B9C" w:rsidP="00035946">
            <w:pP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θ</w:t>
            </w:r>
            <w:r w:rsidRPr="002C5DE1">
              <w:rPr>
                <w:rFonts w:ascii="Times New Roman" w:hAnsi="Times New Roman" w:cs="Times New Roman"/>
                <w:color w:val="000000" w:themeColor="text1"/>
                <w:sz w:val="20"/>
                <w:szCs w:val="20"/>
                <w:vertAlign w:val="subscript"/>
                <w:lang w:val="en-US"/>
              </w:rPr>
              <w:t>6</w:t>
            </w:r>
            <w:r w:rsidRPr="002C5DE1">
              <w:rPr>
                <w:rFonts w:ascii="Times New Roman" w:hAnsi="Times New Roman" w:cs="Times New Roman"/>
                <w:color w:val="000000" w:themeColor="text1"/>
                <w:sz w:val="20"/>
                <w:szCs w:val="20"/>
                <w:lang w:val="en-US"/>
              </w:rPr>
              <w:t xml:space="preserve"> (coefficient above γ</w:t>
            </w:r>
            <w:r w:rsidRPr="002C5DE1">
              <w:rPr>
                <w:rFonts w:ascii="Times New Roman" w:hAnsi="Times New Roman" w:cs="Times New Roman"/>
                <w:color w:val="000000" w:themeColor="text1"/>
                <w:sz w:val="20"/>
                <w:szCs w:val="20"/>
                <w:vertAlign w:val="superscript"/>
                <w:lang w:val="en-US"/>
              </w:rPr>
              <w:t>2</w:t>
            </w:r>
            <w:r w:rsidRPr="002C5DE1">
              <w:rPr>
                <w:rFonts w:ascii="Times New Roman" w:hAnsi="Times New Roman" w:cs="Times New Roman"/>
                <w:color w:val="000000" w:themeColor="text1"/>
                <w:sz w:val="20"/>
                <w:szCs w:val="20"/>
                <w:lang w:val="en-US"/>
              </w:rPr>
              <w:t>)</w:t>
            </w:r>
          </w:p>
        </w:tc>
        <w:tc>
          <w:tcPr>
            <w:tcW w:w="1202" w:type="dxa"/>
            <w:vAlign w:val="center"/>
          </w:tcPr>
          <w:p w14:paraId="1CED12E3" w14:textId="77777777" w:rsidR="00F70B9C" w:rsidRPr="002C5DE1" w:rsidRDefault="00F70B9C" w:rsidP="00035946">
            <w:pPr>
              <w:jc w:val="center"/>
              <w:rPr>
                <w:rFonts w:ascii="Times New Roman" w:hAnsi="Times New Roman" w:cs="Times New Roman"/>
                <w:color w:val="000000" w:themeColor="text1"/>
                <w:sz w:val="20"/>
                <w:szCs w:val="20"/>
                <w:lang w:val="en-US"/>
              </w:rPr>
            </w:pPr>
          </w:p>
        </w:tc>
        <w:tc>
          <w:tcPr>
            <w:tcW w:w="1202" w:type="dxa"/>
            <w:vAlign w:val="center"/>
          </w:tcPr>
          <w:p w14:paraId="4DFA5A11" w14:textId="77777777" w:rsidR="00F70B9C" w:rsidRPr="002C5DE1" w:rsidRDefault="000F28A9"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 xml:space="preserve">   </w:t>
            </w:r>
            <w:r w:rsidR="00F70B9C" w:rsidRPr="002C5DE1">
              <w:rPr>
                <w:rFonts w:ascii="Times New Roman" w:hAnsi="Times New Roman" w:cs="Times New Roman"/>
                <w:color w:val="000000" w:themeColor="text1"/>
                <w:sz w:val="20"/>
                <w:szCs w:val="20"/>
                <w:lang w:val="en-US"/>
              </w:rPr>
              <w:t>0.094***</w:t>
            </w:r>
          </w:p>
          <w:p w14:paraId="185E2295"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[0.00]</w:t>
            </w:r>
          </w:p>
        </w:tc>
        <w:tc>
          <w:tcPr>
            <w:tcW w:w="1202" w:type="dxa"/>
            <w:vAlign w:val="center"/>
          </w:tcPr>
          <w:p w14:paraId="6E6170E3" w14:textId="77777777" w:rsidR="00F70B9C" w:rsidRPr="002C5DE1" w:rsidRDefault="00F70B9C" w:rsidP="00035946">
            <w:pPr>
              <w:jc w:val="center"/>
              <w:rPr>
                <w:rFonts w:ascii="Times New Roman" w:hAnsi="Times New Roman" w:cs="Times New Roman"/>
                <w:color w:val="000000" w:themeColor="text1"/>
                <w:sz w:val="20"/>
                <w:szCs w:val="20"/>
                <w:lang w:val="en-US"/>
              </w:rPr>
            </w:pPr>
          </w:p>
        </w:tc>
        <w:tc>
          <w:tcPr>
            <w:tcW w:w="1202" w:type="dxa"/>
            <w:vAlign w:val="center"/>
          </w:tcPr>
          <w:p w14:paraId="2B34AE99"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0.088**</w:t>
            </w:r>
          </w:p>
          <w:p w14:paraId="1F1B006C"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[0.02]</w:t>
            </w:r>
          </w:p>
        </w:tc>
        <w:tc>
          <w:tcPr>
            <w:tcW w:w="1202" w:type="dxa"/>
            <w:vAlign w:val="center"/>
          </w:tcPr>
          <w:p w14:paraId="69EBE4BB" w14:textId="77777777" w:rsidR="00F70B9C" w:rsidRPr="002C5DE1" w:rsidRDefault="00F70B9C" w:rsidP="00035946">
            <w:pPr>
              <w:jc w:val="center"/>
              <w:rPr>
                <w:rFonts w:ascii="Times New Roman" w:hAnsi="Times New Roman" w:cs="Times New Roman"/>
                <w:color w:val="000000" w:themeColor="text1"/>
                <w:sz w:val="20"/>
                <w:szCs w:val="20"/>
                <w:lang w:val="en-US"/>
              </w:rPr>
            </w:pPr>
          </w:p>
        </w:tc>
        <w:tc>
          <w:tcPr>
            <w:tcW w:w="1202" w:type="dxa"/>
            <w:vAlign w:val="center"/>
          </w:tcPr>
          <w:p w14:paraId="19B2CE4D"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0.038</w:t>
            </w:r>
          </w:p>
          <w:p w14:paraId="7BA116D1"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[0.26]</w:t>
            </w:r>
          </w:p>
        </w:tc>
        <w:tc>
          <w:tcPr>
            <w:tcW w:w="1202" w:type="dxa"/>
            <w:vAlign w:val="center"/>
          </w:tcPr>
          <w:p w14:paraId="6DF54EA1" w14:textId="77777777" w:rsidR="00F70B9C" w:rsidRPr="002C5DE1" w:rsidRDefault="00F70B9C" w:rsidP="00035946">
            <w:pPr>
              <w:jc w:val="center"/>
              <w:rPr>
                <w:rFonts w:ascii="Times New Roman" w:hAnsi="Times New Roman" w:cs="Times New Roman"/>
                <w:color w:val="000000" w:themeColor="text1"/>
                <w:sz w:val="20"/>
                <w:szCs w:val="20"/>
                <w:lang w:val="en-US"/>
              </w:rPr>
            </w:pPr>
          </w:p>
        </w:tc>
        <w:tc>
          <w:tcPr>
            <w:tcW w:w="1202" w:type="dxa"/>
            <w:vAlign w:val="center"/>
          </w:tcPr>
          <w:p w14:paraId="76D65652"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0.051**</w:t>
            </w:r>
          </w:p>
          <w:p w14:paraId="17BA6DEB"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[0.04]</w:t>
            </w:r>
          </w:p>
        </w:tc>
      </w:tr>
      <w:tr w:rsidR="00F70B9C" w:rsidRPr="002C5DE1" w14:paraId="49A92387" w14:textId="77777777" w:rsidTr="00035946">
        <w:tc>
          <w:tcPr>
            <w:tcW w:w="1260" w:type="dxa"/>
          </w:tcPr>
          <w:p w14:paraId="327CC739" w14:textId="77777777" w:rsidR="00F70B9C" w:rsidRPr="002C5DE1" w:rsidRDefault="00F70B9C" w:rsidP="00035946">
            <w:pPr>
              <w:jc w:val="both"/>
              <w:rPr>
                <w:rFonts w:ascii="Times New Roman" w:hAnsi="Times New Roman" w:cs="Times New Roman"/>
                <w:color w:val="000000" w:themeColor="text1"/>
                <w:sz w:val="20"/>
                <w:szCs w:val="20"/>
                <w:lang w:val="en-US"/>
              </w:rPr>
            </w:pPr>
            <w:r w:rsidRPr="002C5DE1">
              <w:rPr>
                <w:rFonts w:ascii="Times New Roman" w:hAnsi="Times New Roman" w:cs="Times New Roman"/>
                <w:i/>
                <w:color w:val="000000" w:themeColor="text1"/>
                <w:sz w:val="20"/>
                <w:szCs w:val="20"/>
                <w:lang w:val="en-US"/>
              </w:rPr>
              <w:t>n</w:t>
            </w:r>
          </w:p>
        </w:tc>
        <w:tc>
          <w:tcPr>
            <w:tcW w:w="1202" w:type="dxa"/>
            <w:vAlign w:val="center"/>
          </w:tcPr>
          <w:p w14:paraId="77F3B6E3" w14:textId="77777777" w:rsidR="00F70B9C" w:rsidRPr="002C5DE1" w:rsidRDefault="00F70B9C" w:rsidP="00035946">
            <w:pPr>
              <w:jc w:val="center"/>
              <w:rPr>
                <w:rFonts w:ascii="Times New Roman" w:hAnsi="Times New Roman" w:cs="Times New Roman"/>
                <w:color w:val="000000" w:themeColor="text1"/>
                <w:sz w:val="20"/>
                <w:szCs w:val="20"/>
                <w:lang w:val="en-US"/>
              </w:rPr>
            </w:pPr>
          </w:p>
        </w:tc>
        <w:tc>
          <w:tcPr>
            <w:tcW w:w="1202" w:type="dxa"/>
            <w:vAlign w:val="center"/>
          </w:tcPr>
          <w:p w14:paraId="5BBC12DB"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291</w:t>
            </w:r>
          </w:p>
        </w:tc>
        <w:tc>
          <w:tcPr>
            <w:tcW w:w="1202" w:type="dxa"/>
            <w:vAlign w:val="center"/>
          </w:tcPr>
          <w:p w14:paraId="592C4714" w14:textId="77777777" w:rsidR="00F70B9C" w:rsidRPr="002C5DE1" w:rsidRDefault="00F70B9C" w:rsidP="00035946">
            <w:pPr>
              <w:jc w:val="center"/>
              <w:rPr>
                <w:rFonts w:ascii="Times New Roman" w:hAnsi="Times New Roman" w:cs="Times New Roman"/>
                <w:color w:val="000000" w:themeColor="text1"/>
                <w:sz w:val="20"/>
                <w:szCs w:val="20"/>
                <w:lang w:val="en-US"/>
              </w:rPr>
            </w:pPr>
          </w:p>
        </w:tc>
        <w:tc>
          <w:tcPr>
            <w:tcW w:w="1202" w:type="dxa"/>
            <w:vAlign w:val="center"/>
          </w:tcPr>
          <w:p w14:paraId="12AFBD35"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308</w:t>
            </w:r>
          </w:p>
        </w:tc>
        <w:tc>
          <w:tcPr>
            <w:tcW w:w="1202" w:type="dxa"/>
            <w:vAlign w:val="center"/>
          </w:tcPr>
          <w:p w14:paraId="7AFA6627" w14:textId="77777777" w:rsidR="00F70B9C" w:rsidRPr="002C5DE1" w:rsidRDefault="00F70B9C" w:rsidP="00035946">
            <w:pPr>
              <w:jc w:val="center"/>
              <w:rPr>
                <w:rFonts w:ascii="Times New Roman" w:hAnsi="Times New Roman" w:cs="Times New Roman"/>
                <w:color w:val="000000" w:themeColor="text1"/>
                <w:sz w:val="20"/>
                <w:szCs w:val="20"/>
                <w:lang w:val="en-US"/>
              </w:rPr>
            </w:pPr>
          </w:p>
        </w:tc>
        <w:tc>
          <w:tcPr>
            <w:tcW w:w="1202" w:type="dxa"/>
            <w:vAlign w:val="center"/>
          </w:tcPr>
          <w:p w14:paraId="732DE671"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223</w:t>
            </w:r>
          </w:p>
        </w:tc>
        <w:tc>
          <w:tcPr>
            <w:tcW w:w="1202" w:type="dxa"/>
            <w:vAlign w:val="center"/>
          </w:tcPr>
          <w:p w14:paraId="42EE7C0E" w14:textId="77777777" w:rsidR="00F70B9C" w:rsidRPr="002C5DE1" w:rsidRDefault="00F70B9C" w:rsidP="00035946">
            <w:pPr>
              <w:jc w:val="center"/>
              <w:rPr>
                <w:rFonts w:ascii="Times New Roman" w:hAnsi="Times New Roman" w:cs="Times New Roman"/>
                <w:color w:val="000000" w:themeColor="text1"/>
                <w:sz w:val="20"/>
                <w:szCs w:val="20"/>
                <w:lang w:val="en-US"/>
              </w:rPr>
            </w:pPr>
          </w:p>
        </w:tc>
        <w:tc>
          <w:tcPr>
            <w:tcW w:w="1202" w:type="dxa"/>
            <w:vAlign w:val="center"/>
          </w:tcPr>
          <w:p w14:paraId="5219FA6E"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375</w:t>
            </w:r>
          </w:p>
        </w:tc>
      </w:tr>
      <w:tr w:rsidR="00F70B9C" w:rsidRPr="002C5DE1" w14:paraId="334C9210" w14:textId="77777777" w:rsidTr="00035946">
        <w:tc>
          <w:tcPr>
            <w:tcW w:w="1202" w:type="dxa"/>
            <w:gridSpan w:val="9"/>
            <w:vAlign w:val="center"/>
          </w:tcPr>
          <w:p w14:paraId="78C4DC83" w14:textId="77777777" w:rsidR="00F70B9C" w:rsidRPr="002C5DE1" w:rsidRDefault="00F70B9C" w:rsidP="00035946">
            <w:pPr>
              <w:rPr>
                <w:rFonts w:ascii="Times New Roman" w:hAnsi="Times New Roman" w:cs="Times New Roman"/>
                <w:b/>
                <w:i/>
                <w:color w:val="000000" w:themeColor="text1"/>
                <w:sz w:val="20"/>
                <w:szCs w:val="20"/>
                <w:lang w:val="en-US"/>
              </w:rPr>
            </w:pPr>
            <w:r w:rsidRPr="002C5DE1">
              <w:rPr>
                <w:rFonts w:ascii="Times New Roman" w:hAnsi="Times New Roman" w:cs="Times New Roman"/>
                <w:b/>
                <w:i/>
                <w:color w:val="000000" w:themeColor="text1"/>
                <w:sz w:val="20"/>
                <w:szCs w:val="20"/>
                <w:lang w:val="en-US"/>
              </w:rPr>
              <w:t>Regime-independent variables</w:t>
            </w:r>
          </w:p>
        </w:tc>
      </w:tr>
      <w:tr w:rsidR="00F70B9C" w:rsidRPr="002C5DE1" w14:paraId="62897DC4" w14:textId="77777777" w:rsidTr="00035946">
        <w:trPr>
          <w:trHeight w:val="470"/>
        </w:trPr>
        <w:tc>
          <w:tcPr>
            <w:tcW w:w="1260" w:type="dxa"/>
            <w:vAlign w:val="center"/>
          </w:tcPr>
          <w:p w14:paraId="1B8C4F0D" w14:textId="77777777" w:rsidR="00F70B9C" w:rsidRPr="002C5DE1" w:rsidRDefault="000F28A9" w:rsidP="00035946">
            <w:pPr>
              <w:rPr>
                <w:rFonts w:ascii="Times New Roman" w:hAnsi="Times New Roman" w:cs="Times New Roman"/>
                <w:color w:val="000000" w:themeColor="text1"/>
                <w:sz w:val="20"/>
                <w:szCs w:val="20"/>
                <w:lang w:val="en-US"/>
              </w:rPr>
            </w:pPr>
            <w:proofErr w:type="spellStart"/>
            <w:r w:rsidRPr="002C5DE1">
              <w:rPr>
                <w:rFonts w:ascii="Times New Roman" w:hAnsi="Times New Roman" w:cs="Times New Roman"/>
                <w:color w:val="000000" w:themeColor="text1"/>
                <w:sz w:val="20"/>
                <w:szCs w:val="20"/>
                <w:lang w:val="en-US"/>
              </w:rPr>
              <w:t>Δln</w:t>
            </w:r>
            <w:r w:rsidR="00F70B9C" w:rsidRPr="002C5DE1">
              <w:rPr>
                <w:rFonts w:ascii="Times New Roman" w:hAnsi="Times New Roman" w:cs="Times New Roman"/>
                <w:color w:val="000000" w:themeColor="text1"/>
                <w:sz w:val="20"/>
                <w:szCs w:val="20"/>
                <w:lang w:val="en-US"/>
              </w:rPr>
              <w:t>Stock</w:t>
            </w:r>
            <w:proofErr w:type="spellEnd"/>
            <w:r w:rsidR="00F70B9C" w:rsidRPr="002C5DE1">
              <w:rPr>
                <w:rFonts w:ascii="Times New Roman" w:hAnsi="Times New Roman" w:cs="Times New Roman"/>
                <w:color w:val="000000" w:themeColor="text1"/>
                <w:sz w:val="20"/>
                <w:szCs w:val="20"/>
                <w:lang w:val="en-US"/>
              </w:rPr>
              <w:t xml:space="preserve"> prices (θ</w:t>
            </w:r>
            <w:r w:rsidR="00F70B9C" w:rsidRPr="002C5DE1">
              <w:rPr>
                <w:rFonts w:ascii="Times New Roman" w:hAnsi="Times New Roman" w:cs="Times New Roman"/>
                <w:color w:val="000000" w:themeColor="text1"/>
                <w:sz w:val="20"/>
                <w:szCs w:val="20"/>
                <w:vertAlign w:val="subscript"/>
                <w:lang w:val="en-US"/>
              </w:rPr>
              <w:t>3</w:t>
            </w:r>
            <w:r w:rsidR="00F70B9C" w:rsidRPr="002C5DE1">
              <w:rPr>
                <w:rFonts w:ascii="Times New Roman" w:hAnsi="Times New Roman" w:cs="Times New Roman"/>
                <w:color w:val="000000" w:themeColor="text1"/>
                <w:sz w:val="20"/>
                <w:szCs w:val="20"/>
                <w:lang w:val="en-US"/>
              </w:rPr>
              <w:t>)</w:t>
            </w:r>
          </w:p>
        </w:tc>
        <w:tc>
          <w:tcPr>
            <w:tcW w:w="1202" w:type="dxa"/>
            <w:vAlign w:val="center"/>
          </w:tcPr>
          <w:p w14:paraId="70C15407" w14:textId="77777777" w:rsidR="00F70B9C" w:rsidRPr="002C5DE1" w:rsidRDefault="000F28A9"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 xml:space="preserve">  </w:t>
            </w:r>
            <w:r w:rsidR="00F70B9C" w:rsidRPr="002C5DE1">
              <w:rPr>
                <w:rFonts w:ascii="Times New Roman" w:hAnsi="Times New Roman" w:cs="Times New Roman"/>
                <w:color w:val="000000" w:themeColor="text1"/>
                <w:sz w:val="20"/>
                <w:szCs w:val="20"/>
                <w:lang w:val="en-US"/>
              </w:rPr>
              <w:t>0.108***</w:t>
            </w:r>
          </w:p>
          <w:p w14:paraId="43C1741F"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[0.00]</w:t>
            </w:r>
          </w:p>
        </w:tc>
        <w:tc>
          <w:tcPr>
            <w:tcW w:w="1202" w:type="dxa"/>
            <w:vAlign w:val="center"/>
          </w:tcPr>
          <w:p w14:paraId="6F90B289" w14:textId="77777777" w:rsidR="00F70B9C" w:rsidRPr="002C5DE1" w:rsidRDefault="00F70B9C" w:rsidP="00035946">
            <w:pPr>
              <w:jc w:val="center"/>
              <w:rPr>
                <w:rFonts w:ascii="Times New Roman" w:hAnsi="Times New Roman" w:cs="Times New Roman"/>
                <w:color w:val="000000" w:themeColor="text1"/>
                <w:sz w:val="20"/>
                <w:szCs w:val="20"/>
                <w:lang w:val="en-US"/>
              </w:rPr>
            </w:pPr>
          </w:p>
        </w:tc>
        <w:tc>
          <w:tcPr>
            <w:tcW w:w="1202" w:type="dxa"/>
            <w:vAlign w:val="center"/>
          </w:tcPr>
          <w:p w14:paraId="1D1E137A"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0.105***</w:t>
            </w:r>
          </w:p>
          <w:p w14:paraId="25DE03C4"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[0.00]</w:t>
            </w:r>
          </w:p>
        </w:tc>
        <w:tc>
          <w:tcPr>
            <w:tcW w:w="1202" w:type="dxa"/>
            <w:vAlign w:val="center"/>
          </w:tcPr>
          <w:p w14:paraId="514344E1" w14:textId="77777777" w:rsidR="00F70B9C" w:rsidRPr="002C5DE1" w:rsidRDefault="00F70B9C" w:rsidP="00035946">
            <w:pPr>
              <w:jc w:val="center"/>
              <w:rPr>
                <w:rFonts w:ascii="Times New Roman" w:hAnsi="Times New Roman" w:cs="Times New Roman"/>
                <w:color w:val="000000" w:themeColor="text1"/>
                <w:sz w:val="20"/>
                <w:szCs w:val="20"/>
                <w:lang w:val="en-US"/>
              </w:rPr>
            </w:pPr>
          </w:p>
        </w:tc>
        <w:tc>
          <w:tcPr>
            <w:tcW w:w="1202" w:type="dxa"/>
            <w:vAlign w:val="center"/>
          </w:tcPr>
          <w:p w14:paraId="1CB63AF1"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0.041*</w:t>
            </w:r>
          </w:p>
          <w:p w14:paraId="15FFE2CE"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[0.10]</w:t>
            </w:r>
          </w:p>
        </w:tc>
        <w:tc>
          <w:tcPr>
            <w:tcW w:w="1202" w:type="dxa"/>
            <w:vAlign w:val="center"/>
          </w:tcPr>
          <w:p w14:paraId="14ACB59B" w14:textId="77777777" w:rsidR="00F70B9C" w:rsidRPr="002C5DE1" w:rsidRDefault="00F70B9C" w:rsidP="00035946">
            <w:pPr>
              <w:jc w:val="center"/>
              <w:rPr>
                <w:rFonts w:ascii="Times New Roman" w:hAnsi="Times New Roman" w:cs="Times New Roman"/>
                <w:color w:val="000000" w:themeColor="text1"/>
                <w:sz w:val="20"/>
                <w:szCs w:val="20"/>
                <w:lang w:val="en-US"/>
              </w:rPr>
            </w:pPr>
          </w:p>
        </w:tc>
        <w:tc>
          <w:tcPr>
            <w:tcW w:w="1202" w:type="dxa"/>
            <w:vAlign w:val="center"/>
          </w:tcPr>
          <w:p w14:paraId="40BFBAB3"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0.052**</w:t>
            </w:r>
          </w:p>
          <w:p w14:paraId="166A3222"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[0.03]</w:t>
            </w:r>
          </w:p>
        </w:tc>
        <w:tc>
          <w:tcPr>
            <w:tcW w:w="1202" w:type="dxa"/>
            <w:vAlign w:val="center"/>
          </w:tcPr>
          <w:p w14:paraId="0311F24F" w14:textId="77777777" w:rsidR="00F70B9C" w:rsidRPr="002C5DE1" w:rsidRDefault="00F70B9C" w:rsidP="00035946">
            <w:pPr>
              <w:jc w:val="center"/>
              <w:rPr>
                <w:rFonts w:ascii="Times New Roman" w:hAnsi="Times New Roman" w:cs="Times New Roman"/>
                <w:color w:val="000000" w:themeColor="text1"/>
                <w:sz w:val="20"/>
                <w:szCs w:val="20"/>
                <w:lang w:val="en-US"/>
              </w:rPr>
            </w:pPr>
          </w:p>
        </w:tc>
      </w:tr>
      <w:tr w:rsidR="00F70B9C" w:rsidRPr="002C5DE1" w14:paraId="233DADF1" w14:textId="77777777" w:rsidTr="00035946">
        <w:trPr>
          <w:trHeight w:val="470"/>
        </w:trPr>
        <w:tc>
          <w:tcPr>
            <w:tcW w:w="1260" w:type="dxa"/>
            <w:vAlign w:val="center"/>
          </w:tcPr>
          <w:p w14:paraId="4FAAA378" w14:textId="77777777" w:rsidR="00F70B9C" w:rsidRPr="002C5DE1" w:rsidRDefault="000F28A9" w:rsidP="00035946">
            <w:pPr>
              <w:rPr>
                <w:rFonts w:ascii="Times New Roman" w:hAnsi="Times New Roman" w:cs="Times New Roman"/>
                <w:color w:val="000000" w:themeColor="text1"/>
                <w:sz w:val="20"/>
                <w:szCs w:val="20"/>
                <w:lang w:val="en-US"/>
              </w:rPr>
            </w:pPr>
            <w:proofErr w:type="spellStart"/>
            <w:r w:rsidRPr="002C5DE1">
              <w:rPr>
                <w:rFonts w:ascii="Times New Roman" w:hAnsi="Times New Roman" w:cs="Times New Roman"/>
                <w:color w:val="000000" w:themeColor="text1"/>
                <w:sz w:val="20"/>
                <w:szCs w:val="20"/>
                <w:lang w:val="en-US"/>
              </w:rPr>
              <w:t>Δln</w:t>
            </w:r>
            <w:r w:rsidR="00F70B9C" w:rsidRPr="002C5DE1">
              <w:rPr>
                <w:rFonts w:ascii="Times New Roman" w:hAnsi="Times New Roman" w:cs="Times New Roman"/>
                <w:color w:val="000000" w:themeColor="text1"/>
                <w:sz w:val="20"/>
                <w:szCs w:val="20"/>
                <w:lang w:val="en-US"/>
              </w:rPr>
              <w:t>Stock</w:t>
            </w:r>
            <w:proofErr w:type="spellEnd"/>
            <w:r w:rsidR="00F70B9C" w:rsidRPr="002C5DE1">
              <w:rPr>
                <w:rFonts w:ascii="Times New Roman" w:hAnsi="Times New Roman" w:cs="Times New Roman"/>
                <w:color w:val="000000" w:themeColor="text1"/>
                <w:sz w:val="20"/>
                <w:szCs w:val="20"/>
                <w:lang w:val="en-US"/>
              </w:rPr>
              <w:t xml:space="preserve"> prices (θ</w:t>
            </w:r>
            <w:r w:rsidR="00F70B9C" w:rsidRPr="002C5DE1">
              <w:rPr>
                <w:rFonts w:ascii="Times New Roman" w:hAnsi="Times New Roman" w:cs="Times New Roman"/>
                <w:color w:val="000000" w:themeColor="text1"/>
                <w:sz w:val="20"/>
                <w:szCs w:val="20"/>
                <w:vertAlign w:val="subscript"/>
                <w:lang w:val="en-US"/>
              </w:rPr>
              <w:t>7</w:t>
            </w:r>
            <w:r w:rsidR="00F70B9C" w:rsidRPr="002C5DE1">
              <w:rPr>
                <w:rFonts w:ascii="Times New Roman" w:hAnsi="Times New Roman" w:cs="Times New Roman"/>
                <w:color w:val="000000" w:themeColor="text1"/>
                <w:sz w:val="20"/>
                <w:szCs w:val="20"/>
                <w:lang w:val="en-US"/>
              </w:rPr>
              <w:t>)</w:t>
            </w:r>
          </w:p>
        </w:tc>
        <w:tc>
          <w:tcPr>
            <w:tcW w:w="1202" w:type="dxa"/>
            <w:vAlign w:val="center"/>
          </w:tcPr>
          <w:p w14:paraId="604E0636" w14:textId="77777777" w:rsidR="00F70B9C" w:rsidRPr="002C5DE1" w:rsidRDefault="00F70B9C" w:rsidP="00035946">
            <w:pPr>
              <w:jc w:val="center"/>
              <w:rPr>
                <w:rFonts w:ascii="Times New Roman" w:hAnsi="Times New Roman" w:cs="Times New Roman"/>
                <w:color w:val="000000" w:themeColor="text1"/>
                <w:sz w:val="20"/>
                <w:szCs w:val="20"/>
                <w:lang w:val="en-US"/>
              </w:rPr>
            </w:pPr>
          </w:p>
        </w:tc>
        <w:tc>
          <w:tcPr>
            <w:tcW w:w="1202" w:type="dxa"/>
            <w:vAlign w:val="center"/>
          </w:tcPr>
          <w:p w14:paraId="2C513ABB" w14:textId="77777777" w:rsidR="00F70B9C" w:rsidRPr="002C5DE1" w:rsidRDefault="000F28A9"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 xml:space="preserve">  </w:t>
            </w:r>
            <w:r w:rsidR="00F70B9C" w:rsidRPr="002C5DE1">
              <w:rPr>
                <w:rFonts w:ascii="Times New Roman" w:hAnsi="Times New Roman" w:cs="Times New Roman"/>
                <w:color w:val="000000" w:themeColor="text1"/>
                <w:sz w:val="20"/>
                <w:szCs w:val="20"/>
                <w:lang w:val="en-US"/>
              </w:rPr>
              <w:t>0.097***</w:t>
            </w:r>
          </w:p>
          <w:p w14:paraId="4346EE1A"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[0.00]</w:t>
            </w:r>
          </w:p>
        </w:tc>
        <w:tc>
          <w:tcPr>
            <w:tcW w:w="1202" w:type="dxa"/>
            <w:vAlign w:val="center"/>
          </w:tcPr>
          <w:p w14:paraId="132930F1" w14:textId="77777777" w:rsidR="00F70B9C" w:rsidRPr="002C5DE1" w:rsidRDefault="00F70B9C" w:rsidP="00035946">
            <w:pPr>
              <w:jc w:val="center"/>
              <w:rPr>
                <w:rFonts w:ascii="Times New Roman" w:hAnsi="Times New Roman" w:cs="Times New Roman"/>
                <w:color w:val="000000" w:themeColor="text1"/>
                <w:sz w:val="20"/>
                <w:szCs w:val="20"/>
                <w:lang w:val="en-US"/>
              </w:rPr>
            </w:pPr>
          </w:p>
        </w:tc>
        <w:tc>
          <w:tcPr>
            <w:tcW w:w="1202" w:type="dxa"/>
            <w:vAlign w:val="center"/>
          </w:tcPr>
          <w:p w14:paraId="2E474AB2" w14:textId="77777777" w:rsidR="00F70B9C" w:rsidRPr="002C5DE1" w:rsidRDefault="000F28A9"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 xml:space="preserve">  </w:t>
            </w:r>
            <w:r w:rsidR="00F70B9C" w:rsidRPr="002C5DE1">
              <w:rPr>
                <w:rFonts w:ascii="Times New Roman" w:hAnsi="Times New Roman" w:cs="Times New Roman"/>
                <w:color w:val="000000" w:themeColor="text1"/>
                <w:sz w:val="20"/>
                <w:szCs w:val="20"/>
                <w:lang w:val="en-US"/>
              </w:rPr>
              <w:t>0.093***</w:t>
            </w:r>
          </w:p>
          <w:p w14:paraId="00094A89"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[0.00]</w:t>
            </w:r>
          </w:p>
        </w:tc>
        <w:tc>
          <w:tcPr>
            <w:tcW w:w="1202" w:type="dxa"/>
            <w:vAlign w:val="center"/>
          </w:tcPr>
          <w:p w14:paraId="7F7D2243" w14:textId="77777777" w:rsidR="00F70B9C" w:rsidRPr="002C5DE1" w:rsidRDefault="00F70B9C" w:rsidP="00035946">
            <w:pPr>
              <w:jc w:val="center"/>
              <w:rPr>
                <w:rFonts w:ascii="Times New Roman" w:hAnsi="Times New Roman" w:cs="Times New Roman"/>
                <w:color w:val="000000" w:themeColor="text1"/>
                <w:sz w:val="20"/>
                <w:szCs w:val="20"/>
                <w:lang w:val="en-US"/>
              </w:rPr>
            </w:pPr>
          </w:p>
        </w:tc>
        <w:tc>
          <w:tcPr>
            <w:tcW w:w="1202" w:type="dxa"/>
            <w:vAlign w:val="center"/>
          </w:tcPr>
          <w:p w14:paraId="7E9862E4"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0.035</w:t>
            </w:r>
          </w:p>
          <w:p w14:paraId="3716CABA"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[0.14]</w:t>
            </w:r>
          </w:p>
        </w:tc>
        <w:tc>
          <w:tcPr>
            <w:tcW w:w="1202" w:type="dxa"/>
            <w:vAlign w:val="center"/>
          </w:tcPr>
          <w:p w14:paraId="006C0BD4" w14:textId="77777777" w:rsidR="00F70B9C" w:rsidRPr="002C5DE1" w:rsidRDefault="00F70B9C" w:rsidP="00035946">
            <w:pPr>
              <w:jc w:val="center"/>
              <w:rPr>
                <w:rFonts w:ascii="Times New Roman" w:hAnsi="Times New Roman" w:cs="Times New Roman"/>
                <w:color w:val="000000" w:themeColor="text1"/>
                <w:sz w:val="20"/>
                <w:szCs w:val="20"/>
                <w:lang w:val="en-US"/>
              </w:rPr>
            </w:pPr>
          </w:p>
        </w:tc>
        <w:tc>
          <w:tcPr>
            <w:tcW w:w="1202" w:type="dxa"/>
            <w:vAlign w:val="center"/>
          </w:tcPr>
          <w:p w14:paraId="4C0E77B7"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0.048**</w:t>
            </w:r>
          </w:p>
          <w:p w14:paraId="62138E0F"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[0.04]</w:t>
            </w:r>
          </w:p>
        </w:tc>
      </w:tr>
      <w:tr w:rsidR="00F70B9C" w:rsidRPr="002C5DE1" w14:paraId="72DC0FF2" w14:textId="77777777" w:rsidTr="00035946">
        <w:trPr>
          <w:trHeight w:val="470"/>
        </w:trPr>
        <w:tc>
          <w:tcPr>
            <w:tcW w:w="1260" w:type="dxa"/>
          </w:tcPr>
          <w:p w14:paraId="1046BDE3" w14:textId="77777777" w:rsidR="00F70B9C" w:rsidRPr="002C5DE1" w:rsidRDefault="000F28A9" w:rsidP="00035946">
            <w:pPr>
              <w:jc w:val="both"/>
              <w:rPr>
                <w:rFonts w:ascii="Times New Roman" w:hAnsi="Times New Roman" w:cs="Times New Roman"/>
                <w:color w:val="000000" w:themeColor="text1"/>
                <w:sz w:val="20"/>
                <w:szCs w:val="20"/>
                <w:lang w:val="en-US"/>
              </w:rPr>
            </w:pPr>
            <w:proofErr w:type="spellStart"/>
            <w:r w:rsidRPr="002C5DE1">
              <w:rPr>
                <w:rFonts w:ascii="Times New Roman" w:hAnsi="Times New Roman" w:cs="Times New Roman"/>
                <w:color w:val="000000" w:themeColor="text1"/>
                <w:sz w:val="20"/>
                <w:szCs w:val="20"/>
                <w:lang w:val="en-US"/>
              </w:rPr>
              <w:t>Δln</w:t>
            </w:r>
            <w:r w:rsidR="00F70B9C" w:rsidRPr="002C5DE1">
              <w:rPr>
                <w:rFonts w:ascii="Times New Roman" w:hAnsi="Times New Roman" w:cs="Times New Roman"/>
                <w:color w:val="000000" w:themeColor="text1"/>
                <w:sz w:val="20"/>
                <w:szCs w:val="20"/>
                <w:lang w:val="en-US"/>
              </w:rPr>
              <w:t>Real</w:t>
            </w:r>
            <w:proofErr w:type="spellEnd"/>
            <w:r w:rsidR="00F70B9C" w:rsidRPr="002C5DE1">
              <w:rPr>
                <w:rFonts w:ascii="Times New Roman" w:hAnsi="Times New Roman" w:cs="Times New Roman"/>
                <w:color w:val="000000" w:themeColor="text1"/>
                <w:sz w:val="20"/>
                <w:szCs w:val="20"/>
                <w:lang w:val="en-US"/>
              </w:rPr>
              <w:t xml:space="preserve"> income per capita (θ</w:t>
            </w:r>
            <w:r w:rsidR="00F70B9C" w:rsidRPr="002C5DE1">
              <w:rPr>
                <w:rFonts w:ascii="Times New Roman" w:hAnsi="Times New Roman" w:cs="Times New Roman"/>
                <w:color w:val="000000" w:themeColor="text1"/>
                <w:sz w:val="20"/>
                <w:szCs w:val="20"/>
                <w:vertAlign w:val="subscript"/>
                <w:lang w:val="en-US"/>
              </w:rPr>
              <w:t>4</w:t>
            </w:r>
            <w:r w:rsidR="00F70B9C" w:rsidRPr="002C5DE1">
              <w:rPr>
                <w:rFonts w:ascii="Times New Roman" w:hAnsi="Times New Roman" w:cs="Times New Roman"/>
                <w:color w:val="000000" w:themeColor="text1"/>
                <w:sz w:val="20"/>
                <w:szCs w:val="20"/>
                <w:lang w:val="en-US"/>
              </w:rPr>
              <w:t>)</w:t>
            </w:r>
          </w:p>
        </w:tc>
        <w:tc>
          <w:tcPr>
            <w:tcW w:w="1202" w:type="dxa"/>
            <w:vAlign w:val="center"/>
          </w:tcPr>
          <w:p w14:paraId="04EF5DF3" w14:textId="77777777" w:rsidR="00F70B9C" w:rsidRPr="002C5DE1" w:rsidRDefault="000F28A9"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 xml:space="preserve">  </w:t>
            </w:r>
            <w:r w:rsidR="00F70B9C" w:rsidRPr="002C5DE1">
              <w:rPr>
                <w:rFonts w:ascii="Times New Roman" w:hAnsi="Times New Roman" w:cs="Times New Roman"/>
                <w:color w:val="000000" w:themeColor="text1"/>
                <w:sz w:val="20"/>
                <w:szCs w:val="20"/>
                <w:lang w:val="en-US"/>
              </w:rPr>
              <w:t>0.698***</w:t>
            </w:r>
          </w:p>
          <w:p w14:paraId="6DF3D465"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[0.00]</w:t>
            </w:r>
          </w:p>
        </w:tc>
        <w:tc>
          <w:tcPr>
            <w:tcW w:w="1202" w:type="dxa"/>
            <w:vAlign w:val="center"/>
          </w:tcPr>
          <w:p w14:paraId="3E280B78" w14:textId="77777777" w:rsidR="00F70B9C" w:rsidRPr="002C5DE1" w:rsidRDefault="00F70B9C" w:rsidP="00035946">
            <w:pPr>
              <w:jc w:val="center"/>
              <w:rPr>
                <w:rFonts w:ascii="Times New Roman" w:hAnsi="Times New Roman" w:cs="Times New Roman"/>
                <w:color w:val="000000" w:themeColor="text1"/>
                <w:sz w:val="20"/>
                <w:szCs w:val="20"/>
                <w:lang w:val="en-US"/>
              </w:rPr>
            </w:pPr>
          </w:p>
        </w:tc>
        <w:tc>
          <w:tcPr>
            <w:tcW w:w="1202" w:type="dxa"/>
            <w:vAlign w:val="center"/>
          </w:tcPr>
          <w:p w14:paraId="214CE046"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0.738***</w:t>
            </w:r>
          </w:p>
          <w:p w14:paraId="1D44A391"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[0.00]</w:t>
            </w:r>
          </w:p>
        </w:tc>
        <w:tc>
          <w:tcPr>
            <w:tcW w:w="1202" w:type="dxa"/>
            <w:vAlign w:val="center"/>
          </w:tcPr>
          <w:p w14:paraId="6D43A5C0" w14:textId="77777777" w:rsidR="00F70B9C" w:rsidRPr="002C5DE1" w:rsidRDefault="00F70B9C" w:rsidP="00035946">
            <w:pPr>
              <w:jc w:val="center"/>
              <w:rPr>
                <w:rFonts w:ascii="Times New Roman" w:hAnsi="Times New Roman" w:cs="Times New Roman"/>
                <w:color w:val="000000" w:themeColor="text1"/>
                <w:sz w:val="20"/>
                <w:szCs w:val="20"/>
                <w:lang w:val="en-US"/>
              </w:rPr>
            </w:pPr>
          </w:p>
        </w:tc>
        <w:tc>
          <w:tcPr>
            <w:tcW w:w="1202" w:type="dxa"/>
            <w:vAlign w:val="center"/>
          </w:tcPr>
          <w:p w14:paraId="573A99CE" w14:textId="77777777" w:rsidR="00F70B9C" w:rsidRPr="002C5DE1" w:rsidRDefault="000F28A9"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 xml:space="preserve">  </w:t>
            </w:r>
            <w:r w:rsidR="00F70B9C" w:rsidRPr="002C5DE1">
              <w:rPr>
                <w:rFonts w:ascii="Times New Roman" w:hAnsi="Times New Roman" w:cs="Times New Roman"/>
                <w:color w:val="000000" w:themeColor="text1"/>
                <w:sz w:val="20"/>
                <w:szCs w:val="20"/>
                <w:lang w:val="en-US"/>
              </w:rPr>
              <w:t>0.497***</w:t>
            </w:r>
          </w:p>
          <w:p w14:paraId="7E2B52C4"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[0.00]</w:t>
            </w:r>
          </w:p>
        </w:tc>
        <w:tc>
          <w:tcPr>
            <w:tcW w:w="1202" w:type="dxa"/>
            <w:vAlign w:val="center"/>
          </w:tcPr>
          <w:p w14:paraId="5F132EB9" w14:textId="77777777" w:rsidR="00F70B9C" w:rsidRPr="002C5DE1" w:rsidRDefault="00F70B9C" w:rsidP="00035946">
            <w:pPr>
              <w:jc w:val="center"/>
              <w:rPr>
                <w:rFonts w:ascii="Times New Roman" w:hAnsi="Times New Roman" w:cs="Times New Roman"/>
                <w:color w:val="000000" w:themeColor="text1"/>
                <w:sz w:val="20"/>
                <w:szCs w:val="20"/>
                <w:lang w:val="en-US"/>
              </w:rPr>
            </w:pPr>
          </w:p>
        </w:tc>
        <w:tc>
          <w:tcPr>
            <w:tcW w:w="1202" w:type="dxa"/>
            <w:vAlign w:val="center"/>
          </w:tcPr>
          <w:p w14:paraId="7DF4636B"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0.575***</w:t>
            </w:r>
          </w:p>
          <w:p w14:paraId="2396F583"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[0.00]</w:t>
            </w:r>
          </w:p>
        </w:tc>
        <w:tc>
          <w:tcPr>
            <w:tcW w:w="1202" w:type="dxa"/>
            <w:vAlign w:val="center"/>
          </w:tcPr>
          <w:p w14:paraId="71555CF5" w14:textId="77777777" w:rsidR="00F70B9C" w:rsidRPr="002C5DE1" w:rsidRDefault="00F70B9C" w:rsidP="00035946">
            <w:pPr>
              <w:jc w:val="center"/>
              <w:rPr>
                <w:rFonts w:ascii="Times New Roman" w:hAnsi="Times New Roman" w:cs="Times New Roman"/>
                <w:color w:val="000000" w:themeColor="text1"/>
                <w:sz w:val="20"/>
                <w:szCs w:val="20"/>
                <w:lang w:val="en-US"/>
              </w:rPr>
            </w:pPr>
          </w:p>
        </w:tc>
      </w:tr>
      <w:tr w:rsidR="00F70B9C" w:rsidRPr="002C5DE1" w14:paraId="0F77F4A5" w14:textId="77777777" w:rsidTr="00035946">
        <w:tc>
          <w:tcPr>
            <w:tcW w:w="1260" w:type="dxa"/>
          </w:tcPr>
          <w:p w14:paraId="7F5CBB4F" w14:textId="77777777" w:rsidR="00F70B9C" w:rsidRPr="002C5DE1" w:rsidRDefault="000F28A9" w:rsidP="00035946">
            <w:pPr>
              <w:jc w:val="both"/>
              <w:rPr>
                <w:rFonts w:ascii="Times New Roman" w:hAnsi="Times New Roman" w:cs="Times New Roman"/>
                <w:color w:val="000000" w:themeColor="text1"/>
                <w:sz w:val="20"/>
                <w:szCs w:val="20"/>
                <w:lang w:val="en-US"/>
              </w:rPr>
            </w:pPr>
            <w:proofErr w:type="spellStart"/>
            <w:r w:rsidRPr="002C5DE1">
              <w:rPr>
                <w:rFonts w:ascii="Times New Roman" w:hAnsi="Times New Roman" w:cs="Times New Roman"/>
                <w:color w:val="000000" w:themeColor="text1"/>
                <w:sz w:val="20"/>
                <w:szCs w:val="20"/>
                <w:lang w:val="en-US"/>
              </w:rPr>
              <w:t>Δln</w:t>
            </w:r>
            <w:r w:rsidR="00F70B9C" w:rsidRPr="002C5DE1">
              <w:rPr>
                <w:rFonts w:ascii="Times New Roman" w:hAnsi="Times New Roman" w:cs="Times New Roman"/>
                <w:color w:val="000000" w:themeColor="text1"/>
                <w:sz w:val="20"/>
                <w:szCs w:val="20"/>
                <w:lang w:val="en-US"/>
              </w:rPr>
              <w:t>Real</w:t>
            </w:r>
            <w:proofErr w:type="spellEnd"/>
            <w:r w:rsidR="00F70B9C" w:rsidRPr="002C5DE1">
              <w:rPr>
                <w:rFonts w:ascii="Times New Roman" w:hAnsi="Times New Roman" w:cs="Times New Roman"/>
                <w:color w:val="000000" w:themeColor="text1"/>
                <w:sz w:val="20"/>
                <w:szCs w:val="20"/>
                <w:lang w:val="en-US"/>
              </w:rPr>
              <w:t xml:space="preserve"> income per capita (θ</w:t>
            </w:r>
            <w:r w:rsidR="00F70B9C" w:rsidRPr="002C5DE1">
              <w:rPr>
                <w:rFonts w:ascii="Times New Roman" w:hAnsi="Times New Roman" w:cs="Times New Roman"/>
                <w:color w:val="000000" w:themeColor="text1"/>
                <w:sz w:val="20"/>
                <w:szCs w:val="20"/>
                <w:vertAlign w:val="subscript"/>
                <w:lang w:val="en-US"/>
              </w:rPr>
              <w:t>8</w:t>
            </w:r>
            <w:r w:rsidR="00F70B9C" w:rsidRPr="002C5DE1">
              <w:rPr>
                <w:rFonts w:ascii="Times New Roman" w:hAnsi="Times New Roman" w:cs="Times New Roman"/>
                <w:color w:val="000000" w:themeColor="text1"/>
                <w:sz w:val="20"/>
                <w:szCs w:val="20"/>
                <w:lang w:val="en-US"/>
              </w:rPr>
              <w:t>)</w:t>
            </w:r>
          </w:p>
        </w:tc>
        <w:tc>
          <w:tcPr>
            <w:tcW w:w="1202" w:type="dxa"/>
            <w:vAlign w:val="center"/>
          </w:tcPr>
          <w:p w14:paraId="238AC468" w14:textId="77777777" w:rsidR="00F70B9C" w:rsidRPr="002C5DE1" w:rsidRDefault="00F70B9C" w:rsidP="00035946">
            <w:pPr>
              <w:jc w:val="center"/>
              <w:rPr>
                <w:rFonts w:ascii="Times New Roman" w:hAnsi="Times New Roman" w:cs="Times New Roman"/>
                <w:color w:val="000000" w:themeColor="text1"/>
                <w:sz w:val="20"/>
                <w:szCs w:val="20"/>
                <w:lang w:val="en-US"/>
              </w:rPr>
            </w:pPr>
          </w:p>
        </w:tc>
        <w:tc>
          <w:tcPr>
            <w:tcW w:w="1202" w:type="dxa"/>
            <w:vAlign w:val="center"/>
          </w:tcPr>
          <w:p w14:paraId="1D9D8341" w14:textId="77777777" w:rsidR="00F70B9C" w:rsidRPr="002C5DE1" w:rsidRDefault="000F28A9"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 xml:space="preserve">  </w:t>
            </w:r>
            <w:r w:rsidR="00F70B9C" w:rsidRPr="002C5DE1">
              <w:rPr>
                <w:rFonts w:ascii="Times New Roman" w:hAnsi="Times New Roman" w:cs="Times New Roman"/>
                <w:color w:val="000000" w:themeColor="text1"/>
                <w:sz w:val="20"/>
                <w:szCs w:val="20"/>
                <w:lang w:val="en-US"/>
              </w:rPr>
              <w:t>0.675***</w:t>
            </w:r>
          </w:p>
          <w:p w14:paraId="3EC1144D"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[0.00]</w:t>
            </w:r>
          </w:p>
        </w:tc>
        <w:tc>
          <w:tcPr>
            <w:tcW w:w="1202" w:type="dxa"/>
            <w:vAlign w:val="center"/>
          </w:tcPr>
          <w:p w14:paraId="1034B6F3" w14:textId="77777777" w:rsidR="00F70B9C" w:rsidRPr="002C5DE1" w:rsidRDefault="00F70B9C" w:rsidP="00035946">
            <w:pPr>
              <w:jc w:val="center"/>
              <w:rPr>
                <w:rFonts w:ascii="Times New Roman" w:hAnsi="Times New Roman" w:cs="Times New Roman"/>
                <w:color w:val="000000" w:themeColor="text1"/>
                <w:sz w:val="20"/>
                <w:szCs w:val="20"/>
                <w:lang w:val="en-US"/>
              </w:rPr>
            </w:pPr>
          </w:p>
        </w:tc>
        <w:tc>
          <w:tcPr>
            <w:tcW w:w="1202" w:type="dxa"/>
            <w:vAlign w:val="center"/>
          </w:tcPr>
          <w:p w14:paraId="515B4E1C" w14:textId="77777777" w:rsidR="00F70B9C" w:rsidRPr="002C5DE1" w:rsidRDefault="000F28A9"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 xml:space="preserve">  </w:t>
            </w:r>
            <w:r w:rsidR="00F70B9C" w:rsidRPr="002C5DE1">
              <w:rPr>
                <w:rFonts w:ascii="Times New Roman" w:hAnsi="Times New Roman" w:cs="Times New Roman"/>
                <w:color w:val="000000" w:themeColor="text1"/>
                <w:sz w:val="20"/>
                <w:szCs w:val="20"/>
                <w:lang w:val="en-US"/>
              </w:rPr>
              <w:t>0.694***</w:t>
            </w:r>
          </w:p>
          <w:p w14:paraId="36D06D1A"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[0.00]</w:t>
            </w:r>
          </w:p>
        </w:tc>
        <w:tc>
          <w:tcPr>
            <w:tcW w:w="1202" w:type="dxa"/>
            <w:vAlign w:val="center"/>
          </w:tcPr>
          <w:p w14:paraId="74F64B9E" w14:textId="77777777" w:rsidR="00F70B9C" w:rsidRPr="002C5DE1" w:rsidRDefault="00F70B9C" w:rsidP="00035946">
            <w:pPr>
              <w:jc w:val="center"/>
              <w:rPr>
                <w:rFonts w:ascii="Times New Roman" w:hAnsi="Times New Roman" w:cs="Times New Roman"/>
                <w:color w:val="000000" w:themeColor="text1"/>
                <w:sz w:val="20"/>
                <w:szCs w:val="20"/>
                <w:lang w:val="en-US"/>
              </w:rPr>
            </w:pPr>
          </w:p>
        </w:tc>
        <w:tc>
          <w:tcPr>
            <w:tcW w:w="1202" w:type="dxa"/>
            <w:vAlign w:val="center"/>
          </w:tcPr>
          <w:p w14:paraId="27BFF00D" w14:textId="77777777" w:rsidR="00F70B9C" w:rsidRPr="002C5DE1" w:rsidRDefault="000F28A9"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 xml:space="preserve">  </w:t>
            </w:r>
            <w:r w:rsidR="00F70B9C" w:rsidRPr="002C5DE1">
              <w:rPr>
                <w:rFonts w:ascii="Times New Roman" w:hAnsi="Times New Roman" w:cs="Times New Roman"/>
                <w:color w:val="000000" w:themeColor="text1"/>
                <w:sz w:val="20"/>
                <w:szCs w:val="20"/>
                <w:lang w:val="en-US"/>
              </w:rPr>
              <w:t>0.463***</w:t>
            </w:r>
          </w:p>
          <w:p w14:paraId="0968DBBF"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[0.00]</w:t>
            </w:r>
          </w:p>
        </w:tc>
        <w:tc>
          <w:tcPr>
            <w:tcW w:w="1202" w:type="dxa"/>
            <w:vAlign w:val="center"/>
          </w:tcPr>
          <w:p w14:paraId="16C2EAA2" w14:textId="77777777" w:rsidR="00F70B9C" w:rsidRPr="002C5DE1" w:rsidRDefault="00F70B9C" w:rsidP="00035946">
            <w:pPr>
              <w:jc w:val="center"/>
              <w:rPr>
                <w:rFonts w:ascii="Times New Roman" w:hAnsi="Times New Roman" w:cs="Times New Roman"/>
                <w:color w:val="000000" w:themeColor="text1"/>
                <w:sz w:val="20"/>
                <w:szCs w:val="20"/>
                <w:lang w:val="en-US"/>
              </w:rPr>
            </w:pPr>
          </w:p>
        </w:tc>
        <w:tc>
          <w:tcPr>
            <w:tcW w:w="1202" w:type="dxa"/>
            <w:vAlign w:val="center"/>
          </w:tcPr>
          <w:p w14:paraId="4EAFFDD3"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0.539***</w:t>
            </w:r>
          </w:p>
          <w:p w14:paraId="50A9719A"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[0.00]</w:t>
            </w:r>
          </w:p>
        </w:tc>
      </w:tr>
      <w:tr w:rsidR="00F70B9C" w:rsidRPr="002C5DE1" w14:paraId="7A221909" w14:textId="77777777" w:rsidTr="00035946">
        <w:trPr>
          <w:trHeight w:val="470"/>
        </w:trPr>
        <w:tc>
          <w:tcPr>
            <w:tcW w:w="1260" w:type="dxa"/>
            <w:vAlign w:val="center"/>
          </w:tcPr>
          <w:p w14:paraId="07F10D4D" w14:textId="77777777" w:rsidR="00F70B9C" w:rsidRPr="002C5DE1" w:rsidRDefault="00F70B9C" w:rsidP="00035946">
            <w:pP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δ</w:t>
            </w:r>
            <w:r w:rsidRPr="002C5DE1">
              <w:rPr>
                <w:rFonts w:ascii="Times New Roman" w:hAnsi="Times New Roman" w:cs="Times New Roman"/>
                <w:color w:val="000000" w:themeColor="text1"/>
                <w:sz w:val="20"/>
                <w:szCs w:val="20"/>
                <w:vertAlign w:val="subscript"/>
                <w:lang w:val="en-US"/>
              </w:rPr>
              <w:t>1</w:t>
            </w:r>
          </w:p>
        </w:tc>
        <w:tc>
          <w:tcPr>
            <w:tcW w:w="1202" w:type="dxa"/>
            <w:vAlign w:val="center"/>
          </w:tcPr>
          <w:p w14:paraId="4597EEA8" w14:textId="77777777" w:rsidR="00F70B9C" w:rsidRPr="002C5DE1" w:rsidRDefault="000F28A9"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 xml:space="preserve">  </w:t>
            </w:r>
            <w:r w:rsidR="00F70B9C" w:rsidRPr="002C5DE1">
              <w:rPr>
                <w:rFonts w:ascii="Times New Roman" w:hAnsi="Times New Roman" w:cs="Times New Roman"/>
                <w:color w:val="000000" w:themeColor="text1"/>
                <w:sz w:val="20"/>
                <w:szCs w:val="20"/>
                <w:lang w:val="en-US"/>
              </w:rPr>
              <w:t>3.25***</w:t>
            </w:r>
          </w:p>
          <w:p w14:paraId="70AB78E5"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[0.00]</w:t>
            </w:r>
          </w:p>
        </w:tc>
        <w:tc>
          <w:tcPr>
            <w:tcW w:w="1202" w:type="dxa"/>
            <w:vAlign w:val="center"/>
          </w:tcPr>
          <w:p w14:paraId="7D49EF89" w14:textId="77777777" w:rsidR="00F70B9C" w:rsidRPr="002C5DE1" w:rsidRDefault="00F70B9C" w:rsidP="00035946">
            <w:pPr>
              <w:jc w:val="center"/>
              <w:rPr>
                <w:rFonts w:ascii="Times New Roman" w:hAnsi="Times New Roman" w:cs="Times New Roman"/>
                <w:color w:val="000000" w:themeColor="text1"/>
                <w:sz w:val="20"/>
                <w:szCs w:val="20"/>
                <w:lang w:val="en-US"/>
              </w:rPr>
            </w:pPr>
          </w:p>
        </w:tc>
        <w:tc>
          <w:tcPr>
            <w:tcW w:w="1202" w:type="dxa"/>
            <w:vAlign w:val="center"/>
          </w:tcPr>
          <w:p w14:paraId="18774ED6"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2.77**</w:t>
            </w:r>
          </w:p>
          <w:p w14:paraId="34182928"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[0.03]</w:t>
            </w:r>
          </w:p>
        </w:tc>
        <w:tc>
          <w:tcPr>
            <w:tcW w:w="1202" w:type="dxa"/>
            <w:vAlign w:val="center"/>
          </w:tcPr>
          <w:p w14:paraId="1DEFACF7" w14:textId="77777777" w:rsidR="00F70B9C" w:rsidRPr="002C5DE1" w:rsidRDefault="00F70B9C" w:rsidP="00035946">
            <w:pPr>
              <w:jc w:val="center"/>
              <w:rPr>
                <w:rFonts w:ascii="Times New Roman" w:hAnsi="Times New Roman" w:cs="Times New Roman"/>
                <w:color w:val="000000" w:themeColor="text1"/>
                <w:sz w:val="20"/>
                <w:szCs w:val="20"/>
                <w:lang w:val="en-US"/>
              </w:rPr>
            </w:pPr>
          </w:p>
        </w:tc>
        <w:tc>
          <w:tcPr>
            <w:tcW w:w="1202" w:type="dxa"/>
            <w:vAlign w:val="center"/>
          </w:tcPr>
          <w:p w14:paraId="0ECB3382"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1.68</w:t>
            </w:r>
          </w:p>
          <w:p w14:paraId="2483C969"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[0.17]</w:t>
            </w:r>
          </w:p>
        </w:tc>
        <w:tc>
          <w:tcPr>
            <w:tcW w:w="1202" w:type="dxa"/>
            <w:vAlign w:val="center"/>
          </w:tcPr>
          <w:p w14:paraId="6ED28A0C" w14:textId="77777777" w:rsidR="00F70B9C" w:rsidRPr="002C5DE1" w:rsidRDefault="00F70B9C" w:rsidP="00035946">
            <w:pPr>
              <w:jc w:val="center"/>
              <w:rPr>
                <w:rFonts w:ascii="Times New Roman" w:hAnsi="Times New Roman" w:cs="Times New Roman"/>
                <w:color w:val="000000" w:themeColor="text1"/>
                <w:sz w:val="20"/>
                <w:szCs w:val="20"/>
                <w:lang w:val="en-US"/>
              </w:rPr>
            </w:pPr>
          </w:p>
        </w:tc>
        <w:tc>
          <w:tcPr>
            <w:tcW w:w="1202" w:type="dxa"/>
            <w:vAlign w:val="center"/>
          </w:tcPr>
          <w:p w14:paraId="1E06E473"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2.13**</w:t>
            </w:r>
          </w:p>
          <w:p w14:paraId="0976CD72"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[0.03]</w:t>
            </w:r>
          </w:p>
        </w:tc>
        <w:tc>
          <w:tcPr>
            <w:tcW w:w="1202" w:type="dxa"/>
            <w:vAlign w:val="center"/>
          </w:tcPr>
          <w:p w14:paraId="2DB454B3" w14:textId="77777777" w:rsidR="00F70B9C" w:rsidRPr="002C5DE1" w:rsidRDefault="00F70B9C" w:rsidP="00035946">
            <w:pPr>
              <w:jc w:val="center"/>
              <w:rPr>
                <w:rFonts w:ascii="Times New Roman" w:hAnsi="Times New Roman" w:cs="Times New Roman"/>
                <w:color w:val="000000" w:themeColor="text1"/>
                <w:sz w:val="20"/>
                <w:szCs w:val="20"/>
                <w:lang w:val="en-US"/>
              </w:rPr>
            </w:pPr>
          </w:p>
        </w:tc>
      </w:tr>
      <w:tr w:rsidR="00F70B9C" w:rsidRPr="002C5DE1" w14:paraId="5EB38D28" w14:textId="77777777" w:rsidTr="00035946">
        <w:trPr>
          <w:trHeight w:val="470"/>
        </w:trPr>
        <w:tc>
          <w:tcPr>
            <w:tcW w:w="1260" w:type="dxa"/>
            <w:vAlign w:val="center"/>
          </w:tcPr>
          <w:p w14:paraId="09276F73" w14:textId="77777777" w:rsidR="00F70B9C" w:rsidRPr="002C5DE1" w:rsidRDefault="00F70B9C" w:rsidP="00035946">
            <w:pP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δ</w:t>
            </w:r>
            <w:r w:rsidRPr="002C5DE1">
              <w:rPr>
                <w:rFonts w:ascii="Times New Roman" w:hAnsi="Times New Roman" w:cs="Times New Roman"/>
                <w:color w:val="000000" w:themeColor="text1"/>
                <w:sz w:val="20"/>
                <w:szCs w:val="20"/>
                <w:vertAlign w:val="subscript"/>
                <w:lang w:val="en-US"/>
              </w:rPr>
              <w:t>2</w:t>
            </w:r>
          </w:p>
        </w:tc>
        <w:tc>
          <w:tcPr>
            <w:tcW w:w="1202" w:type="dxa"/>
            <w:vAlign w:val="center"/>
          </w:tcPr>
          <w:p w14:paraId="48EB47F3" w14:textId="77777777" w:rsidR="00F70B9C" w:rsidRPr="002C5DE1" w:rsidRDefault="00F70B9C" w:rsidP="00035946">
            <w:pPr>
              <w:jc w:val="center"/>
              <w:rPr>
                <w:rFonts w:ascii="Times New Roman" w:hAnsi="Times New Roman" w:cs="Times New Roman"/>
                <w:color w:val="000000" w:themeColor="text1"/>
                <w:sz w:val="20"/>
                <w:szCs w:val="20"/>
                <w:lang w:val="en-US"/>
              </w:rPr>
            </w:pPr>
          </w:p>
        </w:tc>
        <w:tc>
          <w:tcPr>
            <w:tcW w:w="1202" w:type="dxa"/>
            <w:vAlign w:val="center"/>
          </w:tcPr>
          <w:p w14:paraId="0533FF76" w14:textId="77777777" w:rsidR="00F70B9C" w:rsidRPr="002C5DE1" w:rsidRDefault="000F28A9"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 xml:space="preserve">    </w:t>
            </w:r>
            <w:r w:rsidR="00F70B9C" w:rsidRPr="002C5DE1">
              <w:rPr>
                <w:rFonts w:ascii="Times New Roman" w:hAnsi="Times New Roman" w:cs="Times New Roman"/>
                <w:color w:val="000000" w:themeColor="text1"/>
                <w:sz w:val="20"/>
                <w:szCs w:val="20"/>
                <w:lang w:val="en-US"/>
              </w:rPr>
              <w:t>2.94***</w:t>
            </w:r>
          </w:p>
          <w:p w14:paraId="36DBFE9A"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[0.01]</w:t>
            </w:r>
          </w:p>
        </w:tc>
        <w:tc>
          <w:tcPr>
            <w:tcW w:w="1202" w:type="dxa"/>
            <w:vAlign w:val="center"/>
          </w:tcPr>
          <w:p w14:paraId="30C31E48" w14:textId="77777777" w:rsidR="00F70B9C" w:rsidRPr="002C5DE1" w:rsidRDefault="00F70B9C" w:rsidP="00035946">
            <w:pPr>
              <w:jc w:val="center"/>
              <w:rPr>
                <w:rFonts w:ascii="Times New Roman" w:hAnsi="Times New Roman" w:cs="Times New Roman"/>
                <w:color w:val="000000" w:themeColor="text1"/>
                <w:sz w:val="20"/>
                <w:szCs w:val="20"/>
                <w:lang w:val="en-US"/>
              </w:rPr>
            </w:pPr>
          </w:p>
        </w:tc>
        <w:tc>
          <w:tcPr>
            <w:tcW w:w="1202" w:type="dxa"/>
            <w:vAlign w:val="center"/>
          </w:tcPr>
          <w:p w14:paraId="486D7CCF" w14:textId="77777777" w:rsidR="00F70B9C" w:rsidRPr="002C5DE1" w:rsidRDefault="000F28A9"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 xml:space="preserve">   </w:t>
            </w:r>
            <w:r w:rsidR="00F70B9C" w:rsidRPr="002C5DE1">
              <w:rPr>
                <w:rFonts w:ascii="Times New Roman" w:hAnsi="Times New Roman" w:cs="Times New Roman"/>
                <w:color w:val="000000" w:themeColor="text1"/>
                <w:sz w:val="20"/>
                <w:szCs w:val="20"/>
                <w:lang w:val="en-US"/>
              </w:rPr>
              <w:t>2.59**</w:t>
            </w:r>
          </w:p>
          <w:p w14:paraId="2B59E412"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[0.03]</w:t>
            </w:r>
          </w:p>
        </w:tc>
        <w:tc>
          <w:tcPr>
            <w:tcW w:w="1202" w:type="dxa"/>
            <w:vAlign w:val="center"/>
          </w:tcPr>
          <w:p w14:paraId="328F5C55" w14:textId="77777777" w:rsidR="00F70B9C" w:rsidRPr="002C5DE1" w:rsidRDefault="00F70B9C" w:rsidP="00035946">
            <w:pPr>
              <w:jc w:val="center"/>
              <w:rPr>
                <w:rFonts w:ascii="Times New Roman" w:hAnsi="Times New Roman" w:cs="Times New Roman"/>
                <w:color w:val="000000" w:themeColor="text1"/>
                <w:sz w:val="20"/>
                <w:szCs w:val="20"/>
                <w:lang w:val="en-US"/>
              </w:rPr>
            </w:pPr>
          </w:p>
        </w:tc>
        <w:tc>
          <w:tcPr>
            <w:tcW w:w="1202" w:type="dxa"/>
            <w:vAlign w:val="center"/>
          </w:tcPr>
          <w:p w14:paraId="40D601E5"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1.36</w:t>
            </w:r>
          </w:p>
          <w:p w14:paraId="6D137FF0"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[0.28]</w:t>
            </w:r>
          </w:p>
        </w:tc>
        <w:tc>
          <w:tcPr>
            <w:tcW w:w="1202" w:type="dxa"/>
            <w:vAlign w:val="center"/>
          </w:tcPr>
          <w:p w14:paraId="201FFA8C" w14:textId="77777777" w:rsidR="00F70B9C" w:rsidRPr="002C5DE1" w:rsidRDefault="00F70B9C" w:rsidP="00035946">
            <w:pPr>
              <w:jc w:val="center"/>
              <w:rPr>
                <w:rFonts w:ascii="Times New Roman" w:hAnsi="Times New Roman" w:cs="Times New Roman"/>
                <w:color w:val="000000" w:themeColor="text1"/>
                <w:sz w:val="20"/>
                <w:szCs w:val="20"/>
                <w:lang w:val="en-US"/>
              </w:rPr>
            </w:pPr>
          </w:p>
        </w:tc>
        <w:tc>
          <w:tcPr>
            <w:tcW w:w="1202" w:type="dxa"/>
            <w:vAlign w:val="center"/>
          </w:tcPr>
          <w:p w14:paraId="05DB971E"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2.38**</w:t>
            </w:r>
          </w:p>
          <w:p w14:paraId="54410D99"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[0.03]</w:t>
            </w:r>
          </w:p>
        </w:tc>
      </w:tr>
      <w:tr w:rsidR="00F70B9C" w:rsidRPr="002C5DE1" w14:paraId="1362962E" w14:textId="77777777" w:rsidTr="00035946">
        <w:tc>
          <w:tcPr>
            <w:tcW w:w="1260" w:type="dxa"/>
          </w:tcPr>
          <w:p w14:paraId="293B2AEC" w14:textId="77777777" w:rsidR="00F70B9C" w:rsidRPr="002C5DE1" w:rsidRDefault="00F70B9C" w:rsidP="00035946">
            <w:pPr>
              <w:jc w:val="both"/>
              <w:rPr>
                <w:rFonts w:ascii="Times New Roman" w:hAnsi="Times New Roman" w:cs="Times New Roman"/>
                <w:i/>
                <w:color w:val="000000" w:themeColor="text1"/>
                <w:sz w:val="20"/>
                <w:szCs w:val="20"/>
                <w:lang w:val="en-US"/>
              </w:rPr>
            </w:pPr>
            <w:r w:rsidRPr="002C5DE1">
              <w:rPr>
                <w:rFonts w:ascii="Times New Roman" w:hAnsi="Times New Roman" w:cs="Times New Roman"/>
                <w:i/>
                <w:color w:val="000000" w:themeColor="text1"/>
                <w:sz w:val="20"/>
                <w:szCs w:val="20"/>
                <w:lang w:val="en-US"/>
              </w:rPr>
              <w:t>N</w:t>
            </w:r>
          </w:p>
        </w:tc>
        <w:tc>
          <w:tcPr>
            <w:tcW w:w="1202" w:type="dxa"/>
            <w:vAlign w:val="center"/>
          </w:tcPr>
          <w:p w14:paraId="5DEA6F15"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384</w:t>
            </w:r>
          </w:p>
        </w:tc>
        <w:tc>
          <w:tcPr>
            <w:tcW w:w="1202" w:type="dxa"/>
            <w:vAlign w:val="center"/>
          </w:tcPr>
          <w:p w14:paraId="05B4602F"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384</w:t>
            </w:r>
          </w:p>
        </w:tc>
        <w:tc>
          <w:tcPr>
            <w:tcW w:w="1202" w:type="dxa"/>
            <w:vAlign w:val="center"/>
          </w:tcPr>
          <w:p w14:paraId="73DA9F99"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432</w:t>
            </w:r>
          </w:p>
        </w:tc>
        <w:tc>
          <w:tcPr>
            <w:tcW w:w="1202" w:type="dxa"/>
            <w:vAlign w:val="center"/>
          </w:tcPr>
          <w:p w14:paraId="25299716"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432</w:t>
            </w:r>
          </w:p>
        </w:tc>
        <w:tc>
          <w:tcPr>
            <w:tcW w:w="1202" w:type="dxa"/>
            <w:vAlign w:val="center"/>
          </w:tcPr>
          <w:p w14:paraId="4795ED0D"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336</w:t>
            </w:r>
          </w:p>
        </w:tc>
        <w:tc>
          <w:tcPr>
            <w:tcW w:w="1202" w:type="dxa"/>
            <w:vAlign w:val="center"/>
          </w:tcPr>
          <w:p w14:paraId="5DB3DF31"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336</w:t>
            </w:r>
          </w:p>
        </w:tc>
        <w:tc>
          <w:tcPr>
            <w:tcW w:w="1202" w:type="dxa"/>
            <w:vAlign w:val="center"/>
          </w:tcPr>
          <w:p w14:paraId="588641FA"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576</w:t>
            </w:r>
          </w:p>
        </w:tc>
        <w:tc>
          <w:tcPr>
            <w:tcW w:w="1202" w:type="dxa"/>
            <w:vAlign w:val="center"/>
          </w:tcPr>
          <w:p w14:paraId="319DF23B"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576</w:t>
            </w:r>
          </w:p>
        </w:tc>
      </w:tr>
      <w:tr w:rsidR="00F70B9C" w:rsidRPr="002C5DE1" w14:paraId="25334AA7" w14:textId="77777777" w:rsidTr="00035946">
        <w:tc>
          <w:tcPr>
            <w:tcW w:w="1260" w:type="dxa"/>
          </w:tcPr>
          <w:p w14:paraId="482826E5" w14:textId="77777777" w:rsidR="00F70B9C" w:rsidRPr="002C5DE1" w:rsidRDefault="00F70B9C" w:rsidP="00035946">
            <w:pPr>
              <w:jc w:val="both"/>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Hansen J-test</w:t>
            </w:r>
          </w:p>
        </w:tc>
        <w:tc>
          <w:tcPr>
            <w:tcW w:w="1202" w:type="dxa"/>
            <w:vAlign w:val="center"/>
          </w:tcPr>
          <w:p w14:paraId="47690445"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[0.56]</w:t>
            </w:r>
          </w:p>
        </w:tc>
        <w:tc>
          <w:tcPr>
            <w:tcW w:w="1202" w:type="dxa"/>
            <w:vAlign w:val="center"/>
          </w:tcPr>
          <w:p w14:paraId="22D5A62E"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[0.48]</w:t>
            </w:r>
          </w:p>
        </w:tc>
        <w:tc>
          <w:tcPr>
            <w:tcW w:w="1202" w:type="dxa"/>
            <w:vAlign w:val="center"/>
          </w:tcPr>
          <w:p w14:paraId="795507C0"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[0.46]</w:t>
            </w:r>
          </w:p>
        </w:tc>
        <w:tc>
          <w:tcPr>
            <w:tcW w:w="1202" w:type="dxa"/>
            <w:vAlign w:val="center"/>
          </w:tcPr>
          <w:p w14:paraId="4E17572C"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[0.49]</w:t>
            </w:r>
          </w:p>
        </w:tc>
        <w:tc>
          <w:tcPr>
            <w:tcW w:w="1202" w:type="dxa"/>
            <w:vAlign w:val="center"/>
          </w:tcPr>
          <w:p w14:paraId="707807BA"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[0.43]</w:t>
            </w:r>
          </w:p>
        </w:tc>
        <w:tc>
          <w:tcPr>
            <w:tcW w:w="1202" w:type="dxa"/>
            <w:vAlign w:val="center"/>
          </w:tcPr>
          <w:p w14:paraId="47CD551E"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[0.38]</w:t>
            </w:r>
          </w:p>
        </w:tc>
        <w:tc>
          <w:tcPr>
            <w:tcW w:w="1202" w:type="dxa"/>
            <w:vAlign w:val="center"/>
          </w:tcPr>
          <w:p w14:paraId="2B474521"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[0.52]</w:t>
            </w:r>
          </w:p>
        </w:tc>
        <w:tc>
          <w:tcPr>
            <w:tcW w:w="1202" w:type="dxa"/>
            <w:vAlign w:val="center"/>
          </w:tcPr>
          <w:p w14:paraId="6833C5AC" w14:textId="77777777" w:rsidR="00F70B9C" w:rsidRPr="002C5DE1" w:rsidRDefault="00F70B9C" w:rsidP="00035946">
            <w:pPr>
              <w:jc w:val="center"/>
              <w:rPr>
                <w:rFonts w:ascii="Times New Roman" w:hAnsi="Times New Roman" w:cs="Times New Roman"/>
                <w:color w:val="000000" w:themeColor="text1"/>
                <w:sz w:val="20"/>
                <w:szCs w:val="20"/>
                <w:lang w:val="en-US"/>
              </w:rPr>
            </w:pPr>
            <w:r w:rsidRPr="002C5DE1">
              <w:rPr>
                <w:rFonts w:ascii="Times New Roman" w:hAnsi="Times New Roman" w:cs="Times New Roman"/>
                <w:color w:val="000000" w:themeColor="text1"/>
                <w:sz w:val="20"/>
                <w:szCs w:val="20"/>
                <w:lang w:val="en-US"/>
              </w:rPr>
              <w:t>[0.47]</w:t>
            </w:r>
          </w:p>
        </w:tc>
      </w:tr>
    </w:tbl>
    <w:p w14:paraId="3BC3A31D" w14:textId="77777777" w:rsidR="00F70B9C" w:rsidRPr="002C5DE1" w:rsidRDefault="00F70B9C" w:rsidP="00F70B9C">
      <w:pPr>
        <w:spacing w:before="120" w:after="0" w:line="240" w:lineRule="auto"/>
        <w:jc w:val="both"/>
        <w:rPr>
          <w:rFonts w:ascii="Times New Roman" w:hAnsi="Times New Roman" w:cs="Times New Roman"/>
          <w:color w:val="000000" w:themeColor="text1"/>
          <w:sz w:val="20"/>
          <w:szCs w:val="20"/>
          <w:lang w:val="en-US"/>
        </w:rPr>
      </w:pPr>
      <w:r w:rsidRPr="002C5DE1">
        <w:rPr>
          <w:rFonts w:ascii="Times New Roman" w:hAnsi="Times New Roman" w:cs="Times New Roman"/>
          <w:b/>
          <w:i/>
          <w:color w:val="000000" w:themeColor="text1"/>
          <w:sz w:val="20"/>
          <w:szCs w:val="20"/>
          <w:lang w:val="en-US"/>
        </w:rPr>
        <w:t>Notes:</w:t>
      </w:r>
      <w:r w:rsidRPr="002C5DE1">
        <w:rPr>
          <w:rFonts w:ascii="Times New Roman" w:hAnsi="Times New Roman" w:cs="Times New Roman"/>
          <w:color w:val="000000" w:themeColor="text1"/>
          <w:sz w:val="20"/>
          <w:szCs w:val="20"/>
          <w:lang w:val="en-US"/>
        </w:rPr>
        <w:t xml:space="preserve"> The dependent variable is household consumption. The regime dependent variable is housing prices and the threshold variable is either the financial development index (Equation 2) or the housing prices to income ratio (Equation 3). Each regime contains at least 5% of all observations. </w:t>
      </w:r>
      <w:r w:rsidRPr="002C5DE1">
        <w:rPr>
          <w:rFonts w:ascii="Times New Roman" w:hAnsi="Times New Roman" w:cs="Times New Roman"/>
          <w:i/>
          <w:color w:val="000000" w:themeColor="text1"/>
          <w:sz w:val="20"/>
          <w:szCs w:val="20"/>
          <w:lang w:val="en-US"/>
        </w:rPr>
        <w:t>n</w:t>
      </w:r>
      <w:r w:rsidRPr="002C5DE1">
        <w:rPr>
          <w:rFonts w:ascii="Times New Roman" w:hAnsi="Times New Roman" w:cs="Times New Roman"/>
          <w:color w:val="000000" w:themeColor="text1"/>
          <w:sz w:val="20"/>
          <w:szCs w:val="20"/>
          <w:lang w:val="en-US"/>
        </w:rPr>
        <w:t xml:space="preserve"> indicates the number of observations in each regime, while N denotes the total number of observations. The Hansen test is distributed as χ</w:t>
      </w:r>
      <w:r w:rsidRPr="002C5DE1">
        <w:rPr>
          <w:rFonts w:ascii="Times New Roman" w:hAnsi="Times New Roman" w:cs="Times New Roman"/>
          <w:color w:val="000000" w:themeColor="text1"/>
          <w:sz w:val="20"/>
          <w:szCs w:val="20"/>
          <w:vertAlign w:val="superscript"/>
          <w:lang w:val="en-US"/>
        </w:rPr>
        <w:t>2</w:t>
      </w:r>
      <w:r w:rsidRPr="002C5DE1">
        <w:rPr>
          <w:rFonts w:ascii="Times New Roman" w:hAnsi="Times New Roman" w:cs="Times New Roman"/>
          <w:color w:val="000000" w:themeColor="text1"/>
          <w:sz w:val="20"/>
          <w:szCs w:val="20"/>
          <w:lang w:val="en-US"/>
        </w:rPr>
        <w:t xml:space="preserve"> under the null hypothesis that the over identifying restrictions are valid. Figures in brackets denote p-values. </w:t>
      </w:r>
      <w:r w:rsidRPr="002C5DE1">
        <w:rPr>
          <w:rFonts w:ascii="Cambria Math" w:hAnsi="Cambria Math" w:cs="Cambria Math"/>
          <w:color w:val="000000" w:themeColor="text1"/>
          <w:sz w:val="20"/>
          <w:szCs w:val="20"/>
          <w:lang w:val="en-US"/>
        </w:rPr>
        <w:t xml:space="preserve">∗: </w:t>
      </w:r>
      <w:r w:rsidRPr="002C5DE1">
        <w:rPr>
          <w:rFonts w:ascii="Times New Roman" w:hAnsi="Times New Roman" w:cs="Times New Roman"/>
          <w:color w:val="000000" w:themeColor="text1"/>
          <w:sz w:val="20"/>
          <w:szCs w:val="20"/>
          <w:lang w:val="en-US"/>
        </w:rPr>
        <w:t xml:space="preserve">p&lt;0.10, </w:t>
      </w:r>
      <w:r w:rsidRPr="002C5DE1">
        <w:rPr>
          <w:rFonts w:ascii="Cambria Math" w:hAnsi="Cambria Math" w:cs="Cambria Math"/>
          <w:color w:val="000000" w:themeColor="text1"/>
          <w:sz w:val="20"/>
          <w:szCs w:val="20"/>
          <w:lang w:val="en-US"/>
        </w:rPr>
        <w:t xml:space="preserve">∗∗: </w:t>
      </w:r>
      <w:r w:rsidRPr="002C5DE1">
        <w:rPr>
          <w:rFonts w:ascii="Times New Roman" w:hAnsi="Times New Roman" w:cs="Times New Roman"/>
          <w:color w:val="000000" w:themeColor="text1"/>
          <w:sz w:val="20"/>
          <w:szCs w:val="20"/>
          <w:lang w:val="en-US"/>
        </w:rPr>
        <w:t>p&lt;0.05, ***: p&lt;0.01.</w:t>
      </w:r>
    </w:p>
    <w:p w14:paraId="5B555D16" w14:textId="77777777" w:rsidR="00F70B9C" w:rsidRPr="002C5DE1" w:rsidRDefault="00F70B9C" w:rsidP="00F70B9C">
      <w:pPr>
        <w:spacing w:before="120" w:after="0" w:line="240" w:lineRule="auto"/>
        <w:jc w:val="both"/>
        <w:rPr>
          <w:rFonts w:ascii="Times New Roman" w:hAnsi="Times New Roman" w:cs="Times New Roman"/>
          <w:color w:val="000000" w:themeColor="text1"/>
          <w:sz w:val="20"/>
          <w:szCs w:val="20"/>
          <w:lang w:val="en-US"/>
        </w:rPr>
      </w:pPr>
    </w:p>
    <w:p w14:paraId="74E0EEC1" w14:textId="77777777" w:rsidR="00F70B9C" w:rsidRPr="002C5DE1" w:rsidRDefault="00F70B9C" w:rsidP="00F70B9C">
      <w:pPr>
        <w:spacing w:after="120" w:line="240" w:lineRule="auto"/>
        <w:rPr>
          <w:rFonts w:ascii="Times New Roman" w:hAnsi="Times New Roman" w:cs="Times New Roman"/>
          <w:b/>
          <w:color w:val="000000" w:themeColor="text1"/>
          <w:sz w:val="24"/>
          <w:szCs w:val="24"/>
          <w:lang w:val="en-US"/>
        </w:rPr>
      </w:pPr>
      <w:r w:rsidRPr="002C5DE1">
        <w:rPr>
          <w:rFonts w:ascii="Times New Roman" w:hAnsi="Times New Roman" w:cs="Times New Roman"/>
          <w:b/>
          <w:color w:val="000000" w:themeColor="text1"/>
          <w:sz w:val="24"/>
          <w:szCs w:val="24"/>
          <w:lang w:val="en-US"/>
        </w:rPr>
        <w:lastRenderedPageBreak/>
        <w:t>Table 8: The Effect of Housing Prices on Consumption: Entire Period and Sub-Periods</w:t>
      </w:r>
    </w:p>
    <w:tbl>
      <w:tblPr>
        <w:tblStyle w:val="TableGrid"/>
        <w:tblW w:w="9866" w:type="dxa"/>
        <w:tblInd w:w="-289" w:type="dxa"/>
        <w:tblLook w:val="04A0" w:firstRow="1" w:lastRow="0" w:firstColumn="1" w:lastColumn="0" w:noHBand="0" w:noVBand="1"/>
      </w:tblPr>
      <w:tblGrid>
        <w:gridCol w:w="1049"/>
        <w:gridCol w:w="891"/>
        <w:gridCol w:w="891"/>
        <w:gridCol w:w="891"/>
        <w:gridCol w:w="891"/>
        <w:gridCol w:w="891"/>
        <w:gridCol w:w="891"/>
        <w:gridCol w:w="891"/>
        <w:gridCol w:w="891"/>
        <w:gridCol w:w="891"/>
        <w:gridCol w:w="891"/>
      </w:tblGrid>
      <w:tr w:rsidR="00F70B9C" w:rsidRPr="002C5DE1" w14:paraId="543EF817" w14:textId="77777777" w:rsidTr="00035946">
        <w:tc>
          <w:tcPr>
            <w:tcW w:w="956" w:type="dxa"/>
            <w:vAlign w:val="center"/>
          </w:tcPr>
          <w:p w14:paraId="7434532D" w14:textId="77777777" w:rsidR="00F70B9C" w:rsidRPr="002C5DE1" w:rsidRDefault="00F70B9C" w:rsidP="00035946">
            <w:pPr>
              <w:rPr>
                <w:rFonts w:ascii="Times New Roman" w:hAnsi="Times New Roman" w:cs="Times New Roman"/>
                <w:b/>
                <w:color w:val="000000" w:themeColor="text1"/>
                <w:sz w:val="18"/>
                <w:szCs w:val="18"/>
                <w:lang w:val="en-US"/>
              </w:rPr>
            </w:pPr>
            <w:r w:rsidRPr="002C5DE1">
              <w:rPr>
                <w:rFonts w:ascii="Times New Roman" w:hAnsi="Times New Roman" w:cs="Times New Roman"/>
                <w:b/>
                <w:color w:val="000000" w:themeColor="text1"/>
                <w:sz w:val="18"/>
                <w:szCs w:val="18"/>
                <w:lang w:val="en-US"/>
              </w:rPr>
              <w:t>Variables</w:t>
            </w:r>
          </w:p>
        </w:tc>
        <w:tc>
          <w:tcPr>
            <w:tcW w:w="1782" w:type="dxa"/>
            <w:gridSpan w:val="2"/>
            <w:vAlign w:val="center"/>
          </w:tcPr>
          <w:p w14:paraId="1667E94D" w14:textId="77777777" w:rsidR="00F70B9C" w:rsidRPr="002C5DE1" w:rsidRDefault="00F70B9C" w:rsidP="00035946">
            <w:pPr>
              <w:jc w:val="center"/>
              <w:rPr>
                <w:rFonts w:ascii="Times New Roman" w:hAnsi="Times New Roman" w:cs="Times New Roman"/>
                <w:b/>
                <w:color w:val="000000" w:themeColor="text1"/>
                <w:sz w:val="18"/>
                <w:szCs w:val="18"/>
                <w:lang w:val="en-US"/>
              </w:rPr>
            </w:pPr>
            <w:r w:rsidRPr="002C5DE1">
              <w:rPr>
                <w:rFonts w:ascii="Times New Roman" w:hAnsi="Times New Roman" w:cs="Times New Roman"/>
                <w:b/>
                <w:color w:val="000000" w:themeColor="text1"/>
                <w:sz w:val="18"/>
                <w:szCs w:val="18"/>
                <w:lang w:val="en-US"/>
              </w:rPr>
              <w:t>Entire Period</w:t>
            </w:r>
          </w:p>
          <w:p w14:paraId="2B6DDD81" w14:textId="77777777" w:rsidR="00F70B9C" w:rsidRPr="002C5DE1" w:rsidRDefault="00F70B9C" w:rsidP="00035946">
            <w:pPr>
              <w:jc w:val="center"/>
              <w:rPr>
                <w:rFonts w:ascii="Times New Roman" w:hAnsi="Times New Roman" w:cs="Times New Roman"/>
                <w:b/>
                <w:color w:val="000000" w:themeColor="text1"/>
                <w:sz w:val="18"/>
                <w:szCs w:val="18"/>
                <w:lang w:val="en-US"/>
              </w:rPr>
            </w:pPr>
            <w:r w:rsidRPr="002C5DE1">
              <w:rPr>
                <w:rFonts w:ascii="Times New Roman" w:hAnsi="Times New Roman" w:cs="Times New Roman"/>
                <w:b/>
                <w:color w:val="000000" w:themeColor="text1"/>
                <w:sz w:val="18"/>
                <w:szCs w:val="18"/>
                <w:lang w:val="en-US"/>
              </w:rPr>
              <w:t>(2000-2016)</w:t>
            </w:r>
          </w:p>
        </w:tc>
        <w:tc>
          <w:tcPr>
            <w:tcW w:w="1782" w:type="dxa"/>
            <w:gridSpan w:val="2"/>
            <w:vAlign w:val="center"/>
          </w:tcPr>
          <w:p w14:paraId="30D76FFC" w14:textId="77777777" w:rsidR="00F70B9C" w:rsidRPr="002C5DE1" w:rsidRDefault="00F70B9C" w:rsidP="00035946">
            <w:pPr>
              <w:jc w:val="center"/>
              <w:rPr>
                <w:rFonts w:ascii="Times New Roman" w:hAnsi="Times New Roman" w:cs="Times New Roman"/>
                <w:b/>
                <w:color w:val="000000" w:themeColor="text1"/>
                <w:sz w:val="18"/>
                <w:szCs w:val="18"/>
                <w:lang w:val="en-US"/>
              </w:rPr>
            </w:pPr>
            <w:r w:rsidRPr="002C5DE1">
              <w:rPr>
                <w:rFonts w:ascii="Times New Roman" w:hAnsi="Times New Roman" w:cs="Times New Roman"/>
                <w:b/>
                <w:color w:val="000000" w:themeColor="text1"/>
                <w:sz w:val="18"/>
                <w:szCs w:val="18"/>
                <w:lang w:val="en-US"/>
              </w:rPr>
              <w:t>Dot.com Bubble</w:t>
            </w:r>
          </w:p>
          <w:p w14:paraId="53EFF362" w14:textId="77777777" w:rsidR="00F70B9C" w:rsidRPr="002C5DE1" w:rsidRDefault="00F70B9C" w:rsidP="00035946">
            <w:pPr>
              <w:jc w:val="center"/>
              <w:rPr>
                <w:rFonts w:ascii="Times New Roman" w:hAnsi="Times New Roman" w:cs="Times New Roman"/>
                <w:b/>
                <w:color w:val="000000" w:themeColor="text1"/>
                <w:sz w:val="18"/>
                <w:szCs w:val="18"/>
                <w:lang w:val="en-US"/>
              </w:rPr>
            </w:pPr>
            <w:r w:rsidRPr="002C5DE1">
              <w:rPr>
                <w:rFonts w:ascii="Times New Roman" w:hAnsi="Times New Roman" w:cs="Times New Roman"/>
                <w:b/>
                <w:color w:val="000000" w:themeColor="text1"/>
                <w:sz w:val="18"/>
                <w:szCs w:val="18"/>
                <w:lang w:val="en-US"/>
              </w:rPr>
              <w:t>(2000-2003)</w:t>
            </w:r>
          </w:p>
        </w:tc>
        <w:tc>
          <w:tcPr>
            <w:tcW w:w="1782" w:type="dxa"/>
            <w:gridSpan w:val="2"/>
            <w:vAlign w:val="center"/>
          </w:tcPr>
          <w:p w14:paraId="3758D277" w14:textId="77777777" w:rsidR="00F70B9C" w:rsidRPr="002C5DE1" w:rsidRDefault="00F70B9C" w:rsidP="00035946">
            <w:pPr>
              <w:jc w:val="center"/>
              <w:rPr>
                <w:rFonts w:ascii="Times New Roman" w:hAnsi="Times New Roman" w:cs="Times New Roman"/>
                <w:b/>
                <w:color w:val="000000" w:themeColor="text1"/>
                <w:sz w:val="18"/>
                <w:szCs w:val="18"/>
                <w:lang w:val="en-US"/>
              </w:rPr>
            </w:pPr>
            <w:r w:rsidRPr="002C5DE1">
              <w:rPr>
                <w:rFonts w:ascii="Times New Roman" w:hAnsi="Times New Roman" w:cs="Times New Roman"/>
                <w:b/>
                <w:color w:val="000000" w:themeColor="text1"/>
                <w:sz w:val="18"/>
                <w:szCs w:val="18"/>
                <w:lang w:val="en-US"/>
              </w:rPr>
              <w:t>Housing Bubble</w:t>
            </w:r>
          </w:p>
          <w:p w14:paraId="658EED3B" w14:textId="77777777" w:rsidR="00F70B9C" w:rsidRPr="002C5DE1" w:rsidRDefault="00F70B9C" w:rsidP="00035946">
            <w:pPr>
              <w:jc w:val="center"/>
              <w:rPr>
                <w:rFonts w:ascii="Times New Roman" w:hAnsi="Times New Roman" w:cs="Times New Roman"/>
                <w:b/>
                <w:color w:val="000000" w:themeColor="text1"/>
                <w:sz w:val="18"/>
                <w:szCs w:val="18"/>
                <w:lang w:val="en-US"/>
              </w:rPr>
            </w:pPr>
            <w:r w:rsidRPr="002C5DE1">
              <w:rPr>
                <w:rFonts w:ascii="Times New Roman" w:hAnsi="Times New Roman" w:cs="Times New Roman"/>
                <w:b/>
                <w:color w:val="000000" w:themeColor="text1"/>
                <w:sz w:val="18"/>
                <w:szCs w:val="18"/>
                <w:lang w:val="en-US"/>
              </w:rPr>
              <w:t>(2003-2007Q2)</w:t>
            </w:r>
          </w:p>
        </w:tc>
        <w:tc>
          <w:tcPr>
            <w:tcW w:w="1782" w:type="dxa"/>
            <w:gridSpan w:val="2"/>
            <w:vAlign w:val="center"/>
          </w:tcPr>
          <w:p w14:paraId="372FCDA5" w14:textId="77777777" w:rsidR="00F70B9C" w:rsidRPr="002C5DE1" w:rsidRDefault="00F70B9C" w:rsidP="00035946">
            <w:pPr>
              <w:jc w:val="center"/>
              <w:rPr>
                <w:rFonts w:ascii="Times New Roman" w:hAnsi="Times New Roman" w:cs="Times New Roman"/>
                <w:b/>
                <w:color w:val="000000" w:themeColor="text1"/>
                <w:sz w:val="18"/>
                <w:szCs w:val="18"/>
                <w:lang w:val="en-US"/>
              </w:rPr>
            </w:pPr>
            <w:r w:rsidRPr="002C5DE1">
              <w:rPr>
                <w:rFonts w:ascii="Times New Roman" w:hAnsi="Times New Roman" w:cs="Times New Roman"/>
                <w:b/>
                <w:color w:val="000000" w:themeColor="text1"/>
                <w:sz w:val="18"/>
                <w:szCs w:val="18"/>
                <w:lang w:val="en-US"/>
              </w:rPr>
              <w:t>Global Financial Crisis (2007Q3-2010)</w:t>
            </w:r>
          </w:p>
        </w:tc>
        <w:tc>
          <w:tcPr>
            <w:tcW w:w="1782" w:type="dxa"/>
            <w:gridSpan w:val="2"/>
            <w:vAlign w:val="center"/>
          </w:tcPr>
          <w:p w14:paraId="3FF10B48" w14:textId="77777777" w:rsidR="00F70B9C" w:rsidRPr="002C5DE1" w:rsidRDefault="00F70B9C" w:rsidP="00035946">
            <w:pPr>
              <w:jc w:val="center"/>
              <w:rPr>
                <w:rFonts w:ascii="Times New Roman" w:hAnsi="Times New Roman" w:cs="Times New Roman"/>
                <w:b/>
                <w:color w:val="000000" w:themeColor="text1"/>
                <w:sz w:val="18"/>
                <w:szCs w:val="18"/>
                <w:lang w:val="en-US"/>
              </w:rPr>
            </w:pPr>
            <w:r w:rsidRPr="002C5DE1">
              <w:rPr>
                <w:rFonts w:ascii="Times New Roman" w:hAnsi="Times New Roman" w:cs="Times New Roman"/>
                <w:b/>
                <w:color w:val="000000" w:themeColor="text1"/>
                <w:sz w:val="18"/>
                <w:szCs w:val="18"/>
                <w:lang w:val="en-US"/>
              </w:rPr>
              <w:t>Post-GFC period</w:t>
            </w:r>
          </w:p>
          <w:p w14:paraId="1D4AA8EB" w14:textId="77777777" w:rsidR="00F70B9C" w:rsidRPr="002C5DE1" w:rsidRDefault="00F70B9C" w:rsidP="00035946">
            <w:pPr>
              <w:jc w:val="center"/>
              <w:rPr>
                <w:rFonts w:ascii="Times New Roman" w:hAnsi="Times New Roman" w:cs="Times New Roman"/>
                <w:b/>
                <w:color w:val="000000" w:themeColor="text1"/>
                <w:sz w:val="18"/>
                <w:szCs w:val="18"/>
                <w:lang w:val="en-US"/>
              </w:rPr>
            </w:pPr>
            <w:r w:rsidRPr="002C5DE1">
              <w:rPr>
                <w:rFonts w:ascii="Times New Roman" w:hAnsi="Times New Roman" w:cs="Times New Roman"/>
                <w:b/>
                <w:color w:val="000000" w:themeColor="text1"/>
                <w:sz w:val="18"/>
                <w:szCs w:val="18"/>
                <w:lang w:val="en-US"/>
              </w:rPr>
              <w:t>(2011-2016)</w:t>
            </w:r>
          </w:p>
        </w:tc>
      </w:tr>
      <w:tr w:rsidR="00F70B9C" w:rsidRPr="002C5DE1" w14:paraId="33A8C71E" w14:textId="77777777" w:rsidTr="00035946">
        <w:tc>
          <w:tcPr>
            <w:tcW w:w="956" w:type="dxa"/>
          </w:tcPr>
          <w:p w14:paraId="0EC07774" w14:textId="77777777" w:rsidR="00F70B9C" w:rsidRPr="002C5DE1" w:rsidRDefault="00F70B9C" w:rsidP="00035946">
            <w:pPr>
              <w:rPr>
                <w:rFonts w:ascii="Times New Roman" w:hAnsi="Times New Roman" w:cs="Times New Roman"/>
                <w:color w:val="000000" w:themeColor="text1"/>
                <w:sz w:val="18"/>
                <w:szCs w:val="18"/>
                <w:lang w:val="en-US"/>
              </w:rPr>
            </w:pPr>
          </w:p>
        </w:tc>
        <w:tc>
          <w:tcPr>
            <w:tcW w:w="891" w:type="dxa"/>
          </w:tcPr>
          <w:p w14:paraId="08B3629A" w14:textId="77777777" w:rsidR="00F70B9C" w:rsidRPr="002C5DE1" w:rsidRDefault="00F70B9C" w:rsidP="00035946">
            <w:pPr>
              <w:jc w:val="center"/>
              <w:rPr>
                <w:rFonts w:ascii="Times New Roman" w:hAnsi="Times New Roman" w:cs="Times New Roman"/>
                <w:color w:val="000000" w:themeColor="text1"/>
                <w:sz w:val="18"/>
                <w:szCs w:val="18"/>
                <w:lang w:val="en-US"/>
              </w:rPr>
            </w:pPr>
            <w:r w:rsidRPr="002C5DE1">
              <w:rPr>
                <w:rFonts w:ascii="Times New Roman" w:hAnsi="Times New Roman" w:cs="Times New Roman"/>
                <w:color w:val="000000" w:themeColor="text1"/>
                <w:sz w:val="18"/>
                <w:szCs w:val="18"/>
                <w:lang w:val="en-US"/>
              </w:rPr>
              <w:t>FD</w:t>
            </w:r>
          </w:p>
        </w:tc>
        <w:tc>
          <w:tcPr>
            <w:tcW w:w="891" w:type="dxa"/>
          </w:tcPr>
          <w:p w14:paraId="64DA7008" w14:textId="77777777" w:rsidR="00F70B9C" w:rsidRPr="002C5DE1" w:rsidRDefault="00F70B9C" w:rsidP="00035946">
            <w:pPr>
              <w:jc w:val="center"/>
              <w:rPr>
                <w:rFonts w:ascii="Times New Roman" w:hAnsi="Times New Roman" w:cs="Times New Roman"/>
                <w:color w:val="000000" w:themeColor="text1"/>
                <w:sz w:val="18"/>
                <w:szCs w:val="18"/>
                <w:lang w:val="en-US"/>
              </w:rPr>
            </w:pPr>
            <w:r w:rsidRPr="002C5DE1">
              <w:rPr>
                <w:rFonts w:ascii="Times New Roman" w:hAnsi="Times New Roman" w:cs="Times New Roman"/>
                <w:color w:val="000000" w:themeColor="text1"/>
                <w:sz w:val="18"/>
                <w:szCs w:val="18"/>
                <w:lang w:val="en-US"/>
              </w:rPr>
              <w:t>HPI</w:t>
            </w:r>
          </w:p>
        </w:tc>
        <w:tc>
          <w:tcPr>
            <w:tcW w:w="891" w:type="dxa"/>
          </w:tcPr>
          <w:p w14:paraId="2B08C4B0" w14:textId="77777777" w:rsidR="00F70B9C" w:rsidRPr="002C5DE1" w:rsidRDefault="00F70B9C" w:rsidP="00035946">
            <w:pPr>
              <w:jc w:val="center"/>
              <w:rPr>
                <w:rFonts w:ascii="Times New Roman" w:hAnsi="Times New Roman" w:cs="Times New Roman"/>
                <w:color w:val="000000" w:themeColor="text1"/>
                <w:sz w:val="18"/>
                <w:szCs w:val="18"/>
                <w:lang w:val="en-US"/>
              </w:rPr>
            </w:pPr>
            <w:r w:rsidRPr="002C5DE1">
              <w:rPr>
                <w:rFonts w:ascii="Times New Roman" w:hAnsi="Times New Roman" w:cs="Times New Roman"/>
                <w:color w:val="000000" w:themeColor="text1"/>
                <w:sz w:val="18"/>
                <w:szCs w:val="18"/>
                <w:lang w:val="en-US"/>
              </w:rPr>
              <w:t>FD</w:t>
            </w:r>
          </w:p>
        </w:tc>
        <w:tc>
          <w:tcPr>
            <w:tcW w:w="891" w:type="dxa"/>
          </w:tcPr>
          <w:p w14:paraId="0A6E6F5B" w14:textId="77777777" w:rsidR="00F70B9C" w:rsidRPr="002C5DE1" w:rsidRDefault="00F70B9C" w:rsidP="00035946">
            <w:pPr>
              <w:jc w:val="center"/>
              <w:rPr>
                <w:rFonts w:ascii="Times New Roman" w:hAnsi="Times New Roman" w:cs="Times New Roman"/>
                <w:color w:val="000000" w:themeColor="text1"/>
                <w:sz w:val="18"/>
                <w:szCs w:val="18"/>
                <w:lang w:val="en-US"/>
              </w:rPr>
            </w:pPr>
            <w:r w:rsidRPr="002C5DE1">
              <w:rPr>
                <w:rFonts w:ascii="Times New Roman" w:hAnsi="Times New Roman" w:cs="Times New Roman"/>
                <w:color w:val="000000" w:themeColor="text1"/>
                <w:sz w:val="18"/>
                <w:szCs w:val="18"/>
                <w:lang w:val="en-US"/>
              </w:rPr>
              <w:t>HPI</w:t>
            </w:r>
          </w:p>
        </w:tc>
        <w:tc>
          <w:tcPr>
            <w:tcW w:w="891" w:type="dxa"/>
          </w:tcPr>
          <w:p w14:paraId="49B29A40" w14:textId="77777777" w:rsidR="00F70B9C" w:rsidRPr="002C5DE1" w:rsidRDefault="00F70B9C" w:rsidP="00035946">
            <w:pPr>
              <w:jc w:val="center"/>
              <w:rPr>
                <w:rFonts w:ascii="Times New Roman" w:hAnsi="Times New Roman" w:cs="Times New Roman"/>
                <w:color w:val="000000" w:themeColor="text1"/>
                <w:sz w:val="18"/>
                <w:szCs w:val="18"/>
                <w:lang w:val="en-US"/>
              </w:rPr>
            </w:pPr>
            <w:r w:rsidRPr="002C5DE1">
              <w:rPr>
                <w:rFonts w:ascii="Times New Roman" w:hAnsi="Times New Roman" w:cs="Times New Roman"/>
                <w:color w:val="000000" w:themeColor="text1"/>
                <w:sz w:val="18"/>
                <w:szCs w:val="18"/>
                <w:lang w:val="en-US"/>
              </w:rPr>
              <w:t>FD</w:t>
            </w:r>
          </w:p>
        </w:tc>
        <w:tc>
          <w:tcPr>
            <w:tcW w:w="891" w:type="dxa"/>
          </w:tcPr>
          <w:p w14:paraId="63D458D2" w14:textId="77777777" w:rsidR="00F70B9C" w:rsidRPr="002C5DE1" w:rsidRDefault="00F70B9C" w:rsidP="00035946">
            <w:pPr>
              <w:jc w:val="center"/>
              <w:rPr>
                <w:rFonts w:ascii="Times New Roman" w:hAnsi="Times New Roman" w:cs="Times New Roman"/>
                <w:color w:val="000000" w:themeColor="text1"/>
                <w:sz w:val="18"/>
                <w:szCs w:val="18"/>
                <w:lang w:val="en-US"/>
              </w:rPr>
            </w:pPr>
            <w:r w:rsidRPr="002C5DE1">
              <w:rPr>
                <w:rFonts w:ascii="Times New Roman" w:hAnsi="Times New Roman" w:cs="Times New Roman"/>
                <w:color w:val="000000" w:themeColor="text1"/>
                <w:sz w:val="18"/>
                <w:szCs w:val="18"/>
                <w:lang w:val="en-US"/>
              </w:rPr>
              <w:t>HPI</w:t>
            </w:r>
          </w:p>
        </w:tc>
        <w:tc>
          <w:tcPr>
            <w:tcW w:w="891" w:type="dxa"/>
          </w:tcPr>
          <w:p w14:paraId="64606CBE" w14:textId="77777777" w:rsidR="00F70B9C" w:rsidRPr="002C5DE1" w:rsidRDefault="00F70B9C" w:rsidP="00035946">
            <w:pPr>
              <w:jc w:val="center"/>
              <w:rPr>
                <w:rFonts w:ascii="Times New Roman" w:hAnsi="Times New Roman" w:cs="Times New Roman"/>
                <w:color w:val="000000" w:themeColor="text1"/>
                <w:sz w:val="18"/>
                <w:szCs w:val="18"/>
                <w:lang w:val="en-US"/>
              </w:rPr>
            </w:pPr>
            <w:r w:rsidRPr="002C5DE1">
              <w:rPr>
                <w:rFonts w:ascii="Times New Roman" w:hAnsi="Times New Roman" w:cs="Times New Roman"/>
                <w:color w:val="000000" w:themeColor="text1"/>
                <w:sz w:val="18"/>
                <w:szCs w:val="18"/>
                <w:lang w:val="en-US"/>
              </w:rPr>
              <w:t>FD</w:t>
            </w:r>
          </w:p>
        </w:tc>
        <w:tc>
          <w:tcPr>
            <w:tcW w:w="891" w:type="dxa"/>
          </w:tcPr>
          <w:p w14:paraId="6238A9E9" w14:textId="77777777" w:rsidR="00F70B9C" w:rsidRPr="002C5DE1" w:rsidRDefault="00F70B9C" w:rsidP="00035946">
            <w:pPr>
              <w:jc w:val="center"/>
              <w:rPr>
                <w:rFonts w:ascii="Times New Roman" w:hAnsi="Times New Roman" w:cs="Times New Roman"/>
                <w:color w:val="000000" w:themeColor="text1"/>
                <w:sz w:val="18"/>
                <w:szCs w:val="18"/>
                <w:lang w:val="en-US"/>
              </w:rPr>
            </w:pPr>
            <w:r w:rsidRPr="002C5DE1">
              <w:rPr>
                <w:rFonts w:ascii="Times New Roman" w:hAnsi="Times New Roman" w:cs="Times New Roman"/>
                <w:color w:val="000000" w:themeColor="text1"/>
                <w:sz w:val="18"/>
                <w:szCs w:val="18"/>
                <w:lang w:val="en-US"/>
              </w:rPr>
              <w:t>HPI</w:t>
            </w:r>
          </w:p>
        </w:tc>
        <w:tc>
          <w:tcPr>
            <w:tcW w:w="891" w:type="dxa"/>
          </w:tcPr>
          <w:p w14:paraId="32DB3746" w14:textId="77777777" w:rsidR="00F70B9C" w:rsidRPr="002C5DE1" w:rsidRDefault="00F70B9C" w:rsidP="00035946">
            <w:pPr>
              <w:jc w:val="center"/>
              <w:rPr>
                <w:rFonts w:ascii="Times New Roman" w:hAnsi="Times New Roman" w:cs="Times New Roman"/>
                <w:color w:val="000000" w:themeColor="text1"/>
                <w:sz w:val="18"/>
                <w:szCs w:val="18"/>
                <w:lang w:val="en-US"/>
              </w:rPr>
            </w:pPr>
            <w:r w:rsidRPr="002C5DE1">
              <w:rPr>
                <w:rFonts w:ascii="Times New Roman" w:hAnsi="Times New Roman" w:cs="Times New Roman"/>
                <w:color w:val="000000" w:themeColor="text1"/>
                <w:sz w:val="18"/>
                <w:szCs w:val="18"/>
                <w:lang w:val="en-US"/>
              </w:rPr>
              <w:t>FD</w:t>
            </w:r>
          </w:p>
        </w:tc>
        <w:tc>
          <w:tcPr>
            <w:tcW w:w="891" w:type="dxa"/>
          </w:tcPr>
          <w:p w14:paraId="1EE433ED" w14:textId="77777777" w:rsidR="00F70B9C" w:rsidRPr="002C5DE1" w:rsidRDefault="00F70B9C" w:rsidP="00035946">
            <w:pPr>
              <w:jc w:val="center"/>
              <w:rPr>
                <w:rFonts w:ascii="Times New Roman" w:hAnsi="Times New Roman" w:cs="Times New Roman"/>
                <w:color w:val="000000" w:themeColor="text1"/>
                <w:sz w:val="18"/>
                <w:szCs w:val="18"/>
                <w:lang w:val="en-US"/>
              </w:rPr>
            </w:pPr>
            <w:r w:rsidRPr="002C5DE1">
              <w:rPr>
                <w:rFonts w:ascii="Times New Roman" w:hAnsi="Times New Roman" w:cs="Times New Roman"/>
                <w:color w:val="000000" w:themeColor="text1"/>
                <w:sz w:val="18"/>
                <w:szCs w:val="18"/>
                <w:lang w:val="en-US"/>
              </w:rPr>
              <w:t>HPI</w:t>
            </w:r>
          </w:p>
        </w:tc>
      </w:tr>
      <w:tr w:rsidR="00F70B9C" w:rsidRPr="002C5DE1" w14:paraId="4C6F8644" w14:textId="77777777" w:rsidTr="00035946">
        <w:tc>
          <w:tcPr>
            <w:tcW w:w="956" w:type="dxa"/>
          </w:tcPr>
          <w:p w14:paraId="6CEB9054" w14:textId="77777777" w:rsidR="00F70B9C" w:rsidRPr="002C5DE1" w:rsidRDefault="00F70B9C" w:rsidP="00035946">
            <w:pPr>
              <w:rPr>
                <w:rFonts w:ascii="Times New Roman" w:hAnsi="Times New Roman" w:cs="Times New Roman"/>
                <w:b/>
                <w:color w:val="000000" w:themeColor="text1"/>
                <w:sz w:val="18"/>
                <w:szCs w:val="18"/>
                <w:lang w:val="en-US"/>
              </w:rPr>
            </w:pPr>
            <w:r w:rsidRPr="002C5DE1">
              <w:rPr>
                <w:rFonts w:ascii="Times New Roman" w:hAnsi="Times New Roman" w:cs="Times New Roman"/>
                <w:b/>
                <w:color w:val="000000" w:themeColor="text1"/>
                <w:sz w:val="18"/>
                <w:szCs w:val="18"/>
                <w:lang w:val="en-US"/>
              </w:rPr>
              <w:t>Threshold</w:t>
            </w:r>
          </w:p>
        </w:tc>
        <w:tc>
          <w:tcPr>
            <w:tcW w:w="891" w:type="dxa"/>
            <w:vAlign w:val="center"/>
          </w:tcPr>
          <w:p w14:paraId="240CDCD4" w14:textId="77777777" w:rsidR="00F70B9C" w:rsidRPr="002C5DE1" w:rsidRDefault="00F70B9C" w:rsidP="00035946">
            <w:pPr>
              <w:rPr>
                <w:rFonts w:ascii="Times New Roman" w:hAnsi="Times New Roman" w:cs="Times New Roman"/>
                <w:color w:val="000000" w:themeColor="text1"/>
                <w:sz w:val="18"/>
                <w:szCs w:val="18"/>
                <w:lang w:val="en-US"/>
              </w:rPr>
            </w:pPr>
            <w:r w:rsidRPr="002C5DE1">
              <w:rPr>
                <w:rFonts w:ascii="Times New Roman" w:hAnsi="Times New Roman" w:cs="Times New Roman"/>
                <w:color w:val="000000" w:themeColor="text1"/>
                <w:sz w:val="18"/>
                <w:szCs w:val="18"/>
                <w:lang w:val="en-US"/>
              </w:rPr>
              <w:t>0.58</w:t>
            </w:r>
          </w:p>
        </w:tc>
        <w:tc>
          <w:tcPr>
            <w:tcW w:w="891" w:type="dxa"/>
            <w:vAlign w:val="center"/>
          </w:tcPr>
          <w:p w14:paraId="1C8083AA" w14:textId="77777777" w:rsidR="00F70B9C" w:rsidRPr="002C5DE1" w:rsidRDefault="00F70B9C" w:rsidP="00035946">
            <w:pPr>
              <w:rPr>
                <w:rFonts w:ascii="Times New Roman" w:hAnsi="Times New Roman" w:cs="Times New Roman"/>
                <w:color w:val="000000" w:themeColor="text1"/>
                <w:sz w:val="18"/>
                <w:szCs w:val="18"/>
                <w:lang w:val="en-US"/>
              </w:rPr>
            </w:pPr>
            <w:r w:rsidRPr="002C5DE1">
              <w:rPr>
                <w:rFonts w:ascii="Times New Roman" w:hAnsi="Times New Roman" w:cs="Times New Roman"/>
                <w:color w:val="000000" w:themeColor="text1"/>
                <w:sz w:val="18"/>
                <w:szCs w:val="18"/>
                <w:lang w:val="en-US"/>
              </w:rPr>
              <w:t>76.44</w:t>
            </w:r>
          </w:p>
        </w:tc>
        <w:tc>
          <w:tcPr>
            <w:tcW w:w="891" w:type="dxa"/>
            <w:vAlign w:val="center"/>
          </w:tcPr>
          <w:p w14:paraId="0947D1A6" w14:textId="77777777" w:rsidR="00F70B9C" w:rsidRPr="002C5DE1" w:rsidRDefault="00F70B9C" w:rsidP="00035946">
            <w:pPr>
              <w:rPr>
                <w:rFonts w:ascii="Times New Roman" w:hAnsi="Times New Roman" w:cs="Times New Roman"/>
                <w:color w:val="000000" w:themeColor="text1"/>
                <w:sz w:val="18"/>
                <w:szCs w:val="18"/>
                <w:lang w:val="en-US"/>
              </w:rPr>
            </w:pPr>
            <w:r w:rsidRPr="002C5DE1">
              <w:rPr>
                <w:rFonts w:ascii="Times New Roman" w:hAnsi="Times New Roman" w:cs="Times New Roman"/>
                <w:color w:val="000000" w:themeColor="text1"/>
                <w:sz w:val="18"/>
                <w:szCs w:val="18"/>
                <w:lang w:val="en-US"/>
              </w:rPr>
              <w:t>0.64</w:t>
            </w:r>
          </w:p>
        </w:tc>
        <w:tc>
          <w:tcPr>
            <w:tcW w:w="891" w:type="dxa"/>
            <w:vAlign w:val="center"/>
          </w:tcPr>
          <w:p w14:paraId="23428C52" w14:textId="77777777" w:rsidR="00F70B9C" w:rsidRPr="002C5DE1" w:rsidRDefault="00F70B9C" w:rsidP="00035946">
            <w:pPr>
              <w:rPr>
                <w:rFonts w:ascii="Times New Roman" w:hAnsi="Times New Roman" w:cs="Times New Roman"/>
                <w:color w:val="000000" w:themeColor="text1"/>
                <w:sz w:val="18"/>
                <w:szCs w:val="18"/>
                <w:lang w:val="en-US"/>
              </w:rPr>
            </w:pPr>
            <w:r w:rsidRPr="002C5DE1">
              <w:rPr>
                <w:rFonts w:ascii="Times New Roman" w:hAnsi="Times New Roman" w:cs="Times New Roman"/>
                <w:color w:val="000000" w:themeColor="text1"/>
                <w:sz w:val="18"/>
                <w:szCs w:val="18"/>
                <w:lang w:val="en-US"/>
              </w:rPr>
              <w:t>80.16</w:t>
            </w:r>
          </w:p>
        </w:tc>
        <w:tc>
          <w:tcPr>
            <w:tcW w:w="891" w:type="dxa"/>
            <w:vAlign w:val="center"/>
          </w:tcPr>
          <w:p w14:paraId="4B0DF669" w14:textId="77777777" w:rsidR="00F70B9C" w:rsidRPr="002C5DE1" w:rsidRDefault="00F70B9C" w:rsidP="00035946">
            <w:pPr>
              <w:rPr>
                <w:rFonts w:ascii="Times New Roman" w:hAnsi="Times New Roman" w:cs="Times New Roman"/>
                <w:color w:val="000000" w:themeColor="text1"/>
                <w:sz w:val="18"/>
                <w:szCs w:val="18"/>
                <w:lang w:val="en-US"/>
              </w:rPr>
            </w:pPr>
            <w:r w:rsidRPr="002C5DE1">
              <w:rPr>
                <w:rFonts w:ascii="Times New Roman" w:hAnsi="Times New Roman" w:cs="Times New Roman"/>
                <w:color w:val="000000" w:themeColor="text1"/>
                <w:sz w:val="18"/>
                <w:szCs w:val="18"/>
                <w:lang w:val="en-US"/>
              </w:rPr>
              <w:t>0.61</w:t>
            </w:r>
          </w:p>
        </w:tc>
        <w:tc>
          <w:tcPr>
            <w:tcW w:w="891" w:type="dxa"/>
            <w:vAlign w:val="center"/>
          </w:tcPr>
          <w:p w14:paraId="71B30511" w14:textId="77777777" w:rsidR="00F70B9C" w:rsidRPr="002C5DE1" w:rsidRDefault="00F70B9C" w:rsidP="00035946">
            <w:pPr>
              <w:rPr>
                <w:rFonts w:ascii="Times New Roman" w:hAnsi="Times New Roman" w:cs="Times New Roman"/>
                <w:color w:val="000000" w:themeColor="text1"/>
                <w:sz w:val="18"/>
                <w:szCs w:val="18"/>
                <w:lang w:val="en-US"/>
              </w:rPr>
            </w:pPr>
            <w:r w:rsidRPr="002C5DE1">
              <w:rPr>
                <w:rFonts w:ascii="Times New Roman" w:hAnsi="Times New Roman" w:cs="Times New Roman"/>
                <w:color w:val="000000" w:themeColor="text1"/>
                <w:sz w:val="18"/>
                <w:szCs w:val="18"/>
                <w:lang w:val="en-US"/>
              </w:rPr>
              <w:t>79.91</w:t>
            </w:r>
          </w:p>
        </w:tc>
        <w:tc>
          <w:tcPr>
            <w:tcW w:w="891" w:type="dxa"/>
            <w:vAlign w:val="center"/>
          </w:tcPr>
          <w:p w14:paraId="7BD63EBB" w14:textId="77777777" w:rsidR="00F70B9C" w:rsidRPr="002C5DE1" w:rsidRDefault="00F70B9C" w:rsidP="00035946">
            <w:pPr>
              <w:rPr>
                <w:rFonts w:ascii="Times New Roman" w:hAnsi="Times New Roman" w:cs="Times New Roman"/>
                <w:color w:val="000000" w:themeColor="text1"/>
                <w:sz w:val="18"/>
                <w:szCs w:val="18"/>
                <w:lang w:val="en-US"/>
              </w:rPr>
            </w:pPr>
            <w:r w:rsidRPr="002C5DE1">
              <w:rPr>
                <w:rFonts w:ascii="Times New Roman" w:hAnsi="Times New Roman" w:cs="Times New Roman"/>
                <w:color w:val="000000" w:themeColor="text1"/>
                <w:sz w:val="18"/>
                <w:szCs w:val="18"/>
                <w:lang w:val="en-US"/>
              </w:rPr>
              <w:t>0.59</w:t>
            </w:r>
          </w:p>
        </w:tc>
        <w:tc>
          <w:tcPr>
            <w:tcW w:w="891" w:type="dxa"/>
            <w:vAlign w:val="center"/>
          </w:tcPr>
          <w:p w14:paraId="653178F4" w14:textId="77777777" w:rsidR="00F70B9C" w:rsidRPr="002C5DE1" w:rsidRDefault="00F70B9C" w:rsidP="00035946">
            <w:pPr>
              <w:rPr>
                <w:rFonts w:ascii="Times New Roman" w:hAnsi="Times New Roman" w:cs="Times New Roman"/>
                <w:color w:val="000000" w:themeColor="text1"/>
                <w:sz w:val="18"/>
                <w:szCs w:val="18"/>
                <w:lang w:val="en-US"/>
              </w:rPr>
            </w:pPr>
            <w:r w:rsidRPr="002C5DE1">
              <w:rPr>
                <w:rFonts w:ascii="Times New Roman" w:hAnsi="Times New Roman" w:cs="Times New Roman"/>
                <w:color w:val="000000" w:themeColor="text1"/>
                <w:sz w:val="18"/>
                <w:szCs w:val="18"/>
                <w:lang w:val="en-US"/>
              </w:rPr>
              <w:t>78.20</w:t>
            </w:r>
          </w:p>
        </w:tc>
        <w:tc>
          <w:tcPr>
            <w:tcW w:w="891" w:type="dxa"/>
            <w:vAlign w:val="center"/>
          </w:tcPr>
          <w:p w14:paraId="35FA0D92" w14:textId="77777777" w:rsidR="00F70B9C" w:rsidRPr="002C5DE1" w:rsidRDefault="00F70B9C" w:rsidP="00035946">
            <w:pPr>
              <w:rPr>
                <w:rFonts w:ascii="Times New Roman" w:hAnsi="Times New Roman" w:cs="Times New Roman"/>
                <w:color w:val="000000" w:themeColor="text1"/>
                <w:sz w:val="18"/>
                <w:szCs w:val="18"/>
                <w:lang w:val="en-US"/>
              </w:rPr>
            </w:pPr>
            <w:r w:rsidRPr="002C5DE1">
              <w:rPr>
                <w:rFonts w:ascii="Times New Roman" w:hAnsi="Times New Roman" w:cs="Times New Roman"/>
                <w:color w:val="000000" w:themeColor="text1"/>
                <w:sz w:val="18"/>
                <w:szCs w:val="18"/>
                <w:lang w:val="en-US"/>
              </w:rPr>
              <w:t>0.60</w:t>
            </w:r>
          </w:p>
        </w:tc>
        <w:tc>
          <w:tcPr>
            <w:tcW w:w="891" w:type="dxa"/>
            <w:vAlign w:val="center"/>
          </w:tcPr>
          <w:p w14:paraId="54E76737" w14:textId="77777777" w:rsidR="00F70B9C" w:rsidRPr="002C5DE1" w:rsidRDefault="00F70B9C" w:rsidP="00035946">
            <w:pPr>
              <w:rPr>
                <w:rFonts w:ascii="Times New Roman" w:hAnsi="Times New Roman" w:cs="Times New Roman"/>
                <w:color w:val="000000" w:themeColor="text1"/>
                <w:sz w:val="18"/>
                <w:szCs w:val="18"/>
                <w:lang w:val="en-US"/>
              </w:rPr>
            </w:pPr>
            <w:r w:rsidRPr="002C5DE1">
              <w:rPr>
                <w:rFonts w:ascii="Times New Roman" w:hAnsi="Times New Roman" w:cs="Times New Roman"/>
                <w:color w:val="000000" w:themeColor="text1"/>
                <w:sz w:val="18"/>
                <w:szCs w:val="18"/>
                <w:lang w:val="en-US"/>
              </w:rPr>
              <w:t>79.04</w:t>
            </w:r>
          </w:p>
        </w:tc>
      </w:tr>
      <w:tr w:rsidR="00F70B9C" w:rsidRPr="002C5DE1" w14:paraId="20A55D14" w14:textId="77777777" w:rsidTr="00035946">
        <w:tc>
          <w:tcPr>
            <w:tcW w:w="956" w:type="dxa"/>
          </w:tcPr>
          <w:p w14:paraId="6D7EBE02" w14:textId="77777777" w:rsidR="00F70B9C" w:rsidRPr="002C5DE1" w:rsidRDefault="000F28A9" w:rsidP="00035946">
            <w:pPr>
              <w:rPr>
                <w:rFonts w:ascii="Times New Roman" w:hAnsi="Times New Roman" w:cs="Times New Roman"/>
                <w:b/>
                <w:color w:val="000000" w:themeColor="text1"/>
                <w:sz w:val="18"/>
                <w:szCs w:val="18"/>
                <w:lang w:val="en-US"/>
              </w:rPr>
            </w:pPr>
            <w:proofErr w:type="spellStart"/>
            <w:r w:rsidRPr="002C5DE1">
              <w:rPr>
                <w:rFonts w:ascii="Times New Roman" w:hAnsi="Times New Roman" w:cs="Times New Roman"/>
                <w:b/>
                <w:color w:val="000000" w:themeColor="text1"/>
                <w:sz w:val="18"/>
                <w:szCs w:val="18"/>
                <w:lang w:val="en-US"/>
              </w:rPr>
              <w:t>Δln</w:t>
            </w:r>
            <w:r w:rsidR="00F70B9C" w:rsidRPr="002C5DE1">
              <w:rPr>
                <w:rFonts w:ascii="Times New Roman" w:hAnsi="Times New Roman" w:cs="Times New Roman"/>
                <w:b/>
                <w:color w:val="000000" w:themeColor="text1"/>
                <w:sz w:val="18"/>
                <w:szCs w:val="18"/>
                <w:lang w:val="en-US"/>
              </w:rPr>
              <w:t>Income</w:t>
            </w:r>
            <w:proofErr w:type="spellEnd"/>
          </w:p>
        </w:tc>
        <w:tc>
          <w:tcPr>
            <w:tcW w:w="891" w:type="dxa"/>
            <w:vAlign w:val="center"/>
          </w:tcPr>
          <w:p w14:paraId="324C54BA" w14:textId="77777777" w:rsidR="00F70B9C" w:rsidRPr="002C5DE1" w:rsidRDefault="00F70B9C" w:rsidP="00035946">
            <w:pPr>
              <w:rPr>
                <w:rFonts w:ascii="Times New Roman" w:hAnsi="Times New Roman" w:cs="Times New Roman"/>
                <w:color w:val="000000" w:themeColor="text1"/>
                <w:sz w:val="18"/>
                <w:szCs w:val="18"/>
                <w:lang w:val="en-US"/>
              </w:rPr>
            </w:pPr>
            <w:r w:rsidRPr="002C5DE1">
              <w:rPr>
                <w:rFonts w:ascii="Times New Roman" w:hAnsi="Times New Roman" w:cs="Times New Roman"/>
                <w:color w:val="000000" w:themeColor="text1"/>
                <w:sz w:val="18"/>
                <w:szCs w:val="18"/>
                <w:lang w:val="en-US"/>
              </w:rPr>
              <w:t>0.651***</w:t>
            </w:r>
          </w:p>
        </w:tc>
        <w:tc>
          <w:tcPr>
            <w:tcW w:w="891" w:type="dxa"/>
            <w:vAlign w:val="center"/>
          </w:tcPr>
          <w:p w14:paraId="355B431B" w14:textId="77777777" w:rsidR="00F70B9C" w:rsidRPr="002C5DE1" w:rsidRDefault="00F70B9C" w:rsidP="00035946">
            <w:pPr>
              <w:rPr>
                <w:rFonts w:ascii="Times New Roman" w:hAnsi="Times New Roman" w:cs="Times New Roman"/>
                <w:color w:val="000000" w:themeColor="text1"/>
                <w:sz w:val="18"/>
                <w:szCs w:val="18"/>
                <w:lang w:val="en-US"/>
              </w:rPr>
            </w:pPr>
            <w:r w:rsidRPr="002C5DE1">
              <w:rPr>
                <w:rFonts w:ascii="Times New Roman" w:hAnsi="Times New Roman" w:cs="Times New Roman"/>
                <w:color w:val="000000" w:themeColor="text1"/>
                <w:sz w:val="18"/>
                <w:szCs w:val="18"/>
                <w:lang w:val="en-US"/>
              </w:rPr>
              <w:t>0.618***</w:t>
            </w:r>
          </w:p>
        </w:tc>
        <w:tc>
          <w:tcPr>
            <w:tcW w:w="891" w:type="dxa"/>
            <w:vAlign w:val="center"/>
          </w:tcPr>
          <w:p w14:paraId="092A2CFE" w14:textId="77777777" w:rsidR="00F70B9C" w:rsidRPr="002C5DE1" w:rsidRDefault="00F70B9C" w:rsidP="00035946">
            <w:pPr>
              <w:rPr>
                <w:rFonts w:ascii="Times New Roman" w:hAnsi="Times New Roman" w:cs="Times New Roman"/>
                <w:color w:val="000000" w:themeColor="text1"/>
                <w:sz w:val="18"/>
                <w:szCs w:val="18"/>
                <w:lang w:val="en-US"/>
              </w:rPr>
            </w:pPr>
            <w:r w:rsidRPr="002C5DE1">
              <w:rPr>
                <w:rFonts w:ascii="Times New Roman" w:hAnsi="Times New Roman" w:cs="Times New Roman"/>
                <w:color w:val="000000" w:themeColor="text1"/>
                <w:sz w:val="18"/>
                <w:szCs w:val="18"/>
                <w:lang w:val="en-US"/>
              </w:rPr>
              <w:t>0.698***</w:t>
            </w:r>
          </w:p>
        </w:tc>
        <w:tc>
          <w:tcPr>
            <w:tcW w:w="891" w:type="dxa"/>
            <w:vAlign w:val="center"/>
          </w:tcPr>
          <w:p w14:paraId="320CB902" w14:textId="77777777" w:rsidR="00F70B9C" w:rsidRPr="002C5DE1" w:rsidRDefault="00F70B9C" w:rsidP="00035946">
            <w:pPr>
              <w:rPr>
                <w:rFonts w:ascii="Times New Roman" w:hAnsi="Times New Roman" w:cs="Times New Roman"/>
                <w:color w:val="000000" w:themeColor="text1"/>
                <w:sz w:val="18"/>
                <w:szCs w:val="18"/>
                <w:lang w:val="en-US"/>
              </w:rPr>
            </w:pPr>
            <w:r w:rsidRPr="002C5DE1">
              <w:rPr>
                <w:rFonts w:ascii="Times New Roman" w:hAnsi="Times New Roman" w:cs="Times New Roman"/>
                <w:color w:val="000000" w:themeColor="text1"/>
                <w:sz w:val="18"/>
                <w:szCs w:val="18"/>
                <w:lang w:val="en-US"/>
              </w:rPr>
              <w:t>0.675***</w:t>
            </w:r>
          </w:p>
        </w:tc>
        <w:tc>
          <w:tcPr>
            <w:tcW w:w="891" w:type="dxa"/>
            <w:vAlign w:val="center"/>
          </w:tcPr>
          <w:p w14:paraId="2D224610" w14:textId="77777777" w:rsidR="00F70B9C" w:rsidRPr="002C5DE1" w:rsidRDefault="00F70B9C" w:rsidP="00035946">
            <w:pPr>
              <w:rPr>
                <w:rFonts w:ascii="Times New Roman" w:hAnsi="Times New Roman" w:cs="Times New Roman"/>
                <w:color w:val="000000" w:themeColor="text1"/>
                <w:sz w:val="18"/>
                <w:szCs w:val="18"/>
                <w:lang w:val="en-US"/>
              </w:rPr>
            </w:pPr>
            <w:r w:rsidRPr="002C5DE1">
              <w:rPr>
                <w:rFonts w:ascii="Times New Roman" w:hAnsi="Times New Roman" w:cs="Times New Roman"/>
                <w:color w:val="000000" w:themeColor="text1"/>
                <w:sz w:val="18"/>
                <w:szCs w:val="18"/>
                <w:lang w:val="en-US"/>
              </w:rPr>
              <w:t>0.738***</w:t>
            </w:r>
          </w:p>
        </w:tc>
        <w:tc>
          <w:tcPr>
            <w:tcW w:w="891" w:type="dxa"/>
            <w:vAlign w:val="center"/>
          </w:tcPr>
          <w:p w14:paraId="16E6A078" w14:textId="77777777" w:rsidR="00F70B9C" w:rsidRPr="002C5DE1" w:rsidRDefault="00F70B9C" w:rsidP="00035946">
            <w:pPr>
              <w:rPr>
                <w:rFonts w:ascii="Times New Roman" w:hAnsi="Times New Roman" w:cs="Times New Roman"/>
                <w:color w:val="000000" w:themeColor="text1"/>
                <w:sz w:val="18"/>
                <w:szCs w:val="18"/>
                <w:lang w:val="en-US"/>
              </w:rPr>
            </w:pPr>
            <w:r w:rsidRPr="002C5DE1">
              <w:rPr>
                <w:rFonts w:ascii="Times New Roman" w:hAnsi="Times New Roman" w:cs="Times New Roman"/>
                <w:color w:val="000000" w:themeColor="text1"/>
                <w:sz w:val="18"/>
                <w:szCs w:val="18"/>
                <w:lang w:val="en-US"/>
              </w:rPr>
              <w:t>0.694***</w:t>
            </w:r>
          </w:p>
        </w:tc>
        <w:tc>
          <w:tcPr>
            <w:tcW w:w="891" w:type="dxa"/>
            <w:vAlign w:val="center"/>
          </w:tcPr>
          <w:p w14:paraId="28A6C81A" w14:textId="77777777" w:rsidR="00F70B9C" w:rsidRPr="002C5DE1" w:rsidRDefault="00F70B9C" w:rsidP="00035946">
            <w:pPr>
              <w:rPr>
                <w:rFonts w:ascii="Times New Roman" w:hAnsi="Times New Roman" w:cs="Times New Roman"/>
                <w:color w:val="000000" w:themeColor="text1"/>
                <w:sz w:val="18"/>
                <w:szCs w:val="18"/>
                <w:lang w:val="en-US"/>
              </w:rPr>
            </w:pPr>
            <w:r w:rsidRPr="002C5DE1">
              <w:rPr>
                <w:rFonts w:ascii="Times New Roman" w:hAnsi="Times New Roman" w:cs="Times New Roman"/>
                <w:color w:val="000000" w:themeColor="text1"/>
                <w:sz w:val="18"/>
                <w:szCs w:val="18"/>
                <w:lang w:val="en-US"/>
              </w:rPr>
              <w:t>0.497***</w:t>
            </w:r>
          </w:p>
        </w:tc>
        <w:tc>
          <w:tcPr>
            <w:tcW w:w="891" w:type="dxa"/>
            <w:vAlign w:val="center"/>
          </w:tcPr>
          <w:p w14:paraId="2157633E" w14:textId="77777777" w:rsidR="00F70B9C" w:rsidRPr="002C5DE1" w:rsidRDefault="00F70B9C" w:rsidP="00035946">
            <w:pPr>
              <w:rPr>
                <w:rFonts w:ascii="Times New Roman" w:hAnsi="Times New Roman" w:cs="Times New Roman"/>
                <w:color w:val="000000" w:themeColor="text1"/>
                <w:sz w:val="18"/>
                <w:szCs w:val="18"/>
                <w:lang w:val="en-US"/>
              </w:rPr>
            </w:pPr>
            <w:r w:rsidRPr="002C5DE1">
              <w:rPr>
                <w:rFonts w:ascii="Times New Roman" w:hAnsi="Times New Roman" w:cs="Times New Roman"/>
                <w:color w:val="000000" w:themeColor="text1"/>
                <w:sz w:val="18"/>
                <w:szCs w:val="18"/>
                <w:lang w:val="en-US"/>
              </w:rPr>
              <w:t>0.463***</w:t>
            </w:r>
          </w:p>
        </w:tc>
        <w:tc>
          <w:tcPr>
            <w:tcW w:w="891" w:type="dxa"/>
            <w:vAlign w:val="center"/>
          </w:tcPr>
          <w:p w14:paraId="3086F42D" w14:textId="77777777" w:rsidR="00F70B9C" w:rsidRPr="002C5DE1" w:rsidRDefault="00F70B9C" w:rsidP="00035946">
            <w:pPr>
              <w:rPr>
                <w:rFonts w:ascii="Times New Roman" w:hAnsi="Times New Roman" w:cs="Times New Roman"/>
                <w:color w:val="000000" w:themeColor="text1"/>
                <w:sz w:val="18"/>
                <w:szCs w:val="18"/>
                <w:lang w:val="en-US"/>
              </w:rPr>
            </w:pPr>
            <w:r w:rsidRPr="002C5DE1">
              <w:rPr>
                <w:rFonts w:ascii="Times New Roman" w:hAnsi="Times New Roman" w:cs="Times New Roman"/>
                <w:color w:val="000000" w:themeColor="text1"/>
                <w:sz w:val="18"/>
                <w:szCs w:val="18"/>
                <w:lang w:val="en-US"/>
              </w:rPr>
              <w:t>0.575***</w:t>
            </w:r>
          </w:p>
        </w:tc>
        <w:tc>
          <w:tcPr>
            <w:tcW w:w="891" w:type="dxa"/>
            <w:vAlign w:val="center"/>
          </w:tcPr>
          <w:p w14:paraId="44523418" w14:textId="77777777" w:rsidR="00F70B9C" w:rsidRPr="002C5DE1" w:rsidRDefault="00F70B9C" w:rsidP="00035946">
            <w:pPr>
              <w:rPr>
                <w:rFonts w:ascii="Times New Roman" w:hAnsi="Times New Roman" w:cs="Times New Roman"/>
                <w:color w:val="000000" w:themeColor="text1"/>
                <w:sz w:val="18"/>
                <w:szCs w:val="18"/>
                <w:lang w:val="en-US"/>
              </w:rPr>
            </w:pPr>
            <w:r w:rsidRPr="002C5DE1">
              <w:rPr>
                <w:rFonts w:ascii="Times New Roman" w:hAnsi="Times New Roman" w:cs="Times New Roman"/>
                <w:color w:val="000000" w:themeColor="text1"/>
                <w:sz w:val="18"/>
                <w:szCs w:val="18"/>
                <w:lang w:val="en-US"/>
              </w:rPr>
              <w:t>0.539***</w:t>
            </w:r>
          </w:p>
        </w:tc>
      </w:tr>
      <w:tr w:rsidR="00F70B9C" w:rsidRPr="002C5DE1" w14:paraId="4094F18F" w14:textId="77777777" w:rsidTr="00035946">
        <w:tc>
          <w:tcPr>
            <w:tcW w:w="956" w:type="dxa"/>
          </w:tcPr>
          <w:p w14:paraId="02F09260" w14:textId="77777777" w:rsidR="00F70B9C" w:rsidRPr="002C5DE1" w:rsidRDefault="00F70B9C" w:rsidP="00035946">
            <w:pPr>
              <w:rPr>
                <w:rFonts w:ascii="Times New Roman" w:hAnsi="Times New Roman" w:cs="Times New Roman"/>
                <w:b/>
                <w:color w:val="000000" w:themeColor="text1"/>
                <w:sz w:val="18"/>
                <w:szCs w:val="18"/>
                <w:lang w:val="en-US"/>
              </w:rPr>
            </w:pPr>
            <w:r w:rsidRPr="002C5DE1">
              <w:rPr>
                <w:rFonts w:ascii="Times New Roman" w:hAnsi="Times New Roman" w:cs="Times New Roman"/>
                <w:b/>
                <w:color w:val="000000" w:themeColor="text1"/>
                <w:sz w:val="18"/>
                <w:szCs w:val="18"/>
                <w:lang w:val="en-US"/>
              </w:rPr>
              <w:t>HW Below</w:t>
            </w:r>
          </w:p>
        </w:tc>
        <w:tc>
          <w:tcPr>
            <w:tcW w:w="891" w:type="dxa"/>
            <w:vAlign w:val="center"/>
          </w:tcPr>
          <w:p w14:paraId="622C12A3" w14:textId="77777777" w:rsidR="00F70B9C" w:rsidRPr="002C5DE1" w:rsidRDefault="00F70B9C" w:rsidP="00035946">
            <w:pPr>
              <w:rPr>
                <w:rFonts w:ascii="Times New Roman" w:hAnsi="Times New Roman" w:cs="Times New Roman"/>
                <w:color w:val="000000" w:themeColor="text1"/>
                <w:sz w:val="18"/>
                <w:szCs w:val="18"/>
                <w:lang w:val="en-US"/>
              </w:rPr>
            </w:pPr>
            <w:r w:rsidRPr="002C5DE1">
              <w:rPr>
                <w:rFonts w:ascii="Times New Roman" w:hAnsi="Times New Roman" w:cs="Times New Roman"/>
                <w:color w:val="000000" w:themeColor="text1"/>
                <w:sz w:val="18"/>
                <w:szCs w:val="18"/>
                <w:lang w:val="en-US"/>
              </w:rPr>
              <w:t>0.043</w:t>
            </w:r>
          </w:p>
        </w:tc>
        <w:tc>
          <w:tcPr>
            <w:tcW w:w="891" w:type="dxa"/>
            <w:vAlign w:val="center"/>
          </w:tcPr>
          <w:p w14:paraId="4FD3E609" w14:textId="77777777" w:rsidR="00F70B9C" w:rsidRPr="002C5DE1" w:rsidRDefault="00F70B9C" w:rsidP="00035946">
            <w:pPr>
              <w:rPr>
                <w:rFonts w:ascii="Times New Roman" w:hAnsi="Times New Roman" w:cs="Times New Roman"/>
                <w:color w:val="000000" w:themeColor="text1"/>
                <w:sz w:val="18"/>
                <w:szCs w:val="18"/>
                <w:lang w:val="en-US"/>
              </w:rPr>
            </w:pPr>
            <w:r w:rsidRPr="002C5DE1">
              <w:rPr>
                <w:rFonts w:ascii="Times New Roman" w:hAnsi="Times New Roman" w:cs="Times New Roman"/>
                <w:color w:val="000000" w:themeColor="text1"/>
                <w:sz w:val="18"/>
                <w:szCs w:val="18"/>
                <w:lang w:val="en-US"/>
              </w:rPr>
              <w:t>0.038</w:t>
            </w:r>
          </w:p>
        </w:tc>
        <w:tc>
          <w:tcPr>
            <w:tcW w:w="891" w:type="dxa"/>
            <w:vAlign w:val="center"/>
          </w:tcPr>
          <w:p w14:paraId="0F2CCA8E" w14:textId="77777777" w:rsidR="00F70B9C" w:rsidRPr="002C5DE1" w:rsidRDefault="00F70B9C" w:rsidP="00035946">
            <w:pPr>
              <w:rPr>
                <w:rFonts w:ascii="Times New Roman" w:hAnsi="Times New Roman" w:cs="Times New Roman"/>
                <w:color w:val="000000" w:themeColor="text1"/>
                <w:sz w:val="18"/>
                <w:szCs w:val="18"/>
                <w:lang w:val="en-US"/>
              </w:rPr>
            </w:pPr>
            <w:r w:rsidRPr="002C5DE1">
              <w:rPr>
                <w:rFonts w:ascii="Times New Roman" w:hAnsi="Times New Roman" w:cs="Times New Roman"/>
                <w:color w:val="000000" w:themeColor="text1"/>
                <w:sz w:val="18"/>
                <w:szCs w:val="18"/>
                <w:lang w:val="en-US"/>
              </w:rPr>
              <w:t>0.019</w:t>
            </w:r>
          </w:p>
        </w:tc>
        <w:tc>
          <w:tcPr>
            <w:tcW w:w="891" w:type="dxa"/>
            <w:vAlign w:val="center"/>
          </w:tcPr>
          <w:p w14:paraId="4463508C" w14:textId="77777777" w:rsidR="00F70B9C" w:rsidRPr="002C5DE1" w:rsidRDefault="00F70B9C" w:rsidP="00035946">
            <w:pPr>
              <w:rPr>
                <w:rFonts w:ascii="Times New Roman" w:hAnsi="Times New Roman" w:cs="Times New Roman"/>
                <w:color w:val="000000" w:themeColor="text1"/>
                <w:sz w:val="18"/>
                <w:szCs w:val="18"/>
                <w:lang w:val="en-US"/>
              </w:rPr>
            </w:pPr>
            <w:r w:rsidRPr="002C5DE1">
              <w:rPr>
                <w:rFonts w:ascii="Times New Roman" w:hAnsi="Times New Roman" w:cs="Times New Roman"/>
                <w:color w:val="000000" w:themeColor="text1"/>
                <w:sz w:val="18"/>
                <w:szCs w:val="18"/>
                <w:lang w:val="en-US"/>
              </w:rPr>
              <w:t>0.012</w:t>
            </w:r>
          </w:p>
        </w:tc>
        <w:tc>
          <w:tcPr>
            <w:tcW w:w="891" w:type="dxa"/>
            <w:vAlign w:val="center"/>
          </w:tcPr>
          <w:p w14:paraId="3115F615" w14:textId="77777777" w:rsidR="00F70B9C" w:rsidRPr="002C5DE1" w:rsidRDefault="00F70B9C" w:rsidP="00035946">
            <w:pPr>
              <w:rPr>
                <w:rFonts w:ascii="Times New Roman" w:hAnsi="Times New Roman" w:cs="Times New Roman"/>
                <w:color w:val="000000" w:themeColor="text1"/>
                <w:sz w:val="18"/>
                <w:szCs w:val="18"/>
                <w:lang w:val="en-US"/>
              </w:rPr>
            </w:pPr>
            <w:r w:rsidRPr="002C5DE1">
              <w:rPr>
                <w:rFonts w:ascii="Times New Roman" w:hAnsi="Times New Roman" w:cs="Times New Roman"/>
                <w:color w:val="000000" w:themeColor="text1"/>
                <w:sz w:val="18"/>
                <w:szCs w:val="18"/>
                <w:lang w:val="en-US"/>
              </w:rPr>
              <w:t>0.032</w:t>
            </w:r>
          </w:p>
        </w:tc>
        <w:tc>
          <w:tcPr>
            <w:tcW w:w="891" w:type="dxa"/>
            <w:vAlign w:val="center"/>
          </w:tcPr>
          <w:p w14:paraId="328E5AB2" w14:textId="77777777" w:rsidR="00F70B9C" w:rsidRPr="002C5DE1" w:rsidRDefault="00F70B9C" w:rsidP="00035946">
            <w:pPr>
              <w:rPr>
                <w:rFonts w:ascii="Times New Roman" w:hAnsi="Times New Roman" w:cs="Times New Roman"/>
                <w:color w:val="000000" w:themeColor="text1"/>
                <w:sz w:val="18"/>
                <w:szCs w:val="18"/>
                <w:lang w:val="en-US"/>
              </w:rPr>
            </w:pPr>
            <w:r w:rsidRPr="002C5DE1">
              <w:rPr>
                <w:rFonts w:ascii="Times New Roman" w:hAnsi="Times New Roman" w:cs="Times New Roman"/>
                <w:color w:val="000000" w:themeColor="text1"/>
                <w:sz w:val="18"/>
                <w:szCs w:val="18"/>
                <w:lang w:val="en-US"/>
              </w:rPr>
              <w:t>0.032</w:t>
            </w:r>
          </w:p>
        </w:tc>
        <w:tc>
          <w:tcPr>
            <w:tcW w:w="891" w:type="dxa"/>
            <w:vAlign w:val="center"/>
          </w:tcPr>
          <w:p w14:paraId="1A3A3B0E" w14:textId="77777777" w:rsidR="00F70B9C" w:rsidRPr="002C5DE1" w:rsidRDefault="00F70B9C" w:rsidP="00035946">
            <w:pPr>
              <w:rPr>
                <w:rFonts w:ascii="Times New Roman" w:hAnsi="Times New Roman" w:cs="Times New Roman"/>
                <w:color w:val="000000" w:themeColor="text1"/>
                <w:sz w:val="18"/>
                <w:szCs w:val="18"/>
                <w:lang w:val="en-US"/>
              </w:rPr>
            </w:pPr>
            <w:r w:rsidRPr="002C5DE1">
              <w:rPr>
                <w:rFonts w:ascii="Times New Roman" w:hAnsi="Times New Roman" w:cs="Times New Roman"/>
                <w:color w:val="000000" w:themeColor="text1"/>
                <w:sz w:val="18"/>
                <w:szCs w:val="18"/>
                <w:lang w:val="en-US"/>
              </w:rPr>
              <w:t>0.024</w:t>
            </w:r>
          </w:p>
        </w:tc>
        <w:tc>
          <w:tcPr>
            <w:tcW w:w="891" w:type="dxa"/>
            <w:vAlign w:val="center"/>
          </w:tcPr>
          <w:p w14:paraId="46F83A23" w14:textId="77777777" w:rsidR="00F70B9C" w:rsidRPr="002C5DE1" w:rsidRDefault="00F70B9C" w:rsidP="00035946">
            <w:pPr>
              <w:rPr>
                <w:rFonts w:ascii="Times New Roman" w:hAnsi="Times New Roman" w:cs="Times New Roman"/>
                <w:color w:val="000000" w:themeColor="text1"/>
                <w:sz w:val="18"/>
                <w:szCs w:val="18"/>
                <w:lang w:val="en-US"/>
              </w:rPr>
            </w:pPr>
            <w:r w:rsidRPr="002C5DE1">
              <w:rPr>
                <w:rFonts w:ascii="Times New Roman" w:hAnsi="Times New Roman" w:cs="Times New Roman"/>
                <w:color w:val="000000" w:themeColor="text1"/>
                <w:sz w:val="18"/>
                <w:szCs w:val="18"/>
                <w:lang w:val="en-US"/>
              </w:rPr>
              <w:t>0.029</w:t>
            </w:r>
          </w:p>
        </w:tc>
        <w:tc>
          <w:tcPr>
            <w:tcW w:w="891" w:type="dxa"/>
            <w:vAlign w:val="center"/>
          </w:tcPr>
          <w:p w14:paraId="3BDB3771" w14:textId="77777777" w:rsidR="00F70B9C" w:rsidRPr="002C5DE1" w:rsidRDefault="00F70B9C" w:rsidP="00035946">
            <w:pPr>
              <w:rPr>
                <w:rFonts w:ascii="Times New Roman" w:hAnsi="Times New Roman" w:cs="Times New Roman"/>
                <w:color w:val="000000" w:themeColor="text1"/>
                <w:sz w:val="18"/>
                <w:szCs w:val="18"/>
                <w:lang w:val="en-US"/>
              </w:rPr>
            </w:pPr>
            <w:r w:rsidRPr="002C5DE1">
              <w:rPr>
                <w:rFonts w:ascii="Times New Roman" w:hAnsi="Times New Roman" w:cs="Times New Roman"/>
                <w:color w:val="000000" w:themeColor="text1"/>
                <w:sz w:val="18"/>
                <w:szCs w:val="18"/>
                <w:lang w:val="en-US"/>
              </w:rPr>
              <w:t>0.029</w:t>
            </w:r>
          </w:p>
        </w:tc>
        <w:tc>
          <w:tcPr>
            <w:tcW w:w="891" w:type="dxa"/>
            <w:vAlign w:val="center"/>
          </w:tcPr>
          <w:p w14:paraId="63EAC503" w14:textId="77777777" w:rsidR="00F70B9C" w:rsidRPr="002C5DE1" w:rsidRDefault="00F70B9C" w:rsidP="00035946">
            <w:pPr>
              <w:rPr>
                <w:rFonts w:ascii="Times New Roman" w:hAnsi="Times New Roman" w:cs="Times New Roman"/>
                <w:color w:val="000000" w:themeColor="text1"/>
                <w:sz w:val="18"/>
                <w:szCs w:val="18"/>
                <w:lang w:val="en-US"/>
              </w:rPr>
            </w:pPr>
            <w:r w:rsidRPr="002C5DE1">
              <w:rPr>
                <w:rFonts w:ascii="Times New Roman" w:hAnsi="Times New Roman" w:cs="Times New Roman"/>
                <w:color w:val="000000" w:themeColor="text1"/>
                <w:sz w:val="18"/>
                <w:szCs w:val="18"/>
                <w:lang w:val="en-US"/>
              </w:rPr>
              <w:t>0.032</w:t>
            </w:r>
          </w:p>
        </w:tc>
      </w:tr>
      <w:tr w:rsidR="00F70B9C" w:rsidRPr="002C5DE1" w14:paraId="0351D0FC" w14:textId="77777777" w:rsidTr="00035946">
        <w:tc>
          <w:tcPr>
            <w:tcW w:w="956" w:type="dxa"/>
          </w:tcPr>
          <w:p w14:paraId="2D03E340" w14:textId="77777777" w:rsidR="00F70B9C" w:rsidRPr="002C5DE1" w:rsidRDefault="00F70B9C" w:rsidP="00035946">
            <w:pPr>
              <w:rPr>
                <w:rFonts w:ascii="Times New Roman" w:hAnsi="Times New Roman" w:cs="Times New Roman"/>
                <w:b/>
                <w:color w:val="000000" w:themeColor="text1"/>
                <w:sz w:val="18"/>
                <w:szCs w:val="18"/>
                <w:lang w:val="en-US"/>
              </w:rPr>
            </w:pPr>
            <w:r w:rsidRPr="002C5DE1">
              <w:rPr>
                <w:rFonts w:ascii="Times New Roman" w:hAnsi="Times New Roman" w:cs="Times New Roman"/>
                <w:b/>
                <w:color w:val="000000" w:themeColor="text1"/>
                <w:sz w:val="18"/>
                <w:szCs w:val="18"/>
                <w:lang w:val="en-US"/>
              </w:rPr>
              <w:t>HW Above</w:t>
            </w:r>
          </w:p>
        </w:tc>
        <w:tc>
          <w:tcPr>
            <w:tcW w:w="891" w:type="dxa"/>
            <w:vAlign w:val="center"/>
          </w:tcPr>
          <w:p w14:paraId="0931E219" w14:textId="77777777" w:rsidR="00F70B9C" w:rsidRPr="002C5DE1" w:rsidRDefault="00F70B9C" w:rsidP="00035946">
            <w:pPr>
              <w:rPr>
                <w:rFonts w:ascii="Times New Roman" w:hAnsi="Times New Roman" w:cs="Times New Roman"/>
                <w:color w:val="000000" w:themeColor="text1"/>
                <w:sz w:val="18"/>
                <w:szCs w:val="18"/>
                <w:lang w:val="en-US"/>
              </w:rPr>
            </w:pPr>
            <w:r w:rsidRPr="002C5DE1">
              <w:rPr>
                <w:rFonts w:ascii="Times New Roman" w:hAnsi="Times New Roman" w:cs="Times New Roman"/>
                <w:color w:val="000000" w:themeColor="text1"/>
                <w:sz w:val="18"/>
                <w:szCs w:val="18"/>
                <w:lang w:val="en-US"/>
              </w:rPr>
              <w:t>0.095***</w:t>
            </w:r>
          </w:p>
        </w:tc>
        <w:tc>
          <w:tcPr>
            <w:tcW w:w="891" w:type="dxa"/>
            <w:vAlign w:val="center"/>
          </w:tcPr>
          <w:p w14:paraId="59BB965F" w14:textId="77777777" w:rsidR="00F70B9C" w:rsidRPr="002C5DE1" w:rsidRDefault="00F70B9C" w:rsidP="00035946">
            <w:pPr>
              <w:rPr>
                <w:rFonts w:ascii="Times New Roman" w:hAnsi="Times New Roman" w:cs="Times New Roman"/>
                <w:color w:val="000000" w:themeColor="text1"/>
                <w:sz w:val="18"/>
                <w:szCs w:val="18"/>
                <w:lang w:val="en-US"/>
              </w:rPr>
            </w:pPr>
            <w:r w:rsidRPr="002C5DE1">
              <w:rPr>
                <w:rFonts w:ascii="Times New Roman" w:hAnsi="Times New Roman" w:cs="Times New Roman"/>
                <w:color w:val="000000" w:themeColor="text1"/>
                <w:sz w:val="18"/>
                <w:szCs w:val="18"/>
                <w:lang w:val="en-US"/>
              </w:rPr>
              <w:t>0.065**</w:t>
            </w:r>
          </w:p>
        </w:tc>
        <w:tc>
          <w:tcPr>
            <w:tcW w:w="891" w:type="dxa"/>
            <w:vAlign w:val="center"/>
          </w:tcPr>
          <w:p w14:paraId="0C84AAAF" w14:textId="77777777" w:rsidR="00F70B9C" w:rsidRPr="002C5DE1" w:rsidRDefault="00F70B9C" w:rsidP="00035946">
            <w:pPr>
              <w:rPr>
                <w:rFonts w:ascii="Times New Roman" w:hAnsi="Times New Roman" w:cs="Times New Roman"/>
                <w:color w:val="000000" w:themeColor="text1"/>
                <w:sz w:val="18"/>
                <w:szCs w:val="18"/>
                <w:lang w:val="en-US"/>
              </w:rPr>
            </w:pPr>
            <w:r w:rsidRPr="002C5DE1">
              <w:rPr>
                <w:rFonts w:ascii="Times New Roman" w:hAnsi="Times New Roman" w:cs="Times New Roman"/>
                <w:color w:val="000000" w:themeColor="text1"/>
                <w:sz w:val="18"/>
                <w:szCs w:val="18"/>
                <w:lang w:val="en-US"/>
              </w:rPr>
              <w:t>0.138***</w:t>
            </w:r>
          </w:p>
        </w:tc>
        <w:tc>
          <w:tcPr>
            <w:tcW w:w="891" w:type="dxa"/>
            <w:vAlign w:val="center"/>
          </w:tcPr>
          <w:p w14:paraId="5894ABD4" w14:textId="77777777" w:rsidR="00F70B9C" w:rsidRPr="002C5DE1" w:rsidRDefault="00F70B9C" w:rsidP="00035946">
            <w:pPr>
              <w:rPr>
                <w:rFonts w:ascii="Times New Roman" w:hAnsi="Times New Roman" w:cs="Times New Roman"/>
                <w:color w:val="000000" w:themeColor="text1"/>
                <w:sz w:val="18"/>
                <w:szCs w:val="18"/>
                <w:lang w:val="en-US"/>
              </w:rPr>
            </w:pPr>
            <w:r w:rsidRPr="002C5DE1">
              <w:rPr>
                <w:rFonts w:ascii="Times New Roman" w:hAnsi="Times New Roman" w:cs="Times New Roman"/>
                <w:color w:val="000000" w:themeColor="text1"/>
                <w:sz w:val="18"/>
                <w:szCs w:val="18"/>
                <w:lang w:val="en-US"/>
              </w:rPr>
              <w:t>0.094***</w:t>
            </w:r>
          </w:p>
        </w:tc>
        <w:tc>
          <w:tcPr>
            <w:tcW w:w="891" w:type="dxa"/>
            <w:vAlign w:val="center"/>
          </w:tcPr>
          <w:p w14:paraId="5A90BCF4" w14:textId="77777777" w:rsidR="00F70B9C" w:rsidRPr="002C5DE1" w:rsidRDefault="00F70B9C" w:rsidP="00035946">
            <w:pPr>
              <w:rPr>
                <w:rFonts w:ascii="Times New Roman" w:hAnsi="Times New Roman" w:cs="Times New Roman"/>
                <w:color w:val="000000" w:themeColor="text1"/>
                <w:sz w:val="18"/>
                <w:szCs w:val="18"/>
                <w:lang w:val="en-US"/>
              </w:rPr>
            </w:pPr>
            <w:r w:rsidRPr="002C5DE1">
              <w:rPr>
                <w:rFonts w:ascii="Times New Roman" w:hAnsi="Times New Roman" w:cs="Times New Roman"/>
                <w:color w:val="000000" w:themeColor="text1"/>
                <w:sz w:val="18"/>
                <w:szCs w:val="18"/>
                <w:lang w:val="en-US"/>
              </w:rPr>
              <w:t>0.108***</w:t>
            </w:r>
          </w:p>
        </w:tc>
        <w:tc>
          <w:tcPr>
            <w:tcW w:w="891" w:type="dxa"/>
            <w:vAlign w:val="center"/>
          </w:tcPr>
          <w:p w14:paraId="7DADCDC7" w14:textId="77777777" w:rsidR="00F70B9C" w:rsidRPr="002C5DE1" w:rsidRDefault="00F70B9C" w:rsidP="00035946">
            <w:pPr>
              <w:rPr>
                <w:rFonts w:ascii="Times New Roman" w:hAnsi="Times New Roman" w:cs="Times New Roman"/>
                <w:color w:val="000000" w:themeColor="text1"/>
                <w:sz w:val="18"/>
                <w:szCs w:val="18"/>
                <w:lang w:val="en-US"/>
              </w:rPr>
            </w:pPr>
            <w:r w:rsidRPr="002C5DE1">
              <w:rPr>
                <w:rFonts w:ascii="Times New Roman" w:hAnsi="Times New Roman" w:cs="Times New Roman"/>
                <w:color w:val="000000" w:themeColor="text1"/>
                <w:sz w:val="18"/>
                <w:szCs w:val="18"/>
                <w:lang w:val="en-US"/>
              </w:rPr>
              <w:t>0.088**</w:t>
            </w:r>
          </w:p>
        </w:tc>
        <w:tc>
          <w:tcPr>
            <w:tcW w:w="891" w:type="dxa"/>
            <w:vAlign w:val="center"/>
          </w:tcPr>
          <w:p w14:paraId="0FBC5623" w14:textId="77777777" w:rsidR="00F70B9C" w:rsidRPr="002C5DE1" w:rsidRDefault="00F70B9C" w:rsidP="00035946">
            <w:pPr>
              <w:rPr>
                <w:rFonts w:ascii="Times New Roman" w:hAnsi="Times New Roman" w:cs="Times New Roman"/>
                <w:color w:val="000000" w:themeColor="text1"/>
                <w:sz w:val="18"/>
                <w:szCs w:val="18"/>
                <w:lang w:val="en-US"/>
              </w:rPr>
            </w:pPr>
            <w:r w:rsidRPr="002C5DE1">
              <w:rPr>
                <w:rFonts w:ascii="Times New Roman" w:hAnsi="Times New Roman" w:cs="Times New Roman"/>
                <w:color w:val="000000" w:themeColor="text1"/>
                <w:sz w:val="18"/>
                <w:szCs w:val="18"/>
                <w:lang w:val="en-US"/>
              </w:rPr>
              <w:t>0.039</w:t>
            </w:r>
          </w:p>
        </w:tc>
        <w:tc>
          <w:tcPr>
            <w:tcW w:w="891" w:type="dxa"/>
            <w:vAlign w:val="center"/>
          </w:tcPr>
          <w:p w14:paraId="47414685" w14:textId="77777777" w:rsidR="00F70B9C" w:rsidRPr="002C5DE1" w:rsidRDefault="00F70B9C" w:rsidP="00035946">
            <w:pPr>
              <w:rPr>
                <w:rFonts w:ascii="Times New Roman" w:hAnsi="Times New Roman" w:cs="Times New Roman"/>
                <w:color w:val="000000" w:themeColor="text1"/>
                <w:sz w:val="18"/>
                <w:szCs w:val="18"/>
                <w:lang w:val="en-US"/>
              </w:rPr>
            </w:pPr>
            <w:r w:rsidRPr="002C5DE1">
              <w:rPr>
                <w:rFonts w:ascii="Times New Roman" w:hAnsi="Times New Roman" w:cs="Times New Roman"/>
                <w:color w:val="000000" w:themeColor="text1"/>
                <w:sz w:val="18"/>
                <w:szCs w:val="18"/>
                <w:lang w:val="en-US"/>
              </w:rPr>
              <w:t>0.038</w:t>
            </w:r>
          </w:p>
        </w:tc>
        <w:tc>
          <w:tcPr>
            <w:tcW w:w="891" w:type="dxa"/>
            <w:vAlign w:val="center"/>
          </w:tcPr>
          <w:p w14:paraId="2E3B32EF" w14:textId="77777777" w:rsidR="00F70B9C" w:rsidRPr="002C5DE1" w:rsidRDefault="00F70B9C" w:rsidP="00035946">
            <w:pPr>
              <w:rPr>
                <w:rFonts w:ascii="Times New Roman" w:hAnsi="Times New Roman" w:cs="Times New Roman"/>
                <w:color w:val="000000" w:themeColor="text1"/>
                <w:sz w:val="18"/>
                <w:szCs w:val="18"/>
                <w:lang w:val="en-US"/>
              </w:rPr>
            </w:pPr>
            <w:r w:rsidRPr="002C5DE1">
              <w:rPr>
                <w:rFonts w:ascii="Times New Roman" w:hAnsi="Times New Roman" w:cs="Times New Roman"/>
                <w:color w:val="000000" w:themeColor="text1"/>
                <w:sz w:val="18"/>
                <w:szCs w:val="18"/>
                <w:lang w:val="en-US"/>
              </w:rPr>
              <w:t>0.062**</w:t>
            </w:r>
          </w:p>
        </w:tc>
        <w:tc>
          <w:tcPr>
            <w:tcW w:w="891" w:type="dxa"/>
            <w:vAlign w:val="center"/>
          </w:tcPr>
          <w:p w14:paraId="301DD3C4" w14:textId="77777777" w:rsidR="00F70B9C" w:rsidRPr="002C5DE1" w:rsidRDefault="00F70B9C" w:rsidP="00035946">
            <w:pPr>
              <w:rPr>
                <w:rFonts w:ascii="Times New Roman" w:hAnsi="Times New Roman" w:cs="Times New Roman"/>
                <w:color w:val="000000" w:themeColor="text1"/>
                <w:sz w:val="18"/>
                <w:szCs w:val="18"/>
                <w:lang w:val="en-US"/>
              </w:rPr>
            </w:pPr>
            <w:r w:rsidRPr="002C5DE1">
              <w:rPr>
                <w:rFonts w:ascii="Times New Roman" w:hAnsi="Times New Roman" w:cs="Times New Roman"/>
                <w:color w:val="000000" w:themeColor="text1"/>
                <w:sz w:val="18"/>
                <w:szCs w:val="18"/>
                <w:lang w:val="en-US"/>
              </w:rPr>
              <w:t>0.051**</w:t>
            </w:r>
          </w:p>
        </w:tc>
      </w:tr>
      <w:tr w:rsidR="00F70B9C" w:rsidRPr="002C5DE1" w14:paraId="4ADC94C1" w14:textId="77777777" w:rsidTr="00035946">
        <w:tc>
          <w:tcPr>
            <w:tcW w:w="956" w:type="dxa"/>
          </w:tcPr>
          <w:p w14:paraId="74CB11A9" w14:textId="77777777" w:rsidR="00F70B9C" w:rsidRPr="002C5DE1" w:rsidRDefault="000F28A9" w:rsidP="00035946">
            <w:pPr>
              <w:rPr>
                <w:rFonts w:ascii="Times New Roman" w:hAnsi="Times New Roman" w:cs="Times New Roman"/>
                <w:b/>
                <w:color w:val="000000" w:themeColor="text1"/>
                <w:sz w:val="18"/>
                <w:szCs w:val="18"/>
                <w:lang w:val="en-US"/>
              </w:rPr>
            </w:pPr>
            <w:proofErr w:type="spellStart"/>
            <w:r w:rsidRPr="002C5DE1">
              <w:rPr>
                <w:rFonts w:ascii="Times New Roman" w:hAnsi="Times New Roman" w:cs="Times New Roman"/>
                <w:b/>
                <w:color w:val="000000" w:themeColor="text1"/>
                <w:sz w:val="18"/>
                <w:szCs w:val="18"/>
                <w:lang w:val="en-US"/>
              </w:rPr>
              <w:t>Δln</w:t>
            </w:r>
            <w:r w:rsidR="00F70B9C" w:rsidRPr="002C5DE1">
              <w:rPr>
                <w:rFonts w:ascii="Times New Roman" w:hAnsi="Times New Roman" w:cs="Times New Roman"/>
                <w:b/>
                <w:color w:val="000000" w:themeColor="text1"/>
                <w:sz w:val="18"/>
                <w:szCs w:val="18"/>
                <w:lang w:val="en-US"/>
              </w:rPr>
              <w:t>Stock</w:t>
            </w:r>
            <w:proofErr w:type="spellEnd"/>
            <w:r w:rsidR="00F70B9C" w:rsidRPr="002C5DE1">
              <w:rPr>
                <w:rFonts w:ascii="Times New Roman" w:hAnsi="Times New Roman" w:cs="Times New Roman"/>
                <w:b/>
                <w:color w:val="000000" w:themeColor="text1"/>
                <w:sz w:val="18"/>
                <w:szCs w:val="18"/>
                <w:lang w:val="en-US"/>
              </w:rPr>
              <w:t xml:space="preserve"> Wealth</w:t>
            </w:r>
          </w:p>
        </w:tc>
        <w:tc>
          <w:tcPr>
            <w:tcW w:w="891" w:type="dxa"/>
            <w:vAlign w:val="center"/>
          </w:tcPr>
          <w:p w14:paraId="2D71707E" w14:textId="77777777" w:rsidR="00F70B9C" w:rsidRPr="002C5DE1" w:rsidRDefault="00F70B9C" w:rsidP="00035946">
            <w:pPr>
              <w:rPr>
                <w:rFonts w:ascii="Times New Roman" w:hAnsi="Times New Roman" w:cs="Times New Roman"/>
                <w:color w:val="000000" w:themeColor="text1"/>
                <w:sz w:val="18"/>
                <w:szCs w:val="18"/>
                <w:lang w:val="en-US"/>
              </w:rPr>
            </w:pPr>
            <w:r w:rsidRPr="002C5DE1">
              <w:rPr>
                <w:rFonts w:ascii="Times New Roman" w:hAnsi="Times New Roman" w:cs="Times New Roman"/>
                <w:color w:val="000000" w:themeColor="text1"/>
                <w:sz w:val="18"/>
                <w:szCs w:val="18"/>
                <w:lang w:val="en-US"/>
              </w:rPr>
              <w:t>0.086***</w:t>
            </w:r>
          </w:p>
        </w:tc>
        <w:tc>
          <w:tcPr>
            <w:tcW w:w="891" w:type="dxa"/>
            <w:vAlign w:val="center"/>
          </w:tcPr>
          <w:p w14:paraId="73F55222" w14:textId="77777777" w:rsidR="00F70B9C" w:rsidRPr="002C5DE1" w:rsidRDefault="00F70B9C" w:rsidP="00035946">
            <w:pPr>
              <w:rPr>
                <w:rFonts w:ascii="Times New Roman" w:hAnsi="Times New Roman" w:cs="Times New Roman"/>
                <w:color w:val="000000" w:themeColor="text1"/>
                <w:sz w:val="18"/>
                <w:szCs w:val="18"/>
                <w:lang w:val="en-US"/>
              </w:rPr>
            </w:pPr>
            <w:r w:rsidRPr="002C5DE1">
              <w:rPr>
                <w:rFonts w:ascii="Times New Roman" w:hAnsi="Times New Roman" w:cs="Times New Roman"/>
                <w:color w:val="000000" w:themeColor="text1"/>
                <w:sz w:val="18"/>
                <w:szCs w:val="18"/>
                <w:lang w:val="en-US"/>
              </w:rPr>
              <w:t>0.062**</w:t>
            </w:r>
          </w:p>
        </w:tc>
        <w:tc>
          <w:tcPr>
            <w:tcW w:w="891" w:type="dxa"/>
            <w:vAlign w:val="center"/>
          </w:tcPr>
          <w:p w14:paraId="255CE3AE" w14:textId="77777777" w:rsidR="00F70B9C" w:rsidRPr="002C5DE1" w:rsidRDefault="00F70B9C" w:rsidP="00035946">
            <w:pPr>
              <w:rPr>
                <w:rFonts w:ascii="Times New Roman" w:hAnsi="Times New Roman" w:cs="Times New Roman"/>
                <w:color w:val="000000" w:themeColor="text1"/>
                <w:sz w:val="18"/>
                <w:szCs w:val="18"/>
                <w:lang w:val="en-US"/>
              </w:rPr>
            </w:pPr>
            <w:r w:rsidRPr="002C5DE1">
              <w:rPr>
                <w:rFonts w:ascii="Times New Roman" w:hAnsi="Times New Roman" w:cs="Times New Roman"/>
                <w:color w:val="000000" w:themeColor="text1"/>
                <w:sz w:val="18"/>
                <w:szCs w:val="18"/>
                <w:lang w:val="en-US"/>
              </w:rPr>
              <w:t>0.108***</w:t>
            </w:r>
          </w:p>
        </w:tc>
        <w:tc>
          <w:tcPr>
            <w:tcW w:w="891" w:type="dxa"/>
            <w:vAlign w:val="center"/>
          </w:tcPr>
          <w:p w14:paraId="77975177" w14:textId="77777777" w:rsidR="00F70B9C" w:rsidRPr="002C5DE1" w:rsidRDefault="00F70B9C" w:rsidP="00035946">
            <w:pPr>
              <w:rPr>
                <w:rFonts w:ascii="Times New Roman" w:hAnsi="Times New Roman" w:cs="Times New Roman"/>
                <w:color w:val="000000" w:themeColor="text1"/>
                <w:sz w:val="18"/>
                <w:szCs w:val="18"/>
                <w:lang w:val="en-US"/>
              </w:rPr>
            </w:pPr>
            <w:r w:rsidRPr="002C5DE1">
              <w:rPr>
                <w:rFonts w:ascii="Times New Roman" w:hAnsi="Times New Roman" w:cs="Times New Roman"/>
                <w:color w:val="000000" w:themeColor="text1"/>
                <w:sz w:val="18"/>
                <w:szCs w:val="18"/>
                <w:lang w:val="en-US"/>
              </w:rPr>
              <w:t>0.097***</w:t>
            </w:r>
          </w:p>
        </w:tc>
        <w:tc>
          <w:tcPr>
            <w:tcW w:w="891" w:type="dxa"/>
            <w:vAlign w:val="center"/>
          </w:tcPr>
          <w:p w14:paraId="031D3879" w14:textId="77777777" w:rsidR="00F70B9C" w:rsidRPr="002C5DE1" w:rsidRDefault="00F70B9C" w:rsidP="00035946">
            <w:pPr>
              <w:rPr>
                <w:rFonts w:ascii="Times New Roman" w:hAnsi="Times New Roman" w:cs="Times New Roman"/>
                <w:color w:val="000000" w:themeColor="text1"/>
                <w:sz w:val="18"/>
                <w:szCs w:val="18"/>
                <w:lang w:val="en-US"/>
              </w:rPr>
            </w:pPr>
            <w:r w:rsidRPr="002C5DE1">
              <w:rPr>
                <w:rFonts w:ascii="Times New Roman" w:hAnsi="Times New Roman" w:cs="Times New Roman"/>
                <w:color w:val="000000" w:themeColor="text1"/>
                <w:sz w:val="18"/>
                <w:szCs w:val="18"/>
                <w:lang w:val="en-US"/>
              </w:rPr>
              <w:t>0.105***</w:t>
            </w:r>
          </w:p>
        </w:tc>
        <w:tc>
          <w:tcPr>
            <w:tcW w:w="891" w:type="dxa"/>
            <w:vAlign w:val="center"/>
          </w:tcPr>
          <w:p w14:paraId="130C1F59" w14:textId="77777777" w:rsidR="00F70B9C" w:rsidRPr="002C5DE1" w:rsidRDefault="00F70B9C" w:rsidP="00035946">
            <w:pPr>
              <w:rPr>
                <w:rFonts w:ascii="Times New Roman" w:hAnsi="Times New Roman" w:cs="Times New Roman"/>
                <w:color w:val="000000" w:themeColor="text1"/>
                <w:sz w:val="18"/>
                <w:szCs w:val="18"/>
                <w:lang w:val="en-US"/>
              </w:rPr>
            </w:pPr>
            <w:r w:rsidRPr="002C5DE1">
              <w:rPr>
                <w:rFonts w:ascii="Times New Roman" w:hAnsi="Times New Roman" w:cs="Times New Roman"/>
                <w:color w:val="000000" w:themeColor="text1"/>
                <w:sz w:val="18"/>
                <w:szCs w:val="18"/>
                <w:lang w:val="en-US"/>
              </w:rPr>
              <w:t>0.093***</w:t>
            </w:r>
          </w:p>
        </w:tc>
        <w:tc>
          <w:tcPr>
            <w:tcW w:w="891" w:type="dxa"/>
            <w:vAlign w:val="center"/>
          </w:tcPr>
          <w:p w14:paraId="531B6550" w14:textId="77777777" w:rsidR="00F70B9C" w:rsidRPr="002C5DE1" w:rsidRDefault="00F70B9C" w:rsidP="00035946">
            <w:pPr>
              <w:rPr>
                <w:rFonts w:ascii="Times New Roman" w:hAnsi="Times New Roman" w:cs="Times New Roman"/>
                <w:color w:val="000000" w:themeColor="text1"/>
                <w:sz w:val="18"/>
                <w:szCs w:val="18"/>
                <w:lang w:val="en-US"/>
              </w:rPr>
            </w:pPr>
            <w:r w:rsidRPr="002C5DE1">
              <w:rPr>
                <w:rFonts w:ascii="Times New Roman" w:hAnsi="Times New Roman" w:cs="Times New Roman"/>
                <w:color w:val="000000" w:themeColor="text1"/>
                <w:sz w:val="18"/>
                <w:szCs w:val="18"/>
                <w:lang w:val="en-US"/>
              </w:rPr>
              <w:t>0.041*</w:t>
            </w:r>
          </w:p>
        </w:tc>
        <w:tc>
          <w:tcPr>
            <w:tcW w:w="891" w:type="dxa"/>
            <w:vAlign w:val="center"/>
          </w:tcPr>
          <w:p w14:paraId="5D0A7F95" w14:textId="77777777" w:rsidR="00F70B9C" w:rsidRPr="002C5DE1" w:rsidRDefault="00F70B9C" w:rsidP="00035946">
            <w:pPr>
              <w:rPr>
                <w:rFonts w:ascii="Times New Roman" w:hAnsi="Times New Roman" w:cs="Times New Roman"/>
                <w:color w:val="000000" w:themeColor="text1"/>
                <w:sz w:val="18"/>
                <w:szCs w:val="18"/>
                <w:lang w:val="en-US"/>
              </w:rPr>
            </w:pPr>
            <w:r w:rsidRPr="002C5DE1">
              <w:rPr>
                <w:rFonts w:ascii="Times New Roman" w:hAnsi="Times New Roman" w:cs="Times New Roman"/>
                <w:color w:val="000000" w:themeColor="text1"/>
                <w:sz w:val="18"/>
                <w:szCs w:val="18"/>
                <w:lang w:val="en-US"/>
              </w:rPr>
              <w:t>0.035</w:t>
            </w:r>
          </w:p>
        </w:tc>
        <w:tc>
          <w:tcPr>
            <w:tcW w:w="891" w:type="dxa"/>
            <w:vAlign w:val="center"/>
          </w:tcPr>
          <w:p w14:paraId="76CD68F1" w14:textId="77777777" w:rsidR="00F70B9C" w:rsidRPr="002C5DE1" w:rsidRDefault="00F70B9C" w:rsidP="00035946">
            <w:pPr>
              <w:rPr>
                <w:rFonts w:ascii="Times New Roman" w:hAnsi="Times New Roman" w:cs="Times New Roman"/>
                <w:color w:val="000000" w:themeColor="text1"/>
                <w:sz w:val="18"/>
                <w:szCs w:val="18"/>
                <w:lang w:val="en-US"/>
              </w:rPr>
            </w:pPr>
            <w:r w:rsidRPr="002C5DE1">
              <w:rPr>
                <w:rFonts w:ascii="Times New Roman" w:hAnsi="Times New Roman" w:cs="Times New Roman"/>
                <w:color w:val="000000" w:themeColor="text1"/>
                <w:sz w:val="18"/>
                <w:szCs w:val="18"/>
                <w:lang w:val="en-US"/>
              </w:rPr>
              <w:t>0.052**</w:t>
            </w:r>
          </w:p>
        </w:tc>
        <w:tc>
          <w:tcPr>
            <w:tcW w:w="891" w:type="dxa"/>
            <w:vAlign w:val="center"/>
          </w:tcPr>
          <w:p w14:paraId="413FE262" w14:textId="77777777" w:rsidR="00F70B9C" w:rsidRPr="002C5DE1" w:rsidRDefault="00F70B9C" w:rsidP="00035946">
            <w:pPr>
              <w:rPr>
                <w:rFonts w:ascii="Times New Roman" w:hAnsi="Times New Roman" w:cs="Times New Roman"/>
                <w:color w:val="000000" w:themeColor="text1"/>
                <w:sz w:val="18"/>
                <w:szCs w:val="18"/>
                <w:lang w:val="en-US"/>
              </w:rPr>
            </w:pPr>
            <w:r w:rsidRPr="002C5DE1">
              <w:rPr>
                <w:rFonts w:ascii="Times New Roman" w:hAnsi="Times New Roman" w:cs="Times New Roman"/>
                <w:color w:val="000000" w:themeColor="text1"/>
                <w:sz w:val="18"/>
                <w:szCs w:val="18"/>
                <w:lang w:val="en-US"/>
              </w:rPr>
              <w:t>0.048**</w:t>
            </w:r>
          </w:p>
        </w:tc>
      </w:tr>
    </w:tbl>
    <w:p w14:paraId="0B439113" w14:textId="77777777" w:rsidR="00C9589E" w:rsidRPr="002C5DE1" w:rsidRDefault="00F70B9C" w:rsidP="00F57094">
      <w:pPr>
        <w:pStyle w:val="CommentText"/>
        <w:spacing w:before="60" w:after="120"/>
        <w:jc w:val="both"/>
        <w:rPr>
          <w:rFonts w:ascii="Times New Roman" w:hAnsi="Times New Roman" w:cs="Times New Roman"/>
          <w:b/>
          <w:color w:val="000000" w:themeColor="text1"/>
          <w:sz w:val="24"/>
          <w:szCs w:val="24"/>
          <w:lang w:val="en-US"/>
        </w:rPr>
      </w:pPr>
      <w:r w:rsidRPr="002C5DE1">
        <w:rPr>
          <w:rFonts w:ascii="Times New Roman" w:hAnsi="Times New Roman" w:cs="Times New Roman"/>
          <w:b/>
          <w:i/>
          <w:color w:val="000000" w:themeColor="text1"/>
          <w:lang w:val="en-US"/>
        </w:rPr>
        <w:t>Notes</w:t>
      </w:r>
      <w:r w:rsidRPr="002C5DE1">
        <w:rPr>
          <w:rFonts w:ascii="Times New Roman" w:hAnsi="Times New Roman" w:cs="Times New Roman"/>
          <w:color w:val="000000" w:themeColor="text1"/>
          <w:lang w:val="en-US"/>
        </w:rPr>
        <w:t xml:space="preserve">: Thresholds: </w:t>
      </w:r>
      <w:r w:rsidR="000F28A9" w:rsidRPr="002C5DE1">
        <w:rPr>
          <w:rFonts w:ascii="Times New Roman" w:hAnsi="Times New Roman" w:cs="Times New Roman"/>
          <w:color w:val="000000" w:themeColor="text1"/>
          <w:lang w:val="en-US"/>
        </w:rPr>
        <w:t xml:space="preserve">logs of </w:t>
      </w:r>
      <w:r w:rsidRPr="002C5DE1">
        <w:rPr>
          <w:rFonts w:ascii="Times New Roman" w:hAnsi="Times New Roman" w:cs="Times New Roman"/>
          <w:color w:val="000000" w:themeColor="text1"/>
          <w:lang w:val="en-US"/>
        </w:rPr>
        <w:t xml:space="preserve">financial development index and the housing prices to income ratio. Abbreviations: FD: </w:t>
      </w:r>
      <w:r w:rsidR="000F28A9" w:rsidRPr="002C5DE1">
        <w:rPr>
          <w:rFonts w:ascii="Times New Roman" w:hAnsi="Times New Roman" w:cs="Times New Roman"/>
          <w:color w:val="000000" w:themeColor="text1"/>
          <w:lang w:val="en-US"/>
        </w:rPr>
        <w:t xml:space="preserve">log of </w:t>
      </w:r>
      <w:r w:rsidRPr="002C5DE1">
        <w:rPr>
          <w:rFonts w:ascii="Times New Roman" w:hAnsi="Times New Roman" w:cs="Times New Roman"/>
          <w:color w:val="000000" w:themeColor="text1"/>
          <w:lang w:val="en-US"/>
        </w:rPr>
        <w:t xml:space="preserve">financial development index, HPI: </w:t>
      </w:r>
      <w:r w:rsidR="000F28A9" w:rsidRPr="002C5DE1">
        <w:rPr>
          <w:rFonts w:ascii="Times New Roman" w:hAnsi="Times New Roman" w:cs="Times New Roman"/>
          <w:color w:val="000000" w:themeColor="text1"/>
          <w:lang w:val="en-US"/>
        </w:rPr>
        <w:t xml:space="preserve">log of </w:t>
      </w:r>
      <w:r w:rsidRPr="002C5DE1">
        <w:rPr>
          <w:rFonts w:ascii="Times New Roman" w:hAnsi="Times New Roman" w:cs="Times New Roman"/>
          <w:color w:val="000000" w:themeColor="text1"/>
          <w:lang w:val="en-US"/>
        </w:rPr>
        <w:t xml:space="preserve">House price-to-income ratio, HW: </w:t>
      </w:r>
      <w:r w:rsidR="000F28A9" w:rsidRPr="002C5DE1">
        <w:rPr>
          <w:rFonts w:ascii="Times New Roman" w:hAnsi="Times New Roman" w:cs="Times New Roman"/>
          <w:color w:val="000000" w:themeColor="text1"/>
          <w:lang w:val="en-US"/>
        </w:rPr>
        <w:t xml:space="preserve">log of </w:t>
      </w:r>
      <w:r w:rsidRPr="002C5DE1">
        <w:rPr>
          <w:rFonts w:ascii="Times New Roman" w:hAnsi="Times New Roman" w:cs="Times New Roman"/>
          <w:color w:val="000000" w:themeColor="text1"/>
          <w:lang w:val="en-US"/>
        </w:rPr>
        <w:t xml:space="preserve">housing wealth, GFC: Global Financial Crisis. *: p&lt;0.10, </w:t>
      </w:r>
      <w:r w:rsidRPr="002C5DE1">
        <w:rPr>
          <w:rFonts w:ascii="Cambria Math" w:hAnsi="Cambria Math" w:cs="Cambria Math"/>
          <w:color w:val="000000" w:themeColor="text1"/>
          <w:lang w:val="en-US"/>
        </w:rPr>
        <w:t>∗∗</w:t>
      </w:r>
      <w:r w:rsidRPr="002C5DE1">
        <w:rPr>
          <w:rFonts w:ascii="Times New Roman" w:hAnsi="Times New Roman" w:cs="Times New Roman"/>
          <w:color w:val="000000" w:themeColor="text1"/>
          <w:lang w:val="en-US"/>
        </w:rPr>
        <w:t>: p&lt;0.05, ***: p&lt;0.01.</w:t>
      </w:r>
    </w:p>
    <w:p w14:paraId="3A213B07" w14:textId="77777777" w:rsidR="00C9589E" w:rsidRPr="002C5DE1" w:rsidRDefault="00C9589E" w:rsidP="00F70B9C">
      <w:pPr>
        <w:spacing w:after="0" w:line="240" w:lineRule="auto"/>
        <w:rPr>
          <w:rFonts w:ascii="Times New Roman" w:hAnsi="Times New Roman" w:cs="Times New Roman"/>
          <w:b/>
          <w:color w:val="000000" w:themeColor="text1"/>
          <w:sz w:val="24"/>
          <w:szCs w:val="24"/>
          <w:lang w:val="en-US"/>
        </w:rPr>
      </w:pPr>
    </w:p>
    <w:p w14:paraId="27E24D11" w14:textId="77777777" w:rsidR="00C9589E" w:rsidRPr="002C5DE1" w:rsidRDefault="00C9589E" w:rsidP="00F70B9C">
      <w:pPr>
        <w:spacing w:after="0" w:line="240" w:lineRule="auto"/>
        <w:rPr>
          <w:rFonts w:ascii="Times New Roman" w:hAnsi="Times New Roman" w:cs="Times New Roman"/>
          <w:b/>
          <w:color w:val="000000" w:themeColor="text1"/>
          <w:sz w:val="24"/>
          <w:szCs w:val="24"/>
          <w:lang w:val="en-US"/>
        </w:rPr>
      </w:pPr>
    </w:p>
    <w:p w14:paraId="2FB350A1" w14:textId="77777777" w:rsidR="00F70B9C" w:rsidRPr="002C5DE1" w:rsidRDefault="00F70B9C" w:rsidP="00F70B9C">
      <w:pPr>
        <w:spacing w:after="0" w:line="240" w:lineRule="auto"/>
        <w:rPr>
          <w:rFonts w:ascii="Times New Roman" w:hAnsi="Times New Roman" w:cs="Times New Roman"/>
          <w:b/>
          <w:color w:val="000000" w:themeColor="text1"/>
          <w:sz w:val="24"/>
          <w:szCs w:val="24"/>
          <w:lang w:val="en-US"/>
        </w:rPr>
      </w:pPr>
      <w:r w:rsidRPr="002C5DE1">
        <w:rPr>
          <w:rFonts w:ascii="Times New Roman" w:hAnsi="Times New Roman" w:cs="Times New Roman"/>
          <w:b/>
          <w:color w:val="000000" w:themeColor="text1"/>
          <w:sz w:val="24"/>
          <w:szCs w:val="24"/>
          <w:lang w:val="en-US"/>
        </w:rPr>
        <w:t>Figure A1. Financial Wealth and Financial Development</w:t>
      </w:r>
    </w:p>
    <w:p w14:paraId="0D2906F5" w14:textId="77777777" w:rsidR="00F70B9C" w:rsidRPr="002C5DE1" w:rsidRDefault="00F70B9C" w:rsidP="00F70B9C">
      <w:pPr>
        <w:spacing w:after="0" w:line="240" w:lineRule="auto"/>
        <w:rPr>
          <w:rFonts w:ascii="Times New Roman" w:hAnsi="Times New Roman" w:cs="Times New Roman"/>
          <w:color w:val="000000" w:themeColor="text1"/>
          <w:sz w:val="24"/>
          <w:szCs w:val="24"/>
          <w:lang w:val="en-US"/>
        </w:rPr>
      </w:pPr>
      <w:r w:rsidRPr="002C5DE1">
        <w:rPr>
          <w:rFonts w:ascii="Times New Roman" w:hAnsi="Times New Roman" w:cs="Times New Roman"/>
          <w:noProof/>
          <w:color w:val="000000" w:themeColor="text1"/>
          <w:sz w:val="24"/>
          <w:szCs w:val="24"/>
          <w:lang w:eastAsia="tr-TR"/>
        </w:rPr>
        <w:drawing>
          <wp:inline distT="0" distB="0" distL="0" distR="0" wp14:anchorId="640D4A53" wp14:editId="6CE94996">
            <wp:extent cx="6562725" cy="542336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w 2.png"/>
                    <pic:cNvPicPr/>
                  </pic:nvPicPr>
                  <pic:blipFill>
                    <a:blip r:embed="rId9">
                      <a:extLst>
                        <a:ext uri="{28A0092B-C50C-407E-A947-70E740481C1C}">
                          <a14:useLocalDpi xmlns:a14="http://schemas.microsoft.com/office/drawing/2010/main" val="0"/>
                        </a:ext>
                      </a:extLst>
                    </a:blip>
                    <a:stretch>
                      <a:fillRect/>
                    </a:stretch>
                  </pic:blipFill>
                  <pic:spPr>
                    <a:xfrm>
                      <a:off x="0" y="0"/>
                      <a:ext cx="6582236" cy="5439484"/>
                    </a:xfrm>
                    <a:prstGeom prst="rect">
                      <a:avLst/>
                    </a:prstGeom>
                  </pic:spPr>
                </pic:pic>
              </a:graphicData>
            </a:graphic>
          </wp:inline>
        </w:drawing>
      </w:r>
    </w:p>
    <w:p w14:paraId="79FCB001" w14:textId="77777777" w:rsidR="00F70B9C" w:rsidRPr="002C5DE1" w:rsidRDefault="00F70B9C" w:rsidP="00F70B9C">
      <w:pPr>
        <w:spacing w:after="0" w:line="240" w:lineRule="auto"/>
        <w:rPr>
          <w:rFonts w:ascii="Times New Roman" w:hAnsi="Times New Roman" w:cs="Times New Roman"/>
          <w:b/>
          <w:color w:val="000000" w:themeColor="text1"/>
          <w:sz w:val="24"/>
          <w:szCs w:val="24"/>
          <w:lang w:val="en-US"/>
        </w:rPr>
      </w:pPr>
    </w:p>
    <w:p w14:paraId="6DF90FBF" w14:textId="77777777" w:rsidR="0029123D" w:rsidRPr="002C5DE1" w:rsidRDefault="0029123D" w:rsidP="00F70B9C">
      <w:pPr>
        <w:spacing w:after="0" w:line="240" w:lineRule="auto"/>
        <w:rPr>
          <w:rFonts w:ascii="Times New Roman" w:hAnsi="Times New Roman" w:cs="Times New Roman"/>
          <w:b/>
          <w:color w:val="000000" w:themeColor="text1"/>
          <w:sz w:val="24"/>
          <w:szCs w:val="24"/>
          <w:lang w:val="en-US"/>
        </w:rPr>
      </w:pPr>
    </w:p>
    <w:p w14:paraId="06DDF61F" w14:textId="77777777" w:rsidR="00F70B9C" w:rsidRPr="002C5DE1" w:rsidRDefault="00F70B9C" w:rsidP="00F70B9C">
      <w:pPr>
        <w:spacing w:after="0" w:line="240" w:lineRule="auto"/>
        <w:rPr>
          <w:rFonts w:ascii="Times New Roman" w:hAnsi="Times New Roman" w:cs="Times New Roman"/>
          <w:b/>
          <w:color w:val="000000" w:themeColor="text1"/>
          <w:sz w:val="24"/>
          <w:szCs w:val="24"/>
          <w:lang w:val="en-US"/>
        </w:rPr>
      </w:pPr>
      <w:r w:rsidRPr="002C5DE1">
        <w:rPr>
          <w:rFonts w:ascii="Times New Roman" w:hAnsi="Times New Roman" w:cs="Times New Roman"/>
          <w:b/>
          <w:color w:val="000000" w:themeColor="text1"/>
          <w:sz w:val="24"/>
          <w:szCs w:val="24"/>
          <w:lang w:val="en-US"/>
        </w:rPr>
        <w:lastRenderedPageBreak/>
        <w:t xml:space="preserve">Figure A2. Housing Wealth and House Price-Income Ratio </w:t>
      </w:r>
    </w:p>
    <w:p w14:paraId="0C37ADC0" w14:textId="77777777" w:rsidR="00F70B9C" w:rsidRPr="002C5DE1" w:rsidRDefault="00F70B9C" w:rsidP="00F70B9C">
      <w:pPr>
        <w:spacing w:after="0" w:line="240" w:lineRule="auto"/>
        <w:rPr>
          <w:rFonts w:ascii="Times New Roman" w:hAnsi="Times New Roman" w:cs="Times New Roman"/>
          <w:b/>
          <w:color w:val="000000" w:themeColor="text1"/>
          <w:sz w:val="24"/>
          <w:szCs w:val="24"/>
          <w:lang w:val="en-US"/>
        </w:rPr>
      </w:pPr>
      <w:r w:rsidRPr="002C5DE1">
        <w:rPr>
          <w:rFonts w:ascii="Times New Roman" w:hAnsi="Times New Roman" w:cs="Times New Roman"/>
          <w:b/>
          <w:noProof/>
          <w:color w:val="000000" w:themeColor="text1"/>
          <w:sz w:val="24"/>
          <w:szCs w:val="24"/>
          <w:lang w:eastAsia="tr-TR"/>
        </w:rPr>
        <w:drawing>
          <wp:inline distT="0" distB="0" distL="0" distR="0" wp14:anchorId="4CB8EDDC" wp14:editId="6D8A0030">
            <wp:extent cx="6562725" cy="542336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w 2.png"/>
                    <pic:cNvPicPr/>
                  </pic:nvPicPr>
                  <pic:blipFill>
                    <a:blip r:embed="rId10">
                      <a:extLst>
                        <a:ext uri="{28A0092B-C50C-407E-A947-70E740481C1C}">
                          <a14:useLocalDpi xmlns:a14="http://schemas.microsoft.com/office/drawing/2010/main" val="0"/>
                        </a:ext>
                      </a:extLst>
                    </a:blip>
                    <a:stretch>
                      <a:fillRect/>
                    </a:stretch>
                  </pic:blipFill>
                  <pic:spPr>
                    <a:xfrm>
                      <a:off x="0" y="0"/>
                      <a:ext cx="6583750" cy="5440738"/>
                    </a:xfrm>
                    <a:prstGeom prst="rect">
                      <a:avLst/>
                    </a:prstGeom>
                  </pic:spPr>
                </pic:pic>
              </a:graphicData>
            </a:graphic>
          </wp:inline>
        </w:drawing>
      </w:r>
    </w:p>
    <w:p w14:paraId="4F1151DA" w14:textId="77777777" w:rsidR="0029123D" w:rsidRPr="002C5DE1" w:rsidRDefault="0029123D" w:rsidP="00F70B9C">
      <w:pPr>
        <w:spacing w:after="0" w:line="240" w:lineRule="auto"/>
        <w:rPr>
          <w:rFonts w:ascii="Times New Roman" w:hAnsi="Times New Roman" w:cs="Times New Roman"/>
          <w:b/>
          <w:color w:val="000000" w:themeColor="text1"/>
          <w:sz w:val="24"/>
          <w:szCs w:val="24"/>
          <w:lang w:val="en-US"/>
        </w:rPr>
      </w:pPr>
    </w:p>
    <w:p w14:paraId="667DED63" w14:textId="77777777" w:rsidR="0029123D" w:rsidRPr="002C5DE1" w:rsidRDefault="0029123D" w:rsidP="00F70B9C">
      <w:pPr>
        <w:spacing w:after="0" w:line="240" w:lineRule="auto"/>
        <w:rPr>
          <w:rFonts w:ascii="Times New Roman" w:hAnsi="Times New Roman" w:cs="Times New Roman"/>
          <w:b/>
          <w:color w:val="000000" w:themeColor="text1"/>
          <w:sz w:val="24"/>
          <w:szCs w:val="24"/>
          <w:lang w:val="en-US"/>
        </w:rPr>
      </w:pPr>
    </w:p>
    <w:p w14:paraId="0808DCF7" w14:textId="77777777" w:rsidR="0029123D" w:rsidRPr="002C5DE1" w:rsidRDefault="0029123D" w:rsidP="00F70B9C">
      <w:pPr>
        <w:spacing w:after="0" w:line="240" w:lineRule="auto"/>
        <w:rPr>
          <w:rFonts w:ascii="Times New Roman" w:hAnsi="Times New Roman" w:cs="Times New Roman"/>
          <w:b/>
          <w:color w:val="000000" w:themeColor="text1"/>
          <w:sz w:val="24"/>
          <w:szCs w:val="24"/>
          <w:lang w:val="en-US"/>
        </w:rPr>
      </w:pPr>
    </w:p>
    <w:p w14:paraId="571195B8" w14:textId="77777777" w:rsidR="0029123D" w:rsidRPr="002C5DE1" w:rsidRDefault="0029123D" w:rsidP="00F70B9C">
      <w:pPr>
        <w:spacing w:after="0" w:line="240" w:lineRule="auto"/>
        <w:rPr>
          <w:rFonts w:ascii="Times New Roman" w:hAnsi="Times New Roman" w:cs="Times New Roman"/>
          <w:b/>
          <w:color w:val="000000" w:themeColor="text1"/>
          <w:sz w:val="24"/>
          <w:szCs w:val="24"/>
          <w:lang w:val="en-US"/>
        </w:rPr>
      </w:pPr>
    </w:p>
    <w:p w14:paraId="58A99134" w14:textId="77777777" w:rsidR="0029123D" w:rsidRPr="002C5DE1" w:rsidRDefault="0029123D" w:rsidP="00F70B9C">
      <w:pPr>
        <w:spacing w:after="0" w:line="240" w:lineRule="auto"/>
        <w:rPr>
          <w:rFonts w:ascii="Times New Roman" w:hAnsi="Times New Roman" w:cs="Times New Roman"/>
          <w:b/>
          <w:color w:val="000000" w:themeColor="text1"/>
          <w:sz w:val="24"/>
          <w:szCs w:val="24"/>
          <w:lang w:val="en-US"/>
        </w:rPr>
      </w:pPr>
    </w:p>
    <w:p w14:paraId="7C345E2A" w14:textId="77777777" w:rsidR="0029123D" w:rsidRPr="002C5DE1" w:rsidRDefault="0029123D" w:rsidP="00F70B9C">
      <w:pPr>
        <w:spacing w:after="0" w:line="240" w:lineRule="auto"/>
        <w:rPr>
          <w:rFonts w:ascii="Times New Roman" w:hAnsi="Times New Roman" w:cs="Times New Roman"/>
          <w:b/>
          <w:color w:val="000000" w:themeColor="text1"/>
          <w:sz w:val="24"/>
          <w:szCs w:val="24"/>
          <w:lang w:val="en-US"/>
        </w:rPr>
      </w:pPr>
    </w:p>
    <w:p w14:paraId="000D6F24" w14:textId="77777777" w:rsidR="0029123D" w:rsidRPr="002C5DE1" w:rsidRDefault="0029123D" w:rsidP="00F70B9C">
      <w:pPr>
        <w:spacing w:after="0" w:line="240" w:lineRule="auto"/>
        <w:rPr>
          <w:rFonts w:ascii="Times New Roman" w:hAnsi="Times New Roman" w:cs="Times New Roman"/>
          <w:b/>
          <w:color w:val="000000" w:themeColor="text1"/>
          <w:sz w:val="24"/>
          <w:szCs w:val="24"/>
          <w:lang w:val="en-US"/>
        </w:rPr>
      </w:pPr>
    </w:p>
    <w:p w14:paraId="1E6D718D" w14:textId="77777777" w:rsidR="0029123D" w:rsidRPr="002C5DE1" w:rsidRDefault="0029123D" w:rsidP="00F70B9C">
      <w:pPr>
        <w:spacing w:after="0" w:line="240" w:lineRule="auto"/>
        <w:rPr>
          <w:rFonts w:ascii="Times New Roman" w:hAnsi="Times New Roman" w:cs="Times New Roman"/>
          <w:b/>
          <w:color w:val="000000" w:themeColor="text1"/>
          <w:sz w:val="24"/>
          <w:szCs w:val="24"/>
          <w:lang w:val="en-US"/>
        </w:rPr>
      </w:pPr>
    </w:p>
    <w:p w14:paraId="67A9EDE9" w14:textId="77777777" w:rsidR="0029123D" w:rsidRPr="002C5DE1" w:rsidRDefault="0029123D" w:rsidP="00F70B9C">
      <w:pPr>
        <w:spacing w:after="0" w:line="240" w:lineRule="auto"/>
        <w:rPr>
          <w:rFonts w:ascii="Times New Roman" w:hAnsi="Times New Roman" w:cs="Times New Roman"/>
          <w:b/>
          <w:color w:val="000000" w:themeColor="text1"/>
          <w:sz w:val="24"/>
          <w:szCs w:val="24"/>
          <w:lang w:val="en-US"/>
        </w:rPr>
      </w:pPr>
    </w:p>
    <w:p w14:paraId="7D18FA41" w14:textId="77777777" w:rsidR="0029123D" w:rsidRPr="002C5DE1" w:rsidRDefault="0029123D" w:rsidP="00F70B9C">
      <w:pPr>
        <w:spacing w:after="0" w:line="240" w:lineRule="auto"/>
        <w:rPr>
          <w:rFonts w:ascii="Times New Roman" w:hAnsi="Times New Roman" w:cs="Times New Roman"/>
          <w:b/>
          <w:color w:val="000000" w:themeColor="text1"/>
          <w:sz w:val="24"/>
          <w:szCs w:val="24"/>
          <w:lang w:val="en-US"/>
        </w:rPr>
      </w:pPr>
    </w:p>
    <w:p w14:paraId="42457E0F" w14:textId="77777777" w:rsidR="0029123D" w:rsidRPr="002C5DE1" w:rsidRDefault="0029123D" w:rsidP="00F70B9C">
      <w:pPr>
        <w:spacing w:after="0" w:line="240" w:lineRule="auto"/>
        <w:rPr>
          <w:rFonts w:ascii="Times New Roman" w:hAnsi="Times New Roman" w:cs="Times New Roman"/>
          <w:b/>
          <w:color w:val="000000" w:themeColor="text1"/>
          <w:sz w:val="24"/>
          <w:szCs w:val="24"/>
          <w:lang w:val="en-US"/>
        </w:rPr>
      </w:pPr>
    </w:p>
    <w:p w14:paraId="7F01D565" w14:textId="77777777" w:rsidR="0029123D" w:rsidRPr="002C5DE1" w:rsidRDefault="0029123D" w:rsidP="00F70B9C">
      <w:pPr>
        <w:spacing w:after="0" w:line="240" w:lineRule="auto"/>
        <w:rPr>
          <w:rFonts w:ascii="Times New Roman" w:hAnsi="Times New Roman" w:cs="Times New Roman"/>
          <w:b/>
          <w:color w:val="000000" w:themeColor="text1"/>
          <w:sz w:val="24"/>
          <w:szCs w:val="24"/>
          <w:lang w:val="en-US"/>
        </w:rPr>
      </w:pPr>
    </w:p>
    <w:p w14:paraId="04647CA1" w14:textId="77777777" w:rsidR="0029123D" w:rsidRPr="002C5DE1" w:rsidRDefault="0029123D" w:rsidP="00F70B9C">
      <w:pPr>
        <w:spacing w:after="0" w:line="240" w:lineRule="auto"/>
        <w:rPr>
          <w:rFonts w:ascii="Times New Roman" w:hAnsi="Times New Roman" w:cs="Times New Roman"/>
          <w:b/>
          <w:color w:val="000000" w:themeColor="text1"/>
          <w:sz w:val="24"/>
          <w:szCs w:val="24"/>
          <w:lang w:val="en-US"/>
        </w:rPr>
      </w:pPr>
    </w:p>
    <w:p w14:paraId="1E0DE68F" w14:textId="77777777" w:rsidR="0029123D" w:rsidRPr="002C5DE1" w:rsidRDefault="0029123D" w:rsidP="00F70B9C">
      <w:pPr>
        <w:spacing w:after="0" w:line="240" w:lineRule="auto"/>
        <w:rPr>
          <w:rFonts w:ascii="Times New Roman" w:hAnsi="Times New Roman" w:cs="Times New Roman"/>
          <w:b/>
          <w:color w:val="000000" w:themeColor="text1"/>
          <w:sz w:val="24"/>
          <w:szCs w:val="24"/>
          <w:lang w:val="en-US"/>
        </w:rPr>
      </w:pPr>
    </w:p>
    <w:p w14:paraId="1652CD06" w14:textId="77777777" w:rsidR="0029123D" w:rsidRPr="002C5DE1" w:rsidRDefault="0029123D" w:rsidP="00F70B9C">
      <w:pPr>
        <w:spacing w:after="0" w:line="240" w:lineRule="auto"/>
        <w:rPr>
          <w:rFonts w:ascii="Times New Roman" w:hAnsi="Times New Roman" w:cs="Times New Roman"/>
          <w:b/>
          <w:color w:val="000000" w:themeColor="text1"/>
          <w:sz w:val="24"/>
          <w:szCs w:val="24"/>
          <w:lang w:val="en-US"/>
        </w:rPr>
      </w:pPr>
    </w:p>
    <w:p w14:paraId="01902731" w14:textId="77777777" w:rsidR="0029123D" w:rsidRPr="002C5DE1" w:rsidRDefault="0029123D" w:rsidP="00F70B9C">
      <w:pPr>
        <w:spacing w:after="0" w:line="240" w:lineRule="auto"/>
        <w:rPr>
          <w:rFonts w:ascii="Times New Roman" w:hAnsi="Times New Roman" w:cs="Times New Roman"/>
          <w:b/>
          <w:color w:val="000000" w:themeColor="text1"/>
          <w:sz w:val="24"/>
          <w:szCs w:val="24"/>
          <w:lang w:val="en-US"/>
        </w:rPr>
      </w:pPr>
    </w:p>
    <w:p w14:paraId="123C2545" w14:textId="77777777" w:rsidR="0029123D" w:rsidRPr="002C5DE1" w:rsidRDefault="0029123D" w:rsidP="00F70B9C">
      <w:pPr>
        <w:spacing w:after="0" w:line="240" w:lineRule="auto"/>
        <w:rPr>
          <w:rFonts w:ascii="Times New Roman" w:hAnsi="Times New Roman" w:cs="Times New Roman"/>
          <w:b/>
          <w:color w:val="000000" w:themeColor="text1"/>
          <w:sz w:val="24"/>
          <w:szCs w:val="24"/>
          <w:lang w:val="en-US"/>
        </w:rPr>
      </w:pPr>
    </w:p>
    <w:p w14:paraId="286E90D3" w14:textId="77777777" w:rsidR="0029123D" w:rsidRPr="002C5DE1" w:rsidRDefault="0029123D" w:rsidP="00F70B9C">
      <w:pPr>
        <w:spacing w:after="0" w:line="240" w:lineRule="auto"/>
        <w:rPr>
          <w:rFonts w:ascii="Times New Roman" w:hAnsi="Times New Roman" w:cs="Times New Roman"/>
          <w:b/>
          <w:color w:val="000000" w:themeColor="text1"/>
          <w:sz w:val="24"/>
          <w:szCs w:val="24"/>
          <w:lang w:val="en-US"/>
        </w:rPr>
      </w:pPr>
    </w:p>
    <w:p w14:paraId="34B6BBF1" w14:textId="77777777" w:rsidR="0029123D" w:rsidRPr="002C5DE1" w:rsidRDefault="0029123D" w:rsidP="00F70B9C">
      <w:pPr>
        <w:spacing w:after="0" w:line="240" w:lineRule="auto"/>
        <w:rPr>
          <w:rFonts w:ascii="Times New Roman" w:hAnsi="Times New Roman" w:cs="Times New Roman"/>
          <w:b/>
          <w:color w:val="000000" w:themeColor="text1"/>
          <w:sz w:val="24"/>
          <w:szCs w:val="24"/>
          <w:lang w:val="en-US"/>
        </w:rPr>
      </w:pPr>
    </w:p>
    <w:p w14:paraId="6154E11B" w14:textId="77777777" w:rsidR="00F70B9C" w:rsidRPr="002C5DE1" w:rsidRDefault="00F70B9C" w:rsidP="00F70B9C">
      <w:pPr>
        <w:spacing w:after="0" w:line="240" w:lineRule="auto"/>
        <w:rPr>
          <w:rFonts w:ascii="Times New Roman" w:hAnsi="Times New Roman" w:cs="Times New Roman"/>
          <w:b/>
          <w:color w:val="000000" w:themeColor="text1"/>
          <w:sz w:val="24"/>
          <w:szCs w:val="24"/>
          <w:lang w:val="en-US"/>
        </w:rPr>
      </w:pPr>
      <w:r w:rsidRPr="002C5DE1">
        <w:rPr>
          <w:rFonts w:ascii="Times New Roman" w:hAnsi="Times New Roman" w:cs="Times New Roman"/>
          <w:b/>
          <w:color w:val="000000" w:themeColor="text1"/>
          <w:sz w:val="24"/>
          <w:szCs w:val="24"/>
          <w:lang w:val="en-US"/>
        </w:rPr>
        <w:t>Figure A3a. Real Interest Rates on 10-yr Government Bonds in Developed Countries</w:t>
      </w:r>
    </w:p>
    <w:p w14:paraId="104CB51F" w14:textId="77777777" w:rsidR="00F70B9C" w:rsidRPr="002C5DE1" w:rsidRDefault="00F70B9C" w:rsidP="00F70B9C">
      <w:pPr>
        <w:spacing w:after="0" w:line="240" w:lineRule="auto"/>
        <w:rPr>
          <w:rFonts w:ascii="Times New Roman" w:hAnsi="Times New Roman" w:cs="Times New Roman"/>
          <w:b/>
          <w:color w:val="000000" w:themeColor="text1"/>
          <w:sz w:val="24"/>
          <w:szCs w:val="24"/>
          <w:lang w:val="en-US"/>
        </w:rPr>
      </w:pPr>
      <w:r w:rsidRPr="002C5DE1">
        <w:rPr>
          <w:rFonts w:ascii="Times New Roman" w:hAnsi="Times New Roman" w:cs="Times New Roman"/>
          <w:b/>
          <w:noProof/>
          <w:color w:val="000000" w:themeColor="text1"/>
          <w:sz w:val="24"/>
          <w:szCs w:val="24"/>
          <w:lang w:eastAsia="tr-TR"/>
        </w:rPr>
        <w:drawing>
          <wp:inline distT="0" distB="0" distL="0" distR="0" wp14:anchorId="62362786" wp14:editId="529723B5">
            <wp:extent cx="4305300" cy="41557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 rate 1.png"/>
                    <pic:cNvPicPr/>
                  </pic:nvPicPr>
                  <pic:blipFill>
                    <a:blip r:embed="rId11">
                      <a:extLst>
                        <a:ext uri="{28A0092B-C50C-407E-A947-70E740481C1C}">
                          <a14:useLocalDpi xmlns:a14="http://schemas.microsoft.com/office/drawing/2010/main" val="0"/>
                        </a:ext>
                      </a:extLst>
                    </a:blip>
                    <a:stretch>
                      <a:fillRect/>
                    </a:stretch>
                  </pic:blipFill>
                  <pic:spPr>
                    <a:xfrm>
                      <a:off x="0" y="0"/>
                      <a:ext cx="4305300" cy="4155753"/>
                    </a:xfrm>
                    <a:prstGeom prst="rect">
                      <a:avLst/>
                    </a:prstGeom>
                  </pic:spPr>
                </pic:pic>
              </a:graphicData>
            </a:graphic>
          </wp:inline>
        </w:drawing>
      </w:r>
    </w:p>
    <w:p w14:paraId="69CD1C0F" w14:textId="77777777" w:rsidR="00F70B9C" w:rsidRPr="002C5DE1" w:rsidRDefault="00F70B9C" w:rsidP="00F70B9C">
      <w:pPr>
        <w:spacing w:after="0" w:line="240" w:lineRule="auto"/>
        <w:rPr>
          <w:rFonts w:ascii="Times New Roman" w:hAnsi="Times New Roman" w:cs="Times New Roman"/>
          <w:b/>
          <w:color w:val="000000" w:themeColor="text1"/>
          <w:sz w:val="24"/>
          <w:szCs w:val="24"/>
          <w:lang w:val="en-US"/>
        </w:rPr>
      </w:pPr>
    </w:p>
    <w:p w14:paraId="7CBA5552" w14:textId="77777777" w:rsidR="00C9589E" w:rsidRPr="002C5DE1" w:rsidRDefault="00C9589E" w:rsidP="00F70B9C">
      <w:pPr>
        <w:spacing w:after="0" w:line="240" w:lineRule="auto"/>
        <w:rPr>
          <w:rFonts w:ascii="Times New Roman" w:hAnsi="Times New Roman" w:cs="Times New Roman"/>
          <w:b/>
          <w:color w:val="000000" w:themeColor="text1"/>
          <w:sz w:val="24"/>
          <w:szCs w:val="24"/>
          <w:lang w:val="en-US"/>
        </w:rPr>
      </w:pPr>
    </w:p>
    <w:p w14:paraId="13681DE2" w14:textId="77777777" w:rsidR="00C9589E" w:rsidRPr="002C5DE1" w:rsidRDefault="00C9589E" w:rsidP="00F70B9C">
      <w:pPr>
        <w:spacing w:after="0" w:line="240" w:lineRule="auto"/>
        <w:rPr>
          <w:rFonts w:ascii="Times New Roman" w:hAnsi="Times New Roman" w:cs="Times New Roman"/>
          <w:b/>
          <w:color w:val="000000" w:themeColor="text1"/>
          <w:sz w:val="24"/>
          <w:szCs w:val="24"/>
          <w:lang w:val="en-US"/>
        </w:rPr>
      </w:pPr>
    </w:p>
    <w:p w14:paraId="1C4F1A94" w14:textId="77777777" w:rsidR="00C9589E" w:rsidRPr="002C5DE1" w:rsidRDefault="00C9589E" w:rsidP="00F70B9C">
      <w:pPr>
        <w:spacing w:after="0" w:line="240" w:lineRule="auto"/>
        <w:rPr>
          <w:rFonts w:ascii="Times New Roman" w:hAnsi="Times New Roman" w:cs="Times New Roman"/>
          <w:b/>
          <w:color w:val="000000" w:themeColor="text1"/>
          <w:sz w:val="24"/>
          <w:szCs w:val="24"/>
          <w:lang w:val="en-US"/>
        </w:rPr>
      </w:pPr>
    </w:p>
    <w:p w14:paraId="21BB7171" w14:textId="77777777" w:rsidR="00C9589E" w:rsidRPr="002C5DE1" w:rsidRDefault="00C9589E" w:rsidP="00F70B9C">
      <w:pPr>
        <w:spacing w:after="0" w:line="240" w:lineRule="auto"/>
        <w:rPr>
          <w:rFonts w:ascii="Times New Roman" w:hAnsi="Times New Roman" w:cs="Times New Roman"/>
          <w:b/>
          <w:color w:val="000000" w:themeColor="text1"/>
          <w:sz w:val="24"/>
          <w:szCs w:val="24"/>
          <w:lang w:val="en-US"/>
        </w:rPr>
      </w:pPr>
    </w:p>
    <w:p w14:paraId="2EFBAF14" w14:textId="77777777" w:rsidR="00C9589E" w:rsidRPr="002C5DE1" w:rsidRDefault="00C9589E" w:rsidP="00F70B9C">
      <w:pPr>
        <w:spacing w:after="0" w:line="240" w:lineRule="auto"/>
        <w:rPr>
          <w:rFonts w:ascii="Times New Roman" w:hAnsi="Times New Roman" w:cs="Times New Roman"/>
          <w:b/>
          <w:color w:val="000000" w:themeColor="text1"/>
          <w:sz w:val="24"/>
          <w:szCs w:val="24"/>
          <w:lang w:val="en-US"/>
        </w:rPr>
      </w:pPr>
    </w:p>
    <w:p w14:paraId="0878607F" w14:textId="77777777" w:rsidR="00C9589E" w:rsidRPr="002C5DE1" w:rsidRDefault="00C9589E" w:rsidP="00F70B9C">
      <w:pPr>
        <w:spacing w:after="0" w:line="240" w:lineRule="auto"/>
        <w:rPr>
          <w:rFonts w:ascii="Times New Roman" w:hAnsi="Times New Roman" w:cs="Times New Roman"/>
          <w:b/>
          <w:color w:val="000000" w:themeColor="text1"/>
          <w:sz w:val="24"/>
          <w:szCs w:val="24"/>
          <w:lang w:val="en-US"/>
        </w:rPr>
      </w:pPr>
    </w:p>
    <w:p w14:paraId="0D1A8D88" w14:textId="77777777" w:rsidR="00C9589E" w:rsidRPr="002C5DE1" w:rsidRDefault="00C9589E" w:rsidP="00F70B9C">
      <w:pPr>
        <w:spacing w:after="0" w:line="240" w:lineRule="auto"/>
        <w:rPr>
          <w:rFonts w:ascii="Times New Roman" w:hAnsi="Times New Roman" w:cs="Times New Roman"/>
          <w:b/>
          <w:color w:val="000000" w:themeColor="text1"/>
          <w:sz w:val="24"/>
          <w:szCs w:val="24"/>
          <w:lang w:val="en-US"/>
        </w:rPr>
      </w:pPr>
    </w:p>
    <w:p w14:paraId="4EB44005" w14:textId="77777777" w:rsidR="00C9589E" w:rsidRPr="002C5DE1" w:rsidRDefault="00C9589E" w:rsidP="00F70B9C">
      <w:pPr>
        <w:spacing w:after="0" w:line="240" w:lineRule="auto"/>
        <w:rPr>
          <w:rFonts w:ascii="Times New Roman" w:hAnsi="Times New Roman" w:cs="Times New Roman"/>
          <w:b/>
          <w:color w:val="000000" w:themeColor="text1"/>
          <w:sz w:val="24"/>
          <w:szCs w:val="24"/>
          <w:lang w:val="en-US"/>
        </w:rPr>
      </w:pPr>
    </w:p>
    <w:p w14:paraId="7408E0B2" w14:textId="77777777" w:rsidR="00C9589E" w:rsidRPr="002C5DE1" w:rsidRDefault="00C9589E" w:rsidP="00F70B9C">
      <w:pPr>
        <w:spacing w:after="0" w:line="240" w:lineRule="auto"/>
        <w:rPr>
          <w:rFonts w:ascii="Times New Roman" w:hAnsi="Times New Roman" w:cs="Times New Roman"/>
          <w:b/>
          <w:color w:val="000000" w:themeColor="text1"/>
          <w:sz w:val="24"/>
          <w:szCs w:val="24"/>
          <w:lang w:val="en-US"/>
        </w:rPr>
      </w:pPr>
    </w:p>
    <w:p w14:paraId="13A1078D" w14:textId="77777777" w:rsidR="00C9589E" w:rsidRPr="002C5DE1" w:rsidRDefault="00C9589E" w:rsidP="00F70B9C">
      <w:pPr>
        <w:spacing w:after="0" w:line="240" w:lineRule="auto"/>
        <w:rPr>
          <w:rFonts w:ascii="Times New Roman" w:hAnsi="Times New Roman" w:cs="Times New Roman"/>
          <w:b/>
          <w:color w:val="000000" w:themeColor="text1"/>
          <w:sz w:val="24"/>
          <w:szCs w:val="24"/>
          <w:lang w:val="en-US"/>
        </w:rPr>
      </w:pPr>
    </w:p>
    <w:p w14:paraId="23AB5B81" w14:textId="77777777" w:rsidR="00C9589E" w:rsidRPr="002C5DE1" w:rsidRDefault="00C9589E" w:rsidP="00F70B9C">
      <w:pPr>
        <w:spacing w:after="0" w:line="240" w:lineRule="auto"/>
        <w:rPr>
          <w:rFonts w:ascii="Times New Roman" w:hAnsi="Times New Roman" w:cs="Times New Roman"/>
          <w:b/>
          <w:color w:val="000000" w:themeColor="text1"/>
          <w:sz w:val="24"/>
          <w:szCs w:val="24"/>
          <w:lang w:val="en-US"/>
        </w:rPr>
      </w:pPr>
    </w:p>
    <w:p w14:paraId="7FE22EF0" w14:textId="77777777" w:rsidR="00C9589E" w:rsidRPr="002C5DE1" w:rsidRDefault="00C9589E" w:rsidP="00F70B9C">
      <w:pPr>
        <w:spacing w:after="0" w:line="240" w:lineRule="auto"/>
        <w:rPr>
          <w:rFonts w:ascii="Times New Roman" w:hAnsi="Times New Roman" w:cs="Times New Roman"/>
          <w:b/>
          <w:color w:val="000000" w:themeColor="text1"/>
          <w:sz w:val="24"/>
          <w:szCs w:val="24"/>
          <w:lang w:val="en-US"/>
        </w:rPr>
      </w:pPr>
    </w:p>
    <w:p w14:paraId="232FAD8B" w14:textId="77777777" w:rsidR="00C9589E" w:rsidRPr="002C5DE1" w:rsidRDefault="00C9589E" w:rsidP="00F70B9C">
      <w:pPr>
        <w:spacing w:after="0" w:line="240" w:lineRule="auto"/>
        <w:rPr>
          <w:rFonts w:ascii="Times New Roman" w:hAnsi="Times New Roman" w:cs="Times New Roman"/>
          <w:b/>
          <w:color w:val="000000" w:themeColor="text1"/>
          <w:sz w:val="24"/>
          <w:szCs w:val="24"/>
          <w:lang w:val="en-US"/>
        </w:rPr>
      </w:pPr>
    </w:p>
    <w:p w14:paraId="772166D0" w14:textId="77777777" w:rsidR="00C9589E" w:rsidRPr="002C5DE1" w:rsidRDefault="00C9589E" w:rsidP="00F70B9C">
      <w:pPr>
        <w:spacing w:after="0" w:line="240" w:lineRule="auto"/>
        <w:rPr>
          <w:rFonts w:ascii="Times New Roman" w:hAnsi="Times New Roman" w:cs="Times New Roman"/>
          <w:b/>
          <w:color w:val="000000" w:themeColor="text1"/>
          <w:sz w:val="24"/>
          <w:szCs w:val="24"/>
          <w:lang w:val="en-US"/>
        </w:rPr>
      </w:pPr>
    </w:p>
    <w:p w14:paraId="5772380A" w14:textId="77777777" w:rsidR="00C9589E" w:rsidRPr="002C5DE1" w:rsidRDefault="00C9589E" w:rsidP="00F70B9C">
      <w:pPr>
        <w:spacing w:after="0" w:line="240" w:lineRule="auto"/>
        <w:rPr>
          <w:rFonts w:ascii="Times New Roman" w:hAnsi="Times New Roman" w:cs="Times New Roman"/>
          <w:b/>
          <w:color w:val="000000" w:themeColor="text1"/>
          <w:sz w:val="24"/>
          <w:szCs w:val="24"/>
          <w:lang w:val="en-US"/>
        </w:rPr>
      </w:pPr>
    </w:p>
    <w:p w14:paraId="53DCC8D9" w14:textId="77777777" w:rsidR="00C9589E" w:rsidRPr="002C5DE1" w:rsidRDefault="00C9589E" w:rsidP="00F70B9C">
      <w:pPr>
        <w:spacing w:after="0" w:line="240" w:lineRule="auto"/>
        <w:rPr>
          <w:rFonts w:ascii="Times New Roman" w:hAnsi="Times New Roman" w:cs="Times New Roman"/>
          <w:b/>
          <w:color w:val="000000" w:themeColor="text1"/>
          <w:sz w:val="24"/>
          <w:szCs w:val="24"/>
          <w:lang w:val="en-US"/>
        </w:rPr>
      </w:pPr>
    </w:p>
    <w:p w14:paraId="58121847" w14:textId="77777777" w:rsidR="00C9589E" w:rsidRPr="002C5DE1" w:rsidRDefault="00C9589E" w:rsidP="00F70B9C">
      <w:pPr>
        <w:spacing w:after="0" w:line="240" w:lineRule="auto"/>
        <w:rPr>
          <w:rFonts w:ascii="Times New Roman" w:hAnsi="Times New Roman" w:cs="Times New Roman"/>
          <w:b/>
          <w:color w:val="000000" w:themeColor="text1"/>
          <w:sz w:val="24"/>
          <w:szCs w:val="24"/>
          <w:lang w:val="en-US"/>
        </w:rPr>
      </w:pPr>
    </w:p>
    <w:p w14:paraId="493A47C4" w14:textId="77777777" w:rsidR="00C9589E" w:rsidRPr="002C5DE1" w:rsidRDefault="00C9589E" w:rsidP="00F70B9C">
      <w:pPr>
        <w:spacing w:after="0" w:line="240" w:lineRule="auto"/>
        <w:rPr>
          <w:rFonts w:ascii="Times New Roman" w:hAnsi="Times New Roman" w:cs="Times New Roman"/>
          <w:b/>
          <w:color w:val="000000" w:themeColor="text1"/>
          <w:sz w:val="24"/>
          <w:szCs w:val="24"/>
          <w:lang w:val="en-US"/>
        </w:rPr>
      </w:pPr>
    </w:p>
    <w:p w14:paraId="5BDFFA3A" w14:textId="77777777" w:rsidR="00C9589E" w:rsidRPr="002C5DE1" w:rsidRDefault="00C9589E" w:rsidP="00F70B9C">
      <w:pPr>
        <w:spacing w:after="0" w:line="240" w:lineRule="auto"/>
        <w:rPr>
          <w:rFonts w:ascii="Times New Roman" w:hAnsi="Times New Roman" w:cs="Times New Roman"/>
          <w:b/>
          <w:color w:val="000000" w:themeColor="text1"/>
          <w:sz w:val="24"/>
          <w:szCs w:val="24"/>
          <w:lang w:val="en-US"/>
        </w:rPr>
      </w:pPr>
    </w:p>
    <w:p w14:paraId="3A8F5C9C" w14:textId="77777777" w:rsidR="00C9589E" w:rsidRPr="002C5DE1" w:rsidRDefault="00C9589E" w:rsidP="00F70B9C">
      <w:pPr>
        <w:spacing w:after="0" w:line="240" w:lineRule="auto"/>
        <w:rPr>
          <w:rFonts w:ascii="Times New Roman" w:hAnsi="Times New Roman" w:cs="Times New Roman"/>
          <w:b/>
          <w:color w:val="000000" w:themeColor="text1"/>
          <w:sz w:val="24"/>
          <w:szCs w:val="24"/>
          <w:lang w:val="en-US"/>
        </w:rPr>
      </w:pPr>
    </w:p>
    <w:p w14:paraId="28E0A8D6" w14:textId="77777777" w:rsidR="00C9589E" w:rsidRPr="002C5DE1" w:rsidRDefault="00C9589E" w:rsidP="00F70B9C">
      <w:pPr>
        <w:spacing w:after="0" w:line="240" w:lineRule="auto"/>
        <w:rPr>
          <w:rFonts w:ascii="Times New Roman" w:hAnsi="Times New Roman" w:cs="Times New Roman"/>
          <w:b/>
          <w:color w:val="000000" w:themeColor="text1"/>
          <w:sz w:val="24"/>
          <w:szCs w:val="24"/>
          <w:lang w:val="en-US"/>
        </w:rPr>
      </w:pPr>
    </w:p>
    <w:p w14:paraId="4DB9DD41" w14:textId="77777777" w:rsidR="00C9589E" w:rsidRPr="002C5DE1" w:rsidRDefault="00C9589E" w:rsidP="00F70B9C">
      <w:pPr>
        <w:spacing w:after="0" w:line="240" w:lineRule="auto"/>
        <w:rPr>
          <w:rFonts w:ascii="Times New Roman" w:hAnsi="Times New Roman" w:cs="Times New Roman"/>
          <w:b/>
          <w:color w:val="000000" w:themeColor="text1"/>
          <w:sz w:val="24"/>
          <w:szCs w:val="24"/>
          <w:lang w:val="en-US"/>
        </w:rPr>
      </w:pPr>
    </w:p>
    <w:p w14:paraId="6E69D356" w14:textId="77777777" w:rsidR="00C9589E" w:rsidRPr="002C5DE1" w:rsidRDefault="00C9589E" w:rsidP="00F70B9C">
      <w:pPr>
        <w:spacing w:after="0" w:line="240" w:lineRule="auto"/>
        <w:rPr>
          <w:rFonts w:ascii="Times New Roman" w:hAnsi="Times New Roman" w:cs="Times New Roman"/>
          <w:b/>
          <w:color w:val="000000" w:themeColor="text1"/>
          <w:sz w:val="24"/>
          <w:szCs w:val="24"/>
          <w:lang w:val="en-US"/>
        </w:rPr>
      </w:pPr>
    </w:p>
    <w:p w14:paraId="6CDD8A71" w14:textId="77777777" w:rsidR="00F70B9C" w:rsidRPr="002C5DE1" w:rsidRDefault="00F70B9C" w:rsidP="00F70B9C">
      <w:pPr>
        <w:spacing w:after="0" w:line="240" w:lineRule="auto"/>
        <w:rPr>
          <w:rFonts w:ascii="Times New Roman" w:hAnsi="Times New Roman" w:cs="Times New Roman"/>
          <w:b/>
          <w:color w:val="000000" w:themeColor="text1"/>
          <w:sz w:val="24"/>
          <w:szCs w:val="24"/>
          <w:lang w:val="en-US"/>
        </w:rPr>
      </w:pPr>
      <w:r w:rsidRPr="002C5DE1">
        <w:rPr>
          <w:rFonts w:ascii="Times New Roman" w:hAnsi="Times New Roman" w:cs="Times New Roman"/>
          <w:b/>
          <w:color w:val="000000" w:themeColor="text1"/>
          <w:sz w:val="24"/>
          <w:szCs w:val="24"/>
          <w:lang w:val="en-US"/>
        </w:rPr>
        <w:lastRenderedPageBreak/>
        <w:t>Figure A3b. Real Interest Rates on 10-yr Government Bonds in GIIPS and Emerging Countries (Israel and South Africa)</w:t>
      </w:r>
    </w:p>
    <w:p w14:paraId="0A15092A" w14:textId="77777777" w:rsidR="00F70B9C" w:rsidRPr="002C5DE1" w:rsidRDefault="00F70B9C" w:rsidP="00F70B9C">
      <w:pPr>
        <w:spacing w:after="0" w:line="240" w:lineRule="auto"/>
        <w:rPr>
          <w:rFonts w:ascii="Times New Roman" w:hAnsi="Times New Roman" w:cs="Times New Roman"/>
          <w:b/>
          <w:color w:val="000000" w:themeColor="text1"/>
          <w:sz w:val="24"/>
          <w:szCs w:val="24"/>
          <w:lang w:val="en-US"/>
        </w:rPr>
      </w:pPr>
      <w:r w:rsidRPr="002C5DE1">
        <w:rPr>
          <w:rFonts w:ascii="Times New Roman" w:hAnsi="Times New Roman" w:cs="Times New Roman"/>
          <w:b/>
          <w:noProof/>
          <w:color w:val="000000" w:themeColor="text1"/>
          <w:sz w:val="24"/>
          <w:szCs w:val="24"/>
          <w:lang w:eastAsia="tr-TR"/>
        </w:rPr>
        <w:drawing>
          <wp:inline distT="0" distB="0" distL="0" distR="0" wp14:anchorId="0B41C367" wp14:editId="74F2086D">
            <wp:extent cx="4352925" cy="343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t rate 2.png"/>
                    <pic:cNvPicPr/>
                  </pic:nvPicPr>
                  <pic:blipFill>
                    <a:blip r:embed="rId12">
                      <a:extLst>
                        <a:ext uri="{28A0092B-C50C-407E-A947-70E740481C1C}">
                          <a14:useLocalDpi xmlns:a14="http://schemas.microsoft.com/office/drawing/2010/main" val="0"/>
                        </a:ext>
                      </a:extLst>
                    </a:blip>
                    <a:stretch>
                      <a:fillRect/>
                    </a:stretch>
                  </pic:blipFill>
                  <pic:spPr>
                    <a:xfrm>
                      <a:off x="0" y="0"/>
                      <a:ext cx="4388778" cy="3466093"/>
                    </a:xfrm>
                    <a:prstGeom prst="rect">
                      <a:avLst/>
                    </a:prstGeom>
                  </pic:spPr>
                </pic:pic>
              </a:graphicData>
            </a:graphic>
          </wp:inline>
        </w:drawing>
      </w:r>
    </w:p>
    <w:sectPr w:rsidR="00F70B9C" w:rsidRPr="002C5DE1">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C4472" w14:textId="77777777" w:rsidR="004A1E44" w:rsidRDefault="004A1E44" w:rsidP="009D0AAB">
      <w:pPr>
        <w:spacing w:after="0" w:line="240" w:lineRule="auto"/>
      </w:pPr>
      <w:r>
        <w:separator/>
      </w:r>
    </w:p>
  </w:endnote>
  <w:endnote w:type="continuationSeparator" w:id="0">
    <w:p w14:paraId="0014C13B" w14:textId="77777777" w:rsidR="004A1E44" w:rsidRDefault="004A1E44" w:rsidP="009D0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TUR">
    <w:altName w:val="Times New Roman"/>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9964519"/>
      <w:docPartObj>
        <w:docPartGallery w:val="Page Numbers (Bottom of Page)"/>
        <w:docPartUnique/>
      </w:docPartObj>
    </w:sdtPr>
    <w:sdtEndPr>
      <w:rPr>
        <w:rFonts w:ascii="Times New Roman" w:hAnsi="Times New Roman" w:cs="Times New Roman"/>
        <w:noProof/>
      </w:rPr>
    </w:sdtEndPr>
    <w:sdtContent>
      <w:p w14:paraId="46CD45B9" w14:textId="77777777" w:rsidR="002F4984" w:rsidRPr="00FF15DC" w:rsidRDefault="002F4984">
        <w:pPr>
          <w:pStyle w:val="Footer"/>
          <w:jc w:val="center"/>
          <w:rPr>
            <w:rFonts w:ascii="Times New Roman" w:hAnsi="Times New Roman" w:cs="Times New Roman"/>
          </w:rPr>
        </w:pPr>
        <w:r w:rsidRPr="00FF15DC">
          <w:rPr>
            <w:rFonts w:ascii="Times New Roman" w:hAnsi="Times New Roman" w:cs="Times New Roman"/>
          </w:rPr>
          <w:fldChar w:fldCharType="begin"/>
        </w:r>
        <w:r w:rsidRPr="00FF15DC">
          <w:rPr>
            <w:rFonts w:ascii="Times New Roman" w:hAnsi="Times New Roman" w:cs="Times New Roman"/>
          </w:rPr>
          <w:instrText xml:space="preserve"> PAGE   \* MERGEFORMAT </w:instrText>
        </w:r>
        <w:r w:rsidRPr="00FF15DC">
          <w:rPr>
            <w:rFonts w:ascii="Times New Roman" w:hAnsi="Times New Roman" w:cs="Times New Roman"/>
          </w:rPr>
          <w:fldChar w:fldCharType="separate"/>
        </w:r>
        <w:r w:rsidR="00700218">
          <w:rPr>
            <w:rFonts w:ascii="Times New Roman" w:hAnsi="Times New Roman" w:cs="Times New Roman"/>
            <w:noProof/>
          </w:rPr>
          <w:t>32</w:t>
        </w:r>
        <w:r w:rsidRPr="00FF15DC">
          <w:rPr>
            <w:rFonts w:ascii="Times New Roman" w:hAnsi="Times New Roman" w:cs="Times New Roman"/>
            <w:noProof/>
          </w:rPr>
          <w:fldChar w:fldCharType="end"/>
        </w:r>
      </w:p>
    </w:sdtContent>
  </w:sdt>
  <w:p w14:paraId="4BF89BF4" w14:textId="77777777" w:rsidR="002F4984" w:rsidRDefault="002F4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0A113" w14:textId="77777777" w:rsidR="004A1E44" w:rsidRDefault="004A1E44" w:rsidP="009D0AAB">
      <w:pPr>
        <w:spacing w:after="0" w:line="240" w:lineRule="auto"/>
      </w:pPr>
      <w:r>
        <w:separator/>
      </w:r>
    </w:p>
  </w:footnote>
  <w:footnote w:type="continuationSeparator" w:id="0">
    <w:p w14:paraId="1F24173B" w14:textId="77777777" w:rsidR="004A1E44" w:rsidRDefault="004A1E44" w:rsidP="009D0AAB">
      <w:pPr>
        <w:spacing w:after="0" w:line="240" w:lineRule="auto"/>
      </w:pPr>
      <w:r>
        <w:continuationSeparator/>
      </w:r>
    </w:p>
  </w:footnote>
  <w:footnote w:id="1">
    <w:p w14:paraId="013ED27D" w14:textId="77777777" w:rsidR="00CF6E4C" w:rsidRPr="002A6334" w:rsidRDefault="00CF6E4C" w:rsidP="00CF6E4C">
      <w:pPr>
        <w:pStyle w:val="FootnoteText"/>
        <w:spacing w:after="0"/>
        <w:rPr>
          <w:rFonts w:ascii="Times New Roman" w:hAnsi="Times New Roman"/>
          <w:color w:val="000000" w:themeColor="text1"/>
        </w:rPr>
      </w:pPr>
      <w:r w:rsidRPr="002A6334">
        <w:rPr>
          <w:rStyle w:val="FootnoteReference"/>
          <w:rFonts w:ascii="Times New Roman" w:hAnsi="Times New Roman"/>
        </w:rPr>
        <w:t xml:space="preserve">† </w:t>
      </w:r>
      <w:r w:rsidRPr="002A6334">
        <w:rPr>
          <w:rFonts w:ascii="Times New Roman" w:hAnsi="Times New Roman"/>
          <w:bCs/>
          <w:color w:val="000000" w:themeColor="text1"/>
          <w:lang w:eastAsia="it-IT"/>
        </w:rPr>
        <w:t xml:space="preserve">Corresponding author, </w:t>
      </w:r>
      <w:r w:rsidRPr="002A6334">
        <w:rPr>
          <w:rFonts w:ascii="Times New Roman" w:hAnsi="Times New Roman"/>
        </w:rPr>
        <w:t xml:space="preserve">Department of Accountancy, Finance, and Economics, University of Huddersfield, </w:t>
      </w:r>
      <w:proofErr w:type="spellStart"/>
      <w:r w:rsidRPr="002A6334">
        <w:rPr>
          <w:rFonts w:ascii="Times New Roman" w:hAnsi="Times New Roman"/>
        </w:rPr>
        <w:t>Queensgate</w:t>
      </w:r>
      <w:proofErr w:type="spellEnd"/>
      <w:r w:rsidRPr="002A6334">
        <w:rPr>
          <w:rFonts w:ascii="Times New Roman" w:hAnsi="Times New Roman"/>
        </w:rPr>
        <w:t xml:space="preserve">, Huddersfield, HD1 3DH, UK. E-mail: </w:t>
      </w:r>
      <w:hyperlink r:id="rId1" w:history="1">
        <w:r w:rsidRPr="00EC68D6">
          <w:rPr>
            <w:rStyle w:val="Hyperlink"/>
            <w:rFonts w:ascii="Times New Roman" w:hAnsi="Times New Roman"/>
          </w:rPr>
          <w:t>esraalpcoskun@gmail.com</w:t>
        </w:r>
      </w:hyperlink>
    </w:p>
  </w:footnote>
  <w:footnote w:id="2">
    <w:p w14:paraId="621DC938" w14:textId="77777777" w:rsidR="00CF6E4C" w:rsidRPr="002A6334" w:rsidRDefault="00CF6E4C" w:rsidP="00CF6E4C">
      <w:pPr>
        <w:autoSpaceDE w:val="0"/>
        <w:autoSpaceDN w:val="0"/>
        <w:adjustRightInd w:val="0"/>
        <w:spacing w:before="60" w:after="0" w:line="240" w:lineRule="auto"/>
        <w:jc w:val="both"/>
        <w:rPr>
          <w:rFonts w:ascii="Times New Roman" w:hAnsi="Times New Roman" w:cs="Times New Roman"/>
          <w:b/>
          <w:color w:val="000000" w:themeColor="text1"/>
          <w:sz w:val="20"/>
          <w:szCs w:val="20"/>
        </w:rPr>
      </w:pPr>
      <w:r w:rsidRPr="002A6334">
        <w:rPr>
          <w:rStyle w:val="FootnoteReference"/>
          <w:rFonts w:ascii="Times New Roman" w:hAnsi="Times New Roman" w:cs="Times New Roman"/>
          <w:sz w:val="20"/>
          <w:szCs w:val="20"/>
        </w:rPr>
        <w:footnoteRef/>
      </w:r>
      <w:r w:rsidRPr="002A6334">
        <w:rPr>
          <w:rFonts w:ascii="Times New Roman" w:hAnsi="Times New Roman" w:cs="Times New Roman"/>
          <w:sz w:val="20"/>
          <w:szCs w:val="20"/>
        </w:rPr>
        <w:t xml:space="preserve"> </w:t>
      </w:r>
      <w:r w:rsidRPr="005E4B6B">
        <w:rPr>
          <w:rFonts w:ascii="Times New Roman" w:hAnsi="Times New Roman" w:cs="Times New Roman"/>
          <w:color w:val="000000" w:themeColor="text1"/>
          <w:sz w:val="20"/>
          <w:szCs w:val="20"/>
        </w:rPr>
        <w:t>University of Derby, Kedleston Road, Derby, DE22 1GB, UK</w:t>
      </w:r>
      <w:r>
        <w:rPr>
          <w:rFonts w:ascii="Times New Roman" w:hAnsi="Times New Roman" w:cs="Times New Roman"/>
          <w:color w:val="000000" w:themeColor="text1"/>
          <w:sz w:val="20"/>
          <w:szCs w:val="20"/>
        </w:rPr>
        <w:t xml:space="preserve">. E:mail: </w:t>
      </w:r>
      <w:r>
        <w:fldChar w:fldCharType="begin"/>
      </w:r>
      <w:r>
        <w:instrText xml:space="preserve"> HYPERLINK "mailto:n.apergis@derby.ac.uk" </w:instrText>
      </w:r>
      <w:r>
        <w:fldChar w:fldCharType="separate"/>
      </w:r>
      <w:r w:rsidRPr="00EC68D6">
        <w:rPr>
          <w:rStyle w:val="Hyperlink"/>
          <w:rFonts w:ascii="Times New Roman" w:hAnsi="Times New Roman" w:cs="Times New Roman"/>
          <w:sz w:val="20"/>
          <w:szCs w:val="20"/>
        </w:rPr>
        <w:t>n.apergis@derby.ac.uk</w:t>
      </w:r>
      <w:r>
        <w:rPr>
          <w:rStyle w:val="Hyperlink"/>
          <w:rFonts w:ascii="Times New Roman" w:hAnsi="Times New Roman" w:cs="Times New Roman"/>
          <w:sz w:val="20"/>
          <w:szCs w:val="20"/>
        </w:rPr>
        <w:fldChar w:fldCharType="end"/>
      </w:r>
      <w:r>
        <w:rPr>
          <w:rFonts w:ascii="Times New Roman" w:hAnsi="Times New Roman" w:cs="Times New Roman"/>
          <w:color w:val="000000" w:themeColor="text1"/>
          <w:sz w:val="20"/>
          <w:szCs w:val="20"/>
        </w:rPr>
        <w:t xml:space="preserve"> </w:t>
      </w:r>
    </w:p>
  </w:footnote>
  <w:footnote w:id="3">
    <w:p w14:paraId="2BBD51F2" w14:textId="77777777" w:rsidR="00CF6E4C" w:rsidRPr="004A69F5" w:rsidRDefault="00CF6E4C" w:rsidP="00CF6E4C">
      <w:pPr>
        <w:pStyle w:val="FootnoteText"/>
        <w:spacing w:after="0"/>
        <w:rPr>
          <w:rFonts w:ascii="Times New Roman" w:hAnsi="Times New Roman"/>
          <w:color w:val="000000" w:themeColor="text1"/>
          <w:lang w:val="en-ZA"/>
        </w:rPr>
      </w:pPr>
      <w:r w:rsidRPr="002A6334">
        <w:rPr>
          <w:rStyle w:val="FootnoteReference"/>
          <w:rFonts w:ascii="Times New Roman" w:hAnsi="Times New Roman"/>
          <w:color w:val="000000" w:themeColor="text1"/>
        </w:rPr>
        <w:sym w:font="Symbol" w:char="F0AA"/>
      </w:r>
      <w:r w:rsidRPr="002A6334">
        <w:rPr>
          <w:rFonts w:ascii="Times New Roman" w:hAnsi="Times New Roman"/>
          <w:color w:val="000000" w:themeColor="text1"/>
        </w:rPr>
        <w:t xml:space="preserve"> The University of Sheffield, </w:t>
      </w:r>
      <w:r w:rsidRPr="002A6334">
        <w:rPr>
          <w:rStyle w:val="street-address"/>
          <w:rFonts w:ascii="Times New Roman" w:hAnsi="Times New Roman"/>
          <w:color w:val="000000" w:themeColor="text1"/>
        </w:rPr>
        <w:t xml:space="preserve">Western Bank </w:t>
      </w:r>
      <w:r w:rsidRPr="002A6334">
        <w:rPr>
          <w:rStyle w:val="locality"/>
          <w:rFonts w:ascii="Times New Roman" w:hAnsi="Times New Roman"/>
          <w:color w:val="000000" w:themeColor="text1"/>
        </w:rPr>
        <w:t>Sheffield</w:t>
      </w:r>
      <w:r w:rsidRPr="002A6334">
        <w:rPr>
          <w:rStyle w:val="adr"/>
          <w:rFonts w:ascii="Times New Roman" w:hAnsi="Times New Roman"/>
          <w:color w:val="000000" w:themeColor="text1"/>
        </w:rPr>
        <w:t xml:space="preserve"> </w:t>
      </w:r>
      <w:r w:rsidRPr="002A6334">
        <w:rPr>
          <w:rStyle w:val="postal-code"/>
          <w:rFonts w:ascii="Times New Roman" w:hAnsi="Times New Roman"/>
          <w:color w:val="000000" w:themeColor="text1"/>
        </w:rPr>
        <w:t xml:space="preserve">S10 2TN, </w:t>
      </w:r>
      <w:r w:rsidRPr="002A6334">
        <w:rPr>
          <w:rStyle w:val="country-name"/>
          <w:rFonts w:ascii="Times New Roman" w:hAnsi="Times New Roman"/>
          <w:color w:val="000000" w:themeColor="text1"/>
        </w:rPr>
        <w:t>UK</w:t>
      </w:r>
      <w:r w:rsidRPr="002A6334">
        <w:rPr>
          <w:rFonts w:ascii="Times New Roman" w:hAnsi="Times New Roman"/>
          <w:color w:val="000000" w:themeColor="text1"/>
          <w:lang w:val="en-GB"/>
        </w:rPr>
        <w:t xml:space="preserve">.  E-mail: </w:t>
      </w:r>
      <w:hyperlink r:id="rId2" w:history="1">
        <w:r w:rsidRPr="002A6334">
          <w:rPr>
            <w:rStyle w:val="Hyperlink"/>
            <w:rFonts w:ascii="Times New Roman" w:hAnsi="Times New Roman"/>
            <w:lang w:val="en-GB"/>
          </w:rPr>
          <w:t>y.coskun@sheffield.ac.uk</w:t>
        </w:r>
      </w:hyperlink>
      <w:r>
        <w:rPr>
          <w:rFonts w:ascii="Times New Roman" w:hAnsi="Times New Roman"/>
          <w:color w:val="000000" w:themeColor="text1"/>
          <w:lang w:val="en-GB"/>
        </w:rPr>
        <w:t xml:space="preserve"> </w:t>
      </w:r>
    </w:p>
  </w:footnote>
  <w:footnote w:id="4">
    <w:p w14:paraId="73E3F9EF" w14:textId="77777777" w:rsidR="002F4984" w:rsidRPr="002C5DE1" w:rsidRDefault="002F4984">
      <w:pPr>
        <w:pStyle w:val="FootnoteText"/>
        <w:rPr>
          <w:color w:val="000000" w:themeColor="text1"/>
          <w:lang w:val="tr-TR"/>
        </w:rPr>
      </w:pPr>
      <w:r w:rsidRPr="002C5DE1">
        <w:rPr>
          <w:rStyle w:val="FootnoteReference"/>
          <w:color w:val="000000" w:themeColor="text1"/>
        </w:rPr>
        <w:footnoteRef/>
      </w:r>
      <w:r w:rsidRPr="002C5DE1">
        <w:rPr>
          <w:color w:val="000000" w:themeColor="text1"/>
        </w:rPr>
        <w:t xml:space="preserve"> </w:t>
      </w:r>
      <w:r w:rsidRPr="002C5DE1">
        <w:rPr>
          <w:rFonts w:ascii="Times New Roman" w:hAnsi="Times New Roman"/>
          <w:color w:val="000000" w:themeColor="text1"/>
        </w:rPr>
        <w:t xml:space="preserve">House price to income (HPI) ratio decreased before GFC period therefore </w:t>
      </w:r>
      <w:r w:rsidRPr="002C5DE1">
        <w:rPr>
          <w:rFonts w:ascii="Times New Roman" w:hAnsi="Times New Roman"/>
          <w:color w:val="000000" w:themeColor="text1"/>
          <w:lang w:val="tr-TR"/>
        </w:rPr>
        <w:t xml:space="preserve">housing affordability increased. When HPI ratio increase, it means that the change in house price is greater than the change in income which stimulates the decreasing affordability. Vice versa, when HPI ratio decrease, it means that the change in house price is smaller than the change in income which triggers the increase in affordability. </w:t>
      </w:r>
    </w:p>
  </w:footnote>
  <w:footnote w:id="5">
    <w:p w14:paraId="0BF834A6" w14:textId="77777777" w:rsidR="002F4984" w:rsidRPr="002C5DE1" w:rsidRDefault="002F4984" w:rsidP="008E588C">
      <w:pPr>
        <w:pStyle w:val="FootnoteText"/>
        <w:spacing w:after="0"/>
        <w:rPr>
          <w:rFonts w:ascii="Times New Roman" w:hAnsi="Times New Roman"/>
          <w:color w:val="000000" w:themeColor="text1"/>
          <w:lang w:val="tr-TR"/>
        </w:rPr>
      </w:pPr>
      <w:r w:rsidRPr="002C5DE1">
        <w:rPr>
          <w:rStyle w:val="FootnoteReference"/>
          <w:rFonts w:ascii="Times New Roman" w:hAnsi="Times New Roman"/>
          <w:color w:val="000000" w:themeColor="text1"/>
        </w:rPr>
        <w:footnoteRef/>
      </w:r>
      <w:r w:rsidRPr="002C5DE1">
        <w:rPr>
          <w:rFonts w:ascii="Times New Roman" w:hAnsi="Times New Roman"/>
          <w:color w:val="000000" w:themeColor="text1"/>
        </w:rPr>
        <w:t xml:space="preserve"> </w:t>
      </w:r>
      <w:r w:rsidRPr="002C5DE1">
        <w:rPr>
          <w:rFonts w:ascii="Times New Roman" w:hAnsi="Times New Roman"/>
          <w:color w:val="000000" w:themeColor="text1"/>
          <w:lang w:val="tr-TR"/>
        </w:rPr>
        <w:t xml:space="preserve">There is a decline in the homeownership ratio in the majority of countries in the post-GFC period. (Eurostat, 2018. </w:t>
      </w:r>
      <w:hyperlink r:id="rId3" w:history="1">
        <w:r w:rsidRPr="002C5DE1">
          <w:rPr>
            <w:rStyle w:val="Hyperlink"/>
            <w:rFonts w:ascii="Times New Roman" w:hAnsi="Times New Roman"/>
            <w:color w:val="000000" w:themeColor="text1"/>
            <w:lang w:val="tr-TR"/>
          </w:rPr>
          <w:t>http://appsso.eurostat.ec.europa.eu/nui/show.do</w:t>
        </w:r>
      </w:hyperlink>
      <w:r w:rsidRPr="002C5DE1">
        <w:rPr>
          <w:rFonts w:ascii="Times New Roman" w:hAnsi="Times New Roman"/>
          <w:color w:val="000000" w:themeColor="text1"/>
          <w:lang w:val="tr-TR"/>
        </w:rPr>
        <w:t xml:space="preserve"> , accessed on 06/23/2019).</w:t>
      </w:r>
    </w:p>
  </w:footnote>
  <w:footnote w:id="6">
    <w:p w14:paraId="4C086A4B" w14:textId="77777777" w:rsidR="002F4984" w:rsidRPr="002C5DE1" w:rsidRDefault="002F4984" w:rsidP="008E588C">
      <w:pPr>
        <w:pStyle w:val="FootnoteText"/>
        <w:spacing w:after="0"/>
        <w:rPr>
          <w:color w:val="000000" w:themeColor="text1"/>
          <w:lang w:val="tr-TR"/>
        </w:rPr>
      </w:pPr>
      <w:r w:rsidRPr="002C5DE1">
        <w:rPr>
          <w:rStyle w:val="FootnoteReference"/>
          <w:rFonts w:ascii="Times New Roman" w:hAnsi="Times New Roman"/>
          <w:color w:val="000000" w:themeColor="text1"/>
        </w:rPr>
        <w:footnoteRef/>
      </w:r>
      <w:r w:rsidRPr="002C5DE1">
        <w:rPr>
          <w:rFonts w:ascii="Times New Roman" w:hAnsi="Times New Roman"/>
          <w:color w:val="000000" w:themeColor="text1"/>
        </w:rPr>
        <w:t xml:space="preserve"> In mostly developed countries such as Denmark, Germany, Ireland, UK and US, the ratio of residential loans to GDP declines in the post-GFC period. Source: Total Outstanding Residential Loans to GDP Ratio, (percent), </w:t>
      </w:r>
      <w:proofErr w:type="spellStart"/>
      <w:r w:rsidRPr="002C5DE1">
        <w:rPr>
          <w:rFonts w:ascii="Times New Roman" w:hAnsi="Times New Roman"/>
          <w:color w:val="000000" w:themeColor="text1"/>
        </w:rPr>
        <w:t>Hypostat</w:t>
      </w:r>
      <w:proofErr w:type="spellEnd"/>
      <w:r w:rsidRPr="002C5DE1">
        <w:rPr>
          <w:rFonts w:ascii="Times New Roman" w:hAnsi="Times New Roman"/>
          <w:color w:val="000000" w:themeColor="text1"/>
        </w:rPr>
        <w:t>, 2018).</w:t>
      </w:r>
    </w:p>
  </w:footnote>
  <w:footnote w:id="7">
    <w:p w14:paraId="79E29C9B" w14:textId="77777777" w:rsidR="002F4984" w:rsidRPr="002C5DE1" w:rsidRDefault="002F4984" w:rsidP="008E588C">
      <w:pPr>
        <w:pStyle w:val="FootnoteText"/>
        <w:spacing w:after="0"/>
        <w:rPr>
          <w:color w:val="000000" w:themeColor="text1"/>
          <w:lang w:val="tr-TR"/>
        </w:rPr>
      </w:pPr>
    </w:p>
  </w:footnote>
  <w:footnote w:id="8">
    <w:p w14:paraId="059ECC97" w14:textId="77777777" w:rsidR="002F4984" w:rsidRPr="002C5DE1" w:rsidRDefault="002F4984" w:rsidP="008E588C">
      <w:pPr>
        <w:pStyle w:val="FootnoteText"/>
        <w:spacing w:after="0"/>
        <w:rPr>
          <w:color w:val="000000" w:themeColor="text1"/>
          <w:lang w:val="tr-TR"/>
        </w:rPr>
      </w:pPr>
      <w:r w:rsidRPr="002C5DE1">
        <w:rPr>
          <w:rStyle w:val="FootnoteReference"/>
          <w:color w:val="000000" w:themeColor="text1"/>
        </w:rPr>
        <w:footnoteRef/>
      </w:r>
      <w:r w:rsidRPr="002C5DE1">
        <w:rPr>
          <w:color w:val="000000" w:themeColor="text1"/>
        </w:rPr>
        <w:t xml:space="preserve"> </w:t>
      </w:r>
      <w:r w:rsidRPr="002C5DE1">
        <w:rPr>
          <w:rFonts w:ascii="Times New Roman" w:hAnsi="Times New Roman"/>
          <w:color w:val="000000" w:themeColor="text1"/>
        </w:rPr>
        <w:t xml:space="preserve">According to limited data, there is also an increase in wealth inequality in Korea, the UK and the US. (See, </w:t>
      </w:r>
      <w:hyperlink r:id="rId4" w:history="1">
        <w:r w:rsidRPr="002C5DE1">
          <w:rPr>
            <w:rStyle w:val="Hyperlink"/>
            <w:rFonts w:ascii="Times New Roman" w:hAnsi="Times New Roman"/>
            <w:color w:val="000000" w:themeColor="text1"/>
          </w:rPr>
          <w:t>https://wid.world/data/</w:t>
        </w:r>
      </w:hyperlink>
      <w:r w:rsidRPr="002C5DE1">
        <w:rPr>
          <w:rFonts w:ascii="Times New Roman" w:hAnsi="Times New Roman"/>
          <w:color w:val="000000" w:themeColor="text1"/>
        </w:rPr>
        <w:t xml:space="preserve"> , accessed on 06/23/2019).</w:t>
      </w:r>
    </w:p>
  </w:footnote>
  <w:footnote w:id="9">
    <w:p w14:paraId="381B6E16" w14:textId="77777777" w:rsidR="002F4984" w:rsidRPr="002C5DE1" w:rsidRDefault="002F4984" w:rsidP="007C38F4">
      <w:pPr>
        <w:pStyle w:val="FootnoteText"/>
        <w:spacing w:after="60"/>
        <w:rPr>
          <w:color w:val="000000" w:themeColor="text1"/>
          <w:lang w:val="tr-TR"/>
        </w:rPr>
      </w:pPr>
      <w:r w:rsidRPr="002C5DE1">
        <w:rPr>
          <w:rStyle w:val="FootnoteReference"/>
          <w:color w:val="000000" w:themeColor="text1"/>
        </w:rPr>
        <w:footnoteRef/>
      </w:r>
      <w:r w:rsidRPr="002C5DE1">
        <w:rPr>
          <w:color w:val="000000" w:themeColor="text1"/>
        </w:rPr>
        <w:t xml:space="preserve"> </w:t>
      </w:r>
      <w:r w:rsidRPr="002C5DE1">
        <w:rPr>
          <w:rFonts w:ascii="Times New Roman" w:hAnsi="Times New Roman"/>
          <w:color w:val="000000" w:themeColor="text1"/>
        </w:rPr>
        <w:t>Australia, Austria, Belgium, Canada, Denmark, Finland, France, Germany, Greece, Ireland, Israel, Italy, Japan, Korea, Netherlands, New Zealand, Norway, Portugal, South Africa, Spain, Sweden, Switzerland, UK, US.</w:t>
      </w:r>
    </w:p>
  </w:footnote>
  <w:footnote w:id="10">
    <w:p w14:paraId="0F5B026F" w14:textId="77777777" w:rsidR="002F4984" w:rsidRPr="002C5DE1" w:rsidRDefault="002F4984" w:rsidP="008E588C">
      <w:pPr>
        <w:pStyle w:val="FootnoteText"/>
        <w:spacing w:after="60"/>
        <w:rPr>
          <w:color w:val="000000" w:themeColor="text1"/>
          <w:lang w:val="tr-TR"/>
        </w:rPr>
      </w:pPr>
      <w:r w:rsidRPr="002C5DE1">
        <w:rPr>
          <w:rStyle w:val="FootnoteReference"/>
          <w:color w:val="000000" w:themeColor="text1"/>
        </w:rPr>
        <w:footnoteRef/>
      </w:r>
      <w:r w:rsidRPr="002C5DE1">
        <w:rPr>
          <w:color w:val="000000" w:themeColor="text1"/>
        </w:rPr>
        <w:t xml:space="preserve"> </w:t>
      </w:r>
      <w:r w:rsidRPr="002C5DE1">
        <w:rPr>
          <w:rFonts w:ascii="Times New Roman" w:hAnsi="Times New Roman"/>
          <w:color w:val="000000" w:themeColor="text1"/>
        </w:rPr>
        <w:t xml:space="preserve">Real house prices are described by the ratio of seasonally adjusted nominal house prices to the seasonally adjusted consumers’ expenditure deflator in each country and obtained from the OECD national accounts database. This provides information on how nominal house prices have changed over time relative to prices in the general economy. (Source: </w:t>
      </w:r>
      <w:hyperlink r:id="rId5" w:history="1">
        <w:r w:rsidRPr="002C5DE1">
          <w:rPr>
            <w:rStyle w:val="Hyperlink"/>
            <w:rFonts w:ascii="Times New Roman" w:hAnsi="Times New Roman"/>
            <w:color w:val="000000" w:themeColor="text1"/>
          </w:rPr>
          <w:t>https://stats.oecd.org/Index.aspx?DataSetCode=HOUSE_PRICES#</w:t>
        </w:r>
      </w:hyperlink>
      <w:r w:rsidRPr="002C5DE1">
        <w:rPr>
          <w:rFonts w:ascii="Times New Roman" w:hAnsi="Times New Roman"/>
          <w:color w:val="000000" w:themeColor="text1"/>
        </w:rPr>
        <w:t xml:space="preserve"> accessed on 03/20/2019).</w:t>
      </w:r>
    </w:p>
  </w:footnote>
  <w:footnote w:id="11">
    <w:p w14:paraId="317917E5" w14:textId="77777777" w:rsidR="002F4984" w:rsidRPr="002C5DE1" w:rsidRDefault="002F4984" w:rsidP="007C38F4">
      <w:pPr>
        <w:pStyle w:val="FootnoteText"/>
        <w:spacing w:after="60"/>
        <w:rPr>
          <w:color w:val="000000" w:themeColor="text1"/>
          <w:lang w:val="tr-TR"/>
        </w:rPr>
      </w:pPr>
      <w:r w:rsidRPr="002C5DE1">
        <w:rPr>
          <w:rStyle w:val="FootnoteReference"/>
          <w:color w:val="000000" w:themeColor="text1"/>
        </w:rPr>
        <w:footnoteRef/>
      </w:r>
      <w:r w:rsidRPr="002C5DE1">
        <w:rPr>
          <w:color w:val="000000" w:themeColor="text1"/>
        </w:rPr>
        <w:t xml:space="preserve"> </w:t>
      </w:r>
      <w:r w:rsidRPr="002C5DE1">
        <w:rPr>
          <w:rFonts w:ascii="Times New Roman" w:hAnsi="Times New Roman"/>
          <w:color w:val="000000" w:themeColor="text1"/>
        </w:rPr>
        <w:t xml:space="preserve">The standardized house price-income ratios show the current price-income ratios relative to their respective long-term averages. The long-term average, which is used as a reference value, is calculated over the whole period available when the indicator begins after 1980 or 1980 if the indicator is available over a longer time period. The standardized ratio is indexed to a reference value equal to 100 over the full sample period. Values over 100 indicate that the present price-income ratio is above its long-run norms. This provides an indication of potential housing market pressures. (Source: </w:t>
      </w:r>
      <w:hyperlink r:id="rId6" w:history="1">
        <w:r w:rsidRPr="002C5DE1">
          <w:rPr>
            <w:rStyle w:val="Hyperlink"/>
            <w:rFonts w:ascii="Times New Roman" w:hAnsi="Times New Roman"/>
            <w:color w:val="000000" w:themeColor="text1"/>
          </w:rPr>
          <w:t>https://stats.oecd.org/Index.aspx?DataSetCode=HOUSE_PRICES#</w:t>
        </w:r>
      </w:hyperlink>
      <w:r w:rsidRPr="002C5DE1">
        <w:rPr>
          <w:rFonts w:ascii="Times New Roman" w:hAnsi="Times New Roman"/>
          <w:color w:val="000000" w:themeColor="text1"/>
        </w:rPr>
        <w:t xml:space="preserve"> , accessed on 03/20/2019).</w:t>
      </w:r>
    </w:p>
  </w:footnote>
  <w:footnote w:id="12">
    <w:p w14:paraId="0D966F2E" w14:textId="77777777" w:rsidR="002F4984" w:rsidRPr="002C5DE1" w:rsidRDefault="002F4984" w:rsidP="00271D8E">
      <w:pPr>
        <w:autoSpaceDE w:val="0"/>
        <w:autoSpaceDN w:val="0"/>
        <w:adjustRightInd w:val="0"/>
        <w:spacing w:after="0" w:line="240" w:lineRule="auto"/>
        <w:jc w:val="both"/>
        <w:rPr>
          <w:rFonts w:ascii="Times New Roman" w:hAnsi="Times New Roman" w:cs="Times New Roman"/>
          <w:color w:val="000000" w:themeColor="text1"/>
          <w:sz w:val="20"/>
          <w:szCs w:val="20"/>
        </w:rPr>
      </w:pPr>
      <w:r w:rsidRPr="002C5DE1">
        <w:rPr>
          <w:rStyle w:val="FootnoteReference"/>
          <w:rFonts w:ascii="Times New Roman" w:hAnsi="Times New Roman" w:cs="Times New Roman"/>
          <w:color w:val="000000" w:themeColor="text1"/>
          <w:sz w:val="20"/>
          <w:szCs w:val="20"/>
        </w:rPr>
        <w:footnoteRef/>
      </w:r>
      <w:r w:rsidRPr="002C5DE1">
        <w:rPr>
          <w:rFonts w:ascii="Times New Roman" w:hAnsi="Times New Roman" w:cs="Times New Roman"/>
          <w:color w:val="000000" w:themeColor="text1"/>
          <w:sz w:val="20"/>
          <w:szCs w:val="20"/>
        </w:rPr>
        <w:t xml:space="preserve"> Searle (2011) suggested that housing wealth is increasingly being used as a financial safety net across the life course and that different economic periods may have significant effects on housing-related behaviours.</w:t>
      </w:r>
    </w:p>
    <w:p w14:paraId="5F33FA05" w14:textId="77777777" w:rsidR="002F4984" w:rsidRPr="002C5DE1" w:rsidRDefault="002F4984">
      <w:pPr>
        <w:pStyle w:val="FootnoteText"/>
        <w:rPr>
          <w:color w:val="000000" w:themeColor="text1"/>
          <w:lang w:val="tr-TR"/>
        </w:rPr>
      </w:pPr>
    </w:p>
  </w:footnote>
  <w:footnote w:id="13">
    <w:p w14:paraId="680B8880" w14:textId="77777777" w:rsidR="002F4984" w:rsidRPr="002C5DE1" w:rsidRDefault="002F4984" w:rsidP="004664CC">
      <w:pPr>
        <w:pStyle w:val="CommentText"/>
        <w:spacing w:after="0"/>
        <w:jc w:val="both"/>
        <w:rPr>
          <w:color w:val="000000" w:themeColor="text1"/>
        </w:rPr>
      </w:pPr>
      <w:r w:rsidRPr="002C5DE1">
        <w:rPr>
          <w:rStyle w:val="FootnoteReference"/>
          <w:color w:val="000000" w:themeColor="text1"/>
        </w:rPr>
        <w:footnoteRef/>
      </w:r>
      <w:r w:rsidRPr="002C5DE1">
        <w:rPr>
          <w:color w:val="000000" w:themeColor="text1"/>
        </w:rPr>
        <w:t xml:space="preserve"> </w:t>
      </w:r>
      <w:r w:rsidRPr="002C5DE1">
        <w:rPr>
          <w:rFonts w:ascii="Times New Roman" w:hAnsi="Times New Roman" w:cs="Times New Roman"/>
          <w:color w:val="000000" w:themeColor="text1"/>
        </w:rPr>
        <w:t>Keynes (1936) indicated that during abnormal situation propensity to consume may be sharply affected by the development of extreme uncertainty concerning the future.</w:t>
      </w:r>
    </w:p>
  </w:footnote>
  <w:footnote w:id="14">
    <w:p w14:paraId="1D808BEA" w14:textId="77777777" w:rsidR="002F4984" w:rsidRPr="002C5DE1" w:rsidRDefault="002F4984" w:rsidP="00317894">
      <w:pPr>
        <w:pStyle w:val="FootnoteText"/>
        <w:rPr>
          <w:color w:val="000000" w:themeColor="text1"/>
          <w:lang w:val="tr-TR"/>
        </w:rPr>
      </w:pPr>
      <w:r w:rsidRPr="002C5DE1">
        <w:rPr>
          <w:rStyle w:val="FootnoteReference"/>
          <w:color w:val="000000" w:themeColor="text1"/>
        </w:rPr>
        <w:footnoteRef/>
      </w:r>
      <w:r w:rsidRPr="002C5DE1">
        <w:rPr>
          <w:color w:val="000000" w:themeColor="text1"/>
        </w:rPr>
        <w:t xml:space="preserve"> </w:t>
      </w:r>
      <w:r w:rsidRPr="002C5DE1">
        <w:rPr>
          <w:rFonts w:ascii="Times New Roman" w:hAnsi="Times New Roman"/>
          <w:color w:val="000000" w:themeColor="text1"/>
        </w:rPr>
        <w:t xml:space="preserve">Source: BIS debt service ratios statistics. (about credit statistics for households see, </w:t>
      </w:r>
      <w:hyperlink r:id="rId7" w:history="1">
        <w:r w:rsidRPr="002C5DE1">
          <w:rPr>
            <w:rStyle w:val="Hyperlink"/>
            <w:rFonts w:ascii="Times New Roman" w:hAnsi="Times New Roman"/>
            <w:color w:val="000000" w:themeColor="text1"/>
          </w:rPr>
          <w:t>https://www.bis.org/statistics/about_credit_stats.htm</w:t>
        </w:r>
      </w:hyperlink>
      <w:r w:rsidRPr="002C5DE1">
        <w:rPr>
          <w:rFonts w:ascii="Times New Roman" w:hAnsi="Times New Roman"/>
          <w:color w:val="000000" w:themeColor="text1"/>
        </w:rPr>
        <w:t xml:space="preserve"> accessed on 06/11/2019).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F6B75"/>
    <w:multiLevelType w:val="hybridMultilevel"/>
    <w:tmpl w:val="4B94F0E8"/>
    <w:lvl w:ilvl="0" w:tplc="D916A338">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BA2492D"/>
    <w:multiLevelType w:val="hybridMultilevel"/>
    <w:tmpl w:val="9D3EE2A6"/>
    <w:lvl w:ilvl="0" w:tplc="E3F83592">
      <w:start w:val="1"/>
      <w:numFmt w:val="lowerRoman"/>
      <w:lvlText w:val="%1)"/>
      <w:lvlJc w:val="left"/>
      <w:pPr>
        <w:ind w:left="720" w:hanging="72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49B6005B"/>
    <w:multiLevelType w:val="hybridMultilevel"/>
    <w:tmpl w:val="23E45B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D487979"/>
    <w:multiLevelType w:val="hybridMultilevel"/>
    <w:tmpl w:val="D6589B96"/>
    <w:lvl w:ilvl="0" w:tplc="DF5EDD06">
      <w:start w:val="1"/>
      <w:numFmt w:val="lowerRoman"/>
      <w:lvlText w:val="%1)"/>
      <w:lvlJc w:val="left"/>
      <w:pPr>
        <w:ind w:left="720" w:hanging="72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7DCA7851"/>
    <w:multiLevelType w:val="hybridMultilevel"/>
    <w:tmpl w:val="FB4C1C18"/>
    <w:lvl w:ilvl="0" w:tplc="EAC4EBC8">
      <w:start w:val="1"/>
      <w:numFmt w:val="lowerRoman"/>
      <w:lvlText w:val="(%1)"/>
      <w:lvlJc w:val="left"/>
      <w:pPr>
        <w:ind w:left="1077" w:hanging="720"/>
      </w:pPr>
      <w:rPr>
        <w:rFonts w:ascii="Times New Roman" w:hAnsi="Times New Roman" w:cs="Times New Roman"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DC1"/>
    <w:rsid w:val="0000594A"/>
    <w:rsid w:val="0001042F"/>
    <w:rsid w:val="00010C41"/>
    <w:rsid w:val="00016370"/>
    <w:rsid w:val="00016CF5"/>
    <w:rsid w:val="00016F41"/>
    <w:rsid w:val="000214C2"/>
    <w:rsid w:val="000271FE"/>
    <w:rsid w:val="00027C24"/>
    <w:rsid w:val="0003004B"/>
    <w:rsid w:val="00031910"/>
    <w:rsid w:val="00034544"/>
    <w:rsid w:val="00035946"/>
    <w:rsid w:val="00040E5C"/>
    <w:rsid w:val="000436A0"/>
    <w:rsid w:val="00043BD9"/>
    <w:rsid w:val="000443BF"/>
    <w:rsid w:val="00046169"/>
    <w:rsid w:val="00050CC8"/>
    <w:rsid w:val="000524FC"/>
    <w:rsid w:val="00052C35"/>
    <w:rsid w:val="000564B9"/>
    <w:rsid w:val="00061B2A"/>
    <w:rsid w:val="0006272E"/>
    <w:rsid w:val="0006658E"/>
    <w:rsid w:val="00070AA6"/>
    <w:rsid w:val="00072E6C"/>
    <w:rsid w:val="00075351"/>
    <w:rsid w:val="0008049C"/>
    <w:rsid w:val="000821F4"/>
    <w:rsid w:val="00084F45"/>
    <w:rsid w:val="00085396"/>
    <w:rsid w:val="000863E3"/>
    <w:rsid w:val="00090059"/>
    <w:rsid w:val="0009412F"/>
    <w:rsid w:val="000A087A"/>
    <w:rsid w:val="000A301B"/>
    <w:rsid w:val="000A420D"/>
    <w:rsid w:val="000A4BC2"/>
    <w:rsid w:val="000A708A"/>
    <w:rsid w:val="000A79FF"/>
    <w:rsid w:val="000B7D46"/>
    <w:rsid w:val="000C5B76"/>
    <w:rsid w:val="000D01C7"/>
    <w:rsid w:val="000D1264"/>
    <w:rsid w:val="000D2028"/>
    <w:rsid w:val="000D2429"/>
    <w:rsid w:val="000D2B75"/>
    <w:rsid w:val="000D3BDD"/>
    <w:rsid w:val="000D47C9"/>
    <w:rsid w:val="000F173E"/>
    <w:rsid w:val="000F28A9"/>
    <w:rsid w:val="000F31FA"/>
    <w:rsid w:val="000F3993"/>
    <w:rsid w:val="000F3A45"/>
    <w:rsid w:val="000F5436"/>
    <w:rsid w:val="000F667D"/>
    <w:rsid w:val="000F77F4"/>
    <w:rsid w:val="000F79BF"/>
    <w:rsid w:val="00100B0C"/>
    <w:rsid w:val="001018A2"/>
    <w:rsid w:val="00104BE2"/>
    <w:rsid w:val="00110707"/>
    <w:rsid w:val="0011323A"/>
    <w:rsid w:val="001141A9"/>
    <w:rsid w:val="00116E07"/>
    <w:rsid w:val="00117EBC"/>
    <w:rsid w:val="0012105F"/>
    <w:rsid w:val="00121C0F"/>
    <w:rsid w:val="00124987"/>
    <w:rsid w:val="00124C59"/>
    <w:rsid w:val="001357EF"/>
    <w:rsid w:val="0014066D"/>
    <w:rsid w:val="00147767"/>
    <w:rsid w:val="001528E9"/>
    <w:rsid w:val="00155977"/>
    <w:rsid w:val="001564A9"/>
    <w:rsid w:val="00156FD8"/>
    <w:rsid w:val="00160750"/>
    <w:rsid w:val="00161FCD"/>
    <w:rsid w:val="00164116"/>
    <w:rsid w:val="00167E49"/>
    <w:rsid w:val="00174DC7"/>
    <w:rsid w:val="00177C7D"/>
    <w:rsid w:val="0018109A"/>
    <w:rsid w:val="00183438"/>
    <w:rsid w:val="00185B54"/>
    <w:rsid w:val="00186102"/>
    <w:rsid w:val="001911A0"/>
    <w:rsid w:val="00191EA5"/>
    <w:rsid w:val="00192213"/>
    <w:rsid w:val="00196AE1"/>
    <w:rsid w:val="00196EF5"/>
    <w:rsid w:val="001973E9"/>
    <w:rsid w:val="001A0581"/>
    <w:rsid w:val="001A38C7"/>
    <w:rsid w:val="001A44DA"/>
    <w:rsid w:val="001A67A4"/>
    <w:rsid w:val="001A6F3D"/>
    <w:rsid w:val="001B2C56"/>
    <w:rsid w:val="001B52C4"/>
    <w:rsid w:val="001B7D51"/>
    <w:rsid w:val="001C0B5E"/>
    <w:rsid w:val="001C2496"/>
    <w:rsid w:val="001C2B5B"/>
    <w:rsid w:val="001C34A1"/>
    <w:rsid w:val="001C4572"/>
    <w:rsid w:val="001C6587"/>
    <w:rsid w:val="001D04F7"/>
    <w:rsid w:val="001D1F4D"/>
    <w:rsid w:val="001D2167"/>
    <w:rsid w:val="001D32F1"/>
    <w:rsid w:val="001D68AB"/>
    <w:rsid w:val="001D6FB9"/>
    <w:rsid w:val="001E4994"/>
    <w:rsid w:val="001F0747"/>
    <w:rsid w:val="001F0A53"/>
    <w:rsid w:val="001F3EEE"/>
    <w:rsid w:val="001F41D1"/>
    <w:rsid w:val="001F7001"/>
    <w:rsid w:val="001F7AAE"/>
    <w:rsid w:val="002007B8"/>
    <w:rsid w:val="002017C0"/>
    <w:rsid w:val="00204BA1"/>
    <w:rsid w:val="00204FCB"/>
    <w:rsid w:val="002051B1"/>
    <w:rsid w:val="00205643"/>
    <w:rsid w:val="0020798D"/>
    <w:rsid w:val="0021188E"/>
    <w:rsid w:val="002169F8"/>
    <w:rsid w:val="00217430"/>
    <w:rsid w:val="0021761D"/>
    <w:rsid w:val="002248B6"/>
    <w:rsid w:val="00225810"/>
    <w:rsid w:val="00225AAB"/>
    <w:rsid w:val="0024396F"/>
    <w:rsid w:val="0024559D"/>
    <w:rsid w:val="00245AFA"/>
    <w:rsid w:val="002509AF"/>
    <w:rsid w:val="00254425"/>
    <w:rsid w:val="00255ECA"/>
    <w:rsid w:val="00256729"/>
    <w:rsid w:val="002569AA"/>
    <w:rsid w:val="00257483"/>
    <w:rsid w:val="0025755C"/>
    <w:rsid w:val="00257E18"/>
    <w:rsid w:val="00257F37"/>
    <w:rsid w:val="00260087"/>
    <w:rsid w:val="00262395"/>
    <w:rsid w:val="00263F1F"/>
    <w:rsid w:val="00271D8E"/>
    <w:rsid w:val="00274E23"/>
    <w:rsid w:val="00277671"/>
    <w:rsid w:val="00280CEF"/>
    <w:rsid w:val="00286FF0"/>
    <w:rsid w:val="00287B90"/>
    <w:rsid w:val="0029123D"/>
    <w:rsid w:val="002923B9"/>
    <w:rsid w:val="00296F8F"/>
    <w:rsid w:val="00296FCC"/>
    <w:rsid w:val="002A00AE"/>
    <w:rsid w:val="002A021B"/>
    <w:rsid w:val="002A0FC0"/>
    <w:rsid w:val="002A11C7"/>
    <w:rsid w:val="002A26F9"/>
    <w:rsid w:val="002B33A9"/>
    <w:rsid w:val="002B4725"/>
    <w:rsid w:val="002B592C"/>
    <w:rsid w:val="002B677B"/>
    <w:rsid w:val="002B6FC0"/>
    <w:rsid w:val="002C02CD"/>
    <w:rsid w:val="002C1C23"/>
    <w:rsid w:val="002C3E56"/>
    <w:rsid w:val="002C3F9D"/>
    <w:rsid w:val="002C5DE1"/>
    <w:rsid w:val="002C610B"/>
    <w:rsid w:val="002D03E5"/>
    <w:rsid w:val="002D0F7E"/>
    <w:rsid w:val="002D73E2"/>
    <w:rsid w:val="002F4984"/>
    <w:rsid w:val="002F7104"/>
    <w:rsid w:val="002F7730"/>
    <w:rsid w:val="00300000"/>
    <w:rsid w:val="00300245"/>
    <w:rsid w:val="00305AFF"/>
    <w:rsid w:val="00306327"/>
    <w:rsid w:val="00307012"/>
    <w:rsid w:val="00307D14"/>
    <w:rsid w:val="0031441F"/>
    <w:rsid w:val="00316FE6"/>
    <w:rsid w:val="00317673"/>
    <w:rsid w:val="00317894"/>
    <w:rsid w:val="003214EF"/>
    <w:rsid w:val="00321686"/>
    <w:rsid w:val="0032172B"/>
    <w:rsid w:val="003224C3"/>
    <w:rsid w:val="00325E0C"/>
    <w:rsid w:val="00330041"/>
    <w:rsid w:val="00331938"/>
    <w:rsid w:val="0033221E"/>
    <w:rsid w:val="003376EF"/>
    <w:rsid w:val="00341DEF"/>
    <w:rsid w:val="00345042"/>
    <w:rsid w:val="00345649"/>
    <w:rsid w:val="00350D60"/>
    <w:rsid w:val="00351AB9"/>
    <w:rsid w:val="00353311"/>
    <w:rsid w:val="003546ED"/>
    <w:rsid w:val="00355D96"/>
    <w:rsid w:val="00356B7F"/>
    <w:rsid w:val="0035746B"/>
    <w:rsid w:val="0036115E"/>
    <w:rsid w:val="0037018B"/>
    <w:rsid w:val="003719DB"/>
    <w:rsid w:val="003755D1"/>
    <w:rsid w:val="00375D9D"/>
    <w:rsid w:val="0037643B"/>
    <w:rsid w:val="00377881"/>
    <w:rsid w:val="00377A7F"/>
    <w:rsid w:val="00377EBE"/>
    <w:rsid w:val="003804A9"/>
    <w:rsid w:val="00380D7F"/>
    <w:rsid w:val="00384769"/>
    <w:rsid w:val="00384F96"/>
    <w:rsid w:val="00385792"/>
    <w:rsid w:val="00387659"/>
    <w:rsid w:val="00390090"/>
    <w:rsid w:val="00391B55"/>
    <w:rsid w:val="003921A7"/>
    <w:rsid w:val="003923CD"/>
    <w:rsid w:val="00394B14"/>
    <w:rsid w:val="003968C7"/>
    <w:rsid w:val="00396AA5"/>
    <w:rsid w:val="003A17EA"/>
    <w:rsid w:val="003A4039"/>
    <w:rsid w:val="003A45DD"/>
    <w:rsid w:val="003A68F2"/>
    <w:rsid w:val="003A761D"/>
    <w:rsid w:val="003B2BEC"/>
    <w:rsid w:val="003B3D21"/>
    <w:rsid w:val="003C1A6D"/>
    <w:rsid w:val="003C2300"/>
    <w:rsid w:val="003C24FF"/>
    <w:rsid w:val="003C52CC"/>
    <w:rsid w:val="003D0316"/>
    <w:rsid w:val="003D0D16"/>
    <w:rsid w:val="003E2411"/>
    <w:rsid w:val="003E4A05"/>
    <w:rsid w:val="003E5B1A"/>
    <w:rsid w:val="003F20E7"/>
    <w:rsid w:val="003F23B0"/>
    <w:rsid w:val="0040016F"/>
    <w:rsid w:val="00405B11"/>
    <w:rsid w:val="00405D9B"/>
    <w:rsid w:val="00406BC1"/>
    <w:rsid w:val="00414C6E"/>
    <w:rsid w:val="00416B8A"/>
    <w:rsid w:val="00416E18"/>
    <w:rsid w:val="00420991"/>
    <w:rsid w:val="00421473"/>
    <w:rsid w:val="00423864"/>
    <w:rsid w:val="00426405"/>
    <w:rsid w:val="0043412E"/>
    <w:rsid w:val="00435D5B"/>
    <w:rsid w:val="004413B0"/>
    <w:rsid w:val="00441F85"/>
    <w:rsid w:val="00442481"/>
    <w:rsid w:val="00443F44"/>
    <w:rsid w:val="00444C12"/>
    <w:rsid w:val="00450955"/>
    <w:rsid w:val="00450B6D"/>
    <w:rsid w:val="0045102F"/>
    <w:rsid w:val="00453847"/>
    <w:rsid w:val="00453B3E"/>
    <w:rsid w:val="0045442B"/>
    <w:rsid w:val="00455018"/>
    <w:rsid w:val="00461EF3"/>
    <w:rsid w:val="00462E5C"/>
    <w:rsid w:val="00464561"/>
    <w:rsid w:val="00464970"/>
    <w:rsid w:val="004664CC"/>
    <w:rsid w:val="00474757"/>
    <w:rsid w:val="00475A8B"/>
    <w:rsid w:val="00480478"/>
    <w:rsid w:val="00480D69"/>
    <w:rsid w:val="00483A7E"/>
    <w:rsid w:val="00485751"/>
    <w:rsid w:val="004860EF"/>
    <w:rsid w:val="00491424"/>
    <w:rsid w:val="004914E2"/>
    <w:rsid w:val="00495103"/>
    <w:rsid w:val="00496E72"/>
    <w:rsid w:val="004A0949"/>
    <w:rsid w:val="004A1E44"/>
    <w:rsid w:val="004A2E57"/>
    <w:rsid w:val="004A4DAB"/>
    <w:rsid w:val="004A77C3"/>
    <w:rsid w:val="004B06A6"/>
    <w:rsid w:val="004B0992"/>
    <w:rsid w:val="004B7457"/>
    <w:rsid w:val="004C2AA3"/>
    <w:rsid w:val="004C4E24"/>
    <w:rsid w:val="004C681C"/>
    <w:rsid w:val="004C786B"/>
    <w:rsid w:val="004E2125"/>
    <w:rsid w:val="004E29E3"/>
    <w:rsid w:val="004E6441"/>
    <w:rsid w:val="004E71BE"/>
    <w:rsid w:val="004F4EC0"/>
    <w:rsid w:val="004F5D5A"/>
    <w:rsid w:val="004F73CF"/>
    <w:rsid w:val="004F7ACA"/>
    <w:rsid w:val="005051C2"/>
    <w:rsid w:val="005058A3"/>
    <w:rsid w:val="00506742"/>
    <w:rsid w:val="0051140A"/>
    <w:rsid w:val="0051232A"/>
    <w:rsid w:val="00513A0B"/>
    <w:rsid w:val="00515F28"/>
    <w:rsid w:val="00516F4A"/>
    <w:rsid w:val="00517EEF"/>
    <w:rsid w:val="005215F3"/>
    <w:rsid w:val="00521925"/>
    <w:rsid w:val="00524863"/>
    <w:rsid w:val="0052714F"/>
    <w:rsid w:val="00531AE2"/>
    <w:rsid w:val="0053686B"/>
    <w:rsid w:val="0053690B"/>
    <w:rsid w:val="00537B06"/>
    <w:rsid w:val="005408DA"/>
    <w:rsid w:val="00542873"/>
    <w:rsid w:val="00544BA6"/>
    <w:rsid w:val="00545BC1"/>
    <w:rsid w:val="00546F44"/>
    <w:rsid w:val="00546FC7"/>
    <w:rsid w:val="0054741C"/>
    <w:rsid w:val="00550848"/>
    <w:rsid w:val="0055116A"/>
    <w:rsid w:val="0055477B"/>
    <w:rsid w:val="00555023"/>
    <w:rsid w:val="00557A6D"/>
    <w:rsid w:val="00560B7E"/>
    <w:rsid w:val="00561808"/>
    <w:rsid w:val="005637A7"/>
    <w:rsid w:val="00564823"/>
    <w:rsid w:val="00570ADC"/>
    <w:rsid w:val="005726F1"/>
    <w:rsid w:val="00573F57"/>
    <w:rsid w:val="00574C94"/>
    <w:rsid w:val="00577350"/>
    <w:rsid w:val="005914AA"/>
    <w:rsid w:val="00592E27"/>
    <w:rsid w:val="005940A8"/>
    <w:rsid w:val="005A0728"/>
    <w:rsid w:val="005A0C39"/>
    <w:rsid w:val="005A153C"/>
    <w:rsid w:val="005A462C"/>
    <w:rsid w:val="005A49ED"/>
    <w:rsid w:val="005A5F4B"/>
    <w:rsid w:val="005A6E61"/>
    <w:rsid w:val="005B14AE"/>
    <w:rsid w:val="005B2FA6"/>
    <w:rsid w:val="005B629E"/>
    <w:rsid w:val="005B6734"/>
    <w:rsid w:val="005C0C0D"/>
    <w:rsid w:val="005C5206"/>
    <w:rsid w:val="005D065F"/>
    <w:rsid w:val="005D118F"/>
    <w:rsid w:val="005D26DC"/>
    <w:rsid w:val="005D2F92"/>
    <w:rsid w:val="005D41A9"/>
    <w:rsid w:val="005D59A9"/>
    <w:rsid w:val="005D77C1"/>
    <w:rsid w:val="005E0CB8"/>
    <w:rsid w:val="005E1575"/>
    <w:rsid w:val="005E351F"/>
    <w:rsid w:val="005E3955"/>
    <w:rsid w:val="005E5F49"/>
    <w:rsid w:val="005F2F4C"/>
    <w:rsid w:val="005F3AF6"/>
    <w:rsid w:val="005F3CCF"/>
    <w:rsid w:val="005F4664"/>
    <w:rsid w:val="005F627E"/>
    <w:rsid w:val="005F6EDC"/>
    <w:rsid w:val="005F744A"/>
    <w:rsid w:val="005F7E11"/>
    <w:rsid w:val="00602957"/>
    <w:rsid w:val="00603871"/>
    <w:rsid w:val="00604D5D"/>
    <w:rsid w:val="0060537A"/>
    <w:rsid w:val="00612C3D"/>
    <w:rsid w:val="00613C5E"/>
    <w:rsid w:val="0061497A"/>
    <w:rsid w:val="00615327"/>
    <w:rsid w:val="006207C4"/>
    <w:rsid w:val="00624988"/>
    <w:rsid w:val="006300F0"/>
    <w:rsid w:val="006317FA"/>
    <w:rsid w:val="00632C06"/>
    <w:rsid w:val="006357EE"/>
    <w:rsid w:val="00637E5F"/>
    <w:rsid w:val="006409C5"/>
    <w:rsid w:val="00642EFE"/>
    <w:rsid w:val="00645424"/>
    <w:rsid w:val="00656D62"/>
    <w:rsid w:val="00662592"/>
    <w:rsid w:val="00662BDF"/>
    <w:rsid w:val="00663F74"/>
    <w:rsid w:val="0066415A"/>
    <w:rsid w:val="00664669"/>
    <w:rsid w:val="0066484F"/>
    <w:rsid w:val="006661A5"/>
    <w:rsid w:val="00671D75"/>
    <w:rsid w:val="006853FA"/>
    <w:rsid w:val="006866E9"/>
    <w:rsid w:val="00690D06"/>
    <w:rsid w:val="0069269B"/>
    <w:rsid w:val="00692F7D"/>
    <w:rsid w:val="006A03E6"/>
    <w:rsid w:val="006A3DCB"/>
    <w:rsid w:val="006A4417"/>
    <w:rsid w:val="006A6FE4"/>
    <w:rsid w:val="006B1EB1"/>
    <w:rsid w:val="006B4BD8"/>
    <w:rsid w:val="006B5A7A"/>
    <w:rsid w:val="006C09D4"/>
    <w:rsid w:val="006C1CCE"/>
    <w:rsid w:val="006C5232"/>
    <w:rsid w:val="006C711A"/>
    <w:rsid w:val="006C77A4"/>
    <w:rsid w:val="006C7C1F"/>
    <w:rsid w:val="006D1E51"/>
    <w:rsid w:val="006D24BD"/>
    <w:rsid w:val="006D3E0D"/>
    <w:rsid w:val="006D40BB"/>
    <w:rsid w:val="006D5472"/>
    <w:rsid w:val="006E18A7"/>
    <w:rsid w:val="006E3B49"/>
    <w:rsid w:val="006E62F1"/>
    <w:rsid w:val="006E7ADE"/>
    <w:rsid w:val="006F64DB"/>
    <w:rsid w:val="00700218"/>
    <w:rsid w:val="0070076B"/>
    <w:rsid w:val="0070382D"/>
    <w:rsid w:val="0071485A"/>
    <w:rsid w:val="007152CA"/>
    <w:rsid w:val="00715EFA"/>
    <w:rsid w:val="0071740C"/>
    <w:rsid w:val="00722440"/>
    <w:rsid w:val="00726577"/>
    <w:rsid w:val="007304C7"/>
    <w:rsid w:val="00733E3B"/>
    <w:rsid w:val="0073442C"/>
    <w:rsid w:val="00736FE8"/>
    <w:rsid w:val="00741109"/>
    <w:rsid w:val="00741564"/>
    <w:rsid w:val="00743F74"/>
    <w:rsid w:val="00744E55"/>
    <w:rsid w:val="007472AD"/>
    <w:rsid w:val="00747E4A"/>
    <w:rsid w:val="00750685"/>
    <w:rsid w:val="0075732D"/>
    <w:rsid w:val="00766143"/>
    <w:rsid w:val="00771C83"/>
    <w:rsid w:val="0077246C"/>
    <w:rsid w:val="00774B17"/>
    <w:rsid w:val="00774D55"/>
    <w:rsid w:val="0077727A"/>
    <w:rsid w:val="00777AAC"/>
    <w:rsid w:val="00780D58"/>
    <w:rsid w:val="007813EE"/>
    <w:rsid w:val="00786E39"/>
    <w:rsid w:val="00787E48"/>
    <w:rsid w:val="00790299"/>
    <w:rsid w:val="00792F82"/>
    <w:rsid w:val="0079554B"/>
    <w:rsid w:val="007A186D"/>
    <w:rsid w:val="007A38AD"/>
    <w:rsid w:val="007A7920"/>
    <w:rsid w:val="007B1118"/>
    <w:rsid w:val="007B1564"/>
    <w:rsid w:val="007B1CE4"/>
    <w:rsid w:val="007B203B"/>
    <w:rsid w:val="007B33D0"/>
    <w:rsid w:val="007B371B"/>
    <w:rsid w:val="007B4191"/>
    <w:rsid w:val="007B6C10"/>
    <w:rsid w:val="007C2921"/>
    <w:rsid w:val="007C2D4B"/>
    <w:rsid w:val="007C2E92"/>
    <w:rsid w:val="007C38F4"/>
    <w:rsid w:val="007C461A"/>
    <w:rsid w:val="007C63DE"/>
    <w:rsid w:val="007D0B85"/>
    <w:rsid w:val="007D3728"/>
    <w:rsid w:val="007E44E4"/>
    <w:rsid w:val="007E65A9"/>
    <w:rsid w:val="007E755E"/>
    <w:rsid w:val="007E7705"/>
    <w:rsid w:val="007F4216"/>
    <w:rsid w:val="007F7E67"/>
    <w:rsid w:val="008001F6"/>
    <w:rsid w:val="008005A1"/>
    <w:rsid w:val="008024F5"/>
    <w:rsid w:val="008137BF"/>
    <w:rsid w:val="0081548C"/>
    <w:rsid w:val="00815A05"/>
    <w:rsid w:val="00815D0F"/>
    <w:rsid w:val="00816234"/>
    <w:rsid w:val="00820800"/>
    <w:rsid w:val="00826F90"/>
    <w:rsid w:val="00830E47"/>
    <w:rsid w:val="00833277"/>
    <w:rsid w:val="008333EF"/>
    <w:rsid w:val="0083587C"/>
    <w:rsid w:val="0083793E"/>
    <w:rsid w:val="00840B32"/>
    <w:rsid w:val="00844051"/>
    <w:rsid w:val="0084418C"/>
    <w:rsid w:val="008459B3"/>
    <w:rsid w:val="008564B4"/>
    <w:rsid w:val="00857BDD"/>
    <w:rsid w:val="00861513"/>
    <w:rsid w:val="008619E9"/>
    <w:rsid w:val="00862C47"/>
    <w:rsid w:val="0087170E"/>
    <w:rsid w:val="00872441"/>
    <w:rsid w:val="00873DE9"/>
    <w:rsid w:val="00874604"/>
    <w:rsid w:val="008807C6"/>
    <w:rsid w:val="00881018"/>
    <w:rsid w:val="008864EA"/>
    <w:rsid w:val="00886BE5"/>
    <w:rsid w:val="008929E0"/>
    <w:rsid w:val="008A0C5E"/>
    <w:rsid w:val="008B58CB"/>
    <w:rsid w:val="008B656E"/>
    <w:rsid w:val="008C3326"/>
    <w:rsid w:val="008C6557"/>
    <w:rsid w:val="008D24B0"/>
    <w:rsid w:val="008D2D2B"/>
    <w:rsid w:val="008D3441"/>
    <w:rsid w:val="008D4B6D"/>
    <w:rsid w:val="008D4DEB"/>
    <w:rsid w:val="008D52E7"/>
    <w:rsid w:val="008D69FD"/>
    <w:rsid w:val="008D77DD"/>
    <w:rsid w:val="008E1467"/>
    <w:rsid w:val="008E2305"/>
    <w:rsid w:val="008E588C"/>
    <w:rsid w:val="008F10C4"/>
    <w:rsid w:val="008F4DE5"/>
    <w:rsid w:val="008F67D4"/>
    <w:rsid w:val="009021BB"/>
    <w:rsid w:val="00902E1E"/>
    <w:rsid w:val="0090305D"/>
    <w:rsid w:val="00907605"/>
    <w:rsid w:val="00913EF5"/>
    <w:rsid w:val="00914D3B"/>
    <w:rsid w:val="00917F3F"/>
    <w:rsid w:val="00921F06"/>
    <w:rsid w:val="00923AF7"/>
    <w:rsid w:val="00924638"/>
    <w:rsid w:val="00924B78"/>
    <w:rsid w:val="00926C3B"/>
    <w:rsid w:val="00927D0E"/>
    <w:rsid w:val="00931151"/>
    <w:rsid w:val="00934843"/>
    <w:rsid w:val="00937841"/>
    <w:rsid w:val="0094172B"/>
    <w:rsid w:val="00941FEC"/>
    <w:rsid w:val="00942F4D"/>
    <w:rsid w:val="00944BA2"/>
    <w:rsid w:val="00945F3A"/>
    <w:rsid w:val="00947235"/>
    <w:rsid w:val="009641C6"/>
    <w:rsid w:val="009658BE"/>
    <w:rsid w:val="00966E16"/>
    <w:rsid w:val="00971BB6"/>
    <w:rsid w:val="0098122F"/>
    <w:rsid w:val="00982E21"/>
    <w:rsid w:val="00986E11"/>
    <w:rsid w:val="0099274F"/>
    <w:rsid w:val="00992975"/>
    <w:rsid w:val="009966C2"/>
    <w:rsid w:val="009A19D8"/>
    <w:rsid w:val="009A2613"/>
    <w:rsid w:val="009A3495"/>
    <w:rsid w:val="009A390D"/>
    <w:rsid w:val="009A3DF1"/>
    <w:rsid w:val="009A420E"/>
    <w:rsid w:val="009A4453"/>
    <w:rsid w:val="009A6F68"/>
    <w:rsid w:val="009B1D24"/>
    <w:rsid w:val="009B4F29"/>
    <w:rsid w:val="009B7992"/>
    <w:rsid w:val="009C0565"/>
    <w:rsid w:val="009C15BA"/>
    <w:rsid w:val="009C17BF"/>
    <w:rsid w:val="009C185C"/>
    <w:rsid w:val="009C51A3"/>
    <w:rsid w:val="009C5E1D"/>
    <w:rsid w:val="009D0AAB"/>
    <w:rsid w:val="009D146F"/>
    <w:rsid w:val="009D20B9"/>
    <w:rsid w:val="009D3B46"/>
    <w:rsid w:val="009D4322"/>
    <w:rsid w:val="009D4813"/>
    <w:rsid w:val="009D5E31"/>
    <w:rsid w:val="009D6AE4"/>
    <w:rsid w:val="009D6C94"/>
    <w:rsid w:val="009D7FE0"/>
    <w:rsid w:val="009E050D"/>
    <w:rsid w:val="009E2041"/>
    <w:rsid w:val="009E3AC2"/>
    <w:rsid w:val="009F1982"/>
    <w:rsid w:val="009F70EA"/>
    <w:rsid w:val="00A00DC1"/>
    <w:rsid w:val="00A0226A"/>
    <w:rsid w:val="00A05FA8"/>
    <w:rsid w:val="00A072D9"/>
    <w:rsid w:val="00A10857"/>
    <w:rsid w:val="00A1792A"/>
    <w:rsid w:val="00A20DFD"/>
    <w:rsid w:val="00A210C0"/>
    <w:rsid w:val="00A226B5"/>
    <w:rsid w:val="00A234E4"/>
    <w:rsid w:val="00A23D76"/>
    <w:rsid w:val="00A272D6"/>
    <w:rsid w:val="00A32110"/>
    <w:rsid w:val="00A35E9A"/>
    <w:rsid w:val="00A3657D"/>
    <w:rsid w:val="00A36E4E"/>
    <w:rsid w:val="00A371D0"/>
    <w:rsid w:val="00A4209E"/>
    <w:rsid w:val="00A464C9"/>
    <w:rsid w:val="00A47516"/>
    <w:rsid w:val="00A502CB"/>
    <w:rsid w:val="00A52009"/>
    <w:rsid w:val="00A5392F"/>
    <w:rsid w:val="00A539EB"/>
    <w:rsid w:val="00A54046"/>
    <w:rsid w:val="00A547EF"/>
    <w:rsid w:val="00A54DAA"/>
    <w:rsid w:val="00A5620A"/>
    <w:rsid w:val="00A5706C"/>
    <w:rsid w:val="00A57250"/>
    <w:rsid w:val="00A5778F"/>
    <w:rsid w:val="00A613D0"/>
    <w:rsid w:val="00A619DE"/>
    <w:rsid w:val="00A6262E"/>
    <w:rsid w:val="00A63C12"/>
    <w:rsid w:val="00A67911"/>
    <w:rsid w:val="00A7093A"/>
    <w:rsid w:val="00A71B66"/>
    <w:rsid w:val="00A738ED"/>
    <w:rsid w:val="00A77F49"/>
    <w:rsid w:val="00A811E7"/>
    <w:rsid w:val="00A8136B"/>
    <w:rsid w:val="00A824FA"/>
    <w:rsid w:val="00A8363F"/>
    <w:rsid w:val="00A84E9B"/>
    <w:rsid w:val="00A876D7"/>
    <w:rsid w:val="00A90B77"/>
    <w:rsid w:val="00A912F9"/>
    <w:rsid w:val="00A935B0"/>
    <w:rsid w:val="00A939FC"/>
    <w:rsid w:val="00A97313"/>
    <w:rsid w:val="00AA1880"/>
    <w:rsid w:val="00AA1AF1"/>
    <w:rsid w:val="00AA4002"/>
    <w:rsid w:val="00AA7E76"/>
    <w:rsid w:val="00AB562A"/>
    <w:rsid w:val="00AC0607"/>
    <w:rsid w:val="00AC4DF3"/>
    <w:rsid w:val="00AC5AE4"/>
    <w:rsid w:val="00AC68F3"/>
    <w:rsid w:val="00AC721C"/>
    <w:rsid w:val="00AC7A2C"/>
    <w:rsid w:val="00AD0806"/>
    <w:rsid w:val="00AD4171"/>
    <w:rsid w:val="00AD5283"/>
    <w:rsid w:val="00AD6A8A"/>
    <w:rsid w:val="00AE0C8D"/>
    <w:rsid w:val="00AE0EAA"/>
    <w:rsid w:val="00AF0D4F"/>
    <w:rsid w:val="00AF1233"/>
    <w:rsid w:val="00AF483A"/>
    <w:rsid w:val="00AF6BDB"/>
    <w:rsid w:val="00B00A3C"/>
    <w:rsid w:val="00B06D89"/>
    <w:rsid w:val="00B07F86"/>
    <w:rsid w:val="00B13F9F"/>
    <w:rsid w:val="00B16FBD"/>
    <w:rsid w:val="00B17C01"/>
    <w:rsid w:val="00B203F8"/>
    <w:rsid w:val="00B24417"/>
    <w:rsid w:val="00B261B2"/>
    <w:rsid w:val="00B2795F"/>
    <w:rsid w:val="00B27AE5"/>
    <w:rsid w:val="00B328C5"/>
    <w:rsid w:val="00B32A4D"/>
    <w:rsid w:val="00B32AF1"/>
    <w:rsid w:val="00B42944"/>
    <w:rsid w:val="00B43276"/>
    <w:rsid w:val="00B44E9F"/>
    <w:rsid w:val="00B46B74"/>
    <w:rsid w:val="00B5051F"/>
    <w:rsid w:val="00B50AE7"/>
    <w:rsid w:val="00B57417"/>
    <w:rsid w:val="00B57803"/>
    <w:rsid w:val="00B6110E"/>
    <w:rsid w:val="00B612E9"/>
    <w:rsid w:val="00B62D0F"/>
    <w:rsid w:val="00B7552F"/>
    <w:rsid w:val="00B82638"/>
    <w:rsid w:val="00B8778A"/>
    <w:rsid w:val="00B901EC"/>
    <w:rsid w:val="00B927EE"/>
    <w:rsid w:val="00B9497C"/>
    <w:rsid w:val="00B950AB"/>
    <w:rsid w:val="00B95BCB"/>
    <w:rsid w:val="00BA4FBA"/>
    <w:rsid w:val="00BA7900"/>
    <w:rsid w:val="00BB5485"/>
    <w:rsid w:val="00BB624E"/>
    <w:rsid w:val="00BB6B95"/>
    <w:rsid w:val="00BB731F"/>
    <w:rsid w:val="00BC0E03"/>
    <w:rsid w:val="00BC316C"/>
    <w:rsid w:val="00BC37F6"/>
    <w:rsid w:val="00BC5E68"/>
    <w:rsid w:val="00BC63E4"/>
    <w:rsid w:val="00BD379C"/>
    <w:rsid w:val="00BD4BED"/>
    <w:rsid w:val="00BD6D78"/>
    <w:rsid w:val="00BD745B"/>
    <w:rsid w:val="00BD7B0D"/>
    <w:rsid w:val="00BE6902"/>
    <w:rsid w:val="00BE7B34"/>
    <w:rsid w:val="00BE7BC4"/>
    <w:rsid w:val="00BF067B"/>
    <w:rsid w:val="00BF49BF"/>
    <w:rsid w:val="00BF6562"/>
    <w:rsid w:val="00C0282C"/>
    <w:rsid w:val="00C054AD"/>
    <w:rsid w:val="00C05BB8"/>
    <w:rsid w:val="00C066E5"/>
    <w:rsid w:val="00C06C67"/>
    <w:rsid w:val="00C11107"/>
    <w:rsid w:val="00C13ED5"/>
    <w:rsid w:val="00C145FF"/>
    <w:rsid w:val="00C159C9"/>
    <w:rsid w:val="00C15A20"/>
    <w:rsid w:val="00C20503"/>
    <w:rsid w:val="00C2229E"/>
    <w:rsid w:val="00C22A42"/>
    <w:rsid w:val="00C26230"/>
    <w:rsid w:val="00C3035D"/>
    <w:rsid w:val="00C30B25"/>
    <w:rsid w:val="00C32DAF"/>
    <w:rsid w:val="00C33478"/>
    <w:rsid w:val="00C3361C"/>
    <w:rsid w:val="00C377DC"/>
    <w:rsid w:val="00C400A2"/>
    <w:rsid w:val="00C43266"/>
    <w:rsid w:val="00C505DF"/>
    <w:rsid w:val="00C508C8"/>
    <w:rsid w:val="00C51B7E"/>
    <w:rsid w:val="00C65D72"/>
    <w:rsid w:val="00C66E86"/>
    <w:rsid w:val="00C70215"/>
    <w:rsid w:val="00C73032"/>
    <w:rsid w:val="00C74BDD"/>
    <w:rsid w:val="00C80965"/>
    <w:rsid w:val="00C81BEB"/>
    <w:rsid w:val="00C85F3E"/>
    <w:rsid w:val="00C877CC"/>
    <w:rsid w:val="00C87842"/>
    <w:rsid w:val="00C9134A"/>
    <w:rsid w:val="00C9197F"/>
    <w:rsid w:val="00C942C6"/>
    <w:rsid w:val="00C952BA"/>
    <w:rsid w:val="00C9589E"/>
    <w:rsid w:val="00C97C3F"/>
    <w:rsid w:val="00CB0600"/>
    <w:rsid w:val="00CB3819"/>
    <w:rsid w:val="00CB6FA3"/>
    <w:rsid w:val="00CC0030"/>
    <w:rsid w:val="00CC0609"/>
    <w:rsid w:val="00CC248E"/>
    <w:rsid w:val="00CC2F59"/>
    <w:rsid w:val="00CC593A"/>
    <w:rsid w:val="00CD0065"/>
    <w:rsid w:val="00CD086B"/>
    <w:rsid w:val="00CD399C"/>
    <w:rsid w:val="00CD3AEB"/>
    <w:rsid w:val="00CD62FB"/>
    <w:rsid w:val="00CE059A"/>
    <w:rsid w:val="00CE484E"/>
    <w:rsid w:val="00CE5F62"/>
    <w:rsid w:val="00CE7DCA"/>
    <w:rsid w:val="00CE7E8F"/>
    <w:rsid w:val="00CF11EA"/>
    <w:rsid w:val="00CF2A50"/>
    <w:rsid w:val="00CF2BC7"/>
    <w:rsid w:val="00CF38AF"/>
    <w:rsid w:val="00CF6E4C"/>
    <w:rsid w:val="00CF71B7"/>
    <w:rsid w:val="00CF77D3"/>
    <w:rsid w:val="00CF7C50"/>
    <w:rsid w:val="00CF7EA5"/>
    <w:rsid w:val="00D00495"/>
    <w:rsid w:val="00D00A0F"/>
    <w:rsid w:val="00D02FBB"/>
    <w:rsid w:val="00D0367B"/>
    <w:rsid w:val="00D03E56"/>
    <w:rsid w:val="00D11122"/>
    <w:rsid w:val="00D13464"/>
    <w:rsid w:val="00D142BE"/>
    <w:rsid w:val="00D147E5"/>
    <w:rsid w:val="00D14A39"/>
    <w:rsid w:val="00D22CBB"/>
    <w:rsid w:val="00D3653F"/>
    <w:rsid w:val="00D41333"/>
    <w:rsid w:val="00D41A0D"/>
    <w:rsid w:val="00D41CB3"/>
    <w:rsid w:val="00D42B0E"/>
    <w:rsid w:val="00D431EC"/>
    <w:rsid w:val="00D438BA"/>
    <w:rsid w:val="00D4428E"/>
    <w:rsid w:val="00D456A5"/>
    <w:rsid w:val="00D45783"/>
    <w:rsid w:val="00D46213"/>
    <w:rsid w:val="00D5385E"/>
    <w:rsid w:val="00D5509B"/>
    <w:rsid w:val="00D55460"/>
    <w:rsid w:val="00D57F31"/>
    <w:rsid w:val="00D60DC5"/>
    <w:rsid w:val="00D676BD"/>
    <w:rsid w:val="00D71162"/>
    <w:rsid w:val="00D723CD"/>
    <w:rsid w:val="00D76A00"/>
    <w:rsid w:val="00D76CC7"/>
    <w:rsid w:val="00D80315"/>
    <w:rsid w:val="00D823D8"/>
    <w:rsid w:val="00D85EA2"/>
    <w:rsid w:val="00D877F2"/>
    <w:rsid w:val="00D9138B"/>
    <w:rsid w:val="00DA00EC"/>
    <w:rsid w:val="00DA0406"/>
    <w:rsid w:val="00DA20FD"/>
    <w:rsid w:val="00DA73A9"/>
    <w:rsid w:val="00DB17F9"/>
    <w:rsid w:val="00DB1934"/>
    <w:rsid w:val="00DB1F7A"/>
    <w:rsid w:val="00DC01D7"/>
    <w:rsid w:val="00DC3759"/>
    <w:rsid w:val="00DC7A87"/>
    <w:rsid w:val="00DD5FF1"/>
    <w:rsid w:val="00DD7F45"/>
    <w:rsid w:val="00DE7292"/>
    <w:rsid w:val="00DF22B7"/>
    <w:rsid w:val="00DF46A7"/>
    <w:rsid w:val="00DF6DF1"/>
    <w:rsid w:val="00E025E0"/>
    <w:rsid w:val="00E03DA0"/>
    <w:rsid w:val="00E03EA5"/>
    <w:rsid w:val="00E04546"/>
    <w:rsid w:val="00E06273"/>
    <w:rsid w:val="00E1259B"/>
    <w:rsid w:val="00E1308D"/>
    <w:rsid w:val="00E154DC"/>
    <w:rsid w:val="00E17994"/>
    <w:rsid w:val="00E201EC"/>
    <w:rsid w:val="00E216F0"/>
    <w:rsid w:val="00E21A9B"/>
    <w:rsid w:val="00E237B8"/>
    <w:rsid w:val="00E23970"/>
    <w:rsid w:val="00E24BE2"/>
    <w:rsid w:val="00E26478"/>
    <w:rsid w:val="00E27444"/>
    <w:rsid w:val="00E3013B"/>
    <w:rsid w:val="00E30EC9"/>
    <w:rsid w:val="00E31987"/>
    <w:rsid w:val="00E32507"/>
    <w:rsid w:val="00E32B52"/>
    <w:rsid w:val="00E34088"/>
    <w:rsid w:val="00E34DE8"/>
    <w:rsid w:val="00E378C3"/>
    <w:rsid w:val="00E441C9"/>
    <w:rsid w:val="00E455AD"/>
    <w:rsid w:val="00E6296C"/>
    <w:rsid w:val="00E634ED"/>
    <w:rsid w:val="00E71758"/>
    <w:rsid w:val="00E76AEF"/>
    <w:rsid w:val="00E804A4"/>
    <w:rsid w:val="00E81941"/>
    <w:rsid w:val="00E825C1"/>
    <w:rsid w:val="00E85C49"/>
    <w:rsid w:val="00E8670F"/>
    <w:rsid w:val="00E914E8"/>
    <w:rsid w:val="00E95D25"/>
    <w:rsid w:val="00EA09E3"/>
    <w:rsid w:val="00EA328F"/>
    <w:rsid w:val="00EA3297"/>
    <w:rsid w:val="00EA3C54"/>
    <w:rsid w:val="00EA4D7B"/>
    <w:rsid w:val="00EA5692"/>
    <w:rsid w:val="00EA5B26"/>
    <w:rsid w:val="00EA6902"/>
    <w:rsid w:val="00EA6C0A"/>
    <w:rsid w:val="00EB0324"/>
    <w:rsid w:val="00EB0906"/>
    <w:rsid w:val="00EB10C1"/>
    <w:rsid w:val="00EB13CE"/>
    <w:rsid w:val="00EB28E5"/>
    <w:rsid w:val="00EB3BBF"/>
    <w:rsid w:val="00EB5360"/>
    <w:rsid w:val="00EC1F23"/>
    <w:rsid w:val="00EC21AE"/>
    <w:rsid w:val="00EC3C55"/>
    <w:rsid w:val="00EC3C98"/>
    <w:rsid w:val="00EC5CAE"/>
    <w:rsid w:val="00ED1890"/>
    <w:rsid w:val="00ED4903"/>
    <w:rsid w:val="00ED554C"/>
    <w:rsid w:val="00ED60D4"/>
    <w:rsid w:val="00ED707A"/>
    <w:rsid w:val="00EE07B0"/>
    <w:rsid w:val="00EE28B6"/>
    <w:rsid w:val="00EE4821"/>
    <w:rsid w:val="00EE63B7"/>
    <w:rsid w:val="00EF0DC9"/>
    <w:rsid w:val="00EF6DB7"/>
    <w:rsid w:val="00EF6F57"/>
    <w:rsid w:val="00EF78CB"/>
    <w:rsid w:val="00F009B3"/>
    <w:rsid w:val="00F06517"/>
    <w:rsid w:val="00F104C4"/>
    <w:rsid w:val="00F110C0"/>
    <w:rsid w:val="00F12A87"/>
    <w:rsid w:val="00F140D4"/>
    <w:rsid w:val="00F15BF7"/>
    <w:rsid w:val="00F15E34"/>
    <w:rsid w:val="00F16BDD"/>
    <w:rsid w:val="00F16D59"/>
    <w:rsid w:val="00F31019"/>
    <w:rsid w:val="00F32D49"/>
    <w:rsid w:val="00F345DA"/>
    <w:rsid w:val="00F34E70"/>
    <w:rsid w:val="00F36CCE"/>
    <w:rsid w:val="00F36D22"/>
    <w:rsid w:val="00F40028"/>
    <w:rsid w:val="00F42A06"/>
    <w:rsid w:val="00F43D96"/>
    <w:rsid w:val="00F44DC5"/>
    <w:rsid w:val="00F46895"/>
    <w:rsid w:val="00F54C0C"/>
    <w:rsid w:val="00F5548A"/>
    <w:rsid w:val="00F57094"/>
    <w:rsid w:val="00F5763E"/>
    <w:rsid w:val="00F60160"/>
    <w:rsid w:val="00F70B9C"/>
    <w:rsid w:val="00F7105D"/>
    <w:rsid w:val="00F7117C"/>
    <w:rsid w:val="00F7588E"/>
    <w:rsid w:val="00F76F77"/>
    <w:rsid w:val="00F814DE"/>
    <w:rsid w:val="00F918DF"/>
    <w:rsid w:val="00F91A17"/>
    <w:rsid w:val="00F91FBC"/>
    <w:rsid w:val="00F93A93"/>
    <w:rsid w:val="00F94E4B"/>
    <w:rsid w:val="00F95B40"/>
    <w:rsid w:val="00F95C6A"/>
    <w:rsid w:val="00F95D21"/>
    <w:rsid w:val="00F965EA"/>
    <w:rsid w:val="00F96AB8"/>
    <w:rsid w:val="00FA175C"/>
    <w:rsid w:val="00FA26E5"/>
    <w:rsid w:val="00FA361A"/>
    <w:rsid w:val="00FA475E"/>
    <w:rsid w:val="00FA47A7"/>
    <w:rsid w:val="00FA6D31"/>
    <w:rsid w:val="00FB40D0"/>
    <w:rsid w:val="00FB54CA"/>
    <w:rsid w:val="00FB78DA"/>
    <w:rsid w:val="00FB7FD9"/>
    <w:rsid w:val="00FD196D"/>
    <w:rsid w:val="00FD2B35"/>
    <w:rsid w:val="00FD360D"/>
    <w:rsid w:val="00FD4019"/>
    <w:rsid w:val="00FD4117"/>
    <w:rsid w:val="00FE2A32"/>
    <w:rsid w:val="00FE57B3"/>
    <w:rsid w:val="00FE7F49"/>
    <w:rsid w:val="00FF15DC"/>
    <w:rsid w:val="00FF5690"/>
    <w:rsid w:val="00FF5F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BAFEB"/>
  <w15:chartTrackingRefBased/>
  <w15:docId w15:val="{BD9E749F-EE29-4E1C-92C9-B4F89174A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5A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3E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32A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AE4"/>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0F7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7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9BF"/>
    <w:rPr>
      <w:rFonts w:ascii="Segoe UI" w:hAnsi="Segoe UI" w:cs="Segoe UI"/>
      <w:sz w:val="18"/>
      <w:szCs w:val="18"/>
    </w:rPr>
  </w:style>
  <w:style w:type="paragraph" w:styleId="CommentText">
    <w:name w:val="annotation text"/>
    <w:basedOn w:val="Normal"/>
    <w:link w:val="CommentTextChar"/>
    <w:uiPriority w:val="99"/>
    <w:unhideWhenUsed/>
    <w:rsid w:val="00886BE5"/>
    <w:pPr>
      <w:spacing w:line="240" w:lineRule="auto"/>
    </w:pPr>
    <w:rPr>
      <w:sz w:val="20"/>
      <w:szCs w:val="20"/>
      <w:lang w:val="en-AU"/>
    </w:rPr>
  </w:style>
  <w:style w:type="character" w:customStyle="1" w:styleId="CommentTextChar">
    <w:name w:val="Comment Text Char"/>
    <w:basedOn w:val="DefaultParagraphFont"/>
    <w:link w:val="CommentText"/>
    <w:uiPriority w:val="99"/>
    <w:rsid w:val="00886BE5"/>
    <w:rPr>
      <w:sz w:val="20"/>
      <w:szCs w:val="20"/>
      <w:lang w:val="en-AU"/>
    </w:rPr>
  </w:style>
  <w:style w:type="character" w:styleId="CommentReference">
    <w:name w:val="annotation reference"/>
    <w:basedOn w:val="DefaultParagraphFont"/>
    <w:uiPriority w:val="99"/>
    <w:semiHidden/>
    <w:unhideWhenUsed/>
    <w:rsid w:val="00886BE5"/>
    <w:rPr>
      <w:sz w:val="16"/>
      <w:szCs w:val="16"/>
    </w:rPr>
  </w:style>
  <w:style w:type="paragraph" w:styleId="CommentSubject">
    <w:name w:val="annotation subject"/>
    <w:basedOn w:val="CommentText"/>
    <w:next w:val="CommentText"/>
    <w:link w:val="CommentSubjectChar"/>
    <w:uiPriority w:val="99"/>
    <w:semiHidden/>
    <w:unhideWhenUsed/>
    <w:rsid w:val="006D5472"/>
    <w:rPr>
      <w:b/>
      <w:bCs/>
      <w:lang w:val="tr-TR"/>
    </w:rPr>
  </w:style>
  <w:style w:type="character" w:customStyle="1" w:styleId="CommentSubjectChar">
    <w:name w:val="Comment Subject Char"/>
    <w:basedOn w:val="CommentTextChar"/>
    <w:link w:val="CommentSubject"/>
    <w:uiPriority w:val="99"/>
    <w:semiHidden/>
    <w:rsid w:val="006D5472"/>
    <w:rPr>
      <w:b/>
      <w:bCs/>
      <w:sz w:val="20"/>
      <w:szCs w:val="20"/>
      <w:lang w:val="en-AU"/>
    </w:rPr>
  </w:style>
  <w:style w:type="paragraph" w:styleId="FootnoteText">
    <w:name w:val="footnote text"/>
    <w:basedOn w:val="Normal"/>
    <w:link w:val="FootnoteTextChar"/>
    <w:uiPriority w:val="99"/>
    <w:unhideWhenUsed/>
    <w:rsid w:val="009D0AAB"/>
    <w:pPr>
      <w:spacing w:after="200" w:line="240" w:lineRule="auto"/>
      <w:jc w:val="both"/>
    </w:pPr>
    <w:rPr>
      <w:rFonts w:ascii="Arial" w:eastAsia="Calibri" w:hAnsi="Arial" w:cs="Times New Roman"/>
      <w:sz w:val="20"/>
      <w:szCs w:val="20"/>
      <w:lang w:val="en-US"/>
    </w:rPr>
  </w:style>
  <w:style w:type="character" w:customStyle="1" w:styleId="FootnoteTextChar">
    <w:name w:val="Footnote Text Char"/>
    <w:basedOn w:val="DefaultParagraphFont"/>
    <w:link w:val="FootnoteText"/>
    <w:uiPriority w:val="99"/>
    <w:rsid w:val="009D0AAB"/>
    <w:rPr>
      <w:rFonts w:ascii="Arial" w:eastAsia="Calibri" w:hAnsi="Arial" w:cs="Times New Roman"/>
      <w:sz w:val="20"/>
      <w:szCs w:val="20"/>
      <w:lang w:val="en-US"/>
    </w:rPr>
  </w:style>
  <w:style w:type="character" w:styleId="FootnoteReference">
    <w:name w:val="footnote reference"/>
    <w:basedOn w:val="DefaultParagraphFont"/>
    <w:uiPriority w:val="99"/>
    <w:unhideWhenUsed/>
    <w:rsid w:val="009D0AAB"/>
    <w:rPr>
      <w:vertAlign w:val="superscript"/>
    </w:rPr>
  </w:style>
  <w:style w:type="character" w:styleId="Hyperlink">
    <w:name w:val="Hyperlink"/>
    <w:basedOn w:val="DefaultParagraphFont"/>
    <w:uiPriority w:val="99"/>
    <w:unhideWhenUsed/>
    <w:rsid w:val="009D0AAB"/>
    <w:rPr>
      <w:color w:val="0563C1" w:themeColor="hyperlink"/>
      <w:u w:val="single"/>
    </w:rPr>
  </w:style>
  <w:style w:type="character" w:customStyle="1" w:styleId="fn">
    <w:name w:val="fn"/>
    <w:basedOn w:val="DefaultParagraphFont"/>
    <w:rsid w:val="009D0AAB"/>
  </w:style>
  <w:style w:type="character" w:customStyle="1" w:styleId="adr">
    <w:name w:val="adr"/>
    <w:basedOn w:val="DefaultParagraphFont"/>
    <w:rsid w:val="009D0AAB"/>
  </w:style>
  <w:style w:type="character" w:customStyle="1" w:styleId="street-address">
    <w:name w:val="street-address"/>
    <w:basedOn w:val="DefaultParagraphFont"/>
    <w:rsid w:val="009D0AAB"/>
  </w:style>
  <w:style w:type="character" w:customStyle="1" w:styleId="locality">
    <w:name w:val="locality"/>
    <w:basedOn w:val="DefaultParagraphFont"/>
    <w:rsid w:val="009D0AAB"/>
  </w:style>
  <w:style w:type="character" w:customStyle="1" w:styleId="postal-code">
    <w:name w:val="postal-code"/>
    <w:basedOn w:val="DefaultParagraphFont"/>
    <w:rsid w:val="009D0AAB"/>
  </w:style>
  <w:style w:type="character" w:customStyle="1" w:styleId="country-name">
    <w:name w:val="country-name"/>
    <w:basedOn w:val="DefaultParagraphFont"/>
    <w:rsid w:val="009D0AAB"/>
  </w:style>
  <w:style w:type="paragraph" w:styleId="Bibliography">
    <w:name w:val="Bibliography"/>
    <w:basedOn w:val="Normal"/>
    <w:next w:val="Normal"/>
    <w:uiPriority w:val="37"/>
    <w:unhideWhenUsed/>
    <w:rsid w:val="00AC5AE4"/>
    <w:rPr>
      <w:lang w:val="en-GB"/>
    </w:rPr>
  </w:style>
  <w:style w:type="paragraph" w:styleId="ListParagraph">
    <w:name w:val="List Paragraph"/>
    <w:basedOn w:val="Normal"/>
    <w:uiPriority w:val="34"/>
    <w:qFormat/>
    <w:rsid w:val="00AC5AE4"/>
    <w:pPr>
      <w:ind w:left="720"/>
      <w:contextualSpacing/>
    </w:pPr>
  </w:style>
  <w:style w:type="paragraph" w:styleId="NoSpacing">
    <w:name w:val="No Spacing"/>
    <w:uiPriority w:val="1"/>
    <w:qFormat/>
    <w:rsid w:val="00AC5AE4"/>
    <w:pPr>
      <w:spacing w:after="0" w:line="240" w:lineRule="auto"/>
    </w:pPr>
    <w:rPr>
      <w:rFonts w:ascii="Calibri" w:eastAsia="Calibri" w:hAnsi="Calibri" w:cs="Times New Roman"/>
      <w:lang w:val="en-AU"/>
    </w:rPr>
  </w:style>
  <w:style w:type="character" w:styleId="Emphasis">
    <w:name w:val="Emphasis"/>
    <w:basedOn w:val="DefaultParagraphFont"/>
    <w:uiPriority w:val="20"/>
    <w:qFormat/>
    <w:rsid w:val="00AC5AE4"/>
    <w:rPr>
      <w:i/>
      <w:iCs/>
    </w:rPr>
  </w:style>
  <w:style w:type="paragraph" w:styleId="Header">
    <w:name w:val="header"/>
    <w:basedOn w:val="Normal"/>
    <w:link w:val="HeaderChar"/>
    <w:uiPriority w:val="99"/>
    <w:unhideWhenUsed/>
    <w:rsid w:val="00AC5AE4"/>
    <w:pPr>
      <w:tabs>
        <w:tab w:val="center" w:pos="4153"/>
        <w:tab w:val="right" w:pos="8306"/>
      </w:tabs>
      <w:spacing w:after="0" w:line="240" w:lineRule="auto"/>
    </w:pPr>
    <w:rPr>
      <w:lang w:val="en-AU"/>
    </w:rPr>
  </w:style>
  <w:style w:type="character" w:customStyle="1" w:styleId="HeaderChar">
    <w:name w:val="Header Char"/>
    <w:basedOn w:val="DefaultParagraphFont"/>
    <w:link w:val="Header"/>
    <w:uiPriority w:val="99"/>
    <w:rsid w:val="00AC5AE4"/>
    <w:rPr>
      <w:lang w:val="en-AU"/>
    </w:rPr>
  </w:style>
  <w:style w:type="paragraph" w:styleId="Footer">
    <w:name w:val="footer"/>
    <w:basedOn w:val="Normal"/>
    <w:link w:val="FooterChar"/>
    <w:uiPriority w:val="99"/>
    <w:unhideWhenUsed/>
    <w:rsid w:val="00AC5AE4"/>
    <w:pPr>
      <w:tabs>
        <w:tab w:val="center" w:pos="4153"/>
        <w:tab w:val="right" w:pos="8306"/>
      </w:tabs>
      <w:spacing w:after="0" w:line="240" w:lineRule="auto"/>
    </w:pPr>
    <w:rPr>
      <w:lang w:val="en-AU"/>
    </w:rPr>
  </w:style>
  <w:style w:type="character" w:customStyle="1" w:styleId="FooterChar">
    <w:name w:val="Footer Char"/>
    <w:basedOn w:val="DefaultParagraphFont"/>
    <w:link w:val="Footer"/>
    <w:uiPriority w:val="99"/>
    <w:rsid w:val="00AC5AE4"/>
    <w:rPr>
      <w:lang w:val="en-AU"/>
    </w:rPr>
  </w:style>
  <w:style w:type="paragraph" w:customStyle="1" w:styleId="body-paragraph">
    <w:name w:val="body-paragraph"/>
    <w:basedOn w:val="Normal"/>
    <w:uiPriority w:val="99"/>
    <w:rsid w:val="009E050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eading2Char">
    <w:name w:val="Heading 2 Char"/>
    <w:basedOn w:val="DefaultParagraphFont"/>
    <w:link w:val="Heading2"/>
    <w:uiPriority w:val="9"/>
    <w:rsid w:val="00733E3B"/>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7B1118"/>
    <w:pPr>
      <w:spacing w:after="0" w:line="240" w:lineRule="auto"/>
    </w:pPr>
  </w:style>
  <w:style w:type="character" w:customStyle="1" w:styleId="UnresolvedMention1">
    <w:name w:val="Unresolved Mention1"/>
    <w:basedOn w:val="DefaultParagraphFont"/>
    <w:uiPriority w:val="99"/>
    <w:semiHidden/>
    <w:unhideWhenUsed/>
    <w:rsid w:val="001C0B5E"/>
    <w:rPr>
      <w:color w:val="605E5C"/>
      <w:shd w:val="clear" w:color="auto" w:fill="E1DFDD"/>
    </w:rPr>
  </w:style>
  <w:style w:type="character" w:styleId="PlaceholderText">
    <w:name w:val="Placeholder Text"/>
    <w:basedOn w:val="DefaultParagraphFont"/>
    <w:uiPriority w:val="99"/>
    <w:semiHidden/>
    <w:rsid w:val="00377EBE"/>
    <w:rPr>
      <w:color w:val="808080"/>
    </w:rPr>
  </w:style>
  <w:style w:type="character" w:customStyle="1" w:styleId="Heading3Char">
    <w:name w:val="Heading 3 Char"/>
    <w:basedOn w:val="DefaultParagraphFont"/>
    <w:link w:val="Heading3"/>
    <w:uiPriority w:val="9"/>
    <w:rsid w:val="00B32AF1"/>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C14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979403">
      <w:bodyDiv w:val="1"/>
      <w:marLeft w:val="0"/>
      <w:marRight w:val="0"/>
      <w:marTop w:val="0"/>
      <w:marBottom w:val="0"/>
      <w:divBdr>
        <w:top w:val="none" w:sz="0" w:space="0" w:color="auto"/>
        <w:left w:val="none" w:sz="0" w:space="0" w:color="auto"/>
        <w:bottom w:val="none" w:sz="0" w:space="0" w:color="auto"/>
        <w:right w:val="none" w:sz="0" w:space="0" w:color="auto"/>
      </w:divBdr>
      <w:divsChild>
        <w:div w:id="84690171">
          <w:marLeft w:val="0"/>
          <w:marRight w:val="0"/>
          <w:marTop w:val="0"/>
          <w:marBottom w:val="0"/>
          <w:divBdr>
            <w:top w:val="none" w:sz="0" w:space="0" w:color="auto"/>
            <w:left w:val="none" w:sz="0" w:space="0" w:color="auto"/>
            <w:bottom w:val="none" w:sz="0" w:space="0" w:color="auto"/>
            <w:right w:val="none" w:sz="0" w:space="0" w:color="auto"/>
          </w:divBdr>
        </w:div>
      </w:divsChild>
    </w:div>
    <w:div w:id="756560993">
      <w:bodyDiv w:val="1"/>
      <w:marLeft w:val="0"/>
      <w:marRight w:val="0"/>
      <w:marTop w:val="0"/>
      <w:marBottom w:val="0"/>
      <w:divBdr>
        <w:top w:val="none" w:sz="0" w:space="0" w:color="auto"/>
        <w:left w:val="none" w:sz="0" w:space="0" w:color="auto"/>
        <w:bottom w:val="none" w:sz="0" w:space="0" w:color="auto"/>
        <w:right w:val="none" w:sz="0" w:space="0" w:color="auto"/>
      </w:divBdr>
    </w:div>
    <w:div w:id="919218089">
      <w:bodyDiv w:val="1"/>
      <w:marLeft w:val="0"/>
      <w:marRight w:val="0"/>
      <w:marTop w:val="0"/>
      <w:marBottom w:val="0"/>
      <w:divBdr>
        <w:top w:val="none" w:sz="0" w:space="0" w:color="auto"/>
        <w:left w:val="none" w:sz="0" w:space="0" w:color="auto"/>
        <w:bottom w:val="none" w:sz="0" w:space="0" w:color="auto"/>
        <w:right w:val="none" w:sz="0" w:space="0" w:color="auto"/>
      </w:divBdr>
    </w:div>
    <w:div w:id="1049453610">
      <w:bodyDiv w:val="1"/>
      <w:marLeft w:val="0"/>
      <w:marRight w:val="0"/>
      <w:marTop w:val="0"/>
      <w:marBottom w:val="0"/>
      <w:divBdr>
        <w:top w:val="none" w:sz="0" w:space="0" w:color="auto"/>
        <w:left w:val="none" w:sz="0" w:space="0" w:color="auto"/>
        <w:bottom w:val="none" w:sz="0" w:space="0" w:color="auto"/>
        <w:right w:val="none" w:sz="0" w:space="0" w:color="auto"/>
      </w:divBdr>
      <w:divsChild>
        <w:div w:id="1101730358">
          <w:marLeft w:val="0"/>
          <w:marRight w:val="0"/>
          <w:marTop w:val="0"/>
          <w:marBottom w:val="0"/>
          <w:divBdr>
            <w:top w:val="none" w:sz="0" w:space="0" w:color="auto"/>
            <w:left w:val="none" w:sz="0" w:space="0" w:color="auto"/>
            <w:bottom w:val="none" w:sz="0" w:space="0" w:color="auto"/>
            <w:right w:val="none" w:sz="0" w:space="0" w:color="auto"/>
          </w:divBdr>
        </w:div>
        <w:div w:id="651301266">
          <w:marLeft w:val="0"/>
          <w:marRight w:val="0"/>
          <w:marTop w:val="0"/>
          <w:marBottom w:val="0"/>
          <w:divBdr>
            <w:top w:val="none" w:sz="0" w:space="0" w:color="auto"/>
            <w:left w:val="none" w:sz="0" w:space="0" w:color="auto"/>
            <w:bottom w:val="none" w:sz="0" w:space="0" w:color="auto"/>
            <w:right w:val="none" w:sz="0" w:space="0" w:color="auto"/>
          </w:divBdr>
        </w:div>
        <w:div w:id="727803301">
          <w:marLeft w:val="0"/>
          <w:marRight w:val="0"/>
          <w:marTop w:val="0"/>
          <w:marBottom w:val="0"/>
          <w:divBdr>
            <w:top w:val="none" w:sz="0" w:space="0" w:color="auto"/>
            <w:left w:val="none" w:sz="0" w:space="0" w:color="auto"/>
            <w:bottom w:val="none" w:sz="0" w:space="0" w:color="auto"/>
            <w:right w:val="none" w:sz="0" w:space="0" w:color="auto"/>
          </w:divBdr>
        </w:div>
        <w:div w:id="428042465">
          <w:marLeft w:val="0"/>
          <w:marRight w:val="0"/>
          <w:marTop w:val="0"/>
          <w:marBottom w:val="0"/>
          <w:divBdr>
            <w:top w:val="none" w:sz="0" w:space="0" w:color="auto"/>
            <w:left w:val="none" w:sz="0" w:space="0" w:color="auto"/>
            <w:bottom w:val="none" w:sz="0" w:space="0" w:color="auto"/>
            <w:right w:val="none" w:sz="0" w:space="0" w:color="auto"/>
          </w:divBdr>
        </w:div>
        <w:div w:id="702826281">
          <w:marLeft w:val="0"/>
          <w:marRight w:val="0"/>
          <w:marTop w:val="0"/>
          <w:marBottom w:val="0"/>
          <w:divBdr>
            <w:top w:val="none" w:sz="0" w:space="0" w:color="auto"/>
            <w:left w:val="none" w:sz="0" w:space="0" w:color="auto"/>
            <w:bottom w:val="none" w:sz="0" w:space="0" w:color="auto"/>
            <w:right w:val="none" w:sz="0" w:space="0" w:color="auto"/>
          </w:divBdr>
        </w:div>
        <w:div w:id="194930962">
          <w:marLeft w:val="0"/>
          <w:marRight w:val="0"/>
          <w:marTop w:val="0"/>
          <w:marBottom w:val="0"/>
          <w:divBdr>
            <w:top w:val="none" w:sz="0" w:space="0" w:color="auto"/>
            <w:left w:val="none" w:sz="0" w:space="0" w:color="auto"/>
            <w:bottom w:val="none" w:sz="0" w:space="0" w:color="auto"/>
            <w:right w:val="none" w:sz="0" w:space="0" w:color="auto"/>
          </w:divBdr>
        </w:div>
        <w:div w:id="2827285">
          <w:marLeft w:val="0"/>
          <w:marRight w:val="0"/>
          <w:marTop w:val="0"/>
          <w:marBottom w:val="0"/>
          <w:divBdr>
            <w:top w:val="none" w:sz="0" w:space="0" w:color="auto"/>
            <w:left w:val="none" w:sz="0" w:space="0" w:color="auto"/>
            <w:bottom w:val="none" w:sz="0" w:space="0" w:color="auto"/>
            <w:right w:val="none" w:sz="0" w:space="0" w:color="auto"/>
          </w:divBdr>
        </w:div>
        <w:div w:id="1340156366">
          <w:marLeft w:val="0"/>
          <w:marRight w:val="0"/>
          <w:marTop w:val="0"/>
          <w:marBottom w:val="0"/>
          <w:divBdr>
            <w:top w:val="none" w:sz="0" w:space="0" w:color="auto"/>
            <w:left w:val="none" w:sz="0" w:space="0" w:color="auto"/>
            <w:bottom w:val="none" w:sz="0" w:space="0" w:color="auto"/>
            <w:right w:val="none" w:sz="0" w:space="0" w:color="auto"/>
          </w:divBdr>
        </w:div>
        <w:div w:id="1541698653">
          <w:marLeft w:val="0"/>
          <w:marRight w:val="0"/>
          <w:marTop w:val="0"/>
          <w:marBottom w:val="0"/>
          <w:divBdr>
            <w:top w:val="none" w:sz="0" w:space="0" w:color="auto"/>
            <w:left w:val="none" w:sz="0" w:space="0" w:color="auto"/>
            <w:bottom w:val="none" w:sz="0" w:space="0" w:color="auto"/>
            <w:right w:val="none" w:sz="0" w:space="0" w:color="auto"/>
          </w:divBdr>
        </w:div>
      </w:divsChild>
    </w:div>
    <w:div w:id="1854958507">
      <w:bodyDiv w:val="1"/>
      <w:marLeft w:val="0"/>
      <w:marRight w:val="0"/>
      <w:marTop w:val="0"/>
      <w:marBottom w:val="0"/>
      <w:divBdr>
        <w:top w:val="none" w:sz="0" w:space="0" w:color="auto"/>
        <w:left w:val="none" w:sz="0" w:space="0" w:color="auto"/>
        <w:bottom w:val="none" w:sz="0" w:space="0" w:color="auto"/>
        <w:right w:val="none" w:sz="0" w:space="0" w:color="auto"/>
      </w:divBdr>
      <w:divsChild>
        <w:div w:id="328407369">
          <w:marLeft w:val="0"/>
          <w:marRight w:val="0"/>
          <w:marTop w:val="0"/>
          <w:marBottom w:val="0"/>
          <w:divBdr>
            <w:top w:val="none" w:sz="0" w:space="0" w:color="auto"/>
            <w:left w:val="none" w:sz="0" w:space="0" w:color="auto"/>
            <w:bottom w:val="none" w:sz="0" w:space="0" w:color="auto"/>
            <w:right w:val="none" w:sz="0" w:space="0" w:color="auto"/>
          </w:divBdr>
        </w:div>
        <w:div w:id="128479436">
          <w:marLeft w:val="0"/>
          <w:marRight w:val="0"/>
          <w:marTop w:val="0"/>
          <w:marBottom w:val="0"/>
          <w:divBdr>
            <w:top w:val="none" w:sz="0" w:space="0" w:color="auto"/>
            <w:left w:val="none" w:sz="0" w:space="0" w:color="auto"/>
            <w:bottom w:val="none" w:sz="0" w:space="0" w:color="auto"/>
            <w:right w:val="none" w:sz="0" w:space="0" w:color="auto"/>
          </w:divBdr>
        </w:div>
        <w:div w:id="2077126497">
          <w:marLeft w:val="0"/>
          <w:marRight w:val="0"/>
          <w:marTop w:val="0"/>
          <w:marBottom w:val="0"/>
          <w:divBdr>
            <w:top w:val="none" w:sz="0" w:space="0" w:color="auto"/>
            <w:left w:val="none" w:sz="0" w:space="0" w:color="auto"/>
            <w:bottom w:val="none" w:sz="0" w:space="0" w:color="auto"/>
            <w:right w:val="none" w:sz="0" w:space="0" w:color="auto"/>
          </w:divBdr>
        </w:div>
        <w:div w:id="1926068018">
          <w:marLeft w:val="0"/>
          <w:marRight w:val="0"/>
          <w:marTop w:val="0"/>
          <w:marBottom w:val="0"/>
          <w:divBdr>
            <w:top w:val="none" w:sz="0" w:space="0" w:color="auto"/>
            <w:left w:val="none" w:sz="0" w:space="0" w:color="auto"/>
            <w:bottom w:val="none" w:sz="0" w:space="0" w:color="auto"/>
            <w:right w:val="none" w:sz="0" w:space="0" w:color="auto"/>
          </w:divBdr>
        </w:div>
      </w:divsChild>
    </w:div>
    <w:div w:id="1919555013">
      <w:bodyDiv w:val="1"/>
      <w:marLeft w:val="0"/>
      <w:marRight w:val="0"/>
      <w:marTop w:val="0"/>
      <w:marBottom w:val="0"/>
      <w:divBdr>
        <w:top w:val="none" w:sz="0" w:space="0" w:color="auto"/>
        <w:left w:val="none" w:sz="0" w:space="0" w:color="auto"/>
        <w:bottom w:val="none" w:sz="0" w:space="0" w:color="auto"/>
        <w:right w:val="none" w:sz="0" w:space="0" w:color="auto"/>
      </w:divBdr>
      <w:divsChild>
        <w:div w:id="1182743664">
          <w:marLeft w:val="0"/>
          <w:marRight w:val="0"/>
          <w:marTop w:val="0"/>
          <w:marBottom w:val="0"/>
          <w:divBdr>
            <w:top w:val="none" w:sz="0" w:space="0" w:color="auto"/>
            <w:left w:val="none" w:sz="0" w:space="0" w:color="auto"/>
            <w:bottom w:val="none" w:sz="0" w:space="0" w:color="auto"/>
            <w:right w:val="none" w:sz="0" w:space="0" w:color="auto"/>
          </w:divBdr>
        </w:div>
        <w:div w:id="936475719">
          <w:marLeft w:val="0"/>
          <w:marRight w:val="0"/>
          <w:marTop w:val="0"/>
          <w:marBottom w:val="0"/>
          <w:divBdr>
            <w:top w:val="none" w:sz="0" w:space="0" w:color="auto"/>
            <w:left w:val="none" w:sz="0" w:space="0" w:color="auto"/>
            <w:bottom w:val="none" w:sz="0" w:space="0" w:color="auto"/>
            <w:right w:val="none" w:sz="0" w:space="0" w:color="auto"/>
          </w:divBdr>
        </w:div>
        <w:div w:id="1555654898">
          <w:marLeft w:val="0"/>
          <w:marRight w:val="0"/>
          <w:marTop w:val="0"/>
          <w:marBottom w:val="0"/>
          <w:divBdr>
            <w:top w:val="none" w:sz="0" w:space="0" w:color="auto"/>
            <w:left w:val="none" w:sz="0" w:space="0" w:color="auto"/>
            <w:bottom w:val="none" w:sz="0" w:space="0" w:color="auto"/>
            <w:right w:val="none" w:sz="0" w:space="0" w:color="auto"/>
          </w:divBdr>
        </w:div>
        <w:div w:id="1153527100">
          <w:marLeft w:val="0"/>
          <w:marRight w:val="0"/>
          <w:marTop w:val="0"/>
          <w:marBottom w:val="0"/>
          <w:divBdr>
            <w:top w:val="none" w:sz="0" w:space="0" w:color="auto"/>
            <w:left w:val="none" w:sz="0" w:space="0" w:color="auto"/>
            <w:bottom w:val="none" w:sz="0" w:space="0" w:color="auto"/>
            <w:right w:val="none" w:sz="0" w:space="0" w:color="auto"/>
          </w:divBdr>
        </w:div>
        <w:div w:id="1186938884">
          <w:marLeft w:val="0"/>
          <w:marRight w:val="0"/>
          <w:marTop w:val="0"/>
          <w:marBottom w:val="0"/>
          <w:divBdr>
            <w:top w:val="none" w:sz="0" w:space="0" w:color="auto"/>
            <w:left w:val="none" w:sz="0" w:space="0" w:color="auto"/>
            <w:bottom w:val="none" w:sz="0" w:space="0" w:color="auto"/>
            <w:right w:val="none" w:sz="0" w:space="0" w:color="auto"/>
          </w:divBdr>
        </w:div>
        <w:div w:id="1859389035">
          <w:marLeft w:val="0"/>
          <w:marRight w:val="0"/>
          <w:marTop w:val="0"/>
          <w:marBottom w:val="0"/>
          <w:divBdr>
            <w:top w:val="none" w:sz="0" w:space="0" w:color="auto"/>
            <w:left w:val="none" w:sz="0" w:space="0" w:color="auto"/>
            <w:bottom w:val="none" w:sz="0" w:space="0" w:color="auto"/>
            <w:right w:val="none" w:sz="0" w:space="0" w:color="auto"/>
          </w:divBdr>
        </w:div>
        <w:div w:id="1009982880">
          <w:marLeft w:val="0"/>
          <w:marRight w:val="0"/>
          <w:marTop w:val="0"/>
          <w:marBottom w:val="0"/>
          <w:divBdr>
            <w:top w:val="none" w:sz="0" w:space="0" w:color="auto"/>
            <w:left w:val="none" w:sz="0" w:space="0" w:color="auto"/>
            <w:bottom w:val="none" w:sz="0" w:space="0" w:color="auto"/>
            <w:right w:val="none" w:sz="0" w:space="0" w:color="auto"/>
          </w:divBdr>
        </w:div>
        <w:div w:id="384597776">
          <w:marLeft w:val="0"/>
          <w:marRight w:val="0"/>
          <w:marTop w:val="0"/>
          <w:marBottom w:val="0"/>
          <w:divBdr>
            <w:top w:val="none" w:sz="0" w:space="0" w:color="auto"/>
            <w:left w:val="none" w:sz="0" w:space="0" w:color="auto"/>
            <w:bottom w:val="none" w:sz="0" w:space="0" w:color="auto"/>
            <w:right w:val="none" w:sz="0" w:space="0" w:color="auto"/>
          </w:divBdr>
        </w:div>
        <w:div w:id="1189679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cbrev.2019.03.00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appsso.eurostat.ec.europa.eu/nui/show.do" TargetMode="External"/><Relationship Id="rId7" Type="http://schemas.openxmlformats.org/officeDocument/2006/relationships/hyperlink" Target="https://www.bis.org/statistics/about_credit_stats.htm" TargetMode="External"/><Relationship Id="rId2" Type="http://schemas.openxmlformats.org/officeDocument/2006/relationships/hyperlink" Target="mailto:y.coskun@sheffield.ac.uk" TargetMode="External"/><Relationship Id="rId1" Type="http://schemas.openxmlformats.org/officeDocument/2006/relationships/hyperlink" Target="mailto:esraalpcoskun@gmail.com" TargetMode="External"/><Relationship Id="rId6" Type="http://schemas.openxmlformats.org/officeDocument/2006/relationships/hyperlink" Target="https://stats.oecd.org/Index.aspx?DataSetCode=HOUSE_PRICES" TargetMode="External"/><Relationship Id="rId5" Type="http://schemas.openxmlformats.org/officeDocument/2006/relationships/hyperlink" Target="https://stats.oecd.org/Index.aspx?DataSetCode=HOUSE_PRICES" TargetMode="External"/><Relationship Id="rId4" Type="http://schemas.openxmlformats.org/officeDocument/2006/relationships/hyperlink" Target="https://wid.world/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6D3D3-1F8C-4C83-9548-4924C998A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34</Pages>
  <Words>13115</Words>
  <Characters>74760</Characters>
  <Application>Microsoft Office Word</Application>
  <DocSecurity>0</DocSecurity>
  <Lines>623</Lines>
  <Paragraphs>175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Nick Apergis</cp:lastModifiedBy>
  <cp:revision>2</cp:revision>
  <cp:lastPrinted>2020-06-29T12:05:00Z</cp:lastPrinted>
  <dcterms:created xsi:type="dcterms:W3CDTF">2020-07-29T20:05:00Z</dcterms:created>
  <dcterms:modified xsi:type="dcterms:W3CDTF">2020-07-29T20:05:00Z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