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13260" w14:textId="65618819" w:rsidR="00FF4C19" w:rsidRDefault="00FF4C19" w:rsidP="00A56D5D">
      <w:pPr>
        <w:pStyle w:val="Heading2"/>
      </w:pPr>
      <w:bookmarkStart w:id="0" w:name="_GoBack"/>
      <w:r w:rsidRPr="00E46176">
        <w:t>Student</w:t>
      </w:r>
      <w:r w:rsidR="005F6CBC" w:rsidRPr="00E46176">
        <w:t xml:space="preserve"> wellbeing</w:t>
      </w:r>
      <w:r w:rsidRPr="00E46176">
        <w:t xml:space="preserve"> and assessment in higher education: </w:t>
      </w:r>
      <w:r w:rsidR="00417E78" w:rsidRPr="00E46176">
        <w:t>T</w:t>
      </w:r>
      <w:r w:rsidRPr="00E46176">
        <w:t>he balancing act</w:t>
      </w:r>
    </w:p>
    <w:bookmarkEnd w:id="0"/>
    <w:p w14:paraId="2B9A9EBB" w14:textId="2AFF9E04" w:rsidR="00E31617" w:rsidRDefault="00E31617" w:rsidP="00E31617">
      <w:pPr>
        <w:spacing w:after="0"/>
      </w:pPr>
      <w:r>
        <w:t>Emma Jones, Michael Priestley, Liz Brewster, Susan J. Wilbraham, Gareth</w:t>
      </w:r>
      <w:r>
        <w:t xml:space="preserve"> </w:t>
      </w:r>
      <w:r>
        <w:t>Hughes &amp; Leigh Spanner</w:t>
      </w:r>
    </w:p>
    <w:p w14:paraId="65C838E2" w14:textId="77777777" w:rsidR="00E31617" w:rsidRDefault="00E31617" w:rsidP="00E31617">
      <w:pPr>
        <w:spacing w:after="0"/>
      </w:pPr>
      <w:r>
        <w:t>To cite this article: Emma Jones, Michael Priestley, Liz Brewster, Susan J. Wilbraham,</w:t>
      </w:r>
    </w:p>
    <w:p w14:paraId="4D3B24D8" w14:textId="77777777" w:rsidR="00E31617" w:rsidRDefault="00E31617" w:rsidP="00E31617">
      <w:pPr>
        <w:spacing w:after="0"/>
      </w:pPr>
      <w:r>
        <w:t>Gareth Hughes &amp; Leigh Spanner (2020): Student wellbeing and assessment in higher</w:t>
      </w:r>
    </w:p>
    <w:p w14:paraId="71015E23" w14:textId="77777777" w:rsidR="00E31617" w:rsidRDefault="00E31617" w:rsidP="00E31617">
      <w:pPr>
        <w:spacing w:after="0"/>
      </w:pPr>
      <w:r>
        <w:t>education: the balancing act, Assessment &amp; Evaluation in Higher Education, DOI:</w:t>
      </w:r>
    </w:p>
    <w:p w14:paraId="5C856597" w14:textId="77777777" w:rsidR="00E31617" w:rsidRDefault="00E31617" w:rsidP="00E31617">
      <w:r>
        <w:t>10.1080/02602938.2020.1782344</w:t>
      </w:r>
    </w:p>
    <w:p w14:paraId="149B8566" w14:textId="04973BE2" w:rsidR="00E31617" w:rsidRPr="00E31617" w:rsidRDefault="00E31617" w:rsidP="00E31617">
      <w:r>
        <w:t>To link to this article: https://doi.org/10.1080/02602938.2020.1782344</w:t>
      </w:r>
    </w:p>
    <w:p w14:paraId="0000000A" w14:textId="54567540" w:rsidR="00F2278E" w:rsidRPr="00E46176" w:rsidRDefault="003F7F97">
      <w:pPr>
        <w:pStyle w:val="Heading2"/>
        <w:rPr>
          <w:b w:val="0"/>
        </w:rPr>
      </w:pPr>
      <w:r w:rsidRPr="00E46176">
        <w:t>Abstract</w:t>
      </w:r>
      <w:r w:rsidR="00815207" w:rsidRPr="00E46176">
        <w:t xml:space="preserve"> </w:t>
      </w:r>
    </w:p>
    <w:p w14:paraId="7BA571EE" w14:textId="6DFBDD55" w:rsidR="000F07D6" w:rsidRPr="00E46176" w:rsidRDefault="003070D6">
      <w:r w:rsidRPr="00E46176">
        <w:t>This paper</w:t>
      </w:r>
      <w:r w:rsidR="000F07D6" w:rsidRPr="00E46176">
        <w:t xml:space="preserve"> draws on staff and student</w:t>
      </w:r>
      <w:r w:rsidR="00AD57CD" w:rsidRPr="00E46176">
        <w:t xml:space="preserve"> consultation</w:t>
      </w:r>
      <w:r w:rsidR="002344B1" w:rsidRPr="00E46176">
        <w:t>s</w:t>
      </w:r>
      <w:r w:rsidR="002117AB" w:rsidRPr="00E46176">
        <w:t xml:space="preserve"> conducted</w:t>
      </w:r>
      <w:r w:rsidR="000F07D6" w:rsidRPr="00E46176">
        <w:t xml:space="preserve"> during the development of Student Minds’ University Mental Health Charter</w:t>
      </w:r>
      <w:r w:rsidR="006C5BA1" w:rsidRPr="00E46176">
        <w:t xml:space="preserve"> to identify</w:t>
      </w:r>
      <w:r w:rsidRPr="00E46176">
        <w:t xml:space="preserve"> </w:t>
      </w:r>
      <w:r w:rsidR="00F715C1" w:rsidRPr="00E46176">
        <w:t>five</w:t>
      </w:r>
      <w:r w:rsidRPr="00E46176">
        <w:t xml:space="preserve"> key tensions which can arise</w:t>
      </w:r>
      <w:r w:rsidR="001038B2" w:rsidRPr="00E46176">
        <w:t xml:space="preserve"> </w:t>
      </w:r>
      <w:bookmarkStart w:id="1" w:name="_Hlk31979754"/>
      <w:r w:rsidR="001038B2" w:rsidRPr="00E46176">
        <w:t xml:space="preserve">in assessment design and strategy when seeking to balance the wellbeing of students with </w:t>
      </w:r>
      <w:bookmarkStart w:id="2" w:name="_Hlk31978784"/>
      <w:r w:rsidR="001038B2" w:rsidRPr="00E46176">
        <w:t xml:space="preserve">pedagogical, practical </w:t>
      </w:r>
      <w:bookmarkEnd w:id="1"/>
      <w:bookmarkEnd w:id="2"/>
      <w:r w:rsidR="002344B1" w:rsidRPr="00E46176">
        <w:t xml:space="preserve">and policy </w:t>
      </w:r>
      <w:r w:rsidR="00F353E1" w:rsidRPr="00E46176">
        <w:t>considerations</w:t>
      </w:r>
      <w:r w:rsidRPr="00E46176">
        <w:t xml:space="preserve">. </w:t>
      </w:r>
      <w:r w:rsidR="00A46CAC" w:rsidRPr="00E46176">
        <w:t xml:space="preserve">It highlights the need to acknowledge the pressures of assessment on staff wellbeing, as well as students. </w:t>
      </w:r>
      <w:r w:rsidR="004C7771" w:rsidRPr="00E46176">
        <w:t>Th</w:t>
      </w:r>
      <w:r w:rsidR="006C5BA1" w:rsidRPr="00E46176">
        <w:t>e particular tensions explored</w:t>
      </w:r>
      <w:r w:rsidR="004C7771" w:rsidRPr="00E46176">
        <w:t xml:space="preserve"> include the need to balance challenge against the psychological threats this can entail; the varying impacts of traditional and </w:t>
      </w:r>
      <w:r w:rsidR="00FE2315" w:rsidRPr="00E46176">
        <w:t>novel</w:t>
      </w:r>
      <w:r w:rsidR="004C7771" w:rsidRPr="00E46176">
        <w:t xml:space="preserve"> forms of assessment; the differing demands of collaborative and individual work; the tensions between ideal strategies and those which are practically feasible</w:t>
      </w:r>
      <w:r w:rsidR="000F07D6" w:rsidRPr="00E46176">
        <w:t xml:space="preserve">; </w:t>
      </w:r>
      <w:r w:rsidR="002559C1" w:rsidRPr="00E46176">
        <w:t xml:space="preserve">and </w:t>
      </w:r>
      <w:r w:rsidR="000F07D6" w:rsidRPr="00E46176">
        <w:t xml:space="preserve">the ways in which feedback is given </w:t>
      </w:r>
      <w:r w:rsidR="001441FC" w:rsidRPr="00E46176">
        <w:t xml:space="preserve">(as a constructive learning tool) </w:t>
      </w:r>
      <w:r w:rsidR="000F07D6" w:rsidRPr="00E46176">
        <w:t>and received</w:t>
      </w:r>
      <w:r w:rsidR="001441FC" w:rsidRPr="00E46176">
        <w:t xml:space="preserve"> (often as a psychological threat)</w:t>
      </w:r>
      <w:r w:rsidR="000F07D6" w:rsidRPr="00E46176">
        <w:t xml:space="preserve">. </w:t>
      </w:r>
      <w:r w:rsidR="00F353E1" w:rsidRPr="00E46176">
        <w:t>Th</w:t>
      </w:r>
      <w:r w:rsidR="001441FC" w:rsidRPr="00E46176">
        <w:t>ese tensions</w:t>
      </w:r>
      <w:r w:rsidR="00F353E1" w:rsidRPr="00E46176">
        <w:t xml:space="preserve"> </w:t>
      </w:r>
      <w:r w:rsidR="00956151" w:rsidRPr="00E46176">
        <w:t xml:space="preserve">can </w:t>
      </w:r>
      <w:r w:rsidR="000F07D6" w:rsidRPr="00E46176">
        <w:t xml:space="preserve">provide </w:t>
      </w:r>
      <w:r w:rsidR="0071137E" w:rsidRPr="00E46176">
        <w:t xml:space="preserve">a valuable point </w:t>
      </w:r>
      <w:r w:rsidR="001038B2" w:rsidRPr="00E46176">
        <w:t xml:space="preserve">of reflection </w:t>
      </w:r>
      <w:r w:rsidR="0071137E" w:rsidRPr="00E46176">
        <w:t xml:space="preserve">for </w:t>
      </w:r>
      <w:r w:rsidR="00ED2482" w:rsidRPr="00E46176">
        <w:t>educators</w:t>
      </w:r>
      <w:r w:rsidR="00842D97" w:rsidRPr="00E46176">
        <w:t xml:space="preserve"> </w:t>
      </w:r>
      <w:r w:rsidR="001441FC" w:rsidRPr="00E46176">
        <w:t xml:space="preserve">who need </w:t>
      </w:r>
      <w:r w:rsidR="00842D97" w:rsidRPr="00E46176">
        <w:t xml:space="preserve">to </w:t>
      </w:r>
      <w:r w:rsidR="00ED2482" w:rsidRPr="00E46176">
        <w:t xml:space="preserve">critically and proactively navigate </w:t>
      </w:r>
      <w:r w:rsidR="0071137E" w:rsidRPr="00E46176">
        <w:t>these</w:t>
      </w:r>
      <w:r w:rsidR="00ED2482" w:rsidRPr="00E46176">
        <w:t xml:space="preserve"> </w:t>
      </w:r>
      <w:r w:rsidR="001441FC" w:rsidRPr="00E46176">
        <w:t>conflicts</w:t>
      </w:r>
      <w:r w:rsidR="0071137E" w:rsidRPr="00E46176">
        <w:t xml:space="preserve"> within their own </w:t>
      </w:r>
      <w:r w:rsidR="006C5BA1" w:rsidRPr="00E46176">
        <w:t>assessment design and practices</w:t>
      </w:r>
      <w:r w:rsidR="00AD57CD" w:rsidRPr="00E46176">
        <w:t>,</w:t>
      </w:r>
      <w:r w:rsidR="001038B2" w:rsidRPr="00E46176">
        <w:t xml:space="preserve"> as part of</w:t>
      </w:r>
      <w:r w:rsidR="00380CDF" w:rsidRPr="00E46176">
        <w:t xml:space="preserve"> </w:t>
      </w:r>
      <w:r w:rsidR="00AD57CD" w:rsidRPr="00E46176">
        <w:t xml:space="preserve">a </w:t>
      </w:r>
      <w:r w:rsidR="00956151" w:rsidRPr="00E46176">
        <w:t xml:space="preserve">wider </w:t>
      </w:r>
      <w:r w:rsidR="00AD57CD" w:rsidRPr="00E46176">
        <w:t>whole university approach to promoting student wellbeing</w:t>
      </w:r>
      <w:r w:rsidR="001441FC" w:rsidRPr="00E46176">
        <w:t>.</w:t>
      </w:r>
    </w:p>
    <w:p w14:paraId="34B25A9A" w14:textId="6F50A8F4" w:rsidR="00FF4C19" w:rsidRPr="00E46176" w:rsidRDefault="002559C1">
      <w:pPr>
        <w:rPr>
          <w:b/>
        </w:rPr>
      </w:pPr>
      <w:r w:rsidRPr="00E46176">
        <w:rPr>
          <w:b/>
        </w:rPr>
        <w:lastRenderedPageBreak/>
        <w:t>Key</w:t>
      </w:r>
      <w:r w:rsidR="00815207" w:rsidRPr="00E46176">
        <w:rPr>
          <w:b/>
        </w:rPr>
        <w:t>words</w:t>
      </w:r>
    </w:p>
    <w:p w14:paraId="4954295D" w14:textId="33DC431F" w:rsidR="00815207" w:rsidRPr="00E46176" w:rsidRDefault="00FF4C19">
      <w:r w:rsidRPr="00E46176">
        <w:t xml:space="preserve">Assessment; </w:t>
      </w:r>
      <w:r w:rsidR="005F6CBC" w:rsidRPr="00E46176">
        <w:t xml:space="preserve">wellbeing; </w:t>
      </w:r>
      <w:r w:rsidRPr="00E46176">
        <w:t>mental health</w:t>
      </w:r>
      <w:r w:rsidR="00842478" w:rsidRPr="00E46176">
        <w:t>; whole university approach</w:t>
      </w:r>
      <w:r w:rsidR="00815207" w:rsidRPr="00E46176">
        <w:t xml:space="preserve"> </w:t>
      </w:r>
    </w:p>
    <w:p w14:paraId="2407C8B1" w14:textId="589F2E6D" w:rsidR="00F353E1" w:rsidRPr="00E46176" w:rsidRDefault="00F353E1"/>
    <w:p w14:paraId="6DC4E429" w14:textId="77777777" w:rsidR="00F353E1" w:rsidRPr="00E46176" w:rsidRDefault="00F353E1"/>
    <w:p w14:paraId="0000000C" w14:textId="40910C44" w:rsidR="00F2278E" w:rsidRPr="00E46176" w:rsidRDefault="003F7F97">
      <w:pPr>
        <w:pStyle w:val="Heading2"/>
        <w:rPr>
          <w:b w:val="0"/>
        </w:rPr>
      </w:pPr>
      <w:bookmarkStart w:id="3" w:name="_nhmym6ystrpa" w:colFirst="0" w:colLast="0"/>
      <w:bookmarkEnd w:id="3"/>
      <w:r w:rsidRPr="00E46176">
        <w:t>Introduction</w:t>
      </w:r>
    </w:p>
    <w:p w14:paraId="2A14FEA6" w14:textId="50E26F28" w:rsidR="005B6301" w:rsidRPr="00E46176" w:rsidRDefault="002559C1">
      <w:r w:rsidRPr="00E46176">
        <w:t xml:space="preserve">Public and political concern around student wellbeing </w:t>
      </w:r>
      <w:r w:rsidR="00417E78" w:rsidRPr="00E46176">
        <w:t xml:space="preserve">is </w:t>
      </w:r>
      <w:r w:rsidR="007D6894" w:rsidRPr="00E46176">
        <w:t>growing (</w:t>
      </w:r>
      <w:r w:rsidR="004B1040" w:rsidRPr="00E46176">
        <w:t>Brown, 2016</w:t>
      </w:r>
      <w:r w:rsidR="004B1040">
        <w:t xml:space="preserve">; </w:t>
      </w:r>
      <w:r w:rsidR="007D6894" w:rsidRPr="00E46176">
        <w:t>Cui</w:t>
      </w:r>
      <w:r w:rsidR="003E65F0" w:rsidRPr="00E46176">
        <w:t>jpers et al., 2019</w:t>
      </w:r>
      <w:r w:rsidR="007D6894" w:rsidRPr="00E46176">
        <w:t xml:space="preserve">). </w:t>
      </w:r>
      <w:r w:rsidRPr="00E46176">
        <w:t>Sixty-one percent</w:t>
      </w:r>
      <w:r w:rsidR="007D6894" w:rsidRPr="00E46176">
        <w:t xml:space="preserve"> of </w:t>
      </w:r>
      <w:r w:rsidR="009D7390" w:rsidRPr="00E46176">
        <w:t xml:space="preserve">UK </w:t>
      </w:r>
      <w:r w:rsidR="007D6894" w:rsidRPr="00E46176">
        <w:t xml:space="preserve">university counselling services reported an increase in demand of at least 25% between 2012 and 2017 (Thorley, 2017). </w:t>
      </w:r>
      <w:r w:rsidRPr="00E46176">
        <w:t>Estimates suggest that</w:t>
      </w:r>
      <w:r w:rsidR="007D6894" w:rsidRPr="00E46176">
        <w:t xml:space="preserve"> </w:t>
      </w:r>
      <w:r w:rsidR="00DB021E" w:rsidRPr="00E46176">
        <w:t>29</w:t>
      </w:r>
      <w:r w:rsidR="007D6894" w:rsidRPr="00E46176">
        <w:t xml:space="preserve">% of students experience clinical levels of distress (Bewick et al., 2008), with distress increasing upon entry to university and not returning to pre-university levels until after graduation (Bewick et al., 2010). </w:t>
      </w:r>
      <w:r w:rsidR="007D6894" w:rsidRPr="00E46176">
        <w:rPr>
          <w:rFonts w:eastAsia="Times New Roman"/>
        </w:rPr>
        <w:t xml:space="preserve"> </w:t>
      </w:r>
      <w:r w:rsidRPr="00E46176">
        <w:rPr>
          <w:rFonts w:eastAsia="Times New Roman"/>
        </w:rPr>
        <w:t>A</w:t>
      </w:r>
      <w:r w:rsidR="009100B2" w:rsidRPr="00E46176">
        <w:t>spects of learning and teaching may impact either positively or negatively on</w:t>
      </w:r>
      <w:r w:rsidR="00BD0CBA" w:rsidRPr="00E46176">
        <w:t xml:space="preserve"> students’ mental health and</w:t>
      </w:r>
      <w:r w:rsidR="009100B2" w:rsidRPr="00E46176">
        <w:t>, conversely, students’ mental health can impact on</w:t>
      </w:r>
      <w:r w:rsidR="00721F6E" w:rsidRPr="00E46176">
        <w:t xml:space="preserve"> their</w:t>
      </w:r>
      <w:r w:rsidR="009100B2" w:rsidRPr="00E46176">
        <w:t xml:space="preserve"> teaching and learning experience (</w:t>
      </w:r>
      <w:r w:rsidR="004B1040" w:rsidRPr="00E46176">
        <w:t>Houghton and Anderson, 2017</w:t>
      </w:r>
      <w:r w:rsidR="004B1040">
        <w:t xml:space="preserve">; </w:t>
      </w:r>
      <w:r w:rsidR="00380CDF" w:rsidRPr="00E46176">
        <w:t xml:space="preserve">Hughes &amp; Spanner, 2019; </w:t>
      </w:r>
      <w:r w:rsidR="009100B2" w:rsidRPr="00E46176">
        <w:t>Pascoe, Hetrick &amp; Parker, 2019</w:t>
      </w:r>
      <w:r w:rsidR="00BD0CBA" w:rsidRPr="00E46176">
        <w:t>). I</w:t>
      </w:r>
      <w:r w:rsidR="000C698F" w:rsidRPr="00E46176">
        <w:t>ncreasing</w:t>
      </w:r>
      <w:r w:rsidR="00BD0CBA" w:rsidRPr="00E46176">
        <w:t>ly, there is an</w:t>
      </w:r>
      <w:r w:rsidR="000C698F" w:rsidRPr="00E46176">
        <w:t xml:space="preserve"> emphasis on </w:t>
      </w:r>
      <w:r w:rsidR="00BD0CBA" w:rsidRPr="00E46176">
        <w:t xml:space="preserve">taking </w:t>
      </w:r>
      <w:r w:rsidR="000C698F" w:rsidRPr="00E46176">
        <w:t>a whole university approach</w:t>
      </w:r>
      <w:r w:rsidR="00BD0CBA" w:rsidRPr="00E46176">
        <w:t xml:space="preserve"> to </w:t>
      </w:r>
      <w:r w:rsidR="005F6CBC" w:rsidRPr="00E46176">
        <w:t xml:space="preserve">promote </w:t>
      </w:r>
      <w:r w:rsidR="00F353E1" w:rsidRPr="00E46176">
        <w:t>the</w:t>
      </w:r>
      <w:r w:rsidR="005F6CBC" w:rsidRPr="00E46176">
        <w:t xml:space="preserve"> wellbeing</w:t>
      </w:r>
      <w:r w:rsidR="006776DB" w:rsidRPr="00E46176">
        <w:t xml:space="preserve"> </w:t>
      </w:r>
      <w:r w:rsidR="00F353E1" w:rsidRPr="00E46176">
        <w:t>of</w:t>
      </w:r>
      <w:r w:rsidR="006776DB" w:rsidRPr="00E46176">
        <w:t xml:space="preserve"> the </w:t>
      </w:r>
      <w:r w:rsidR="005B6301" w:rsidRPr="00E46176">
        <w:t>entire</w:t>
      </w:r>
      <w:r w:rsidR="006776DB" w:rsidRPr="00E46176">
        <w:t xml:space="preserve"> university community</w:t>
      </w:r>
      <w:r w:rsidR="000C698F" w:rsidRPr="00E46176">
        <w:t xml:space="preserve"> </w:t>
      </w:r>
      <w:r w:rsidR="006776DB" w:rsidRPr="00E46176">
        <w:t xml:space="preserve">through </w:t>
      </w:r>
      <w:r w:rsidR="00CA31ED" w:rsidRPr="00E46176">
        <w:t>‘a joined-up approach to transform cultures, and embed mental health initiatives beyond student services … across all policies, cul</w:t>
      </w:r>
      <w:r w:rsidR="00BD0CBA" w:rsidRPr="00E46176">
        <w:t xml:space="preserve">tures, curricula and practice’ </w:t>
      </w:r>
      <w:r w:rsidR="000C698F" w:rsidRPr="00E46176">
        <w:t>(U</w:t>
      </w:r>
      <w:r w:rsidR="00E13A43">
        <w:t xml:space="preserve">niversities </w:t>
      </w:r>
      <w:r w:rsidR="000C698F" w:rsidRPr="00E46176">
        <w:t>UK</w:t>
      </w:r>
      <w:r w:rsidR="00E13A43">
        <w:t xml:space="preserve"> (UUK)</w:t>
      </w:r>
      <w:r w:rsidR="000C698F" w:rsidRPr="00E46176">
        <w:t>, 2018)</w:t>
      </w:r>
      <w:r w:rsidR="00CA31ED" w:rsidRPr="00E46176">
        <w:t>.</w:t>
      </w:r>
      <w:r w:rsidR="00CA31ED" w:rsidRPr="00E46176">
        <w:rPr>
          <w:rFonts w:eastAsia="Times New Roman"/>
        </w:rPr>
        <w:t xml:space="preserve"> </w:t>
      </w:r>
      <w:r w:rsidR="00CA31ED" w:rsidRPr="00E46176">
        <w:t xml:space="preserve">Within a whole university approach, assessment policies and practices emerge </w:t>
      </w:r>
      <w:r w:rsidR="000E14E0" w:rsidRPr="00E46176">
        <w:t xml:space="preserve">as </w:t>
      </w:r>
      <w:r w:rsidR="005B6301" w:rsidRPr="00E46176">
        <w:t>one potential</w:t>
      </w:r>
      <w:r w:rsidR="00995E63" w:rsidRPr="00E46176">
        <w:t>ly distinctive</w:t>
      </w:r>
      <w:r w:rsidR="005B6301" w:rsidRPr="00E46176">
        <w:t xml:space="preserve"> </w:t>
      </w:r>
      <w:r w:rsidR="00CA31ED" w:rsidRPr="00E46176">
        <w:t>environmental risk</w:t>
      </w:r>
      <w:r w:rsidR="002D280A" w:rsidRPr="00E46176">
        <w:t xml:space="preserve"> factor</w:t>
      </w:r>
      <w:r w:rsidR="00995E63" w:rsidRPr="00E46176">
        <w:t xml:space="preserve"> </w:t>
      </w:r>
      <w:r w:rsidR="000E14E0" w:rsidRPr="00E46176">
        <w:t xml:space="preserve">that </w:t>
      </w:r>
      <w:r w:rsidR="005B6301" w:rsidRPr="00E46176">
        <w:t>can impact on</w:t>
      </w:r>
      <w:r w:rsidR="00CA31ED" w:rsidRPr="00E46176">
        <w:t xml:space="preserve"> student </w:t>
      </w:r>
      <w:r w:rsidR="005F6CBC" w:rsidRPr="00E46176">
        <w:t>wellbeing</w:t>
      </w:r>
      <w:r w:rsidR="007F645B" w:rsidRPr="00E46176">
        <w:t>,</w:t>
      </w:r>
      <w:r w:rsidR="005B6301" w:rsidRPr="00E46176">
        <w:t xml:space="preserve"> and </w:t>
      </w:r>
      <w:r w:rsidR="00092C84" w:rsidRPr="00E46176">
        <w:t xml:space="preserve">could </w:t>
      </w:r>
      <w:r w:rsidR="005B6301" w:rsidRPr="00E46176">
        <w:t xml:space="preserve">increase the risk of </w:t>
      </w:r>
      <w:r w:rsidR="00964BD8" w:rsidRPr="00E46176">
        <w:t xml:space="preserve">students </w:t>
      </w:r>
      <w:r w:rsidR="005779E8" w:rsidRPr="00E46176">
        <w:t xml:space="preserve">developing </w:t>
      </w:r>
      <w:r w:rsidR="005B6301" w:rsidRPr="00E46176">
        <w:t>mental health</w:t>
      </w:r>
      <w:r w:rsidR="005779E8" w:rsidRPr="00E46176">
        <w:t xml:space="preserve"> difficulties or exacerbate long term mental health issues (</w:t>
      </w:r>
      <w:r w:rsidR="006E401C" w:rsidRPr="00E46176">
        <w:t>Downie, Fyfe &amp; Tannahill, 1990</w:t>
      </w:r>
      <w:r w:rsidR="005779E8" w:rsidRPr="00E46176">
        <w:t>)</w:t>
      </w:r>
      <w:r w:rsidR="005B6301" w:rsidRPr="00E46176">
        <w:t>.</w:t>
      </w:r>
      <w:r w:rsidR="005225DB" w:rsidRPr="00E46176">
        <w:t xml:space="preserve"> </w:t>
      </w:r>
    </w:p>
    <w:p w14:paraId="766F3763" w14:textId="2CB8F441" w:rsidR="000610B4" w:rsidRPr="00E46176" w:rsidRDefault="00710B1C" w:rsidP="007774AA">
      <w:pPr>
        <w:ind w:firstLine="720"/>
      </w:pPr>
      <w:r w:rsidRPr="00E46176">
        <w:t xml:space="preserve">The effect of assessment practices on the wellbeing of students in UK higher education has not, to date, been comprehensively examined. </w:t>
      </w:r>
      <w:r w:rsidR="00092C84" w:rsidRPr="00E46176">
        <w:t>I</w:t>
      </w:r>
      <w:r w:rsidRPr="00E46176">
        <w:t>nternational evidence</w:t>
      </w:r>
      <w:r w:rsidR="00B53291" w:rsidRPr="00E46176">
        <w:t xml:space="preserve"> </w:t>
      </w:r>
      <w:r w:rsidR="00092C84" w:rsidRPr="00E46176">
        <w:t xml:space="preserve">suggests </w:t>
      </w:r>
      <w:r w:rsidR="00403E52" w:rsidRPr="00E46176">
        <w:t xml:space="preserve">a bidirectional relationship between wellbeing and assessment </w:t>
      </w:r>
      <w:r w:rsidR="00281E9D" w:rsidRPr="00E46176">
        <w:t>experience</w:t>
      </w:r>
      <w:r w:rsidR="00403E52" w:rsidRPr="00E46176">
        <w:t xml:space="preserve">. </w:t>
      </w:r>
      <w:r w:rsidR="00E46176" w:rsidRPr="009100B2">
        <w:t xml:space="preserve">The </w:t>
      </w:r>
      <w:r w:rsidR="00E46176">
        <w:t>definition of</w:t>
      </w:r>
      <w:r w:rsidR="00E46176" w:rsidRPr="009100B2">
        <w:t xml:space="preserve"> ‘wellbeing’ </w:t>
      </w:r>
      <w:r w:rsidR="00E46176">
        <w:t>used</w:t>
      </w:r>
      <w:r w:rsidR="00E46176" w:rsidRPr="009100B2">
        <w:t xml:space="preserve"> in </w:t>
      </w:r>
      <w:r w:rsidR="00E46176">
        <w:t>this paper</w:t>
      </w:r>
      <w:r w:rsidR="00E46176" w:rsidRPr="009100B2">
        <w:t xml:space="preserve"> encompass</w:t>
      </w:r>
      <w:r w:rsidR="00E46176">
        <w:t>es</w:t>
      </w:r>
      <w:r w:rsidR="00E46176" w:rsidRPr="009100B2">
        <w:t xml:space="preserve"> ‘a wider framework, of which mental health is an integral part, but which also includes physical and social wellbeing.’ The emphasis is on </w:t>
      </w:r>
      <w:r w:rsidR="00E46176">
        <w:t>student</w:t>
      </w:r>
      <w:r w:rsidR="00E46176" w:rsidRPr="009100B2">
        <w:t>s being able to ‘fully exercise their cognitive, emotional, physical and social powers, leading to flourishing’ (Hughes and Spanner, 2019, p.</w:t>
      </w:r>
      <w:r w:rsidR="00E46176">
        <w:t>9; see also W</w:t>
      </w:r>
      <w:r w:rsidR="00E13A43">
        <w:t xml:space="preserve">orld </w:t>
      </w:r>
      <w:r w:rsidR="00E46176">
        <w:t>H</w:t>
      </w:r>
      <w:r w:rsidR="00E13A43">
        <w:t xml:space="preserve">ealth </w:t>
      </w:r>
      <w:r w:rsidR="00E46176">
        <w:t>O</w:t>
      </w:r>
      <w:r w:rsidR="00E13A43">
        <w:t>rganisation (WHO)</w:t>
      </w:r>
      <w:r w:rsidR="00E46176">
        <w:t>, 2004; Dodge et al, 2012</w:t>
      </w:r>
      <w:r w:rsidR="00E46176" w:rsidRPr="009100B2">
        <w:t>).</w:t>
      </w:r>
      <w:r w:rsidR="00403E52" w:rsidRPr="00E46176">
        <w:t xml:space="preserve"> </w:t>
      </w:r>
      <w:r w:rsidR="00092C84" w:rsidRPr="00E46176">
        <w:t>Ex</w:t>
      </w:r>
      <w:r w:rsidRPr="00E46176">
        <w:t xml:space="preserve">amination stress </w:t>
      </w:r>
      <w:r w:rsidR="00403E52" w:rsidRPr="00E46176">
        <w:t xml:space="preserve">is associated </w:t>
      </w:r>
      <w:r w:rsidRPr="00E46176">
        <w:t>with mental health difficulties including anxiety, depression, disordered eating,</w:t>
      </w:r>
      <w:r w:rsidR="00092C84" w:rsidRPr="00E46176">
        <w:t xml:space="preserve"> self-harm, panic attacks, burn</w:t>
      </w:r>
      <w:r w:rsidRPr="00E46176">
        <w:t>out</w:t>
      </w:r>
      <w:r w:rsidR="00B53291" w:rsidRPr="00E46176">
        <w:t>,</w:t>
      </w:r>
      <w:r w:rsidRPr="00E46176">
        <w:t xml:space="preserve"> and thoughts of suicide (</w:t>
      </w:r>
      <w:r w:rsidR="003E65F0" w:rsidRPr="00E46176">
        <w:t>Ribeiro et al., 2018</w:t>
      </w:r>
      <w:r w:rsidR="004B1040">
        <w:t xml:space="preserve">; </w:t>
      </w:r>
      <w:r w:rsidR="004B1040" w:rsidRPr="00E46176">
        <w:t>Pascoe, Hetrick &amp; Par</w:t>
      </w:r>
      <w:r w:rsidR="004B1040">
        <w:t>ker, 2019</w:t>
      </w:r>
      <w:r w:rsidRPr="00E46176">
        <w:t xml:space="preserve">). </w:t>
      </w:r>
      <w:r w:rsidR="00092C84" w:rsidRPr="00E46176">
        <w:t>E</w:t>
      </w:r>
      <w:r w:rsidR="00100198" w:rsidRPr="00E46176">
        <w:t>xam</w:t>
      </w:r>
      <w:r w:rsidR="008213DD">
        <w:t>ination</w:t>
      </w:r>
      <w:r w:rsidR="00956151" w:rsidRPr="00E46176">
        <w:t>-</w:t>
      </w:r>
      <w:r w:rsidR="00100198" w:rsidRPr="00E46176">
        <w:t>related</w:t>
      </w:r>
      <w:r w:rsidRPr="00E46176">
        <w:t xml:space="preserve"> stress </w:t>
      </w:r>
      <w:r w:rsidR="00092C84" w:rsidRPr="00E46176">
        <w:t>also has</w:t>
      </w:r>
      <w:r w:rsidRPr="00E46176">
        <w:t xml:space="preserve"> physiological effects that negatively affect mental health and learning, including disordered sleep, loss of appetite, physical inactivity, poor physical health</w:t>
      </w:r>
      <w:r w:rsidR="00B53291" w:rsidRPr="00E46176">
        <w:t>,</w:t>
      </w:r>
      <w:r w:rsidRPr="00E46176">
        <w:t xml:space="preserve"> and substance misuse (</w:t>
      </w:r>
      <w:r w:rsidR="004B1040" w:rsidRPr="00E46176">
        <w:t>Curcio et al. 2006</w:t>
      </w:r>
      <w:r w:rsidR="004B1040">
        <w:t xml:space="preserve">; </w:t>
      </w:r>
      <w:r w:rsidR="004B1040" w:rsidRPr="00E46176">
        <w:t>Simic</w:t>
      </w:r>
      <w:r w:rsidR="00B479C9">
        <w:t xml:space="preserve"> &amp; Manenica</w:t>
      </w:r>
      <w:r w:rsidR="004B1040" w:rsidRPr="00E46176">
        <w:t>, 201</w:t>
      </w:r>
      <w:r w:rsidR="00B479C9">
        <w:t>2</w:t>
      </w:r>
      <w:r w:rsidR="004B1040">
        <w:t xml:space="preserve">; </w:t>
      </w:r>
      <w:r w:rsidRPr="00E46176">
        <w:t xml:space="preserve">Stults-Kolehmainen &amp; Sinha, 2014). </w:t>
      </w:r>
      <w:r w:rsidR="00092C84" w:rsidRPr="00E46176">
        <w:t>Further evidence indicates</w:t>
      </w:r>
      <w:r w:rsidRPr="00E46176">
        <w:t xml:space="preserve"> that elevated levels of anxiety have a detrimental impact on students’ academic achievemen</w:t>
      </w:r>
      <w:r w:rsidR="00BA7657" w:rsidRPr="00E46176">
        <w:t>t</w:t>
      </w:r>
      <w:r w:rsidRPr="00E46176">
        <w:t>,</w:t>
      </w:r>
      <w:r w:rsidR="00956151" w:rsidRPr="00E46176">
        <w:t xml:space="preserve"> with</w:t>
      </w:r>
      <w:r w:rsidRPr="00E46176">
        <w:t xml:space="preserve"> higher self-reporte</w:t>
      </w:r>
      <w:r w:rsidR="00092C84" w:rsidRPr="00E46176">
        <w:t xml:space="preserve">d levels of examination stress, </w:t>
      </w:r>
      <w:r w:rsidRPr="00E46176">
        <w:t>anxiety, and depression associated with poorer productivity, motivation</w:t>
      </w:r>
      <w:r w:rsidR="00A05F51" w:rsidRPr="00E46176">
        <w:t>,</w:t>
      </w:r>
      <w:r w:rsidRPr="00E46176">
        <w:t xml:space="preserve"> and test scores</w:t>
      </w:r>
      <w:r w:rsidR="00A05F51" w:rsidRPr="00E46176">
        <w:t xml:space="preserve"> </w:t>
      </w:r>
      <w:r w:rsidRPr="00E46176">
        <w:t>(</w:t>
      </w:r>
      <w:r w:rsidR="004B1040" w:rsidRPr="00E46176">
        <w:t>Reschly et al., 2008</w:t>
      </w:r>
      <w:r w:rsidR="004B1040">
        <w:t xml:space="preserve">; </w:t>
      </w:r>
      <w:r w:rsidR="00B479C9">
        <w:t>L</w:t>
      </w:r>
      <w:r w:rsidR="004B1040" w:rsidRPr="00E46176">
        <w:t>i</w:t>
      </w:r>
      <w:r w:rsidR="00B479C9">
        <w:t>u</w:t>
      </w:r>
      <w:r w:rsidR="004B1040" w:rsidRPr="00E46176">
        <w:t>, 2015</w:t>
      </w:r>
      <w:r w:rsidR="004B1040">
        <w:t xml:space="preserve">; </w:t>
      </w:r>
      <w:r w:rsidRPr="00E46176">
        <w:t>Kotter et al., 2017).</w:t>
      </w:r>
      <w:r w:rsidR="00403E52" w:rsidRPr="00E46176">
        <w:t xml:space="preserve">  </w:t>
      </w:r>
      <w:r w:rsidR="001A51CF" w:rsidRPr="00E46176">
        <w:t>Moreover, changing from norm-referenced hierarchal grading to a criterion-referenced pass or fail system has been associated with significant reductions in stress and anxiety among medical students in the US</w:t>
      </w:r>
      <w:r w:rsidR="007F645B" w:rsidRPr="00E46176">
        <w:t>A</w:t>
      </w:r>
      <w:r w:rsidR="001A51CF" w:rsidRPr="00E46176">
        <w:t xml:space="preserve"> </w:t>
      </w:r>
      <w:r w:rsidR="00E01684" w:rsidRPr="00E46176">
        <w:t>(</w:t>
      </w:r>
      <w:r w:rsidR="004B1040" w:rsidRPr="00E46176">
        <w:t>Bloodgood et al., 2009</w:t>
      </w:r>
      <w:r w:rsidR="004B1040">
        <w:t xml:space="preserve">; </w:t>
      </w:r>
      <w:r w:rsidR="00E01684" w:rsidRPr="00E46176">
        <w:t>Slavin, Schindler &amp; Chibnall, 2014</w:t>
      </w:r>
      <w:r w:rsidR="00092C84" w:rsidRPr="00E46176">
        <w:t xml:space="preserve">). </w:t>
      </w:r>
      <w:r w:rsidR="00E01684" w:rsidRPr="00E46176">
        <w:t xml:space="preserve"> </w:t>
      </w:r>
      <w:r w:rsidR="000610B4" w:rsidRPr="00E46176">
        <w:t>Alternately, Ecclestone and Hayes (2019) a</w:t>
      </w:r>
      <w:r w:rsidR="00D84B39" w:rsidRPr="00E46176">
        <w:t>rgue that assessment reforms</w:t>
      </w:r>
      <w:r w:rsidR="005779E8" w:rsidRPr="00E46176">
        <w:t xml:space="preserve"> aimed at promoting student wellbeing can</w:t>
      </w:r>
      <w:r w:rsidR="00D84B39" w:rsidRPr="00E46176">
        <w:t xml:space="preserve"> negatively impact on student learning and capacity for coping</w:t>
      </w:r>
      <w:r w:rsidR="000610B4" w:rsidRPr="00E46176">
        <w:t>, reproducing discourses that undermine resilience.</w:t>
      </w:r>
    </w:p>
    <w:p w14:paraId="5DB400B6" w14:textId="1A56F7FB" w:rsidR="00071DB2" w:rsidRPr="00E46176" w:rsidRDefault="009A43A0" w:rsidP="007774AA">
      <w:pPr>
        <w:ind w:firstLine="720"/>
      </w:pPr>
      <w:r w:rsidRPr="00E46176">
        <w:t xml:space="preserve">This paper uses data from </w:t>
      </w:r>
      <w:r w:rsidR="00394DF5" w:rsidRPr="00E46176">
        <w:t xml:space="preserve">consultations conducted with </w:t>
      </w:r>
      <w:r w:rsidR="000610B4" w:rsidRPr="00E46176">
        <w:t xml:space="preserve">university </w:t>
      </w:r>
      <w:r w:rsidR="003F7F97" w:rsidRPr="00E46176">
        <w:t>staff and student</w:t>
      </w:r>
      <w:r w:rsidR="000E14E0" w:rsidRPr="00E46176">
        <w:t>s</w:t>
      </w:r>
      <w:r w:rsidR="003F7F97" w:rsidRPr="00E46176">
        <w:t xml:space="preserve"> during the development of </w:t>
      </w:r>
      <w:r w:rsidR="005F6CBC" w:rsidRPr="00E46176">
        <w:t>the</w:t>
      </w:r>
      <w:r w:rsidR="003F7F97" w:rsidRPr="00E46176">
        <w:t xml:space="preserve"> University Mental Health Charter (‘the Charter’) </w:t>
      </w:r>
      <w:r w:rsidR="005F6CBC" w:rsidRPr="00E46176">
        <w:t>led by the charity Student Minds (Hughes and Spanner, 2019)</w:t>
      </w:r>
      <w:r w:rsidRPr="00E46176">
        <w:t xml:space="preserve">, focused on assessment design and practice. </w:t>
      </w:r>
      <w:bookmarkStart w:id="4" w:name="_Hlk31890777"/>
      <w:r w:rsidR="001A51CF" w:rsidRPr="00E46176">
        <w:t>The Charter</w:t>
      </w:r>
      <w:r w:rsidRPr="00E46176">
        <w:t xml:space="preserve"> aims to</w:t>
      </w:r>
      <w:r w:rsidR="00071DB2" w:rsidRPr="00E46176">
        <w:t xml:space="preserve"> </w:t>
      </w:r>
      <w:r w:rsidR="008C220F" w:rsidRPr="00E46176">
        <w:t xml:space="preserve">recognise and reward UK institutions </w:t>
      </w:r>
      <w:r w:rsidRPr="00E46176">
        <w:t xml:space="preserve">that </w:t>
      </w:r>
      <w:r w:rsidR="008C220F" w:rsidRPr="00E46176">
        <w:t xml:space="preserve">prioritise student and staff mental health outcomes and demonstrate good practice </w:t>
      </w:r>
      <w:r w:rsidR="00BA2BF5" w:rsidRPr="00E46176">
        <w:t xml:space="preserve">within a whole university approach </w:t>
      </w:r>
      <w:r w:rsidR="004A35D0" w:rsidRPr="00E46176">
        <w:t>(Hughes &amp; Spanner, 2019)</w:t>
      </w:r>
      <w:r w:rsidR="008C220F" w:rsidRPr="00E46176">
        <w:t>.</w:t>
      </w:r>
      <w:r w:rsidR="0083052E" w:rsidRPr="00E46176">
        <w:t xml:space="preserve"> </w:t>
      </w:r>
    </w:p>
    <w:bookmarkEnd w:id="4"/>
    <w:p w14:paraId="58A3F42A" w14:textId="4B58C8F9" w:rsidR="009A43A0" w:rsidRPr="00E46176" w:rsidRDefault="008C0F84" w:rsidP="007774AA">
      <w:pPr>
        <w:ind w:firstLine="720"/>
      </w:pPr>
      <w:r w:rsidRPr="00E46176">
        <w:t xml:space="preserve">One </w:t>
      </w:r>
      <w:r w:rsidR="00A05F51" w:rsidRPr="00E46176">
        <w:t>domain</w:t>
      </w:r>
      <w:r w:rsidRPr="00E46176">
        <w:t xml:space="preserve"> of t</w:t>
      </w:r>
      <w:r w:rsidR="00417E78" w:rsidRPr="00E46176">
        <w:t xml:space="preserve">he Charter </w:t>
      </w:r>
      <w:r w:rsidR="005F6CBC" w:rsidRPr="00E46176">
        <w:t xml:space="preserve">emphasises the impact that teaching and learning methods and practices, including assessments, </w:t>
      </w:r>
      <w:r w:rsidR="00417E78" w:rsidRPr="00E46176">
        <w:t xml:space="preserve">can have on student </w:t>
      </w:r>
      <w:r w:rsidR="007A3C37" w:rsidRPr="00E46176">
        <w:t>wellbeing</w:t>
      </w:r>
      <w:r w:rsidR="00417E78" w:rsidRPr="00E46176">
        <w:t xml:space="preserve"> (Hughes &amp; Spanner, 2019</w:t>
      </w:r>
      <w:r w:rsidR="005F6CBC" w:rsidRPr="00E46176">
        <w:t>)</w:t>
      </w:r>
      <w:r w:rsidR="00417E78" w:rsidRPr="00E46176">
        <w:t xml:space="preserve">. It highlights two principles of good practice relevant to assessment, </w:t>
      </w:r>
      <w:r w:rsidR="000C698F" w:rsidRPr="00E46176">
        <w:t>namely t</w:t>
      </w:r>
      <w:r w:rsidR="00417E78" w:rsidRPr="00E46176">
        <w:t xml:space="preserve">hat </w:t>
      </w:r>
      <w:r w:rsidR="000C698F" w:rsidRPr="00E46176">
        <w:t xml:space="preserve">curriculum design, pedagogy and processes should </w:t>
      </w:r>
      <w:r w:rsidR="00417E78" w:rsidRPr="00E46176">
        <w:t xml:space="preserve">‘consider and seek to impact positively on the mental health and wellbeing of all students’ and </w:t>
      </w:r>
      <w:r w:rsidR="000C698F" w:rsidRPr="00E46176">
        <w:t>that academic s</w:t>
      </w:r>
      <w:r w:rsidR="002B7A33" w:rsidRPr="00E46176">
        <w:t xml:space="preserve">taff </w:t>
      </w:r>
      <w:r w:rsidR="000C698F" w:rsidRPr="00E46176">
        <w:t>should ‘</w:t>
      </w:r>
      <w:r w:rsidR="00417E78" w:rsidRPr="00E46176">
        <w:t xml:space="preserve">understand how they can support student mental health and wellbeing </w:t>
      </w:r>
      <w:r w:rsidR="000610B4" w:rsidRPr="00E46176">
        <w:t>through good pedagogic practice</w:t>
      </w:r>
      <w:r w:rsidR="00417E78" w:rsidRPr="00E46176">
        <w:t>’ (Hughes &amp; Spanner, 2019, p.</w:t>
      </w:r>
      <w:r w:rsidRPr="00E46176">
        <w:t>28</w:t>
      </w:r>
      <w:r w:rsidR="00417E78" w:rsidRPr="00E46176">
        <w:t>).</w:t>
      </w:r>
      <w:r w:rsidR="000C698F" w:rsidRPr="00E46176">
        <w:t xml:space="preserve"> </w:t>
      </w:r>
    </w:p>
    <w:p w14:paraId="0000001D" w14:textId="4B67BF42" w:rsidR="00F2278E" w:rsidRPr="00E46176" w:rsidRDefault="000C698F" w:rsidP="007774AA">
      <w:pPr>
        <w:ind w:firstLine="720"/>
      </w:pPr>
      <w:r w:rsidRPr="00E46176">
        <w:t xml:space="preserve">This paper </w:t>
      </w:r>
      <w:r w:rsidR="009A43A0" w:rsidRPr="00E46176">
        <w:t>examines the tensions that arise in a whole university approach when assessment design and practices are balanced with student wellbeing,</w:t>
      </w:r>
      <w:bookmarkStart w:id="5" w:name="_Hlk31890972"/>
      <w:r w:rsidRPr="00E46176">
        <w:t xml:space="preserve"> </w:t>
      </w:r>
      <w:r w:rsidR="003F7F97" w:rsidRPr="00E46176">
        <w:t>highlight</w:t>
      </w:r>
      <w:r w:rsidRPr="00E46176">
        <w:t>ing</w:t>
      </w:r>
      <w:r w:rsidR="003F7F97" w:rsidRPr="00E46176">
        <w:t xml:space="preserve"> policy, educational, and practical considerations</w:t>
      </w:r>
      <w:bookmarkEnd w:id="5"/>
      <w:r w:rsidR="003F7F97" w:rsidRPr="00E46176">
        <w:t xml:space="preserve">. The Charter itself acknowledges that </w:t>
      </w:r>
      <w:r w:rsidR="00A13935" w:rsidRPr="00E46176">
        <w:t xml:space="preserve">factors influencing </w:t>
      </w:r>
      <w:r w:rsidR="00BA2BF5" w:rsidRPr="00E46176">
        <w:t xml:space="preserve">mental health </w:t>
      </w:r>
      <w:r w:rsidR="00A13935" w:rsidRPr="00E46176">
        <w:t>are</w:t>
      </w:r>
      <w:r w:rsidR="00BA2BF5" w:rsidRPr="00E46176">
        <w:t xml:space="preserve"> </w:t>
      </w:r>
      <w:r w:rsidR="00A13935" w:rsidRPr="00E46176">
        <w:t>diverse</w:t>
      </w:r>
      <w:r w:rsidR="00BA2BF5" w:rsidRPr="00E46176">
        <w:t xml:space="preserve"> and that </w:t>
      </w:r>
      <w:r w:rsidR="003F7F97" w:rsidRPr="00E46176">
        <w:t xml:space="preserve">the implementation of its principles ‘is likely to be very different’ for each institution </w:t>
      </w:r>
      <w:r w:rsidR="00A13935" w:rsidRPr="00E46176">
        <w:t>(Hughes &amp; Spanner, 2019, p.76</w:t>
      </w:r>
      <w:r w:rsidR="003F7F97" w:rsidRPr="00E46176">
        <w:t xml:space="preserve">). </w:t>
      </w:r>
      <w:r w:rsidR="00A13935" w:rsidRPr="00E46176">
        <w:t>Similarly</w:t>
      </w:r>
      <w:r w:rsidR="003F7F97" w:rsidRPr="00E46176">
        <w:t xml:space="preserve">, </w:t>
      </w:r>
      <w:r w:rsidRPr="00E46176">
        <w:t xml:space="preserve">this paper </w:t>
      </w:r>
      <w:r w:rsidR="003F7F97" w:rsidRPr="00E46176">
        <w:t xml:space="preserve">does not seek to </w:t>
      </w:r>
      <w:r w:rsidRPr="00E46176">
        <w:t>prescribe universal principles of best practice; instead it explores</w:t>
      </w:r>
      <w:r w:rsidR="003F7F97" w:rsidRPr="00E46176">
        <w:t xml:space="preserve"> key tensions in assessment strategy and design that should be </w:t>
      </w:r>
      <w:r w:rsidR="00C853FA" w:rsidRPr="00E46176">
        <w:t xml:space="preserve">critically </w:t>
      </w:r>
      <w:r w:rsidR="003F7F97" w:rsidRPr="00E46176">
        <w:t xml:space="preserve">considered </w:t>
      </w:r>
      <w:r w:rsidR="00C853FA" w:rsidRPr="00E46176">
        <w:t xml:space="preserve">and navigated </w:t>
      </w:r>
      <w:r w:rsidR="003F7F97" w:rsidRPr="00E46176">
        <w:t>to inform contextualised judgement</w:t>
      </w:r>
      <w:r w:rsidR="006E401C" w:rsidRPr="00E46176">
        <w:t>s</w:t>
      </w:r>
      <w:r w:rsidR="003F7F97" w:rsidRPr="00E46176">
        <w:t xml:space="preserve"> regarding student </w:t>
      </w:r>
      <w:r w:rsidR="005F6CBC" w:rsidRPr="00E46176">
        <w:t>wellbeing</w:t>
      </w:r>
      <w:r w:rsidR="00BA2BF5" w:rsidRPr="00E46176">
        <w:t>.</w:t>
      </w:r>
      <w:r w:rsidR="003F7F97" w:rsidRPr="00E46176">
        <w:t xml:space="preserve">    </w:t>
      </w:r>
    </w:p>
    <w:p w14:paraId="00000033" w14:textId="77777777" w:rsidR="00F2278E" w:rsidRPr="00E46176" w:rsidRDefault="003F7F97">
      <w:pPr>
        <w:pStyle w:val="Heading2"/>
      </w:pPr>
      <w:bookmarkStart w:id="6" w:name="_op6lfhsxrs1e" w:colFirst="0" w:colLast="0"/>
      <w:bookmarkStart w:id="7" w:name="_va93kph83ntb" w:colFirst="0" w:colLast="0"/>
      <w:bookmarkStart w:id="8" w:name="_5x78zvjxtkds" w:colFirst="0" w:colLast="0"/>
      <w:bookmarkStart w:id="9" w:name="_p7fdvs9ixv7f" w:colFirst="0" w:colLast="0"/>
      <w:bookmarkEnd w:id="6"/>
      <w:bookmarkEnd w:id="7"/>
      <w:bookmarkEnd w:id="8"/>
      <w:bookmarkEnd w:id="9"/>
      <w:r w:rsidRPr="00E46176">
        <w:t>Methodology</w:t>
      </w:r>
    </w:p>
    <w:p w14:paraId="1D76040A" w14:textId="7F3CBD2D" w:rsidR="00F9513D" w:rsidRPr="00E46176" w:rsidRDefault="003F7F97">
      <w:r w:rsidRPr="00E46176">
        <w:t>As part of the process of developing the Charter, university staff and students across the UK were invited to participate in ‘roadshow’ events</w:t>
      </w:r>
      <w:r w:rsidR="00C85158" w:rsidRPr="00E46176">
        <w:t>, consisting of a series of focus groups on different topics.</w:t>
      </w:r>
      <w:r w:rsidR="00E46176">
        <w:t xml:space="preserve"> </w:t>
      </w:r>
      <w:r w:rsidR="00E46176" w:rsidRPr="00710B1C">
        <w:t xml:space="preserve">Information about the research was provided in the invitation, and written informed consent was taken as part of the sign-up process. Ethical approval was given by </w:t>
      </w:r>
      <w:r w:rsidR="00E46176" w:rsidRPr="006F69B5">
        <w:t>the University of Derby research ethics committee.</w:t>
      </w:r>
      <w:r w:rsidR="00E46176" w:rsidRPr="00E46176">
        <w:t xml:space="preserve"> </w:t>
      </w:r>
      <w:r w:rsidR="00F9513D" w:rsidRPr="00E46176">
        <w:t>Groups were held in Scotland (University of Strathclyde), London (two</w:t>
      </w:r>
      <w:r w:rsidR="00442767" w:rsidRPr="00E46176">
        <w:t xml:space="preserve"> groups</w:t>
      </w:r>
      <w:r w:rsidR="00F9513D" w:rsidRPr="00E46176">
        <w:t xml:space="preserve"> at the University of Arts</w:t>
      </w:r>
      <w:r w:rsidR="00E13A43">
        <w:t xml:space="preserve"> (UAL)</w:t>
      </w:r>
      <w:r w:rsidR="00F9513D" w:rsidRPr="00E46176">
        <w:t xml:space="preserve">), </w:t>
      </w:r>
      <w:r w:rsidR="000C2F5E" w:rsidRPr="00E46176">
        <w:t xml:space="preserve">the </w:t>
      </w:r>
      <w:r w:rsidR="00F9513D" w:rsidRPr="00E46176">
        <w:t xml:space="preserve">West Midlands (University of Staffordshire), Wales (University of Cardiff), Yorkshire (two groups at the University of Leeds) and Northern Ireland (two groups at the University of Ulster). Although the focus groups were hosted at these universities, participants </w:t>
      </w:r>
      <w:r w:rsidR="00DD381F" w:rsidRPr="00E46176">
        <w:t>were recruited</w:t>
      </w:r>
      <w:r w:rsidR="008C0F84" w:rsidRPr="00E46176">
        <w:t xml:space="preserve"> </w:t>
      </w:r>
      <w:r w:rsidR="00F9513D" w:rsidRPr="00E46176">
        <w:t xml:space="preserve">from </w:t>
      </w:r>
      <w:r w:rsidR="00541D95" w:rsidRPr="00E46176">
        <w:t>numerous</w:t>
      </w:r>
      <w:r w:rsidR="00F9513D" w:rsidRPr="00E46176">
        <w:t xml:space="preserve"> different local universities.</w:t>
      </w:r>
      <w:r w:rsidR="00E46176">
        <w:t xml:space="preserve"> F</w:t>
      </w:r>
      <w:r w:rsidR="00E46176" w:rsidRPr="00687D21">
        <w:t xml:space="preserve">or clarity, </w:t>
      </w:r>
      <w:r w:rsidR="00E46176">
        <w:t xml:space="preserve">and to maintain participant anonymity, </w:t>
      </w:r>
      <w:r w:rsidR="00E46176" w:rsidRPr="00687D21">
        <w:t xml:space="preserve">we use </w:t>
      </w:r>
      <w:r w:rsidR="00E46176">
        <w:t xml:space="preserve">only </w:t>
      </w:r>
      <w:r w:rsidR="00E46176" w:rsidRPr="00687D21">
        <w:t>the host university’s</w:t>
      </w:r>
      <w:r w:rsidR="00E46176">
        <w:t xml:space="preserve"> name to identify data extracts.</w:t>
      </w:r>
    </w:p>
    <w:p w14:paraId="1FF9DD63" w14:textId="24E98AA4" w:rsidR="00C85158" w:rsidRPr="00E46176" w:rsidRDefault="00C85158" w:rsidP="007774AA">
      <w:pPr>
        <w:ind w:firstLine="720"/>
      </w:pPr>
      <w:r w:rsidRPr="00E46176">
        <w:t xml:space="preserve">Data are taken from </w:t>
      </w:r>
      <w:r w:rsidR="003F7F97" w:rsidRPr="00E46176">
        <w:t xml:space="preserve">nine focus groups held with </w:t>
      </w:r>
      <w:r w:rsidR="00F95542" w:rsidRPr="00E46176">
        <w:t>university staff,</w:t>
      </w:r>
      <w:r w:rsidR="00710B1C" w:rsidRPr="00E46176">
        <w:t xml:space="preserve"> </w:t>
      </w:r>
      <w:r w:rsidR="003F7F97" w:rsidRPr="00E46176">
        <w:t xml:space="preserve">exploring </w:t>
      </w:r>
      <w:r w:rsidR="00F95542" w:rsidRPr="00E46176">
        <w:t>their</w:t>
      </w:r>
      <w:r w:rsidR="003F7F97" w:rsidRPr="00E46176">
        <w:t xml:space="preserve"> perceptions of the relationship between </w:t>
      </w:r>
      <w:r w:rsidRPr="00E46176">
        <w:t>student learning and wellbeing, and six student co-creation panels focused on ‘university culture, environment and mental health.’</w:t>
      </w:r>
      <w:r w:rsidR="009D7390" w:rsidRPr="00E46176">
        <w:t xml:space="preserve"> </w:t>
      </w:r>
    </w:p>
    <w:p w14:paraId="6990DF06" w14:textId="7BEF6020" w:rsidR="00C50085" w:rsidRPr="00E46176" w:rsidRDefault="00C85158" w:rsidP="007774AA">
      <w:pPr>
        <w:ind w:firstLine="720"/>
      </w:pPr>
      <w:r w:rsidRPr="00E46176">
        <w:t>Staff f</w:t>
      </w:r>
      <w:r w:rsidR="003F7F97" w:rsidRPr="00E46176">
        <w:t xml:space="preserve">ocus group size ranged from one or two participants to nine, </w:t>
      </w:r>
      <w:r w:rsidRPr="00E46176">
        <w:t xml:space="preserve">(average: </w:t>
      </w:r>
      <w:r w:rsidR="003F7F97" w:rsidRPr="00E46176">
        <w:t>five</w:t>
      </w:r>
      <w:r w:rsidRPr="00E46176">
        <w:t>)</w:t>
      </w:r>
      <w:r w:rsidR="003F7F97" w:rsidRPr="00E46176">
        <w:t>, with 33 participants in total. Par</w:t>
      </w:r>
      <w:r w:rsidR="00A41183" w:rsidRPr="00E46176">
        <w:t>ticipants were mainly academic/</w:t>
      </w:r>
      <w:r w:rsidR="003F7F97" w:rsidRPr="00E46176">
        <w:t>faculty staff at various levels (from associate lecturer to professor) with some academic-related staff (e.g. student support and counselling</w:t>
      </w:r>
      <w:r w:rsidR="00F95542" w:rsidRPr="00E46176">
        <w:t xml:space="preserve"> and</w:t>
      </w:r>
      <w:r w:rsidR="003F7F97" w:rsidRPr="00E46176">
        <w:t xml:space="preserve"> learning development). They were recruited through an Eventbrite sign-up</w:t>
      </w:r>
      <w:r w:rsidR="00541D95" w:rsidRPr="00E46176">
        <w:t xml:space="preserve"> page</w:t>
      </w:r>
      <w:r w:rsidR="003F7F97" w:rsidRPr="00E46176">
        <w:t xml:space="preserve">, which was distributed through multiple national and local university and associated networks to reach as </w:t>
      </w:r>
      <w:r w:rsidR="00541D95" w:rsidRPr="00E46176">
        <w:t>wide a group</w:t>
      </w:r>
      <w:r w:rsidR="00E02D8E" w:rsidRPr="00E46176">
        <w:t xml:space="preserve"> </w:t>
      </w:r>
      <w:r w:rsidR="003F7F97" w:rsidRPr="00E46176">
        <w:t xml:space="preserve">as possible. </w:t>
      </w:r>
    </w:p>
    <w:p w14:paraId="34014E26" w14:textId="741FE9D4" w:rsidR="00721F6E" w:rsidRPr="00E46176" w:rsidRDefault="003F7F97" w:rsidP="007774AA">
      <w:pPr>
        <w:ind w:firstLine="720"/>
      </w:pPr>
      <w:r w:rsidRPr="00E46176">
        <w:t>Focus groups were facilitated by a</w:t>
      </w:r>
      <w:r w:rsidR="00C85158" w:rsidRPr="00E46176">
        <w:t>n</w:t>
      </w:r>
      <w:r w:rsidRPr="00E46176">
        <w:t xml:space="preserve"> experienced qualitative researcher. Each group lasted for around 60 minutes and was audio-recorded and fully transcribed. Questions centred around whether </w:t>
      </w:r>
      <w:r w:rsidR="00A41183" w:rsidRPr="00E46176">
        <w:t>participants</w:t>
      </w:r>
      <w:r w:rsidRPr="00E46176">
        <w:t xml:space="preserve"> felt that pedagogy, curriculum an</w:t>
      </w:r>
      <w:r w:rsidR="00A41183" w:rsidRPr="00E46176">
        <w:t>d assessment design could have</w:t>
      </w:r>
      <w:r w:rsidRPr="00E46176">
        <w:t xml:space="preserve"> positive and/or negative impacts on student mental </w:t>
      </w:r>
      <w:r w:rsidR="00A41183" w:rsidRPr="00E46176">
        <w:t>health</w:t>
      </w:r>
      <w:r w:rsidRPr="00E46176">
        <w:t xml:space="preserve">. This included considerations of whether wellbeing should be considered within curriculum design. </w:t>
      </w:r>
    </w:p>
    <w:p w14:paraId="7265DD61" w14:textId="4D48B2FB" w:rsidR="00970DC5" w:rsidRPr="00E46176" w:rsidRDefault="00C85158" w:rsidP="007774AA">
      <w:pPr>
        <w:ind w:firstLine="720"/>
      </w:pPr>
      <w:r w:rsidRPr="00E46176">
        <w:t>Student c</w:t>
      </w:r>
      <w:r w:rsidR="000C2F5E" w:rsidRPr="00E46176">
        <w:rPr>
          <w:rFonts w:eastAsia="Times New Roman"/>
        </w:rPr>
        <w:t>o-creation panel</w:t>
      </w:r>
      <w:r w:rsidR="005E1656" w:rsidRPr="00E46176">
        <w:rPr>
          <w:rFonts w:eastAsia="Times New Roman"/>
        </w:rPr>
        <w:t>s</w:t>
      </w:r>
      <w:r w:rsidR="000C2F5E" w:rsidRPr="00E46176">
        <w:rPr>
          <w:rFonts w:eastAsia="Times New Roman"/>
        </w:rPr>
        <w:t xml:space="preserve"> rang</w:t>
      </w:r>
      <w:r w:rsidR="005E1656" w:rsidRPr="00E46176">
        <w:rPr>
          <w:rFonts w:eastAsia="Times New Roman"/>
        </w:rPr>
        <w:t>ed</w:t>
      </w:r>
      <w:r w:rsidR="000C2F5E" w:rsidRPr="00E46176">
        <w:rPr>
          <w:rFonts w:eastAsia="Times New Roman"/>
        </w:rPr>
        <w:t xml:space="preserve"> from </w:t>
      </w:r>
      <w:r w:rsidR="005E1656" w:rsidRPr="00E46176">
        <w:rPr>
          <w:rFonts w:eastAsia="Times New Roman"/>
        </w:rPr>
        <w:t xml:space="preserve">6 </w:t>
      </w:r>
      <w:r w:rsidR="000C2F5E" w:rsidRPr="00E46176">
        <w:rPr>
          <w:rFonts w:eastAsia="Times New Roman"/>
        </w:rPr>
        <w:t xml:space="preserve">to </w:t>
      </w:r>
      <w:r w:rsidR="005E1656" w:rsidRPr="00E46176">
        <w:rPr>
          <w:rFonts w:eastAsia="Times New Roman"/>
        </w:rPr>
        <w:t>13</w:t>
      </w:r>
      <w:r w:rsidR="00A347D9" w:rsidRPr="00E46176">
        <w:rPr>
          <w:rFonts w:eastAsia="Times New Roman"/>
        </w:rPr>
        <w:t xml:space="preserve"> participants</w:t>
      </w:r>
      <w:r w:rsidR="005E1656" w:rsidRPr="00E46176">
        <w:rPr>
          <w:rFonts w:eastAsia="Times New Roman"/>
        </w:rPr>
        <w:t>, with 65 participants in total</w:t>
      </w:r>
      <w:r w:rsidR="000C2F5E" w:rsidRPr="00E46176">
        <w:rPr>
          <w:rFonts w:eastAsia="Times New Roman"/>
        </w:rPr>
        <w:t>. Again, e</w:t>
      </w:r>
      <w:r w:rsidR="000C2F5E" w:rsidRPr="00E46176">
        <w:t xml:space="preserve">ach group lasted for around 60 minutes and was audio-recorded and fully transcribed. </w:t>
      </w:r>
      <w:r w:rsidR="003F7F97" w:rsidRPr="00E46176">
        <w:t>The co-creation panel format was informed by the Student Minds co-production toolkit, and modelled on Student Voice Forums (Piper &amp; Emmanuel, 2019).</w:t>
      </w:r>
      <w:r w:rsidR="003F7F97" w:rsidRPr="00E46176">
        <w:rPr>
          <w:rFonts w:eastAsia="Times New Roman"/>
        </w:rPr>
        <w:t xml:space="preserve"> </w:t>
      </w:r>
      <w:r w:rsidR="009D7390" w:rsidRPr="00E46176">
        <w:t xml:space="preserve">A co-creation panel is a particularly interactive focus group using activities designed to elucidate individual's knowledge, thoughts and feelings from their own experiences. It was designed to support students to talk about mental health at university, as students are experts by experience on this topic. </w:t>
      </w:r>
      <w:r w:rsidRPr="00E46176">
        <w:t>The panel activity used</w:t>
      </w:r>
      <w:r w:rsidR="003F7F97" w:rsidRPr="00E46176">
        <w:t xml:space="preserve"> a problem-based ‘creative ideation’ strategy, ask</w:t>
      </w:r>
      <w:r w:rsidR="00721F6E" w:rsidRPr="00E46176">
        <w:t>ing</w:t>
      </w:r>
      <w:r w:rsidR="003F7F97" w:rsidRPr="00E46176">
        <w:t xml:space="preserve"> students to imagine what the ideal university approach to student mental health and wellbeing would be like in 30 years, and how this would differ from current </w:t>
      </w:r>
      <w:r w:rsidR="00721F6E" w:rsidRPr="00E46176">
        <w:t>approaches</w:t>
      </w:r>
      <w:r w:rsidRPr="00E46176">
        <w:t>; this included discussion of t</w:t>
      </w:r>
      <w:r w:rsidR="003F7F97" w:rsidRPr="00E46176">
        <w:t>eaching, learning, curriculum and assessment</w:t>
      </w:r>
      <w:r w:rsidRPr="00E46176">
        <w:t>.</w:t>
      </w:r>
      <w:r w:rsidR="003F7F97" w:rsidRPr="00E46176">
        <w:t xml:space="preserve"> </w:t>
      </w:r>
    </w:p>
    <w:p w14:paraId="0000003B" w14:textId="321D857C" w:rsidR="00F2278E" w:rsidRPr="00E46176" w:rsidRDefault="003F7F97" w:rsidP="007774AA">
      <w:pPr>
        <w:ind w:firstLine="720"/>
      </w:pPr>
      <w:r w:rsidRPr="00E46176">
        <w:t>The analysis of staff data was conducted using an inductive data driven thematic approach</w:t>
      </w:r>
      <w:r w:rsidR="00C50085" w:rsidRPr="00E46176">
        <w:t xml:space="preserve"> (Braun &amp; Clark</w:t>
      </w:r>
      <w:r w:rsidR="00E13A43">
        <w:t>e</w:t>
      </w:r>
      <w:r w:rsidR="00C50085" w:rsidRPr="00E46176">
        <w:t>, 2006)</w:t>
      </w:r>
      <w:r w:rsidRPr="00E46176">
        <w:t xml:space="preserve">. </w:t>
      </w:r>
      <w:r w:rsidR="00E02D8E" w:rsidRPr="00E46176">
        <w:t>Transcripts were</w:t>
      </w:r>
      <w:r w:rsidR="00AE1DE1" w:rsidRPr="00E46176">
        <w:t xml:space="preserve"> initially</w:t>
      </w:r>
      <w:r w:rsidR="00E02D8E" w:rsidRPr="00E46176">
        <w:t xml:space="preserve"> </w:t>
      </w:r>
      <w:r w:rsidRPr="00E46176">
        <w:t xml:space="preserve">coded separately by LB, EJ and SW, </w:t>
      </w:r>
      <w:r w:rsidR="00DD381F" w:rsidRPr="00E46176">
        <w:t>who then conferred to review and synthesise themes.</w:t>
      </w:r>
      <w:r w:rsidRPr="00E46176">
        <w:t xml:space="preserve"> This analysis was then integrated with coding of the student data conducted by MP, with all the authors </w:t>
      </w:r>
      <w:r w:rsidR="00D84B39" w:rsidRPr="00E46176">
        <w:t xml:space="preserve">collaboratively </w:t>
      </w:r>
      <w:r w:rsidRPr="00E46176">
        <w:t xml:space="preserve">reviewing the </w:t>
      </w:r>
      <w:r w:rsidR="00541D95" w:rsidRPr="00E46176">
        <w:t xml:space="preserve">similarities and divergences in </w:t>
      </w:r>
      <w:r w:rsidRPr="00E46176">
        <w:t>student and staff data</w:t>
      </w:r>
      <w:r w:rsidR="00541D95" w:rsidRPr="00E46176">
        <w:t>sets</w:t>
      </w:r>
      <w:r w:rsidRPr="00E46176">
        <w:t xml:space="preserve"> in a series of online meetings</w:t>
      </w:r>
      <w:r w:rsidR="00097376" w:rsidRPr="00E46176">
        <w:t>.</w:t>
      </w:r>
      <w:r w:rsidRPr="00E46176">
        <w:t xml:space="preserve"> I</w:t>
      </w:r>
      <w:r w:rsidR="00C04045" w:rsidRPr="00E46176">
        <w:t xml:space="preserve">n discussion, it was </w:t>
      </w:r>
      <w:r w:rsidRPr="00E46176">
        <w:t xml:space="preserve">clear that themes around the impact of assessment on student and staff mental health formed </w:t>
      </w:r>
      <w:r w:rsidR="00A41183" w:rsidRPr="00E46176">
        <w:t xml:space="preserve">a significant </w:t>
      </w:r>
      <w:r w:rsidR="00DD381F" w:rsidRPr="00E46176">
        <w:t>component</w:t>
      </w:r>
      <w:r w:rsidR="00A41183" w:rsidRPr="00E46176">
        <w:t xml:space="preserve"> of both data</w:t>
      </w:r>
      <w:r w:rsidRPr="00E46176">
        <w:t xml:space="preserve">sets. </w:t>
      </w:r>
      <w:r w:rsidR="00970DC5" w:rsidRPr="00E46176">
        <w:t>In particular,</w:t>
      </w:r>
      <w:r w:rsidRPr="00E46176">
        <w:t xml:space="preserve"> </w:t>
      </w:r>
      <w:r w:rsidR="00C04045" w:rsidRPr="00E46176">
        <w:t xml:space="preserve">five </w:t>
      </w:r>
      <w:r w:rsidRPr="00E46176">
        <w:t>key tensions were identified which need to be considered when designing and implementing assessment strategies within higher education settings</w:t>
      </w:r>
      <w:r w:rsidR="00970DC5" w:rsidRPr="00E46176">
        <w:t>.</w:t>
      </w:r>
    </w:p>
    <w:p w14:paraId="0000003C" w14:textId="714FE078" w:rsidR="00F2278E" w:rsidRPr="00E46176" w:rsidRDefault="003F7F97" w:rsidP="00A56D5D">
      <w:pPr>
        <w:pStyle w:val="Heading2"/>
        <w:rPr>
          <w:b w:val="0"/>
        </w:rPr>
      </w:pPr>
      <w:bookmarkStart w:id="10" w:name="_mz5w4lnduxia" w:colFirst="0" w:colLast="0"/>
      <w:bookmarkEnd w:id="10"/>
      <w:r w:rsidRPr="00E46176">
        <w:t>Findings</w:t>
      </w:r>
    </w:p>
    <w:p w14:paraId="20635847" w14:textId="39D5C902" w:rsidR="00BB3DD9" w:rsidRPr="00E46176" w:rsidRDefault="000A7574">
      <w:r w:rsidRPr="00E46176">
        <w:t>Five</w:t>
      </w:r>
      <w:r w:rsidR="00BB3DD9" w:rsidRPr="00E46176">
        <w:t xml:space="preserve"> </w:t>
      </w:r>
      <w:r w:rsidR="002B7A33" w:rsidRPr="00E46176">
        <w:t>tensions</w:t>
      </w:r>
      <w:r w:rsidR="00E02D8E" w:rsidRPr="00E46176">
        <w:t xml:space="preserve"> were</w:t>
      </w:r>
      <w:r w:rsidR="002B7A33" w:rsidRPr="00E46176">
        <w:t xml:space="preserve"> identified within the data</w:t>
      </w:r>
      <w:r w:rsidR="00DD381F" w:rsidRPr="00E46176">
        <w:t>,</w:t>
      </w:r>
      <w:r w:rsidR="00E02D8E" w:rsidRPr="00E46176">
        <w:t xml:space="preserve"> namely</w:t>
      </w:r>
      <w:r w:rsidR="002B7A33" w:rsidRPr="00E46176">
        <w:t xml:space="preserve">: </w:t>
      </w:r>
      <w:r w:rsidR="000C2F5E" w:rsidRPr="00E46176">
        <w:t>c</w:t>
      </w:r>
      <w:r w:rsidR="002B7A33" w:rsidRPr="00E46176">
        <w:t xml:space="preserve">hallenge versus threat in assessment; </w:t>
      </w:r>
      <w:r w:rsidR="000C2F5E" w:rsidRPr="00E46176">
        <w:t>t</w:t>
      </w:r>
      <w:r w:rsidR="002B7A33" w:rsidRPr="00E46176">
        <w:t xml:space="preserve">raditional versus </w:t>
      </w:r>
      <w:r w:rsidR="00A6482D" w:rsidRPr="00E46176">
        <w:t>novel</w:t>
      </w:r>
      <w:r w:rsidR="002B7A33" w:rsidRPr="00E46176">
        <w:t xml:space="preserve"> assessment; </w:t>
      </w:r>
      <w:r w:rsidR="000C2F5E" w:rsidRPr="00E46176">
        <w:t>c</w:t>
      </w:r>
      <w:r w:rsidR="002B7A33" w:rsidRPr="00E46176">
        <w:t xml:space="preserve">ollaborative versus individual assessment; </w:t>
      </w:r>
      <w:r w:rsidR="000C2F5E" w:rsidRPr="00E46176">
        <w:t>i</w:t>
      </w:r>
      <w:r w:rsidR="002B7A33" w:rsidRPr="00E46176">
        <w:t>deal vers</w:t>
      </w:r>
      <w:r w:rsidR="00F95059" w:rsidRPr="00E46176">
        <w:t>u</w:t>
      </w:r>
      <w:r w:rsidR="002B7A33" w:rsidRPr="00E46176">
        <w:t>s practical assessment;</w:t>
      </w:r>
      <w:r w:rsidR="00276000" w:rsidRPr="00E46176">
        <w:t xml:space="preserve"> </w:t>
      </w:r>
      <w:r w:rsidR="000C2F5E" w:rsidRPr="00E46176">
        <w:t>g</w:t>
      </w:r>
      <w:r w:rsidR="002B7A33" w:rsidRPr="00E46176">
        <w:t xml:space="preserve">iving feedback versus receiving </w:t>
      </w:r>
      <w:r w:rsidR="00A6482D" w:rsidRPr="00E46176">
        <w:t>criticism</w:t>
      </w:r>
      <w:r w:rsidR="007978BF" w:rsidRPr="00E46176">
        <w:t>. Alongside this, there was a strong</w:t>
      </w:r>
      <w:r w:rsidRPr="00E46176">
        <w:t xml:space="preserve"> acknowledgement that many assessment practices had an impact on </w:t>
      </w:r>
      <w:r w:rsidR="000C2F5E" w:rsidRPr="00E46176">
        <w:t>s</w:t>
      </w:r>
      <w:r w:rsidR="002B7A33" w:rsidRPr="00E46176">
        <w:t>taff wel</w:t>
      </w:r>
      <w:r w:rsidR="005C4A5A" w:rsidRPr="00E46176">
        <w:t xml:space="preserve">lbeing </w:t>
      </w:r>
      <w:r w:rsidRPr="00E46176">
        <w:t>as well as</w:t>
      </w:r>
      <w:r w:rsidR="005C4A5A" w:rsidRPr="00E46176">
        <w:t xml:space="preserve"> student wellbeing</w:t>
      </w:r>
      <w:r w:rsidRPr="00E46176">
        <w:t>, which ran throughout the identified tensions</w:t>
      </w:r>
      <w:r w:rsidR="00C37956" w:rsidRPr="00E46176">
        <w:t>.</w:t>
      </w:r>
      <w:r w:rsidR="000C50EF" w:rsidRPr="00E46176">
        <w:t xml:space="preserve"> </w:t>
      </w:r>
    </w:p>
    <w:p w14:paraId="0000003D" w14:textId="4B90EA3E" w:rsidR="00F2278E" w:rsidRPr="00E46176" w:rsidRDefault="003F7F97">
      <w:pPr>
        <w:pStyle w:val="Heading3"/>
      </w:pPr>
      <w:bookmarkStart w:id="11" w:name="_kzy1mo4l51tm" w:colFirst="0" w:colLast="0"/>
      <w:bookmarkEnd w:id="11"/>
      <w:r w:rsidRPr="00E46176">
        <w:t xml:space="preserve">Challenge versus threat in assessment </w:t>
      </w:r>
    </w:p>
    <w:p w14:paraId="0000003E" w14:textId="1B90CC24" w:rsidR="00F2278E" w:rsidRPr="00E46176" w:rsidRDefault="003F7F97">
      <w:r w:rsidRPr="00E46176">
        <w:t xml:space="preserve">For educators to appropriately assess learning outcomes and award qualifications, </w:t>
      </w:r>
      <w:r w:rsidR="00B56401" w:rsidRPr="00E46176">
        <w:t xml:space="preserve">assessment </w:t>
      </w:r>
      <w:r w:rsidR="00DD381F" w:rsidRPr="00E46176">
        <w:t>strateg</w:t>
      </w:r>
      <w:r w:rsidR="00F75C94" w:rsidRPr="00E46176">
        <w:t xml:space="preserve">ies </w:t>
      </w:r>
      <w:r w:rsidRPr="00E46176">
        <w:t xml:space="preserve">need to </w:t>
      </w:r>
      <w:r w:rsidR="00B56401" w:rsidRPr="00E46176">
        <w:t xml:space="preserve">contain </w:t>
      </w:r>
      <w:r w:rsidRPr="00E46176">
        <w:t xml:space="preserve">an element of </w:t>
      </w:r>
      <w:r w:rsidR="00DD381F" w:rsidRPr="00E46176">
        <w:t xml:space="preserve">challenge, </w:t>
      </w:r>
      <w:r w:rsidRPr="00E46176">
        <w:t>learning</w:t>
      </w:r>
      <w:r w:rsidR="00F95059" w:rsidRPr="00E46176">
        <w:t>,</w:t>
      </w:r>
      <w:r w:rsidR="00DD381F" w:rsidRPr="00E46176">
        <w:t xml:space="preserve"> and </w:t>
      </w:r>
      <w:r w:rsidRPr="00E46176">
        <w:t>growth</w:t>
      </w:r>
      <w:r w:rsidR="00970DC5" w:rsidRPr="00E46176">
        <w:t xml:space="preserve"> (Q</w:t>
      </w:r>
      <w:r w:rsidR="00E13A43">
        <w:t>uality Assurance Alliance (Q</w:t>
      </w:r>
      <w:r w:rsidR="00970DC5" w:rsidRPr="00E46176">
        <w:t>AA</w:t>
      </w:r>
      <w:r w:rsidR="00E13A43">
        <w:t>)</w:t>
      </w:r>
      <w:r w:rsidR="00970DC5" w:rsidRPr="00E46176">
        <w:t>, 2018)</w:t>
      </w:r>
      <w:r w:rsidRPr="00E46176">
        <w:t xml:space="preserve">. </w:t>
      </w:r>
      <w:r w:rsidR="00117967" w:rsidRPr="00E46176">
        <w:t>Inherently,</w:t>
      </w:r>
      <w:r w:rsidR="00F95059" w:rsidRPr="00E46176">
        <w:t xml:space="preserve"> </w:t>
      </w:r>
      <w:r w:rsidR="00680B19" w:rsidRPr="00E46176">
        <w:t>challenge</w:t>
      </w:r>
      <w:r w:rsidR="00117967" w:rsidRPr="00E46176">
        <w:t xml:space="preserve"> contains the </w:t>
      </w:r>
      <w:r w:rsidRPr="00E46176">
        <w:t xml:space="preserve">potential for </w:t>
      </w:r>
      <w:r w:rsidR="00081CE9" w:rsidRPr="00E46176">
        <w:t>failure</w:t>
      </w:r>
      <w:r w:rsidR="00117967" w:rsidRPr="00E46176">
        <w:t xml:space="preserve">; this </w:t>
      </w:r>
      <w:r w:rsidR="0043341F" w:rsidRPr="00E46176">
        <w:t xml:space="preserve">underpins </w:t>
      </w:r>
      <w:r w:rsidR="006776DB" w:rsidRPr="00E46176">
        <w:t xml:space="preserve">both </w:t>
      </w:r>
      <w:r w:rsidRPr="00E46176">
        <w:t xml:space="preserve">the </w:t>
      </w:r>
      <w:r w:rsidR="006776DB" w:rsidRPr="00E46176">
        <w:t xml:space="preserve">intrinsic and extrinsic </w:t>
      </w:r>
      <w:r w:rsidRPr="00E46176">
        <w:t>value in</w:t>
      </w:r>
      <w:r w:rsidR="00DD381F" w:rsidRPr="00E46176">
        <w:t xml:space="preserve"> attaining</w:t>
      </w:r>
      <w:r w:rsidRPr="00E46176">
        <w:t xml:space="preserve"> a qualification</w:t>
      </w:r>
      <w:r w:rsidR="0043341F" w:rsidRPr="00E46176">
        <w:t xml:space="preserve">. </w:t>
      </w:r>
      <w:r w:rsidR="000932E2" w:rsidRPr="00E46176">
        <w:t xml:space="preserve"> </w:t>
      </w:r>
      <w:r w:rsidRPr="00E46176">
        <w:t xml:space="preserve">However our data showed that this potential for failure was often perceived as a threat to self-concept or self-worth that had an impact on mental health outcomes. For some students, university assessment was </w:t>
      </w:r>
      <w:r w:rsidR="00F75C94" w:rsidRPr="00E46176">
        <w:t xml:space="preserve">a </w:t>
      </w:r>
      <w:r w:rsidRPr="00E46176">
        <w:rPr>
          <w:iCs/>
        </w:rPr>
        <w:t xml:space="preserve">‘first point of failure’ </w:t>
      </w:r>
      <w:r w:rsidRPr="00E46176">
        <w:t>(</w:t>
      </w:r>
      <w:r w:rsidR="0018381F" w:rsidRPr="00E46176">
        <w:t>S</w:t>
      </w:r>
      <w:r w:rsidRPr="00E46176">
        <w:t>taff</w:t>
      </w:r>
      <w:r w:rsidR="00DD7347" w:rsidRPr="00E46176">
        <w:t>/</w:t>
      </w:r>
      <w:r w:rsidRPr="00E46176">
        <w:t>Strathclyde), following a successful educational career before university</w:t>
      </w:r>
      <w:r w:rsidR="00D65173" w:rsidRPr="00E46176">
        <w:t>:</w:t>
      </w:r>
      <w:r w:rsidRPr="00E46176">
        <w:t xml:space="preserve"> </w:t>
      </w:r>
    </w:p>
    <w:p w14:paraId="0000003F" w14:textId="3D4D0816" w:rsidR="00F2278E" w:rsidRPr="00E46176" w:rsidRDefault="003F7F97">
      <w:pPr>
        <w:pStyle w:val="Quote"/>
        <w:rPr>
          <w:i/>
          <w:iCs/>
        </w:rPr>
      </w:pPr>
      <w:r w:rsidRPr="00E46176">
        <w:t>They are so used to doing well in school and then they come in and they don’t get a good grade, but it’s all relative. What does that grade actually mean? It’s not a final exam, perhaps. It’s to let you know where you’re sitting and what you need to focus on, but it doesn’t mean that it doesn’t impact them and change</w:t>
      </w:r>
      <w:r w:rsidR="00FE28EC" w:rsidRPr="00E46176">
        <w:t xml:space="preserve"> how they feel about themselves</w:t>
      </w:r>
      <w:r w:rsidR="00DE6583" w:rsidRPr="00E46176">
        <w:t>. (S</w:t>
      </w:r>
      <w:r w:rsidR="00DD7347" w:rsidRPr="00E46176">
        <w:t>taff/</w:t>
      </w:r>
      <w:r w:rsidRPr="00E46176">
        <w:t>Strathclyde)</w:t>
      </w:r>
    </w:p>
    <w:p w14:paraId="00000040" w14:textId="4AA98E8B" w:rsidR="00F2278E" w:rsidRPr="00E46176" w:rsidRDefault="003F7F97" w:rsidP="007774AA">
      <w:r w:rsidRPr="00E46176">
        <w:t>Staff in focus group discussion</w:t>
      </w:r>
      <w:r w:rsidR="00D65173" w:rsidRPr="00E46176">
        <w:t>s</w:t>
      </w:r>
      <w:r w:rsidRPr="00E46176">
        <w:t xml:space="preserve"> were very clear that they understood the affective impact of this perceived failure on students, who sometimes took a lower-than-expected grade very personally. </w:t>
      </w:r>
    </w:p>
    <w:p w14:paraId="00000041" w14:textId="65CE5771" w:rsidR="00F2278E" w:rsidRPr="00E46176" w:rsidRDefault="003F7F97">
      <w:pPr>
        <w:pStyle w:val="Quote"/>
        <w:rPr>
          <w:i/>
          <w:iCs/>
        </w:rPr>
      </w:pPr>
      <w:r w:rsidRPr="00E46176">
        <w:t>They would get their grade and they’d say, “I am not good enough,” rather than, “This piece</w:t>
      </w:r>
      <w:r w:rsidR="00DE6583" w:rsidRPr="00E46176">
        <w:t xml:space="preserve"> of work wasn’t good enough.” (S</w:t>
      </w:r>
      <w:r w:rsidRPr="00E46176">
        <w:t>taff</w:t>
      </w:r>
      <w:r w:rsidR="00DD7347" w:rsidRPr="00E46176">
        <w:t>/Strathclyde</w:t>
      </w:r>
      <w:r w:rsidRPr="00E46176">
        <w:t>)</w:t>
      </w:r>
    </w:p>
    <w:p w14:paraId="00000042" w14:textId="4379DA18" w:rsidR="00F2278E" w:rsidRPr="00E46176" w:rsidRDefault="003F7F97" w:rsidP="007774AA">
      <w:pPr>
        <w:ind w:firstLine="720"/>
      </w:pPr>
      <w:r w:rsidRPr="00E46176">
        <w:t>Nevertheless, this recognition that not every assignment or exam</w:t>
      </w:r>
      <w:r w:rsidR="008213DD">
        <w:t>ination</w:t>
      </w:r>
      <w:r w:rsidRPr="00E46176">
        <w:t xml:space="preserve"> would be easy </w:t>
      </w:r>
      <w:r w:rsidR="00322561" w:rsidRPr="00E46176">
        <w:t>and</w:t>
      </w:r>
      <w:r w:rsidRPr="00E46176">
        <w:t xml:space="preserve"> that students would not always achieve a top grade was seen by higher education staff as part of the learning process itself.</w:t>
      </w:r>
    </w:p>
    <w:p w14:paraId="00000043" w14:textId="73FCBC43" w:rsidR="00F2278E" w:rsidRPr="00E46176" w:rsidRDefault="003F7F97">
      <w:pPr>
        <w:pStyle w:val="Quote"/>
        <w:rPr>
          <w:i/>
          <w:iCs/>
        </w:rPr>
      </w:pPr>
      <w:r w:rsidRPr="00E46176">
        <w:t xml:space="preserve">We need a little bit of stress sometimes, good stress…  </w:t>
      </w:r>
      <w:r w:rsidR="00FE28EC" w:rsidRPr="00E46176">
        <w:t>[s</w:t>
      </w:r>
      <w:r w:rsidRPr="00E46176">
        <w:t>tudents]</w:t>
      </w:r>
      <w:r w:rsidR="00E25F52" w:rsidRPr="00E46176">
        <w:rPr>
          <w:i/>
          <w:iCs/>
        </w:rPr>
        <w:t xml:space="preserve"> </w:t>
      </w:r>
      <w:r w:rsidRPr="00E46176">
        <w:t xml:space="preserve">need to know that, actually, it’s not what they think it is – “Now, what am I going to do, to build myself up to do the next thing?” Because life is not always 100%. I know that sounds awful, but I do think that we all have those knockbacks, don’t we? I think </w:t>
      </w:r>
      <w:r w:rsidR="00DE6583" w:rsidRPr="00E46176">
        <w:t>it’s what makes you stronger. (S</w:t>
      </w:r>
      <w:r w:rsidR="00DD7347" w:rsidRPr="00E46176">
        <w:t>taff/</w:t>
      </w:r>
      <w:r w:rsidRPr="00E46176">
        <w:t>Staffordshire)</w:t>
      </w:r>
    </w:p>
    <w:p w14:paraId="00000045" w14:textId="24F9D78C" w:rsidR="00F2278E" w:rsidRPr="00E46176" w:rsidRDefault="007774AA">
      <w:r w:rsidRPr="00E46176">
        <w:t>Such</w:t>
      </w:r>
      <w:r w:rsidR="003F7F97" w:rsidRPr="00E46176">
        <w:t xml:space="preserve"> recognition was balanced with an awareness that sometimes universities could work harder to help students to gain the skills needed to meet </w:t>
      </w:r>
      <w:r w:rsidR="00FE28EC" w:rsidRPr="00E46176">
        <w:t>assessment</w:t>
      </w:r>
      <w:r w:rsidR="003F7F97" w:rsidRPr="00E46176">
        <w:t xml:space="preserve"> challenges.</w:t>
      </w:r>
    </w:p>
    <w:p w14:paraId="1B51213A" w14:textId="4ED021AD" w:rsidR="00D65173" w:rsidRPr="00E46176" w:rsidRDefault="00C6173D" w:rsidP="007774AA">
      <w:pPr>
        <w:ind w:firstLine="720"/>
      </w:pPr>
      <w:r w:rsidRPr="00E46176">
        <w:t xml:space="preserve">Student panels also reflected the </w:t>
      </w:r>
      <w:r w:rsidR="003F7F97" w:rsidRPr="00E46176">
        <w:t>tension between assessment challenge and threat</w:t>
      </w:r>
      <w:r w:rsidRPr="00E46176">
        <w:t>. Panels accepted and acknowledged the</w:t>
      </w:r>
      <w:r w:rsidR="003F7F97" w:rsidRPr="00E46176">
        <w:t xml:space="preserve"> value of challenging formal assessment</w:t>
      </w:r>
      <w:r w:rsidR="00F75C94" w:rsidRPr="00E46176">
        <w:t xml:space="preserve">, </w:t>
      </w:r>
      <w:r w:rsidR="003F7F97" w:rsidRPr="00E46176">
        <w:t>advocating ‘the recognition of university as being a challenge, and normalising some of the stress that comes along with that’</w:t>
      </w:r>
      <w:r w:rsidR="00DD7347" w:rsidRPr="00E46176">
        <w:t xml:space="preserve"> (Student/</w:t>
      </w:r>
      <w:r w:rsidR="003F7F97" w:rsidRPr="00E46176">
        <w:t xml:space="preserve">Leeds) as a necessary part of </w:t>
      </w:r>
      <w:r w:rsidR="005C4630" w:rsidRPr="00E46176">
        <w:t xml:space="preserve">the </w:t>
      </w:r>
      <w:r w:rsidR="003F7F97" w:rsidRPr="00E46176">
        <w:t>learning</w:t>
      </w:r>
      <w:r w:rsidR="005C4630" w:rsidRPr="00E46176">
        <w:t xml:space="preserve"> process</w:t>
      </w:r>
      <w:r w:rsidRPr="00E46176">
        <w:t>. What was problematized, however, were</w:t>
      </w:r>
      <w:r w:rsidR="003F7F97" w:rsidRPr="00E46176">
        <w:t xml:space="preserve"> assessment practices that </w:t>
      </w:r>
      <w:r w:rsidR="005C4630" w:rsidRPr="00E46176">
        <w:t>threaten</w:t>
      </w:r>
      <w:r w:rsidRPr="00E46176">
        <w:t>ed</w:t>
      </w:r>
      <w:r w:rsidR="005C4630" w:rsidRPr="00E46176">
        <w:t xml:space="preserve"> </w:t>
      </w:r>
      <w:r w:rsidR="00F75C94" w:rsidRPr="00E46176">
        <w:t xml:space="preserve">student </w:t>
      </w:r>
      <w:r w:rsidR="005C4630" w:rsidRPr="00E46176">
        <w:t xml:space="preserve">wellbeing by </w:t>
      </w:r>
      <w:r w:rsidR="00A17A93" w:rsidRPr="00E46176">
        <w:t>creat</w:t>
      </w:r>
      <w:r w:rsidR="005C4630" w:rsidRPr="00E46176">
        <w:t>ing</w:t>
      </w:r>
      <w:r w:rsidR="00A17A93" w:rsidRPr="00E46176">
        <w:t xml:space="preserve"> </w:t>
      </w:r>
      <w:r w:rsidR="003F7F97" w:rsidRPr="00E46176">
        <w:t>stress and anxiety, perfectionism</w:t>
      </w:r>
      <w:r w:rsidR="008A1811" w:rsidRPr="00E46176">
        <w:t>,</w:t>
      </w:r>
      <w:r w:rsidR="003F7F97" w:rsidRPr="00E46176">
        <w:t xml:space="preserve"> and competition</w:t>
      </w:r>
      <w:r w:rsidR="00A17A93" w:rsidRPr="00E46176">
        <w:t xml:space="preserve"> without clear benefits</w:t>
      </w:r>
      <w:r w:rsidR="008A1811" w:rsidRPr="00E46176">
        <w:t xml:space="preserve"> to learning</w:t>
      </w:r>
      <w:r w:rsidR="003F7F97" w:rsidRPr="00E46176">
        <w:t xml:space="preserve">. </w:t>
      </w:r>
    </w:p>
    <w:p w14:paraId="6F686091" w14:textId="3C363858" w:rsidR="00E25F52" w:rsidRPr="00E46176" w:rsidRDefault="00D50C86" w:rsidP="007774AA">
      <w:pPr>
        <w:ind w:firstLine="720"/>
      </w:pPr>
      <w:r w:rsidRPr="00E46176">
        <w:t>Students felt that h</w:t>
      </w:r>
      <w:r w:rsidR="00C6173D" w:rsidRPr="00E46176">
        <w:t>igh-</w:t>
      </w:r>
      <w:r w:rsidR="003F7F97" w:rsidRPr="00E46176">
        <w:t>st</w:t>
      </w:r>
      <w:r w:rsidR="00C6173D" w:rsidRPr="00E46176">
        <w:t xml:space="preserve">akes assessment practices </w:t>
      </w:r>
      <w:r w:rsidR="003F7F97" w:rsidRPr="00E46176">
        <w:t>particularly threaten</w:t>
      </w:r>
      <w:r w:rsidRPr="00E46176">
        <w:t>ed</w:t>
      </w:r>
      <w:r w:rsidR="003F7F97" w:rsidRPr="00E46176">
        <w:t xml:space="preserve"> wellbeing by heightening consciousness and anxiety of failure. Students seemingly ‘know so many people that fail’</w:t>
      </w:r>
      <w:r w:rsidR="00DD7347" w:rsidRPr="00E46176">
        <w:t xml:space="preserve"> (Student/</w:t>
      </w:r>
      <w:r w:rsidR="003F7F97" w:rsidRPr="00E46176">
        <w:t>Ulster)</w:t>
      </w:r>
      <w:r w:rsidRPr="00E46176">
        <w:t xml:space="preserve">, with this expectation built into pedagogical practices: </w:t>
      </w:r>
      <w:r w:rsidR="003F7F97" w:rsidRPr="00E46176">
        <w:t>‘there’s always this assumption that you go to uni and some people will just fail’</w:t>
      </w:r>
      <w:r w:rsidR="00DD7347" w:rsidRPr="00E46176">
        <w:t xml:space="preserve"> (Student/Strathclyde</w:t>
      </w:r>
      <w:r w:rsidR="0018381F" w:rsidRPr="00E46176">
        <w:t xml:space="preserve">). </w:t>
      </w:r>
      <w:r w:rsidRPr="00E46176">
        <w:t>S</w:t>
      </w:r>
      <w:r w:rsidR="003F7F97" w:rsidRPr="00E46176">
        <w:t>tudents perceived that ‘failure in one exam’ or ‘a bad grade on one of your essays can really make a massive difference’ (Student</w:t>
      </w:r>
      <w:r w:rsidR="00DD7347" w:rsidRPr="00E46176">
        <w:t>/</w:t>
      </w:r>
      <w:r w:rsidR="003F7F97" w:rsidRPr="00E46176">
        <w:t>Strathclyde) to future course and career aspirations</w:t>
      </w:r>
      <w:r w:rsidR="00F75C94" w:rsidRPr="00E46176">
        <w:t xml:space="preserve">. For one student, </w:t>
      </w:r>
      <w:r w:rsidR="003F7F97" w:rsidRPr="00E46176">
        <w:t>‘doing badly in one exam [felt</w:t>
      </w:r>
      <w:r w:rsidR="007A60DB" w:rsidRPr="00E46176">
        <w:t xml:space="preserve"> like</w:t>
      </w:r>
      <w:r w:rsidR="003F7F97" w:rsidRPr="00E46176">
        <w:t>] … the end of the world … [it] was terrifying’</w:t>
      </w:r>
      <w:r w:rsidR="00DD7347" w:rsidRPr="00E46176">
        <w:t xml:space="preserve"> (Student/</w:t>
      </w:r>
      <w:r w:rsidR="003F7F97" w:rsidRPr="00E46176">
        <w:t>Strathclyde).</w:t>
      </w:r>
      <w:r w:rsidR="003F7F97" w:rsidRPr="00E46176">
        <w:rPr>
          <w:rFonts w:eastAsia="Times New Roman"/>
        </w:rPr>
        <w:t xml:space="preserve">  </w:t>
      </w:r>
      <w:r w:rsidR="00391138" w:rsidRPr="00E46176">
        <w:t>T</w:t>
      </w:r>
      <w:r w:rsidR="003F7F97" w:rsidRPr="00E46176">
        <w:t xml:space="preserve">he perceived financial, emotional and existential threat of assessment </w:t>
      </w:r>
      <w:r w:rsidR="008A1811" w:rsidRPr="00E46176">
        <w:t xml:space="preserve">failure </w:t>
      </w:r>
      <w:r w:rsidRPr="00E46176">
        <w:t xml:space="preserve">led to </w:t>
      </w:r>
      <w:r w:rsidR="003F7F97" w:rsidRPr="00E46176">
        <w:t>an unhealthy emphasis on exam</w:t>
      </w:r>
      <w:r w:rsidR="005A35FA">
        <w:t>ination</w:t>
      </w:r>
      <w:r w:rsidR="003F7F97" w:rsidRPr="00E46176">
        <w:t xml:space="preserve"> results as a marker of wider individual self-worth, identity and ‘your life in a piece of paper’</w:t>
      </w:r>
      <w:r w:rsidR="00DD7347" w:rsidRPr="00E46176">
        <w:t xml:space="preserve"> (Student/</w:t>
      </w:r>
      <w:r w:rsidR="003F7F97" w:rsidRPr="00E46176">
        <w:t xml:space="preserve">Leeds). </w:t>
      </w:r>
      <w:r w:rsidRPr="00E46176">
        <w:t>P</w:t>
      </w:r>
      <w:r w:rsidR="003F7F97" w:rsidRPr="00E46176">
        <w:t>anels highlighted that this pressure can lead students to ‘just focus on exams’ (Student</w:t>
      </w:r>
      <w:r w:rsidR="00DD7347" w:rsidRPr="00E46176">
        <w:t>/</w:t>
      </w:r>
      <w:r w:rsidR="003F7F97" w:rsidRPr="00E46176">
        <w:t>Strathclyde) and disengag</w:t>
      </w:r>
      <w:r w:rsidRPr="00E46176">
        <w:t>e from protective wellbeing-</w:t>
      </w:r>
      <w:r w:rsidR="003F7F97" w:rsidRPr="00E46176">
        <w:t>enhanci</w:t>
      </w:r>
      <w:r w:rsidRPr="00E46176">
        <w:t xml:space="preserve">ng opportunities of university (e.g. </w:t>
      </w:r>
      <w:r w:rsidR="003F7F97" w:rsidRPr="00E46176">
        <w:t xml:space="preserve">social </w:t>
      </w:r>
      <w:r w:rsidR="008A1811" w:rsidRPr="00E46176">
        <w:t>connection</w:t>
      </w:r>
      <w:r w:rsidRPr="00E46176">
        <w:t xml:space="preserve">, </w:t>
      </w:r>
      <w:r w:rsidR="002067D5" w:rsidRPr="00E46176">
        <w:t>extracurricular activities</w:t>
      </w:r>
      <w:r w:rsidRPr="00E46176">
        <w:t>)</w:t>
      </w:r>
      <w:r w:rsidR="008A1811" w:rsidRPr="00E46176">
        <w:t>.</w:t>
      </w:r>
    </w:p>
    <w:p w14:paraId="2104B775" w14:textId="388B2A7B" w:rsidR="00BE385F" w:rsidRPr="00E46176" w:rsidRDefault="00D50C86" w:rsidP="007774AA">
      <w:pPr>
        <w:ind w:firstLine="720"/>
      </w:pPr>
      <w:r w:rsidRPr="00E46176">
        <w:t xml:space="preserve">Sometimes, </w:t>
      </w:r>
      <w:r w:rsidR="003F7F97" w:rsidRPr="00E46176">
        <w:t>‘students can set the target too high for themselves’ (Student</w:t>
      </w:r>
      <w:r w:rsidR="00DD7347" w:rsidRPr="00E46176">
        <w:t>/Strathclyde</w:t>
      </w:r>
      <w:r w:rsidR="003F7F97" w:rsidRPr="00E46176">
        <w:t>)</w:t>
      </w:r>
      <w:r w:rsidR="00CF4896" w:rsidRPr="00E46176">
        <w:t>; unrealistic expectations encouraged the</w:t>
      </w:r>
      <w:r w:rsidR="003F7F97" w:rsidRPr="00E46176">
        <w:t xml:space="preserve"> ‘idea you’ve got to get 98% all the time’, </w:t>
      </w:r>
      <w:r w:rsidR="00CF4896" w:rsidRPr="00E46176">
        <w:t xml:space="preserve">with students </w:t>
      </w:r>
      <w:r w:rsidR="003F7F97" w:rsidRPr="00E46176">
        <w:t xml:space="preserve">‘not allowing yourself to accept that you’re not always going to be the best’ </w:t>
      </w:r>
      <w:r w:rsidR="003A7969" w:rsidRPr="00E46176">
        <w:t>(</w:t>
      </w:r>
      <w:r w:rsidR="003F7F97" w:rsidRPr="00E46176">
        <w:t>Student</w:t>
      </w:r>
      <w:r w:rsidR="00DD7347" w:rsidRPr="00E46176">
        <w:t>/</w:t>
      </w:r>
      <w:r w:rsidR="003F7F97" w:rsidRPr="00E46176">
        <w:t xml:space="preserve">Ulster). </w:t>
      </w:r>
      <w:r w:rsidR="003F7F97" w:rsidRPr="00E46176">
        <w:rPr>
          <w:rFonts w:eastAsia="Times New Roman"/>
        </w:rPr>
        <w:t xml:space="preserve"> </w:t>
      </w:r>
      <w:r w:rsidR="003F7F97" w:rsidRPr="00E46176">
        <w:t>This create</w:t>
      </w:r>
      <w:r w:rsidR="00CF4896" w:rsidRPr="00E46176">
        <w:t>d</w:t>
      </w:r>
      <w:r w:rsidR="003F7F97" w:rsidRPr="00E46176">
        <w:t xml:space="preserve"> a ‘dangerous culture’ </w:t>
      </w:r>
      <w:r w:rsidR="00CF4896" w:rsidRPr="00E46176">
        <w:t>lowering</w:t>
      </w:r>
      <w:r w:rsidR="003F7F97" w:rsidRPr="00E46176">
        <w:t xml:space="preserve"> the threshold for perceived failure, </w:t>
      </w:r>
      <w:r w:rsidR="008A1811" w:rsidRPr="00E46176">
        <w:t xml:space="preserve">where </w:t>
      </w:r>
      <w:r w:rsidR="003F7F97" w:rsidRPr="00E46176">
        <w:t>students</w:t>
      </w:r>
      <w:r w:rsidR="004303AA" w:rsidRPr="00E46176">
        <w:t xml:space="preserve"> </w:t>
      </w:r>
      <w:r w:rsidR="00F75C94" w:rsidRPr="00E46176">
        <w:t>feel</w:t>
      </w:r>
      <w:r w:rsidR="003F7F97" w:rsidRPr="00E46176">
        <w:t xml:space="preserve"> </w:t>
      </w:r>
      <w:r w:rsidR="00CF4896" w:rsidRPr="00E46176">
        <w:t xml:space="preserve">distressed </w:t>
      </w:r>
      <w:r w:rsidR="003F7F97" w:rsidRPr="00E46176">
        <w:t xml:space="preserve">‘by anything less than full marks’ even if it is </w:t>
      </w:r>
      <w:r w:rsidR="00F75C94" w:rsidRPr="00E46176">
        <w:t xml:space="preserve">still </w:t>
      </w:r>
      <w:r w:rsidR="003F7F97" w:rsidRPr="00E46176">
        <w:t>a first</w:t>
      </w:r>
      <w:r w:rsidR="004303AA" w:rsidRPr="00E46176">
        <w:t>-class</w:t>
      </w:r>
      <w:r w:rsidR="003F7F97" w:rsidRPr="00E46176">
        <w:t xml:space="preserve"> </w:t>
      </w:r>
      <w:r w:rsidR="005C4630" w:rsidRPr="00E46176">
        <w:t xml:space="preserve">grade </w:t>
      </w:r>
      <w:r w:rsidR="003F7F97" w:rsidRPr="00E46176">
        <w:t>and/or a fo</w:t>
      </w:r>
      <w:r w:rsidR="00DD7347" w:rsidRPr="00E46176">
        <w:t>rmative assessment (Student/</w:t>
      </w:r>
      <w:r w:rsidR="003F7F97" w:rsidRPr="00E46176">
        <w:t xml:space="preserve">Strathclyde). </w:t>
      </w:r>
      <w:r w:rsidR="0085057C" w:rsidRPr="00E46176">
        <w:t xml:space="preserve">In this </w:t>
      </w:r>
      <w:r w:rsidR="002067D5" w:rsidRPr="00E46176">
        <w:t xml:space="preserve">outcome-orientated </w:t>
      </w:r>
      <w:r w:rsidR="009F0D6A" w:rsidRPr="00E46176">
        <w:t>culture</w:t>
      </w:r>
      <w:r w:rsidR="0085057C" w:rsidRPr="00E46176">
        <w:t xml:space="preserve">, </w:t>
      </w:r>
      <w:r w:rsidR="002067D5" w:rsidRPr="00E46176">
        <w:t>p</w:t>
      </w:r>
      <w:r w:rsidR="003F7F97" w:rsidRPr="00E46176">
        <w:t>ersonal educational efforts, achievements, and future aspirations</w:t>
      </w:r>
      <w:r w:rsidR="002067D5" w:rsidRPr="00E46176">
        <w:t xml:space="preserve"> can</w:t>
      </w:r>
      <w:r w:rsidR="00E23E1F" w:rsidRPr="00E46176">
        <w:t xml:space="preserve"> </w:t>
      </w:r>
      <w:r w:rsidR="004303AA" w:rsidRPr="00E46176">
        <w:t xml:space="preserve">become </w:t>
      </w:r>
      <w:r w:rsidR="003F7F97" w:rsidRPr="00E46176">
        <w:t>valued relative to the assessment results of others, exacerbating perceptions of failure and ‘inferiority feelings’ that threaten student wellbeing (</w:t>
      </w:r>
      <w:r w:rsidR="00DD7347" w:rsidRPr="00E46176">
        <w:t>Student/</w:t>
      </w:r>
      <w:r w:rsidR="003A7969" w:rsidRPr="00E46176">
        <w:t>Strathclyde</w:t>
      </w:r>
      <w:r w:rsidR="003F7F97" w:rsidRPr="00E46176">
        <w:t>). The unnecessary threat of competition in criterion-referenced assessment was perceived to be exacerbated by numeric result gradations over binary ‘pass or fail’.</w:t>
      </w:r>
    </w:p>
    <w:p w14:paraId="0000004E" w14:textId="12E1B2ED" w:rsidR="00F2278E" w:rsidRPr="00E46176" w:rsidRDefault="003F7F97">
      <w:pPr>
        <w:pStyle w:val="Heading3"/>
      </w:pPr>
      <w:bookmarkStart w:id="12" w:name="_18250862sipg" w:colFirst="0" w:colLast="0"/>
      <w:bookmarkEnd w:id="12"/>
      <w:r w:rsidRPr="00E46176">
        <w:t xml:space="preserve">Traditional versus </w:t>
      </w:r>
      <w:r w:rsidR="008845FF" w:rsidRPr="00E46176">
        <w:t>novel</w:t>
      </w:r>
      <w:r w:rsidRPr="00E46176">
        <w:t xml:space="preserve"> assessment</w:t>
      </w:r>
    </w:p>
    <w:p w14:paraId="0000004F" w14:textId="5F56E879" w:rsidR="00F2278E" w:rsidRPr="00E46176" w:rsidRDefault="003F7F97">
      <w:r w:rsidRPr="00E46176">
        <w:t xml:space="preserve">Staff recognised that all types of </w:t>
      </w:r>
      <w:r w:rsidR="00DE7F0D" w:rsidRPr="00E46176">
        <w:t xml:space="preserve">university </w:t>
      </w:r>
      <w:r w:rsidRPr="00E46176">
        <w:t>assessment had the potential to generate a certain amount of stress</w:t>
      </w:r>
      <w:r w:rsidR="00DE7F0D" w:rsidRPr="00E46176">
        <w:t>,</w:t>
      </w:r>
      <w:r w:rsidR="009F0D6A" w:rsidRPr="00E46176">
        <w:t xml:space="preserve"> given the necessity of educational challenge</w:t>
      </w:r>
      <w:r w:rsidRPr="00E46176">
        <w:t xml:space="preserve">. From the perspective of academics, it was important to ensure that the assessment was aligned to the intended learning outcomes, and deliverable for the student cohort. </w:t>
      </w:r>
      <w:r w:rsidR="00DE7F0D" w:rsidRPr="00E46176">
        <w:t>E</w:t>
      </w:r>
      <w:r w:rsidRPr="00E46176">
        <w:t xml:space="preserve">xaminations were commonly used to assess students, </w:t>
      </w:r>
      <w:r w:rsidR="002067D5" w:rsidRPr="00E46176">
        <w:t>despite the</w:t>
      </w:r>
      <w:r w:rsidRPr="00E46176">
        <w:t xml:space="preserve"> recognition that </w:t>
      </w:r>
      <w:r w:rsidR="00E23E1F" w:rsidRPr="00E46176">
        <w:t>they</w:t>
      </w:r>
      <w:r w:rsidRPr="00E46176">
        <w:t xml:space="preserve"> were a source of anxiety and stress. The shortcomings of these traditional forms of assessment were acknowledged; examinations were seen as a wholly artificial situation that could cause students unnecessary stress</w:t>
      </w:r>
      <w:r w:rsidR="00E23E1F" w:rsidRPr="00E46176">
        <w:t>:</w:t>
      </w:r>
    </w:p>
    <w:p w14:paraId="00000050" w14:textId="623445AD" w:rsidR="00F2278E" w:rsidRPr="00E46176" w:rsidRDefault="00004CF6">
      <w:pPr>
        <w:pStyle w:val="Quote"/>
        <w:rPr>
          <w:i/>
          <w:iCs/>
        </w:rPr>
      </w:pPr>
      <w:r w:rsidRPr="00E46176">
        <w:t>…</w:t>
      </w:r>
      <w:r w:rsidR="003F7F97" w:rsidRPr="00E46176">
        <w:t xml:space="preserve"> it’s unlikely to be a situation that they're going to encounter once they leave university. When was the last time any of us in this room sat down and wrote something for three hours in a room that was absolutely silent with somebody pacing up and down checking that we didn't accidentally look in the dire</w:t>
      </w:r>
      <w:r w:rsidR="00670230" w:rsidRPr="00E46176">
        <w:t>ction of someone else’s desk? (S</w:t>
      </w:r>
      <w:r w:rsidR="003F7F97" w:rsidRPr="00E46176">
        <w:t>taff</w:t>
      </w:r>
      <w:r w:rsidR="00DD7347" w:rsidRPr="00E46176">
        <w:t>/</w:t>
      </w:r>
      <w:r w:rsidR="003F7F97" w:rsidRPr="00E46176">
        <w:t>Cardiff)</w:t>
      </w:r>
    </w:p>
    <w:p w14:paraId="72583442" w14:textId="7D950402" w:rsidR="00E23E1F" w:rsidRPr="00E46176" w:rsidRDefault="003F7F97">
      <w:r w:rsidRPr="00E46176">
        <w:t>However, there was also an acknowledgement that</w:t>
      </w:r>
      <w:r w:rsidR="00E23E1F" w:rsidRPr="00E46176">
        <w:t>,</w:t>
      </w:r>
      <w:r w:rsidRPr="00E46176">
        <w:t xml:space="preserve"> although exam</w:t>
      </w:r>
      <w:r w:rsidR="00E23E1F" w:rsidRPr="00E46176">
        <w:t>ination</w:t>
      </w:r>
      <w:r w:rsidRPr="00E46176">
        <w:t>s were potentially stressful, they were also familiar and expected. Students knew how to prepare for them and what was required of them</w:t>
      </w:r>
      <w:r w:rsidR="00351240" w:rsidRPr="00E46176">
        <w:t xml:space="preserve">, </w:t>
      </w:r>
      <w:r w:rsidR="004303AA" w:rsidRPr="00E46176">
        <w:t xml:space="preserve">meaning </w:t>
      </w:r>
      <w:r w:rsidRPr="00E46176">
        <w:t xml:space="preserve">that examinations were potentially </w:t>
      </w:r>
      <w:r w:rsidR="004303AA" w:rsidRPr="00E46176">
        <w:t xml:space="preserve">preferred </w:t>
      </w:r>
      <w:r w:rsidRPr="00E46176">
        <w:t>in comparison with other</w:t>
      </w:r>
      <w:r w:rsidR="00930DD7" w:rsidRPr="00E46176">
        <w:t xml:space="preserve"> less traditional</w:t>
      </w:r>
      <w:r w:rsidRPr="00E46176">
        <w:t xml:space="preserve"> forms of assessment. </w:t>
      </w:r>
    </w:p>
    <w:p w14:paraId="00000052" w14:textId="3CD9C089" w:rsidR="00F2278E" w:rsidRPr="00E46176" w:rsidRDefault="003F7F97">
      <w:pPr>
        <w:pStyle w:val="Quote"/>
        <w:rPr>
          <w:i/>
          <w:iCs/>
        </w:rPr>
      </w:pPr>
      <w:r w:rsidRPr="00E46176">
        <w:t>I have a module I teach which is no-exam just because of the nature of the module. I get lots of complaints from students saying ‘couldn’t we have an exam instead?’ […] It’s unfamiliarity. They're used to exams, even though they might not like them. […] So when I ask them, “Could you do a podcast?” it’s new, it’s unfamiliar to them. Th</w:t>
      </w:r>
      <w:r w:rsidR="00670230" w:rsidRPr="00E46176">
        <w:t>ey panic, they don’t like it. (S</w:t>
      </w:r>
      <w:r w:rsidR="00DD7347" w:rsidRPr="00E46176">
        <w:t>taff/</w:t>
      </w:r>
      <w:r w:rsidRPr="00E46176">
        <w:t>Cardiff)</w:t>
      </w:r>
    </w:p>
    <w:p w14:paraId="00000054" w14:textId="741CEDB5" w:rsidR="00F2278E" w:rsidRPr="00E46176" w:rsidRDefault="003F7F97" w:rsidP="007774AA">
      <w:pPr>
        <w:ind w:firstLine="720"/>
      </w:pPr>
      <w:r w:rsidRPr="00E46176">
        <w:t xml:space="preserve">Presentation-based assessment and group work-based assessment were also acknowledged as sources of anxiety, but </w:t>
      </w:r>
      <w:r w:rsidR="00322561" w:rsidRPr="00E46176">
        <w:t xml:space="preserve">ones </w:t>
      </w:r>
      <w:r w:rsidR="002067D5" w:rsidRPr="00E46176">
        <w:t>which</w:t>
      </w:r>
      <w:r w:rsidRPr="00E46176">
        <w:t xml:space="preserve"> staff felt it was important to encourage students to engage with regardless. For some staff, this question of whether an assessment may be bad for student mental health and wellbeing in the short-term, but beneficial in the longer-term, related to their experiences in the workplace</w:t>
      </w:r>
      <w:r w:rsidR="00E23E1F" w:rsidRPr="00E46176">
        <w:t>:</w:t>
      </w:r>
    </w:p>
    <w:p w14:paraId="00000055" w14:textId="70F678F5" w:rsidR="00F2278E" w:rsidRPr="00E46176" w:rsidRDefault="003F7F97">
      <w:pPr>
        <w:pStyle w:val="Quote"/>
        <w:rPr>
          <w:i/>
          <w:iCs/>
        </w:rPr>
      </w:pPr>
      <w:r w:rsidRPr="00E46176">
        <w:t>I didn't have to do a single presentation throughout my whole degree, somehow. I don't know why. Then, in my first job, I had to present to stakeholders. I was a wreck. So, as much as it is scary, that is what I would have benefited from. (</w:t>
      </w:r>
      <w:r w:rsidR="00670230" w:rsidRPr="00E46176">
        <w:t>S</w:t>
      </w:r>
      <w:r w:rsidR="00DD7347" w:rsidRPr="00E46176">
        <w:t>taff/</w:t>
      </w:r>
      <w:r w:rsidRPr="00E46176">
        <w:t>Leeds 2)</w:t>
      </w:r>
    </w:p>
    <w:p w14:paraId="00000056" w14:textId="0E45785A" w:rsidR="00F2278E" w:rsidRPr="00E46176" w:rsidRDefault="003F7F97" w:rsidP="007774AA">
      <w:pPr>
        <w:ind w:firstLine="720"/>
      </w:pPr>
      <w:r w:rsidRPr="00E46176">
        <w:t>Several focus groups discussed the purpose of the university experience in relation to the employability agenda. Assessment was not just seen as a test of knowledge, but as part of a process of moving from the ‘rote-learning’ model of school assessment to the independence of adult life</w:t>
      </w:r>
      <w:r w:rsidR="00E23E1F" w:rsidRPr="00E46176">
        <w:t>:</w:t>
      </w:r>
    </w:p>
    <w:p w14:paraId="73AD6A78" w14:textId="4C60D500" w:rsidR="00BE2D0F" w:rsidRPr="00E46176" w:rsidRDefault="003F7F97">
      <w:pPr>
        <w:pStyle w:val="Quote"/>
      </w:pPr>
      <w:r w:rsidRPr="00E46176">
        <w:t>It’s the whole experience, it’s not just the learning, it’s the whole experience of growing as a person and coming out at the end, to be employable. (</w:t>
      </w:r>
      <w:r w:rsidR="00670230" w:rsidRPr="00E46176">
        <w:t>S</w:t>
      </w:r>
      <w:r w:rsidR="00DD7347" w:rsidRPr="00E46176">
        <w:t>taff/</w:t>
      </w:r>
      <w:r w:rsidRPr="00E46176">
        <w:t>Staffordshire)</w:t>
      </w:r>
    </w:p>
    <w:p w14:paraId="39D83F7C" w14:textId="42D82980" w:rsidR="00322561" w:rsidRPr="00E46176" w:rsidRDefault="00322561" w:rsidP="00322561">
      <w:r w:rsidRPr="00E46176">
        <w:t xml:space="preserve">Providing students with more choice over assessment may increase ownership and a sense of individuality, but staff noted that consideration was needed to allow individuals to become independent learners while ensuring that they were supported sufficiently. To encourage students to become more independent, they needed to be given the space to develop their own strategies for completing assessments. While some students could find this independence gave greater control and ownership of their work, less confident students experience it as stressful. </w:t>
      </w:r>
    </w:p>
    <w:p w14:paraId="0000005C" w14:textId="2EF28E80" w:rsidR="00F2278E" w:rsidRPr="00E46176" w:rsidRDefault="003F7F97" w:rsidP="007774AA">
      <w:pPr>
        <w:ind w:firstLine="720"/>
      </w:pPr>
      <w:r w:rsidRPr="00E46176">
        <w:t>Student panel</w:t>
      </w:r>
      <w:r w:rsidR="00E23E1F" w:rsidRPr="00E46176">
        <w:t xml:space="preserve">s </w:t>
      </w:r>
      <w:r w:rsidR="009D7390" w:rsidRPr="00E46176">
        <w:t>perceived</w:t>
      </w:r>
      <w:r w:rsidRPr="00E46176">
        <w:t xml:space="preserve"> traditional assessment such as exam</w:t>
      </w:r>
      <w:r w:rsidR="005A35FA">
        <w:t>ination</w:t>
      </w:r>
      <w:r w:rsidRPr="00E46176">
        <w:t xml:space="preserve">s and essay assignments </w:t>
      </w:r>
      <w:r w:rsidR="00E23E1F" w:rsidRPr="00E46176">
        <w:t>to be</w:t>
      </w:r>
      <w:r w:rsidRPr="00E46176">
        <w:t xml:space="preserve"> largely inappropriate for individ</w:t>
      </w:r>
      <w:r w:rsidR="00B01021" w:rsidRPr="00E46176">
        <w:t>ual student needs</w:t>
      </w:r>
      <w:r w:rsidRPr="00E46176">
        <w:t xml:space="preserve">, </w:t>
      </w:r>
      <w:r w:rsidR="00B4681F" w:rsidRPr="00E46176">
        <w:t xml:space="preserve">consequently </w:t>
      </w:r>
      <w:r w:rsidRPr="00E46176">
        <w:t>increas</w:t>
      </w:r>
      <w:r w:rsidR="00E23E1F" w:rsidRPr="00E46176">
        <w:t>ing</w:t>
      </w:r>
      <w:r w:rsidRPr="00E46176">
        <w:t xml:space="preserve"> stress within a high</w:t>
      </w:r>
      <w:r w:rsidR="00E23E1F" w:rsidRPr="00E46176">
        <w:t>-</w:t>
      </w:r>
      <w:r w:rsidRPr="00E46176">
        <w:t>stakes assessment environment.</w:t>
      </w:r>
      <w:r w:rsidRPr="00E46176">
        <w:rPr>
          <w:rFonts w:eastAsia="Times New Roman"/>
        </w:rPr>
        <w:t xml:space="preserve">  </w:t>
      </w:r>
      <w:r w:rsidRPr="00E46176">
        <w:t>Traditional exam</w:t>
      </w:r>
      <w:r w:rsidR="005A35FA">
        <w:t>ination</w:t>
      </w:r>
      <w:r w:rsidRPr="00E46176">
        <w:t xml:space="preserve">s, </w:t>
      </w:r>
      <w:r w:rsidR="00890150" w:rsidRPr="00E46176">
        <w:t>especially</w:t>
      </w:r>
      <w:r w:rsidRPr="00E46176">
        <w:t xml:space="preserve"> multiple-choice question exam</w:t>
      </w:r>
      <w:r w:rsidR="005A35FA">
        <w:t>ination</w:t>
      </w:r>
      <w:r w:rsidRPr="00E46176">
        <w:t>s, were perceived to be pedagogically ineffective and inhibitive</w:t>
      </w:r>
      <w:r w:rsidR="009F0D6A" w:rsidRPr="00E46176">
        <w:t xml:space="preserve"> by</w:t>
      </w:r>
      <w:r w:rsidRPr="00E46176">
        <w:t xml:space="preserve"> </w:t>
      </w:r>
      <w:r w:rsidR="00B4681F" w:rsidRPr="00E46176">
        <w:t xml:space="preserve">providing </w:t>
      </w:r>
      <w:r w:rsidRPr="00E46176">
        <w:t xml:space="preserve">an inaccurate and unfair reflection of content understanding, and therefore unnecessarily stressful. </w:t>
      </w:r>
      <w:r w:rsidR="00351240" w:rsidRPr="00E46176">
        <w:t>T</w:t>
      </w:r>
      <w:r w:rsidRPr="00E46176">
        <w:t>he environment and timing of traditional assessment was perceived to be especially anxiety-inducing. Traditional</w:t>
      </w:r>
      <w:r w:rsidR="00351240" w:rsidRPr="00E46176">
        <w:t xml:space="preserve"> linear</w:t>
      </w:r>
      <w:r w:rsidRPr="00E46176">
        <w:t xml:space="preserve"> closed-book</w:t>
      </w:r>
      <w:r w:rsidR="000932E2" w:rsidRPr="00E46176">
        <w:t xml:space="preserve"> and</w:t>
      </w:r>
      <w:r w:rsidRPr="00E46176">
        <w:t xml:space="preserve"> time-restricted exam</w:t>
      </w:r>
      <w:r w:rsidR="005A35FA">
        <w:t>ination</w:t>
      </w:r>
      <w:r w:rsidRPr="00E46176">
        <w:t xml:space="preserve"> conditions</w:t>
      </w:r>
      <w:bookmarkStart w:id="13" w:name="_Hlk31887060"/>
      <w:bookmarkStart w:id="14" w:name="_Hlk31902274"/>
      <w:r w:rsidRPr="00E46176">
        <w:t xml:space="preserve"> ‘puts a lot of pressure on people’</w:t>
      </w:r>
      <w:bookmarkEnd w:id="13"/>
      <w:bookmarkEnd w:id="14"/>
      <w:r w:rsidR="000932E2" w:rsidRPr="00E46176">
        <w:t xml:space="preserve"> (</w:t>
      </w:r>
      <w:r w:rsidR="007A60DB" w:rsidRPr="00E46176">
        <w:t>S</w:t>
      </w:r>
      <w:r w:rsidR="000932E2" w:rsidRPr="00E46176">
        <w:t>tudent/Leeds)</w:t>
      </w:r>
      <w:r w:rsidRPr="00E46176">
        <w:t xml:space="preserve">. </w:t>
      </w:r>
      <w:r w:rsidR="00890150" w:rsidRPr="00E46176">
        <w:t xml:space="preserve">Bunching of assessment was also problematic; </w:t>
      </w:r>
      <w:r w:rsidRPr="00E46176">
        <w:t xml:space="preserve">having ‘so many assessment deadlines [mean] that you need to adopt a really strategic approach’, preventing ‘meaningful opportunities’ for </w:t>
      </w:r>
      <w:r w:rsidR="00DF4D5E" w:rsidRPr="00E46176">
        <w:t>educational engagement (Student/</w:t>
      </w:r>
      <w:r w:rsidRPr="00E46176">
        <w:t>Strathclyde).</w:t>
      </w:r>
    </w:p>
    <w:p w14:paraId="0000005D" w14:textId="2597A5B4" w:rsidR="00F2278E" w:rsidRPr="00E46176" w:rsidRDefault="003F7F97" w:rsidP="007774AA">
      <w:pPr>
        <w:ind w:firstLine="720"/>
      </w:pPr>
      <w:r w:rsidRPr="00E46176">
        <w:t xml:space="preserve">Student panels advocated greater </w:t>
      </w:r>
      <w:r w:rsidR="00890150" w:rsidRPr="00E46176">
        <w:t xml:space="preserve">variety </w:t>
      </w:r>
      <w:r w:rsidRPr="00E46176">
        <w:t>and flexibility around assessment types, to cater for individual pedagogical and mental health needs. Panels proposed that students should be able to ‘pick if they want exams’</w:t>
      </w:r>
      <w:r w:rsidR="00DF4D5E" w:rsidRPr="00E46176">
        <w:t xml:space="preserve"> (Student/</w:t>
      </w:r>
      <w:r w:rsidR="00890150" w:rsidRPr="00E46176">
        <w:t>Ulster) or</w:t>
      </w:r>
      <w:r w:rsidRPr="00E46176">
        <w:t xml:space="preserve"> ‘choose your own style of assessment’ </w:t>
      </w:r>
      <w:r w:rsidR="00DF4D5E" w:rsidRPr="00E46176">
        <w:t>(Student/</w:t>
      </w:r>
      <w:r w:rsidRPr="00E46176">
        <w:t>UAL) ‘because people do learn differently’</w:t>
      </w:r>
      <w:r w:rsidR="00DF4D5E" w:rsidRPr="00E46176">
        <w:t xml:space="preserve"> (Student/</w:t>
      </w:r>
      <w:r w:rsidRPr="00E46176">
        <w:t>Ulster). Th</w:t>
      </w:r>
      <w:r w:rsidR="00890150" w:rsidRPr="00E46176">
        <w:t xml:space="preserve">ey advocated </w:t>
      </w:r>
      <w:r w:rsidRPr="00E46176">
        <w:t>‘more meaningful opportunities to design your own assessment, or choose your own topics or be assessed in a way appropriate to you’ (Student</w:t>
      </w:r>
      <w:r w:rsidR="00DF4D5E" w:rsidRPr="00E46176">
        <w:t>/</w:t>
      </w:r>
      <w:r w:rsidRPr="00E46176">
        <w:t>Strathclyde).</w:t>
      </w:r>
      <w:r w:rsidR="009B5FAE" w:rsidRPr="00E46176">
        <w:t xml:space="preserve"> </w:t>
      </w:r>
    </w:p>
    <w:p w14:paraId="62F04AEA" w14:textId="48C72E5B" w:rsidR="00A9248F" w:rsidRPr="00E46176" w:rsidRDefault="00890150" w:rsidP="007774AA">
      <w:pPr>
        <w:ind w:firstLine="720"/>
      </w:pPr>
      <w:r w:rsidRPr="00E46176">
        <w:t xml:space="preserve">Suggestions for </w:t>
      </w:r>
      <w:r w:rsidR="003F7F97" w:rsidRPr="00E46176">
        <w:t>diversification includ</w:t>
      </w:r>
      <w:r w:rsidRPr="00E46176">
        <w:t>ed</w:t>
      </w:r>
      <w:r w:rsidR="003F7F97" w:rsidRPr="00E46176">
        <w:t xml:space="preserve"> i</w:t>
      </w:r>
      <w:r w:rsidRPr="00E46176">
        <w:t>ncreased practical assessment, Open B</w:t>
      </w:r>
      <w:r w:rsidR="003F7F97" w:rsidRPr="00E46176">
        <w:t xml:space="preserve">ook assessment, and varied innovative </w:t>
      </w:r>
      <w:r w:rsidRPr="00E46176">
        <w:t>practices</w:t>
      </w:r>
      <w:r w:rsidR="003F7F97" w:rsidRPr="00E46176">
        <w:t>, such as ‘a poster’, ‘a video, a podcast, a website, a work-related document, like a policy brief’</w:t>
      </w:r>
      <w:r w:rsidR="00DF4D5E" w:rsidRPr="00E46176">
        <w:t xml:space="preserve"> (Student/</w:t>
      </w:r>
      <w:r w:rsidR="003F7F97" w:rsidRPr="00E46176">
        <w:t>Leeds). Open Book assessment, in particular, was perceived to be more suitable for a digital ‘society that is more concerned about finding information than retaining information</w:t>
      </w:r>
      <w:r w:rsidR="00BB3DD9" w:rsidRPr="00E46176">
        <w:t>’</w:t>
      </w:r>
      <w:r w:rsidR="003F7F97" w:rsidRPr="00E46176">
        <w:t xml:space="preserve"> </w:t>
      </w:r>
      <w:r w:rsidR="00DF4D5E" w:rsidRPr="00E46176">
        <w:t>(Student/</w:t>
      </w:r>
      <w:r w:rsidR="003F7F97" w:rsidRPr="00E46176">
        <w:t xml:space="preserve">Leeds). </w:t>
      </w:r>
      <w:r w:rsidRPr="00E46176">
        <w:t>M</w:t>
      </w:r>
      <w:r w:rsidR="00B4681F" w:rsidRPr="00E46176">
        <w:t>ore</w:t>
      </w:r>
      <w:r w:rsidR="003F7F97" w:rsidRPr="00E46176">
        <w:t xml:space="preserve"> individualised, innovative</w:t>
      </w:r>
      <w:r w:rsidR="009F0D6A" w:rsidRPr="00E46176">
        <w:t>,</w:t>
      </w:r>
      <w:r w:rsidR="003F7F97" w:rsidRPr="00E46176">
        <w:t xml:space="preserve"> and authentic assessment types were perceived to support integrative ‘holistic learning’ and ‘transitional skills’ to ‘apply knowledge in the real-world context’ (</w:t>
      </w:r>
      <w:r w:rsidR="00DF4D5E" w:rsidRPr="00E46176">
        <w:t>Student/</w:t>
      </w:r>
      <w:r w:rsidR="003F7F97" w:rsidRPr="00E46176">
        <w:t>Strathclyde).</w:t>
      </w:r>
      <w:r w:rsidR="007425F3" w:rsidRPr="00E46176">
        <w:t xml:space="preserve"> </w:t>
      </w:r>
      <w:r w:rsidR="003F7F97" w:rsidRPr="00E46176">
        <w:t>However</w:t>
      </w:r>
      <w:r w:rsidR="00626CF8" w:rsidRPr="00E46176">
        <w:t>, echoing staff discussions,</w:t>
      </w:r>
      <w:r w:rsidR="003F7F97" w:rsidRPr="00E46176">
        <w:t xml:space="preserve"> </w:t>
      </w:r>
      <w:r w:rsidR="00380CDF" w:rsidRPr="00E46176">
        <w:t>the Ulster</w:t>
      </w:r>
      <w:r w:rsidR="003F7F97" w:rsidRPr="00E46176">
        <w:t xml:space="preserve"> </w:t>
      </w:r>
      <w:r w:rsidR="006F69B5" w:rsidRPr="00E46176">
        <w:t xml:space="preserve">student </w:t>
      </w:r>
      <w:r w:rsidR="003F7F97" w:rsidRPr="00E46176">
        <w:t>panel did describe how unfamiliarity with new assessment types can increase stress and anxiety around performance expectations and grading criteria.</w:t>
      </w:r>
      <w:bookmarkStart w:id="15" w:name="_dxznuxi3qr6j" w:colFirst="0" w:colLast="0"/>
      <w:bookmarkStart w:id="16" w:name="_3qie764p2vau" w:colFirst="0" w:colLast="0"/>
      <w:bookmarkEnd w:id="15"/>
      <w:bookmarkEnd w:id="16"/>
      <w:r w:rsidR="005D2515" w:rsidRPr="00E46176">
        <w:t xml:space="preserve">  </w:t>
      </w:r>
      <w:r w:rsidR="00C37956" w:rsidRPr="00E46176">
        <w:t xml:space="preserve"> </w:t>
      </w:r>
    </w:p>
    <w:p w14:paraId="22A1519B" w14:textId="4F154F4E" w:rsidR="003816F8" w:rsidRPr="00E46176" w:rsidRDefault="00DA0E71" w:rsidP="007774AA">
      <w:pPr>
        <w:ind w:firstLine="720"/>
      </w:pPr>
      <w:r w:rsidRPr="00E46176">
        <w:t xml:space="preserve">Students who enjoyed independent working advocated ‘more self-directed, independent, and active learning’ (Student/Strathclyde). Student panels lamented the predominance of didactic information-transfer style lectures and assessment types that deprive students of independent choice and control over their learning, </w:t>
      </w:r>
      <w:r w:rsidR="00930DD7" w:rsidRPr="00E46176">
        <w:t xml:space="preserve">and </w:t>
      </w:r>
      <w:r w:rsidRPr="00E46176">
        <w:t>which can be pedagogi</w:t>
      </w:r>
      <w:r w:rsidR="00D95DB5" w:rsidRPr="00E46176">
        <w:t>cally and mentally disengaging</w:t>
      </w:r>
      <w:r w:rsidRPr="00E46176">
        <w:t>. ‘They tell you what to do … [and] there’s no opportunity to have your own initiative on anything’ (Student/Strathclyde).</w:t>
      </w:r>
      <w:r w:rsidR="00D95DB5" w:rsidRPr="00E46176">
        <w:t xml:space="preserve"> Alternatively</w:t>
      </w:r>
      <w:r w:rsidRPr="00E46176">
        <w:t xml:space="preserve">, some students wanted more clear and structured guidance ‘to understand exactly what they’re asking … something that breaks down the assessment a wee bit easier’ (Student/Ulster) with assessment-specific support on ‘presentation skills, essay writing and referencing’ (Student/Leeds). </w:t>
      </w:r>
      <w:r w:rsidR="00930DD7" w:rsidRPr="00E46176">
        <w:t xml:space="preserve">Indeed </w:t>
      </w:r>
      <w:r w:rsidR="00725838" w:rsidRPr="00E46176">
        <w:t>several panels</w:t>
      </w:r>
      <w:r w:rsidRPr="00E46176">
        <w:t xml:space="preserve"> advocated more ‘bigger picture planning’ (Student/Ulster) around assessment time, type and strategy in order to scaffold and ‘build all that practice and skills’</w:t>
      </w:r>
      <w:r w:rsidR="00725838" w:rsidRPr="00E46176">
        <w:t xml:space="preserve"> (Student/Cardiff)</w:t>
      </w:r>
      <w:r w:rsidRPr="00E46176">
        <w:t xml:space="preserve"> to support academic transitions</w:t>
      </w:r>
      <w:r w:rsidR="00725838" w:rsidRPr="00E46176">
        <w:t>.</w:t>
      </w:r>
    </w:p>
    <w:p w14:paraId="0000006B" w14:textId="49B58297" w:rsidR="00F2278E" w:rsidRPr="00E46176" w:rsidRDefault="007425F3">
      <w:pPr>
        <w:pStyle w:val="Heading3"/>
      </w:pPr>
      <w:r w:rsidRPr="00E46176">
        <w:t>Collaborative</w:t>
      </w:r>
      <w:r w:rsidR="003F7F97" w:rsidRPr="00E46176">
        <w:t xml:space="preserve"> versus individual assessment</w:t>
      </w:r>
    </w:p>
    <w:p w14:paraId="0000006D" w14:textId="401D835B" w:rsidR="00F2278E" w:rsidRPr="00E46176" w:rsidRDefault="003F7F97">
      <w:r w:rsidRPr="00E46176">
        <w:t>Traditionally</w:t>
      </w:r>
      <w:r w:rsidR="009D3245" w:rsidRPr="00E46176">
        <w:t xml:space="preserve">, individual assessment is the model used </w:t>
      </w:r>
      <w:r w:rsidRPr="00E46176">
        <w:t>in higher education</w:t>
      </w:r>
      <w:r w:rsidR="009D3245" w:rsidRPr="00E46176">
        <w:t xml:space="preserve"> but </w:t>
      </w:r>
      <w:r w:rsidRPr="00E46176">
        <w:t>collaborative or social learning, involvin</w:t>
      </w:r>
      <w:r w:rsidR="009D3245" w:rsidRPr="00E46176">
        <w:t xml:space="preserve">g students working together </w:t>
      </w:r>
      <w:r w:rsidRPr="00E46176">
        <w:t xml:space="preserve">in a group, </w:t>
      </w:r>
      <w:r w:rsidR="009D3245" w:rsidRPr="00E46176">
        <w:t>has become</w:t>
      </w:r>
      <w:r w:rsidRPr="00E46176">
        <w:t xml:space="preserve"> increasingly widespread (</w:t>
      </w:r>
      <w:bookmarkStart w:id="17" w:name="_Hlk31993833"/>
      <w:r w:rsidRPr="00E46176">
        <w:t>Hassanien, 2006</w:t>
      </w:r>
      <w:bookmarkEnd w:id="17"/>
      <w:r w:rsidRPr="00E46176">
        <w:t>)</w:t>
      </w:r>
      <w:r w:rsidR="00EA63B7" w:rsidRPr="00E46176">
        <w:t>.</w:t>
      </w:r>
      <w:r w:rsidR="00BE385F" w:rsidRPr="00E46176">
        <w:t xml:space="preserve"> Staff focus groups identified that</w:t>
      </w:r>
      <w:r w:rsidR="007425F3" w:rsidRPr="00E46176">
        <w:t xml:space="preserve"> this led to further challenges</w:t>
      </w:r>
      <w:r w:rsidR="00EA63B7" w:rsidRPr="00E46176">
        <w:t xml:space="preserve"> </w:t>
      </w:r>
      <w:r w:rsidR="006A1E3F" w:rsidRPr="00E46176">
        <w:t>around</w:t>
      </w:r>
      <w:r w:rsidR="00EA63B7" w:rsidRPr="00E46176">
        <w:t xml:space="preserve"> </w:t>
      </w:r>
      <w:r w:rsidR="00B257D2" w:rsidRPr="00E46176">
        <w:t>student wellbeing.</w:t>
      </w:r>
      <w:r w:rsidRPr="00E46176">
        <w:t xml:space="preserve"> </w:t>
      </w:r>
    </w:p>
    <w:p w14:paraId="0000006E" w14:textId="5E011D14" w:rsidR="00F2278E" w:rsidRPr="00E46176" w:rsidRDefault="003F7F97">
      <w:pPr>
        <w:pStyle w:val="Quote"/>
        <w:rPr>
          <w:i/>
          <w:iCs/>
        </w:rPr>
      </w:pPr>
      <w:r w:rsidRPr="00E46176">
        <w:t xml:space="preserve"> The group work is a really good example. You've got some students that really, really benefit from that. Then, you've got others who, perhaps, suffer with really severe anxiety, for whom that is their </w:t>
      </w:r>
      <w:r w:rsidR="00DF4D5E" w:rsidRPr="00E46176">
        <w:t>absolute worst nightmare. (Staff/</w:t>
      </w:r>
      <w:r w:rsidRPr="00E46176">
        <w:t xml:space="preserve">Leeds </w:t>
      </w:r>
      <w:r w:rsidR="00DF4D5E" w:rsidRPr="00E46176">
        <w:t>1</w:t>
      </w:r>
      <w:r w:rsidRPr="00E46176">
        <w:t>)</w:t>
      </w:r>
    </w:p>
    <w:p w14:paraId="0000006F" w14:textId="59673D02" w:rsidR="00F2278E" w:rsidRPr="00E46176" w:rsidRDefault="00BE385F" w:rsidP="007774AA">
      <w:r w:rsidRPr="00E46176">
        <w:t>Staff</w:t>
      </w:r>
      <w:r w:rsidR="003F7F97" w:rsidRPr="00E46176">
        <w:t xml:space="preserve"> acknowledged some benefits of group work in developing key employability skills, for example, to prepare students for team working exercises within graduate assess</w:t>
      </w:r>
      <w:r w:rsidR="00440B18" w:rsidRPr="00E46176">
        <w:t>ment centres (Staff/</w:t>
      </w:r>
      <w:r w:rsidR="003F7F97" w:rsidRPr="00E46176">
        <w:t xml:space="preserve">Leeds 2). </w:t>
      </w:r>
      <w:r w:rsidR="008738DD" w:rsidRPr="00E46176">
        <w:t>C</w:t>
      </w:r>
      <w:r w:rsidR="00EA130A" w:rsidRPr="00E46176">
        <w:t>ollaborative assessment</w:t>
      </w:r>
      <w:r w:rsidR="008738DD" w:rsidRPr="00E46176">
        <w:t xml:space="preserve"> was seen to </w:t>
      </w:r>
      <w:r w:rsidR="003F7F97" w:rsidRPr="00E46176">
        <w:t>foster social connectedness and integration amongst students (Staff</w:t>
      </w:r>
      <w:r w:rsidR="00440B18" w:rsidRPr="00E46176">
        <w:t>/</w:t>
      </w:r>
      <w:r w:rsidR="003F7F97" w:rsidRPr="00E46176">
        <w:t xml:space="preserve">Staffordshire).  </w:t>
      </w:r>
      <w:r w:rsidR="009D3245" w:rsidRPr="00E46176">
        <w:t>T</w:t>
      </w:r>
      <w:r w:rsidR="003F7F97" w:rsidRPr="00E46176">
        <w:t xml:space="preserve">he majority of </w:t>
      </w:r>
      <w:r w:rsidR="00B257D2" w:rsidRPr="00E46176">
        <w:t xml:space="preserve">staff </w:t>
      </w:r>
      <w:r w:rsidR="003F7F97" w:rsidRPr="00E46176">
        <w:t xml:space="preserve">discussion focused upon </w:t>
      </w:r>
      <w:r w:rsidR="00C6084C" w:rsidRPr="00E46176">
        <w:t xml:space="preserve">the </w:t>
      </w:r>
      <w:r w:rsidR="003F7F97" w:rsidRPr="00E46176">
        <w:t>difficulties</w:t>
      </w:r>
      <w:r w:rsidR="00B257D2" w:rsidRPr="00E46176">
        <w:t xml:space="preserve"> </w:t>
      </w:r>
      <w:r w:rsidR="002E6C89" w:rsidRPr="00E46176">
        <w:t xml:space="preserve">experienced during group work </w:t>
      </w:r>
      <w:r w:rsidR="00B257D2" w:rsidRPr="00E46176">
        <w:t xml:space="preserve">and </w:t>
      </w:r>
      <w:r w:rsidR="002E6C89" w:rsidRPr="00E46176">
        <w:t xml:space="preserve">the </w:t>
      </w:r>
      <w:r w:rsidR="00B257D2" w:rsidRPr="00E46176">
        <w:t>threats to wellbeing</w:t>
      </w:r>
      <w:r w:rsidR="002E6C89" w:rsidRPr="00E46176">
        <w:t xml:space="preserve">, </w:t>
      </w:r>
      <w:r w:rsidR="00B257D2" w:rsidRPr="00E46176">
        <w:t xml:space="preserve">such as </w:t>
      </w:r>
      <w:r w:rsidR="002E6C89" w:rsidRPr="00E46176">
        <w:t>the</w:t>
      </w:r>
      <w:r w:rsidR="003F7F97" w:rsidRPr="00E46176">
        <w:t xml:space="preserve"> potential for cultural differences, pe</w:t>
      </w:r>
      <w:r w:rsidR="00440B18" w:rsidRPr="00E46176">
        <w:t>rsonality clashes and arguments</w:t>
      </w:r>
      <w:r w:rsidR="00B257D2" w:rsidRPr="00E46176">
        <w:t xml:space="preserve"> ‘if another member of the group is not pulling their weight or end up taking on too much’ (Staff/ UAL</w:t>
      </w:r>
      <w:r w:rsidR="007A60DB" w:rsidRPr="00E46176">
        <w:t xml:space="preserve"> </w:t>
      </w:r>
      <w:r w:rsidR="00B257D2" w:rsidRPr="00E46176">
        <w:t>1)</w:t>
      </w:r>
      <w:r w:rsidR="007A60DB" w:rsidRPr="00E46176">
        <w:t>.</w:t>
      </w:r>
    </w:p>
    <w:p w14:paraId="00000070" w14:textId="49347B6A" w:rsidR="00F2278E" w:rsidRPr="00E46176" w:rsidRDefault="00DF4D5E">
      <w:pPr>
        <w:pStyle w:val="Quote"/>
        <w:rPr>
          <w:i/>
          <w:iCs/>
        </w:rPr>
      </w:pPr>
      <w:r w:rsidRPr="00E46176">
        <w:t>We sometimes find that group</w:t>
      </w:r>
      <w:r w:rsidR="003F7F97" w:rsidRPr="00E46176">
        <w:t>work ups the pressure, because if they’re in incompatible groups or there are issues going on, somebody’s not attending, it put</w:t>
      </w:r>
      <w:r w:rsidRPr="00E46176">
        <w:t>s more strain on others. (Staff/Ulster 2</w:t>
      </w:r>
      <w:r w:rsidR="003F7F97" w:rsidRPr="00E46176">
        <w:t>)</w:t>
      </w:r>
    </w:p>
    <w:p w14:paraId="5B19B6E6" w14:textId="33D2D08E" w:rsidR="00BB6A8F" w:rsidRPr="00E46176" w:rsidRDefault="003F7F97" w:rsidP="007774AA">
      <w:pPr>
        <w:ind w:firstLine="720"/>
      </w:pPr>
      <w:r w:rsidRPr="00E46176">
        <w:t xml:space="preserve">Where students were </w:t>
      </w:r>
      <w:r w:rsidR="00BB6A8F" w:rsidRPr="00E46176">
        <w:t xml:space="preserve">able </w:t>
      </w:r>
      <w:r w:rsidRPr="00E46176">
        <w:t xml:space="preserve">to form their own groupings, several participants indicated that, particularly in </w:t>
      </w:r>
      <w:r w:rsidR="00440B18" w:rsidRPr="00E46176">
        <w:t xml:space="preserve">the first year, students </w:t>
      </w:r>
      <w:r w:rsidR="002E6C89" w:rsidRPr="00E46176">
        <w:t>may</w:t>
      </w:r>
      <w:r w:rsidR="00440B18" w:rsidRPr="00E46176">
        <w:t xml:space="preserve"> ‘</w:t>
      </w:r>
      <w:r w:rsidRPr="00E46176">
        <w:t>gravitate to all the people that they have a</w:t>
      </w:r>
      <w:r w:rsidR="00DF4D5E" w:rsidRPr="00E46176">
        <w:t xml:space="preserve"> social connection with</w:t>
      </w:r>
      <w:r w:rsidR="00440B18" w:rsidRPr="00E46176">
        <w:t>’</w:t>
      </w:r>
      <w:r w:rsidR="00DF4D5E" w:rsidRPr="00E46176">
        <w:t xml:space="preserve"> (Staff/</w:t>
      </w:r>
      <w:r w:rsidRPr="00E46176">
        <w:t>Leeds)</w:t>
      </w:r>
      <w:r w:rsidR="00391138" w:rsidRPr="00E46176">
        <w:t>,</w:t>
      </w:r>
      <w:r w:rsidR="00340234" w:rsidRPr="00E46176">
        <w:t xml:space="preserve"> </w:t>
      </w:r>
      <w:r w:rsidRPr="00E46176">
        <w:t>potentially leading to</w:t>
      </w:r>
      <w:r w:rsidR="006A1E3F" w:rsidRPr="00E46176">
        <w:t xml:space="preserve"> </w:t>
      </w:r>
      <w:r w:rsidR="00C6084C" w:rsidRPr="00E46176">
        <w:t xml:space="preserve">the </w:t>
      </w:r>
      <w:r w:rsidR="006A1E3F" w:rsidRPr="00E46176">
        <w:t>formation of cliques and feelings of isolation</w:t>
      </w:r>
      <w:r w:rsidR="00C6084C" w:rsidRPr="00E46176">
        <w:t xml:space="preserve">. </w:t>
      </w:r>
      <w:r w:rsidRPr="00E46176">
        <w:t xml:space="preserve"> </w:t>
      </w:r>
      <w:r w:rsidR="00001089" w:rsidRPr="00E46176">
        <w:t>D</w:t>
      </w:r>
      <w:r w:rsidRPr="00E46176">
        <w:t>ealing with tensions and differences could provide a valuable learning experience t</w:t>
      </w:r>
      <w:r w:rsidR="00440B18" w:rsidRPr="00E46176">
        <w:t>o students, demonstrating that ‘</w:t>
      </w:r>
      <w:r w:rsidRPr="00E46176">
        <w:t>they might have to work with people that they may not like or would be different to them</w:t>
      </w:r>
      <w:r w:rsidR="00440B18" w:rsidRPr="00E46176">
        <w:t>’</w:t>
      </w:r>
      <w:r w:rsidRPr="00E46176">
        <w:t xml:space="preserve"> </w:t>
      </w:r>
      <w:r w:rsidR="00001089" w:rsidRPr="00E46176">
        <w:t xml:space="preserve">(Staff /Leeds 1) </w:t>
      </w:r>
      <w:r w:rsidRPr="00E46176">
        <w:t>but such an experience could also lead to students being unwilling to adopt roles within a team in future.</w:t>
      </w:r>
    </w:p>
    <w:p w14:paraId="00000074" w14:textId="4F394ED9" w:rsidR="00F2278E" w:rsidRPr="00E46176" w:rsidRDefault="003F7F97" w:rsidP="007774AA">
      <w:pPr>
        <w:ind w:firstLine="720"/>
      </w:pPr>
      <w:r w:rsidRPr="00E46176">
        <w:t>Students with anxiety were identified as a specific group who may struggle with group work, although in some cases it was felt that such forms of assessment were possible, if significant and resource-heavy scaffolding was put in place:</w:t>
      </w:r>
    </w:p>
    <w:p w14:paraId="00000075" w14:textId="7063FDD8" w:rsidR="00F2278E" w:rsidRPr="00E46176" w:rsidRDefault="003F7F97">
      <w:pPr>
        <w:pStyle w:val="Quote"/>
        <w:rPr>
          <w:i/>
          <w:iCs/>
        </w:rPr>
      </w:pPr>
      <w:r w:rsidRPr="00E46176">
        <w:t>We constantly get students requesting to not do group work. And, I think, some of it absolutely genuinely is, like, they absolutely couldn’t do it under any circumstances. But I think some of it is that they probably could, they just need to be gradually eased into it and maybe working in a very small group wit</w:t>
      </w:r>
      <w:r w:rsidR="00DF4D5E" w:rsidRPr="00E46176">
        <w:t>h one other person.  (Staff/</w:t>
      </w:r>
      <w:r w:rsidRPr="00E46176">
        <w:t>Leeds)</w:t>
      </w:r>
    </w:p>
    <w:p w14:paraId="00000077" w14:textId="7F94A3DD" w:rsidR="00F2278E" w:rsidRPr="00E46176" w:rsidRDefault="003F7F97">
      <w:r w:rsidRPr="00E46176">
        <w:rPr>
          <w:b/>
        </w:rPr>
        <w:t xml:space="preserve"> </w:t>
      </w:r>
      <w:r w:rsidRPr="00E46176">
        <w:t xml:space="preserve">Other potential solutions to </w:t>
      </w:r>
      <w:r w:rsidR="00340234" w:rsidRPr="00E46176">
        <w:t>reduce</w:t>
      </w:r>
      <w:r w:rsidRPr="00E46176">
        <w:t xml:space="preserve"> issues with social or collaborative assessment included</w:t>
      </w:r>
      <w:r w:rsidR="00440B18" w:rsidRPr="00E46176">
        <w:t>:</w:t>
      </w:r>
      <w:r w:rsidRPr="00E46176">
        <w:t xml:space="preserve"> introducing a change in terminology so that “group” working became “team” working</w:t>
      </w:r>
      <w:r w:rsidR="00440B18" w:rsidRPr="00E46176">
        <w:t xml:space="preserve"> </w:t>
      </w:r>
      <w:r w:rsidR="006A1E3F" w:rsidRPr="00E46176">
        <w:t xml:space="preserve">given that </w:t>
      </w:r>
      <w:r w:rsidR="00440B18" w:rsidRPr="00E46176">
        <w:t>‘</w:t>
      </w:r>
      <w:r w:rsidRPr="00E46176">
        <w:t>teams support each other, whereas groups have a tendency</w:t>
      </w:r>
      <w:r w:rsidR="00440B18" w:rsidRPr="00E46176">
        <w:t xml:space="preserve"> to feed off each other’</w:t>
      </w:r>
      <w:r w:rsidR="00DF4D5E" w:rsidRPr="00E46176">
        <w:t xml:space="preserve"> (Staff/</w:t>
      </w:r>
      <w:r w:rsidR="00440B18" w:rsidRPr="00E46176">
        <w:t>Leeds 2);</w:t>
      </w:r>
      <w:r w:rsidRPr="00E46176">
        <w:t xml:space="preserve"> prompting all participants to contribute and fixing groups for a set period, so relationships can develop (</w:t>
      </w:r>
      <w:r w:rsidR="00DF4D5E" w:rsidRPr="00E46176">
        <w:t>Staff/</w:t>
      </w:r>
      <w:r w:rsidR="00440B18" w:rsidRPr="00E46176">
        <w:t>Staffordshire);</w:t>
      </w:r>
      <w:r w:rsidRPr="00E46176">
        <w:t xml:space="preserve"> encouraging students to reflect upon their own personality types (</w:t>
      </w:r>
      <w:r w:rsidR="00DF4D5E" w:rsidRPr="00E46176">
        <w:t>Staff/</w:t>
      </w:r>
      <w:r w:rsidRPr="00E46176">
        <w:t>Strathclyde)</w:t>
      </w:r>
      <w:r w:rsidR="00EA130A" w:rsidRPr="00E46176">
        <w:t xml:space="preserve"> and</w:t>
      </w:r>
      <w:r w:rsidRPr="00E46176">
        <w:t xml:space="preserve"> tutors </w:t>
      </w:r>
      <w:r w:rsidR="006A1E3F" w:rsidRPr="00E46176">
        <w:t>proactive</w:t>
      </w:r>
      <w:r w:rsidR="002E6C89" w:rsidRPr="00E46176">
        <w:t xml:space="preserve">ly </w:t>
      </w:r>
      <w:r w:rsidRPr="00E46176">
        <w:t xml:space="preserve">monitoring </w:t>
      </w:r>
      <w:r w:rsidR="000B26D9" w:rsidRPr="00E46176">
        <w:t xml:space="preserve">potential issues </w:t>
      </w:r>
      <w:r w:rsidRPr="00E46176">
        <w:t>(</w:t>
      </w:r>
      <w:r w:rsidR="00DF4D5E" w:rsidRPr="00E46176">
        <w:t>Staff/</w:t>
      </w:r>
      <w:r w:rsidRPr="00E46176">
        <w:t>UAL 1).</w:t>
      </w:r>
    </w:p>
    <w:p w14:paraId="40FFAE2A" w14:textId="117382A4" w:rsidR="00F40FA1" w:rsidRPr="00E46176" w:rsidRDefault="000B26D9" w:rsidP="007774AA">
      <w:pPr>
        <w:ind w:firstLine="720"/>
      </w:pPr>
      <w:r w:rsidRPr="00E46176">
        <w:t>S</w:t>
      </w:r>
      <w:r w:rsidR="003F7F97" w:rsidRPr="00E46176">
        <w:t xml:space="preserve">tudents </w:t>
      </w:r>
      <w:r w:rsidR="00627940" w:rsidRPr="00E46176">
        <w:t xml:space="preserve">panels similarly </w:t>
      </w:r>
      <w:r w:rsidR="003F7F97" w:rsidRPr="00E46176">
        <w:t xml:space="preserve">proposed </w:t>
      </w:r>
      <w:r w:rsidR="003F7F97" w:rsidRPr="00E46176">
        <w:rPr>
          <w:iCs/>
        </w:rPr>
        <w:t>‘alternative forms of assessment’</w:t>
      </w:r>
      <w:r w:rsidR="003F7F97" w:rsidRPr="00E46176">
        <w:t xml:space="preserve"> (</w:t>
      </w:r>
      <w:r w:rsidR="00DF4D5E" w:rsidRPr="00E46176">
        <w:t>Student/</w:t>
      </w:r>
      <w:r w:rsidR="003F7F97" w:rsidRPr="00E46176">
        <w:t>Leeds) such as group assessment, where</w:t>
      </w:r>
      <w:r w:rsidR="00F40FA1" w:rsidRPr="00E46176">
        <w:t>:</w:t>
      </w:r>
    </w:p>
    <w:p w14:paraId="3C41FA63" w14:textId="47FABA07" w:rsidR="00F40FA1" w:rsidRPr="00E46176" w:rsidRDefault="003F7F97">
      <w:pPr>
        <w:pStyle w:val="Quote"/>
        <w:rPr>
          <w:i/>
          <w:iCs/>
        </w:rPr>
      </w:pPr>
      <w:r w:rsidRPr="00E46176">
        <w:t>what was being assessed was not your ability to do the questions, but the ability to work as a group, to convince other people of your answers, discuss it, and then see how many people would change their answer …</w:t>
      </w:r>
      <w:r w:rsidR="00F40FA1" w:rsidRPr="00E46176">
        <w:t xml:space="preserve"> which is far more work-context</w:t>
      </w:r>
      <w:r w:rsidRPr="00E46176">
        <w:t xml:space="preserve"> (</w:t>
      </w:r>
      <w:r w:rsidR="00DF4D5E" w:rsidRPr="00E46176">
        <w:t>Student/</w:t>
      </w:r>
      <w:r w:rsidR="00F40FA1" w:rsidRPr="00E46176">
        <w:t>Strathclyde)</w:t>
      </w:r>
    </w:p>
    <w:p w14:paraId="155C3059" w14:textId="16C81B16" w:rsidR="00926325" w:rsidRPr="00E46176" w:rsidRDefault="003F7F97" w:rsidP="007774AA">
      <w:pPr>
        <w:rPr>
          <w:i/>
        </w:rPr>
      </w:pPr>
      <w:r w:rsidRPr="00E46176">
        <w:t>Panels identified working in groups on interdisciplinary projects as a particularly rewarding ‘life skill’ which is instrumental to ‘working with somebody who does a different job to you’ within contemporary employment (</w:t>
      </w:r>
      <w:r w:rsidR="00DF4D5E" w:rsidRPr="00E46176">
        <w:t>Student/</w:t>
      </w:r>
      <w:r w:rsidRPr="00E46176">
        <w:t>Strathclyde).</w:t>
      </w:r>
      <w:r w:rsidR="00F3310A" w:rsidRPr="00E46176">
        <w:t xml:space="preserve"> G</w:t>
      </w:r>
      <w:r w:rsidRPr="00E46176">
        <w:t>roup assessment was perceived to ameliorate harmful competition ‘because the group is working together to get the best grade’ and ‘build that sense of community’ by facilitating peer interaction and involvement (</w:t>
      </w:r>
      <w:r w:rsidR="00DF4D5E" w:rsidRPr="00E46176">
        <w:t>Student/</w:t>
      </w:r>
      <w:r w:rsidRPr="00E46176">
        <w:t xml:space="preserve">Strathclyde). </w:t>
      </w:r>
      <w:r w:rsidRPr="00E46176">
        <w:rPr>
          <w:rFonts w:eastAsia="Times New Roman"/>
        </w:rPr>
        <w:t xml:space="preserve"> </w:t>
      </w:r>
      <w:r w:rsidR="00F3310A" w:rsidRPr="00E46176">
        <w:t>Nevertheless,</w:t>
      </w:r>
      <w:r w:rsidRPr="00E46176">
        <w:t xml:space="preserve"> managing the dynamic</w:t>
      </w:r>
      <w:r w:rsidR="002E6C89" w:rsidRPr="00E46176">
        <w:t>s</w:t>
      </w:r>
      <w:r w:rsidR="00F3310A" w:rsidRPr="00E46176">
        <w:t xml:space="preserve"> of group work can be stress-</w:t>
      </w:r>
      <w:r w:rsidRPr="00E46176">
        <w:t>inducing for students, ‘especially if you have mental health issues, you don’t want to talk to people … it’s easier to read something than to communicate with others’</w:t>
      </w:r>
      <w:r w:rsidR="00EA63B7" w:rsidRPr="00E46176">
        <w:t xml:space="preserve"> (Student/ Ulster)</w:t>
      </w:r>
      <w:r w:rsidRPr="00E46176">
        <w:t>.</w:t>
      </w:r>
      <w:r w:rsidRPr="00E46176">
        <w:rPr>
          <w:i/>
        </w:rPr>
        <w:t xml:space="preserve">  </w:t>
      </w:r>
    </w:p>
    <w:p w14:paraId="32709339" w14:textId="77777777" w:rsidR="00FB5732" w:rsidRPr="00E46176" w:rsidRDefault="00FB5732" w:rsidP="00FB5732">
      <w:pPr>
        <w:pStyle w:val="Heading3"/>
      </w:pPr>
      <w:r w:rsidRPr="00E46176">
        <w:t>Ideal versus practical assessment</w:t>
      </w:r>
    </w:p>
    <w:p w14:paraId="23CCCB53" w14:textId="77777777" w:rsidR="00FB5732" w:rsidRPr="00E46176" w:rsidRDefault="00FB5732" w:rsidP="00FB5732">
      <w:r w:rsidRPr="00E46176">
        <w:t>A tension explicitly identified within several staff groups was the desire to support all students to reach their individual potential within assessments, whilst acknowledging potential academic and practical barriers. One of these barriers to good practice was the strong sense that staff terms and conditions, alongside their quality of life, were declining:</w:t>
      </w:r>
    </w:p>
    <w:p w14:paraId="02A0EBEC" w14:textId="77777777" w:rsidR="00FB5732" w:rsidRPr="00E46176" w:rsidRDefault="00FB5732" w:rsidP="00FB5732">
      <w:pPr>
        <w:pStyle w:val="Quote"/>
        <w:rPr>
          <w:i/>
          <w:iCs/>
        </w:rPr>
      </w:pPr>
      <w:r w:rsidRPr="00E46176">
        <w:t>I’ve seen the stress levels with the staff go up and I’ve seen the way the environment is going down. And it’s not just that university. There are loads and loads of other universities are like that. (Staff/Leeds 2).</w:t>
      </w:r>
    </w:p>
    <w:p w14:paraId="72877C1F" w14:textId="77777777" w:rsidR="00FB5732" w:rsidRPr="00E46176" w:rsidRDefault="00FB5732" w:rsidP="00FB5732">
      <w:r w:rsidRPr="00E46176">
        <w:t xml:space="preserve">This awareness of working conditions affecting assessment was coupled with an awareness that under the Equality Act 2010, universities have a legal duty to make “reasonable adjustments” for students with protected characteristics (including a “mental impairment” (sections 92(6) and 6(1)(a)). In an ideal world, these adjustments would be built into the assessment design rather than applied on an ad-hoc and responsive basis. </w:t>
      </w:r>
    </w:p>
    <w:p w14:paraId="52B1A4BA" w14:textId="77777777" w:rsidR="00FB5732" w:rsidRPr="00E46176" w:rsidRDefault="00FB5732" w:rsidP="00FB5732">
      <w:pPr>
        <w:ind w:firstLine="720"/>
      </w:pPr>
      <w:r w:rsidRPr="00E46176">
        <w:t>Although ideally adjustments should reduce stress, they can have the potential to increase the demands on students, or reduce their acquisition of coping resources.  Adjustments need to enable students with mental health issues to be able to fully demonstrate their academic ability, otherwise adaptations have the potential to create stigma or perceptions of unfairness:</w:t>
      </w:r>
    </w:p>
    <w:p w14:paraId="040960E5" w14:textId="77777777" w:rsidR="00FB5732" w:rsidRPr="00E46176" w:rsidRDefault="00FB5732" w:rsidP="00FB5732">
      <w:pPr>
        <w:pStyle w:val="Quote"/>
        <w:rPr>
          <w:i/>
          <w:iCs/>
        </w:rPr>
      </w:pPr>
      <w:r w:rsidRPr="00E46176">
        <w:t>We face accusations of we’re making easier for students who have mental health issues and we’re lowering standards and all that sort of stuff. And that’s really unreasonable because that’s not what we’re trying to do, we’re trying to level up the playing field. (Staff/Cardiff)</w:t>
      </w:r>
    </w:p>
    <w:p w14:paraId="76D6E530" w14:textId="77777777" w:rsidR="00FB5732" w:rsidRPr="00E46176" w:rsidRDefault="00FB5732" w:rsidP="00FB5732">
      <w:r w:rsidRPr="00E46176">
        <w:t xml:space="preserve">One example of an adjustment given was allowing certain students to give an individual, rather than a group, presentation (Staff/Ulster 1); another included providing a choice of assessment topics and formats, although it was suggested that the perceived uncertainty had ultimately created greater levels of stress for some students (Staff/Ulster 2). More generally, participants were mindful that some forms of adjustment may not prepare students for their likely experience in working environments and that therefore scaffolding was required to develop students’ own coping mechanisms (Staff/Staffordshire; Staff/Ulster). An alternative approach suggested to reduce reliance on reasonable adjustments would be to ensure the initial design of assessments was as inclusive as possible (Staff/Cardiff). </w:t>
      </w:r>
    </w:p>
    <w:p w14:paraId="2D2364E4" w14:textId="77777777" w:rsidR="00FB5732" w:rsidRPr="00E46176" w:rsidRDefault="00FB5732" w:rsidP="00FB5732">
      <w:pPr>
        <w:ind w:firstLine="720"/>
      </w:pPr>
      <w:r w:rsidRPr="00E46176">
        <w:t>With regard to practical barriers, it was acknowledged that resourcing issues could impact on what it was possible to offer students:</w:t>
      </w:r>
    </w:p>
    <w:p w14:paraId="41E23B72" w14:textId="77777777" w:rsidR="00FB5732" w:rsidRPr="00E46176" w:rsidRDefault="00FB5732" w:rsidP="00FB5732">
      <w:pPr>
        <w:pStyle w:val="Quote"/>
        <w:rPr>
          <w:i/>
          <w:iCs/>
        </w:rPr>
      </w:pPr>
      <w:r w:rsidRPr="00E46176">
        <w:t>From an institutional perspective, it’s getting harder and harder to manage facilitation of all of that, given the diversity of students that are coming. We’re struggling to get enough invigilators and enough rooms, at HE level but also at FE level, because you maybe have twelve students and they need six different room setups for the one assessment, […] and then everybody needs them at the same time because everybody’s exam period is similar. (Staff/Ulster 2)</w:t>
      </w:r>
    </w:p>
    <w:p w14:paraId="1F0F5C3B" w14:textId="77777777" w:rsidR="00FB5732" w:rsidRPr="00E46176" w:rsidRDefault="00FB5732" w:rsidP="00FB5732">
      <w:r w:rsidRPr="00E46176">
        <w:t>Such issues could impact on whether proposed reasonable adjustments or support programmes were actually operationalised successfully, e.g. if specific computer software was provided without appropriate training (Staff/Ulster 2).</w:t>
      </w:r>
    </w:p>
    <w:p w14:paraId="2B5218C7" w14:textId="77777777" w:rsidR="00FB5732" w:rsidRPr="00E46176" w:rsidRDefault="00FB5732" w:rsidP="00FB5732">
      <w:pPr>
        <w:ind w:firstLine="720"/>
      </w:pPr>
      <w:r w:rsidRPr="00E46176">
        <w:t>It was suggested that the use of extenuating/mitigating circumstances policies could potentially alleviate issues by permitting personal circumstances which have impacted on a students’ work to be taken into account when determining their final grades. However, getting students to submit the relevant paperwork could be difficult:</w:t>
      </w:r>
    </w:p>
    <w:p w14:paraId="078D5FDD" w14:textId="77777777" w:rsidR="00FB5732" w:rsidRPr="00E46176" w:rsidRDefault="00FB5732" w:rsidP="00FB5732">
      <w:pPr>
        <w:pStyle w:val="Quote"/>
        <w:rPr>
          <w:i/>
          <w:iCs/>
        </w:rPr>
      </w:pPr>
      <w:r w:rsidRPr="00E46176">
        <w:t>It’s also super hard for someone who is depressed, they can barely get dressed, let alone fill in reports on email. So, that’s really hard. (Staff/UAL 2)</w:t>
      </w:r>
    </w:p>
    <w:p w14:paraId="55A36565" w14:textId="77777777" w:rsidR="00FB5732" w:rsidRPr="00E46176" w:rsidRDefault="00FB5732" w:rsidP="00FB5732">
      <w:r w:rsidRPr="00E46176">
        <w:t>Staff indicated that considering such extenuating circumstances in isolation could be counterproductive as this may not allow for an understanding of the overall impact of a student’s long-term condition, or preclude wider questions about fitness for study. The impact on staff resources and wellbeing of having to implement a range of reasonable adjustments was also recognised.</w:t>
      </w:r>
    </w:p>
    <w:p w14:paraId="15C3CAF3" w14:textId="65A59808" w:rsidR="00FB5732" w:rsidRPr="00E46176" w:rsidRDefault="00FB5732" w:rsidP="00FB5732">
      <w:r w:rsidRPr="00E46176">
        <w:t xml:space="preserve"> </w:t>
      </w:r>
      <w:r w:rsidRPr="00E46176">
        <w:tab/>
        <w:t xml:space="preserve">Student panels acknowledged that implementing individualised choices and adjustments around assessment types to incorporate individual needs ‘is not always practical’ (Student/Ulster). With regards to choosing assessment type, some students raised concerns about standardised and fair marking across different assessment conditions. ‘How would you then level up our marks [if] … we have the same essay, but yours would be in a two-hour time condition and I can have a week?’ (Student/Ulster); ‘in practice, it’s really difficult’ (Student/Leeds). </w:t>
      </w:r>
    </w:p>
    <w:p w14:paraId="00000099" w14:textId="1FDA9256" w:rsidR="00F2278E" w:rsidRPr="00E46176" w:rsidRDefault="003F7F97">
      <w:pPr>
        <w:pStyle w:val="Heading3"/>
      </w:pPr>
      <w:bookmarkStart w:id="18" w:name="_27wd9jjrr8w2" w:colFirst="0" w:colLast="0"/>
      <w:bookmarkStart w:id="19" w:name="_59xa4zowsgpe" w:colFirst="0" w:colLast="0"/>
      <w:bookmarkEnd w:id="18"/>
      <w:bookmarkEnd w:id="19"/>
      <w:r w:rsidRPr="00E46176">
        <w:t>Giving fe</w:t>
      </w:r>
      <w:r w:rsidR="0019240D" w:rsidRPr="00E46176">
        <w:t>edback versus receiving criticism</w:t>
      </w:r>
      <w:r w:rsidR="00926325" w:rsidRPr="00E46176">
        <w:t xml:space="preserve"> </w:t>
      </w:r>
    </w:p>
    <w:p w14:paraId="7DC2AD2A" w14:textId="050AC329" w:rsidR="00BB6A8F" w:rsidRPr="00E46176" w:rsidRDefault="003F7F97">
      <w:r w:rsidRPr="00E46176">
        <w:t>The provision of appropriate feedback on assessments has been widely identified as a hallmark of good pedagogic practice</w:t>
      </w:r>
      <w:r w:rsidR="00BB6A8F" w:rsidRPr="00E46176">
        <w:t>, although its focus and purpose may vary</w:t>
      </w:r>
      <w:r w:rsidRPr="00E46176">
        <w:t xml:space="preserve"> (</w:t>
      </w:r>
      <w:bookmarkStart w:id="20" w:name="_Hlk31993912"/>
      <w:r w:rsidRPr="00E46176">
        <w:t>Boud and Molloy, 2013</w:t>
      </w:r>
      <w:bookmarkEnd w:id="20"/>
      <w:r w:rsidR="004B1040">
        <w:t xml:space="preserve">; </w:t>
      </w:r>
      <w:r w:rsidR="004B1040" w:rsidRPr="00E46176">
        <w:t>Mulliner and Tucker, 2015</w:t>
      </w:r>
      <w:r w:rsidRPr="00E46176">
        <w:t>). Staff referred to the need for feedback to be timely, constructive, clear and sufficiently detailed</w:t>
      </w:r>
      <w:r w:rsidR="008E511C" w:rsidRPr="00E46176">
        <w:t xml:space="preserve"> </w:t>
      </w:r>
      <w:r w:rsidR="006D3ACB" w:rsidRPr="00E46176">
        <w:t xml:space="preserve">to provide </w:t>
      </w:r>
      <w:r w:rsidR="008E511C" w:rsidRPr="00E46176">
        <w:t xml:space="preserve">a valuable </w:t>
      </w:r>
      <w:r w:rsidR="00340234" w:rsidRPr="00E46176">
        <w:t xml:space="preserve">formative </w:t>
      </w:r>
      <w:r w:rsidR="008E511C" w:rsidRPr="00E46176">
        <w:t>tool for le</w:t>
      </w:r>
      <w:r w:rsidR="00C43CA6" w:rsidRPr="00E46176">
        <w:t>arning.</w:t>
      </w:r>
      <w:r w:rsidRPr="00E46176">
        <w:t xml:space="preserve"> At the same time (reflecting the ‘</w:t>
      </w:r>
      <w:r w:rsidR="009851AA" w:rsidRPr="00E46176">
        <w:t>ideal versus practical’</w:t>
      </w:r>
      <w:r w:rsidRPr="00E46176">
        <w:t xml:space="preserve"> tension above) several participants noted that</w:t>
      </w:r>
      <w:r w:rsidR="00C10F14" w:rsidRPr="00E46176">
        <w:t>, given student numbers,</w:t>
      </w:r>
      <w:r w:rsidRPr="00E46176">
        <w:t xml:space="preserve"> wider pressures on time and other resources could militate against its use in this way</w:t>
      </w:r>
      <w:r w:rsidR="00BB6A8F" w:rsidRPr="00E46176">
        <w:t>:</w:t>
      </w:r>
    </w:p>
    <w:p w14:paraId="000000A1" w14:textId="67BDF3C1" w:rsidR="00F2278E" w:rsidRPr="00E46176" w:rsidRDefault="003F7F97">
      <w:pPr>
        <w:pStyle w:val="Quote"/>
        <w:rPr>
          <w:i/>
          <w:iCs/>
        </w:rPr>
      </w:pPr>
      <w:r w:rsidRPr="00E46176">
        <w:rPr>
          <w:szCs w:val="24"/>
        </w:rPr>
        <w:t xml:space="preserve"> </w:t>
      </w:r>
      <w:r w:rsidRPr="00E46176">
        <w:t xml:space="preserve">If you’ve got 130 students and you’re supposed to be returning work within 2 weeks, how much time can you realistically take over each piece to give them the level of feedback that would actually be useful to them, rather than saying things </w:t>
      </w:r>
      <w:r w:rsidR="00DF4D5E" w:rsidRPr="00E46176">
        <w:t xml:space="preserve">that are fairly general. (Staff/Ulster </w:t>
      </w:r>
      <w:r w:rsidRPr="00E46176">
        <w:t>2)</w:t>
      </w:r>
    </w:p>
    <w:p w14:paraId="000000A3" w14:textId="6D0DFC57" w:rsidR="00F2278E" w:rsidRPr="00E46176" w:rsidRDefault="00C43CA6" w:rsidP="007774AA">
      <w:r w:rsidRPr="00E46176">
        <w:t>I</w:t>
      </w:r>
      <w:r w:rsidR="003F7F97" w:rsidRPr="00E46176">
        <w:t>nconsistencies</w:t>
      </w:r>
      <w:r w:rsidRPr="00E46176">
        <w:t xml:space="preserve"> </w:t>
      </w:r>
      <w:r w:rsidR="00627940" w:rsidRPr="00E46176">
        <w:t xml:space="preserve">in staff </w:t>
      </w:r>
      <w:r w:rsidR="003F7F97" w:rsidRPr="00E46176">
        <w:t>approach were also identified, particularly in terms of the length and quality of feedback giv</w:t>
      </w:r>
      <w:r w:rsidR="00BC2E33" w:rsidRPr="00E46176">
        <w:t>en</w:t>
      </w:r>
      <w:r w:rsidRPr="00E46176">
        <w:t>, prompting</w:t>
      </w:r>
      <w:r w:rsidR="00C10F14" w:rsidRPr="00E46176">
        <w:t xml:space="preserve"> </w:t>
      </w:r>
      <w:r w:rsidR="003F7F97" w:rsidRPr="00E46176">
        <w:t>suggest</w:t>
      </w:r>
      <w:r w:rsidRPr="00E46176">
        <w:t>ion</w:t>
      </w:r>
      <w:r w:rsidR="00340234" w:rsidRPr="00E46176">
        <w:t>s</w:t>
      </w:r>
      <w:r w:rsidR="00C10F14" w:rsidRPr="00E46176">
        <w:t xml:space="preserve"> from several groups </w:t>
      </w:r>
      <w:r w:rsidR="00340234" w:rsidRPr="00E46176">
        <w:t xml:space="preserve">around </w:t>
      </w:r>
      <w:r w:rsidR="003F7F97" w:rsidRPr="00E46176">
        <w:t>clear and appropriate assessment criteri</w:t>
      </w:r>
      <w:r w:rsidR="007774AA" w:rsidRPr="00E46176">
        <w:t>on</w:t>
      </w:r>
      <w:r w:rsidR="003F7F97" w:rsidRPr="00E46176">
        <w:t xml:space="preserve"> and marking rubrics.</w:t>
      </w:r>
    </w:p>
    <w:p w14:paraId="000000A5" w14:textId="05113CB4" w:rsidR="00F2278E" w:rsidRPr="00E46176" w:rsidRDefault="008E511C" w:rsidP="007774AA">
      <w:pPr>
        <w:ind w:firstLine="720"/>
      </w:pPr>
      <w:r w:rsidRPr="00E46176">
        <w:t>Several</w:t>
      </w:r>
      <w:r w:rsidR="003F7F97" w:rsidRPr="00E46176">
        <w:t xml:space="preserve"> groups </w:t>
      </w:r>
      <w:r w:rsidR="00BB6A8F" w:rsidRPr="00E46176">
        <w:t xml:space="preserve">also </w:t>
      </w:r>
      <w:r w:rsidR="003F7F97" w:rsidRPr="00E46176">
        <w:t>identified that students did not fully engage with the feedback that was provided, focusing instead on the grade being awarded</w:t>
      </w:r>
      <w:r w:rsidR="00C43CA6" w:rsidRPr="00E46176">
        <w:t xml:space="preserve">. </w:t>
      </w:r>
      <w:r w:rsidR="003F7F97" w:rsidRPr="00E46176">
        <w:t xml:space="preserve"> </w:t>
      </w:r>
    </w:p>
    <w:p w14:paraId="000000A7" w14:textId="220D6FA2" w:rsidR="00F2278E" w:rsidRPr="00E46176" w:rsidRDefault="003F7F97" w:rsidP="00A56D5D">
      <w:pPr>
        <w:pStyle w:val="Quote"/>
        <w:rPr>
          <w:i/>
          <w:iCs/>
        </w:rPr>
      </w:pPr>
      <w:r w:rsidRPr="00E46176">
        <w:t xml:space="preserve"> We see a lot of them fixated on the grades but at the expense of the feedback. (Staff</w:t>
      </w:r>
      <w:r w:rsidR="00DF4D5E" w:rsidRPr="00E46176">
        <w:t>/</w:t>
      </w:r>
      <w:r w:rsidRPr="00E46176">
        <w:t>Leeds 1)</w:t>
      </w:r>
    </w:p>
    <w:p w14:paraId="000000A9" w14:textId="7A710B4E" w:rsidR="00F2278E" w:rsidRPr="00E46176" w:rsidRDefault="003F7F97">
      <w:r w:rsidRPr="00E46176">
        <w:t>This appeared to be a wide-spread issue, although one participant (</w:t>
      </w:r>
      <w:r w:rsidR="00DF4D5E" w:rsidRPr="00E46176">
        <w:t>Staff/</w:t>
      </w:r>
      <w:r w:rsidRPr="00E46176">
        <w:t xml:space="preserve">Ulster 2) indicated that in a minority of cases this linked </w:t>
      </w:r>
      <w:r w:rsidR="00025DD7" w:rsidRPr="00E46176">
        <w:t>to</w:t>
      </w:r>
      <w:r w:rsidRPr="00E46176">
        <w:t xml:space="preserve"> struggl</w:t>
      </w:r>
      <w:r w:rsidR="00025DD7" w:rsidRPr="00E46176">
        <w:t>es</w:t>
      </w:r>
      <w:r w:rsidRPr="00E46176">
        <w:t xml:space="preserve"> to engage due to mental health issues. </w:t>
      </w:r>
      <w:r w:rsidR="00025DD7" w:rsidRPr="00E46176">
        <w:t>Several</w:t>
      </w:r>
      <w:r w:rsidRPr="00E46176">
        <w:t xml:space="preserve"> participants </w:t>
      </w:r>
      <w:r w:rsidR="00F715C1" w:rsidRPr="00E46176">
        <w:t>raised concerns about students</w:t>
      </w:r>
      <w:r w:rsidRPr="00E46176">
        <w:t xml:space="preserve"> feeling a sense of entitlement to good grades, or complaining about their </w:t>
      </w:r>
      <w:r w:rsidR="00025DD7" w:rsidRPr="00E46176">
        <w:t>mark</w:t>
      </w:r>
      <w:r w:rsidRPr="00E46176">
        <w:t xml:space="preserve">s, linked to their payment of </w:t>
      </w:r>
      <w:r w:rsidR="00025DD7" w:rsidRPr="00E46176">
        <w:t xml:space="preserve">tuition </w:t>
      </w:r>
      <w:r w:rsidRPr="00E46176">
        <w:t>fees.</w:t>
      </w:r>
    </w:p>
    <w:p w14:paraId="000000AB" w14:textId="60CC9369" w:rsidR="00F2278E" w:rsidRPr="00E46176" w:rsidRDefault="003F7F97" w:rsidP="007774AA">
      <w:pPr>
        <w:ind w:firstLine="720"/>
      </w:pPr>
      <w:r w:rsidRPr="00E46176">
        <w:t>For studen</w:t>
      </w:r>
      <w:bookmarkStart w:id="21" w:name="_Hlk31888220"/>
      <w:r w:rsidR="006465A9" w:rsidRPr="00E46176">
        <w:t>ts who do engage with feedback,</w:t>
      </w:r>
      <w:r w:rsidRPr="00E46176">
        <w:t xml:space="preserve"> tension </w:t>
      </w:r>
      <w:r w:rsidR="006465A9" w:rsidRPr="00E46176">
        <w:t xml:space="preserve">occurs </w:t>
      </w:r>
      <w:r w:rsidRPr="00E46176">
        <w:t xml:space="preserve">between feedback as a </w:t>
      </w:r>
      <w:r w:rsidR="00264CB4" w:rsidRPr="00E46176">
        <w:t xml:space="preserve">learning </w:t>
      </w:r>
      <w:r w:rsidRPr="00E46176">
        <w:t xml:space="preserve">tool </w:t>
      </w:r>
      <w:r w:rsidR="00264CB4" w:rsidRPr="00E46176">
        <w:t xml:space="preserve">and a threat to </w:t>
      </w:r>
      <w:r w:rsidRPr="00E46176">
        <w:t>mental health and wellbeing</w:t>
      </w:r>
      <w:bookmarkEnd w:id="21"/>
      <w:r w:rsidR="00C43CA6" w:rsidRPr="00E46176">
        <w:t>. P</w:t>
      </w:r>
      <w:r w:rsidRPr="00E46176">
        <w:t xml:space="preserve">articipants referred to students taking feedback personally and </w:t>
      </w:r>
      <w:r w:rsidR="006465A9" w:rsidRPr="00E46176">
        <w:t>experiencing a sense of failure</w:t>
      </w:r>
      <w:r w:rsidRPr="00E46176">
        <w:t xml:space="preserve">. </w:t>
      </w:r>
      <w:r w:rsidR="006465A9" w:rsidRPr="00E46176">
        <w:t>Staff agreed</w:t>
      </w:r>
      <w:r w:rsidRPr="00E46176">
        <w:t xml:space="preserve"> that feedback could trigger a significant af</w:t>
      </w:r>
      <w:r w:rsidR="008E511C" w:rsidRPr="00E46176">
        <w:t>fective reaction</w:t>
      </w:r>
      <w:r w:rsidR="00BB6A8F" w:rsidRPr="00E46176">
        <w:t>:</w:t>
      </w:r>
    </w:p>
    <w:p w14:paraId="710961A3" w14:textId="2D36ACFE" w:rsidR="00BB6A8F" w:rsidRPr="00E46176" w:rsidRDefault="003F7F97" w:rsidP="00926325">
      <w:pPr>
        <w:pStyle w:val="Quote"/>
        <w:rPr>
          <w:i/>
          <w:iCs/>
        </w:rPr>
      </w:pPr>
      <w:r w:rsidRPr="00E46176">
        <w:t>They can take it very personally and then see that as being that they’ve failed, they’re</w:t>
      </w:r>
      <w:r w:rsidR="00DF4D5E" w:rsidRPr="00E46176">
        <w:t xml:space="preserve"> not going to do well. (Staff/</w:t>
      </w:r>
      <w:r w:rsidRPr="00E46176">
        <w:t>UAL 1)</w:t>
      </w:r>
    </w:p>
    <w:p w14:paraId="000000AF" w14:textId="27DB35A6" w:rsidR="00F2278E" w:rsidRPr="00E46176" w:rsidRDefault="006465A9">
      <w:r w:rsidRPr="00E46176">
        <w:t>Such</w:t>
      </w:r>
      <w:r w:rsidR="003F7F97" w:rsidRPr="00E46176">
        <w:t xml:space="preserve"> reaction</w:t>
      </w:r>
      <w:r w:rsidRPr="00E46176">
        <w:t>s</w:t>
      </w:r>
      <w:r w:rsidR="003F7F97" w:rsidRPr="00E46176">
        <w:t xml:space="preserve"> could </w:t>
      </w:r>
      <w:r w:rsidRPr="00E46176">
        <w:t>lead to students becoming upset or</w:t>
      </w:r>
      <w:r w:rsidR="003F7F97" w:rsidRPr="00E46176">
        <w:t xml:space="preserve"> defensive</w:t>
      </w:r>
      <w:r w:rsidRPr="00E46176">
        <w:t xml:space="preserve">, and </w:t>
      </w:r>
      <w:r w:rsidR="003F7F97" w:rsidRPr="00E46176">
        <w:t xml:space="preserve">could lead to a negative response to future assessments </w:t>
      </w:r>
      <w:r w:rsidR="00DF4D5E" w:rsidRPr="00E46176">
        <w:t>(Staff/</w:t>
      </w:r>
      <w:r w:rsidR="003F7F97" w:rsidRPr="00E46176">
        <w:t xml:space="preserve">UAL 1) thus impeding </w:t>
      </w:r>
      <w:r w:rsidRPr="00E46176">
        <w:t>feedback’s</w:t>
      </w:r>
      <w:r w:rsidR="003F7F97" w:rsidRPr="00E46176">
        <w:t xml:space="preserve"> effectiveness as a learning tool.  </w:t>
      </w:r>
      <w:r w:rsidRPr="00E46176">
        <w:t>W</w:t>
      </w:r>
      <w:r w:rsidR="003F7F97" w:rsidRPr="00E46176">
        <w:t xml:space="preserve">here students read their grade before the accompanying feedback, it could also lead to </w:t>
      </w:r>
      <w:r w:rsidR="00E5275B" w:rsidRPr="00E46176">
        <w:t>a</w:t>
      </w:r>
      <w:r w:rsidR="003F7F97" w:rsidRPr="00E46176">
        <w:t xml:space="preserve"> fail</w:t>
      </w:r>
      <w:r w:rsidR="00E5275B" w:rsidRPr="00E46176">
        <w:t xml:space="preserve">ure </w:t>
      </w:r>
      <w:r w:rsidR="003F7F97" w:rsidRPr="00E46176">
        <w:t>to engage with the feedback itself</w:t>
      </w:r>
      <w:r w:rsidR="00340234" w:rsidRPr="00E46176">
        <w:t>.</w:t>
      </w:r>
    </w:p>
    <w:p w14:paraId="000000B0" w14:textId="5ED4F37B" w:rsidR="00F2278E" w:rsidRPr="00E46176" w:rsidRDefault="005166CB" w:rsidP="007774AA">
      <w:pPr>
        <w:ind w:firstLine="720"/>
      </w:pPr>
      <w:r w:rsidRPr="00E46176">
        <w:t>Several</w:t>
      </w:r>
      <w:r w:rsidR="003F7F97" w:rsidRPr="00E46176">
        <w:t xml:space="preserve"> potential solutions were raised to combat this tension. These included</w:t>
      </w:r>
      <w:r w:rsidRPr="00E46176">
        <w:t>:</w:t>
      </w:r>
      <w:r w:rsidR="003F7F97" w:rsidRPr="00E46176">
        <w:t xml:space="preserve"> providing feedback </w:t>
      </w:r>
      <w:r w:rsidRPr="00E46176">
        <w:t>earlier</w:t>
      </w:r>
      <w:r w:rsidR="003F7F97" w:rsidRPr="00E46176">
        <w:t xml:space="preserve"> th</w:t>
      </w:r>
      <w:r w:rsidRPr="00E46176">
        <w:t xml:space="preserve">an the grade awarded; </w:t>
      </w:r>
      <w:r w:rsidR="003F7F97" w:rsidRPr="00E46176">
        <w:t>ensuring students had a clear understanding of the role of feedback</w:t>
      </w:r>
      <w:r w:rsidRPr="00E46176">
        <w:t>;</w:t>
      </w:r>
      <w:r w:rsidR="003F7F97" w:rsidRPr="00E46176">
        <w:t xml:space="preserve"> managing student expectations</w:t>
      </w:r>
      <w:r w:rsidRPr="00E46176">
        <w:t xml:space="preserve">; </w:t>
      </w:r>
      <w:r w:rsidR="003F7F97" w:rsidRPr="00E46176">
        <w:t>holding one-to-one discussions</w:t>
      </w:r>
      <w:r w:rsidRPr="00E46176">
        <w:t xml:space="preserve">; </w:t>
      </w:r>
      <w:r w:rsidR="003F7F97" w:rsidRPr="00E46176">
        <w:t>clearly ‘badging’ feedback given in other forms</w:t>
      </w:r>
      <w:r w:rsidRPr="00E46176">
        <w:t xml:space="preserve"> (e.g. verbally)</w:t>
      </w:r>
      <w:r w:rsidR="00062A37" w:rsidRPr="00E46176">
        <w:t xml:space="preserve"> (Staff/</w:t>
      </w:r>
      <w:r w:rsidR="003F7F97" w:rsidRPr="00E46176">
        <w:t xml:space="preserve">Ulster 2). </w:t>
      </w:r>
    </w:p>
    <w:p w14:paraId="5D47812B" w14:textId="4CB78B9B" w:rsidR="00926325" w:rsidRPr="00E46176" w:rsidRDefault="005166CB" w:rsidP="007774AA">
      <w:pPr>
        <w:ind w:firstLine="720"/>
      </w:pPr>
      <w:r w:rsidRPr="00E46176">
        <w:t>Providing feedback was</w:t>
      </w:r>
      <w:r w:rsidR="00944EF2" w:rsidRPr="00E46176">
        <w:t xml:space="preserve"> </w:t>
      </w:r>
      <w:r w:rsidR="007774AA" w:rsidRPr="00E46176">
        <w:t xml:space="preserve">also </w:t>
      </w:r>
      <w:r w:rsidR="00944EF2" w:rsidRPr="00E46176">
        <w:t>identified as a factor influencing staff wellbeing;</w:t>
      </w:r>
      <w:r w:rsidR="00926325" w:rsidRPr="00E46176">
        <w:t xml:space="preserve"> focus groups highlighted that assessment pressures </w:t>
      </w:r>
      <w:r w:rsidRPr="00E46176">
        <w:t>increase</w:t>
      </w:r>
      <w:r w:rsidR="00926325" w:rsidRPr="00E46176">
        <w:t xml:space="preserve"> as student numbers increase. Bunching of assessment during the summer period, with limited time to mark examinations and attend examination boards was seen as a problem for staff as well as a source of anxiety for students:</w:t>
      </w:r>
    </w:p>
    <w:p w14:paraId="121696F4" w14:textId="7FC6C7BF" w:rsidR="00926325" w:rsidRPr="00E46176" w:rsidRDefault="00926325" w:rsidP="00472C20">
      <w:pPr>
        <w:pStyle w:val="Quote"/>
      </w:pPr>
      <w:r w:rsidRPr="00E46176">
        <w:t>The thing where I feel more powerless is around how the curriculum is delivered: clashing deadlines or bottlenecks of when they really feel the pressure. It's like, "That's something that we are technically in control of." We have developed this curriculum, but that's an area where I don't feel like I can have as much influence. (Staff/Leeds 1)</w:t>
      </w:r>
    </w:p>
    <w:p w14:paraId="198576C1" w14:textId="64AA391E" w:rsidR="00F715C1" w:rsidRPr="00E46176" w:rsidRDefault="005166CB" w:rsidP="00F715C1">
      <w:r w:rsidRPr="00E46176">
        <w:t>S</w:t>
      </w:r>
      <w:r w:rsidR="00F715C1" w:rsidRPr="00E46176">
        <w:t>tudent panels</w:t>
      </w:r>
      <w:r w:rsidRPr="00E46176">
        <w:t xml:space="preserve"> also saw p</w:t>
      </w:r>
      <w:r w:rsidR="00F715C1" w:rsidRPr="00E46176">
        <w:t>ressures on academic staff</w:t>
      </w:r>
      <w:r w:rsidRPr="00E46176">
        <w:t>, which</w:t>
      </w:r>
      <w:r w:rsidR="00F715C1" w:rsidRPr="00E46176">
        <w:t xml:space="preserve"> exacerbat</w:t>
      </w:r>
      <w:r w:rsidRPr="00E46176">
        <w:t xml:space="preserve">ed </w:t>
      </w:r>
      <w:r w:rsidR="00F715C1" w:rsidRPr="00E46176">
        <w:t xml:space="preserve">student </w:t>
      </w:r>
      <w:r w:rsidRPr="00E46176">
        <w:t>stresses</w:t>
      </w:r>
      <w:r w:rsidR="00F715C1" w:rsidRPr="00E46176">
        <w:t>.  Poor pedagogical practices (such as delaying the provision of feedback and marks), poor interpersonal and pastoral relationships, and ‘deli</w:t>
      </w:r>
      <w:r w:rsidRPr="00E46176">
        <w:t>berate bias[ed] marking’, were</w:t>
      </w:r>
      <w:r w:rsidR="00F715C1" w:rsidRPr="00E46176">
        <w:t xml:space="preserve"> identified and perceived as ‘a big trigger’ for student mental health issues (Student/UAL).  </w:t>
      </w:r>
    </w:p>
    <w:p w14:paraId="7B7C5EB8" w14:textId="2CE03DBD" w:rsidR="00BB6A8F" w:rsidRPr="00E46176" w:rsidRDefault="005166CB" w:rsidP="007774AA">
      <w:pPr>
        <w:ind w:firstLine="720"/>
      </w:pPr>
      <w:r w:rsidRPr="00E46176">
        <w:t>P</w:t>
      </w:r>
      <w:r w:rsidR="003F7F97" w:rsidRPr="00E46176">
        <w:t>anels implied that existing feedback practices are often ineffective as a formative learning tool because ‘the quality of feedback and what you do with it is not really very well explained at the moment’ (</w:t>
      </w:r>
      <w:r w:rsidR="00062A37" w:rsidRPr="00E46176">
        <w:t>Student/</w:t>
      </w:r>
      <w:r w:rsidR="003F7F97" w:rsidRPr="00E46176">
        <w:t>Leeds)</w:t>
      </w:r>
      <w:r w:rsidR="00C43CA6" w:rsidRPr="00E46176">
        <w:t xml:space="preserve">. </w:t>
      </w:r>
    </w:p>
    <w:p w14:paraId="000000B2" w14:textId="15DA36EC" w:rsidR="00F2278E" w:rsidRPr="00E46176" w:rsidRDefault="003F7F97">
      <w:pPr>
        <w:pStyle w:val="Quote"/>
      </w:pPr>
      <w:r w:rsidRPr="00E46176">
        <w:t xml:space="preserve"> </w:t>
      </w:r>
      <w:r w:rsidR="008E511C" w:rsidRPr="00E46176">
        <w:t>W</w:t>
      </w:r>
      <w:r w:rsidRPr="00E46176">
        <w:t>e sometimes feel like people can take feedback personally, the way it’s portrayed. Sometimes, it’s not portrayed in a way where you struggle to take that on-board because, sometimes, it’s not constructive, it’s just criticism … and I think that</w:t>
      </w:r>
      <w:r w:rsidR="008E511C" w:rsidRPr="00E46176">
        <w:t xml:space="preserve"> affects people’s mental health</w:t>
      </w:r>
      <w:r w:rsidRPr="00E46176">
        <w:t xml:space="preserve"> (</w:t>
      </w:r>
      <w:r w:rsidR="00062A37" w:rsidRPr="00E46176">
        <w:t>Student/</w:t>
      </w:r>
      <w:r w:rsidRPr="00E46176">
        <w:t>Leeds).</w:t>
      </w:r>
    </w:p>
    <w:p w14:paraId="000000B3" w14:textId="650B4683" w:rsidR="00F2278E" w:rsidRPr="00E46176" w:rsidRDefault="003F7F97">
      <w:r w:rsidRPr="00E46176">
        <w:t>Students advocated additional ‘support understanding how to use feedback constructively to make your work better’ (</w:t>
      </w:r>
      <w:r w:rsidR="00062A37" w:rsidRPr="00E46176">
        <w:t>Student/</w:t>
      </w:r>
      <w:r w:rsidRPr="00E46176">
        <w:t xml:space="preserve">Leeds). </w:t>
      </w:r>
      <w:r w:rsidRPr="00E46176">
        <w:rPr>
          <w:rFonts w:eastAsia="Times New Roman"/>
        </w:rPr>
        <w:t xml:space="preserve"> </w:t>
      </w:r>
      <w:r w:rsidRPr="00E46176">
        <w:t>Identifying the receipt of assessment results as a</w:t>
      </w:r>
      <w:r w:rsidR="00903D6C" w:rsidRPr="00E46176">
        <w:t>n</w:t>
      </w:r>
      <w:r w:rsidR="00264CB4" w:rsidRPr="00E46176">
        <w:t xml:space="preserve"> </w:t>
      </w:r>
      <w:r w:rsidR="00903D6C" w:rsidRPr="00E46176">
        <w:t xml:space="preserve">emotional </w:t>
      </w:r>
      <w:r w:rsidR="00264CB4" w:rsidRPr="00E46176">
        <w:t>threat</w:t>
      </w:r>
      <w:r w:rsidRPr="00E46176">
        <w:t xml:space="preserve">, panels advocated </w:t>
      </w:r>
      <w:r w:rsidR="00264CB4" w:rsidRPr="00E46176">
        <w:t>‘</w:t>
      </w:r>
      <w:r w:rsidRPr="00E46176">
        <w:t>more psychological preparation for how to re</w:t>
      </w:r>
      <w:r w:rsidR="008E511C" w:rsidRPr="00E46176">
        <w:t>act to different results</w:t>
      </w:r>
      <w:r w:rsidR="00264CB4" w:rsidRPr="00E46176">
        <w:t>’</w:t>
      </w:r>
      <w:r w:rsidRPr="00E46176">
        <w:t xml:space="preserve"> (</w:t>
      </w:r>
      <w:r w:rsidR="00062A37" w:rsidRPr="00E46176">
        <w:t>Student/</w:t>
      </w:r>
      <w:r w:rsidRPr="00E46176">
        <w:t>Strathclyde) with close</w:t>
      </w:r>
      <w:r w:rsidR="00903D6C" w:rsidRPr="00E46176">
        <w:t>r links with ‘academic services [</w:t>
      </w:r>
      <w:r w:rsidRPr="00E46176">
        <w:t>...</w:t>
      </w:r>
      <w:r w:rsidR="00903D6C" w:rsidRPr="00E46176">
        <w:t>]</w:t>
      </w:r>
      <w:r w:rsidRPr="00E46176">
        <w:t xml:space="preserve"> counselling help and wellbeing services that the</w:t>
      </w:r>
      <w:r w:rsidR="00755712" w:rsidRPr="00E46176">
        <w:t xml:space="preserve"> </w:t>
      </w:r>
      <w:r w:rsidRPr="00E46176">
        <w:t>students can access off the back of receiving their feedback’ (</w:t>
      </w:r>
      <w:r w:rsidR="00062A37" w:rsidRPr="00E46176">
        <w:t>Student/</w:t>
      </w:r>
      <w:r w:rsidRPr="00E46176">
        <w:t xml:space="preserve">Leeds). </w:t>
      </w:r>
    </w:p>
    <w:p w14:paraId="000000C1" w14:textId="60184973" w:rsidR="00F2278E" w:rsidRPr="00E46176" w:rsidRDefault="003F7F97" w:rsidP="00A56D5D">
      <w:pPr>
        <w:pStyle w:val="Heading2"/>
        <w:rPr>
          <w:b w:val="0"/>
        </w:rPr>
      </w:pPr>
      <w:bookmarkStart w:id="22" w:name="_120h2o5blatx" w:colFirst="0" w:colLast="0"/>
      <w:bookmarkStart w:id="23" w:name="_1yjn2330gl69" w:colFirst="0" w:colLast="0"/>
      <w:bookmarkEnd w:id="22"/>
      <w:bookmarkEnd w:id="23"/>
      <w:r w:rsidRPr="00E46176">
        <w:t>Discussion</w:t>
      </w:r>
    </w:p>
    <w:p w14:paraId="40843FB5" w14:textId="268F0782" w:rsidR="00903D6C" w:rsidRPr="00E46176" w:rsidRDefault="005225DB" w:rsidP="005A60C9">
      <w:pPr>
        <w:pStyle w:val="NoSpacing"/>
        <w:spacing w:line="480" w:lineRule="auto"/>
        <w:rPr>
          <w:rFonts w:ascii="Times New Roman" w:hAnsi="Times New Roman" w:cs="Times New Roman"/>
          <w:sz w:val="24"/>
          <w:szCs w:val="24"/>
        </w:rPr>
      </w:pPr>
      <w:r w:rsidRPr="00E46176">
        <w:rPr>
          <w:rFonts w:ascii="Times New Roman" w:hAnsi="Times New Roman" w:cs="Times New Roman"/>
          <w:sz w:val="24"/>
          <w:szCs w:val="24"/>
        </w:rPr>
        <w:t xml:space="preserve">Assessment lies at the heart of higher education (QAA, 2018) and, as such, any whole university approach to student wellbeing must incorporate a consideration of </w:t>
      </w:r>
      <w:r w:rsidR="00903D6C" w:rsidRPr="00E46176">
        <w:rPr>
          <w:rFonts w:ascii="Times New Roman" w:hAnsi="Times New Roman" w:cs="Times New Roman"/>
          <w:sz w:val="24"/>
          <w:szCs w:val="24"/>
        </w:rPr>
        <w:t>how</w:t>
      </w:r>
      <w:r w:rsidRPr="00E46176">
        <w:rPr>
          <w:rFonts w:ascii="Times New Roman" w:hAnsi="Times New Roman" w:cs="Times New Roman"/>
          <w:sz w:val="24"/>
          <w:szCs w:val="24"/>
        </w:rPr>
        <w:t xml:space="preserve"> assessment design and practices impact on wellbeing and, conversely, how wellbeing impacts upon assessment itself (</w:t>
      </w:r>
      <w:r w:rsidR="004B1040" w:rsidRPr="00E46176">
        <w:rPr>
          <w:rFonts w:ascii="Times New Roman" w:hAnsi="Times New Roman" w:cs="Times New Roman"/>
          <w:sz w:val="24"/>
          <w:szCs w:val="24"/>
        </w:rPr>
        <w:t>Houghton and Anderson, 2017</w:t>
      </w:r>
      <w:r w:rsidR="004B1040">
        <w:rPr>
          <w:rFonts w:ascii="Times New Roman" w:hAnsi="Times New Roman" w:cs="Times New Roman"/>
          <w:sz w:val="24"/>
          <w:szCs w:val="24"/>
        </w:rPr>
        <w:t xml:space="preserve">; </w:t>
      </w:r>
      <w:r w:rsidR="00995E63" w:rsidRPr="00E46176">
        <w:rPr>
          <w:rFonts w:ascii="Times New Roman" w:hAnsi="Times New Roman" w:cs="Times New Roman"/>
          <w:sz w:val="24"/>
          <w:szCs w:val="24"/>
        </w:rPr>
        <w:t xml:space="preserve">Hughes &amp; Spanner, 2019; </w:t>
      </w:r>
      <w:r w:rsidRPr="00E46176">
        <w:rPr>
          <w:rFonts w:ascii="Times New Roman" w:hAnsi="Times New Roman" w:cs="Times New Roman"/>
          <w:sz w:val="24"/>
          <w:szCs w:val="24"/>
        </w:rPr>
        <w:t>Pascoe, Hetrick &amp; Parker, 2019).</w:t>
      </w:r>
      <w:r w:rsidR="008321D0" w:rsidRPr="00E46176">
        <w:rPr>
          <w:rFonts w:ascii="Times New Roman" w:hAnsi="Times New Roman" w:cs="Times New Roman"/>
          <w:sz w:val="24"/>
          <w:szCs w:val="24"/>
        </w:rPr>
        <w:t xml:space="preserve"> </w:t>
      </w:r>
    </w:p>
    <w:p w14:paraId="59E0DCDD" w14:textId="2E277723" w:rsidR="00053BA6" w:rsidRPr="00E46176" w:rsidRDefault="00566118" w:rsidP="00AB1512">
      <w:pPr>
        <w:ind w:firstLine="720"/>
      </w:pPr>
      <w:r w:rsidRPr="00E46176">
        <w:t xml:space="preserve">The tensions identified in this paper each reflect ways in which assessment design and practice intersect with student wellbeing. The initial theme of challenge versus threat is arguably the most over-arching, as it focuses upon the balancing act required to ensure assessment is sufficiently rigorous and challenging to </w:t>
      </w:r>
      <w:r w:rsidR="0025147B" w:rsidRPr="00E46176">
        <w:t xml:space="preserve">support student growth and </w:t>
      </w:r>
      <w:r w:rsidRPr="00E46176">
        <w:t xml:space="preserve">meet internal and external benchmarks, whilst acknowledging that this may have negative implications for </w:t>
      </w:r>
      <w:r w:rsidR="00053BA6" w:rsidRPr="00E46176">
        <w:t xml:space="preserve">student </w:t>
      </w:r>
      <w:r w:rsidRPr="00E46176">
        <w:t xml:space="preserve">wellbeing.  </w:t>
      </w:r>
      <w:r w:rsidR="00E75AD5" w:rsidRPr="00E46176">
        <w:t xml:space="preserve">However, appraisals of challenge and threat will always be subjective, and therefore so will be the appropriate scope, difficulty and frequency of assessment for individual students. </w:t>
      </w:r>
    </w:p>
    <w:p w14:paraId="584AF5A5" w14:textId="05DA1EE3" w:rsidR="003E0EAA" w:rsidRPr="00E46176" w:rsidRDefault="00053BA6" w:rsidP="00AB1512">
      <w:pPr>
        <w:ind w:firstLine="720"/>
      </w:pPr>
      <w:r w:rsidRPr="00E46176">
        <w:t xml:space="preserve">This tension also intersects with others, for example, by highlighting the difficulties of high-stakes, traditional examination formats and the practical and pedagogic difficulties of </w:t>
      </w:r>
      <w:r w:rsidR="00D23C61" w:rsidRPr="00E46176">
        <w:t xml:space="preserve">novel </w:t>
      </w:r>
      <w:r w:rsidRPr="00E46176">
        <w:t>alternatives.</w:t>
      </w:r>
      <w:r w:rsidR="00E75AD5" w:rsidRPr="00E46176">
        <w:t xml:space="preserve"> S</w:t>
      </w:r>
      <w:r w:rsidR="00323FA3" w:rsidRPr="00E46176">
        <w:t>ome types of assessment, such as exam</w:t>
      </w:r>
      <w:r w:rsidR="005A35FA">
        <w:t>ination</w:t>
      </w:r>
      <w:r w:rsidR="00323FA3" w:rsidRPr="00E46176">
        <w:t>s, can generate feelings of anxiety</w:t>
      </w:r>
      <w:r w:rsidR="00A355AD" w:rsidRPr="00E46176">
        <w:t xml:space="preserve"> as they are time pressured and test content is </w:t>
      </w:r>
      <w:r w:rsidR="00323FA3" w:rsidRPr="00E46176">
        <w:t>unknown</w:t>
      </w:r>
      <w:r w:rsidR="00A355AD" w:rsidRPr="00E46176">
        <w:t xml:space="preserve">. </w:t>
      </w:r>
      <w:r w:rsidR="00323FA3" w:rsidRPr="00E46176">
        <w:t xml:space="preserve"> </w:t>
      </w:r>
      <w:r w:rsidR="00030804" w:rsidRPr="00E46176">
        <w:t xml:space="preserve">However, </w:t>
      </w:r>
      <w:r w:rsidR="00A355AD" w:rsidRPr="00E46176">
        <w:t>i</w:t>
      </w:r>
      <w:r w:rsidR="007254A6" w:rsidRPr="00E46176">
        <w:t>ntroduction of new assessment can adversely impact on student wellbeing, for example, student unfamiliarity with agentic and authentic self-assessment practices can result in increased stress or disengagement among some students</w:t>
      </w:r>
      <w:r w:rsidR="005A60C9" w:rsidRPr="00E46176">
        <w:t xml:space="preserve"> (Nieminen &amp; Tuohilampi</w:t>
      </w:r>
      <w:r w:rsidR="00A355AD" w:rsidRPr="00E46176">
        <w:t xml:space="preserve">, 2020). </w:t>
      </w:r>
      <w:r w:rsidR="003E0EAA" w:rsidRPr="00E46176">
        <w:t xml:space="preserve">Considering how to evaluate what is ‘stressful’ about assessment needs to take these complications into account. </w:t>
      </w:r>
    </w:p>
    <w:p w14:paraId="1F9C0891" w14:textId="2C094459" w:rsidR="00CF595E" w:rsidRPr="00E46176" w:rsidRDefault="00D23C61" w:rsidP="008640B2">
      <w:pPr>
        <w:ind w:firstLine="720"/>
      </w:pPr>
      <w:r w:rsidRPr="00E46176">
        <w:t>The notion of challenge versus threat is also exemplified when exploring the tension between collaborative and individual assessment. S</w:t>
      </w:r>
      <w:r w:rsidR="00CF595E" w:rsidRPr="00E46176">
        <w:t>ocial and oral assessment are intrinsic to socio-constructivist pedagogical approaches and the authentic needs</w:t>
      </w:r>
      <w:r w:rsidRPr="00E46176">
        <w:t xml:space="preserve"> of various employment contexts and may also ameliorate student isolation. However,</w:t>
      </w:r>
      <w:r w:rsidR="00CF595E" w:rsidRPr="00E46176">
        <w:t xml:space="preserve"> the perceived threat of public failure may manifest in presentation anxiety which can threaten student wellbeing</w:t>
      </w:r>
      <w:r w:rsidRPr="00E46176">
        <w:t>, particularly for those who already experience social anxiety.</w:t>
      </w:r>
      <w:r w:rsidR="00F23F27" w:rsidRPr="00E46176">
        <w:t xml:space="preserve"> </w:t>
      </w:r>
      <w:r w:rsidRPr="00E46176">
        <w:t>P</w:t>
      </w:r>
      <w:r w:rsidR="00CF595E" w:rsidRPr="00E46176">
        <w:t>rior literature has suggested specific curricula support may develop presentation self-efficacy and performance (Nash, Crimmins &amp; Oprescu, 2015</w:t>
      </w:r>
      <w:r w:rsidR="004B1040">
        <w:t>; Tsang, 2020</w:t>
      </w:r>
      <w:r w:rsidR="00CF595E" w:rsidRPr="00E46176">
        <w:t>).</w:t>
      </w:r>
      <w:r w:rsidRPr="00E46176">
        <w:t xml:space="preserve"> However, this may be difficult to design and operationalise</w:t>
      </w:r>
      <w:r w:rsidR="008640B2" w:rsidRPr="00E46176">
        <w:t xml:space="preserve"> in practice.</w:t>
      </w:r>
    </w:p>
    <w:p w14:paraId="20DC1E33" w14:textId="3638C5E8" w:rsidR="004D2E3E" w:rsidRPr="00E46176" w:rsidRDefault="00D23C61" w:rsidP="009D010D">
      <w:pPr>
        <w:ind w:firstLine="720"/>
      </w:pPr>
      <w:r w:rsidRPr="00E46176">
        <w:t xml:space="preserve">This issue of practicality in assessment is key as helping students to achieve their full </w:t>
      </w:r>
      <w:r w:rsidR="00B479C9">
        <w:t xml:space="preserve">potential </w:t>
      </w:r>
      <w:r w:rsidRPr="00E46176">
        <w:t xml:space="preserve">as time and resources are finite within university settings and staff need to work within practical limits.  </w:t>
      </w:r>
      <w:r w:rsidR="008640B2" w:rsidRPr="00E46176">
        <w:t>Where these are disregarded, the impact upon staff wellbeing could be significant (Henderson, Ryan and Phillips, 2019).</w:t>
      </w:r>
      <w:r w:rsidR="00FB5732" w:rsidRPr="00E46176">
        <w:t xml:space="preserve"> </w:t>
      </w:r>
      <w:r w:rsidRPr="00E46176">
        <w:t>Supporting the specific needs of students by making reasonable adjustments to assessments is necessary, both legally and ethically. How</w:t>
      </w:r>
      <w:r w:rsidR="00FB5732" w:rsidRPr="00E46176">
        <w:t>e</w:t>
      </w:r>
      <w:r w:rsidRPr="00E46176">
        <w:t>ver, while individualising assessment might add choice and recognise individual needs, it can increase visibility of these needs</w:t>
      </w:r>
      <w:r w:rsidR="00FB5732" w:rsidRPr="00E46176">
        <w:t xml:space="preserve"> and increase the strain on staff and resources</w:t>
      </w:r>
      <w:r w:rsidR="00127A54" w:rsidRPr="00E46176">
        <w:t xml:space="preserve"> as well as making </w:t>
      </w:r>
      <w:r w:rsidR="007C06C2" w:rsidRPr="00E46176">
        <w:t>assessment quality assuranc</w:t>
      </w:r>
      <w:r w:rsidR="00127A54" w:rsidRPr="00E46176">
        <w:t>e more difficult</w:t>
      </w:r>
      <w:r w:rsidR="007C06C2" w:rsidRPr="00E46176">
        <w:t xml:space="preserve">. </w:t>
      </w:r>
    </w:p>
    <w:p w14:paraId="51625C3E" w14:textId="6543C353" w:rsidR="00D23C61" w:rsidRPr="00E46176" w:rsidRDefault="0000116E" w:rsidP="0000116E">
      <w:r w:rsidRPr="00E46176">
        <w:tab/>
        <w:t>The final tension identified, that of giving feedback versus receiving criticism, also demonstrates the difficult balance to be struck between the ideal of personalised, detailed feedback and the practical pressures which large student numbers and high intensity marking place upon staff and resources. Once again, the tension of challenge versus threat is illustrated in the need to ensure critique is absorbed and reflected upon to facilitate learning whilst acknowledging the ways in which students may internalise and react to this in negative ways, potentially impacting upon their wellbeing.</w:t>
      </w:r>
    </w:p>
    <w:p w14:paraId="200CAF9A" w14:textId="607619AF" w:rsidR="000936B8" w:rsidRPr="00E46176" w:rsidRDefault="00566118" w:rsidP="000936B8">
      <w:pPr>
        <w:ind w:firstLine="720"/>
      </w:pPr>
      <w:r w:rsidRPr="00E46176">
        <w:t>This paper makes</w:t>
      </w:r>
      <w:r w:rsidR="00B70CBB" w:rsidRPr="00E46176">
        <w:t xml:space="preserve"> a significant contribution to</w:t>
      </w:r>
      <w:r w:rsidRPr="00E46176">
        <w:t xml:space="preserve"> literature around assessment design in relation to student wellbeing, particularly relevant at a time when there is sizea</w:t>
      </w:r>
      <w:r w:rsidR="00B70CBB" w:rsidRPr="00E46176">
        <w:t>ble concern around this issue. S</w:t>
      </w:r>
      <w:r w:rsidRPr="00E46176">
        <w:t>tudent mental health and wellbeing have previously been seen as pastoral issues, separate from the c</w:t>
      </w:r>
      <w:r w:rsidR="004D2E3E" w:rsidRPr="00E46176">
        <w:t xml:space="preserve">ore business of the university. However, the findings in this paper demonstrate that the intersections and interactions between assessment design, delivery, familiarity, and feedback and student wellbeing need to be explicitly acknowledged and explored within assessment strategy as part of a whole university approach (Hughes &amp; Spanner, 2019). </w:t>
      </w:r>
    </w:p>
    <w:p w14:paraId="7207F01E" w14:textId="6011DD8E" w:rsidR="00AB1512" w:rsidRPr="00E46176" w:rsidRDefault="004D2E3E" w:rsidP="000936B8">
      <w:pPr>
        <w:ind w:firstLine="720"/>
      </w:pPr>
      <w:r w:rsidRPr="00E46176">
        <w:t>The concept of a balancing act is particularly salient, given significant differentials in assessment aims and objectives within and across universities,</w:t>
      </w:r>
      <w:r w:rsidR="000936B8" w:rsidRPr="00E46176">
        <w:t xml:space="preserve"> disciplines and context. T</w:t>
      </w:r>
      <w:r w:rsidR="00566118" w:rsidRPr="00E46176">
        <w:t xml:space="preserve">his paper demonstrates that there is not a ‘one size fits all’ solution to the difficulties inherent in supporting student wellbeing and assessing learning. </w:t>
      </w:r>
      <w:r w:rsidR="000936B8" w:rsidRPr="00E46176">
        <w:t>It emphasises that</w:t>
      </w:r>
      <w:r w:rsidR="00AB1512" w:rsidRPr="00E46176">
        <w:t xml:space="preserve"> staff and students ‘have valuable knowledge through experience and individual context’ (Piper &amp; Emmanuel, 2019, p.16),</w:t>
      </w:r>
      <w:r w:rsidR="000936B8" w:rsidRPr="00E46176">
        <w:t xml:space="preserve"> and seeks to use the notions of tensions to ensure that resulting strategies can</w:t>
      </w:r>
      <w:r w:rsidR="00AB1512" w:rsidRPr="00E46176">
        <w:t xml:space="preserve"> grounded in the specific challenges and support needs of the diverse university community.</w:t>
      </w:r>
    </w:p>
    <w:p w14:paraId="5281ED42" w14:textId="0A0F88C4" w:rsidR="004752AB" w:rsidRPr="00E46176" w:rsidRDefault="00AB1512" w:rsidP="00AB1512">
      <w:pPr>
        <w:ind w:firstLine="720"/>
      </w:pPr>
      <w:r w:rsidRPr="00E46176">
        <w:t xml:space="preserve">The nationally-collected data-set, with diverse staff and student voices, is a particular strength of this paper. However, these staff and students were self-selecting, potentially leading to a sample that had particularly strong views on the effect of mental health and wellbeing on learning.  Using </w:t>
      </w:r>
      <w:r w:rsidR="00053DAE" w:rsidRPr="00E46176">
        <w:t xml:space="preserve">staff and student datasets allows for interesting commonalities and </w:t>
      </w:r>
      <w:r w:rsidR="002344B1" w:rsidRPr="00E46176">
        <w:t>comparisons</w:t>
      </w:r>
      <w:r w:rsidR="00053DAE" w:rsidRPr="00E46176">
        <w:t xml:space="preserve"> to be drawn. For example, the shared critique of examinations is tempered in staff responses by awareness of the difficulties involved in designing inclusive assessment and catering for individual adjustments in terms of practical resources and their own wellbeing. For students, there is more emphasis on the potential wellbeing benefits of differentiated assessment and the provision of greater choice and flexibility.</w:t>
      </w:r>
      <w:r w:rsidR="0053262B" w:rsidRPr="00E46176">
        <w:t xml:space="preserve"> </w:t>
      </w:r>
      <w:r w:rsidR="004752AB" w:rsidRPr="00E46176">
        <w:t xml:space="preserve">   </w:t>
      </w:r>
    </w:p>
    <w:p w14:paraId="000000CA" w14:textId="3A1EFAE7" w:rsidR="00F2278E" w:rsidRPr="00E46176" w:rsidRDefault="003F7F97">
      <w:pPr>
        <w:pStyle w:val="Heading2"/>
        <w:rPr>
          <w:b w:val="0"/>
        </w:rPr>
      </w:pPr>
      <w:bookmarkStart w:id="24" w:name="_it6zo15qeku1" w:colFirst="0" w:colLast="0"/>
      <w:bookmarkEnd w:id="24"/>
      <w:r w:rsidRPr="00E46176">
        <w:t>Conclusion</w:t>
      </w:r>
    </w:p>
    <w:p w14:paraId="70E8D767" w14:textId="1D157616" w:rsidR="00DD360B" w:rsidRPr="00E46176" w:rsidRDefault="00AB1512">
      <w:r w:rsidRPr="00E46176">
        <w:t>T</w:t>
      </w:r>
      <w:r w:rsidR="00DD360B" w:rsidRPr="00E46176">
        <w:t>here is unlikely to be one ‘ideal’ resolution to any of the tensions</w:t>
      </w:r>
      <w:r w:rsidR="00EF22BC" w:rsidRPr="00E46176">
        <w:t xml:space="preserve"> which arise between assessment and student wellbeing</w:t>
      </w:r>
      <w:r w:rsidR="00DD360B" w:rsidRPr="00E46176">
        <w:t xml:space="preserve">. The diversity that exists within the student population, and in the disciplines and institutions of higher education, mean that </w:t>
      </w:r>
      <w:r w:rsidR="00EF22BC" w:rsidRPr="00E46176">
        <w:t>any attempt at</w:t>
      </w:r>
      <w:r w:rsidR="00DD360B" w:rsidRPr="00E46176">
        <w:t xml:space="preserve"> resolution will require a sustained and detailed critique of assessment design and practices within individual contexts, with the student voice forming a</w:t>
      </w:r>
      <w:r w:rsidR="00EF22BC" w:rsidRPr="00E46176">
        <w:t>n integral part of this dialogue</w:t>
      </w:r>
      <w:r w:rsidR="00DD360B" w:rsidRPr="00E46176">
        <w:t xml:space="preserve"> (Piper &amp; Emmanuel, 2019)</w:t>
      </w:r>
      <w:r w:rsidR="00EF22BC" w:rsidRPr="00E46176">
        <w:t>, to identify the appropriate balancing act to be struck.</w:t>
      </w:r>
      <w:r w:rsidR="003E65F0" w:rsidRPr="00E46176">
        <w:t xml:space="preserve">  </w:t>
      </w:r>
      <w:r w:rsidR="00EF22BC" w:rsidRPr="00E46176">
        <w:t>This paper provide</w:t>
      </w:r>
      <w:r w:rsidRPr="00E46176">
        <w:t>s a data-driven exploration of</w:t>
      </w:r>
      <w:r w:rsidR="00EF22BC" w:rsidRPr="00E46176">
        <w:t xml:space="preserve"> key tensions which form</w:t>
      </w:r>
      <w:r w:rsidR="003E65F0" w:rsidRPr="00E46176">
        <w:t>s</w:t>
      </w:r>
      <w:r w:rsidR="00EF22BC" w:rsidRPr="00E46176">
        <w:t xml:space="preserve"> the basis for such a critique</w:t>
      </w:r>
      <w:r w:rsidR="003E65F0" w:rsidRPr="00E46176">
        <w:t xml:space="preserve">, </w:t>
      </w:r>
      <w:r w:rsidR="00EF22BC" w:rsidRPr="00E46176">
        <w:t xml:space="preserve">allowing for a proactive and reflective discussion </w:t>
      </w:r>
      <w:r w:rsidR="003E65F0" w:rsidRPr="00E46176">
        <w:t xml:space="preserve">of </w:t>
      </w:r>
      <w:r w:rsidR="00EF22BC" w:rsidRPr="00E46176">
        <w:t xml:space="preserve">assessment as part of </w:t>
      </w:r>
      <w:r w:rsidR="003E65F0" w:rsidRPr="00E46176">
        <w:t>the</w:t>
      </w:r>
      <w:r w:rsidR="00EF22BC" w:rsidRPr="00E46176">
        <w:t xml:space="preserve"> whole university approach to wellbeing</w:t>
      </w:r>
      <w:r w:rsidR="004C6780" w:rsidRPr="00E46176">
        <w:t xml:space="preserve">; as such, it has implications for practice across the higher education sector. </w:t>
      </w:r>
    </w:p>
    <w:p w14:paraId="000000CE" w14:textId="77777777" w:rsidR="00F2278E" w:rsidRPr="00E46176" w:rsidRDefault="003F7F97">
      <w:pPr>
        <w:pStyle w:val="Heading2"/>
        <w:rPr>
          <w:b w:val="0"/>
          <w:lang w:val="de-DE"/>
        </w:rPr>
      </w:pPr>
      <w:bookmarkStart w:id="25" w:name="_zcj09ul82snt" w:colFirst="0" w:colLast="0"/>
      <w:bookmarkEnd w:id="25"/>
      <w:r w:rsidRPr="00E46176">
        <w:rPr>
          <w:lang w:val="de-DE"/>
        </w:rPr>
        <w:t>References</w:t>
      </w:r>
    </w:p>
    <w:p w14:paraId="000000D0" w14:textId="77777777" w:rsidR="00F2278E" w:rsidRPr="00E46176" w:rsidRDefault="003F7F97">
      <w:r w:rsidRPr="00E46176">
        <w:rPr>
          <w:lang w:val="de-DE"/>
        </w:rPr>
        <w:t xml:space="preserve">Bewick, B., Gill, J., Mulhern, B., &amp; Barkham, M. (2008). </w:t>
      </w:r>
      <w:r w:rsidRPr="00E46176">
        <w:t xml:space="preserve">Using Electronic Surveying to Assess Psychological Distress within the UK University Student Population: A multi-site Pilot Investigation. </w:t>
      </w:r>
      <w:r w:rsidRPr="00E46176">
        <w:rPr>
          <w:i/>
        </w:rPr>
        <w:t>E-Journal of Applied Psychology</w:t>
      </w:r>
      <w:r w:rsidRPr="00E46176">
        <w:t>, 4(2): pp. 1-5.</w:t>
      </w:r>
    </w:p>
    <w:p w14:paraId="000000D1" w14:textId="3A3CB94A" w:rsidR="00F2278E" w:rsidRPr="00E46176" w:rsidRDefault="003F7F97">
      <w:r w:rsidRPr="00E46176">
        <w:t xml:space="preserve">Bewick, B., Koutsopoulou, Z., Miles, J., Slaa, E., &amp; Barkham, M. (2010). Changes in Undergraduate Students’ Psychological Well-being as they Progress through University. </w:t>
      </w:r>
      <w:r w:rsidRPr="00E46176">
        <w:rPr>
          <w:i/>
        </w:rPr>
        <w:t>Studies in Higher Education</w:t>
      </w:r>
      <w:r w:rsidRPr="00E46176">
        <w:t>, 35 (1), pp.633–645.</w:t>
      </w:r>
    </w:p>
    <w:p w14:paraId="469D0BCC" w14:textId="6E55CA3D" w:rsidR="00024CCC" w:rsidRPr="00E46176" w:rsidRDefault="00024CCC">
      <w:r w:rsidRPr="00E46176">
        <w:rPr>
          <w:color w:val="000000"/>
          <w:bdr w:val="none" w:sz="0" w:space="0" w:color="auto" w:frame="1"/>
          <w:shd w:val="clear" w:color="auto" w:fill="FFFFFF"/>
        </w:rPr>
        <w:t>Bloodgood, R., Short, J., Jackson, J., Martindale, J. (2009). A change to pass/fail grading in the first two years at one medical school results in improved psychological well-being. </w:t>
      </w:r>
      <w:r w:rsidRPr="00E46176">
        <w:rPr>
          <w:i/>
          <w:iCs/>
          <w:color w:val="000000"/>
          <w:bdr w:val="none" w:sz="0" w:space="0" w:color="auto" w:frame="1"/>
          <w:shd w:val="clear" w:color="auto" w:fill="FFFFFF"/>
        </w:rPr>
        <w:t>Academic Medicine</w:t>
      </w:r>
      <w:r w:rsidRPr="00E46176">
        <w:rPr>
          <w:color w:val="000000"/>
          <w:bdr w:val="none" w:sz="0" w:space="0" w:color="auto" w:frame="1"/>
          <w:shd w:val="clear" w:color="auto" w:fill="FFFFFF"/>
        </w:rPr>
        <w:t>, 84(5), pp.</w:t>
      </w:r>
      <w:r w:rsidRPr="00E46176">
        <w:rPr>
          <w:color w:val="000000"/>
          <w:shd w:val="clear" w:color="auto" w:fill="FFFFFF"/>
        </w:rPr>
        <w:t>655–662.</w:t>
      </w:r>
    </w:p>
    <w:p w14:paraId="000000D5" w14:textId="737FB97E" w:rsidR="00F2278E" w:rsidRPr="00E46176" w:rsidRDefault="00C50085">
      <w:r w:rsidRPr="00E46176">
        <w:t>Boud, D. &amp;</w:t>
      </w:r>
      <w:r w:rsidR="003F7F97" w:rsidRPr="00E46176">
        <w:t xml:space="preserve"> Molloy, E. (2013) Feedback in Higher and Professional Education: Understanding It and Doing It Well, Routledge, London and New York.</w:t>
      </w:r>
    </w:p>
    <w:p w14:paraId="5A9F3219" w14:textId="3EAC5CD8" w:rsidR="00C50085" w:rsidRPr="00E46176" w:rsidRDefault="00C50085">
      <w:r w:rsidRPr="00E46176">
        <w:rPr>
          <w:shd w:val="clear" w:color="auto" w:fill="FFFFFF"/>
        </w:rPr>
        <w:t>Braun, V. &amp; Clarke, V. (2006). Using thematic analysis in psychology. </w:t>
      </w:r>
      <w:r w:rsidRPr="00E46176">
        <w:rPr>
          <w:i/>
          <w:iCs/>
          <w:shd w:val="clear" w:color="auto" w:fill="FFFFFF"/>
        </w:rPr>
        <w:t>Qualitative research in psychology</w:t>
      </w:r>
      <w:r w:rsidRPr="00E46176">
        <w:rPr>
          <w:shd w:val="clear" w:color="auto" w:fill="FFFFFF"/>
        </w:rPr>
        <w:t>, </w:t>
      </w:r>
      <w:r w:rsidRPr="00E46176">
        <w:rPr>
          <w:i/>
          <w:iCs/>
          <w:shd w:val="clear" w:color="auto" w:fill="FFFFFF"/>
        </w:rPr>
        <w:t xml:space="preserve">3 </w:t>
      </w:r>
      <w:r w:rsidRPr="00E46176">
        <w:rPr>
          <w:shd w:val="clear" w:color="auto" w:fill="FFFFFF"/>
        </w:rPr>
        <w:t>(2), 77-101.</w:t>
      </w:r>
    </w:p>
    <w:p w14:paraId="000000D6" w14:textId="77777777" w:rsidR="00F2278E" w:rsidRPr="00E46176" w:rsidRDefault="003F7F97" w:rsidP="00A56D5D">
      <w:r w:rsidRPr="00E46176">
        <w:t>Brown, P. (2016). The Invisible Problem? Improving Students’ Mental Health. Higher Education Policy Institute (HEPI) Report 88. Available from</w:t>
      </w:r>
      <w:hyperlink r:id="rId11">
        <w:r w:rsidRPr="00E46176">
          <w:t xml:space="preserve"> </w:t>
        </w:r>
      </w:hyperlink>
      <w:hyperlink r:id="rId12">
        <w:r w:rsidRPr="00E46176">
          <w:t>http://www.hepi.ac.uk/2016/09/22/3592/</w:t>
        </w:r>
      </w:hyperlink>
    </w:p>
    <w:p w14:paraId="000000D9" w14:textId="60A0BC39" w:rsidR="00F2278E" w:rsidRPr="00E46176" w:rsidRDefault="003F7F97">
      <w:r w:rsidRPr="00E46176">
        <w:rPr>
          <w:lang w:val="de-DE"/>
        </w:rPr>
        <w:t xml:space="preserve">Cuijpers, P., Auerbach, R., Benjet, C., Bruffaerts, R., Ebert, D., Karyotaki, E., &amp; Kessler, R. (2019). </w:t>
      </w:r>
      <w:r w:rsidRPr="00E46176">
        <w:t>The WHO World Mental Health Surveys International College Student (WMH</w:t>
      </w:r>
      <w:r w:rsidRPr="00E46176">
        <w:rPr>
          <w:rFonts w:eastAsia="Times New Roman"/>
        </w:rPr>
        <w:t>‐</w:t>
      </w:r>
      <w:r w:rsidRPr="00E46176">
        <w:t xml:space="preserve">ICS) Initiative: An Overview. </w:t>
      </w:r>
      <w:r w:rsidRPr="00E46176">
        <w:rPr>
          <w:i/>
        </w:rPr>
        <w:t>International Journal of Methods in Psychiatric Research</w:t>
      </w:r>
      <w:r w:rsidRPr="00E46176">
        <w:t>, 28 (2), pp. 1761-1767.</w:t>
      </w:r>
    </w:p>
    <w:p w14:paraId="000000DA" w14:textId="1ADBBEEC" w:rsidR="00F2278E" w:rsidRPr="00E46176" w:rsidRDefault="003F7F97">
      <w:r w:rsidRPr="00E46176">
        <w:t xml:space="preserve">Curcio, G., Ferrara, M., &amp; De, G. (2006). Sleep Loss, Learning Capacity and Academic Performance. </w:t>
      </w:r>
      <w:r w:rsidRPr="00E46176">
        <w:rPr>
          <w:i/>
        </w:rPr>
        <w:t>Sleep Medicine Reviews</w:t>
      </w:r>
      <w:r w:rsidRPr="00E46176">
        <w:t>, 105 (1), pp. 323–337</w:t>
      </w:r>
    </w:p>
    <w:p w14:paraId="7B3826F1" w14:textId="01EBFC6E" w:rsidR="00405835" w:rsidRPr="00E46176" w:rsidRDefault="00405835">
      <w:r w:rsidRPr="00E46176">
        <w:t xml:space="preserve">Dodge, R., Daly, A., Huyton, J., &amp; Sanders, L. (2012). The challenge of defining wellbeing. </w:t>
      </w:r>
      <w:r w:rsidRPr="00E46176">
        <w:rPr>
          <w:i/>
          <w:iCs/>
        </w:rPr>
        <w:t>International Journal of Wellbeing</w:t>
      </w:r>
      <w:r w:rsidRPr="00E46176">
        <w:t xml:space="preserve">, </w:t>
      </w:r>
      <w:r w:rsidRPr="00E46176">
        <w:rPr>
          <w:i/>
          <w:iCs/>
        </w:rPr>
        <w:t>2</w:t>
      </w:r>
      <w:r w:rsidRPr="00E46176">
        <w:t>(3), 222-235. doi:10.5502/ijw.v2i3.4</w:t>
      </w:r>
    </w:p>
    <w:p w14:paraId="4A32211E" w14:textId="6A0A343A" w:rsidR="00DC5C48" w:rsidRPr="00E46176" w:rsidRDefault="00DC5C48">
      <w:r w:rsidRPr="00E46176">
        <w:t xml:space="preserve">Downie, R., Fyfe, C., &amp; Tannahill, A. (1990). </w:t>
      </w:r>
      <w:r w:rsidRPr="00E46176">
        <w:rPr>
          <w:i/>
          <w:iCs/>
        </w:rPr>
        <w:t>Health Promotion: Models and Values</w:t>
      </w:r>
      <w:r w:rsidRPr="00E46176">
        <w:t xml:space="preserve">. Oxford, England: Oxford University Press. </w:t>
      </w:r>
    </w:p>
    <w:p w14:paraId="000000DC" w14:textId="62F41E0F" w:rsidR="00F2278E" w:rsidRPr="00E46176" w:rsidRDefault="003F7F97">
      <w:r w:rsidRPr="00E46176">
        <w:t xml:space="preserve">Ecclestone, K. &amp; Hayes, D. (2019). </w:t>
      </w:r>
      <w:r w:rsidRPr="00E46176">
        <w:rPr>
          <w:i/>
          <w:iCs/>
        </w:rPr>
        <w:t>The Dangerous Rise of Therapeutic Education</w:t>
      </w:r>
      <w:r w:rsidRPr="00E46176">
        <w:t xml:space="preserve"> (Second Edition). London: Routledge.</w:t>
      </w:r>
    </w:p>
    <w:p w14:paraId="6D4B6B61" w14:textId="5FA22B08" w:rsidR="00687D21" w:rsidRPr="00E46176" w:rsidRDefault="003F7F97">
      <w:r w:rsidRPr="00E46176">
        <w:t>Hassanien, A. (2006) “Student Experience of Group Work and Group Assessment in Higher Education”, Journal of Teaching in Travel &amp; Tourism, Vol. 6(1), 17-39.</w:t>
      </w:r>
    </w:p>
    <w:p w14:paraId="42A6C647" w14:textId="1A88499B" w:rsidR="00687D21" w:rsidRPr="00E46176" w:rsidRDefault="00687D21" w:rsidP="00687D21">
      <w:r w:rsidRPr="00E46176">
        <w:t>Henderson,</w:t>
      </w:r>
      <w:r w:rsidR="005F3A4C" w:rsidRPr="00E46176">
        <w:t xml:space="preserve"> </w:t>
      </w:r>
      <w:r w:rsidR="003E65F0" w:rsidRPr="00E46176">
        <w:t>M</w:t>
      </w:r>
      <w:r w:rsidR="005F3A4C" w:rsidRPr="00E46176">
        <w:t>.,</w:t>
      </w:r>
      <w:r w:rsidRPr="00E46176">
        <w:t xml:space="preserve"> Ryan</w:t>
      </w:r>
      <w:r w:rsidR="005F3A4C" w:rsidRPr="00E46176">
        <w:t>, T.</w:t>
      </w:r>
      <w:r w:rsidRPr="00E46176">
        <w:t xml:space="preserve"> &amp; Phillips</w:t>
      </w:r>
      <w:r w:rsidR="005F3A4C" w:rsidRPr="00E46176">
        <w:t>, M.</w:t>
      </w:r>
      <w:r w:rsidRPr="00E46176">
        <w:t xml:space="preserve"> (2019).</w:t>
      </w:r>
      <w:r w:rsidR="005F3A4C" w:rsidRPr="00E46176">
        <w:t xml:space="preserve"> </w:t>
      </w:r>
      <w:r w:rsidR="005F3A4C" w:rsidRPr="00E46176">
        <w:rPr>
          <w:rStyle w:val="arttitle"/>
        </w:rPr>
        <w:t>The challenges of feedback in higher education,</w:t>
      </w:r>
      <w:r w:rsidR="005F3A4C" w:rsidRPr="00E46176">
        <w:t xml:space="preserve"> </w:t>
      </w:r>
      <w:r w:rsidR="005F3A4C" w:rsidRPr="00E46176">
        <w:rPr>
          <w:rStyle w:val="serialtitle"/>
          <w:i/>
          <w:iCs/>
        </w:rPr>
        <w:t>Assessment &amp; Evaluation in Higher Education</w:t>
      </w:r>
      <w:r w:rsidR="005F3A4C" w:rsidRPr="00E46176">
        <w:rPr>
          <w:rStyle w:val="serialtitle"/>
        </w:rPr>
        <w:t>,</w:t>
      </w:r>
      <w:r w:rsidR="005F3A4C" w:rsidRPr="00E46176">
        <w:t xml:space="preserve"> </w:t>
      </w:r>
      <w:r w:rsidR="005F3A4C" w:rsidRPr="00E46176">
        <w:rPr>
          <w:rStyle w:val="volumeissue"/>
        </w:rPr>
        <w:t>44(8),</w:t>
      </w:r>
      <w:r w:rsidR="005F3A4C" w:rsidRPr="00E46176">
        <w:t xml:space="preserve"> </w:t>
      </w:r>
      <w:r w:rsidR="005F3A4C" w:rsidRPr="00E46176">
        <w:rPr>
          <w:rStyle w:val="pagerange"/>
        </w:rPr>
        <w:t>1237-1252.</w:t>
      </w:r>
      <w:r w:rsidRPr="00E46176">
        <w:t xml:space="preserve"> </w:t>
      </w:r>
    </w:p>
    <w:p w14:paraId="4EB24DB2" w14:textId="55AECDB5" w:rsidR="00404573" w:rsidRPr="00E46176" w:rsidRDefault="00404573">
      <w:r w:rsidRPr="00E46176">
        <w:t xml:space="preserve">Houghton, A. M. and Anderson, J. (2017). Embedding mental wellbeing in the curriculum: maximising success in higher education. Available from: </w:t>
      </w:r>
      <w:hyperlink r:id="rId13" w:history="1">
        <w:r w:rsidRPr="00E46176">
          <w:rPr>
            <w:rStyle w:val="Hyperlink"/>
            <w:color w:val="auto"/>
          </w:rPr>
          <w:t>https://www.advance-he.ac.uk/knowledge-hub/embedding-mental-wellbeing-curriculum-maximising-success-higher-education</w:t>
        </w:r>
      </w:hyperlink>
      <w:r w:rsidRPr="00E46176">
        <w:t xml:space="preserve">. </w:t>
      </w:r>
    </w:p>
    <w:p w14:paraId="2E167764" w14:textId="67C5F123" w:rsidR="004F4175" w:rsidRPr="00E46176" w:rsidRDefault="004F4175">
      <w:pPr>
        <w:rPr>
          <w:lang w:val="de-DE"/>
        </w:rPr>
      </w:pPr>
      <w:r w:rsidRPr="00E46176">
        <w:t xml:space="preserve">Hughes, G. &amp; Spanner, L. (2019). </w:t>
      </w:r>
      <w:r w:rsidRPr="00E46176">
        <w:rPr>
          <w:i/>
          <w:iCs/>
        </w:rPr>
        <w:t>The University Mental Health Charter</w:t>
      </w:r>
      <w:r w:rsidRPr="00E46176">
        <w:t xml:space="preserve">. </w:t>
      </w:r>
      <w:r w:rsidRPr="00E46176">
        <w:rPr>
          <w:lang w:val="de-DE"/>
        </w:rPr>
        <w:t xml:space="preserve">Leeds: Student Minds. </w:t>
      </w:r>
    </w:p>
    <w:p w14:paraId="000000E5" w14:textId="5E05CFAC" w:rsidR="00F2278E" w:rsidRDefault="003F7F97">
      <w:r w:rsidRPr="00E46176">
        <w:rPr>
          <w:lang w:val="de-DE"/>
        </w:rPr>
        <w:t xml:space="preserve">Kotter, T., Wagner, J., Bruheim, L., &amp; Voltmer, E. (2017). </w:t>
      </w:r>
      <w:r w:rsidRPr="00E46176">
        <w:t xml:space="preserve">Perceived Medical School Stress of Undergraduate Medical Students Predicts Academic Performance: An Observational Study. </w:t>
      </w:r>
      <w:r w:rsidRPr="00E46176">
        <w:rPr>
          <w:i/>
        </w:rPr>
        <w:t>BMC Medical Education</w:t>
      </w:r>
      <w:r w:rsidRPr="00E46176">
        <w:t>, 171(1), 256.</w:t>
      </w:r>
    </w:p>
    <w:p w14:paraId="540B3A71" w14:textId="77777777" w:rsidR="00B479C9" w:rsidRDefault="00B479C9" w:rsidP="00B479C9">
      <w:r>
        <w:t>Liu, Y. (2015). The Longitudinal Relationship Between Chinese High School Students’ Academic Stress and Academic Motivation</w:t>
      </w:r>
      <w:r>
        <w:rPr>
          <w:i/>
        </w:rPr>
        <w:t>. Learning and Individual Differences</w:t>
      </w:r>
      <w:r>
        <w:t>, 38(1), pp. 23–126.</w:t>
      </w:r>
    </w:p>
    <w:p w14:paraId="000000EA" w14:textId="11D99873" w:rsidR="00F2278E" w:rsidRPr="00E46176" w:rsidRDefault="003F7F97">
      <w:r w:rsidRPr="00E46176">
        <w:t xml:space="preserve">Mulliner, E. </w:t>
      </w:r>
      <w:r w:rsidR="00687D21" w:rsidRPr="00E46176">
        <w:t>&amp;</w:t>
      </w:r>
      <w:r w:rsidRPr="00E46176">
        <w:t xml:space="preserve"> Tucker, M. (2015) “Feedback on feedback practice: perceptions of students and academics”, </w:t>
      </w:r>
      <w:r w:rsidRPr="00E46176">
        <w:rPr>
          <w:i/>
          <w:iCs/>
        </w:rPr>
        <w:t>Assessment &amp; Evaluation in Higher Education</w:t>
      </w:r>
      <w:r w:rsidRPr="00E46176">
        <w:t>, 42(2), pp.266-288.</w:t>
      </w:r>
    </w:p>
    <w:p w14:paraId="2B981B25" w14:textId="7AEA7A84" w:rsidR="00687D21" w:rsidRPr="00E46176" w:rsidRDefault="00687D21" w:rsidP="00687D21">
      <w:pPr>
        <w:pStyle w:val="NoSpacing"/>
        <w:spacing w:line="480" w:lineRule="auto"/>
        <w:rPr>
          <w:rFonts w:ascii="Times New Roman" w:hAnsi="Times New Roman" w:cs="Times New Roman"/>
          <w:sz w:val="24"/>
          <w:szCs w:val="24"/>
        </w:rPr>
      </w:pPr>
      <w:r w:rsidRPr="00E46176">
        <w:rPr>
          <w:rFonts w:ascii="Times New Roman" w:hAnsi="Times New Roman" w:cs="Times New Roman"/>
          <w:sz w:val="24"/>
          <w:szCs w:val="24"/>
        </w:rPr>
        <w:t>Nash, G., Crimmins, G. &amp; Florin, O. (2015).</w:t>
      </w:r>
      <w:r w:rsidRPr="00E46176">
        <w:rPr>
          <w:rFonts w:ascii="Times New Roman" w:hAnsi="Times New Roman" w:cs="Times New Roman"/>
        </w:rPr>
        <w:t xml:space="preserve"> </w:t>
      </w:r>
      <w:r w:rsidRPr="00E46176">
        <w:rPr>
          <w:rFonts w:ascii="Times New Roman" w:hAnsi="Times New Roman" w:cs="Times New Roman"/>
          <w:sz w:val="24"/>
          <w:szCs w:val="24"/>
        </w:rPr>
        <w:t xml:space="preserve">If First-Year Students Are Afraid of Public Speaking Assessments What Can Teachers Do to Alleviate Such Anxiety? </w:t>
      </w:r>
      <w:r w:rsidRPr="00E46176">
        <w:rPr>
          <w:rFonts w:ascii="Times New Roman" w:hAnsi="Times New Roman" w:cs="Times New Roman"/>
          <w:i/>
          <w:iCs/>
          <w:sz w:val="24"/>
          <w:szCs w:val="24"/>
        </w:rPr>
        <w:t>Assessment &amp; Evaluation in Higher Education</w:t>
      </w:r>
      <w:r w:rsidRPr="00E46176">
        <w:rPr>
          <w:rFonts w:ascii="Times New Roman" w:hAnsi="Times New Roman" w:cs="Times New Roman"/>
          <w:sz w:val="24"/>
          <w:szCs w:val="24"/>
        </w:rPr>
        <w:t xml:space="preserve">, 41(1), pp.1-15. </w:t>
      </w:r>
    </w:p>
    <w:p w14:paraId="48064E43" w14:textId="77777777" w:rsidR="00B479C9" w:rsidRDefault="00B479C9" w:rsidP="00687D21">
      <w:pPr>
        <w:pStyle w:val="NoSpacing"/>
        <w:spacing w:line="480" w:lineRule="auto"/>
        <w:rPr>
          <w:rFonts w:ascii="Times New Roman" w:hAnsi="Times New Roman" w:cs="Times New Roman"/>
          <w:sz w:val="24"/>
          <w:szCs w:val="24"/>
        </w:rPr>
      </w:pPr>
    </w:p>
    <w:p w14:paraId="1B9DEC4B" w14:textId="05D49936" w:rsidR="00DB2785" w:rsidRPr="00E46176" w:rsidRDefault="00DB2785" w:rsidP="00B479C9">
      <w:pPr>
        <w:pStyle w:val="NoSpacing"/>
        <w:spacing w:after="240" w:line="480" w:lineRule="auto"/>
        <w:rPr>
          <w:rFonts w:ascii="Times New Roman" w:hAnsi="Times New Roman" w:cs="Times New Roman"/>
          <w:sz w:val="24"/>
          <w:szCs w:val="24"/>
        </w:rPr>
      </w:pPr>
      <w:r w:rsidRPr="00B479C9">
        <w:rPr>
          <w:rFonts w:ascii="Times New Roman" w:hAnsi="Times New Roman" w:cs="Times New Roman"/>
          <w:sz w:val="24"/>
          <w:szCs w:val="24"/>
          <w:lang w:val="de-DE"/>
        </w:rPr>
        <w:t xml:space="preserve">Nieminen, J. H. </w:t>
      </w:r>
      <w:r w:rsidR="00687D21" w:rsidRPr="00B479C9">
        <w:rPr>
          <w:rFonts w:ascii="Times New Roman" w:hAnsi="Times New Roman" w:cs="Times New Roman"/>
          <w:sz w:val="24"/>
          <w:szCs w:val="24"/>
          <w:lang w:val="de-DE"/>
        </w:rPr>
        <w:t>&amp;</w:t>
      </w:r>
      <w:r w:rsidRPr="00B479C9">
        <w:rPr>
          <w:rFonts w:ascii="Times New Roman" w:hAnsi="Times New Roman" w:cs="Times New Roman"/>
          <w:sz w:val="24"/>
          <w:szCs w:val="24"/>
          <w:lang w:val="de-DE"/>
        </w:rPr>
        <w:t xml:space="preserve"> Tuohilampi, L. (2020). </w:t>
      </w:r>
      <w:r w:rsidRPr="00E46176">
        <w:rPr>
          <w:rFonts w:ascii="Times New Roman" w:hAnsi="Times New Roman" w:cs="Times New Roman"/>
          <w:sz w:val="24"/>
          <w:szCs w:val="24"/>
        </w:rPr>
        <w:t xml:space="preserve">Finally Studying for Myself – Examining Student Agency in Summative and Formative Self-Assessment Models. </w:t>
      </w:r>
      <w:r w:rsidRPr="00E46176">
        <w:rPr>
          <w:rFonts w:ascii="Times New Roman" w:hAnsi="Times New Roman" w:cs="Times New Roman"/>
          <w:i/>
          <w:iCs/>
          <w:sz w:val="24"/>
          <w:szCs w:val="24"/>
        </w:rPr>
        <w:t>Assessment &amp; Evaluation in Higher Education</w:t>
      </w:r>
      <w:r w:rsidR="00687D21" w:rsidRPr="00E46176">
        <w:rPr>
          <w:rFonts w:ascii="Times New Roman" w:hAnsi="Times New Roman" w:cs="Times New Roman"/>
          <w:sz w:val="24"/>
          <w:szCs w:val="24"/>
        </w:rPr>
        <w:t>.</w:t>
      </w:r>
    </w:p>
    <w:p w14:paraId="000000EC" w14:textId="23A0E659" w:rsidR="00F2278E" w:rsidRPr="00E46176" w:rsidRDefault="003F7F97" w:rsidP="00DB2785">
      <w:pPr>
        <w:rPr>
          <w:i/>
        </w:rPr>
      </w:pPr>
      <w:r w:rsidRPr="00E46176">
        <w:t>Pascoe, M</w:t>
      </w:r>
      <w:r w:rsidR="00BA7657" w:rsidRPr="00E46176">
        <w:t>.,</w:t>
      </w:r>
      <w:r w:rsidRPr="00E46176">
        <w:t xml:space="preserve"> Hetrick, S.</w:t>
      </w:r>
      <w:r w:rsidR="00DB2785" w:rsidRPr="00E46176">
        <w:t xml:space="preserve"> </w:t>
      </w:r>
      <w:r w:rsidR="00687D21" w:rsidRPr="00E46176">
        <w:t>&amp;</w:t>
      </w:r>
      <w:r w:rsidR="00DB2785" w:rsidRPr="00E46176">
        <w:t xml:space="preserve"> </w:t>
      </w:r>
      <w:r w:rsidRPr="00E46176">
        <w:t xml:space="preserve">Parker, A. (2019). The Impact of Stress on Students in Secondary School and Higher Education, </w:t>
      </w:r>
      <w:r w:rsidRPr="00E46176">
        <w:rPr>
          <w:i/>
        </w:rPr>
        <w:t>International Journal of Adolescence and Youth.</w:t>
      </w:r>
      <w:r w:rsidR="004F4175" w:rsidRPr="00E46176">
        <w:rPr>
          <w:i/>
        </w:rPr>
        <w:t xml:space="preserve">, </w:t>
      </w:r>
      <w:r w:rsidR="00BA7657" w:rsidRPr="00E46176">
        <w:rPr>
          <w:iCs/>
        </w:rPr>
        <w:t>25(1), pp. 104-112.</w:t>
      </w:r>
      <w:r w:rsidR="00BA7657" w:rsidRPr="00E46176">
        <w:rPr>
          <w:i/>
        </w:rPr>
        <w:t xml:space="preserve"> </w:t>
      </w:r>
    </w:p>
    <w:p w14:paraId="000000EE" w14:textId="61CE05B3" w:rsidR="00F2278E" w:rsidRPr="00E46176" w:rsidRDefault="003F7F97">
      <w:r w:rsidRPr="00E46176">
        <w:t xml:space="preserve">Piper, R. &amp; Emmanuel, T. (2019). </w:t>
      </w:r>
      <w:r w:rsidRPr="00E46176">
        <w:rPr>
          <w:i/>
        </w:rPr>
        <w:t>Co-producing Mental Health Strategies with Students: A Guide for the Higher Education Sector.</w:t>
      </w:r>
      <w:r w:rsidRPr="00E46176">
        <w:t xml:space="preserve"> Available from</w:t>
      </w:r>
      <w:hyperlink r:id="rId14">
        <w:r w:rsidRPr="00E46176">
          <w:t xml:space="preserve"> </w:t>
        </w:r>
      </w:hyperlink>
      <w:hyperlink r:id="rId15">
        <w:r w:rsidRPr="00E46176">
          <w:t>https://www.studentminds.org.uk/uploads/3/7/8/4/3784584/cpdn_document_artwork.pdf</w:t>
        </w:r>
      </w:hyperlink>
      <w:r w:rsidRPr="00E46176">
        <w:t xml:space="preserve"> </w:t>
      </w:r>
    </w:p>
    <w:p w14:paraId="37BD9146" w14:textId="545096AC" w:rsidR="00E25F52" w:rsidRPr="00E46176" w:rsidRDefault="00E25F52">
      <w:r w:rsidRPr="00E46176">
        <w:t>QAA</w:t>
      </w:r>
      <w:r w:rsidR="006323A6" w:rsidRPr="00E46176">
        <w:t xml:space="preserve"> [Quality Assurance Alliance]</w:t>
      </w:r>
      <w:r w:rsidRPr="00E46176">
        <w:t xml:space="preserve"> (2018) UK quality code, advice and guidance: assessment. Available from </w:t>
      </w:r>
      <w:hyperlink r:id="rId16" w:history="1">
        <w:r w:rsidRPr="00E46176">
          <w:t>https://www.qaa.ac.uk/en/quality-code/advice-and-guidance/assessment</w:t>
        </w:r>
      </w:hyperlink>
      <w:r w:rsidRPr="00E46176">
        <w:t xml:space="preserve"> </w:t>
      </w:r>
    </w:p>
    <w:p w14:paraId="000000EF" w14:textId="77777777" w:rsidR="00F2278E" w:rsidRPr="00E46176" w:rsidRDefault="003F7F97">
      <w:pPr>
        <w:rPr>
          <w:lang w:val="pt-PT"/>
        </w:rPr>
      </w:pPr>
      <w:r w:rsidRPr="00E46176">
        <w:t xml:space="preserve">Reschly, A., Huebner, E., Appleton, J., &amp; Antaramian, S. (2008). Engagement as flourishing: The contribution of positive emotions and coping to adolescents’ engagement at school and with learning. </w:t>
      </w:r>
      <w:r w:rsidRPr="00E46176">
        <w:rPr>
          <w:i/>
          <w:lang w:val="pt-PT"/>
        </w:rPr>
        <w:t>Psychology in the Schools</w:t>
      </w:r>
      <w:r w:rsidRPr="00E46176">
        <w:rPr>
          <w:lang w:val="pt-PT"/>
        </w:rPr>
        <w:t>, 455, pp. 419–431.</w:t>
      </w:r>
    </w:p>
    <w:p w14:paraId="000000F0" w14:textId="12C41B73" w:rsidR="00F2278E" w:rsidRPr="00E46176" w:rsidRDefault="003F7F97">
      <w:r w:rsidRPr="00E46176">
        <w:rPr>
          <w:lang w:val="pt-PT"/>
        </w:rPr>
        <w:t xml:space="preserve">Ribeiro, Í., Pereira, R., Freire, I., de Oliveira, B., Casotti, C., &amp; Boery, E. (2018). </w:t>
      </w:r>
      <w:r w:rsidRPr="00E46176">
        <w:t xml:space="preserve">Stress and Quality of Life Among University Students: A Systematic Literature Review. </w:t>
      </w:r>
      <w:r w:rsidRPr="00E46176">
        <w:rPr>
          <w:i/>
        </w:rPr>
        <w:t>Health Professions Education</w:t>
      </w:r>
      <w:r w:rsidRPr="00E46176">
        <w:t>, 4(2), pp.70-77.</w:t>
      </w:r>
    </w:p>
    <w:p w14:paraId="000000F3" w14:textId="43D17D7E" w:rsidR="00F2278E" w:rsidRPr="00E46176" w:rsidRDefault="003F7F97">
      <w:r w:rsidRPr="00E46176">
        <w:t xml:space="preserve">Simic, N. </w:t>
      </w:r>
      <w:r w:rsidR="00B479C9">
        <w:t xml:space="preserve">&amp; Manenica, I </w:t>
      </w:r>
      <w:r w:rsidRPr="00E46176">
        <w:t xml:space="preserve">(2012). Exam Experience and Some Reactions to Exam Stress. </w:t>
      </w:r>
      <w:r w:rsidRPr="00E46176">
        <w:rPr>
          <w:i/>
        </w:rPr>
        <w:t xml:space="preserve">Human Physiology, </w:t>
      </w:r>
      <w:r w:rsidRPr="00E46176">
        <w:t xml:space="preserve">38 (1), pp.67-72. </w:t>
      </w:r>
    </w:p>
    <w:p w14:paraId="470F1548" w14:textId="2DB56E69" w:rsidR="00E01684" w:rsidRPr="00E46176" w:rsidRDefault="00E01684">
      <w:pPr>
        <w:rPr>
          <w:i/>
        </w:rPr>
      </w:pPr>
      <w:r w:rsidRPr="00E46176">
        <w:rPr>
          <w:color w:val="222222"/>
        </w:rPr>
        <w:t xml:space="preserve">Slavin, S. J., Schindler, D. L. &amp; Chibnall, J. T. (2014). Medical student mental health 3.0: improving student wellness through curricular changes. </w:t>
      </w:r>
      <w:r w:rsidRPr="00E46176">
        <w:rPr>
          <w:i/>
          <w:color w:val="222222"/>
        </w:rPr>
        <w:t>Academic Medicine, 89</w:t>
      </w:r>
      <w:r w:rsidRPr="00E46176">
        <w:rPr>
          <w:color w:val="222222"/>
        </w:rPr>
        <w:t>(4), 573. </w:t>
      </w:r>
      <w:r w:rsidRPr="00E46176">
        <w:rPr>
          <w:color w:val="000000"/>
        </w:rPr>
        <w:t>  </w:t>
      </w:r>
    </w:p>
    <w:p w14:paraId="000000F5" w14:textId="0AA81AA2" w:rsidR="00F2278E" w:rsidRPr="00E46176" w:rsidRDefault="003F7F97">
      <w:r w:rsidRPr="00862929">
        <w:rPr>
          <w:lang w:val="de-DE"/>
        </w:rPr>
        <w:t xml:space="preserve">Stults-Kolehmainen, M., &amp; Sinha, R. (2014). </w:t>
      </w:r>
      <w:r w:rsidRPr="00E46176">
        <w:t xml:space="preserve">The Effects of Stress on Physical Activity and Exercise. </w:t>
      </w:r>
      <w:r w:rsidRPr="00E46176">
        <w:rPr>
          <w:i/>
        </w:rPr>
        <w:t>Sports Medicine</w:t>
      </w:r>
      <w:r w:rsidRPr="00E46176">
        <w:t>, 441 (1), pp. 81–121.</w:t>
      </w:r>
    </w:p>
    <w:p w14:paraId="000000F6" w14:textId="72FA1975" w:rsidR="00F2278E" w:rsidRPr="00E46176" w:rsidRDefault="003F7F97">
      <w:r w:rsidRPr="00E46176">
        <w:t xml:space="preserve">Thorley, C. (2017). </w:t>
      </w:r>
      <w:r w:rsidRPr="00E46176">
        <w:rPr>
          <w:i/>
        </w:rPr>
        <w:t>Not by Degrees: Improving Student Mental Health in the UK’s Universities, Institute for Public Policy Research</w:t>
      </w:r>
      <w:r w:rsidRPr="00E46176">
        <w:t>. Available from</w:t>
      </w:r>
      <w:hyperlink r:id="rId17">
        <w:r w:rsidRPr="00E46176">
          <w:t xml:space="preserve"> </w:t>
        </w:r>
      </w:hyperlink>
      <w:hyperlink r:id="rId18">
        <w:r w:rsidRPr="00E46176">
          <w:t>www.ippr.org/publications/not-by-degrees</w:t>
        </w:r>
      </w:hyperlink>
    </w:p>
    <w:p w14:paraId="301C8CB1" w14:textId="74F1FCF3" w:rsidR="00687D21" w:rsidRPr="00E46176" w:rsidRDefault="00687D21" w:rsidP="003E65F0">
      <w:pPr>
        <w:pStyle w:val="NoSpacing"/>
        <w:spacing w:after="240" w:line="480" w:lineRule="auto"/>
        <w:rPr>
          <w:rFonts w:ascii="Times New Roman" w:hAnsi="Times New Roman" w:cs="Times New Roman"/>
          <w:i/>
          <w:iCs/>
          <w:sz w:val="24"/>
          <w:szCs w:val="24"/>
        </w:rPr>
      </w:pPr>
      <w:r w:rsidRPr="00E46176">
        <w:rPr>
          <w:rFonts w:ascii="Times New Roman" w:hAnsi="Times New Roman" w:cs="Times New Roman"/>
          <w:sz w:val="24"/>
          <w:szCs w:val="24"/>
        </w:rPr>
        <w:t xml:space="preserve">Tsang, A. (2020).  The Relationship Between Tertiary Level Students Self-Perceived Presentation Delivery and Public Speaking Anxiety: A Mixed Methods Study. </w:t>
      </w:r>
      <w:r w:rsidRPr="00E46176">
        <w:rPr>
          <w:rFonts w:ascii="Times New Roman" w:hAnsi="Times New Roman" w:cs="Times New Roman"/>
          <w:i/>
          <w:iCs/>
          <w:sz w:val="24"/>
          <w:szCs w:val="24"/>
        </w:rPr>
        <w:t>Assessment &amp; Evaluation in Higher Education</w:t>
      </w:r>
    </w:p>
    <w:p w14:paraId="000000F7" w14:textId="165047D7" w:rsidR="00F2278E" w:rsidRPr="00E46176" w:rsidRDefault="003F7F97">
      <w:r w:rsidRPr="00E46176">
        <w:t xml:space="preserve">UUK [Universities UK], 2018. </w:t>
      </w:r>
      <w:r w:rsidRPr="00E46176">
        <w:rPr>
          <w:i/>
        </w:rPr>
        <w:t>StepChange: Mental Health in Higher Education</w:t>
      </w:r>
      <w:r w:rsidRPr="00E46176">
        <w:t xml:space="preserve">. Available from </w:t>
      </w:r>
      <w:hyperlink r:id="rId19" w:history="1">
        <w:r w:rsidR="005D0D6B" w:rsidRPr="00E46176">
          <w:rPr>
            <w:rStyle w:val="Hyperlink"/>
            <w:color w:val="auto"/>
          </w:rPr>
          <w:t>https://www.universitiesuk.ac.uk/stepchange</w:t>
        </w:r>
      </w:hyperlink>
    </w:p>
    <w:p w14:paraId="1A89A648" w14:textId="69EECE10" w:rsidR="005D0D6B" w:rsidRPr="00687D21" w:rsidRDefault="005D0D6B">
      <w:r w:rsidRPr="00E46176">
        <w:t>WHO</w:t>
      </w:r>
      <w:r w:rsidR="006323A6" w:rsidRPr="00E46176">
        <w:t xml:space="preserve"> [World Health Organisation]</w:t>
      </w:r>
      <w:r w:rsidRPr="00E46176">
        <w:t xml:space="preserve"> (200</w:t>
      </w:r>
      <w:r w:rsidR="006323A6" w:rsidRPr="00E46176">
        <w:t>4</w:t>
      </w:r>
      <w:r w:rsidRPr="00E46176">
        <w:t>). Strengthening mental health promotion. Geneva, World Health Organization (Fact sheet, No. 220).</w:t>
      </w:r>
      <w:r w:rsidR="006323A6" w:rsidRPr="00E46176">
        <w:t xml:space="preserve"> Available from </w:t>
      </w:r>
      <w:hyperlink r:id="rId20" w:history="1">
        <w:r w:rsidR="006323A6" w:rsidRPr="00E46176">
          <w:rPr>
            <w:rStyle w:val="Hyperlink"/>
            <w:color w:val="auto"/>
          </w:rPr>
          <w:t>https://www.who.int/mental_health/evidence/en/promoting_mhh.pdf</w:t>
        </w:r>
      </w:hyperlink>
    </w:p>
    <w:p w14:paraId="000000F8" w14:textId="77777777" w:rsidR="00F2278E" w:rsidRPr="00687D21" w:rsidRDefault="00F2278E"/>
    <w:sectPr w:rsidR="00F2278E" w:rsidRPr="00687D21">
      <w:footerReference w:type="default" r:id="rId21"/>
      <w:pgSz w:w="11909" w:h="16834"/>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71F80" w16cid:durableId="21D6DAC0"/>
  <w16cid:commentId w16cid:paraId="25843B6A" w16cid:durableId="221E05CC"/>
  <w16cid:commentId w16cid:paraId="20438FD1" w16cid:durableId="221E05CD"/>
  <w16cid:commentId w16cid:paraId="40613B57" w16cid:durableId="221E05CE"/>
  <w16cid:commentId w16cid:paraId="7F93CD7D" w16cid:durableId="221E05EE"/>
  <w16cid:commentId w16cid:paraId="32B63DBC" w16cid:durableId="221E05CF"/>
  <w16cid:commentId w16cid:paraId="5FFBC066" w16cid:durableId="221E05D0"/>
  <w16cid:commentId w16cid:paraId="3B1C6768" w16cid:durableId="221E060A"/>
  <w16cid:commentId w16cid:paraId="1FFDCD51" w16cid:durableId="221E05D1"/>
  <w16cid:commentId w16cid:paraId="4A619C8A" w16cid:durableId="221E05D2"/>
  <w16cid:commentId w16cid:paraId="3A483648" w16cid:durableId="221E05D3"/>
  <w16cid:commentId w16cid:paraId="3F82C785" w16cid:durableId="221E08B2"/>
  <w16cid:commentId w16cid:paraId="2CE4462F" w16cid:durableId="221E05D4"/>
  <w16cid:commentId w16cid:paraId="156FB8E5" w16cid:durableId="221E05D5"/>
  <w16cid:commentId w16cid:paraId="42DA4360" w16cid:durableId="221E05D6"/>
  <w16cid:commentId w16cid:paraId="3C83A20A" w16cid:durableId="221E05D7"/>
  <w16cid:commentId w16cid:paraId="5F3CA4FF" w16cid:durableId="221E05D8"/>
  <w16cid:commentId w16cid:paraId="67BF701F" w16cid:durableId="221E05DA"/>
  <w16cid:commentId w16cid:paraId="03D8B295" w16cid:durableId="221E05DB"/>
  <w16cid:commentId w16cid:paraId="5E88316A" w16cid:durableId="221E05DC"/>
  <w16cid:commentId w16cid:paraId="30A2289A" w16cid:durableId="221E05DD"/>
  <w16cid:commentId w16cid:paraId="257EAE0F" w16cid:durableId="221E05DE"/>
  <w16cid:commentId w16cid:paraId="1583DA71" w16cid:durableId="221E0F62"/>
  <w16cid:commentId w16cid:paraId="44EFFC86" w16cid:durableId="221E05DF"/>
  <w16cid:commentId w16cid:paraId="1820DCFF" w16cid:durableId="221E05E0"/>
  <w16cid:commentId w16cid:paraId="3FCAE58C" w16cid:durableId="221E05E1"/>
  <w16cid:commentId w16cid:paraId="3D3EEF72" w16cid:durableId="221E05E2"/>
  <w16cid:commentId w16cid:paraId="49013BCA" w16cid:durableId="221E05E3"/>
  <w16cid:commentId w16cid:paraId="5BE14B13" w16cid:durableId="221E05E4"/>
  <w16cid:commentId w16cid:paraId="22B8804A" w16cid:durableId="221E05E5"/>
  <w16cid:commentId w16cid:paraId="02B708CA" w16cid:durableId="221E05E6"/>
  <w16cid:commentId w16cid:paraId="6994823E" w16cid:durableId="221E05E7"/>
  <w16cid:commentId w16cid:paraId="39D16381" w16cid:durableId="221E05E8"/>
  <w16cid:commentId w16cid:paraId="3EC450DB" w16cid:durableId="221E05E9"/>
  <w16cid:commentId w16cid:paraId="2E1AB691" w16cid:durableId="221E05EA"/>
  <w16cid:commentId w16cid:paraId="20A72A9F" w16cid:durableId="221E05EB"/>
  <w16cid:commentId w16cid:paraId="7E375FD7" w16cid:durableId="221E05EC"/>
  <w16cid:commentId w16cid:paraId="6F3EDF76" w16cid:durableId="221E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F45C7" w14:textId="77777777" w:rsidR="008D376E" w:rsidRDefault="008D376E" w:rsidP="00566118">
      <w:r>
        <w:separator/>
      </w:r>
    </w:p>
  </w:endnote>
  <w:endnote w:type="continuationSeparator" w:id="0">
    <w:p w14:paraId="2207F58A" w14:textId="77777777" w:rsidR="008D376E" w:rsidRDefault="008D376E" w:rsidP="0056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190217"/>
      <w:docPartObj>
        <w:docPartGallery w:val="Page Numbers (Bottom of Page)"/>
        <w:docPartUnique/>
      </w:docPartObj>
    </w:sdtPr>
    <w:sdtEndPr>
      <w:rPr>
        <w:noProof/>
      </w:rPr>
    </w:sdtEndPr>
    <w:sdtContent>
      <w:p w14:paraId="446015F5" w14:textId="06E3FCCF" w:rsidR="00442767" w:rsidRDefault="00442767">
        <w:pPr>
          <w:pStyle w:val="Footer"/>
          <w:jc w:val="center"/>
        </w:pPr>
        <w:r>
          <w:fldChar w:fldCharType="begin"/>
        </w:r>
        <w:r>
          <w:instrText xml:space="preserve"> PAGE   \* MERGEFORMAT </w:instrText>
        </w:r>
        <w:r>
          <w:fldChar w:fldCharType="separate"/>
        </w:r>
        <w:r w:rsidR="008D376E">
          <w:rPr>
            <w:noProof/>
          </w:rPr>
          <w:t>1</w:t>
        </w:r>
        <w:r>
          <w:rPr>
            <w:noProof/>
          </w:rPr>
          <w:fldChar w:fldCharType="end"/>
        </w:r>
      </w:p>
    </w:sdtContent>
  </w:sdt>
  <w:p w14:paraId="0000015F" w14:textId="0FF851A0" w:rsidR="003008A6" w:rsidRDefault="003008A6" w:rsidP="005661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3E5C" w14:textId="77777777" w:rsidR="008D376E" w:rsidRDefault="008D376E" w:rsidP="00566118">
      <w:r>
        <w:separator/>
      </w:r>
    </w:p>
  </w:footnote>
  <w:footnote w:type="continuationSeparator" w:id="0">
    <w:p w14:paraId="060CFD14" w14:textId="77777777" w:rsidR="008D376E" w:rsidRDefault="008D376E" w:rsidP="00566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1DA8"/>
    <w:multiLevelType w:val="multilevel"/>
    <w:tmpl w:val="D736E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E310E"/>
    <w:multiLevelType w:val="hybridMultilevel"/>
    <w:tmpl w:val="5172E956"/>
    <w:lvl w:ilvl="0" w:tplc="90B8766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D1776"/>
    <w:multiLevelType w:val="multilevel"/>
    <w:tmpl w:val="6010C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D60CCC"/>
    <w:multiLevelType w:val="multilevel"/>
    <w:tmpl w:val="504A8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BB3186"/>
    <w:multiLevelType w:val="hybridMultilevel"/>
    <w:tmpl w:val="88803A9E"/>
    <w:lvl w:ilvl="0" w:tplc="B8425656">
      <w:numFmt w:val="bullet"/>
      <w:lvlText w:val=""/>
      <w:lvlJc w:val="left"/>
      <w:pPr>
        <w:ind w:left="1080" w:hanging="360"/>
      </w:pPr>
      <w:rPr>
        <w:rFonts w:ascii="Symbol" w:eastAsia="Arial"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773C54"/>
    <w:multiLevelType w:val="multilevel"/>
    <w:tmpl w:val="2B9C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C25CD9"/>
    <w:multiLevelType w:val="multilevel"/>
    <w:tmpl w:val="74C29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0974AE"/>
    <w:multiLevelType w:val="multilevel"/>
    <w:tmpl w:val="21A0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141A38"/>
    <w:multiLevelType w:val="multilevel"/>
    <w:tmpl w:val="F5A43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0"/>
  </w:num>
  <w:num w:numId="4">
    <w:abstractNumId w:val="6"/>
  </w:num>
  <w:num w:numId="5">
    <w:abstractNumId w:val="3"/>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8E"/>
    <w:rsid w:val="00001089"/>
    <w:rsid w:val="0000116E"/>
    <w:rsid w:val="00004CF6"/>
    <w:rsid w:val="00013F0C"/>
    <w:rsid w:val="0001450D"/>
    <w:rsid w:val="00022710"/>
    <w:rsid w:val="00024CCC"/>
    <w:rsid w:val="00025DD7"/>
    <w:rsid w:val="00030804"/>
    <w:rsid w:val="000365D4"/>
    <w:rsid w:val="00053BA6"/>
    <w:rsid w:val="00053DAE"/>
    <w:rsid w:val="000610B4"/>
    <w:rsid w:val="00062A37"/>
    <w:rsid w:val="00071DB2"/>
    <w:rsid w:val="00081CE9"/>
    <w:rsid w:val="00090C8F"/>
    <w:rsid w:val="00092C84"/>
    <w:rsid w:val="000932E2"/>
    <w:rsid w:val="000936B8"/>
    <w:rsid w:val="00097376"/>
    <w:rsid w:val="000A7574"/>
    <w:rsid w:val="000B0451"/>
    <w:rsid w:val="000B26D9"/>
    <w:rsid w:val="000B562C"/>
    <w:rsid w:val="000C2F5E"/>
    <w:rsid w:val="000C50EF"/>
    <w:rsid w:val="000C698F"/>
    <w:rsid w:val="000C6E58"/>
    <w:rsid w:val="000C72E1"/>
    <w:rsid w:val="000D0F73"/>
    <w:rsid w:val="000E14E0"/>
    <w:rsid w:val="000F07D6"/>
    <w:rsid w:val="000F3D15"/>
    <w:rsid w:val="00100198"/>
    <w:rsid w:val="001038B2"/>
    <w:rsid w:val="00112B11"/>
    <w:rsid w:val="00117967"/>
    <w:rsid w:val="001209E1"/>
    <w:rsid w:val="00122643"/>
    <w:rsid w:val="00127A54"/>
    <w:rsid w:val="00131105"/>
    <w:rsid w:val="001441FC"/>
    <w:rsid w:val="00150D33"/>
    <w:rsid w:val="00153C6A"/>
    <w:rsid w:val="00155831"/>
    <w:rsid w:val="00155A98"/>
    <w:rsid w:val="001671C6"/>
    <w:rsid w:val="0018381F"/>
    <w:rsid w:val="0019240D"/>
    <w:rsid w:val="001A51CF"/>
    <w:rsid w:val="001B0DCD"/>
    <w:rsid w:val="001D2FF0"/>
    <w:rsid w:val="001D545E"/>
    <w:rsid w:val="001F291F"/>
    <w:rsid w:val="00205095"/>
    <w:rsid w:val="002067D5"/>
    <w:rsid w:val="002117AB"/>
    <w:rsid w:val="0021522E"/>
    <w:rsid w:val="00232234"/>
    <w:rsid w:val="0023337A"/>
    <w:rsid w:val="002344B1"/>
    <w:rsid w:val="00243402"/>
    <w:rsid w:val="002454F4"/>
    <w:rsid w:val="0025147B"/>
    <w:rsid w:val="002559C1"/>
    <w:rsid w:val="00264CB4"/>
    <w:rsid w:val="00276000"/>
    <w:rsid w:val="00281E9D"/>
    <w:rsid w:val="00282D1E"/>
    <w:rsid w:val="002844AB"/>
    <w:rsid w:val="00285EC7"/>
    <w:rsid w:val="00286B36"/>
    <w:rsid w:val="00290044"/>
    <w:rsid w:val="002B7A33"/>
    <w:rsid w:val="002D280A"/>
    <w:rsid w:val="002D35A2"/>
    <w:rsid w:val="002D7FAB"/>
    <w:rsid w:val="002E6C89"/>
    <w:rsid w:val="002F43E4"/>
    <w:rsid w:val="003008A6"/>
    <w:rsid w:val="003070D6"/>
    <w:rsid w:val="00307BC2"/>
    <w:rsid w:val="0031432F"/>
    <w:rsid w:val="00315EA4"/>
    <w:rsid w:val="003162A6"/>
    <w:rsid w:val="00322561"/>
    <w:rsid w:val="00323FA3"/>
    <w:rsid w:val="00327FF5"/>
    <w:rsid w:val="003348A1"/>
    <w:rsid w:val="00340234"/>
    <w:rsid w:val="00343013"/>
    <w:rsid w:val="00351240"/>
    <w:rsid w:val="00363321"/>
    <w:rsid w:val="00367F10"/>
    <w:rsid w:val="00377598"/>
    <w:rsid w:val="00377B3B"/>
    <w:rsid w:val="00380CDF"/>
    <w:rsid w:val="003816F8"/>
    <w:rsid w:val="00391138"/>
    <w:rsid w:val="00394DF5"/>
    <w:rsid w:val="003A7969"/>
    <w:rsid w:val="003E0EAA"/>
    <w:rsid w:val="003E58DE"/>
    <w:rsid w:val="003E65F0"/>
    <w:rsid w:val="003F7F97"/>
    <w:rsid w:val="00403E52"/>
    <w:rsid w:val="00404573"/>
    <w:rsid w:val="00405835"/>
    <w:rsid w:val="00417E78"/>
    <w:rsid w:val="004303AA"/>
    <w:rsid w:val="00431C38"/>
    <w:rsid w:val="0043341F"/>
    <w:rsid w:val="00440B18"/>
    <w:rsid w:val="00441639"/>
    <w:rsid w:val="00442767"/>
    <w:rsid w:val="004560D0"/>
    <w:rsid w:val="00456727"/>
    <w:rsid w:val="00462582"/>
    <w:rsid w:val="00472C20"/>
    <w:rsid w:val="004752AB"/>
    <w:rsid w:val="004A35D0"/>
    <w:rsid w:val="004B1040"/>
    <w:rsid w:val="004C6780"/>
    <w:rsid w:val="004C7771"/>
    <w:rsid w:val="004D2E3E"/>
    <w:rsid w:val="004F4175"/>
    <w:rsid w:val="004F6E31"/>
    <w:rsid w:val="00500861"/>
    <w:rsid w:val="00500FD1"/>
    <w:rsid w:val="00507E84"/>
    <w:rsid w:val="0051182A"/>
    <w:rsid w:val="005166CB"/>
    <w:rsid w:val="005225DB"/>
    <w:rsid w:val="0053262B"/>
    <w:rsid w:val="00537972"/>
    <w:rsid w:val="00541D95"/>
    <w:rsid w:val="005608F9"/>
    <w:rsid w:val="00562C58"/>
    <w:rsid w:val="00565CB5"/>
    <w:rsid w:val="00566118"/>
    <w:rsid w:val="00574434"/>
    <w:rsid w:val="005779E8"/>
    <w:rsid w:val="005844F9"/>
    <w:rsid w:val="00584B79"/>
    <w:rsid w:val="00591DE5"/>
    <w:rsid w:val="005A35FA"/>
    <w:rsid w:val="005A3714"/>
    <w:rsid w:val="005A5FF8"/>
    <w:rsid w:val="005A60C9"/>
    <w:rsid w:val="005B6301"/>
    <w:rsid w:val="005C4630"/>
    <w:rsid w:val="005C4A5A"/>
    <w:rsid w:val="005C67C5"/>
    <w:rsid w:val="005D091D"/>
    <w:rsid w:val="005D0D6B"/>
    <w:rsid w:val="005D2515"/>
    <w:rsid w:val="005E1656"/>
    <w:rsid w:val="005F3A4C"/>
    <w:rsid w:val="005F6CBC"/>
    <w:rsid w:val="00603C09"/>
    <w:rsid w:val="00626CF8"/>
    <w:rsid w:val="00627940"/>
    <w:rsid w:val="006323A6"/>
    <w:rsid w:val="00633D4D"/>
    <w:rsid w:val="00645018"/>
    <w:rsid w:val="006465A9"/>
    <w:rsid w:val="00655AB9"/>
    <w:rsid w:val="0066429D"/>
    <w:rsid w:val="00664E35"/>
    <w:rsid w:val="00670230"/>
    <w:rsid w:val="00670BF6"/>
    <w:rsid w:val="006776DB"/>
    <w:rsid w:val="00680B19"/>
    <w:rsid w:val="00687D21"/>
    <w:rsid w:val="0069758A"/>
    <w:rsid w:val="006A0917"/>
    <w:rsid w:val="006A0FDB"/>
    <w:rsid w:val="006A1E3F"/>
    <w:rsid w:val="006B5980"/>
    <w:rsid w:val="006B6916"/>
    <w:rsid w:val="006C5BA1"/>
    <w:rsid w:val="006D062B"/>
    <w:rsid w:val="006D3ACB"/>
    <w:rsid w:val="006D657A"/>
    <w:rsid w:val="006E2B84"/>
    <w:rsid w:val="006E401C"/>
    <w:rsid w:val="006F69B5"/>
    <w:rsid w:val="00700D6F"/>
    <w:rsid w:val="00700E16"/>
    <w:rsid w:val="0070102B"/>
    <w:rsid w:val="0070644F"/>
    <w:rsid w:val="00710B1C"/>
    <w:rsid w:val="0071137E"/>
    <w:rsid w:val="00713858"/>
    <w:rsid w:val="00721F6E"/>
    <w:rsid w:val="007252EA"/>
    <w:rsid w:val="007254A6"/>
    <w:rsid w:val="00725838"/>
    <w:rsid w:val="007425F3"/>
    <w:rsid w:val="00743052"/>
    <w:rsid w:val="0074569F"/>
    <w:rsid w:val="00753DEA"/>
    <w:rsid w:val="00755712"/>
    <w:rsid w:val="007774AA"/>
    <w:rsid w:val="00780DB7"/>
    <w:rsid w:val="00786A33"/>
    <w:rsid w:val="007978BF"/>
    <w:rsid w:val="007A3C37"/>
    <w:rsid w:val="007A60DB"/>
    <w:rsid w:val="007B0304"/>
    <w:rsid w:val="007B3A34"/>
    <w:rsid w:val="007B5420"/>
    <w:rsid w:val="007C06C2"/>
    <w:rsid w:val="007C62E2"/>
    <w:rsid w:val="007D590D"/>
    <w:rsid w:val="007D6894"/>
    <w:rsid w:val="007F1103"/>
    <w:rsid w:val="007F2875"/>
    <w:rsid w:val="007F645B"/>
    <w:rsid w:val="00815207"/>
    <w:rsid w:val="0081609A"/>
    <w:rsid w:val="008209AC"/>
    <w:rsid w:val="008213DD"/>
    <w:rsid w:val="00823CB6"/>
    <w:rsid w:val="008247D9"/>
    <w:rsid w:val="008304DE"/>
    <w:rsid w:val="0083052E"/>
    <w:rsid w:val="008321D0"/>
    <w:rsid w:val="008358A8"/>
    <w:rsid w:val="00842478"/>
    <w:rsid w:val="00842D97"/>
    <w:rsid w:val="0085057C"/>
    <w:rsid w:val="00860445"/>
    <w:rsid w:val="00862929"/>
    <w:rsid w:val="008640B2"/>
    <w:rsid w:val="00864255"/>
    <w:rsid w:val="008738DD"/>
    <w:rsid w:val="00877D77"/>
    <w:rsid w:val="008845FF"/>
    <w:rsid w:val="00890150"/>
    <w:rsid w:val="00892D55"/>
    <w:rsid w:val="00895C29"/>
    <w:rsid w:val="00895C37"/>
    <w:rsid w:val="008A1811"/>
    <w:rsid w:val="008B6E95"/>
    <w:rsid w:val="008C0F84"/>
    <w:rsid w:val="008C220F"/>
    <w:rsid w:val="008D376E"/>
    <w:rsid w:val="008D64CD"/>
    <w:rsid w:val="008E0665"/>
    <w:rsid w:val="008E511C"/>
    <w:rsid w:val="008F6E7C"/>
    <w:rsid w:val="00903D6C"/>
    <w:rsid w:val="009100B2"/>
    <w:rsid w:val="009122B0"/>
    <w:rsid w:val="00922340"/>
    <w:rsid w:val="00926325"/>
    <w:rsid w:val="00930DD7"/>
    <w:rsid w:val="00936633"/>
    <w:rsid w:val="0093689E"/>
    <w:rsid w:val="00937DC6"/>
    <w:rsid w:val="00942ABE"/>
    <w:rsid w:val="00944EF2"/>
    <w:rsid w:val="00945A85"/>
    <w:rsid w:val="00947E52"/>
    <w:rsid w:val="009531DF"/>
    <w:rsid w:val="00956151"/>
    <w:rsid w:val="00960414"/>
    <w:rsid w:val="00960ED7"/>
    <w:rsid w:val="00960F6D"/>
    <w:rsid w:val="00964BD8"/>
    <w:rsid w:val="00970DC5"/>
    <w:rsid w:val="009808A0"/>
    <w:rsid w:val="009851AA"/>
    <w:rsid w:val="00986DA1"/>
    <w:rsid w:val="00993F24"/>
    <w:rsid w:val="00995E63"/>
    <w:rsid w:val="009A0D6B"/>
    <w:rsid w:val="009A43A0"/>
    <w:rsid w:val="009B3395"/>
    <w:rsid w:val="009B5FAE"/>
    <w:rsid w:val="009D010D"/>
    <w:rsid w:val="009D0A34"/>
    <w:rsid w:val="009D16A7"/>
    <w:rsid w:val="009D3245"/>
    <w:rsid w:val="009D7390"/>
    <w:rsid w:val="009F0D6A"/>
    <w:rsid w:val="00A05F51"/>
    <w:rsid w:val="00A13935"/>
    <w:rsid w:val="00A14156"/>
    <w:rsid w:val="00A17A93"/>
    <w:rsid w:val="00A228F2"/>
    <w:rsid w:val="00A2625D"/>
    <w:rsid w:val="00A347D9"/>
    <w:rsid w:val="00A355AD"/>
    <w:rsid w:val="00A41183"/>
    <w:rsid w:val="00A448BD"/>
    <w:rsid w:val="00A46CAC"/>
    <w:rsid w:val="00A56D5D"/>
    <w:rsid w:val="00A62639"/>
    <w:rsid w:val="00A63E24"/>
    <w:rsid w:val="00A6482D"/>
    <w:rsid w:val="00A85765"/>
    <w:rsid w:val="00A9248F"/>
    <w:rsid w:val="00AA4C95"/>
    <w:rsid w:val="00AB1512"/>
    <w:rsid w:val="00AB61C0"/>
    <w:rsid w:val="00AD57CD"/>
    <w:rsid w:val="00AE1DE1"/>
    <w:rsid w:val="00AE5ED8"/>
    <w:rsid w:val="00AE5F9D"/>
    <w:rsid w:val="00AF75A9"/>
    <w:rsid w:val="00B01021"/>
    <w:rsid w:val="00B10073"/>
    <w:rsid w:val="00B142C9"/>
    <w:rsid w:val="00B257D2"/>
    <w:rsid w:val="00B31562"/>
    <w:rsid w:val="00B4681F"/>
    <w:rsid w:val="00B479C9"/>
    <w:rsid w:val="00B53291"/>
    <w:rsid w:val="00B56401"/>
    <w:rsid w:val="00B7036C"/>
    <w:rsid w:val="00B70CBB"/>
    <w:rsid w:val="00B857E8"/>
    <w:rsid w:val="00BA2BF5"/>
    <w:rsid w:val="00BA7657"/>
    <w:rsid w:val="00BB3DD9"/>
    <w:rsid w:val="00BB6A8F"/>
    <w:rsid w:val="00BB781E"/>
    <w:rsid w:val="00BC18F4"/>
    <w:rsid w:val="00BC2E33"/>
    <w:rsid w:val="00BD0414"/>
    <w:rsid w:val="00BD0CBA"/>
    <w:rsid w:val="00BD3380"/>
    <w:rsid w:val="00BD57B2"/>
    <w:rsid w:val="00BD58A2"/>
    <w:rsid w:val="00BE2D0F"/>
    <w:rsid w:val="00BE385F"/>
    <w:rsid w:val="00BF0D81"/>
    <w:rsid w:val="00BF30DC"/>
    <w:rsid w:val="00C04045"/>
    <w:rsid w:val="00C10B86"/>
    <w:rsid w:val="00C10F0D"/>
    <w:rsid w:val="00C10F14"/>
    <w:rsid w:val="00C37956"/>
    <w:rsid w:val="00C43CA6"/>
    <w:rsid w:val="00C4563D"/>
    <w:rsid w:val="00C50085"/>
    <w:rsid w:val="00C6084C"/>
    <w:rsid w:val="00C6173D"/>
    <w:rsid w:val="00C85158"/>
    <w:rsid w:val="00C853FA"/>
    <w:rsid w:val="00CA31ED"/>
    <w:rsid w:val="00CB5547"/>
    <w:rsid w:val="00CD0D38"/>
    <w:rsid w:val="00CE0752"/>
    <w:rsid w:val="00CF067B"/>
    <w:rsid w:val="00CF30D7"/>
    <w:rsid w:val="00CF3A3B"/>
    <w:rsid w:val="00CF4896"/>
    <w:rsid w:val="00CF595E"/>
    <w:rsid w:val="00CF63F9"/>
    <w:rsid w:val="00CF73CA"/>
    <w:rsid w:val="00D0010D"/>
    <w:rsid w:val="00D06B2A"/>
    <w:rsid w:val="00D13E07"/>
    <w:rsid w:val="00D23C61"/>
    <w:rsid w:val="00D50C86"/>
    <w:rsid w:val="00D52344"/>
    <w:rsid w:val="00D55C3D"/>
    <w:rsid w:val="00D65173"/>
    <w:rsid w:val="00D67B96"/>
    <w:rsid w:val="00D848BE"/>
    <w:rsid w:val="00D84B39"/>
    <w:rsid w:val="00D95DB5"/>
    <w:rsid w:val="00DA0E71"/>
    <w:rsid w:val="00DA1BD3"/>
    <w:rsid w:val="00DA2F8F"/>
    <w:rsid w:val="00DB021E"/>
    <w:rsid w:val="00DB15F3"/>
    <w:rsid w:val="00DB2785"/>
    <w:rsid w:val="00DC5C48"/>
    <w:rsid w:val="00DD360B"/>
    <w:rsid w:val="00DD381F"/>
    <w:rsid w:val="00DD7347"/>
    <w:rsid w:val="00DE6583"/>
    <w:rsid w:val="00DE7F0D"/>
    <w:rsid w:val="00DF0A6E"/>
    <w:rsid w:val="00DF4D5E"/>
    <w:rsid w:val="00E01684"/>
    <w:rsid w:val="00E02D8E"/>
    <w:rsid w:val="00E040A2"/>
    <w:rsid w:val="00E074B1"/>
    <w:rsid w:val="00E13A43"/>
    <w:rsid w:val="00E23E1F"/>
    <w:rsid w:val="00E25F52"/>
    <w:rsid w:val="00E31617"/>
    <w:rsid w:val="00E46176"/>
    <w:rsid w:val="00E511B8"/>
    <w:rsid w:val="00E5275B"/>
    <w:rsid w:val="00E52BFF"/>
    <w:rsid w:val="00E56CED"/>
    <w:rsid w:val="00E64A0D"/>
    <w:rsid w:val="00E72C0E"/>
    <w:rsid w:val="00E75A5D"/>
    <w:rsid w:val="00E75AD5"/>
    <w:rsid w:val="00E85390"/>
    <w:rsid w:val="00E902DD"/>
    <w:rsid w:val="00EA130A"/>
    <w:rsid w:val="00EA1679"/>
    <w:rsid w:val="00EA4348"/>
    <w:rsid w:val="00EA63B7"/>
    <w:rsid w:val="00EC7094"/>
    <w:rsid w:val="00ED0365"/>
    <w:rsid w:val="00ED2482"/>
    <w:rsid w:val="00EE3212"/>
    <w:rsid w:val="00EE4689"/>
    <w:rsid w:val="00EE7AC7"/>
    <w:rsid w:val="00EF22BC"/>
    <w:rsid w:val="00EF5149"/>
    <w:rsid w:val="00F2278E"/>
    <w:rsid w:val="00F23F27"/>
    <w:rsid w:val="00F31AE4"/>
    <w:rsid w:val="00F3310A"/>
    <w:rsid w:val="00F34A2D"/>
    <w:rsid w:val="00F353E1"/>
    <w:rsid w:val="00F40FA1"/>
    <w:rsid w:val="00F41C0D"/>
    <w:rsid w:val="00F4552C"/>
    <w:rsid w:val="00F6444B"/>
    <w:rsid w:val="00F66FC1"/>
    <w:rsid w:val="00F715C1"/>
    <w:rsid w:val="00F75C94"/>
    <w:rsid w:val="00F827E7"/>
    <w:rsid w:val="00F90628"/>
    <w:rsid w:val="00F92280"/>
    <w:rsid w:val="00F95059"/>
    <w:rsid w:val="00F9513D"/>
    <w:rsid w:val="00F95542"/>
    <w:rsid w:val="00F960B2"/>
    <w:rsid w:val="00FA0F7D"/>
    <w:rsid w:val="00FB5732"/>
    <w:rsid w:val="00FC26A5"/>
    <w:rsid w:val="00FD639A"/>
    <w:rsid w:val="00FE1576"/>
    <w:rsid w:val="00FE2315"/>
    <w:rsid w:val="00FE28EC"/>
    <w:rsid w:val="00FE447C"/>
    <w:rsid w:val="00FF4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B6B1"/>
  <w15:docId w15:val="{CDE0723A-C3A4-4D55-B630-54B1566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5D"/>
    <w:pPr>
      <w:spacing w:after="240" w:line="480" w:lineRule="auto"/>
    </w:pPr>
    <w:rPr>
      <w:rFonts w:ascii="Times New Roman" w:hAnsi="Times New Roman" w:cs="Times New Roman"/>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860445"/>
    <w:pPr>
      <w:keepNext/>
      <w:keepLines/>
      <w:spacing w:before="360" w:after="120"/>
      <w:outlineLvl w:val="1"/>
    </w:pPr>
    <w:rPr>
      <w:b/>
      <w:szCs w:val="32"/>
    </w:rPr>
  </w:style>
  <w:style w:type="paragraph" w:styleId="Heading3">
    <w:name w:val="heading 3"/>
    <w:basedOn w:val="Normal"/>
    <w:next w:val="Normal"/>
    <w:qFormat/>
    <w:rsid w:val="007A60DB"/>
    <w:pPr>
      <w:keepNext/>
      <w:keepLines/>
      <w:spacing w:before="320" w:after="80"/>
      <w:outlineLvl w:val="2"/>
    </w:pPr>
    <w:rPr>
      <w:b/>
      <w:bCs/>
      <w:i/>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66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6633"/>
    <w:rPr>
      <w:b/>
      <w:bCs/>
    </w:rPr>
  </w:style>
  <w:style w:type="character" w:customStyle="1" w:styleId="CommentSubjectChar">
    <w:name w:val="Comment Subject Char"/>
    <w:basedOn w:val="CommentTextChar"/>
    <w:link w:val="CommentSubject"/>
    <w:uiPriority w:val="99"/>
    <w:semiHidden/>
    <w:rsid w:val="00936633"/>
    <w:rPr>
      <w:b/>
      <w:bCs/>
      <w:sz w:val="20"/>
      <w:szCs w:val="20"/>
    </w:rPr>
  </w:style>
  <w:style w:type="paragraph" w:styleId="Quote">
    <w:name w:val="Quote"/>
    <w:basedOn w:val="Normal"/>
    <w:next w:val="Normal"/>
    <w:link w:val="QuoteChar"/>
    <w:uiPriority w:val="29"/>
    <w:qFormat/>
    <w:rsid w:val="008D64CD"/>
    <w:pPr>
      <w:spacing w:before="200" w:after="160"/>
      <w:ind w:left="864" w:right="864"/>
    </w:pPr>
    <w:rPr>
      <w:sz w:val="20"/>
      <w:szCs w:val="20"/>
    </w:rPr>
  </w:style>
  <w:style w:type="character" w:customStyle="1" w:styleId="QuoteChar">
    <w:name w:val="Quote Char"/>
    <w:basedOn w:val="DefaultParagraphFont"/>
    <w:link w:val="Quote"/>
    <w:uiPriority w:val="29"/>
    <w:rsid w:val="008D64CD"/>
    <w:rPr>
      <w:rFonts w:ascii="Times New Roman" w:hAnsi="Times New Roman" w:cs="Times New Roman"/>
      <w:sz w:val="20"/>
      <w:szCs w:val="20"/>
    </w:rPr>
  </w:style>
  <w:style w:type="character" w:styleId="Hyperlink">
    <w:name w:val="Hyperlink"/>
    <w:basedOn w:val="DefaultParagraphFont"/>
    <w:uiPriority w:val="99"/>
    <w:unhideWhenUsed/>
    <w:rsid w:val="00FF4C19"/>
    <w:rPr>
      <w:color w:val="0000FF" w:themeColor="hyperlink"/>
      <w:u w:val="single"/>
    </w:rPr>
  </w:style>
  <w:style w:type="character" w:customStyle="1" w:styleId="UnresolvedMention1">
    <w:name w:val="Unresolved Mention1"/>
    <w:basedOn w:val="DefaultParagraphFont"/>
    <w:uiPriority w:val="99"/>
    <w:semiHidden/>
    <w:unhideWhenUsed/>
    <w:rsid w:val="00FF4C19"/>
    <w:rPr>
      <w:color w:val="605E5C"/>
      <w:shd w:val="clear" w:color="auto" w:fill="E1DFDD"/>
    </w:rPr>
  </w:style>
  <w:style w:type="paragraph" w:customStyle="1" w:styleId="Default">
    <w:name w:val="Default"/>
    <w:rsid w:val="00405835"/>
    <w:pPr>
      <w:autoSpaceDE w:val="0"/>
      <w:autoSpaceDN w:val="0"/>
      <w:adjustRightInd w:val="0"/>
      <w:spacing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unhideWhenUsed/>
    <w:rsid w:val="009100B2"/>
    <w:pPr>
      <w:spacing w:after="0" w:line="240" w:lineRule="auto"/>
    </w:pPr>
    <w:rPr>
      <w:sz w:val="20"/>
      <w:szCs w:val="20"/>
    </w:rPr>
  </w:style>
  <w:style w:type="character" w:customStyle="1" w:styleId="FootnoteTextChar">
    <w:name w:val="Footnote Text Char"/>
    <w:basedOn w:val="DefaultParagraphFont"/>
    <w:link w:val="FootnoteText"/>
    <w:uiPriority w:val="99"/>
    <w:rsid w:val="009100B2"/>
    <w:rPr>
      <w:sz w:val="20"/>
      <w:szCs w:val="20"/>
    </w:rPr>
  </w:style>
  <w:style w:type="character" w:styleId="FootnoteReference">
    <w:name w:val="footnote reference"/>
    <w:basedOn w:val="DefaultParagraphFont"/>
    <w:uiPriority w:val="99"/>
    <w:semiHidden/>
    <w:unhideWhenUsed/>
    <w:rsid w:val="009100B2"/>
    <w:rPr>
      <w:vertAlign w:val="superscript"/>
    </w:rPr>
  </w:style>
  <w:style w:type="paragraph" w:styleId="ListParagraph">
    <w:name w:val="List Paragraph"/>
    <w:basedOn w:val="Normal"/>
    <w:uiPriority w:val="34"/>
    <w:qFormat/>
    <w:rsid w:val="007252EA"/>
    <w:pPr>
      <w:ind w:left="720"/>
      <w:contextualSpacing/>
    </w:pPr>
  </w:style>
  <w:style w:type="character" w:customStyle="1" w:styleId="authors5">
    <w:name w:val="authors5"/>
    <w:basedOn w:val="DefaultParagraphFont"/>
    <w:rsid w:val="00B01021"/>
  </w:style>
  <w:style w:type="character" w:customStyle="1" w:styleId="Date1">
    <w:name w:val="Date1"/>
    <w:basedOn w:val="DefaultParagraphFont"/>
    <w:rsid w:val="00B01021"/>
  </w:style>
  <w:style w:type="character" w:customStyle="1" w:styleId="arttitle4">
    <w:name w:val="art_title4"/>
    <w:basedOn w:val="DefaultParagraphFont"/>
    <w:rsid w:val="00B01021"/>
  </w:style>
  <w:style w:type="character" w:customStyle="1" w:styleId="serialtitle">
    <w:name w:val="serial_title"/>
    <w:basedOn w:val="DefaultParagraphFont"/>
    <w:rsid w:val="00B01021"/>
  </w:style>
  <w:style w:type="character" w:customStyle="1" w:styleId="doilink">
    <w:name w:val="doi_link"/>
    <w:basedOn w:val="DefaultParagraphFont"/>
    <w:rsid w:val="00B01021"/>
  </w:style>
  <w:style w:type="paragraph" w:styleId="NoSpacing">
    <w:name w:val="No Spacing"/>
    <w:link w:val="NoSpacingChar"/>
    <w:uiPriority w:val="1"/>
    <w:qFormat/>
    <w:rsid w:val="005225DB"/>
    <w:pPr>
      <w:spacing w:line="240" w:lineRule="auto"/>
    </w:pPr>
    <w:rPr>
      <w:rFonts w:asciiTheme="minorHAnsi" w:eastAsiaTheme="minorHAnsi" w:hAnsiTheme="minorHAnsi" w:cstheme="minorBidi"/>
      <w:lang w:eastAsia="en-US"/>
    </w:rPr>
  </w:style>
  <w:style w:type="character" w:customStyle="1" w:styleId="NoSpacingChar">
    <w:name w:val="No Spacing Char"/>
    <w:link w:val="NoSpacing"/>
    <w:uiPriority w:val="1"/>
    <w:rsid w:val="005225DB"/>
    <w:rPr>
      <w:rFonts w:asciiTheme="minorHAnsi" w:eastAsiaTheme="minorHAnsi" w:hAnsiTheme="minorHAnsi" w:cstheme="minorBidi"/>
      <w:lang w:eastAsia="en-US"/>
    </w:rPr>
  </w:style>
  <w:style w:type="paragraph" w:customStyle="1" w:styleId="Authornames">
    <w:name w:val="Author names"/>
    <w:basedOn w:val="Normal"/>
    <w:next w:val="Normal"/>
    <w:qFormat/>
    <w:rsid w:val="00EE3212"/>
    <w:pPr>
      <w:spacing w:before="240" w:after="0" w:line="360" w:lineRule="auto"/>
    </w:pPr>
    <w:rPr>
      <w:rFonts w:eastAsia="Times New Roman"/>
      <w:sz w:val="28"/>
    </w:rPr>
  </w:style>
  <w:style w:type="paragraph" w:customStyle="1" w:styleId="Affiliation">
    <w:name w:val="Affiliation"/>
    <w:basedOn w:val="Normal"/>
    <w:qFormat/>
    <w:rsid w:val="00EE3212"/>
    <w:pPr>
      <w:spacing w:before="240" w:after="0" w:line="360" w:lineRule="auto"/>
    </w:pPr>
    <w:rPr>
      <w:rFonts w:eastAsia="Times New Roman"/>
      <w:i/>
    </w:rPr>
  </w:style>
  <w:style w:type="paragraph" w:styleId="NormalWeb">
    <w:name w:val="Normal (Web)"/>
    <w:basedOn w:val="Normal"/>
    <w:uiPriority w:val="99"/>
    <w:semiHidden/>
    <w:unhideWhenUsed/>
    <w:rsid w:val="00566118"/>
    <w:pPr>
      <w:spacing w:before="100" w:beforeAutospacing="1" w:after="100" w:afterAutospacing="1" w:line="240" w:lineRule="auto"/>
    </w:pPr>
    <w:rPr>
      <w:rFonts w:eastAsia="Times New Roman"/>
    </w:rPr>
  </w:style>
  <w:style w:type="character" w:customStyle="1" w:styleId="arttitle">
    <w:name w:val="art_title"/>
    <w:basedOn w:val="DefaultParagraphFont"/>
    <w:rsid w:val="005F3A4C"/>
  </w:style>
  <w:style w:type="character" w:customStyle="1" w:styleId="volumeissue">
    <w:name w:val="volume_issue"/>
    <w:basedOn w:val="DefaultParagraphFont"/>
    <w:rsid w:val="005F3A4C"/>
  </w:style>
  <w:style w:type="character" w:customStyle="1" w:styleId="pagerange">
    <w:name w:val="page_range"/>
    <w:basedOn w:val="DefaultParagraphFont"/>
    <w:rsid w:val="005F3A4C"/>
  </w:style>
  <w:style w:type="paragraph" w:styleId="Header">
    <w:name w:val="header"/>
    <w:basedOn w:val="Normal"/>
    <w:link w:val="HeaderChar"/>
    <w:uiPriority w:val="99"/>
    <w:unhideWhenUsed/>
    <w:rsid w:val="0044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767"/>
    <w:rPr>
      <w:rFonts w:ascii="Times New Roman" w:hAnsi="Times New Roman" w:cs="Times New Roman"/>
      <w:sz w:val="24"/>
      <w:szCs w:val="24"/>
    </w:rPr>
  </w:style>
  <w:style w:type="paragraph" w:styleId="Footer">
    <w:name w:val="footer"/>
    <w:basedOn w:val="Normal"/>
    <w:link w:val="FooterChar"/>
    <w:uiPriority w:val="99"/>
    <w:unhideWhenUsed/>
    <w:rsid w:val="0044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767"/>
    <w:rPr>
      <w:rFonts w:ascii="Times New Roman" w:hAnsi="Times New Roman" w:cs="Times New Roman"/>
      <w:sz w:val="24"/>
      <w:szCs w:val="24"/>
    </w:rPr>
  </w:style>
  <w:style w:type="character" w:styleId="EndnoteReference">
    <w:name w:val="endnote reference"/>
    <w:basedOn w:val="DefaultParagraphFont"/>
    <w:uiPriority w:val="99"/>
    <w:semiHidden/>
    <w:unhideWhenUsed/>
    <w:rsid w:val="00E64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9358">
      <w:bodyDiv w:val="1"/>
      <w:marLeft w:val="0"/>
      <w:marRight w:val="0"/>
      <w:marTop w:val="0"/>
      <w:marBottom w:val="0"/>
      <w:divBdr>
        <w:top w:val="none" w:sz="0" w:space="0" w:color="auto"/>
        <w:left w:val="none" w:sz="0" w:space="0" w:color="auto"/>
        <w:bottom w:val="none" w:sz="0" w:space="0" w:color="auto"/>
        <w:right w:val="none" w:sz="0" w:space="0" w:color="auto"/>
      </w:divBdr>
    </w:div>
    <w:div w:id="1171214983">
      <w:bodyDiv w:val="1"/>
      <w:marLeft w:val="0"/>
      <w:marRight w:val="0"/>
      <w:marTop w:val="0"/>
      <w:marBottom w:val="0"/>
      <w:divBdr>
        <w:top w:val="none" w:sz="0" w:space="0" w:color="auto"/>
        <w:left w:val="none" w:sz="0" w:space="0" w:color="auto"/>
        <w:bottom w:val="none" w:sz="0" w:space="0" w:color="auto"/>
        <w:right w:val="none" w:sz="0" w:space="0" w:color="auto"/>
      </w:divBdr>
    </w:div>
    <w:div w:id="1440224644">
      <w:bodyDiv w:val="1"/>
      <w:marLeft w:val="0"/>
      <w:marRight w:val="0"/>
      <w:marTop w:val="0"/>
      <w:marBottom w:val="0"/>
      <w:divBdr>
        <w:top w:val="none" w:sz="0" w:space="0" w:color="auto"/>
        <w:left w:val="none" w:sz="0" w:space="0" w:color="auto"/>
        <w:bottom w:val="none" w:sz="0" w:space="0" w:color="auto"/>
        <w:right w:val="none" w:sz="0" w:space="0" w:color="auto"/>
      </w:divBdr>
    </w:div>
    <w:div w:id="1470129755">
      <w:bodyDiv w:val="1"/>
      <w:marLeft w:val="0"/>
      <w:marRight w:val="0"/>
      <w:marTop w:val="0"/>
      <w:marBottom w:val="0"/>
      <w:divBdr>
        <w:top w:val="none" w:sz="0" w:space="0" w:color="auto"/>
        <w:left w:val="none" w:sz="0" w:space="0" w:color="auto"/>
        <w:bottom w:val="none" w:sz="0" w:space="0" w:color="auto"/>
        <w:right w:val="none" w:sz="0" w:space="0" w:color="auto"/>
      </w:divBdr>
    </w:div>
    <w:div w:id="1521428191">
      <w:bodyDiv w:val="1"/>
      <w:marLeft w:val="0"/>
      <w:marRight w:val="0"/>
      <w:marTop w:val="0"/>
      <w:marBottom w:val="0"/>
      <w:divBdr>
        <w:top w:val="none" w:sz="0" w:space="0" w:color="auto"/>
        <w:left w:val="none" w:sz="0" w:space="0" w:color="auto"/>
        <w:bottom w:val="none" w:sz="0" w:space="0" w:color="auto"/>
        <w:right w:val="none" w:sz="0" w:space="0" w:color="auto"/>
      </w:divBdr>
    </w:div>
    <w:div w:id="1525484735">
      <w:bodyDiv w:val="1"/>
      <w:marLeft w:val="0"/>
      <w:marRight w:val="0"/>
      <w:marTop w:val="0"/>
      <w:marBottom w:val="0"/>
      <w:divBdr>
        <w:top w:val="none" w:sz="0" w:space="0" w:color="auto"/>
        <w:left w:val="none" w:sz="0" w:space="0" w:color="auto"/>
        <w:bottom w:val="none" w:sz="0" w:space="0" w:color="auto"/>
        <w:right w:val="none" w:sz="0" w:space="0" w:color="auto"/>
      </w:divBdr>
    </w:div>
    <w:div w:id="1763184158">
      <w:bodyDiv w:val="1"/>
      <w:marLeft w:val="0"/>
      <w:marRight w:val="0"/>
      <w:marTop w:val="0"/>
      <w:marBottom w:val="0"/>
      <w:divBdr>
        <w:top w:val="none" w:sz="0" w:space="0" w:color="auto"/>
        <w:left w:val="none" w:sz="0" w:space="0" w:color="auto"/>
        <w:bottom w:val="none" w:sz="0" w:space="0" w:color="auto"/>
        <w:right w:val="none" w:sz="0" w:space="0" w:color="auto"/>
      </w:divBdr>
    </w:div>
    <w:div w:id="1946692821">
      <w:bodyDiv w:val="1"/>
      <w:marLeft w:val="0"/>
      <w:marRight w:val="0"/>
      <w:marTop w:val="0"/>
      <w:marBottom w:val="0"/>
      <w:divBdr>
        <w:top w:val="none" w:sz="0" w:space="0" w:color="auto"/>
        <w:left w:val="none" w:sz="0" w:space="0" w:color="auto"/>
        <w:bottom w:val="none" w:sz="0" w:space="0" w:color="auto"/>
        <w:right w:val="none" w:sz="0" w:space="0" w:color="auto"/>
      </w:divBdr>
    </w:div>
    <w:div w:id="201413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knowledge-hub/embedding-mental-wellbeing-curriculum-maximising-success-higher-education" TargetMode="External"/><Relationship Id="rId18" Type="http://schemas.openxmlformats.org/officeDocument/2006/relationships/hyperlink" Target="http://www.ippr.org/publications/not-by-degre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epi.ac.uk/2016/09/22/3592/" TargetMode="External"/><Relationship Id="rId17" Type="http://schemas.openxmlformats.org/officeDocument/2006/relationships/hyperlink" Target="http://www.ippr.org/publications/not-by-degrees" TargetMode="External"/><Relationship Id="rId2" Type="http://schemas.openxmlformats.org/officeDocument/2006/relationships/customXml" Target="../customXml/item2.xml"/><Relationship Id="rId16" Type="http://schemas.openxmlformats.org/officeDocument/2006/relationships/hyperlink" Target="https://www.qaa.ac.uk/en/quality-code/advice-and-guidance/assessment" TargetMode="External"/><Relationship Id="rId20" Type="http://schemas.openxmlformats.org/officeDocument/2006/relationships/hyperlink" Target="https://www.who.int/mental_health/evidence/en/promoting_mh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pi.ac.uk/2016/09/22/3592/" TargetMode="External"/><Relationship Id="rId5" Type="http://schemas.openxmlformats.org/officeDocument/2006/relationships/numbering" Target="numbering.xml"/><Relationship Id="rId15" Type="http://schemas.openxmlformats.org/officeDocument/2006/relationships/hyperlink" Target="https://www.studentminds.org.uk/uploads/3/7/8/4/3784584/cpdn_document_artwork.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versitiesuk.ac.uk/stepchange"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minds.org.uk/uploads/3/7/8/4/3784584/cpdn_document_artwor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3D83D9945084695099582D620065D" ma:contentTypeVersion="13" ma:contentTypeDescription="Create a new document." ma:contentTypeScope="" ma:versionID="3827dc095c7f91b2eede20d78be089f7">
  <xsd:schema xmlns:xsd="http://www.w3.org/2001/XMLSchema" xmlns:xs="http://www.w3.org/2001/XMLSchema" xmlns:p="http://schemas.microsoft.com/office/2006/metadata/properties" xmlns:ns3="f7ff8a16-b399-43f4-953f-016e0076bcd0" xmlns:ns4="2dfad247-a22d-4f07-9f17-244910a44fea" targetNamespace="http://schemas.microsoft.com/office/2006/metadata/properties" ma:root="true" ma:fieldsID="d7be12d9317b5fa986cc46e7e250f056" ns3:_="" ns4:_="">
    <xsd:import namespace="f7ff8a16-b399-43f4-953f-016e0076bcd0"/>
    <xsd:import namespace="2dfad247-a22d-4f07-9f17-244910a44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8a16-b399-43f4-953f-016e0076b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247-a22d-4f07-9f17-244910a44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63F4-C549-4A2F-813B-9E9B5FBDD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493C3-E452-4506-B404-443E3D06EC04}">
  <ds:schemaRefs>
    <ds:schemaRef ds:uri="http://schemas.microsoft.com/sharepoint/v3/contenttype/forms"/>
  </ds:schemaRefs>
</ds:datastoreItem>
</file>

<file path=customXml/itemProps3.xml><?xml version="1.0" encoding="utf-8"?>
<ds:datastoreItem xmlns:ds="http://schemas.openxmlformats.org/officeDocument/2006/customXml" ds:itemID="{9896B63E-87DD-4D49-ADAC-ED37FF81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8a16-b399-43f4-953f-016e0076bcd0"/>
    <ds:schemaRef ds:uri="2dfad247-a22d-4f07-9f17-244910a4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F5329-05FD-4998-85EF-ECF12E46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7508</Words>
  <Characters>42797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Wilbraham, Susan</dc:creator>
  <cp:lastModifiedBy>Gareth Hughes</cp:lastModifiedBy>
  <cp:revision>2</cp:revision>
  <cp:lastPrinted>2020-03-19T12:01:00Z</cp:lastPrinted>
  <dcterms:created xsi:type="dcterms:W3CDTF">2020-08-21T16:58:00Z</dcterms:created>
  <dcterms:modified xsi:type="dcterms:W3CDTF">2020-08-21T16:58:00Z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0x0101000F43D83D9945084695099582D620065D</vt:lpwstr>
  </property>
</Properties>
</file>