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5E" w:rsidRPr="009452CE" w:rsidRDefault="0033635E" w:rsidP="009452CE">
      <w:pPr>
        <w:autoSpaceDE w:val="0"/>
        <w:spacing w:before="240"/>
        <w:jc w:val="both"/>
        <w:rPr>
          <w:rFonts w:ascii="Times New Roman" w:eastAsia="TimesNewRomanPSMT" w:hAnsi="Times New Roman"/>
          <w:b/>
          <w:bCs/>
          <w:lang w:eastAsia="en-GB"/>
        </w:rPr>
      </w:pPr>
    </w:p>
    <w:p w:rsidR="0033635E" w:rsidRPr="009452CE" w:rsidRDefault="0033635E" w:rsidP="009452CE">
      <w:pPr>
        <w:autoSpaceDE w:val="0"/>
        <w:spacing w:before="240"/>
        <w:jc w:val="both"/>
        <w:rPr>
          <w:rFonts w:ascii="Times New Roman" w:eastAsia="TimesNewRomanPSMT" w:hAnsi="Times New Roman"/>
          <w:b/>
          <w:bCs/>
          <w:lang w:eastAsia="en-GB"/>
        </w:rPr>
      </w:pPr>
    </w:p>
    <w:p w:rsidR="0033635E" w:rsidRPr="009452CE" w:rsidRDefault="0033635E" w:rsidP="009452CE">
      <w:pPr>
        <w:autoSpaceDE w:val="0"/>
        <w:spacing w:before="240"/>
        <w:jc w:val="both"/>
        <w:rPr>
          <w:rFonts w:ascii="Times New Roman" w:eastAsia="TimesNewRomanPSMT" w:hAnsi="Times New Roman"/>
          <w:b/>
          <w:bCs/>
          <w:lang w:eastAsia="en-GB"/>
        </w:rPr>
      </w:pPr>
    </w:p>
    <w:p w:rsidR="0033635E" w:rsidRPr="009452CE" w:rsidRDefault="0033635E" w:rsidP="009452CE">
      <w:pPr>
        <w:autoSpaceDE w:val="0"/>
        <w:spacing w:before="240"/>
        <w:jc w:val="both"/>
        <w:rPr>
          <w:rFonts w:ascii="Times New Roman" w:eastAsia="TimesNewRomanPSMT" w:hAnsi="Times New Roman"/>
          <w:b/>
          <w:bCs/>
          <w:lang w:eastAsia="en-GB"/>
        </w:rPr>
      </w:pPr>
      <w:r w:rsidRPr="009452CE">
        <w:rPr>
          <w:rFonts w:ascii="Times New Roman" w:eastAsia="TimesNewRomanPSMT" w:hAnsi="Times New Roman"/>
          <w:b/>
          <w:bCs/>
          <w:lang w:eastAsia="en-GB"/>
        </w:rPr>
        <w:t>“An evaluation of practitioners’ views of Consultancy and Applied Research at the University of Derby”</w:t>
      </w:r>
    </w:p>
    <w:p w:rsidR="0033635E" w:rsidRPr="009452CE" w:rsidRDefault="0033635E" w:rsidP="009452CE">
      <w:pPr>
        <w:autoSpaceDE w:val="0"/>
        <w:spacing w:before="240"/>
        <w:jc w:val="both"/>
        <w:rPr>
          <w:rFonts w:ascii="Times New Roman" w:eastAsia="TimesNewRomanPSMT" w:hAnsi="Times New Roman"/>
          <w:b/>
          <w:bCs/>
          <w:lang w:eastAsia="en-GB"/>
        </w:rPr>
      </w:pPr>
      <w:r w:rsidRPr="009452CE">
        <w:rPr>
          <w:rFonts w:ascii="Times New Roman" w:eastAsia="TimesNewRomanPSMT" w:hAnsi="Times New Roman"/>
          <w:b/>
          <w:bCs/>
          <w:lang w:eastAsia="en-GB"/>
        </w:rPr>
        <w:t>Peter Wiltshier &amp; Mike Edwards</w:t>
      </w:r>
    </w:p>
    <w:p w:rsidR="0033635E" w:rsidRPr="009452CE" w:rsidRDefault="0033635E" w:rsidP="009452CE">
      <w:pPr>
        <w:autoSpaceDE w:val="0"/>
        <w:spacing w:before="240"/>
        <w:jc w:val="both"/>
        <w:rPr>
          <w:rFonts w:ascii="Times New Roman" w:eastAsia="TimesNewRomanPSMT" w:hAnsi="Times New Roman"/>
          <w:b/>
          <w:bCs/>
          <w:lang w:eastAsia="en-GB"/>
        </w:rPr>
      </w:pPr>
      <w:r w:rsidRPr="009452CE">
        <w:rPr>
          <w:rFonts w:ascii="Times New Roman" w:eastAsia="TimesNewRomanPSMT" w:hAnsi="Times New Roman"/>
          <w:b/>
          <w:bCs/>
          <w:lang w:eastAsia="en-GB"/>
        </w:rPr>
        <w:t>University of Derby</w:t>
      </w:r>
    </w:p>
    <w:p w:rsidR="00B05162" w:rsidRPr="009452CE" w:rsidRDefault="008B2DDC" w:rsidP="009452CE">
      <w:pPr>
        <w:autoSpaceDE w:val="0"/>
        <w:spacing w:before="240"/>
        <w:jc w:val="both"/>
        <w:rPr>
          <w:rFonts w:ascii="Times New Roman" w:eastAsia="TimesNewRomanPSMT" w:hAnsi="Times New Roman"/>
          <w:b/>
          <w:bCs/>
          <w:u w:val="single"/>
          <w:lang w:eastAsia="en-GB"/>
        </w:rPr>
      </w:pPr>
      <w:hyperlink r:id="rId7" w:history="1">
        <w:r w:rsidR="0033635E" w:rsidRPr="009452CE">
          <w:rPr>
            <w:rFonts w:ascii="Times New Roman" w:eastAsia="TimesNewRomanPSMT" w:hAnsi="Times New Roman"/>
            <w:b/>
            <w:bCs/>
            <w:u w:val="single"/>
            <w:lang w:eastAsia="en-GB"/>
          </w:rPr>
          <w:t>P.wiltshier@derby.ac.uk</w:t>
        </w:r>
      </w:hyperlink>
      <w:r w:rsidR="00B05162" w:rsidRPr="009452CE">
        <w:rPr>
          <w:rFonts w:ascii="Times New Roman" w:eastAsia="TimesNewRomanPSMT" w:hAnsi="Times New Roman"/>
          <w:b/>
          <w:bCs/>
          <w:u w:val="single"/>
          <w:lang w:eastAsia="en-GB"/>
        </w:rPr>
        <w:t xml:space="preserve"> </w:t>
      </w:r>
    </w:p>
    <w:p w:rsidR="0033635E" w:rsidRPr="009452CE" w:rsidRDefault="008B2DDC" w:rsidP="009452CE">
      <w:pPr>
        <w:autoSpaceDE w:val="0"/>
        <w:spacing w:before="240"/>
        <w:jc w:val="both"/>
        <w:rPr>
          <w:rFonts w:ascii="Times New Roman" w:eastAsia="TimesNewRomanPSMT" w:hAnsi="Times New Roman"/>
          <w:b/>
          <w:bCs/>
          <w:u w:val="single"/>
          <w:lang w:eastAsia="en-GB"/>
        </w:rPr>
      </w:pPr>
      <w:hyperlink r:id="rId8" w:history="1">
        <w:r w:rsidR="00B05162" w:rsidRPr="009452CE">
          <w:rPr>
            <w:rStyle w:val="Hyperlink"/>
            <w:rFonts w:ascii="Times New Roman" w:eastAsia="TimesNewRomanPSMT" w:hAnsi="Times New Roman"/>
            <w:b/>
            <w:bCs/>
            <w:color w:val="auto"/>
            <w:lang w:eastAsia="en-GB"/>
          </w:rPr>
          <w:t>mgedwards1031@btinternet.com</w:t>
        </w:r>
      </w:hyperlink>
    </w:p>
    <w:p w:rsidR="00B05162" w:rsidRPr="009452CE" w:rsidRDefault="00B05162" w:rsidP="009452CE">
      <w:pPr>
        <w:autoSpaceDE w:val="0"/>
        <w:spacing w:before="240"/>
        <w:jc w:val="both"/>
        <w:rPr>
          <w:rFonts w:ascii="Times New Roman" w:eastAsia="TimesNewRomanPSMT" w:hAnsi="Times New Roman"/>
          <w:b/>
          <w:bCs/>
          <w:lang w:eastAsia="en-GB"/>
        </w:rPr>
      </w:pPr>
    </w:p>
    <w:p w:rsidR="0033635E" w:rsidRPr="009452CE" w:rsidRDefault="0033635E" w:rsidP="009452CE">
      <w:pPr>
        <w:autoSpaceDE w:val="0"/>
        <w:spacing w:before="240"/>
        <w:jc w:val="both"/>
        <w:rPr>
          <w:rFonts w:ascii="Times New Roman" w:eastAsia="TimesNewRomanPSMT" w:hAnsi="Times New Roman"/>
          <w:b/>
          <w:bCs/>
          <w:u w:val="single"/>
          <w:lang w:eastAsia="en-GB"/>
        </w:rPr>
      </w:pPr>
      <w:r w:rsidRPr="009452CE">
        <w:rPr>
          <w:rFonts w:ascii="Times New Roman" w:eastAsia="TimesNewRomanPSMT" w:hAnsi="Times New Roman"/>
          <w:b/>
          <w:bCs/>
          <w:lang w:eastAsia="en-GB"/>
        </w:rPr>
        <w:br w:type="page"/>
      </w:r>
      <w:r w:rsidRPr="009452CE">
        <w:rPr>
          <w:rFonts w:ascii="Times New Roman" w:eastAsia="TimesNewRomanPSMT" w:hAnsi="Times New Roman"/>
          <w:b/>
          <w:bCs/>
          <w:u w:val="single"/>
          <w:lang w:eastAsia="en-GB"/>
        </w:rPr>
        <w:lastRenderedPageBreak/>
        <w:t>Abstract</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The aim of this research has two objectives; firstly, to evaluate the development of cognitive, transferable and intellectual skills in Higher Education students, secondly, to transfer that knowledge by means of collaboration with community organisations. Experiential learning and regeneration/diversification project work is needed by all communities. The collaboration is built upon our ability to provide graduates and a community with portfolios of independent evidence of achievement obtained from working with a partner organisation. </w:t>
      </w:r>
    </w:p>
    <w:p w:rsidR="0033635E" w:rsidRPr="009452CE" w:rsidRDefault="0033635E" w:rsidP="009452CE">
      <w:pPr>
        <w:jc w:val="both"/>
        <w:rPr>
          <w:rFonts w:ascii="Times New Roman" w:eastAsia="TimesNewRomanPSMT" w:hAnsi="Times New Roman"/>
          <w:bCs/>
          <w:lang w:eastAsia="en-GB"/>
        </w:rPr>
      </w:pPr>
    </w:p>
    <w:p w:rsidR="0033635E" w:rsidRPr="009452CE" w:rsidRDefault="0033635E" w:rsidP="009452CE">
      <w:pPr>
        <w:jc w:val="both"/>
        <w:rPr>
          <w:rFonts w:ascii="Times New Roman" w:eastAsia="TimesNewRomanPSMT" w:hAnsi="Times New Roman"/>
          <w:bCs/>
          <w:lang w:eastAsia="en-GB"/>
        </w:rPr>
      </w:pPr>
      <w:r w:rsidRPr="009452CE">
        <w:rPr>
          <w:rFonts w:ascii="Times New Roman" w:eastAsia="TimesNewRomanPSMT" w:hAnsi="Times New Roman"/>
          <w:bCs/>
          <w:lang w:eastAsia="en-GB"/>
        </w:rPr>
        <w:t xml:space="preserve">The work-related learning supports the Community Charitable Trust "New Opportunities Wirksworth” in the market town of Wirksworth, Derbyshire through the delivery of specially negotiated work-based learning. </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jc w:val="both"/>
        <w:rPr>
          <w:rFonts w:ascii="Times New Roman" w:hAnsi="Times New Roman"/>
        </w:rPr>
      </w:pPr>
      <w:r w:rsidRPr="009452CE">
        <w:rPr>
          <w:rFonts w:ascii="Times New Roman" w:hAnsi="Times New Roman"/>
        </w:rPr>
        <w:t xml:space="preserve">Teaching, learning and assessment in Higher Education use problem-based learning, especially in vocation-specific domains that is usually undertaken using a constructivist approach (see for example: </w:t>
      </w:r>
      <w:r w:rsidR="007C6C79" w:rsidRPr="009452CE">
        <w:rPr>
          <w:rFonts w:ascii="Times New Roman" w:hAnsi="Times New Roman"/>
        </w:rPr>
        <w:t xml:space="preserve">Hussey et al, 2009; </w:t>
      </w:r>
      <w:r w:rsidRPr="009452CE">
        <w:rPr>
          <w:rFonts w:ascii="Times New Roman" w:hAnsi="Times New Roman"/>
        </w:rPr>
        <w:t xml:space="preserve">Massa, 2008; </w:t>
      </w:r>
      <w:r w:rsidR="007C6C79" w:rsidRPr="009452CE">
        <w:rPr>
          <w:rFonts w:ascii="Times New Roman" w:hAnsi="Times New Roman"/>
        </w:rPr>
        <w:t xml:space="preserve">Kolb &amp; Kolb, 2005; Brown &amp; King, 2000; </w:t>
      </w:r>
      <w:r w:rsidRPr="009452CE">
        <w:rPr>
          <w:rFonts w:ascii="Times New Roman" w:hAnsi="Times New Roman"/>
        </w:rPr>
        <w:t>Hendry et al, 1999). Such constructivist methodologies are often predicated, for students and for teachers, on the delivery of experiential, entrepreneurial and applied skills. Students are seen as short-changed if they are not engaging with Problem Based Learning from lecturers working at the 'frontiers of knowledge’ (Brown &amp; McCartney, 1998: 117). We also acknowledge that Problem Based Learning provides an opportunity for producing outcomes in new knowledge for students and communities that is highly usable when compared to memory-based learning (Barrows et al, 1980).</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So, in this research we directed and managed a cadre of students to consider PBL as experiential and practical learning. The project meets the contemporary employability agenda through the application of PBL and knowledge transfer to our specific organisation, ‘Wirksworth NOW!’. The outcomes and outputs of the collaboration have applications in NOW's core cluster components</w:t>
      </w:r>
      <w:r w:rsidR="00FD4140" w:rsidRPr="009452CE">
        <w:rPr>
          <w:rFonts w:ascii="Times New Roman" w:eastAsia="Times New Roman" w:hAnsi="Times New Roman"/>
          <w:lang w:eastAsia="en-GB"/>
        </w:rPr>
        <w:t xml:space="preserve"> for community regeneration</w:t>
      </w:r>
      <w:r w:rsidRPr="009452CE">
        <w:rPr>
          <w:rFonts w:ascii="Times New Roman" w:eastAsia="Times New Roman" w:hAnsi="Times New Roman"/>
          <w:lang w:eastAsia="en-GB"/>
        </w:rPr>
        <w:t>: arts, creative industries and culture, trade and tourism, education and training, youth.</w:t>
      </w:r>
    </w:p>
    <w:p w:rsidR="0033635E" w:rsidRPr="009452CE" w:rsidRDefault="0033635E" w:rsidP="009452CE">
      <w:pPr>
        <w:autoSpaceDE w:val="0"/>
        <w:autoSpaceDN w:val="0"/>
        <w:adjustRightInd w:val="0"/>
        <w:jc w:val="both"/>
        <w:rPr>
          <w:rFonts w:ascii="Times New Roman" w:eastAsia="TimesNewRomanPSMT" w:hAnsi="Times New Roman"/>
          <w:b/>
          <w:bCs/>
          <w:u w:val="single"/>
          <w:lang w:eastAsia="en-GB"/>
        </w:rPr>
      </w:pPr>
    </w:p>
    <w:p w:rsidR="0033635E" w:rsidRPr="009452CE" w:rsidRDefault="0033635E" w:rsidP="009452CE">
      <w:pPr>
        <w:autoSpaceDE w:val="0"/>
        <w:autoSpaceDN w:val="0"/>
        <w:adjustRightInd w:val="0"/>
        <w:jc w:val="both"/>
        <w:rPr>
          <w:rFonts w:ascii="Times New Roman" w:eastAsia="TimesNewRomanPSMT" w:hAnsi="Times New Roman"/>
          <w:b/>
          <w:bCs/>
          <w:u w:val="single"/>
          <w:lang w:eastAsia="en-GB"/>
        </w:rPr>
      </w:pPr>
      <w:r w:rsidRPr="009452CE">
        <w:rPr>
          <w:rFonts w:ascii="Times New Roman" w:eastAsia="TimesNewRomanPSMT" w:hAnsi="Times New Roman"/>
          <w:b/>
          <w:bCs/>
          <w:u w:val="single"/>
          <w:lang w:eastAsia="en-GB"/>
        </w:rPr>
        <w:t>Keywords</w:t>
      </w:r>
    </w:p>
    <w:p w:rsidR="009452CE" w:rsidRPr="009452CE" w:rsidRDefault="009452CE" w:rsidP="009452CE">
      <w:pPr>
        <w:autoSpaceDE w:val="0"/>
        <w:autoSpaceDN w:val="0"/>
        <w:adjustRightInd w:val="0"/>
        <w:jc w:val="both"/>
        <w:rPr>
          <w:rFonts w:ascii="Times New Roman" w:eastAsia="TimesNewRomanPSMT" w:hAnsi="Times New Roman"/>
          <w:b/>
          <w:bCs/>
          <w:u w:val="single"/>
          <w:lang w:eastAsia="en-GB"/>
        </w:rPr>
      </w:pPr>
    </w:p>
    <w:p w:rsidR="0033635E" w:rsidRPr="009452CE" w:rsidRDefault="0033635E" w:rsidP="009452CE">
      <w:pPr>
        <w:autoSpaceDE w:val="0"/>
        <w:autoSpaceDN w:val="0"/>
        <w:adjustRightInd w:val="0"/>
        <w:jc w:val="both"/>
        <w:rPr>
          <w:rFonts w:ascii="Times New Roman" w:eastAsia="TimesNewRomanPSMT" w:hAnsi="Times New Roman"/>
          <w:b/>
          <w:bCs/>
          <w:u w:val="single"/>
          <w:lang w:eastAsia="en-GB"/>
        </w:rPr>
      </w:pPr>
      <w:r w:rsidRPr="009452CE">
        <w:rPr>
          <w:rFonts w:ascii="Times New Roman" w:eastAsia="TimesNewRomanPSMT" w:hAnsi="Times New Roman"/>
          <w:bCs/>
          <w:lang w:eastAsia="en-GB"/>
        </w:rPr>
        <w:t>Problem-based learning, applied research, consultancy, experiential learning</w:t>
      </w:r>
      <w:r w:rsidRPr="009452CE">
        <w:rPr>
          <w:rFonts w:ascii="Times New Roman" w:eastAsia="TimesNewRomanPSMT" w:hAnsi="Times New Roman"/>
          <w:b/>
          <w:bCs/>
          <w:u w:val="single"/>
          <w:lang w:eastAsia="en-GB"/>
        </w:rPr>
        <w:t>.</w:t>
      </w:r>
      <w:r w:rsidRPr="009452CE">
        <w:rPr>
          <w:rFonts w:ascii="Times New Roman" w:eastAsia="TimesNewRomanPSMT" w:hAnsi="Times New Roman"/>
          <w:b/>
          <w:bCs/>
          <w:u w:val="single"/>
          <w:lang w:eastAsia="en-GB"/>
        </w:rPr>
        <w:br w:type="page"/>
      </w:r>
      <w:r w:rsidRPr="009452CE">
        <w:rPr>
          <w:rFonts w:ascii="Times New Roman" w:eastAsia="TimesNewRomanPSMT" w:hAnsi="Times New Roman"/>
          <w:b/>
          <w:bCs/>
          <w:u w:val="single"/>
          <w:lang w:eastAsia="en-GB"/>
        </w:rPr>
        <w:lastRenderedPageBreak/>
        <w:t>Introduction</w:t>
      </w:r>
    </w:p>
    <w:p w:rsidR="0033635E" w:rsidRPr="009452CE" w:rsidRDefault="0033635E" w:rsidP="009452CE">
      <w:pPr>
        <w:autoSpaceDE w:val="0"/>
        <w:autoSpaceDN w:val="0"/>
        <w:adjustRightInd w:val="0"/>
        <w:jc w:val="both"/>
        <w:rPr>
          <w:rFonts w:ascii="Times New Roman" w:eastAsia="TimesNewRomanPSMT" w:hAnsi="Times New Roman"/>
          <w:b/>
          <w:bCs/>
          <w:u w:val="single"/>
          <w:lang w:eastAsia="en-GB"/>
        </w:rPr>
      </w:pPr>
    </w:p>
    <w:p w:rsidR="0033635E" w:rsidRPr="009452CE" w:rsidRDefault="0033635E" w:rsidP="009452CE">
      <w:pPr>
        <w:autoSpaceDE w:val="0"/>
        <w:autoSpaceDN w:val="0"/>
        <w:adjustRightInd w:val="0"/>
        <w:jc w:val="both"/>
        <w:rPr>
          <w:rFonts w:ascii="Times New Roman" w:eastAsia="TimesNewRomanPSMT" w:hAnsi="Times New Roman"/>
          <w:bCs/>
          <w:lang w:eastAsia="en-GB"/>
        </w:rPr>
      </w:pPr>
      <w:r w:rsidRPr="009452CE">
        <w:rPr>
          <w:rFonts w:ascii="Times New Roman" w:eastAsia="TimesNewRomanPSMT" w:hAnsi="Times New Roman"/>
          <w:bCs/>
          <w:lang w:eastAsia="en-GB"/>
        </w:rPr>
        <w:t xml:space="preserve">In the current Higher Education (HE) environment students need to obtain evidence of having successfully negotiated and achieved tasks in applied research (Vuojarvi et al, 2011; </w:t>
      </w:r>
      <w:r w:rsidR="007C6C79" w:rsidRPr="009452CE">
        <w:rPr>
          <w:rFonts w:ascii="Times New Roman" w:eastAsia="TimesNewRomanPSMT" w:hAnsi="Times New Roman"/>
          <w:bCs/>
          <w:lang w:eastAsia="en-GB"/>
        </w:rPr>
        <w:t xml:space="preserve">Hussey et al, 2009; </w:t>
      </w:r>
      <w:r w:rsidRPr="009452CE">
        <w:rPr>
          <w:rFonts w:ascii="Times New Roman" w:eastAsia="TimesNewRomanPSMT" w:hAnsi="Times New Roman"/>
          <w:bCs/>
          <w:lang w:eastAsia="en-GB"/>
        </w:rPr>
        <w:t>Kivela et al, 2005; Brown et al, 1998; Barrows et al, 1980). At postgraduate level this can be seen through applied problem-solving research where students achieve a qualification using cognitive, transferable and intellectual skills demonstrated by cooperation and collaboration with potential employers. Using a Masters’ level module of 150 hours duration at the University of Derby, students demonstrate their skills through Problem Based Learning (PBL). Postgraduate taught students define the question or topic of concern and elaborate and reflect on their project negotiation with practitioners.  These applied research task assessments are designed by the learner, in partnership with an organisation, to allow the learner to demonstrate their mastery of research design and research execution. PBL allows students to meet the needs of collaborative stakeholders at the same time maximising relevance, practice with theory (Hussey et al, 2009).</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It is the value which our practice partners ascribe to these works that is in question.</w:t>
      </w:r>
    </w:p>
    <w:p w:rsidR="0033635E" w:rsidRPr="009452CE" w:rsidRDefault="0033635E" w:rsidP="009452CE">
      <w:pPr>
        <w:autoSpaceDE w:val="0"/>
        <w:autoSpaceDN w:val="0"/>
        <w:adjustRightInd w:val="0"/>
        <w:jc w:val="both"/>
        <w:rPr>
          <w:rFonts w:ascii="Times New Roman" w:eastAsia="Times New Roman" w:hAnsi="Times New Roman"/>
          <w:iCs/>
          <w:lang w:eastAsia="en-GB"/>
        </w:rPr>
      </w:pPr>
      <w:r w:rsidRPr="009452CE">
        <w:rPr>
          <w:rFonts w:ascii="Times New Roman" w:eastAsia="Times New Roman" w:hAnsi="Times New Roman"/>
          <w:lang w:eastAsia="en-GB"/>
        </w:rPr>
        <w:t>Problem-based learning is a powerful tool that uses real world problems to motivate students to identify and apply research concepts and information. PBL encourages students to work collaboratively and communicate effectively and can be used throughout professional development to promote life-long habits of learning (Duch et al, 2001).</w:t>
      </w:r>
      <w:r w:rsidR="007C6C79" w:rsidRPr="009452CE">
        <w:rPr>
          <w:rFonts w:ascii="Times New Roman" w:eastAsia="Times New Roman" w:hAnsi="Times New Roman"/>
          <w:lang w:eastAsia="en-GB"/>
        </w:rPr>
        <w:t xml:space="preserve"> T</w:t>
      </w:r>
      <w:r w:rsidRPr="009452CE">
        <w:rPr>
          <w:rFonts w:ascii="Times New Roman" w:eastAsia="Times New Roman" w:hAnsi="Times New Roman"/>
          <w:iCs/>
          <w:lang w:eastAsia="en-GB"/>
        </w:rPr>
        <w:t>he goals of PBL include helping students develop 1) flexible knowledge, 2) effective problem-solving skills, 3) SDL skills, 4) effective collaboration skills, and 5) intrinsic motivation)</w:t>
      </w:r>
      <w:r w:rsidR="007C6C79" w:rsidRPr="009452CE">
        <w:rPr>
          <w:rFonts w:ascii="Times New Roman" w:eastAsia="Times New Roman" w:hAnsi="Times New Roman"/>
          <w:iCs/>
          <w:lang w:eastAsia="en-GB"/>
        </w:rPr>
        <w:t xml:space="preserve">. </w:t>
      </w:r>
      <w:r w:rsidRPr="009452CE">
        <w:rPr>
          <w:rFonts w:ascii="Times New Roman" w:eastAsia="Times New Roman" w:hAnsi="Times New Roman"/>
          <w:iCs/>
          <w:lang w:eastAsia="en-GB"/>
        </w:rPr>
        <w:t>We identify through the collaboration exemplified here that  PBL is an instructional approach in Higher Education (HE) that helps students develop flexible understanding and lifelong learning skills (Hmelo-Silver, 2004: 235)</w:t>
      </w:r>
      <w:r w:rsidR="007C6C79" w:rsidRPr="009452CE">
        <w:rPr>
          <w:rFonts w:ascii="Times New Roman" w:eastAsia="Times New Roman" w:hAnsi="Times New Roman"/>
          <w:iCs/>
          <w:lang w:eastAsia="en-GB"/>
        </w:rPr>
        <w:t>.</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In addition to satisfying stakeholders that the research and teaching is informed by the contemporary issues in society we assure ourselves of the currency and relevance of teaching, learning and assessment </w:t>
      </w:r>
      <w:r w:rsidR="007C6C79" w:rsidRPr="009452CE">
        <w:rPr>
          <w:rFonts w:ascii="Times New Roman" w:hAnsi="Times New Roman"/>
        </w:rPr>
        <w:t xml:space="preserve"> </w:t>
      </w:r>
      <w:r w:rsidRPr="009452CE">
        <w:rPr>
          <w:rFonts w:ascii="Times New Roman" w:hAnsi="Times New Roman"/>
        </w:rPr>
        <w:t xml:space="preserve">by appreciating that much vocation-specific learning is undertaken in a constructivist and problem-based learning context (see for example Hendry et al, 1999; Brown &amp; King, 2000; Kolb &amp; Kolb, 2005). </w:t>
      </w:r>
    </w:p>
    <w:p w:rsidR="0033635E" w:rsidRPr="009452CE" w:rsidRDefault="0033635E" w:rsidP="009452CE">
      <w:pPr>
        <w:autoSpaceDE w:val="0"/>
        <w:autoSpaceDN w:val="0"/>
        <w:adjustRightInd w:val="0"/>
        <w:jc w:val="both"/>
        <w:rPr>
          <w:rFonts w:ascii="Times New Roman" w:eastAsia="Arial Unicode MS" w:hAnsi="Times New Roman"/>
          <w:lang w:eastAsia="en-GB"/>
        </w:rPr>
      </w:pPr>
      <w:r w:rsidRPr="009452CE">
        <w:rPr>
          <w:rFonts w:ascii="Times New Roman" w:eastAsia="Arial Unicode MS" w:hAnsi="Times New Roman"/>
          <w:lang w:eastAsia="en-GB"/>
        </w:rPr>
        <w:t>Although this is not examined here we are aware that our students appreciated the  self-directed approach to learning and, after exposure to PBL methods, students demonstrated that they were able to take a more pro-active role in their learning.</w:t>
      </w:r>
      <w:r w:rsidR="007C6C79" w:rsidRPr="009452CE">
        <w:rPr>
          <w:rFonts w:ascii="Times New Roman" w:eastAsia="Arial Unicode MS" w:hAnsi="Times New Roman"/>
          <w:lang w:eastAsia="en-GB"/>
        </w:rPr>
        <w:t xml:space="preserve"> </w:t>
      </w:r>
      <w:r w:rsidRPr="009452CE">
        <w:rPr>
          <w:rFonts w:ascii="Times New Roman" w:eastAsia="Arial Unicode MS" w:hAnsi="Times New Roman"/>
          <w:lang w:eastAsia="en-GB"/>
        </w:rPr>
        <w:t>Our students exhibited a learning transition from that of classroom-dependent to self-dependent (Kivela et al, 2005).</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We have also identified that</w:t>
      </w:r>
      <w:r w:rsidR="007C6C79" w:rsidRPr="009452CE">
        <w:rPr>
          <w:rFonts w:ascii="Times New Roman" w:eastAsia="Times New Roman" w:hAnsi="Times New Roman"/>
          <w:lang w:eastAsia="en-GB"/>
        </w:rPr>
        <w:t xml:space="preserve"> </w:t>
      </w:r>
      <w:r w:rsidRPr="009452CE">
        <w:rPr>
          <w:rFonts w:ascii="Times New Roman" w:eastAsia="Times New Roman" w:hAnsi="Times New Roman"/>
          <w:lang w:eastAsia="en-GB"/>
        </w:rPr>
        <w:t xml:space="preserve"> students became active and reflective participants in their own learning</w:t>
      </w:r>
      <w:r w:rsidR="007C6C79" w:rsidRPr="009452CE">
        <w:rPr>
          <w:rFonts w:ascii="Times New Roman" w:eastAsia="Times New Roman" w:hAnsi="Times New Roman"/>
          <w:lang w:eastAsia="en-GB"/>
        </w:rPr>
        <w:t xml:space="preserve"> by using PBL</w:t>
      </w:r>
      <w:r w:rsidRPr="009452CE">
        <w:rPr>
          <w:rFonts w:ascii="Times New Roman" w:eastAsia="Times New Roman" w:hAnsi="Times New Roman"/>
          <w:lang w:eastAsia="en-GB"/>
        </w:rPr>
        <w:t>. They were pushed into unknown learning situations where the parameters of the problem were unclear and the expectations of the partner organisation were poorly defined. The task at hand was ambiguous and challenging to both students and practitioners as</w:t>
      </w:r>
      <w:r w:rsidR="007C6C79" w:rsidRPr="009452CE">
        <w:rPr>
          <w:rFonts w:ascii="Times New Roman" w:eastAsia="Times New Roman" w:hAnsi="Times New Roman"/>
          <w:lang w:eastAsia="en-GB"/>
        </w:rPr>
        <w:t xml:space="preserve"> it is</w:t>
      </w:r>
      <w:r w:rsidRPr="009452CE">
        <w:rPr>
          <w:rFonts w:ascii="Times New Roman" w:eastAsia="Times New Roman" w:hAnsi="Times New Roman"/>
          <w:lang w:eastAsia="en-GB"/>
        </w:rPr>
        <w:t xml:space="preserve"> in the real world (Massa, 2008).</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So, our students are short-changed if they are not learning from lecturers working at the 'frontiers of knowledge’; while researchers are hardly worth their salt if they are not regularly reporting back on their latest findings (Brown &amp; McCartney, 1998: 117). Contemporary research, informed by outputs from PBL can be seen as the lifeblood of </w:t>
      </w:r>
      <w:r w:rsidRPr="009452CE">
        <w:rPr>
          <w:rFonts w:ascii="Times New Roman" w:hAnsi="Times New Roman"/>
        </w:rPr>
        <w:lastRenderedPageBreak/>
        <w:t>a university and the university cannot be an excellent teaching institution without it (ibid: 118).</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b/>
          <w:bCs/>
          <w:u w:val="single"/>
        </w:rPr>
      </w:pPr>
      <w:r w:rsidRPr="009452CE">
        <w:rPr>
          <w:rFonts w:ascii="Times New Roman" w:hAnsi="Times New Roman"/>
          <w:b/>
          <w:bCs/>
          <w:u w:val="single"/>
        </w:rPr>
        <w:t>The study: how practitioners see university research</w:t>
      </w:r>
    </w:p>
    <w:p w:rsidR="0033635E" w:rsidRPr="009452CE" w:rsidRDefault="0033635E" w:rsidP="009452CE">
      <w:pPr>
        <w:autoSpaceDE w:val="0"/>
        <w:autoSpaceDN w:val="0"/>
        <w:adjustRightInd w:val="0"/>
        <w:jc w:val="both"/>
        <w:rPr>
          <w:rFonts w:ascii="Times New Roman" w:hAnsi="Times New Roman"/>
          <w:b/>
          <w:bCs/>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As Brown and McCartney identify</w:t>
      </w:r>
      <w:r w:rsidR="007C6C79" w:rsidRPr="009452CE">
        <w:rPr>
          <w:rFonts w:ascii="Times New Roman" w:hAnsi="Times New Roman"/>
        </w:rPr>
        <w:t>,</w:t>
      </w:r>
      <w:r w:rsidRPr="009452CE">
        <w:rPr>
          <w:rFonts w:ascii="Times New Roman" w:hAnsi="Times New Roman"/>
        </w:rPr>
        <w:t xml:space="preserve"> The University of Derby (UOD) </w:t>
      </w:r>
      <w:r w:rsidR="007C6C79" w:rsidRPr="009452CE">
        <w:rPr>
          <w:rFonts w:ascii="Times New Roman" w:hAnsi="Times New Roman"/>
        </w:rPr>
        <w:t xml:space="preserve">, </w:t>
      </w:r>
      <w:r w:rsidRPr="009452CE">
        <w:rPr>
          <w:rFonts w:ascii="Times New Roman" w:hAnsi="Times New Roman"/>
        </w:rPr>
        <w:t xml:space="preserve">is an institution concerned with local, regional and global applied research and appropriate dissemination of knowledge for the sake of its intrinsic value (Brown &amp; McCartney, 1998). The knowledge accumulated can be shared reciprocally between HE institutions and practitioners. </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In this paper we consider the recent feedback supplied by practitioners in Wirksworth. This feedback has been freely offered by the project commissioning practitioners in their reviews of work </w:t>
      </w:r>
      <w:r w:rsidR="007C6C79" w:rsidRPr="009452CE">
        <w:rPr>
          <w:rFonts w:ascii="Times New Roman" w:hAnsi="Times New Roman"/>
        </w:rPr>
        <w:t>undertaken</w:t>
      </w:r>
      <w:r w:rsidRPr="009452CE">
        <w:rPr>
          <w:rFonts w:ascii="Times New Roman" w:hAnsi="Times New Roman"/>
        </w:rPr>
        <w:t>. The course included the completion</w:t>
      </w:r>
      <w:r w:rsidR="007C6C79" w:rsidRPr="009452CE">
        <w:rPr>
          <w:rFonts w:ascii="Times New Roman" w:hAnsi="Times New Roman"/>
        </w:rPr>
        <w:t xml:space="preserve"> by students</w:t>
      </w:r>
      <w:r w:rsidRPr="009452CE">
        <w:rPr>
          <w:rFonts w:ascii="Times New Roman" w:hAnsi="Times New Roman"/>
        </w:rPr>
        <w:t xml:space="preserve"> of up to 150 hours of task-based problem solving. The aim was that both tutors and practitioners completed the evaluation of postgraduate students’ learning outcomes from their project consultancy. </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Links between research and teaching are valuable because they show that:</w:t>
      </w: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there is a practical application - the resource base is needed to specify the learning outcomes of the modules;</w:t>
      </w: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subject specific knowledge and transferable skills are based upon experiential learning;</w:t>
      </w:r>
    </w:p>
    <w:p w:rsidR="0033635E" w:rsidRPr="009452CE" w:rsidRDefault="0033635E" w:rsidP="009452CE">
      <w:pPr>
        <w:autoSpaceDE w:val="0"/>
        <w:autoSpaceDN w:val="0"/>
        <w:adjustRightInd w:val="0"/>
        <w:jc w:val="both"/>
        <w:rPr>
          <w:rFonts w:ascii="Times New Roman" w:hAnsi="Times New Roman"/>
          <w:i/>
          <w:iCs/>
        </w:rPr>
      </w:pPr>
      <w:r w:rsidRPr="009452CE">
        <w:rPr>
          <w:rFonts w:ascii="Times New Roman" w:hAnsi="Times New Roman"/>
        </w:rPr>
        <w:t>• we need resources to inform the developing curriculum, especially that which is considered relevant to practitioners</w:t>
      </w:r>
      <w:r w:rsidRPr="009452CE">
        <w:rPr>
          <w:rFonts w:ascii="Times New Roman" w:hAnsi="Times New Roman"/>
          <w:i/>
          <w:iCs/>
        </w:rPr>
        <w:t>;</w:t>
      </w: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we use problem solving skills, interpersonal and communication skills including negotiation and persuasion;</w:t>
      </w:r>
    </w:p>
    <w:p w:rsidR="0033635E" w:rsidRPr="009452CE" w:rsidRDefault="0033635E" w:rsidP="009452CE">
      <w:pPr>
        <w:autoSpaceDE w:val="0"/>
        <w:autoSpaceDN w:val="0"/>
        <w:adjustRightInd w:val="0"/>
        <w:jc w:val="both"/>
        <w:rPr>
          <w:rFonts w:ascii="Times New Roman" w:hAnsi="Times New Roman"/>
          <w:i/>
          <w:iCs/>
        </w:rPr>
      </w:pPr>
      <w:r w:rsidRPr="009452CE">
        <w:rPr>
          <w:rFonts w:ascii="Times New Roman" w:hAnsi="Times New Roman"/>
        </w:rPr>
        <w:t>• assessment is clearly devised with practitioners’ needs in mind, the learning and teaching will reflect the problem-solving or PBL approach;</w:t>
      </w:r>
    </w:p>
    <w:p w:rsidR="0033635E" w:rsidRPr="009452CE" w:rsidRDefault="0033635E" w:rsidP="009452CE">
      <w:pPr>
        <w:autoSpaceDE w:val="0"/>
        <w:autoSpaceDN w:val="0"/>
        <w:adjustRightInd w:val="0"/>
        <w:jc w:val="both"/>
        <w:rPr>
          <w:rFonts w:ascii="Times New Roman" w:hAnsi="Times New Roman"/>
          <w:i/>
          <w:iCs/>
        </w:rPr>
      </w:pPr>
      <w:r w:rsidRPr="009452CE">
        <w:rPr>
          <w:rFonts w:ascii="Times New Roman" w:hAnsi="Times New Roman"/>
        </w:rPr>
        <w:t>• this is complementary to and supportive of the rest of the curriculum</w:t>
      </w:r>
      <w:r w:rsidRPr="009452CE">
        <w:rPr>
          <w:rFonts w:ascii="Times New Roman" w:hAnsi="Times New Roman"/>
          <w:iCs/>
        </w:rPr>
        <w:t xml:space="preserve"> (Deakin, 2006: 78-79). </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Let’s also consider our student expectations and their links to practice. We can consider the following top two motivation factors for taking a taught postgraduate programme. These are to progress in the current career path and to improve employment prospects</w:t>
      </w:r>
      <w:r w:rsidR="007C6C79" w:rsidRPr="009452CE">
        <w:rPr>
          <w:rFonts w:ascii="Times New Roman" w:eastAsia="Times New Roman" w:hAnsi="Times New Roman"/>
          <w:lang w:eastAsia="en-GB"/>
        </w:rPr>
        <w:t xml:space="preserve"> (Baum, 2007</w:t>
      </w:r>
      <w:r w:rsidR="00FD4140" w:rsidRPr="009452CE">
        <w:rPr>
          <w:rFonts w:ascii="Times New Roman" w:eastAsia="Times New Roman" w:hAnsi="Times New Roman"/>
          <w:lang w:eastAsia="en-GB"/>
        </w:rPr>
        <w:t>; Baum, 2008</w:t>
      </w:r>
      <w:r w:rsidR="007C6C79" w:rsidRPr="009452CE">
        <w:rPr>
          <w:rFonts w:ascii="Times New Roman" w:eastAsia="Times New Roman" w:hAnsi="Times New Roman"/>
          <w:lang w:eastAsia="en-GB"/>
        </w:rPr>
        <w:t>)</w:t>
      </w:r>
      <w:r w:rsidRPr="009452CE">
        <w:rPr>
          <w:rFonts w:ascii="Times New Roman" w:eastAsia="Times New Roman" w:hAnsi="Times New Roman"/>
          <w:lang w:eastAsia="en-GB"/>
        </w:rPr>
        <w:t xml:space="preserve">. </w:t>
      </w:r>
      <w:r w:rsidR="007C6C79" w:rsidRPr="009452CE">
        <w:rPr>
          <w:rFonts w:ascii="Times New Roman" w:eastAsia="Times New Roman" w:hAnsi="Times New Roman"/>
          <w:lang w:eastAsia="en-GB"/>
        </w:rPr>
        <w:t>P</w:t>
      </w:r>
      <w:r w:rsidRPr="009452CE">
        <w:rPr>
          <w:rFonts w:ascii="Times New Roman" w:eastAsia="Times New Roman" w:hAnsi="Times New Roman"/>
          <w:lang w:eastAsia="en-GB"/>
        </w:rPr>
        <w:t xml:space="preserve">ostgraduate students </w:t>
      </w:r>
      <w:r w:rsidR="007C6C79" w:rsidRPr="009452CE">
        <w:rPr>
          <w:rFonts w:ascii="Times New Roman" w:eastAsia="Times New Roman" w:hAnsi="Times New Roman"/>
          <w:lang w:eastAsia="en-GB"/>
        </w:rPr>
        <w:t xml:space="preserve">surveyed </w:t>
      </w:r>
      <w:r w:rsidRPr="009452CE">
        <w:rPr>
          <w:rFonts w:ascii="Times New Roman" w:eastAsia="Times New Roman" w:hAnsi="Times New Roman"/>
          <w:lang w:eastAsia="en-GB"/>
        </w:rPr>
        <w:t>in one recent research project rated the quality of the teaching and learning very highly. The students also rated the intellectual stimulation of the course</w:t>
      </w:r>
      <w:r w:rsidR="007C6C79" w:rsidRPr="009452CE">
        <w:rPr>
          <w:rFonts w:ascii="Times New Roman" w:eastAsia="Times New Roman" w:hAnsi="Times New Roman"/>
          <w:lang w:eastAsia="en-GB"/>
        </w:rPr>
        <w:t xml:space="preserve"> highly;</w:t>
      </w:r>
      <w:r w:rsidRPr="009452CE">
        <w:rPr>
          <w:rFonts w:ascii="Times New Roman" w:eastAsia="Times New Roman" w:hAnsi="Times New Roman"/>
          <w:lang w:eastAsia="en-GB"/>
        </w:rPr>
        <w:t xml:space="preserve"> </w:t>
      </w:r>
      <w:r w:rsidR="007C6C79" w:rsidRPr="009452CE">
        <w:rPr>
          <w:rFonts w:ascii="Times New Roman" w:eastAsia="Times New Roman" w:hAnsi="Times New Roman"/>
          <w:lang w:eastAsia="en-GB"/>
        </w:rPr>
        <w:t xml:space="preserve">indicated that </w:t>
      </w:r>
      <w:r w:rsidRPr="009452CE">
        <w:rPr>
          <w:rFonts w:ascii="Times New Roman" w:eastAsia="Times New Roman" w:hAnsi="Times New Roman"/>
          <w:lang w:eastAsia="en-GB"/>
        </w:rPr>
        <w:t xml:space="preserve">staff </w:t>
      </w:r>
      <w:r w:rsidR="007C6C79" w:rsidRPr="009452CE">
        <w:rPr>
          <w:rFonts w:ascii="Times New Roman" w:eastAsia="Times New Roman" w:hAnsi="Times New Roman"/>
          <w:lang w:eastAsia="en-GB"/>
        </w:rPr>
        <w:t xml:space="preserve">were </w:t>
      </w:r>
      <w:r w:rsidRPr="009452CE">
        <w:rPr>
          <w:rFonts w:ascii="Times New Roman" w:eastAsia="Times New Roman" w:hAnsi="Times New Roman"/>
          <w:lang w:eastAsia="en-GB"/>
        </w:rPr>
        <w:t>enthusias</w:t>
      </w:r>
      <w:r w:rsidR="007C6C79" w:rsidRPr="009452CE">
        <w:rPr>
          <w:rFonts w:ascii="Times New Roman" w:eastAsia="Times New Roman" w:hAnsi="Times New Roman"/>
          <w:lang w:eastAsia="en-GB"/>
        </w:rPr>
        <w:t>tic</w:t>
      </w:r>
      <w:r w:rsidRPr="009452CE">
        <w:rPr>
          <w:rFonts w:ascii="Times New Roman" w:eastAsia="Times New Roman" w:hAnsi="Times New Roman"/>
          <w:lang w:eastAsia="en-GB"/>
        </w:rPr>
        <w:t xml:space="preserve"> about what they were teaching</w:t>
      </w:r>
      <w:r w:rsidR="007C6C79" w:rsidRPr="009452CE">
        <w:rPr>
          <w:rFonts w:ascii="Times New Roman" w:eastAsia="Times New Roman" w:hAnsi="Times New Roman"/>
          <w:lang w:eastAsia="en-GB"/>
        </w:rPr>
        <w:t>;</w:t>
      </w:r>
      <w:r w:rsidRPr="009452CE">
        <w:rPr>
          <w:rFonts w:ascii="Times New Roman" w:eastAsia="Times New Roman" w:hAnsi="Times New Roman"/>
          <w:lang w:eastAsia="en-GB"/>
        </w:rPr>
        <w:t xml:space="preserve"> staff </w:t>
      </w:r>
      <w:r w:rsidR="007C6C79" w:rsidRPr="009452CE">
        <w:rPr>
          <w:rFonts w:ascii="Times New Roman" w:eastAsia="Times New Roman" w:hAnsi="Times New Roman"/>
          <w:lang w:eastAsia="en-GB"/>
        </w:rPr>
        <w:t>were</w:t>
      </w:r>
      <w:r w:rsidRPr="009452CE">
        <w:rPr>
          <w:rFonts w:ascii="Times New Roman" w:eastAsia="Times New Roman" w:hAnsi="Times New Roman"/>
          <w:lang w:eastAsia="en-GB"/>
        </w:rPr>
        <w:t xml:space="preserve"> good at explaining things</w:t>
      </w:r>
      <w:r w:rsidR="00945891" w:rsidRPr="009452CE">
        <w:rPr>
          <w:rFonts w:ascii="Times New Roman" w:eastAsia="Times New Roman" w:hAnsi="Times New Roman"/>
          <w:lang w:eastAsia="en-GB"/>
        </w:rPr>
        <w:t>. This reassures about</w:t>
      </w:r>
      <w:r w:rsidRPr="009452CE">
        <w:rPr>
          <w:rFonts w:ascii="Times New Roman" w:eastAsia="Times New Roman" w:hAnsi="Times New Roman"/>
          <w:lang w:eastAsia="en-GB"/>
        </w:rPr>
        <w:t xml:space="preserve"> the effectiveness of </w:t>
      </w:r>
      <w:r w:rsidR="00945891" w:rsidRPr="009452CE">
        <w:rPr>
          <w:rFonts w:ascii="Times New Roman" w:eastAsia="Times New Roman" w:hAnsi="Times New Roman"/>
          <w:lang w:eastAsia="en-GB"/>
        </w:rPr>
        <w:t xml:space="preserve">PBL </w:t>
      </w:r>
      <w:r w:rsidRPr="009452CE">
        <w:rPr>
          <w:rFonts w:ascii="Times New Roman" w:eastAsia="Times New Roman" w:hAnsi="Times New Roman"/>
          <w:lang w:eastAsia="en-GB"/>
        </w:rPr>
        <w:t>teaching and learning methods</w:t>
      </w:r>
      <w:r w:rsidR="00945891" w:rsidRPr="009452CE">
        <w:rPr>
          <w:rFonts w:ascii="Times New Roman" w:eastAsia="Times New Roman" w:hAnsi="Times New Roman"/>
          <w:lang w:eastAsia="en-GB"/>
        </w:rPr>
        <w:t xml:space="preserve"> </w:t>
      </w:r>
      <w:r w:rsidRPr="009452CE">
        <w:rPr>
          <w:rFonts w:ascii="Times New Roman" w:eastAsia="Times New Roman" w:hAnsi="Times New Roman"/>
          <w:lang w:eastAsia="en-GB"/>
        </w:rPr>
        <w:t xml:space="preserve">(Park &amp; Kulej, 2009: 2). In the UK 2009 Postgraduate Taught Experience Survey, students rated three areas higher than overall experience in terms of experience against expectation, skills and personal development (89%), career and personal development (86%) and learning resources (86%)(ibid, 24). </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So in returning to the practitioners’ views of applied research and consultancy from universities we must  identify both partners’ strategic aim and intent and clearly link them to contemporary quality best-practice management approaches highlighted by practitioners. This highly experiential approach has resulted in mutual gains for both the students and the partners involved. In one project report, an extended Enterprise </w:t>
      </w:r>
      <w:r w:rsidRPr="009452CE">
        <w:rPr>
          <w:rFonts w:ascii="Times New Roman" w:eastAsia="Times New Roman" w:hAnsi="Times New Roman"/>
          <w:lang w:eastAsia="en-GB"/>
        </w:rPr>
        <w:lastRenderedPageBreak/>
        <w:t>Centre network, recorded their gratitude and pleasure where student teams ha</w:t>
      </w:r>
      <w:r w:rsidR="00945891" w:rsidRPr="009452CE">
        <w:rPr>
          <w:rFonts w:ascii="Times New Roman" w:eastAsia="Times New Roman" w:hAnsi="Times New Roman"/>
          <w:lang w:eastAsia="en-GB"/>
        </w:rPr>
        <w:t>d</w:t>
      </w:r>
      <w:r w:rsidRPr="009452CE">
        <w:rPr>
          <w:rFonts w:ascii="Times New Roman" w:eastAsia="Times New Roman" w:hAnsi="Times New Roman"/>
          <w:lang w:eastAsia="en-GB"/>
        </w:rPr>
        <w:t xml:space="preserve"> presented an analytical report which met the initial brief. Students gained real experience and insight into conducting a challenging consultancy project for demanding clients, whilst at the same time beginning to create a network amongst the local business community (Beresford, 2001 and Ineson, 2001 through the HEA and HLST).</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A relationship of trust between the researcher and the organisation is critical to success (Dawson et al, 2011; Vuojarvi et al, 2011; </w:t>
      </w:r>
      <w:r w:rsidR="00FD4140" w:rsidRPr="009452CE">
        <w:rPr>
          <w:rFonts w:ascii="Times New Roman" w:eastAsia="Times New Roman" w:hAnsi="Times New Roman"/>
          <w:lang w:eastAsia="en-GB"/>
        </w:rPr>
        <w:t xml:space="preserve">Cleverdon et al, 2009; </w:t>
      </w:r>
      <w:r w:rsidRPr="009452CE">
        <w:rPr>
          <w:rFonts w:ascii="Times New Roman" w:eastAsia="Times New Roman" w:hAnsi="Times New Roman"/>
          <w:lang w:eastAsia="en-GB"/>
        </w:rPr>
        <w:t xml:space="preserve">Taylor 2000). There is a tangible need for these relationships to be embedded in the organisation with </w:t>
      </w:r>
      <w:r w:rsidR="00945891" w:rsidRPr="009452CE">
        <w:rPr>
          <w:rFonts w:ascii="Times New Roman" w:eastAsia="Times New Roman" w:hAnsi="Times New Roman"/>
          <w:lang w:eastAsia="en-GB"/>
        </w:rPr>
        <w:t>ample</w:t>
      </w:r>
      <w:r w:rsidRPr="009452CE">
        <w:rPr>
          <w:rFonts w:ascii="Times New Roman" w:eastAsia="Times New Roman" w:hAnsi="Times New Roman"/>
          <w:lang w:eastAsia="en-GB"/>
        </w:rPr>
        <w:t xml:space="preserve"> time for our postgraduate student to observe, connect, and be accepted. There is a need to establish credibility through demonstrating an in-depth understanding, analysis and synthesis of the dynamics being explored. This is coupled to the ability of UOD students to answer questions and to have the participants ‘‘buy into’’ the research at all levels of management is also critical (Hinkin et al, 2007: 107).</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Practitioners reveal there are four potential benefits of cooperating on academic research projects:</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1. obtaining ‘‘actionable’’ research results,</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2. experiencing interesting opportunities for personal or professional growth,</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3. strengthening relationships either with a particular researcher or with a university,</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and</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4. making a contribution to the advancement of knowledge in general or at a specific university. These benefits are therefore also considered in the emerging model.</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Finally, from the perspective of academic researchers the key benefits from cooperative research include:</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1. obtaining high-quality organizational data</w:t>
      </w:r>
      <w:r w:rsidR="00945891" w:rsidRPr="009452CE">
        <w:rPr>
          <w:rFonts w:ascii="Times New Roman" w:eastAsia="Times New Roman" w:hAnsi="Times New Roman"/>
          <w:lang w:eastAsia="en-GB"/>
        </w:rPr>
        <w:t>,</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2. creating opportunities for top-tier journal publications</w:t>
      </w:r>
      <w:r w:rsidR="00945891" w:rsidRPr="009452CE">
        <w:rPr>
          <w:rFonts w:ascii="Times New Roman" w:eastAsia="Times New Roman" w:hAnsi="Times New Roman"/>
          <w:lang w:eastAsia="en-GB"/>
        </w:rPr>
        <w:t>,</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3. impacting managerial practices, and</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4. developing meaningful relationships with leaders in organizations (Hinkin et al, 2007: 110).</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This can be considered as evidence of a developing but exploratory link between education (supply) and practice (demand) rather than the notion of pure and applied research driven by existing HEI research paradigms (for examples see Hendry et al, 1999).</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Appropriate applied research, generated by HEIs and guided by practitioners and jointly commissioned through public funds and the relevant ministries of development, education and local government, can meet contemporary demand from society as is explored by Singh and Knight:</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t>developing “human capital” for the benefit of the individual (‘to invest in their future’) and for their community/society (‘a productive contribution to the community’</w:t>
      </w:r>
      <w:r w:rsidR="00945891" w:rsidRPr="009452CE">
        <w:rPr>
          <w:rFonts w:ascii="Times New Roman" w:hAnsi="Times New Roman"/>
        </w:rPr>
        <w:t>,</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t xml:space="preserve"> an “instrumental” and “flexible” approach to “economic growth” (‘a dynamic synergy between research and development and innovation’</w:t>
      </w:r>
      <w:r w:rsidR="00945891" w:rsidRPr="009452CE">
        <w:rPr>
          <w:rFonts w:ascii="Times New Roman" w:hAnsi="Times New Roman"/>
        </w:rPr>
        <w:t>,</w:t>
      </w:r>
      <w:r w:rsidRPr="009452CE">
        <w:rPr>
          <w:rFonts w:ascii="Times New Roman" w:hAnsi="Times New Roman"/>
        </w:rPr>
        <w:t xml:space="preserve"> </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lastRenderedPageBreak/>
        <w:t xml:space="preserve"> knowledge/skills/technology as a “market-oriented commodity” (‘enabling individuals to adapt and learn, consistent with the needs of an adaptable knowledge based economy’ and to ‘add value to individuals and the society’)</w:t>
      </w:r>
      <w:r w:rsidR="00945891" w:rsidRPr="009452CE">
        <w:rPr>
          <w:rFonts w:ascii="Times New Roman" w:hAnsi="Times New Roman"/>
        </w:rPr>
        <w:t>,</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t xml:space="preserve"> an “economically rational” use of resources, including staff and students, and a demand for greater efficiency/effectiveness (‘efficiently use the financial resources’ to achieve prescribed results)</w:t>
      </w:r>
      <w:r w:rsidR="00945891" w:rsidRPr="009452CE">
        <w:rPr>
          <w:rFonts w:ascii="Times New Roman" w:hAnsi="Times New Roman"/>
        </w:rPr>
        <w:t>,</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t xml:space="preserve"> a requirement for public “accountability” and “responsibility” – ‘institutions are accountable to their respective stakeholders’ including government, industry and the community as well as “clients”, hence the need for ‘transparent’ policies and ‘public scrutiny’</w:t>
      </w:r>
      <w:r w:rsidR="00945891" w:rsidRPr="009452CE">
        <w:rPr>
          <w:rFonts w:ascii="Times New Roman" w:hAnsi="Times New Roman"/>
        </w:rPr>
        <w:t>,</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t xml:space="preserve"> coping with “unpredictability” – hence the need to ‘generate new ideas, solve problems, improve products or processes and adapt to new and changing environments, changing national priorities’ and</w:t>
      </w:r>
      <w:r w:rsidR="00945891" w:rsidRPr="009452CE">
        <w:rPr>
          <w:rFonts w:ascii="Times New Roman" w:hAnsi="Times New Roman"/>
        </w:rPr>
        <w:t>,</w:t>
      </w:r>
    </w:p>
    <w:p w:rsidR="0033635E" w:rsidRPr="009452CE" w:rsidRDefault="0033635E" w:rsidP="009452CE">
      <w:pPr>
        <w:numPr>
          <w:ilvl w:val="0"/>
          <w:numId w:val="1"/>
        </w:numPr>
        <w:autoSpaceDE w:val="0"/>
        <w:autoSpaceDN w:val="0"/>
        <w:adjustRightInd w:val="0"/>
        <w:jc w:val="both"/>
        <w:rPr>
          <w:rFonts w:ascii="Times New Roman" w:hAnsi="Times New Roman"/>
        </w:rPr>
      </w:pPr>
      <w:r w:rsidRPr="009452CE">
        <w:rPr>
          <w:rFonts w:ascii="Times New Roman" w:hAnsi="Times New Roman"/>
        </w:rPr>
        <w:t xml:space="preserve"> “flexibility” — higher education ‘needs resilient absorptive capacity for</w:t>
      </w:r>
    </w:p>
    <w:p w:rsidR="0033635E" w:rsidRPr="009452CE" w:rsidRDefault="0033635E" w:rsidP="009452CE">
      <w:pPr>
        <w:autoSpaceDE w:val="0"/>
        <w:autoSpaceDN w:val="0"/>
        <w:adjustRightInd w:val="0"/>
        <w:ind w:left="720"/>
        <w:jc w:val="both"/>
        <w:rPr>
          <w:rFonts w:ascii="Times New Roman" w:hAnsi="Times New Roman"/>
        </w:rPr>
      </w:pPr>
      <w:r w:rsidRPr="009452CE">
        <w:rPr>
          <w:rFonts w:ascii="Times New Roman" w:hAnsi="Times New Roman"/>
        </w:rPr>
        <w:t>accommodating unforeseen changes in demand, organisational flexibility’, resource and staffing flexibility, a range of ‘effective pathways for learning’ including ‘modes of learning, delivery methods, assessment, and availability of learning resources’</w:t>
      </w:r>
      <w:r w:rsidR="00945891" w:rsidRPr="009452CE">
        <w:rPr>
          <w:rFonts w:ascii="Times New Roman" w:hAnsi="Times New Roman"/>
        </w:rPr>
        <w:t>.</w:t>
      </w:r>
    </w:p>
    <w:p w:rsidR="0033635E" w:rsidRPr="009452CE" w:rsidRDefault="0033635E" w:rsidP="009452CE">
      <w:pPr>
        <w:autoSpaceDE w:val="0"/>
        <w:autoSpaceDN w:val="0"/>
        <w:adjustRightInd w:val="0"/>
        <w:ind w:left="720"/>
        <w:jc w:val="both"/>
        <w:rPr>
          <w:rFonts w:ascii="Times New Roman" w:hAnsi="Times New Roman"/>
        </w:rPr>
      </w:pPr>
      <w:r w:rsidRPr="009452CE">
        <w:rPr>
          <w:rFonts w:ascii="Times New Roman" w:hAnsi="Times New Roman"/>
        </w:rPr>
        <w:t>(Singh &amp; Knight, 2002: 2).</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These factors also provide points of reference for the framework in question and evidence for emerging good practices in Problem Based </w:t>
      </w:r>
      <w:r w:rsidR="00945891" w:rsidRPr="009452CE">
        <w:rPr>
          <w:rFonts w:ascii="Times New Roman" w:hAnsi="Times New Roman"/>
        </w:rPr>
        <w:t>L</w:t>
      </w:r>
      <w:r w:rsidRPr="009452CE">
        <w:rPr>
          <w:rFonts w:ascii="Times New Roman" w:hAnsi="Times New Roman"/>
        </w:rPr>
        <w:t>earning and research outcomes.</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b/>
          <w:bCs/>
        </w:rPr>
        <w:t>Building a model of experiential and exceptional practice: Negotiating the solution: the guided model of learning on-the-job.</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An experiential model is developed using Hinkin et al (2007) and Singh and Knight’s (2002) paradigms with an application of devices to engage practice and to model responses and outcomes that can deliver on scholarship and on vocational sector demand. This constitutes best use of our guided model equivalent to the research requirements for consultancy as an example of PBL.</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We concur with </w:t>
      </w:r>
      <w:r w:rsidR="00945891" w:rsidRPr="009452CE">
        <w:rPr>
          <w:rFonts w:ascii="Times New Roman" w:hAnsi="Times New Roman"/>
        </w:rPr>
        <w:t>Kolb et al (2001</w:t>
      </w:r>
      <w:r w:rsidRPr="009452CE">
        <w:rPr>
          <w:rFonts w:ascii="Times New Roman" w:hAnsi="Times New Roman"/>
        </w:rPr>
        <w:t xml:space="preserve">), who proposed that the learner's development can benefit from a specialised way of using an holistic and integrated mode of knowledge sharing. That development in learning sophistication is seen as a move from specialisation to integration. In our research-informed teaching we can anticipate integrated learning involving a creative tension among the four learning modes that is responsive to contextual demands. </w:t>
      </w:r>
      <w:r w:rsidR="00945891" w:rsidRPr="009452CE">
        <w:rPr>
          <w:rFonts w:ascii="Times New Roman" w:hAnsi="Times New Roman"/>
        </w:rPr>
        <w:t>Kolb et al</w:t>
      </w:r>
      <w:r w:rsidRPr="009452CE">
        <w:rPr>
          <w:rFonts w:ascii="Times New Roman" w:hAnsi="Times New Roman"/>
        </w:rPr>
        <w:t xml:space="preserve"> ha</w:t>
      </w:r>
      <w:r w:rsidR="00945891" w:rsidRPr="009452CE">
        <w:rPr>
          <w:rFonts w:ascii="Times New Roman" w:hAnsi="Times New Roman"/>
        </w:rPr>
        <w:t>ve</w:t>
      </w:r>
      <w:r w:rsidRPr="009452CE">
        <w:rPr>
          <w:rFonts w:ascii="Times New Roman" w:hAnsi="Times New Roman"/>
        </w:rPr>
        <w:t xml:space="preserve"> discussed this as an idealised learning cycle or spiral where the learner touches all the bases</w:t>
      </w:r>
      <w:r w:rsidR="00945891" w:rsidRPr="009452CE">
        <w:rPr>
          <w:rFonts w:ascii="Times New Roman" w:hAnsi="Times New Roman"/>
        </w:rPr>
        <w:t xml:space="preserve">; </w:t>
      </w:r>
      <w:r w:rsidRPr="009452CE">
        <w:rPr>
          <w:rFonts w:ascii="Times New Roman" w:hAnsi="Times New Roman"/>
        </w:rPr>
        <w:t>experiencing, reflecting, thinking, and acting</w:t>
      </w:r>
      <w:r w:rsidR="00945891" w:rsidRPr="009452CE">
        <w:rPr>
          <w:rFonts w:ascii="Times New Roman" w:hAnsi="Times New Roman"/>
        </w:rPr>
        <w:t xml:space="preserve">, </w:t>
      </w:r>
      <w:r w:rsidRPr="009452CE">
        <w:rPr>
          <w:rFonts w:ascii="Times New Roman" w:hAnsi="Times New Roman"/>
        </w:rPr>
        <w:t xml:space="preserve">in a recursive process. </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In the context of practitioner friendly and work-related problem solving we have examined the research-informed teaching and PBL paradigm. This has four components which coincide with our evaluative, practice-led, resource compliant and globally applicable model developed in Table 1, which was sourced from Hinkin et al.</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jc w:val="both"/>
        <w:rPr>
          <w:rFonts w:ascii="Times New Roman" w:hAnsi="Times New Roman"/>
        </w:rPr>
      </w:pPr>
      <w:r w:rsidRPr="009452CE">
        <w:rPr>
          <w:rFonts w:ascii="Times New Roman" w:hAnsi="Times New Roman"/>
        </w:rPr>
        <w:br w:type="page"/>
      </w: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lastRenderedPageBreak/>
        <w:t>Table 1: Issues informing relevance in Applied Research and its Beneficiaries</w:t>
      </w:r>
    </w:p>
    <w:p w:rsidR="0033635E" w:rsidRPr="009452CE" w:rsidRDefault="0033635E" w:rsidP="009452CE">
      <w:pPr>
        <w:autoSpaceDE w:val="0"/>
        <w:autoSpaceDN w:val="0"/>
        <w:adjustRightInd w:val="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639"/>
        <w:gridCol w:w="1814"/>
        <w:gridCol w:w="1802"/>
        <w:gridCol w:w="1404"/>
      </w:tblGrid>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Issue/ Importance to Partner</w:t>
            </w:r>
          </w:p>
        </w:tc>
        <w:tc>
          <w:tcPr>
            <w:tcW w:w="1639"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Learner</w:t>
            </w: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Practitioner</w:t>
            </w:r>
          </w:p>
        </w:tc>
        <w:tc>
          <w:tcPr>
            <w:tcW w:w="1802"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Research Beneficiary</w:t>
            </w: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HEI Beneficiary</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Accessibility</w:t>
            </w:r>
          </w:p>
        </w:tc>
        <w:tc>
          <w:tcPr>
            <w:tcW w:w="1639"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Professional growth</w:t>
            </w:r>
          </w:p>
        </w:tc>
        <w:tc>
          <w:tcPr>
            <w:tcW w:w="1639" w:type="dxa"/>
          </w:tcPr>
          <w:p w:rsidR="0033635E" w:rsidRPr="009452CE" w:rsidRDefault="0033635E" w:rsidP="009452CE">
            <w:pPr>
              <w:autoSpaceDE w:val="0"/>
              <w:autoSpaceDN w:val="0"/>
              <w:adjustRightInd w:val="0"/>
              <w:jc w:val="both"/>
              <w:rPr>
                <w:rFonts w:ascii="Times New Roman" w:hAnsi="Times New Roman"/>
              </w:rPr>
            </w:pPr>
          </w:p>
        </w:tc>
        <w:tc>
          <w:tcPr>
            <w:tcW w:w="1814" w:type="dxa"/>
          </w:tcPr>
          <w:p w:rsidR="0033635E" w:rsidRPr="009452CE" w:rsidRDefault="0033635E" w:rsidP="009452CE">
            <w:pPr>
              <w:autoSpaceDE w:val="0"/>
              <w:autoSpaceDN w:val="0"/>
              <w:adjustRightInd w:val="0"/>
              <w:jc w:val="both"/>
              <w:rPr>
                <w:rFonts w:ascii="Times New Roman" w:hAnsi="Times New Roman"/>
              </w:rPr>
            </w:pPr>
          </w:p>
        </w:tc>
        <w:tc>
          <w:tcPr>
            <w:tcW w:w="1802" w:type="dxa"/>
          </w:tcPr>
          <w:p w:rsidR="0033635E" w:rsidRPr="009452CE" w:rsidRDefault="0033635E" w:rsidP="009452CE">
            <w:pPr>
              <w:autoSpaceDE w:val="0"/>
              <w:autoSpaceDN w:val="0"/>
              <w:adjustRightInd w:val="0"/>
              <w:jc w:val="both"/>
              <w:rPr>
                <w:rFonts w:ascii="Times New Roman" w:hAnsi="Times New Roman"/>
              </w:rPr>
            </w:pP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Developing relationship</w:t>
            </w:r>
          </w:p>
        </w:tc>
        <w:tc>
          <w:tcPr>
            <w:tcW w:w="1639" w:type="dxa"/>
          </w:tcPr>
          <w:p w:rsidR="0033635E" w:rsidRPr="009452CE" w:rsidRDefault="0033635E" w:rsidP="009452CE">
            <w:pPr>
              <w:autoSpaceDE w:val="0"/>
              <w:autoSpaceDN w:val="0"/>
              <w:adjustRightInd w:val="0"/>
              <w:jc w:val="both"/>
              <w:rPr>
                <w:rFonts w:ascii="Times New Roman" w:hAnsi="Times New Roman"/>
              </w:rPr>
            </w:pP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Positive Evaluation</w:t>
            </w:r>
          </w:p>
        </w:tc>
        <w:tc>
          <w:tcPr>
            <w:tcW w:w="1639" w:type="dxa"/>
          </w:tcPr>
          <w:p w:rsidR="0033635E" w:rsidRPr="009452CE" w:rsidRDefault="0033635E" w:rsidP="009452CE">
            <w:pPr>
              <w:autoSpaceDE w:val="0"/>
              <w:autoSpaceDN w:val="0"/>
              <w:adjustRightInd w:val="0"/>
              <w:jc w:val="both"/>
              <w:rPr>
                <w:rFonts w:ascii="Times New Roman" w:hAnsi="Times New Roman"/>
              </w:rPr>
            </w:pP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Cost-benefit models</w:t>
            </w:r>
          </w:p>
        </w:tc>
        <w:tc>
          <w:tcPr>
            <w:tcW w:w="1639" w:type="dxa"/>
          </w:tcPr>
          <w:p w:rsidR="0033635E" w:rsidRPr="009452CE" w:rsidRDefault="0033635E" w:rsidP="009452CE">
            <w:pPr>
              <w:autoSpaceDE w:val="0"/>
              <w:autoSpaceDN w:val="0"/>
              <w:adjustRightInd w:val="0"/>
              <w:jc w:val="both"/>
              <w:rPr>
                <w:rFonts w:ascii="Times New Roman" w:hAnsi="Times New Roman"/>
              </w:rPr>
            </w:pP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p>
        </w:tc>
        <w:tc>
          <w:tcPr>
            <w:tcW w:w="1404" w:type="dxa"/>
          </w:tcPr>
          <w:p w:rsidR="0033635E" w:rsidRPr="009452CE" w:rsidRDefault="0033635E" w:rsidP="009452CE">
            <w:pPr>
              <w:autoSpaceDE w:val="0"/>
              <w:autoSpaceDN w:val="0"/>
              <w:adjustRightInd w:val="0"/>
              <w:jc w:val="both"/>
              <w:rPr>
                <w:rFonts w:ascii="Times New Roman" w:hAnsi="Times New Roman"/>
              </w:rPr>
            </w:pP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Practical Focus –‘demand-side’ orientation</w:t>
            </w:r>
          </w:p>
        </w:tc>
        <w:tc>
          <w:tcPr>
            <w:tcW w:w="1639"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p>
        </w:tc>
        <w:tc>
          <w:tcPr>
            <w:tcW w:w="1404" w:type="dxa"/>
          </w:tcPr>
          <w:p w:rsidR="0033635E" w:rsidRPr="009452CE" w:rsidRDefault="0033635E" w:rsidP="009452CE">
            <w:pPr>
              <w:autoSpaceDE w:val="0"/>
              <w:autoSpaceDN w:val="0"/>
              <w:adjustRightInd w:val="0"/>
              <w:jc w:val="both"/>
              <w:rPr>
                <w:rFonts w:ascii="Times New Roman" w:hAnsi="Times New Roman"/>
              </w:rPr>
            </w:pP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Resource Limits</w:t>
            </w:r>
          </w:p>
        </w:tc>
        <w:tc>
          <w:tcPr>
            <w:tcW w:w="1639" w:type="dxa"/>
          </w:tcPr>
          <w:p w:rsidR="0033635E" w:rsidRPr="009452CE" w:rsidRDefault="0033635E" w:rsidP="009452CE">
            <w:pPr>
              <w:autoSpaceDE w:val="0"/>
              <w:autoSpaceDN w:val="0"/>
              <w:adjustRightInd w:val="0"/>
              <w:jc w:val="both"/>
              <w:rPr>
                <w:rFonts w:ascii="Times New Roman" w:hAnsi="Times New Roman"/>
              </w:rPr>
            </w:pPr>
          </w:p>
        </w:tc>
        <w:tc>
          <w:tcPr>
            <w:tcW w:w="1814" w:type="dxa"/>
          </w:tcPr>
          <w:p w:rsidR="0033635E" w:rsidRPr="009452CE" w:rsidRDefault="0033635E" w:rsidP="009452CE">
            <w:pPr>
              <w:autoSpaceDE w:val="0"/>
              <w:autoSpaceDN w:val="0"/>
              <w:adjustRightInd w:val="0"/>
              <w:jc w:val="both"/>
              <w:rPr>
                <w:rFonts w:ascii="Times New Roman" w:hAnsi="Times New Roman"/>
              </w:rPr>
            </w:pPr>
          </w:p>
        </w:tc>
        <w:tc>
          <w:tcPr>
            <w:tcW w:w="1802"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Global application</w:t>
            </w:r>
          </w:p>
        </w:tc>
        <w:tc>
          <w:tcPr>
            <w:tcW w:w="1639" w:type="dxa"/>
          </w:tcPr>
          <w:p w:rsidR="0033635E" w:rsidRPr="009452CE" w:rsidRDefault="0033635E" w:rsidP="009452CE">
            <w:pPr>
              <w:autoSpaceDE w:val="0"/>
              <w:autoSpaceDN w:val="0"/>
              <w:adjustRightInd w:val="0"/>
              <w:jc w:val="both"/>
              <w:rPr>
                <w:rFonts w:ascii="Times New Roman" w:hAnsi="Times New Roman"/>
              </w:rPr>
            </w:pP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r w:rsidR="0033635E" w:rsidRPr="009452CE" w:rsidTr="00365EFB">
        <w:tc>
          <w:tcPr>
            <w:tcW w:w="1863"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Innovation</w:t>
            </w:r>
          </w:p>
        </w:tc>
        <w:tc>
          <w:tcPr>
            <w:tcW w:w="1639"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1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802"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c>
          <w:tcPr>
            <w:tcW w:w="1404"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w:t>
            </w:r>
          </w:p>
        </w:tc>
      </w:tr>
    </w:tbl>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In Table 1, the asterisk indicates concurrent achievement of applied research by UOD postgraduate students leading to beneficiary satisfaction based on current reflection of practitioners.</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The term ‘scholarship model of teaching’ has been developed by Brown et al. and is used to capture the proposition that teaching should not be seen as an activity separated from research, but which co-exist</w:t>
      </w:r>
      <w:r w:rsidR="00945891" w:rsidRPr="009452CE">
        <w:rPr>
          <w:rFonts w:ascii="Times New Roman" w:hAnsi="Times New Roman"/>
        </w:rPr>
        <w:t>s</w:t>
      </w:r>
      <w:r w:rsidRPr="009452CE">
        <w:rPr>
          <w:rFonts w:ascii="Times New Roman" w:hAnsi="Times New Roman"/>
        </w:rPr>
        <w:t xml:space="preserve"> and inter-relate</w:t>
      </w:r>
      <w:r w:rsidR="00945891" w:rsidRPr="009452CE">
        <w:rPr>
          <w:rFonts w:ascii="Times New Roman" w:hAnsi="Times New Roman"/>
        </w:rPr>
        <w:t>s</w:t>
      </w:r>
      <w:r w:rsidRPr="009452CE">
        <w:rPr>
          <w:rFonts w:ascii="Times New Roman" w:hAnsi="Times New Roman"/>
        </w:rPr>
        <w:t xml:space="preserve"> with one and another in the act of learning. The act of learning</w:t>
      </w:r>
      <w:r w:rsidR="00945891" w:rsidRPr="009452CE">
        <w:rPr>
          <w:rFonts w:ascii="Times New Roman" w:hAnsi="Times New Roman"/>
        </w:rPr>
        <w:t>,</w:t>
      </w:r>
      <w:r w:rsidRPr="009452CE">
        <w:rPr>
          <w:rFonts w:ascii="Times New Roman" w:hAnsi="Times New Roman"/>
        </w:rPr>
        <w:t xml:space="preserve"> which is creative in the sense that its use of teaching and research to inform the syllabus and set curricula</w:t>
      </w:r>
      <w:r w:rsidR="00945891" w:rsidRPr="009452CE">
        <w:rPr>
          <w:rFonts w:ascii="Times New Roman" w:hAnsi="Times New Roman"/>
        </w:rPr>
        <w:t>,</w:t>
      </w:r>
      <w:r w:rsidRPr="009452CE">
        <w:rPr>
          <w:rFonts w:ascii="Times New Roman" w:hAnsi="Times New Roman"/>
        </w:rPr>
        <w:t xml:space="preserve"> is also used to assess student performance. We can no longer try to separate teaching from research, which up to now has done so much to under value the nature of the relationship between them. Examining the nature of the relationship between teaching and research, Brown</w:t>
      </w:r>
      <w:r w:rsidR="00945891" w:rsidRPr="009452CE">
        <w:rPr>
          <w:rFonts w:ascii="Times New Roman" w:hAnsi="Times New Roman"/>
        </w:rPr>
        <w:t xml:space="preserve"> </w:t>
      </w:r>
      <w:r w:rsidRPr="009452CE">
        <w:rPr>
          <w:rFonts w:ascii="Times New Roman" w:hAnsi="Times New Roman"/>
        </w:rPr>
        <w:t>(2002: 30) goes on to say “the relationship between research and teaching is a serious matter, we should be serious about it”.</w:t>
      </w:r>
      <w:r w:rsidR="00945891" w:rsidRPr="009452CE">
        <w:rPr>
          <w:rFonts w:ascii="Times New Roman" w:hAnsi="Times New Roman"/>
        </w:rPr>
        <w:t xml:space="preserve"> </w:t>
      </w:r>
      <w:r w:rsidRPr="009452CE">
        <w:rPr>
          <w:rFonts w:ascii="Times New Roman" w:hAnsi="Times New Roman"/>
        </w:rPr>
        <w:t>In the scholarship model, teaching and research are linked together because they are not only seen to be complementary, but synergistic in advancing knowledge and progressing understanding (</w:t>
      </w:r>
      <w:r w:rsidR="00945891" w:rsidRPr="009452CE">
        <w:rPr>
          <w:rFonts w:ascii="Times New Roman" w:hAnsi="Times New Roman"/>
        </w:rPr>
        <w:t>Deakin, 2006</w:t>
      </w:r>
      <w:r w:rsidRPr="009452CE">
        <w:rPr>
          <w:rFonts w:ascii="Times New Roman" w:hAnsi="Times New Roman"/>
        </w:rPr>
        <w:t>: 76).</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The framework proposed by Singh and Knight in 2002 forms the basis for this evaluation of success in the form of an abbreviated text-analysis process with the feedback provided to the students after their consultancy project was completed.</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This then constitutes the next table. In this table the factors considered important in the literature are matched to feedback provided by practitioners working with our postgraduate students in their assessment.</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Table 2: Matching Issues and Outcomes</w:t>
      </w:r>
    </w:p>
    <w:p w:rsidR="0033635E" w:rsidRPr="009452CE" w:rsidRDefault="0033635E" w:rsidP="009452CE">
      <w:pPr>
        <w:autoSpaceDE w:val="0"/>
        <w:autoSpaceDN w:val="0"/>
        <w:adjustRightInd w:val="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Issue</w:t>
            </w: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Positive Outcome</w:t>
            </w: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The Evidence – Feedback Comment</w:t>
            </w: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Accessibility</w:t>
            </w: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eastAsia="Times New Roman" w:hAnsi="Times New Roman"/>
                <w:lang w:eastAsia="en-GB"/>
              </w:rPr>
              <w:t>Consideration of the external operating environment.</w:t>
            </w: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eastAsia="Times New Roman" w:hAnsi="Times New Roman"/>
                <w:lang w:eastAsia="en-GB"/>
              </w:rPr>
              <w:t>We now have had the opportunity to study the presentation in more detail and would like to congratulate on your thorough and intelligent analysis of necessary measures to enable us to function efficiently and hopefully go from strength to strength.</w:t>
            </w: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Developing a relationship</w:t>
            </w: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Evidence of negotiation using our perspective.</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Persuasiveness in the argument presented.</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hAnsi="Times New Roman"/>
              </w:rPr>
            </w:pP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eastAsia="Times New Roman" w:hAnsi="Times New Roman"/>
                <w:lang w:eastAsia="en-GB"/>
              </w:rPr>
              <w:t>Has assessed all the key demographic and worked hard to put together this consultancy that addresses community engagement whilst relating to initiatives…</w:t>
            </w: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Positive evaluation</w:t>
            </w: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eastAsia="Times New Roman" w:hAnsi="Times New Roman"/>
                <w:lang w:eastAsia="en-GB"/>
              </w:rPr>
              <w:t>A first rate report, very well researched an executed.</w:t>
            </w:r>
          </w:p>
        </w:tc>
        <w:tc>
          <w:tcPr>
            <w:tcW w:w="2841" w:type="dxa"/>
          </w:tcPr>
          <w:p w:rsidR="0033635E" w:rsidRPr="009452CE" w:rsidRDefault="0033635E" w:rsidP="009452CE">
            <w:pPr>
              <w:autoSpaceDE w:val="0"/>
              <w:autoSpaceDN w:val="0"/>
              <w:adjustRightInd w:val="0"/>
              <w:jc w:val="both"/>
              <w:rPr>
                <w:rFonts w:ascii="Times New Roman" w:eastAsia="Times New Roman" w:hAnsi="Times New Roman"/>
                <w:kern w:val="28"/>
                <w:lang w:val="en-US" w:eastAsia="en-GB"/>
              </w:rPr>
            </w:pPr>
            <w:r w:rsidRPr="009452CE">
              <w:rPr>
                <w:rFonts w:ascii="Times New Roman" w:eastAsia="Times New Roman" w:hAnsi="Times New Roman"/>
                <w:kern w:val="28"/>
                <w:lang w:val="en-US" w:eastAsia="en-GB"/>
              </w:rPr>
              <w:t>Even if the results are not implemented immediately, they provide interesting and useful details regarding park usage and visitor requirements.</w:t>
            </w:r>
          </w:p>
          <w:p w:rsidR="0033635E" w:rsidRPr="009452CE" w:rsidRDefault="0033635E" w:rsidP="009452CE">
            <w:pPr>
              <w:autoSpaceDE w:val="0"/>
              <w:autoSpaceDN w:val="0"/>
              <w:adjustRightInd w:val="0"/>
              <w:jc w:val="both"/>
              <w:rPr>
                <w:rFonts w:ascii="Times New Roman" w:hAnsi="Times New Roman"/>
              </w:rPr>
            </w:pPr>
            <w:r w:rsidRPr="009452CE">
              <w:rPr>
                <w:rFonts w:ascii="Times New Roman" w:eastAsia="Times New Roman" w:hAnsi="Times New Roman"/>
                <w:lang w:eastAsia="en-GB"/>
              </w:rPr>
              <w:t>Recommendations are extremely valuable and will definitely become an important part of our technical infrastructure.</w:t>
            </w: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Cost-benefit model</w:t>
            </w:r>
          </w:p>
        </w:tc>
        <w:tc>
          <w:tcPr>
            <w:tcW w:w="2841"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Offered a range of options.</w:t>
            </w: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I was impressed that highlighted the secondary spend and also with the range of groups XYZ managed to highlight on such a small timescale.  </w:t>
            </w: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kern w:val="28"/>
                <w:lang w:val="en-US" w:eastAsia="en-GB"/>
              </w:rPr>
              <w:t>Recommendations should be implemented over a considered and realistic time period, and be itemized in order of necessity and the potential return on investment for the property.</w:t>
            </w:r>
          </w:p>
          <w:p w:rsidR="0033635E" w:rsidRPr="009452CE" w:rsidRDefault="0033635E" w:rsidP="009452CE">
            <w:pPr>
              <w:autoSpaceDE w:val="0"/>
              <w:autoSpaceDN w:val="0"/>
              <w:adjustRightInd w:val="0"/>
              <w:jc w:val="both"/>
              <w:rPr>
                <w:rFonts w:ascii="Times New Roman" w:hAnsi="Times New Roman"/>
              </w:rPr>
            </w:pP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Practical focus, i.e. a demand-side orientation</w:t>
            </w: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Recommendations were prioritised.</w:t>
            </w: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Engagement with core </w:t>
            </w:r>
            <w:r w:rsidRPr="009452CE">
              <w:rPr>
                <w:rFonts w:ascii="Times New Roman" w:eastAsia="Times New Roman" w:hAnsi="Times New Roman"/>
                <w:lang w:eastAsia="en-GB"/>
              </w:rPr>
              <w:lastRenderedPageBreak/>
              <w:t>stakeholders</w:t>
            </w:r>
          </w:p>
          <w:p w:rsidR="0033635E" w:rsidRPr="009452CE" w:rsidRDefault="0033635E" w:rsidP="009452CE">
            <w:pPr>
              <w:autoSpaceDE w:val="0"/>
              <w:autoSpaceDN w:val="0"/>
              <w:adjustRightInd w:val="0"/>
              <w:jc w:val="both"/>
              <w:rPr>
                <w:rFonts w:ascii="Times New Roman" w:hAnsi="Times New Roman"/>
              </w:rPr>
            </w:pP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lastRenderedPageBreak/>
              <w:t xml:space="preserve">Has assessed the key demographic and worked hard to put together this </w:t>
            </w:r>
            <w:r w:rsidRPr="009452CE">
              <w:rPr>
                <w:rFonts w:ascii="Times New Roman" w:eastAsia="Times New Roman" w:hAnsi="Times New Roman"/>
                <w:lang w:eastAsia="en-GB"/>
              </w:rPr>
              <w:lastRenderedPageBreak/>
              <w:t xml:space="preserve">consultancy…addresses community engagement whilst relating to initiatives such as… </w:t>
            </w:r>
          </w:p>
          <w:p w:rsidR="0033635E" w:rsidRPr="009452CE" w:rsidRDefault="0033635E" w:rsidP="009452CE">
            <w:pPr>
              <w:autoSpaceDE w:val="0"/>
              <w:autoSpaceDN w:val="0"/>
              <w:adjustRightInd w:val="0"/>
              <w:jc w:val="both"/>
              <w:rPr>
                <w:rFonts w:ascii="Times New Roman" w:hAnsi="Times New Roman"/>
              </w:rPr>
            </w:pP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lastRenderedPageBreak/>
              <w:t>Global application</w:t>
            </w: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Implications for compliance policies, for health and safety, for risk, for reputation</w:t>
            </w:r>
          </w:p>
          <w:p w:rsidR="0033635E" w:rsidRPr="009452CE" w:rsidRDefault="0033635E" w:rsidP="009452CE">
            <w:pPr>
              <w:autoSpaceDE w:val="0"/>
              <w:autoSpaceDN w:val="0"/>
              <w:adjustRightInd w:val="0"/>
              <w:jc w:val="both"/>
              <w:rPr>
                <w:rFonts w:ascii="Times New Roman" w:hAnsi="Times New Roman"/>
              </w:rPr>
            </w:pP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I have passed this report on to my senior manager as I feel it has highlighted the general feeling and will be taken forward as a project.</w:t>
            </w: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kern w:val="28"/>
                <w:lang w:val="en-US" w:eastAsia="en-GB"/>
              </w:rPr>
              <w:t>Throughout the process it is important that the client continues to monitor progress to ensure visitor experience is continually being improved.</w:t>
            </w:r>
          </w:p>
        </w:tc>
      </w:tr>
      <w:tr w:rsidR="0033635E" w:rsidRPr="009452CE" w:rsidTr="00365EFB">
        <w:tc>
          <w:tcPr>
            <w:tcW w:w="2840" w:type="dxa"/>
          </w:tcPr>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Innovation</w:t>
            </w:r>
          </w:p>
        </w:tc>
        <w:tc>
          <w:tcPr>
            <w:tcW w:w="2841" w:type="dxa"/>
          </w:tcPr>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Used contemporary resources</w:t>
            </w:r>
          </w:p>
          <w:p w:rsidR="0033635E" w:rsidRPr="009452CE" w:rsidRDefault="0033635E" w:rsidP="009452CE">
            <w:pPr>
              <w:autoSpaceDE w:val="0"/>
              <w:autoSpaceDN w:val="0"/>
              <w:adjustRightInd w:val="0"/>
              <w:jc w:val="both"/>
              <w:rPr>
                <w:rFonts w:ascii="Times New Roman" w:hAnsi="Times New Roman"/>
              </w:rPr>
            </w:pPr>
          </w:p>
        </w:tc>
        <w:tc>
          <w:tcPr>
            <w:tcW w:w="2841" w:type="dxa"/>
          </w:tcPr>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The results compiled are invaluable to the success of the strategic planning for the future of commercial activities. </w:t>
            </w: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Have had the opportunity to study your presentation in more detail and would like to congratulate on your understanding of the original business concept,   cultural considerations,   practical &amp; financial challenges,   potential target markets and ways of approaching these. </w:t>
            </w:r>
          </w:p>
          <w:p w:rsidR="0033635E" w:rsidRPr="009452CE" w:rsidRDefault="0033635E" w:rsidP="009452CE">
            <w:pPr>
              <w:autoSpaceDE w:val="0"/>
              <w:autoSpaceDN w:val="0"/>
              <w:adjustRightInd w:val="0"/>
              <w:jc w:val="both"/>
              <w:rPr>
                <w:rFonts w:ascii="Times New Roman" w:hAnsi="Times New Roman"/>
              </w:rPr>
            </w:pPr>
          </w:p>
        </w:tc>
      </w:tr>
    </w:tbl>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(Source, adapted from Singh and Knight, 2002)</w:t>
      </w:r>
    </w:p>
    <w:p w:rsidR="0033635E" w:rsidRPr="009452CE" w:rsidRDefault="0033635E" w:rsidP="009452CE">
      <w:pPr>
        <w:autoSpaceDE w:val="0"/>
        <w:autoSpaceDN w:val="0"/>
        <w:adjustRightInd w:val="0"/>
        <w:jc w:val="both"/>
        <w:rPr>
          <w:rFonts w:ascii="Times New Roman" w:hAnsi="Times New Roman"/>
        </w:rPr>
      </w:pPr>
    </w:p>
    <w:p w:rsidR="0033635E" w:rsidRPr="009452CE" w:rsidRDefault="00945891" w:rsidP="009452CE">
      <w:pPr>
        <w:autoSpaceDE w:val="0"/>
        <w:autoSpaceDN w:val="0"/>
        <w:adjustRightInd w:val="0"/>
        <w:jc w:val="both"/>
        <w:rPr>
          <w:rFonts w:ascii="Times New Roman" w:hAnsi="Times New Roman"/>
        </w:rPr>
      </w:pPr>
      <w:r w:rsidRPr="009452CE">
        <w:rPr>
          <w:rFonts w:ascii="Times New Roman" w:hAnsi="Times New Roman"/>
        </w:rPr>
        <w:t>T</w:t>
      </w:r>
      <w:r w:rsidR="0033635E" w:rsidRPr="009452CE">
        <w:rPr>
          <w:rFonts w:ascii="Times New Roman" w:hAnsi="Times New Roman"/>
        </w:rPr>
        <w:t>he link between problem-solving and applied research is dependent on the creation of a meaningful exchange, based on equal measures of mutual respect and trust. Meaningful exchanges between students and teachers that are effective in developing the high</w:t>
      </w:r>
      <w:r w:rsidR="006C7107" w:rsidRPr="009452CE">
        <w:rPr>
          <w:rFonts w:ascii="Times New Roman" w:hAnsi="Times New Roman"/>
        </w:rPr>
        <w:t>-</w:t>
      </w:r>
      <w:r w:rsidR="0033635E" w:rsidRPr="009452CE">
        <w:rPr>
          <w:rFonts w:ascii="Times New Roman" w:hAnsi="Times New Roman"/>
        </w:rPr>
        <w:t>level skills needed to meet the module’s learning outcomes are predicated on achieving correspondence between key issues developed in Table 1 between learner, practitioner and HEI. The high level skills acquired are transferable and can be deployed to support on-going problem-based learning (Deakin, 2006: 84).</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jc w:val="both"/>
        <w:rPr>
          <w:rFonts w:ascii="Times New Roman" w:hAnsi="Times New Roman"/>
          <w:b/>
          <w:bCs/>
          <w:u w:val="single"/>
        </w:rPr>
      </w:pPr>
      <w:r w:rsidRPr="009452CE">
        <w:rPr>
          <w:rFonts w:ascii="Times New Roman" w:hAnsi="Times New Roman"/>
          <w:b/>
          <w:bCs/>
          <w:u w:val="single"/>
        </w:rPr>
        <w:br w:type="page"/>
      </w:r>
    </w:p>
    <w:p w:rsidR="0033635E" w:rsidRPr="009452CE" w:rsidRDefault="0033635E" w:rsidP="009452CE">
      <w:pPr>
        <w:autoSpaceDE w:val="0"/>
        <w:autoSpaceDN w:val="0"/>
        <w:adjustRightInd w:val="0"/>
        <w:jc w:val="both"/>
        <w:rPr>
          <w:rFonts w:ascii="Times New Roman" w:hAnsi="Times New Roman"/>
          <w:b/>
          <w:bCs/>
          <w:u w:val="single"/>
        </w:rPr>
      </w:pPr>
      <w:r w:rsidRPr="009452CE">
        <w:rPr>
          <w:rFonts w:ascii="Times New Roman" w:hAnsi="Times New Roman"/>
          <w:b/>
          <w:bCs/>
          <w:u w:val="single"/>
        </w:rPr>
        <w:lastRenderedPageBreak/>
        <w:t>Conclusions: excellence in research informed teaching</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The paper has identified practitioners' views of </w:t>
      </w:r>
      <w:r w:rsidR="006C7107" w:rsidRPr="009452CE">
        <w:rPr>
          <w:rFonts w:ascii="Times New Roman" w:eastAsia="Times New Roman" w:hAnsi="Times New Roman"/>
          <w:lang w:eastAsia="en-GB"/>
        </w:rPr>
        <w:t xml:space="preserve"> </w:t>
      </w:r>
      <w:r w:rsidRPr="009452CE">
        <w:rPr>
          <w:rFonts w:ascii="Times New Roman" w:eastAsia="Times New Roman" w:hAnsi="Times New Roman"/>
          <w:lang w:eastAsia="en-GB"/>
        </w:rPr>
        <w:t xml:space="preserve">PBL in the postgraduate student. We demonstrate the transfer of new knowledge for the benefit of the community. In taking PBL from classroom to practice we are creating a new knowledge transfer environment in which skills can be acquired and tested in a work-or-practice related setting at NOW! </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Communities benefit from the research and experiential learning. Taylor (2000) identified communities that have the advantage in regeneration are those with the competences in cognitive, innovative and organisational capacity built by partnerships with supportive institutions. The University of Derby provides such evidence.  PBL using work-based learning not only meets the community's needs but also encompasses the University research strategy to promote experiential opportunities to innovation and entrepreneurship.</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The action of reflection supports consultancy that delivers the practitioners’ desired outcomes, as students incorporate the dimensions that we consider here. These dimensions include accessibility and outcomes for students that move the learner beyond the class</w:t>
      </w:r>
      <w:r w:rsidR="006C7107" w:rsidRPr="009452CE">
        <w:rPr>
          <w:rFonts w:ascii="Times New Roman" w:hAnsi="Times New Roman"/>
        </w:rPr>
        <w:t>room</w:t>
      </w:r>
      <w:r w:rsidRPr="009452CE">
        <w:rPr>
          <w:rFonts w:ascii="Times New Roman" w:hAnsi="Times New Roman"/>
        </w:rPr>
        <w:t xml:space="preserve">-based experience. With greater levels of input to the practice-led research agenda our </w:t>
      </w:r>
      <w:r w:rsidR="006C7107" w:rsidRPr="009452CE">
        <w:rPr>
          <w:rFonts w:ascii="Times New Roman" w:hAnsi="Times New Roman"/>
        </w:rPr>
        <w:t>postgraduate student</w:t>
      </w:r>
      <w:r w:rsidRPr="009452CE">
        <w:rPr>
          <w:rFonts w:ascii="Times New Roman" w:hAnsi="Times New Roman"/>
        </w:rPr>
        <w:t>s’  learning will be further resourced through ongoing collaboration between practitioners and HEIs.</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Kolb et al observe the contrast to the “transmission” model where pre-existing fixed ideas are transmitted to the learner (Kolb &amp; Kolb, 2005: 194). The enhancement of experiential learning in HE can be achieved through the creation of learning spaces, such as NOW!, that promote growth producing experiences for students. </w:t>
      </w:r>
      <w:r w:rsidR="006C7107" w:rsidRPr="009452CE">
        <w:rPr>
          <w:rFonts w:ascii="Times New Roman" w:hAnsi="Times New Roman"/>
        </w:rPr>
        <w:t>W</w:t>
      </w:r>
      <w:r w:rsidRPr="009452CE">
        <w:rPr>
          <w:rFonts w:ascii="Times New Roman" w:hAnsi="Times New Roman"/>
        </w:rPr>
        <w:t>e anticipate the creation of holistic learning, using a shared repository, juxtaposed with traditional transmission learning, in the outcomes of contemporary experience and problem-based learning.</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Experiential learning refers not only to a direct experience related to a subject matter under study but also to the total experiential life space of the learner (Kolb &amp; Kolb, 2005:207). This experience extends to and includes our learner’s physical, social and cultural environment. Students now perceive that they are members of a learning community which is known and respected by the University and that the students’ experience has esteem and relevance within the vocation and discipline-specific practice arena.</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Post-graduate students </w:t>
      </w:r>
      <w:r w:rsidR="006C7107" w:rsidRPr="009452CE">
        <w:rPr>
          <w:rFonts w:ascii="Times New Roman" w:hAnsi="Times New Roman"/>
        </w:rPr>
        <w:t xml:space="preserve">used to </w:t>
      </w:r>
      <w:r w:rsidRPr="009452CE">
        <w:rPr>
          <w:rFonts w:ascii="Times New Roman" w:hAnsi="Times New Roman"/>
        </w:rPr>
        <w:t>enter higher education conditioned to be passive recipients by their previous educational experiences . Making space for students to take control of, and responsibility for, their learning can greatly enhance their ability to learn from experience.</w:t>
      </w:r>
      <w:r w:rsidRPr="009452CE">
        <w:rPr>
          <w:rFonts w:ascii="Times New Roman" w:hAnsi="Times New Roman"/>
          <w:b/>
          <w:bCs/>
        </w:rPr>
        <w:t xml:space="preserve"> </w:t>
      </w:r>
      <w:r w:rsidRPr="009452CE">
        <w:rPr>
          <w:rFonts w:ascii="Times New Roman" w:hAnsi="Times New Roman"/>
        </w:rPr>
        <w:t>To implement these educational learning space principles requires an holistic program of institutional change that includes curriculum development, faculty development, student development, administrative and staff development, and resource development (Kolb &amp; Kolb, 2005: 209).</w:t>
      </w:r>
    </w:p>
    <w:p w:rsidR="006C2151" w:rsidRPr="009452CE" w:rsidRDefault="006C2151" w:rsidP="009452CE">
      <w:pPr>
        <w:autoSpaceDE w:val="0"/>
        <w:autoSpaceDN w:val="0"/>
        <w:adjustRightInd w:val="0"/>
        <w:jc w:val="both"/>
        <w:rPr>
          <w:rFonts w:ascii="Times New Roman" w:hAnsi="Times New Roman"/>
        </w:rPr>
      </w:pPr>
    </w:p>
    <w:p w:rsidR="0033635E" w:rsidRPr="009452CE" w:rsidRDefault="006C7107" w:rsidP="009452CE">
      <w:pPr>
        <w:autoSpaceDE w:val="0"/>
        <w:jc w:val="both"/>
        <w:rPr>
          <w:rFonts w:ascii="Times New Roman" w:eastAsia="TimesNewRomanPSMT" w:hAnsi="Times New Roman"/>
          <w:bCs/>
          <w:lang w:eastAsia="en-GB"/>
        </w:rPr>
      </w:pPr>
      <w:r w:rsidRPr="009452CE">
        <w:rPr>
          <w:rFonts w:ascii="Times New Roman" w:eastAsia="Arial Unicode MS" w:hAnsi="Times New Roman"/>
          <w:lang w:eastAsia="en-GB"/>
        </w:rPr>
        <w:t>I</w:t>
      </w:r>
      <w:r w:rsidR="0033635E" w:rsidRPr="009452CE">
        <w:rPr>
          <w:rFonts w:ascii="Times New Roman" w:eastAsia="Arial Unicode MS" w:hAnsi="Times New Roman"/>
          <w:lang w:eastAsia="en-GB"/>
        </w:rPr>
        <w:t>n the context of vocational programmes</w:t>
      </w:r>
      <w:r w:rsidRPr="009452CE">
        <w:rPr>
          <w:rFonts w:ascii="Times New Roman" w:eastAsia="Arial Unicode MS" w:hAnsi="Times New Roman"/>
          <w:lang w:eastAsia="en-GB"/>
        </w:rPr>
        <w:t>,</w:t>
      </w:r>
      <w:r w:rsidR="0033635E" w:rsidRPr="009452CE">
        <w:rPr>
          <w:rFonts w:ascii="Times New Roman" w:eastAsia="Arial Unicode MS" w:hAnsi="Times New Roman"/>
          <w:lang w:eastAsia="en-GB"/>
        </w:rPr>
        <w:t xml:space="preserve"> people management is also an important concern for practitioners. We </w:t>
      </w:r>
      <w:r w:rsidRPr="009452CE">
        <w:rPr>
          <w:rFonts w:ascii="Times New Roman" w:eastAsia="Arial Unicode MS" w:hAnsi="Times New Roman"/>
          <w:lang w:eastAsia="en-GB"/>
        </w:rPr>
        <w:t>suggest</w:t>
      </w:r>
      <w:r w:rsidR="0033635E" w:rsidRPr="009452CE">
        <w:rPr>
          <w:rFonts w:ascii="Times New Roman" w:eastAsia="Arial Unicode MS" w:hAnsi="Times New Roman"/>
          <w:lang w:eastAsia="en-GB"/>
        </w:rPr>
        <w:t xml:space="preserve"> that practitioners </w:t>
      </w:r>
      <w:r w:rsidRPr="009452CE">
        <w:rPr>
          <w:rFonts w:ascii="Times New Roman" w:eastAsia="Arial Unicode MS" w:hAnsi="Times New Roman"/>
          <w:lang w:eastAsia="en-GB"/>
        </w:rPr>
        <w:t>did not</w:t>
      </w:r>
      <w:r w:rsidR="0033635E" w:rsidRPr="009452CE">
        <w:rPr>
          <w:rFonts w:ascii="Times New Roman" w:eastAsia="Arial Unicode MS" w:hAnsi="Times New Roman"/>
          <w:lang w:eastAsia="en-GB"/>
        </w:rPr>
        <w:t xml:space="preserve"> appreciate the importance of PBL in developing capacity and skills in re-generation. The community </w:t>
      </w:r>
      <w:r w:rsidR="0033635E" w:rsidRPr="009452CE">
        <w:rPr>
          <w:rFonts w:ascii="Times New Roman" w:eastAsia="Arial Unicode MS" w:hAnsi="Times New Roman"/>
          <w:lang w:eastAsia="en-GB"/>
        </w:rPr>
        <w:lastRenderedPageBreak/>
        <w:t>engaging PBL and post-graduate students' capabilities seldom understand the benefits. In this respect we concur with sector findings (Baum, 2007).</w:t>
      </w:r>
      <w:r w:rsidR="0033635E" w:rsidRPr="009452CE">
        <w:rPr>
          <w:rFonts w:ascii="Times New Roman" w:eastAsia="TimesNewRomanPSMT" w:hAnsi="Times New Roman"/>
          <w:bCs/>
          <w:lang w:eastAsia="en-GB"/>
        </w:rPr>
        <w:t xml:space="preserve"> For our postgraduates, </w:t>
      </w:r>
      <w:r w:rsidRPr="009452CE">
        <w:rPr>
          <w:rFonts w:ascii="Times New Roman" w:eastAsia="TimesNewRomanPSMT" w:hAnsi="Times New Roman"/>
          <w:bCs/>
          <w:lang w:eastAsia="en-GB"/>
        </w:rPr>
        <w:t xml:space="preserve">the opportunity for </w:t>
      </w:r>
      <w:r w:rsidR="0033635E" w:rsidRPr="009452CE">
        <w:rPr>
          <w:rFonts w:ascii="Times New Roman" w:eastAsia="TimesNewRomanPSMT" w:hAnsi="Times New Roman"/>
          <w:bCs/>
          <w:lang w:eastAsia="en-GB"/>
        </w:rPr>
        <w:t>lifelong learning through professional development portfolios becomes the new quality standard. Levels of reflection and critical integrated thinking embedded in students</w:t>
      </w:r>
      <w:r w:rsidRPr="009452CE">
        <w:rPr>
          <w:rFonts w:ascii="Times New Roman" w:eastAsia="TimesNewRomanPSMT" w:hAnsi="Times New Roman"/>
          <w:bCs/>
          <w:lang w:eastAsia="en-GB"/>
        </w:rPr>
        <w:t>' courses</w:t>
      </w:r>
      <w:r w:rsidR="0033635E" w:rsidRPr="009452CE">
        <w:rPr>
          <w:rFonts w:ascii="Times New Roman" w:eastAsia="TimesNewRomanPSMT" w:hAnsi="Times New Roman"/>
          <w:bCs/>
          <w:lang w:eastAsia="en-GB"/>
        </w:rPr>
        <w:t xml:space="preserve"> can expand to meet new expectations of </w:t>
      </w:r>
      <w:r w:rsidRPr="009452CE">
        <w:rPr>
          <w:rFonts w:ascii="Times New Roman" w:eastAsia="TimesNewRomanPSMT" w:hAnsi="Times New Roman"/>
          <w:bCs/>
          <w:lang w:eastAsia="en-GB"/>
        </w:rPr>
        <w:t xml:space="preserve">experiential postgraduate </w:t>
      </w:r>
      <w:r w:rsidR="0033635E" w:rsidRPr="009452CE">
        <w:rPr>
          <w:rFonts w:ascii="Times New Roman" w:eastAsia="TimesNewRomanPSMT" w:hAnsi="Times New Roman"/>
          <w:bCs/>
          <w:lang w:eastAsia="en-GB"/>
        </w:rPr>
        <w:t xml:space="preserve">scholarship. </w:t>
      </w:r>
      <w:r w:rsidRPr="009452CE">
        <w:rPr>
          <w:rFonts w:ascii="Times New Roman" w:eastAsia="TimesNewRomanPSMT" w:hAnsi="Times New Roman"/>
          <w:bCs/>
          <w:lang w:eastAsia="en-GB"/>
        </w:rPr>
        <w:t>C</w:t>
      </w:r>
      <w:r w:rsidR="0033635E" w:rsidRPr="009452CE">
        <w:rPr>
          <w:rFonts w:ascii="Times New Roman" w:eastAsia="TimesNewRomanPSMT" w:hAnsi="Times New Roman"/>
          <w:bCs/>
          <w:lang w:eastAsia="en-GB"/>
        </w:rPr>
        <w:t>ommunities</w:t>
      </w:r>
      <w:r w:rsidRPr="009452CE">
        <w:rPr>
          <w:rFonts w:ascii="Times New Roman" w:eastAsia="TimesNewRomanPSMT" w:hAnsi="Times New Roman"/>
          <w:bCs/>
          <w:lang w:eastAsia="en-GB"/>
        </w:rPr>
        <w:t xml:space="preserve"> such as Wirksworth can now</w:t>
      </w:r>
      <w:r w:rsidR="0033635E" w:rsidRPr="009452CE">
        <w:rPr>
          <w:rFonts w:ascii="Times New Roman" w:eastAsia="TimesNewRomanPSMT" w:hAnsi="Times New Roman"/>
          <w:bCs/>
          <w:lang w:eastAsia="en-GB"/>
        </w:rPr>
        <w:t xml:space="preserve"> positively evaluate outcomes and impacts of PBL and practice-based research without constraining HEI resources, whilst further enhancing global application. </w:t>
      </w:r>
      <w:r w:rsidRPr="009452CE">
        <w:rPr>
          <w:rFonts w:ascii="Times New Roman" w:eastAsia="TimesNewRomanPSMT" w:hAnsi="Times New Roman"/>
          <w:bCs/>
          <w:lang w:eastAsia="en-GB"/>
        </w:rPr>
        <w:t>R</w:t>
      </w:r>
      <w:r w:rsidR="0033635E" w:rsidRPr="009452CE">
        <w:rPr>
          <w:rFonts w:ascii="Times New Roman" w:eastAsia="TimesNewRomanPSMT" w:hAnsi="Times New Roman"/>
          <w:bCs/>
          <w:lang w:eastAsia="en-GB"/>
        </w:rPr>
        <w:t>ecognition of relevant and globally contextualis</w:t>
      </w:r>
      <w:r w:rsidR="009452CE">
        <w:rPr>
          <w:rFonts w:ascii="Times New Roman" w:eastAsia="TimesNewRomanPSMT" w:hAnsi="Times New Roman"/>
          <w:bCs/>
          <w:lang w:eastAsia="en-GB"/>
        </w:rPr>
        <w:t>ed</w:t>
      </w:r>
      <w:r w:rsidR="0033635E" w:rsidRPr="009452CE">
        <w:rPr>
          <w:rFonts w:ascii="Times New Roman" w:eastAsia="TimesNewRomanPSMT" w:hAnsi="Times New Roman"/>
          <w:bCs/>
          <w:lang w:eastAsia="en-GB"/>
        </w:rPr>
        <w:t xml:space="preserve"> published and </w:t>
      </w:r>
      <w:r w:rsidRPr="009452CE">
        <w:rPr>
          <w:rFonts w:ascii="Times New Roman" w:eastAsia="TimesNewRomanPSMT" w:hAnsi="Times New Roman"/>
          <w:bCs/>
          <w:lang w:eastAsia="en-GB"/>
        </w:rPr>
        <w:t>retrievable</w:t>
      </w:r>
      <w:r w:rsidR="0033635E" w:rsidRPr="009452CE">
        <w:rPr>
          <w:rFonts w:ascii="Times New Roman" w:eastAsia="TimesNewRomanPSMT" w:hAnsi="Times New Roman"/>
          <w:bCs/>
          <w:lang w:eastAsia="en-GB"/>
        </w:rPr>
        <w:t xml:space="preserve"> </w:t>
      </w:r>
      <w:r w:rsidR="009452CE">
        <w:rPr>
          <w:rFonts w:ascii="Times New Roman" w:eastAsia="TimesNewRomanPSMT" w:hAnsi="Times New Roman"/>
          <w:bCs/>
          <w:lang w:eastAsia="en-GB"/>
        </w:rPr>
        <w:t xml:space="preserve">PBL </w:t>
      </w:r>
      <w:r w:rsidR="0033635E" w:rsidRPr="009452CE">
        <w:rPr>
          <w:rFonts w:ascii="Times New Roman" w:eastAsia="TimesNewRomanPSMT" w:hAnsi="Times New Roman"/>
          <w:bCs/>
          <w:lang w:eastAsia="en-GB"/>
        </w:rPr>
        <w:t>is achieved for the research community and for practitioners. In conclusion we have confirmed an enduring positive relationship between HEIs and practitioners.</w:t>
      </w:r>
    </w:p>
    <w:p w:rsidR="0033635E" w:rsidRPr="009452CE" w:rsidRDefault="0033635E" w:rsidP="009452CE">
      <w:pPr>
        <w:spacing w:after="200" w:line="276" w:lineRule="auto"/>
        <w:jc w:val="both"/>
        <w:rPr>
          <w:rFonts w:ascii="Times New Roman" w:eastAsia="TimesNewRomanPSMT" w:hAnsi="Times New Roman"/>
          <w:b/>
          <w:bCs/>
          <w:u w:val="single"/>
          <w:lang w:val="es-ES" w:eastAsia="en-GB"/>
        </w:rPr>
      </w:pPr>
      <w:r w:rsidRPr="009452CE">
        <w:rPr>
          <w:rFonts w:ascii="Times New Roman" w:eastAsia="TimesNewRomanPSMT" w:hAnsi="Times New Roman"/>
          <w:b/>
          <w:bCs/>
          <w:u w:val="single"/>
          <w:lang w:val="es-ES" w:eastAsia="en-GB"/>
        </w:rPr>
        <w:br w:type="page"/>
      </w:r>
    </w:p>
    <w:p w:rsidR="0033635E" w:rsidRPr="009452CE" w:rsidRDefault="0033635E" w:rsidP="009452CE">
      <w:pPr>
        <w:autoSpaceDE w:val="0"/>
        <w:spacing w:before="480"/>
        <w:jc w:val="both"/>
        <w:rPr>
          <w:rFonts w:ascii="Times New Roman" w:eastAsia="TimesNewRomanPSMT" w:hAnsi="Times New Roman"/>
          <w:b/>
          <w:bCs/>
          <w:lang w:val="es-ES" w:eastAsia="en-GB"/>
        </w:rPr>
      </w:pPr>
      <w:r w:rsidRPr="009452CE">
        <w:rPr>
          <w:rFonts w:ascii="Times New Roman" w:eastAsia="TimesNewRomanPSMT" w:hAnsi="Times New Roman"/>
          <w:b/>
          <w:bCs/>
          <w:u w:val="single"/>
          <w:lang w:val="es-ES" w:eastAsia="en-GB"/>
        </w:rPr>
        <w:lastRenderedPageBreak/>
        <w:t>References</w:t>
      </w:r>
      <w:r w:rsidRPr="009452CE">
        <w:rPr>
          <w:rFonts w:ascii="Times New Roman" w:eastAsia="TimesNewRomanPSMT" w:hAnsi="Times New Roman"/>
          <w:b/>
          <w:bCs/>
          <w:lang w:val="es-ES" w:eastAsia="en-GB"/>
        </w:rPr>
        <w:t xml:space="preserve">  </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Barrows, H.S. &amp; Tamblyn, R. (1980). </w:t>
      </w:r>
      <w:r w:rsidRPr="009452CE">
        <w:rPr>
          <w:rFonts w:ascii="Times New Roman" w:eastAsia="Times New Roman" w:hAnsi="Times New Roman"/>
          <w:i/>
          <w:lang w:eastAsia="en-GB"/>
        </w:rPr>
        <w:t>Problem-Based Learning: An Approach to Medical Education</w:t>
      </w:r>
      <w:r w:rsidRPr="009452CE">
        <w:rPr>
          <w:rFonts w:ascii="Times New Roman" w:eastAsia="Times New Roman" w:hAnsi="Times New Roman"/>
          <w:lang w:eastAsia="en-GB"/>
        </w:rPr>
        <w:t>, Springer, New York, NY.</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Baum, T. (2007) Human resources in tourism: still waiting for change</w:t>
      </w:r>
      <w:r w:rsidR="00DD6857" w:rsidRPr="009452CE">
        <w:rPr>
          <w:rFonts w:ascii="Times New Roman" w:eastAsia="Times New Roman" w:hAnsi="Times New Roman"/>
          <w:lang w:eastAsia="en-GB"/>
        </w:rPr>
        <w:t>,</w:t>
      </w:r>
      <w:r w:rsidRPr="009452CE">
        <w:rPr>
          <w:rFonts w:ascii="Times New Roman" w:eastAsia="Times New Roman" w:hAnsi="Times New Roman"/>
          <w:lang w:eastAsia="en-GB"/>
        </w:rPr>
        <w:t xml:space="preserve"> </w:t>
      </w:r>
      <w:r w:rsidRPr="009452CE">
        <w:rPr>
          <w:rFonts w:ascii="Times New Roman" w:eastAsia="Times New Roman" w:hAnsi="Times New Roman"/>
          <w:i/>
          <w:lang w:eastAsia="en-GB"/>
        </w:rPr>
        <w:t>Tourism Management</w:t>
      </w:r>
      <w:r w:rsidRPr="009452CE">
        <w:rPr>
          <w:rFonts w:ascii="Times New Roman" w:eastAsia="Times New Roman" w:hAnsi="Times New Roman"/>
          <w:lang w:eastAsia="en-GB"/>
        </w:rPr>
        <w:t xml:space="preserve">, 28, 1383-1399  </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Baum, T. (2008) Implications of hospitality and tourism labour markets for talent management strategies, </w:t>
      </w:r>
      <w:r w:rsidRPr="009452CE">
        <w:rPr>
          <w:rFonts w:ascii="Times New Roman" w:eastAsia="Times New Roman" w:hAnsi="Times New Roman"/>
          <w:i/>
          <w:lang w:eastAsia="en-GB"/>
        </w:rPr>
        <w:t>International Journal of Contemporary Hospitality Management,</w:t>
      </w:r>
      <w:r w:rsidRPr="009452CE">
        <w:rPr>
          <w:rFonts w:ascii="Times New Roman" w:eastAsia="Times New Roman" w:hAnsi="Times New Roman"/>
          <w:lang w:eastAsia="en-GB"/>
        </w:rPr>
        <w:t xml:space="preserve"> 20(7), 720-729 </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Beresford, R. (2001) Enterprise, Proceedings of the Hospitality Leisure Sports Tourism, Higher Education Academy. http://www.heacademy.ac.uk/assets/hlst/documents/case_studies/enterprise.pdf</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bCs/>
          <w:lang w:eastAsia="en-GB"/>
        </w:rPr>
      </w:pPr>
      <w:r w:rsidRPr="009452CE">
        <w:rPr>
          <w:rFonts w:ascii="Times New Roman" w:eastAsia="Times New Roman" w:hAnsi="Times New Roman"/>
          <w:lang w:eastAsia="en-GB"/>
        </w:rPr>
        <w:t xml:space="preserve">Brown, R. (2002). Research and teaching – repairing the damage. </w:t>
      </w:r>
      <w:r w:rsidRPr="009452CE">
        <w:rPr>
          <w:rFonts w:ascii="Times New Roman" w:eastAsia="Times New Roman" w:hAnsi="Times New Roman"/>
          <w:i/>
          <w:iCs/>
          <w:lang w:eastAsia="en-GB"/>
        </w:rPr>
        <w:t>Exchange</w:t>
      </w:r>
      <w:r w:rsidRPr="009452CE">
        <w:rPr>
          <w:rFonts w:ascii="Times New Roman" w:eastAsia="Times New Roman" w:hAnsi="Times New Roman"/>
          <w:lang w:eastAsia="en-GB"/>
        </w:rPr>
        <w:t xml:space="preserve">, </w:t>
      </w:r>
      <w:r w:rsidRPr="009452CE">
        <w:rPr>
          <w:rFonts w:ascii="Times New Roman" w:eastAsia="Times New Roman" w:hAnsi="Times New Roman"/>
          <w:iCs/>
          <w:lang w:eastAsia="en-GB"/>
        </w:rPr>
        <w:t xml:space="preserve">3, </w:t>
      </w:r>
      <w:r w:rsidRPr="009452CE">
        <w:rPr>
          <w:rFonts w:ascii="Times New Roman" w:eastAsia="Times New Roman" w:hAnsi="Times New Roman"/>
          <w:lang w:eastAsia="en-GB"/>
        </w:rPr>
        <w:t>29-31.</w:t>
      </w:r>
      <w:r w:rsidRPr="009452CE">
        <w:rPr>
          <w:rFonts w:ascii="Times New Roman" w:eastAsia="Times New Roman" w:hAnsi="Times New Roman"/>
          <w:bCs/>
          <w:lang w:eastAsia="en-GB"/>
        </w:rPr>
        <w:t xml:space="preserve"> </w:t>
      </w:r>
    </w:p>
    <w:p w:rsidR="0033635E" w:rsidRPr="009452CE" w:rsidRDefault="0033635E" w:rsidP="009452CE">
      <w:pPr>
        <w:autoSpaceDE w:val="0"/>
        <w:autoSpaceDN w:val="0"/>
        <w:adjustRightInd w:val="0"/>
        <w:jc w:val="both"/>
        <w:rPr>
          <w:rFonts w:ascii="Times New Roman" w:eastAsia="Times New Roman" w:hAnsi="Times New Roman"/>
          <w:bCs/>
          <w:lang w:eastAsia="en-GB"/>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Brown, R.B. &amp; McCartney, S. (1998) The Link Between Research And Teaching: Its Purpose And Implications. </w:t>
      </w:r>
      <w:r w:rsidRPr="009452CE">
        <w:rPr>
          <w:rFonts w:ascii="Times New Roman" w:hAnsi="Times New Roman"/>
          <w:i/>
        </w:rPr>
        <w:t>Innovations in Education and Teaching International</w:t>
      </w:r>
      <w:r w:rsidRPr="009452CE">
        <w:rPr>
          <w:rFonts w:ascii="Times New Roman" w:hAnsi="Times New Roman"/>
        </w:rPr>
        <w:t>, 35: 2, 117 — 129</w:t>
      </w:r>
    </w:p>
    <w:p w:rsidR="0033635E" w:rsidRPr="009452CE" w:rsidRDefault="0033635E" w:rsidP="009452CE">
      <w:pPr>
        <w:autoSpaceDE w:val="0"/>
        <w:autoSpaceDN w:val="0"/>
        <w:adjustRightInd w:val="0"/>
        <w:jc w:val="both"/>
        <w:rPr>
          <w:rFonts w:ascii="Times New Roman" w:eastAsia="Times New Roman" w:hAnsi="Times New Roman"/>
          <w:b/>
          <w:bCs/>
          <w:lang w:eastAsia="en-GB"/>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eastAsia="Times New Roman" w:hAnsi="Times New Roman"/>
          <w:bCs/>
          <w:lang w:eastAsia="en-GB"/>
        </w:rPr>
        <w:t>Brown, S.W. &amp; King, F.B. (2000) Constructivist Pedagogy and How We Learn: Educational Psychology Meets International Studies.</w:t>
      </w:r>
      <w:r w:rsidRPr="009452CE">
        <w:rPr>
          <w:rFonts w:ascii="Times New Roman" w:eastAsia="Times New Roman" w:hAnsi="Times New Roman"/>
          <w:iCs/>
          <w:lang w:eastAsia="en-GB"/>
        </w:rPr>
        <w:t xml:space="preserve"> </w:t>
      </w:r>
      <w:r w:rsidRPr="009452CE">
        <w:rPr>
          <w:rFonts w:ascii="Times New Roman" w:eastAsia="Times New Roman" w:hAnsi="Times New Roman"/>
          <w:i/>
          <w:iCs/>
          <w:lang w:eastAsia="en-GB"/>
        </w:rPr>
        <w:t>International Studies Perspectives</w:t>
      </w:r>
      <w:r w:rsidRPr="009452CE">
        <w:rPr>
          <w:rFonts w:ascii="Times New Roman" w:eastAsia="Times New Roman" w:hAnsi="Times New Roman"/>
          <w:i/>
          <w:lang w:eastAsia="en-GB"/>
        </w:rPr>
        <w:t xml:space="preserve"> </w:t>
      </w:r>
      <w:r w:rsidRPr="009452CE">
        <w:rPr>
          <w:rFonts w:ascii="Times New Roman" w:eastAsia="Times New Roman" w:hAnsi="Times New Roman"/>
          <w:bCs/>
          <w:lang w:eastAsia="en-GB"/>
        </w:rPr>
        <w:t>1:</w:t>
      </w:r>
      <w:r w:rsidRPr="009452CE">
        <w:rPr>
          <w:rFonts w:ascii="Times New Roman" w:eastAsia="Times New Roman" w:hAnsi="Times New Roman"/>
          <w:lang w:eastAsia="en-GB"/>
        </w:rPr>
        <w:t>245–254.</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Cleverdon, J. &amp; Smith, A. (2009) Building Stronger Communities Business in the Third Sector: Innovation in Tough Times. Business &amp; The Community. </w:t>
      </w:r>
      <w:r w:rsidRPr="009452CE">
        <w:rPr>
          <w:rFonts w:ascii="Times New Roman" w:eastAsia="Times New Roman" w:hAnsi="Times New Roman"/>
          <w:i/>
          <w:lang w:eastAsia="en-GB"/>
        </w:rPr>
        <w:t>Cabinet Office, Office of the 3</w:t>
      </w:r>
      <w:r w:rsidRPr="009452CE">
        <w:rPr>
          <w:rFonts w:ascii="Times New Roman" w:eastAsia="Times New Roman" w:hAnsi="Times New Roman"/>
          <w:i/>
          <w:vertAlign w:val="superscript"/>
          <w:lang w:eastAsia="en-GB"/>
        </w:rPr>
        <w:t>rd</w:t>
      </w:r>
      <w:r w:rsidRPr="009452CE">
        <w:rPr>
          <w:rFonts w:ascii="Times New Roman" w:eastAsia="Times New Roman" w:hAnsi="Times New Roman"/>
          <w:i/>
          <w:lang w:eastAsia="en-GB"/>
        </w:rPr>
        <w:t xml:space="preserve"> Sector</w:t>
      </w:r>
      <w:r w:rsidRPr="009452CE">
        <w:rPr>
          <w:rFonts w:ascii="Times New Roman" w:eastAsia="Times New Roman" w:hAnsi="Times New Roman"/>
          <w:lang w:eastAsia="en-GB"/>
        </w:rPr>
        <w:t>.</w:t>
      </w:r>
    </w:p>
    <w:p w:rsidR="0033635E" w:rsidRPr="009452CE" w:rsidRDefault="0033635E" w:rsidP="009452CE">
      <w:pPr>
        <w:autoSpaceDE w:val="0"/>
        <w:autoSpaceDN w:val="0"/>
        <w:adjustRightInd w:val="0"/>
        <w:jc w:val="both"/>
        <w:rPr>
          <w:rFonts w:ascii="Times New Roman" w:eastAsia="Times New Roman" w:hAnsi="Times New Roman"/>
          <w:bCs/>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Dawson, M. E., &amp; Titz, K. (2011). Teaching the Concepts of Service Quality Through a Problem-Based Learning Approach: An Assessment of On-Line Reviews.</w:t>
      </w:r>
    </w:p>
    <w:p w:rsidR="0033635E" w:rsidRPr="009452CE" w:rsidRDefault="0033635E" w:rsidP="009452CE">
      <w:pPr>
        <w:autoSpaceDE w:val="0"/>
        <w:autoSpaceDN w:val="0"/>
        <w:adjustRightInd w:val="0"/>
        <w:jc w:val="both"/>
        <w:rPr>
          <w:rFonts w:ascii="Times New Roman" w:eastAsia="Times New Roman" w:hAnsi="Times New Roman"/>
          <w:bCs/>
          <w:lang w:eastAsia="en-GB"/>
        </w:rPr>
      </w:pPr>
    </w:p>
    <w:p w:rsidR="0033635E" w:rsidRPr="009452CE" w:rsidRDefault="0033635E" w:rsidP="009452CE">
      <w:pPr>
        <w:autoSpaceDE w:val="0"/>
        <w:autoSpaceDN w:val="0"/>
        <w:adjustRightInd w:val="0"/>
        <w:jc w:val="both"/>
        <w:rPr>
          <w:rFonts w:ascii="Times New Roman" w:eastAsia="Times New Roman" w:hAnsi="Times New Roman"/>
          <w:iCs/>
          <w:lang w:eastAsia="en-GB"/>
        </w:rPr>
      </w:pPr>
      <w:r w:rsidRPr="009452CE">
        <w:rPr>
          <w:rFonts w:ascii="Times New Roman" w:eastAsia="Times New Roman" w:hAnsi="Times New Roman"/>
          <w:bCs/>
          <w:lang w:eastAsia="en-GB"/>
        </w:rPr>
        <w:t>Deakin, M. (2006) Research Led Teaching: a Review of Two Initiatives in Valuing the Link Between Teaching and Research.</w:t>
      </w:r>
      <w:r w:rsidRPr="009452CE">
        <w:rPr>
          <w:rFonts w:ascii="Times New Roman" w:eastAsia="Times New Roman" w:hAnsi="Times New Roman"/>
          <w:iCs/>
          <w:lang w:eastAsia="en-GB"/>
        </w:rPr>
        <w:t xml:space="preserve"> </w:t>
      </w:r>
      <w:r w:rsidRPr="009452CE">
        <w:rPr>
          <w:rFonts w:ascii="Times New Roman" w:eastAsia="Times New Roman" w:hAnsi="Times New Roman"/>
          <w:i/>
          <w:iCs/>
          <w:lang w:eastAsia="en-GB"/>
        </w:rPr>
        <w:t>Journal for Education in the Built Environment</w:t>
      </w:r>
      <w:r w:rsidRPr="009452CE">
        <w:rPr>
          <w:rFonts w:ascii="Times New Roman" w:eastAsia="Times New Roman" w:hAnsi="Times New Roman"/>
          <w:iCs/>
          <w:lang w:eastAsia="en-GB"/>
        </w:rPr>
        <w:t>, 1(1): 73-93.</w:t>
      </w:r>
    </w:p>
    <w:p w:rsidR="0033635E" w:rsidRPr="009452CE" w:rsidRDefault="0033635E" w:rsidP="009452CE">
      <w:pPr>
        <w:autoSpaceDE w:val="0"/>
        <w:autoSpaceDN w:val="0"/>
        <w:adjustRightInd w:val="0"/>
        <w:jc w:val="both"/>
        <w:rPr>
          <w:rFonts w:ascii="Times New Roman" w:eastAsia="Times New Roman" w:hAnsi="Times New Roman"/>
          <w:iCs/>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Duch, B.J., Groh, S.E., Allen, D.E. (2001). </w:t>
      </w:r>
      <w:r w:rsidRPr="009452CE">
        <w:rPr>
          <w:rFonts w:ascii="Times New Roman" w:eastAsia="Times New Roman" w:hAnsi="Times New Roman"/>
          <w:i/>
          <w:iCs/>
          <w:lang w:eastAsia="en-GB"/>
        </w:rPr>
        <w:t>The Power of Problem-Based Learning: A practical</w:t>
      </w:r>
      <w:r w:rsidR="00DD6857" w:rsidRPr="009452CE">
        <w:rPr>
          <w:rFonts w:ascii="Times New Roman" w:eastAsia="Times New Roman" w:hAnsi="Times New Roman"/>
          <w:i/>
          <w:iCs/>
          <w:lang w:eastAsia="en-GB"/>
        </w:rPr>
        <w:t xml:space="preserve"> </w:t>
      </w:r>
      <w:r w:rsidRPr="009452CE">
        <w:rPr>
          <w:rFonts w:ascii="Times New Roman" w:eastAsia="Times New Roman" w:hAnsi="Times New Roman"/>
          <w:i/>
          <w:iCs/>
          <w:lang w:eastAsia="en-GB"/>
        </w:rPr>
        <w:t>“how to” for teaching undergraduate courses in any discipline</w:t>
      </w:r>
      <w:r w:rsidRPr="009452CE">
        <w:rPr>
          <w:rFonts w:ascii="Times New Roman" w:eastAsia="Times New Roman" w:hAnsi="Times New Roman"/>
          <w:lang w:eastAsia="en-GB"/>
        </w:rPr>
        <w:t>, Stylus Publication,</w:t>
      </w:r>
      <w:r w:rsidR="00DD6857" w:rsidRPr="009452CE">
        <w:rPr>
          <w:rFonts w:ascii="Times New Roman" w:eastAsia="Times New Roman" w:hAnsi="Times New Roman"/>
          <w:lang w:eastAsia="en-GB"/>
        </w:rPr>
        <w:t xml:space="preserve"> </w:t>
      </w:r>
      <w:r w:rsidRPr="009452CE">
        <w:rPr>
          <w:rFonts w:ascii="Times New Roman" w:eastAsia="Times New Roman" w:hAnsi="Times New Roman"/>
          <w:lang w:eastAsia="en-GB"/>
        </w:rPr>
        <w:t>Steerling, VA.</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 xml:space="preserve">Hendry, G.  Frommer, M. &amp; Walker, R. (1999) Constructivism and Problem Based Learning. </w:t>
      </w:r>
      <w:r w:rsidRPr="009452CE">
        <w:rPr>
          <w:rFonts w:ascii="Times New Roman" w:hAnsi="Times New Roman"/>
          <w:i/>
        </w:rPr>
        <w:t>Journal of Further and Higher Education</w:t>
      </w:r>
      <w:r w:rsidRPr="009452CE">
        <w:rPr>
          <w:rFonts w:ascii="Times New Roman" w:hAnsi="Times New Roman"/>
        </w:rPr>
        <w:t>. 23(3):369-371.</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rPr>
        <w:t>Hinkin, T. &amp; Holtom, B.C. &amp; Klag, M. (2007) Developing Mutually</w:t>
      </w:r>
      <w:r w:rsidR="00DD6857" w:rsidRPr="009452CE">
        <w:rPr>
          <w:rFonts w:ascii="Times New Roman" w:hAnsi="Times New Roman"/>
        </w:rPr>
        <w:t xml:space="preserve"> </w:t>
      </w:r>
      <w:r w:rsidRPr="009452CE">
        <w:rPr>
          <w:rFonts w:ascii="Times New Roman" w:hAnsi="Times New Roman"/>
        </w:rPr>
        <w:t xml:space="preserve">Beneficial Relationships Between Researchers and Organisations. </w:t>
      </w:r>
      <w:r w:rsidRPr="009452CE">
        <w:rPr>
          <w:rFonts w:ascii="Times New Roman" w:hAnsi="Times New Roman"/>
          <w:i/>
        </w:rPr>
        <w:t>Organizational Dynamics</w:t>
      </w:r>
      <w:r w:rsidRPr="009452CE">
        <w:rPr>
          <w:rFonts w:ascii="Times New Roman" w:hAnsi="Times New Roman"/>
        </w:rPr>
        <w:t>, 36(1):105–118.</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Hmelo-Silver, C.E. (2004). Problem-Based Learning: What and How Do Students Learn?,</w:t>
      </w:r>
      <w:r w:rsidR="00DD6857" w:rsidRPr="009452CE">
        <w:rPr>
          <w:rFonts w:ascii="Times New Roman" w:eastAsia="Times New Roman" w:hAnsi="Times New Roman"/>
          <w:lang w:eastAsia="en-GB"/>
        </w:rPr>
        <w:t xml:space="preserve"> </w:t>
      </w:r>
      <w:r w:rsidRPr="009452CE">
        <w:rPr>
          <w:rFonts w:ascii="Times New Roman" w:eastAsia="Times New Roman" w:hAnsi="Times New Roman"/>
          <w:i/>
          <w:lang w:eastAsia="en-GB"/>
        </w:rPr>
        <w:t>Educational Psychology Review</w:t>
      </w:r>
      <w:r w:rsidRPr="009452CE">
        <w:rPr>
          <w:rFonts w:ascii="Times New Roman" w:eastAsia="Times New Roman" w:hAnsi="Times New Roman"/>
          <w:lang w:eastAsia="en-GB"/>
        </w:rPr>
        <w:t>, 16, 3, 235-266.</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Hussey, J., Lynch, P., Holden, M. T., &amp; Foley, A. (2010). Enhancing Professionalism through the Continuing Education of Micro and Small Tourism Enterprises: A Model for Programme Development.</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Ineson, E.M. (2001) Education/industry links to promote hospitality research</w:t>
      </w:r>
    </w:p>
    <w:p w:rsidR="0033635E" w:rsidRPr="009452CE" w:rsidRDefault="0033635E" w:rsidP="009452CE">
      <w:pPr>
        <w:autoSpaceDE w:val="0"/>
        <w:autoSpaceDN w:val="0"/>
        <w:adjustRightInd w:val="0"/>
        <w:jc w:val="both"/>
        <w:rPr>
          <w:rFonts w:ascii="Times New Roman" w:eastAsia="Times New Roman" w:hAnsi="Times New Roman"/>
          <w:i/>
          <w:lang w:eastAsia="en-GB"/>
        </w:rPr>
      </w:pPr>
      <w:r w:rsidRPr="009452CE">
        <w:rPr>
          <w:rFonts w:ascii="Times New Roman" w:eastAsia="Times New Roman" w:hAnsi="Times New Roman"/>
          <w:lang w:eastAsia="en-GB"/>
        </w:rPr>
        <w:t>and consultancy</w:t>
      </w:r>
      <w:r w:rsidRPr="009452CE">
        <w:rPr>
          <w:rFonts w:ascii="Times New Roman" w:eastAsia="Times New Roman" w:hAnsi="Times New Roman"/>
          <w:i/>
          <w:lang w:eastAsia="en-GB"/>
        </w:rPr>
        <w:t>, CHME Learning, Teaching and Assessment conference</w:t>
      </w:r>
    </w:p>
    <w:p w:rsidR="0033635E" w:rsidRPr="009452CE" w:rsidRDefault="0033635E" w:rsidP="009452CE">
      <w:pPr>
        <w:autoSpaceDE w:val="0"/>
        <w:autoSpaceDN w:val="0"/>
        <w:adjustRightInd w:val="0"/>
        <w:jc w:val="both"/>
        <w:rPr>
          <w:rFonts w:ascii="Times New Roman" w:eastAsia="Times New Roman" w:hAnsi="Times New Roman"/>
          <w:i/>
          <w:lang w:eastAsia="en-GB"/>
        </w:rPr>
      </w:pPr>
      <w:r w:rsidRPr="009452CE">
        <w:rPr>
          <w:rFonts w:ascii="Times New Roman" w:eastAsia="Times New Roman" w:hAnsi="Times New Roman"/>
          <w:i/>
          <w:lang w:eastAsia="en-GB"/>
        </w:rPr>
        <w:t>proceedings, Sheffield Hallam University, Sheffield, UK</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Kivela, J. &amp; Kivela, R.J. (2005). Student perceptions of an embedded problem-based learning</w:t>
      </w:r>
      <w:r w:rsidR="00DD6857" w:rsidRPr="009452CE">
        <w:rPr>
          <w:rFonts w:ascii="Times New Roman" w:eastAsia="Times New Roman" w:hAnsi="Times New Roman"/>
          <w:lang w:eastAsia="en-GB"/>
        </w:rPr>
        <w:t xml:space="preserve"> </w:t>
      </w:r>
      <w:r w:rsidRPr="009452CE">
        <w:rPr>
          <w:rFonts w:ascii="Times New Roman" w:eastAsia="Times New Roman" w:hAnsi="Times New Roman"/>
          <w:lang w:eastAsia="en-GB"/>
        </w:rPr>
        <w:t xml:space="preserve">instructional approach in hospitality undergraduate programme, </w:t>
      </w:r>
      <w:r w:rsidRPr="009452CE">
        <w:rPr>
          <w:rFonts w:ascii="Times New Roman" w:eastAsia="Times New Roman" w:hAnsi="Times New Roman"/>
          <w:i/>
          <w:lang w:eastAsia="en-GB"/>
        </w:rPr>
        <w:t xml:space="preserve">International </w:t>
      </w:r>
      <w:r w:rsidRPr="009452CE">
        <w:rPr>
          <w:rFonts w:ascii="Times New Roman" w:eastAsia="Times New Roman" w:hAnsi="Times New Roman"/>
          <w:i/>
          <w:iCs/>
          <w:lang w:eastAsia="en-GB"/>
        </w:rPr>
        <w:t>Journal of</w:t>
      </w:r>
      <w:r w:rsidR="00DD6857" w:rsidRPr="009452CE">
        <w:rPr>
          <w:rFonts w:ascii="Times New Roman" w:eastAsia="Times New Roman" w:hAnsi="Times New Roman"/>
          <w:i/>
          <w:iCs/>
          <w:lang w:eastAsia="en-GB"/>
        </w:rPr>
        <w:t xml:space="preserve"> </w:t>
      </w:r>
      <w:r w:rsidRPr="009452CE">
        <w:rPr>
          <w:rFonts w:ascii="Times New Roman" w:eastAsia="Times New Roman" w:hAnsi="Times New Roman"/>
          <w:i/>
          <w:iCs/>
          <w:lang w:eastAsia="en-GB"/>
        </w:rPr>
        <w:t>Hospitality Management</w:t>
      </w:r>
      <w:r w:rsidRPr="009452CE">
        <w:rPr>
          <w:rFonts w:ascii="Times New Roman" w:eastAsia="Times New Roman" w:hAnsi="Times New Roman"/>
          <w:lang w:eastAsia="en-GB"/>
        </w:rPr>
        <w:t>, 24, 437-464.</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Kolb, A.Y. &amp; Kolb, D.A. (2005) </w:t>
      </w:r>
      <w:r w:rsidRPr="009452CE">
        <w:rPr>
          <w:rFonts w:ascii="Times New Roman" w:eastAsia="Times New Roman" w:hAnsi="Times New Roman"/>
          <w:bCs/>
          <w:lang w:eastAsia="en-GB"/>
        </w:rPr>
        <w:t>Learning Styles and Learning</w:t>
      </w:r>
      <w:r w:rsidR="00DD6857" w:rsidRPr="009452CE">
        <w:rPr>
          <w:rFonts w:ascii="Times New Roman" w:eastAsia="Times New Roman" w:hAnsi="Times New Roman"/>
          <w:bCs/>
          <w:lang w:eastAsia="en-GB"/>
        </w:rPr>
        <w:t xml:space="preserve"> </w:t>
      </w:r>
      <w:r w:rsidRPr="009452CE">
        <w:rPr>
          <w:rFonts w:ascii="Times New Roman" w:eastAsia="Times New Roman" w:hAnsi="Times New Roman"/>
          <w:bCs/>
          <w:lang w:eastAsia="en-GB"/>
        </w:rPr>
        <w:t>Spaces: Enhancing Experiential Learning in Higher Education</w:t>
      </w:r>
      <w:r w:rsidR="00DD6857" w:rsidRPr="009452CE">
        <w:rPr>
          <w:rFonts w:ascii="Times New Roman" w:eastAsia="Times New Roman" w:hAnsi="Times New Roman"/>
          <w:bCs/>
          <w:lang w:eastAsia="en-GB"/>
        </w:rPr>
        <w:t>,</w:t>
      </w:r>
      <w:r w:rsidRPr="009452CE">
        <w:rPr>
          <w:rFonts w:ascii="Times New Roman" w:eastAsia="Times New Roman" w:hAnsi="Times New Roman"/>
          <w:iCs/>
          <w:lang w:eastAsia="en-GB"/>
        </w:rPr>
        <w:t xml:space="preserve"> </w:t>
      </w:r>
      <w:r w:rsidRPr="009452CE">
        <w:rPr>
          <w:rFonts w:ascii="Times New Roman" w:eastAsia="Times New Roman" w:hAnsi="Times New Roman"/>
          <w:i/>
          <w:iCs/>
          <w:lang w:eastAsia="en-GB"/>
        </w:rPr>
        <w:t>Academy of Management Learning &amp; Education</w:t>
      </w:r>
      <w:r w:rsidRPr="009452CE">
        <w:rPr>
          <w:rFonts w:ascii="Times New Roman" w:eastAsia="Times New Roman" w:hAnsi="Times New Roman"/>
          <w:lang w:eastAsia="en-GB"/>
        </w:rPr>
        <w:t>, 4(2):193–212.</w:t>
      </w:r>
    </w:p>
    <w:p w:rsidR="0033635E" w:rsidRPr="009452CE" w:rsidRDefault="0033635E" w:rsidP="009452CE">
      <w:pPr>
        <w:jc w:val="both"/>
        <w:rPr>
          <w:rFonts w:ascii="Times New Roman" w:eastAsia="Times New Roman" w:hAnsi="Times New Roman"/>
          <w:lang w:eastAsia="en-GB"/>
        </w:rPr>
      </w:pPr>
    </w:p>
    <w:p w:rsidR="00320C10" w:rsidRPr="009452CE" w:rsidRDefault="00320C10" w:rsidP="009452CE">
      <w:pPr>
        <w:jc w:val="both"/>
        <w:rPr>
          <w:rFonts w:ascii="Times New Roman" w:eastAsia="Times New Roman" w:hAnsi="Times New Roman"/>
          <w:lang w:eastAsia="en-GB"/>
        </w:rPr>
      </w:pPr>
      <w:r w:rsidRPr="00320C10">
        <w:rPr>
          <w:rFonts w:ascii="Times New Roman" w:eastAsia="Times New Roman" w:hAnsi="Times New Roman"/>
          <w:lang w:eastAsia="en-GB"/>
        </w:rPr>
        <w:t xml:space="preserve">Kolb, D. A., Boyatzis, R. E., &amp; Mainemelis, C. (2001). Experiential learning theory: Previous research and new directions. </w:t>
      </w:r>
      <w:r w:rsidRPr="00320C10">
        <w:rPr>
          <w:rFonts w:ascii="Times New Roman" w:eastAsia="Times New Roman" w:hAnsi="Times New Roman"/>
          <w:i/>
          <w:iCs/>
          <w:lang w:eastAsia="en-GB"/>
        </w:rPr>
        <w:t>Perspectives on thinking, learning, and cognitive styles</w:t>
      </w:r>
      <w:r w:rsidRPr="00320C10">
        <w:rPr>
          <w:rFonts w:ascii="Times New Roman" w:eastAsia="Times New Roman" w:hAnsi="Times New Roman"/>
          <w:lang w:eastAsia="en-GB"/>
        </w:rPr>
        <w:t xml:space="preserve">, </w:t>
      </w:r>
      <w:r w:rsidRPr="00320C10">
        <w:rPr>
          <w:rFonts w:ascii="Times New Roman" w:eastAsia="Times New Roman" w:hAnsi="Times New Roman"/>
          <w:i/>
          <w:iCs/>
          <w:lang w:eastAsia="en-GB"/>
        </w:rPr>
        <w:t>1</w:t>
      </w:r>
      <w:r w:rsidRPr="00320C10">
        <w:rPr>
          <w:rFonts w:ascii="Times New Roman" w:eastAsia="Times New Roman" w:hAnsi="Times New Roman"/>
          <w:lang w:eastAsia="en-GB"/>
        </w:rPr>
        <w:t>, 227-247.</w:t>
      </w:r>
    </w:p>
    <w:p w:rsidR="00DD6857" w:rsidRPr="00320C10" w:rsidRDefault="00DD6857" w:rsidP="009452CE">
      <w:pPr>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Massa, N.M. (2008). Problem-Based Learning (PBL): A real world antidote to the standards and testing regime, </w:t>
      </w:r>
      <w:r w:rsidRPr="009452CE">
        <w:rPr>
          <w:rFonts w:ascii="Times New Roman" w:eastAsia="Times New Roman" w:hAnsi="Times New Roman"/>
          <w:i/>
          <w:iCs/>
          <w:lang w:eastAsia="en-GB"/>
        </w:rPr>
        <w:t>New England Journal of Higher Education</w:t>
      </w:r>
      <w:r w:rsidRPr="009452CE">
        <w:rPr>
          <w:rFonts w:ascii="Times New Roman" w:eastAsia="Times New Roman" w:hAnsi="Times New Roman"/>
          <w:lang w:eastAsia="en-GB"/>
        </w:rPr>
        <w:t>, Winter, 19-20.</w:t>
      </w:r>
    </w:p>
    <w:p w:rsidR="0033635E" w:rsidRPr="009452CE" w:rsidRDefault="0033635E" w:rsidP="009452CE">
      <w:pPr>
        <w:autoSpaceDE w:val="0"/>
        <w:autoSpaceDN w:val="0"/>
        <w:adjustRightInd w:val="0"/>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bCs/>
          <w:lang w:eastAsia="en-GB"/>
        </w:rPr>
      </w:pPr>
      <w:r w:rsidRPr="009452CE">
        <w:rPr>
          <w:rFonts w:ascii="Times New Roman" w:hAnsi="Times New Roman"/>
          <w:bCs/>
        </w:rPr>
        <w:t>Park, C. &amp; Kulej, G. (2009)</w:t>
      </w:r>
      <w:r w:rsidRPr="009452CE">
        <w:rPr>
          <w:rFonts w:ascii="Times New Roman" w:eastAsia="Times New Roman" w:hAnsi="Times New Roman"/>
          <w:bCs/>
          <w:lang w:eastAsia="en-GB"/>
        </w:rPr>
        <w:t xml:space="preserve"> The Higher Education Academy</w:t>
      </w:r>
      <w:r w:rsidR="00DD6857" w:rsidRPr="009452CE">
        <w:rPr>
          <w:rFonts w:ascii="Times New Roman" w:eastAsia="Times New Roman" w:hAnsi="Times New Roman"/>
          <w:bCs/>
          <w:lang w:eastAsia="en-GB"/>
        </w:rPr>
        <w:t xml:space="preserve"> </w:t>
      </w:r>
      <w:r w:rsidRPr="009452CE">
        <w:rPr>
          <w:rFonts w:ascii="Times New Roman" w:eastAsia="Times New Roman" w:hAnsi="Times New Roman"/>
          <w:bCs/>
          <w:lang w:eastAsia="en-GB"/>
        </w:rPr>
        <w:t xml:space="preserve">Postgraduate Taught Experience Survey, </w:t>
      </w:r>
      <w:r w:rsidRPr="009452CE">
        <w:rPr>
          <w:rFonts w:ascii="Times New Roman" w:eastAsia="Times New Roman" w:hAnsi="Times New Roman"/>
          <w:bCs/>
          <w:i/>
          <w:lang w:eastAsia="en-GB"/>
        </w:rPr>
        <w:t>PTES 2009 REPORT, Higher Education Academy, York</w:t>
      </w:r>
      <w:r w:rsidRPr="009452CE">
        <w:rPr>
          <w:rFonts w:ascii="Times New Roman" w:eastAsia="Times New Roman" w:hAnsi="Times New Roman"/>
          <w:bCs/>
          <w:lang w:eastAsia="en-GB"/>
        </w:rPr>
        <w:t>.</w:t>
      </w:r>
    </w:p>
    <w:p w:rsidR="0033635E" w:rsidRPr="009452CE" w:rsidRDefault="0033635E" w:rsidP="009452CE">
      <w:pPr>
        <w:autoSpaceDE w:val="0"/>
        <w:autoSpaceDN w:val="0"/>
        <w:adjustRightInd w:val="0"/>
        <w:jc w:val="both"/>
        <w:rPr>
          <w:rFonts w:ascii="Times New Roman" w:hAnsi="Times New Roman"/>
          <w:bCs/>
        </w:rPr>
      </w:pPr>
    </w:p>
    <w:p w:rsidR="0033635E" w:rsidRPr="009452CE" w:rsidRDefault="0033635E" w:rsidP="009452CE">
      <w:pPr>
        <w:autoSpaceDE w:val="0"/>
        <w:autoSpaceDN w:val="0"/>
        <w:adjustRightInd w:val="0"/>
        <w:jc w:val="both"/>
        <w:rPr>
          <w:rFonts w:ascii="Times New Roman" w:hAnsi="Times New Roman"/>
        </w:rPr>
      </w:pPr>
      <w:r w:rsidRPr="009452CE">
        <w:rPr>
          <w:rFonts w:ascii="Times New Roman" w:hAnsi="Times New Roman"/>
          <w:bCs/>
        </w:rPr>
        <w:t>Singh, P. &amp; Knight, J. (2002) The Knowledge Economy &amp; Higher Degree Research</w:t>
      </w:r>
      <w:r w:rsidRPr="009452CE">
        <w:rPr>
          <w:rFonts w:ascii="Times New Roman" w:hAnsi="Times New Roman"/>
        </w:rPr>
        <w:t xml:space="preserve"> refereed conference paper presented at the: </w:t>
      </w:r>
      <w:r w:rsidRPr="009452CE">
        <w:rPr>
          <w:rFonts w:ascii="Times New Roman" w:hAnsi="Times New Roman"/>
          <w:i/>
          <w:iCs/>
        </w:rPr>
        <w:t>Australian Association for Research in Education Conference, Brisbane, Qld,</w:t>
      </w:r>
      <w:r w:rsidRPr="009452CE">
        <w:rPr>
          <w:rFonts w:ascii="Times New Roman" w:hAnsi="Times New Roman"/>
          <w:iCs/>
        </w:rPr>
        <w:t xml:space="preserve"> December 2002.</w:t>
      </w:r>
      <w:r w:rsidRPr="009452CE">
        <w:rPr>
          <w:rFonts w:ascii="Times New Roman" w:hAnsi="Times New Roman"/>
        </w:rPr>
        <w:t>SIN02181</w:t>
      </w:r>
    </w:p>
    <w:p w:rsidR="0033635E" w:rsidRPr="009452CE" w:rsidRDefault="0033635E" w:rsidP="009452CE">
      <w:pPr>
        <w:autoSpaceDE w:val="0"/>
        <w:autoSpaceDN w:val="0"/>
        <w:adjustRightInd w:val="0"/>
        <w:jc w:val="both"/>
        <w:rPr>
          <w:rFonts w:ascii="Times New Roman" w:hAnsi="Times New Roman"/>
        </w:rPr>
      </w:pPr>
    </w:p>
    <w:p w:rsidR="0033635E" w:rsidRPr="009452CE" w:rsidRDefault="0033635E" w:rsidP="009452CE">
      <w:pPr>
        <w:jc w:val="both"/>
        <w:rPr>
          <w:rFonts w:ascii="Times New Roman" w:eastAsia="Times New Roman" w:hAnsi="Times New Roman"/>
          <w:lang w:eastAsia="en-GB"/>
        </w:rPr>
      </w:pPr>
      <w:r w:rsidRPr="009452CE">
        <w:rPr>
          <w:rFonts w:ascii="Times New Roman" w:eastAsia="Times New Roman" w:hAnsi="Times New Roman"/>
          <w:lang w:eastAsia="en-GB"/>
        </w:rPr>
        <w:t xml:space="preserve">Taylor, M. (2000). Maintaining community involvement in regeneration: what are the issues? </w:t>
      </w:r>
      <w:r w:rsidRPr="009452CE">
        <w:rPr>
          <w:rFonts w:ascii="Times New Roman" w:eastAsia="Times New Roman" w:hAnsi="Times New Roman"/>
          <w:i/>
          <w:iCs/>
          <w:lang w:eastAsia="en-GB"/>
        </w:rPr>
        <w:t>Local Economy</w:t>
      </w:r>
      <w:r w:rsidRPr="009452CE">
        <w:rPr>
          <w:rFonts w:ascii="Times New Roman" w:eastAsia="Times New Roman" w:hAnsi="Times New Roman"/>
          <w:lang w:eastAsia="en-GB"/>
        </w:rPr>
        <w:t xml:space="preserve">, </w:t>
      </w:r>
      <w:r w:rsidRPr="009452CE">
        <w:rPr>
          <w:rFonts w:ascii="Times New Roman" w:eastAsia="Times New Roman" w:hAnsi="Times New Roman"/>
          <w:iCs/>
          <w:lang w:eastAsia="en-GB"/>
        </w:rPr>
        <w:t>15</w:t>
      </w:r>
      <w:r w:rsidRPr="009452CE">
        <w:rPr>
          <w:rFonts w:ascii="Times New Roman" w:eastAsia="Times New Roman" w:hAnsi="Times New Roman"/>
          <w:lang w:eastAsia="en-GB"/>
        </w:rPr>
        <w:t>(3), 251-255.</w:t>
      </w:r>
    </w:p>
    <w:p w:rsidR="0033635E" w:rsidRPr="009452CE" w:rsidRDefault="0033635E" w:rsidP="009452CE">
      <w:pPr>
        <w:jc w:val="both"/>
        <w:rPr>
          <w:rFonts w:ascii="Times New Roman" w:eastAsia="Times New Roman" w:hAnsi="Times New Roman"/>
          <w:lang w:eastAsia="en-GB"/>
        </w:rPr>
      </w:pPr>
    </w:p>
    <w:p w:rsidR="0033635E" w:rsidRPr="009452CE" w:rsidRDefault="0033635E" w:rsidP="009452CE">
      <w:pPr>
        <w:autoSpaceDE w:val="0"/>
        <w:autoSpaceDN w:val="0"/>
        <w:adjustRightInd w:val="0"/>
        <w:jc w:val="both"/>
        <w:rPr>
          <w:rFonts w:ascii="Times New Roman" w:eastAsia="Times New Roman" w:hAnsi="Times New Roman"/>
          <w:lang w:eastAsia="en-GB"/>
        </w:rPr>
      </w:pPr>
      <w:r w:rsidRPr="009452CE">
        <w:rPr>
          <w:rFonts w:ascii="Times New Roman" w:eastAsia="Times New Roman" w:hAnsi="Times New Roman"/>
          <w:lang w:eastAsia="en-GB"/>
        </w:rPr>
        <w:t xml:space="preserve">Vuojärvi, H., Eriksson, M. J., &amp; Ruokamo, H. (2011). Towards a pedagogical model for work-based mobile learning in tourism education. </w:t>
      </w:r>
      <w:r w:rsidRPr="009452CE">
        <w:rPr>
          <w:rFonts w:ascii="Times New Roman" w:eastAsia="Times New Roman" w:hAnsi="Times New Roman"/>
          <w:iCs/>
          <w:lang w:eastAsia="en-GB"/>
        </w:rPr>
        <w:t>Stanford University, H-STAR Institute, USA; to Associate Professor Jukka M. Laitamäki, from New York University, USA, and to Professor Yngve Troye Nordkvelle from Lillehammer University</w:t>
      </w:r>
      <w:r w:rsidRPr="009452CE">
        <w:rPr>
          <w:rFonts w:ascii="Times New Roman" w:eastAsia="Times New Roman" w:hAnsi="Times New Roman"/>
          <w:lang w:eastAsia="en-GB"/>
        </w:rPr>
        <w:t>, 87.</w:t>
      </w:r>
    </w:p>
    <w:p w:rsidR="00747E08" w:rsidRPr="009452CE" w:rsidRDefault="001C77CF" w:rsidP="009452CE">
      <w:pPr>
        <w:jc w:val="both"/>
        <w:rPr>
          <w:rFonts w:ascii="Times New Roman" w:hAnsi="Times New Roman"/>
        </w:rPr>
      </w:pPr>
    </w:p>
    <w:sectPr w:rsidR="00747E08" w:rsidRPr="009452CE" w:rsidSect="006222D7">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7CF" w:rsidRDefault="001C77CF" w:rsidP="008B2DDC">
      <w:r>
        <w:separator/>
      </w:r>
    </w:p>
  </w:endnote>
  <w:endnote w:type="continuationSeparator" w:id="0">
    <w:p w:rsidR="001C77CF" w:rsidRDefault="001C77CF" w:rsidP="008B2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3C" w:rsidRDefault="008B2DDC" w:rsidP="006222D7">
    <w:pPr>
      <w:pStyle w:val="Footer"/>
      <w:framePr w:wrap="around" w:vAnchor="text" w:hAnchor="margin" w:xAlign="right" w:y="1"/>
      <w:rPr>
        <w:rStyle w:val="PageNumber"/>
      </w:rPr>
    </w:pPr>
    <w:r>
      <w:rPr>
        <w:rStyle w:val="PageNumber"/>
      </w:rPr>
      <w:fldChar w:fldCharType="begin"/>
    </w:r>
    <w:r w:rsidR="00B05162">
      <w:rPr>
        <w:rStyle w:val="PageNumber"/>
      </w:rPr>
      <w:instrText xml:space="preserve">PAGE  </w:instrText>
    </w:r>
    <w:r>
      <w:rPr>
        <w:rStyle w:val="PageNumber"/>
      </w:rPr>
      <w:fldChar w:fldCharType="end"/>
    </w:r>
  </w:p>
  <w:p w:rsidR="0009093C" w:rsidRDefault="001C77CF" w:rsidP="008B3B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3C" w:rsidRDefault="008B2DDC" w:rsidP="006222D7">
    <w:pPr>
      <w:pStyle w:val="Footer"/>
      <w:framePr w:wrap="around" w:vAnchor="text" w:hAnchor="margin" w:xAlign="right" w:y="1"/>
      <w:rPr>
        <w:rStyle w:val="PageNumber"/>
      </w:rPr>
    </w:pPr>
    <w:r>
      <w:rPr>
        <w:rStyle w:val="PageNumber"/>
      </w:rPr>
      <w:fldChar w:fldCharType="begin"/>
    </w:r>
    <w:r w:rsidR="00B05162">
      <w:rPr>
        <w:rStyle w:val="PageNumber"/>
      </w:rPr>
      <w:instrText xml:space="preserve">PAGE  </w:instrText>
    </w:r>
    <w:r>
      <w:rPr>
        <w:rStyle w:val="PageNumber"/>
      </w:rPr>
      <w:fldChar w:fldCharType="separate"/>
    </w:r>
    <w:r w:rsidR="00AD6114">
      <w:rPr>
        <w:rStyle w:val="PageNumber"/>
        <w:noProof/>
      </w:rPr>
      <w:t>2</w:t>
    </w:r>
    <w:r>
      <w:rPr>
        <w:rStyle w:val="PageNumber"/>
      </w:rPr>
      <w:fldChar w:fldCharType="end"/>
    </w:r>
  </w:p>
  <w:p w:rsidR="0009093C" w:rsidRDefault="001C77CF" w:rsidP="008B3B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7CF" w:rsidRDefault="001C77CF" w:rsidP="008B2DDC">
      <w:r>
        <w:separator/>
      </w:r>
    </w:p>
  </w:footnote>
  <w:footnote w:type="continuationSeparator" w:id="0">
    <w:p w:rsidR="001C77CF" w:rsidRDefault="001C77CF" w:rsidP="008B2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66157"/>
    <w:multiLevelType w:val="hybridMultilevel"/>
    <w:tmpl w:val="3D7875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footnotePr>
    <w:footnote w:id="-1"/>
    <w:footnote w:id="0"/>
  </w:footnotePr>
  <w:endnotePr>
    <w:endnote w:id="-1"/>
    <w:endnote w:id="0"/>
  </w:endnotePr>
  <w:compat/>
  <w:rsids>
    <w:rsidRoot w:val="0033635E"/>
    <w:rsid w:val="00000E46"/>
    <w:rsid w:val="0000258E"/>
    <w:rsid w:val="000038F9"/>
    <w:rsid w:val="00015402"/>
    <w:rsid w:val="00021253"/>
    <w:rsid w:val="000226C1"/>
    <w:rsid w:val="00047F11"/>
    <w:rsid w:val="00056D36"/>
    <w:rsid w:val="000746D9"/>
    <w:rsid w:val="00075D1F"/>
    <w:rsid w:val="00081FE1"/>
    <w:rsid w:val="00083E2B"/>
    <w:rsid w:val="0009279D"/>
    <w:rsid w:val="000A0DC7"/>
    <w:rsid w:val="000B03FA"/>
    <w:rsid w:val="000B642F"/>
    <w:rsid w:val="000D0ADB"/>
    <w:rsid w:val="000E1399"/>
    <w:rsid w:val="000E416E"/>
    <w:rsid w:val="000E7B4A"/>
    <w:rsid w:val="000F684A"/>
    <w:rsid w:val="00100639"/>
    <w:rsid w:val="00116450"/>
    <w:rsid w:val="001168AF"/>
    <w:rsid w:val="001173EF"/>
    <w:rsid w:val="00145B53"/>
    <w:rsid w:val="00156EF2"/>
    <w:rsid w:val="0016799B"/>
    <w:rsid w:val="00182DD4"/>
    <w:rsid w:val="00186FC6"/>
    <w:rsid w:val="00194532"/>
    <w:rsid w:val="001A2786"/>
    <w:rsid w:val="001B126E"/>
    <w:rsid w:val="001C28F5"/>
    <w:rsid w:val="001C77CF"/>
    <w:rsid w:val="001D172C"/>
    <w:rsid w:val="001E0741"/>
    <w:rsid w:val="001E3EBD"/>
    <w:rsid w:val="001F10FA"/>
    <w:rsid w:val="001F5D62"/>
    <w:rsid w:val="00204FE5"/>
    <w:rsid w:val="00206737"/>
    <w:rsid w:val="00222A2C"/>
    <w:rsid w:val="0024351F"/>
    <w:rsid w:val="00254595"/>
    <w:rsid w:val="00257E55"/>
    <w:rsid w:val="00264990"/>
    <w:rsid w:val="00285A8E"/>
    <w:rsid w:val="002905C9"/>
    <w:rsid w:val="00291B1E"/>
    <w:rsid w:val="00296570"/>
    <w:rsid w:val="002A36F5"/>
    <w:rsid w:val="002A6033"/>
    <w:rsid w:val="002B1F86"/>
    <w:rsid w:val="002C0635"/>
    <w:rsid w:val="002C13B9"/>
    <w:rsid w:val="002C60DD"/>
    <w:rsid w:val="002D0EA5"/>
    <w:rsid w:val="002D6EDF"/>
    <w:rsid w:val="002E1907"/>
    <w:rsid w:val="003003AB"/>
    <w:rsid w:val="00306C6D"/>
    <w:rsid w:val="00320C10"/>
    <w:rsid w:val="00325CFF"/>
    <w:rsid w:val="0033635E"/>
    <w:rsid w:val="003470F3"/>
    <w:rsid w:val="0035318D"/>
    <w:rsid w:val="00354A75"/>
    <w:rsid w:val="00360374"/>
    <w:rsid w:val="00367F96"/>
    <w:rsid w:val="0037250D"/>
    <w:rsid w:val="003838AA"/>
    <w:rsid w:val="003A7DE7"/>
    <w:rsid w:val="003D15A5"/>
    <w:rsid w:val="003E25F7"/>
    <w:rsid w:val="003F01E5"/>
    <w:rsid w:val="003F3186"/>
    <w:rsid w:val="003F79BA"/>
    <w:rsid w:val="004023FC"/>
    <w:rsid w:val="00415B19"/>
    <w:rsid w:val="00424EED"/>
    <w:rsid w:val="00436BD3"/>
    <w:rsid w:val="004458C4"/>
    <w:rsid w:val="004657E2"/>
    <w:rsid w:val="00467D55"/>
    <w:rsid w:val="004701FD"/>
    <w:rsid w:val="004706D0"/>
    <w:rsid w:val="00485870"/>
    <w:rsid w:val="00485FEE"/>
    <w:rsid w:val="004967CC"/>
    <w:rsid w:val="004C0B1A"/>
    <w:rsid w:val="004C6355"/>
    <w:rsid w:val="004C783B"/>
    <w:rsid w:val="004D12BC"/>
    <w:rsid w:val="004F444A"/>
    <w:rsid w:val="004F5BE1"/>
    <w:rsid w:val="00547D50"/>
    <w:rsid w:val="00550E4E"/>
    <w:rsid w:val="0055659C"/>
    <w:rsid w:val="00563212"/>
    <w:rsid w:val="00563B82"/>
    <w:rsid w:val="005732A5"/>
    <w:rsid w:val="00594BD3"/>
    <w:rsid w:val="005B2737"/>
    <w:rsid w:val="005B6962"/>
    <w:rsid w:val="005D27C8"/>
    <w:rsid w:val="005D68E6"/>
    <w:rsid w:val="005F0BF3"/>
    <w:rsid w:val="00623980"/>
    <w:rsid w:val="00636F51"/>
    <w:rsid w:val="00663178"/>
    <w:rsid w:val="006774AB"/>
    <w:rsid w:val="00680FB5"/>
    <w:rsid w:val="00685113"/>
    <w:rsid w:val="00685764"/>
    <w:rsid w:val="00695A5E"/>
    <w:rsid w:val="006B35E7"/>
    <w:rsid w:val="006C2151"/>
    <w:rsid w:val="006C31E5"/>
    <w:rsid w:val="006C7107"/>
    <w:rsid w:val="006D2B80"/>
    <w:rsid w:val="006D3742"/>
    <w:rsid w:val="006D59C0"/>
    <w:rsid w:val="006D63D4"/>
    <w:rsid w:val="006E782C"/>
    <w:rsid w:val="006F1573"/>
    <w:rsid w:val="006F4771"/>
    <w:rsid w:val="0071135D"/>
    <w:rsid w:val="00715238"/>
    <w:rsid w:val="00716E1A"/>
    <w:rsid w:val="00721488"/>
    <w:rsid w:val="00725DD5"/>
    <w:rsid w:val="00726A6C"/>
    <w:rsid w:val="0074031C"/>
    <w:rsid w:val="00740AF4"/>
    <w:rsid w:val="0075343F"/>
    <w:rsid w:val="00763ABF"/>
    <w:rsid w:val="007C1ECC"/>
    <w:rsid w:val="007C2295"/>
    <w:rsid w:val="007C54EB"/>
    <w:rsid w:val="007C6C79"/>
    <w:rsid w:val="007C7B2E"/>
    <w:rsid w:val="007D16F7"/>
    <w:rsid w:val="007D3319"/>
    <w:rsid w:val="007D4812"/>
    <w:rsid w:val="007E03E9"/>
    <w:rsid w:val="007F26F1"/>
    <w:rsid w:val="00813EAA"/>
    <w:rsid w:val="00823F08"/>
    <w:rsid w:val="00832DE0"/>
    <w:rsid w:val="00871D1B"/>
    <w:rsid w:val="00873202"/>
    <w:rsid w:val="008A1F78"/>
    <w:rsid w:val="008A662D"/>
    <w:rsid w:val="008B1C77"/>
    <w:rsid w:val="008B29A6"/>
    <w:rsid w:val="008B2DDC"/>
    <w:rsid w:val="008B4539"/>
    <w:rsid w:val="008B6B3E"/>
    <w:rsid w:val="008B79F5"/>
    <w:rsid w:val="008B7C26"/>
    <w:rsid w:val="008C53A0"/>
    <w:rsid w:val="008E1E81"/>
    <w:rsid w:val="008F1508"/>
    <w:rsid w:val="00922918"/>
    <w:rsid w:val="009452CE"/>
    <w:rsid w:val="0094532D"/>
    <w:rsid w:val="00945891"/>
    <w:rsid w:val="00951B02"/>
    <w:rsid w:val="00960ED9"/>
    <w:rsid w:val="00982273"/>
    <w:rsid w:val="00995B7D"/>
    <w:rsid w:val="009A0CF0"/>
    <w:rsid w:val="009B7C92"/>
    <w:rsid w:val="009D1737"/>
    <w:rsid w:val="009D77FD"/>
    <w:rsid w:val="00A002EA"/>
    <w:rsid w:val="00A13D9A"/>
    <w:rsid w:val="00A23D91"/>
    <w:rsid w:val="00A26ECE"/>
    <w:rsid w:val="00A337C8"/>
    <w:rsid w:val="00A622E3"/>
    <w:rsid w:val="00A91D98"/>
    <w:rsid w:val="00A92F49"/>
    <w:rsid w:val="00AB1DDF"/>
    <w:rsid w:val="00AB359A"/>
    <w:rsid w:val="00AB5412"/>
    <w:rsid w:val="00AB79B6"/>
    <w:rsid w:val="00AC1C92"/>
    <w:rsid w:val="00AD6114"/>
    <w:rsid w:val="00AE4437"/>
    <w:rsid w:val="00B02C54"/>
    <w:rsid w:val="00B05162"/>
    <w:rsid w:val="00B1324E"/>
    <w:rsid w:val="00B32238"/>
    <w:rsid w:val="00B35864"/>
    <w:rsid w:val="00B44190"/>
    <w:rsid w:val="00B442DB"/>
    <w:rsid w:val="00B52DC1"/>
    <w:rsid w:val="00B57A51"/>
    <w:rsid w:val="00B72FEB"/>
    <w:rsid w:val="00B849F9"/>
    <w:rsid w:val="00B91250"/>
    <w:rsid w:val="00B933FE"/>
    <w:rsid w:val="00B95320"/>
    <w:rsid w:val="00BA14B4"/>
    <w:rsid w:val="00BC6B88"/>
    <w:rsid w:val="00BE2FF6"/>
    <w:rsid w:val="00BE6CF1"/>
    <w:rsid w:val="00BF1578"/>
    <w:rsid w:val="00BF77CA"/>
    <w:rsid w:val="00C05650"/>
    <w:rsid w:val="00C109DF"/>
    <w:rsid w:val="00C210F9"/>
    <w:rsid w:val="00C26FC6"/>
    <w:rsid w:val="00C359DD"/>
    <w:rsid w:val="00C44F44"/>
    <w:rsid w:val="00C51015"/>
    <w:rsid w:val="00C6035D"/>
    <w:rsid w:val="00C80FE3"/>
    <w:rsid w:val="00C830A5"/>
    <w:rsid w:val="00C92190"/>
    <w:rsid w:val="00C945EF"/>
    <w:rsid w:val="00CA7EDC"/>
    <w:rsid w:val="00CB12D0"/>
    <w:rsid w:val="00CB517B"/>
    <w:rsid w:val="00CC0766"/>
    <w:rsid w:val="00CF078A"/>
    <w:rsid w:val="00D23A92"/>
    <w:rsid w:val="00D416B9"/>
    <w:rsid w:val="00D44014"/>
    <w:rsid w:val="00D62250"/>
    <w:rsid w:val="00D67C1D"/>
    <w:rsid w:val="00D92631"/>
    <w:rsid w:val="00DA2FBB"/>
    <w:rsid w:val="00DA4343"/>
    <w:rsid w:val="00DB6D75"/>
    <w:rsid w:val="00DB79A8"/>
    <w:rsid w:val="00DC47ED"/>
    <w:rsid w:val="00DD6857"/>
    <w:rsid w:val="00E01972"/>
    <w:rsid w:val="00E03D44"/>
    <w:rsid w:val="00E0431E"/>
    <w:rsid w:val="00E14723"/>
    <w:rsid w:val="00E153A4"/>
    <w:rsid w:val="00E20BED"/>
    <w:rsid w:val="00E2609A"/>
    <w:rsid w:val="00E3127A"/>
    <w:rsid w:val="00E56AC1"/>
    <w:rsid w:val="00E73224"/>
    <w:rsid w:val="00E75FA2"/>
    <w:rsid w:val="00EA7A42"/>
    <w:rsid w:val="00EC4515"/>
    <w:rsid w:val="00EE3235"/>
    <w:rsid w:val="00EF0C3A"/>
    <w:rsid w:val="00F16830"/>
    <w:rsid w:val="00F24A60"/>
    <w:rsid w:val="00F31C8D"/>
    <w:rsid w:val="00F32F70"/>
    <w:rsid w:val="00F40AA8"/>
    <w:rsid w:val="00F43038"/>
    <w:rsid w:val="00F50078"/>
    <w:rsid w:val="00F514BE"/>
    <w:rsid w:val="00F629AF"/>
    <w:rsid w:val="00F97351"/>
    <w:rsid w:val="00FB7B1A"/>
    <w:rsid w:val="00FD02D1"/>
    <w:rsid w:val="00FD4140"/>
    <w:rsid w:val="00FE12EF"/>
    <w:rsid w:val="00FE6FB7"/>
    <w:rsid w:val="00FF2E63"/>
    <w:rsid w:val="00FF45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72"/>
    <w:pPr>
      <w:spacing w:after="0" w:line="240" w:lineRule="auto"/>
    </w:pPr>
    <w:rPr>
      <w:rFonts w:ascii="Arial" w:eastAsia="Batang" w:hAnsi="Arial"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3635E"/>
    <w:pPr>
      <w:tabs>
        <w:tab w:val="center" w:pos="4513"/>
        <w:tab w:val="right" w:pos="9026"/>
      </w:tabs>
    </w:pPr>
  </w:style>
  <w:style w:type="character" w:customStyle="1" w:styleId="FooterChar">
    <w:name w:val="Footer Char"/>
    <w:basedOn w:val="DefaultParagraphFont"/>
    <w:link w:val="Footer"/>
    <w:uiPriority w:val="99"/>
    <w:semiHidden/>
    <w:rsid w:val="0033635E"/>
    <w:rPr>
      <w:rFonts w:ascii="Arial" w:eastAsia="Batang" w:hAnsi="Arial" w:cs="Times New Roman"/>
      <w:sz w:val="24"/>
      <w:szCs w:val="24"/>
      <w:lang w:eastAsia="ko-KR"/>
    </w:rPr>
  </w:style>
  <w:style w:type="character" w:styleId="PageNumber">
    <w:name w:val="page number"/>
    <w:basedOn w:val="DefaultParagraphFont"/>
    <w:rsid w:val="0033635E"/>
  </w:style>
  <w:style w:type="character" w:styleId="Hyperlink">
    <w:name w:val="Hyperlink"/>
    <w:basedOn w:val="DefaultParagraphFont"/>
    <w:uiPriority w:val="99"/>
    <w:unhideWhenUsed/>
    <w:rsid w:val="00B05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72"/>
    <w:pPr>
      <w:spacing w:after="0" w:line="240" w:lineRule="auto"/>
    </w:pPr>
    <w:rPr>
      <w:rFonts w:ascii="Arial" w:eastAsia="Batang" w:hAnsi="Arial"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3635E"/>
    <w:pPr>
      <w:tabs>
        <w:tab w:val="center" w:pos="4513"/>
        <w:tab w:val="right" w:pos="9026"/>
      </w:tabs>
    </w:pPr>
  </w:style>
  <w:style w:type="character" w:customStyle="1" w:styleId="FooterChar">
    <w:name w:val="Footer Char"/>
    <w:basedOn w:val="DefaultParagraphFont"/>
    <w:link w:val="Footer"/>
    <w:uiPriority w:val="99"/>
    <w:semiHidden/>
    <w:rsid w:val="0033635E"/>
    <w:rPr>
      <w:rFonts w:ascii="Arial" w:eastAsia="Batang" w:hAnsi="Arial" w:cs="Times New Roman"/>
      <w:sz w:val="24"/>
      <w:szCs w:val="24"/>
      <w:lang w:eastAsia="ko-KR"/>
    </w:rPr>
  </w:style>
  <w:style w:type="character" w:styleId="PageNumber">
    <w:name w:val="page number"/>
    <w:basedOn w:val="DefaultParagraphFont"/>
    <w:rsid w:val="0033635E"/>
  </w:style>
  <w:style w:type="character" w:styleId="Hyperlink">
    <w:name w:val="Hyperlink"/>
    <w:basedOn w:val="DefaultParagraphFont"/>
    <w:uiPriority w:val="99"/>
    <w:unhideWhenUsed/>
    <w:rsid w:val="00B051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599010">
      <w:bodyDiv w:val="1"/>
      <w:marLeft w:val="0"/>
      <w:marRight w:val="0"/>
      <w:marTop w:val="0"/>
      <w:marBottom w:val="0"/>
      <w:divBdr>
        <w:top w:val="none" w:sz="0" w:space="0" w:color="auto"/>
        <w:left w:val="none" w:sz="0" w:space="0" w:color="auto"/>
        <w:bottom w:val="none" w:sz="0" w:space="0" w:color="auto"/>
        <w:right w:val="none" w:sz="0" w:space="0" w:color="auto"/>
      </w:divBdr>
      <w:divsChild>
        <w:div w:id="493567351">
          <w:marLeft w:val="0"/>
          <w:marRight w:val="0"/>
          <w:marTop w:val="0"/>
          <w:marBottom w:val="0"/>
          <w:divBdr>
            <w:top w:val="none" w:sz="0" w:space="0" w:color="auto"/>
            <w:left w:val="none" w:sz="0" w:space="0" w:color="auto"/>
            <w:bottom w:val="none" w:sz="0" w:space="0" w:color="auto"/>
            <w:right w:val="none" w:sz="0" w:space="0" w:color="auto"/>
          </w:divBdr>
          <w:divsChild>
            <w:div w:id="1633100486">
              <w:marLeft w:val="0"/>
              <w:marRight w:val="0"/>
              <w:marTop w:val="0"/>
              <w:marBottom w:val="0"/>
              <w:divBdr>
                <w:top w:val="none" w:sz="0" w:space="0" w:color="auto"/>
                <w:left w:val="none" w:sz="0" w:space="0" w:color="auto"/>
                <w:bottom w:val="none" w:sz="0" w:space="0" w:color="auto"/>
                <w:right w:val="none" w:sz="0" w:space="0" w:color="auto"/>
              </w:divBdr>
              <w:divsChild>
                <w:div w:id="1125125794">
                  <w:marLeft w:val="0"/>
                  <w:marRight w:val="0"/>
                  <w:marTop w:val="0"/>
                  <w:marBottom w:val="0"/>
                  <w:divBdr>
                    <w:top w:val="none" w:sz="0" w:space="0" w:color="auto"/>
                    <w:left w:val="none" w:sz="0" w:space="0" w:color="auto"/>
                    <w:bottom w:val="none" w:sz="0" w:space="0" w:color="auto"/>
                    <w:right w:val="none" w:sz="0" w:space="0" w:color="auto"/>
                  </w:divBdr>
                  <w:divsChild>
                    <w:div w:id="853416800">
                      <w:marLeft w:val="0"/>
                      <w:marRight w:val="0"/>
                      <w:marTop w:val="0"/>
                      <w:marBottom w:val="0"/>
                      <w:divBdr>
                        <w:top w:val="none" w:sz="0" w:space="0" w:color="auto"/>
                        <w:left w:val="none" w:sz="0" w:space="0" w:color="auto"/>
                        <w:bottom w:val="none" w:sz="0" w:space="0" w:color="auto"/>
                        <w:right w:val="none" w:sz="0" w:space="0" w:color="auto"/>
                      </w:divBdr>
                      <w:divsChild>
                        <w:div w:id="234511811">
                          <w:marLeft w:val="0"/>
                          <w:marRight w:val="0"/>
                          <w:marTop w:val="0"/>
                          <w:marBottom w:val="0"/>
                          <w:divBdr>
                            <w:top w:val="none" w:sz="0" w:space="0" w:color="auto"/>
                            <w:left w:val="none" w:sz="0" w:space="0" w:color="auto"/>
                            <w:bottom w:val="none" w:sz="0" w:space="0" w:color="auto"/>
                            <w:right w:val="none" w:sz="0" w:space="0" w:color="auto"/>
                          </w:divBdr>
                          <w:divsChild>
                            <w:div w:id="40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dwards1031@btinternet.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wiltshier@derby.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dc:creator>
  <cp:lastModifiedBy>Knowhow</cp:lastModifiedBy>
  <cp:revision>2</cp:revision>
  <dcterms:created xsi:type="dcterms:W3CDTF">2013-09-16T20:35:00Z</dcterms:created>
  <dcterms:modified xsi:type="dcterms:W3CDTF">2013-09-16T20:35:00Z</dcterms:modified>
</cp:coreProperties>
</file>