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3E196" w14:textId="77777777" w:rsidR="00B36BA8" w:rsidRPr="00BF6F6A" w:rsidRDefault="00B36BA8" w:rsidP="003B4F8D">
      <w:pPr>
        <w:ind w:right="84"/>
        <w:jc w:val="center"/>
        <w:rPr>
          <w:rFonts w:eastAsia="Calibri"/>
          <w:b/>
          <w:bCs/>
        </w:rPr>
      </w:pPr>
      <w:bookmarkStart w:id="0" w:name="_Hlk164441391"/>
    </w:p>
    <w:p w14:paraId="36589B7B" w14:textId="77777777" w:rsidR="00B36BA8" w:rsidRPr="00BF6F6A" w:rsidRDefault="00B36BA8" w:rsidP="003B4F8D">
      <w:pPr>
        <w:ind w:right="84"/>
        <w:jc w:val="center"/>
        <w:rPr>
          <w:rFonts w:eastAsia="Calibri"/>
          <w:b/>
          <w:bCs/>
        </w:rPr>
      </w:pPr>
    </w:p>
    <w:p w14:paraId="7FF2BB37" w14:textId="7AF223E9" w:rsidR="00B750C3" w:rsidRPr="00BF6F6A" w:rsidRDefault="00D3151B" w:rsidP="003B4F8D">
      <w:pPr>
        <w:ind w:right="84"/>
        <w:jc w:val="center"/>
        <w:rPr>
          <w:rFonts w:eastAsia="Calibri"/>
          <w:b/>
          <w:bCs/>
        </w:rPr>
      </w:pPr>
      <w:r w:rsidRPr="00BF6F6A">
        <w:rPr>
          <w:rFonts w:eastAsia="Calibri"/>
          <w:b/>
          <w:bCs/>
        </w:rPr>
        <w:t>I</w:t>
      </w:r>
      <w:r w:rsidR="00F62635" w:rsidRPr="00BF6F6A">
        <w:rPr>
          <w:rFonts w:eastAsia="Calibri"/>
          <w:b/>
          <w:bCs/>
        </w:rPr>
        <w:t>nsights</w:t>
      </w:r>
      <w:r w:rsidRPr="00BF6F6A">
        <w:rPr>
          <w:rFonts w:eastAsia="Calibri"/>
          <w:b/>
          <w:bCs/>
        </w:rPr>
        <w:t xml:space="preserve"> </w:t>
      </w:r>
      <w:r w:rsidR="000B796F" w:rsidRPr="00BF6F6A">
        <w:rPr>
          <w:rFonts w:eastAsia="Calibri"/>
          <w:b/>
          <w:bCs/>
        </w:rPr>
        <w:t>into</w:t>
      </w:r>
      <w:r w:rsidR="0059123B" w:rsidRPr="00BF6F6A">
        <w:rPr>
          <w:rFonts w:eastAsia="Calibri"/>
          <w:b/>
          <w:bCs/>
        </w:rPr>
        <w:t xml:space="preserve"> </w:t>
      </w:r>
      <w:r w:rsidR="001B5C1D" w:rsidRPr="00BF6F6A">
        <w:rPr>
          <w:rFonts w:eastAsia="Calibri"/>
          <w:b/>
          <w:bCs/>
        </w:rPr>
        <w:t xml:space="preserve">the use of </w:t>
      </w:r>
      <w:r w:rsidR="0059123B" w:rsidRPr="00BF6F6A">
        <w:rPr>
          <w:rFonts w:eastAsia="Calibri"/>
          <w:b/>
          <w:bCs/>
        </w:rPr>
        <w:t xml:space="preserve">GRESB </w:t>
      </w:r>
      <w:r w:rsidR="00F62635" w:rsidRPr="00BF6F6A">
        <w:rPr>
          <w:rFonts w:eastAsia="Calibri"/>
          <w:b/>
          <w:bCs/>
        </w:rPr>
        <w:t>as</w:t>
      </w:r>
      <w:r w:rsidR="0059123B" w:rsidRPr="00BF6F6A">
        <w:rPr>
          <w:rFonts w:eastAsia="Calibri"/>
          <w:b/>
          <w:bCs/>
        </w:rPr>
        <w:t xml:space="preserve"> </w:t>
      </w:r>
      <w:r w:rsidR="00F62635" w:rsidRPr="00BF6F6A">
        <w:rPr>
          <w:rFonts w:eastAsia="Calibri"/>
          <w:b/>
          <w:bCs/>
        </w:rPr>
        <w:t>a</w:t>
      </w:r>
      <w:r w:rsidR="008D4BDC" w:rsidRPr="00BF6F6A">
        <w:rPr>
          <w:rFonts w:eastAsia="Calibri"/>
          <w:b/>
          <w:bCs/>
        </w:rPr>
        <w:t>n</w:t>
      </w:r>
      <w:r w:rsidR="0059123B" w:rsidRPr="00BF6F6A">
        <w:rPr>
          <w:rFonts w:eastAsia="Calibri"/>
          <w:b/>
          <w:bCs/>
        </w:rPr>
        <w:t xml:space="preserve"> </w:t>
      </w:r>
      <w:r w:rsidR="00850C15" w:rsidRPr="00BF6F6A">
        <w:rPr>
          <w:rFonts w:eastAsia="Calibri"/>
          <w:b/>
          <w:bCs/>
        </w:rPr>
        <w:t xml:space="preserve">ESG </w:t>
      </w:r>
      <w:r w:rsidR="0059123B" w:rsidRPr="00BF6F6A">
        <w:rPr>
          <w:rFonts w:eastAsia="Calibri"/>
          <w:b/>
          <w:bCs/>
        </w:rPr>
        <w:t>B</w:t>
      </w:r>
      <w:r w:rsidR="00894408" w:rsidRPr="00BF6F6A">
        <w:rPr>
          <w:rFonts w:eastAsia="Calibri"/>
          <w:b/>
          <w:bCs/>
        </w:rPr>
        <w:t>enchmarking</w:t>
      </w:r>
      <w:r w:rsidR="0059123B" w:rsidRPr="00BF6F6A">
        <w:rPr>
          <w:rFonts w:eastAsia="Calibri"/>
          <w:b/>
          <w:bCs/>
        </w:rPr>
        <w:t xml:space="preserve"> T</w:t>
      </w:r>
      <w:r w:rsidR="00894408" w:rsidRPr="00BF6F6A">
        <w:rPr>
          <w:rFonts w:eastAsia="Calibri"/>
          <w:b/>
          <w:bCs/>
        </w:rPr>
        <w:t>ool</w:t>
      </w:r>
    </w:p>
    <w:bookmarkEnd w:id="0"/>
    <w:p w14:paraId="2239B7D7" w14:textId="77777777" w:rsidR="000B796F" w:rsidRPr="00BF6F6A" w:rsidRDefault="000B796F" w:rsidP="003B4F8D">
      <w:pPr>
        <w:jc w:val="both"/>
        <w:rPr>
          <w:b/>
          <w:bCs/>
        </w:rPr>
      </w:pPr>
    </w:p>
    <w:p w14:paraId="6D28E777" w14:textId="77777777" w:rsidR="00645BF3" w:rsidRPr="00BF6F6A" w:rsidRDefault="00645BF3" w:rsidP="00645BF3">
      <w:pPr>
        <w:ind w:right="84"/>
        <w:jc w:val="center"/>
        <w:rPr>
          <w:rFonts w:eastAsia="Calibri"/>
          <w:b/>
          <w:bCs/>
        </w:rPr>
      </w:pPr>
      <w:r>
        <w:rPr>
          <w:rFonts w:eastAsia="Calibri"/>
          <w:b/>
          <w:bCs/>
        </w:rPr>
        <w:t>4 October 2024</w:t>
      </w:r>
    </w:p>
    <w:p w14:paraId="51746C49" w14:textId="77777777" w:rsidR="00B36BA8" w:rsidRPr="00BF6F6A" w:rsidRDefault="00B36BA8" w:rsidP="003B4F8D">
      <w:pPr>
        <w:jc w:val="both"/>
        <w:rPr>
          <w:b/>
          <w:bCs/>
        </w:rPr>
      </w:pPr>
    </w:p>
    <w:p w14:paraId="7A9FEC48" w14:textId="77777777" w:rsidR="00B36BA8" w:rsidRPr="00BF6F6A" w:rsidRDefault="00B36BA8" w:rsidP="003B4F8D">
      <w:pPr>
        <w:jc w:val="both"/>
        <w:rPr>
          <w:b/>
          <w:bCs/>
        </w:rPr>
      </w:pPr>
    </w:p>
    <w:p w14:paraId="184E9910" w14:textId="77777777" w:rsidR="00B36BA8" w:rsidRPr="00BF6F6A" w:rsidRDefault="00B36BA8" w:rsidP="003B4F8D">
      <w:pPr>
        <w:jc w:val="both"/>
        <w:rPr>
          <w:b/>
          <w:bCs/>
        </w:rPr>
      </w:pPr>
    </w:p>
    <w:p w14:paraId="576AE80D" w14:textId="750B1576" w:rsidR="00CF452B" w:rsidRPr="00BF6F6A" w:rsidRDefault="00CF452B" w:rsidP="003B4F8D">
      <w:pPr>
        <w:jc w:val="both"/>
        <w:rPr>
          <w:b/>
          <w:bCs/>
        </w:rPr>
      </w:pPr>
      <w:bookmarkStart w:id="1" w:name="_Hlk170301561"/>
      <w:r w:rsidRPr="00BF6F6A">
        <w:rPr>
          <w:b/>
          <w:bCs/>
        </w:rPr>
        <w:t>Abstract</w:t>
      </w:r>
    </w:p>
    <w:p w14:paraId="2DF3F177" w14:textId="77777777" w:rsidR="00B36BA8" w:rsidRPr="00BF6F6A" w:rsidRDefault="00B36BA8" w:rsidP="003B4F8D">
      <w:pPr>
        <w:jc w:val="both"/>
        <w:rPr>
          <w:b/>
          <w:bCs/>
        </w:rPr>
      </w:pPr>
    </w:p>
    <w:p w14:paraId="18514D1E" w14:textId="200E9291" w:rsidR="003902FF" w:rsidRPr="00BF6F6A" w:rsidRDefault="003902FF" w:rsidP="003B4F8D">
      <w:pPr>
        <w:jc w:val="both"/>
        <w:rPr>
          <w:b/>
          <w:bCs/>
        </w:rPr>
      </w:pPr>
      <w:r w:rsidRPr="00BF6F6A">
        <w:rPr>
          <w:b/>
          <w:bCs/>
        </w:rPr>
        <w:t>Purpose</w:t>
      </w:r>
      <w:r w:rsidR="00D23322" w:rsidRPr="00BF6F6A">
        <w:rPr>
          <w:b/>
          <w:bCs/>
        </w:rPr>
        <w:t xml:space="preserve"> </w:t>
      </w:r>
      <w:r w:rsidR="00D23322" w:rsidRPr="00BF6F6A">
        <w:t xml:space="preserve">- </w:t>
      </w:r>
      <w:r w:rsidRPr="00BF6F6A">
        <w:t xml:space="preserve">Sustainability practices and reporting have consistently evolved over the years with trends towards more holistic approaches </w:t>
      </w:r>
      <w:r w:rsidR="00502505">
        <w:t>with respect to</w:t>
      </w:r>
      <w:r w:rsidR="008D4BDC" w:rsidRPr="00BF6F6A">
        <w:t xml:space="preserve"> </w:t>
      </w:r>
      <w:r w:rsidRPr="00BF6F6A">
        <w:t xml:space="preserve">environmental, social, and corporate governance (ESG). In the real estate sector over the last decade, GRESB </w:t>
      </w:r>
      <w:r w:rsidR="009D4067" w:rsidRPr="00BF6F6A">
        <w:t xml:space="preserve">(formerly known as Global Real Estate Sustainability Benchmark) </w:t>
      </w:r>
      <w:r w:rsidRPr="00BF6F6A">
        <w:t>has become the leading global ESG benchmark</w:t>
      </w:r>
      <w:r w:rsidR="002B6C0F">
        <w:t>ing tool</w:t>
      </w:r>
      <w:r w:rsidRPr="00BF6F6A">
        <w:t xml:space="preserve"> </w:t>
      </w:r>
      <w:r w:rsidR="00F75A9B" w:rsidRPr="00BF6F6A">
        <w:t>for</w:t>
      </w:r>
      <w:r w:rsidRPr="00BF6F6A">
        <w:t xml:space="preserve"> real asset investments. </w:t>
      </w:r>
      <w:r w:rsidR="00502505">
        <w:t>However, it</w:t>
      </w:r>
      <w:r w:rsidR="00F75A9B" w:rsidRPr="00BF6F6A">
        <w:t xml:space="preserve"> has attracted </w:t>
      </w:r>
      <w:r w:rsidRPr="00BF6F6A">
        <w:t>limited research</w:t>
      </w:r>
      <w:r w:rsidR="00F64296" w:rsidRPr="00BF6F6A">
        <w:t>,</w:t>
      </w:r>
      <w:r w:rsidR="00CF452B" w:rsidRPr="00BF6F6A">
        <w:t xml:space="preserve"> and this </w:t>
      </w:r>
      <w:r w:rsidR="004C6044">
        <w:t>underpins</w:t>
      </w:r>
      <w:r w:rsidR="004C6044" w:rsidRPr="00BF6F6A">
        <w:t xml:space="preserve"> </w:t>
      </w:r>
      <w:r w:rsidR="002B6C0F">
        <w:t xml:space="preserve">this works’ </w:t>
      </w:r>
      <w:r w:rsidR="004C6044">
        <w:t>motivation</w:t>
      </w:r>
      <w:r w:rsidR="004C6044" w:rsidRPr="00BF6F6A">
        <w:t xml:space="preserve"> </w:t>
      </w:r>
      <w:r w:rsidR="00F75A9B" w:rsidRPr="00BF6F6A">
        <w:t xml:space="preserve">for the exploration of the </w:t>
      </w:r>
      <w:r w:rsidRPr="00BF6F6A">
        <w:t>perspectives of real estate stakeholders relating to the uptake and use of GRESB.</w:t>
      </w:r>
    </w:p>
    <w:p w14:paraId="1A75EB05" w14:textId="747292E8" w:rsidR="003902FF" w:rsidRPr="00BF6F6A" w:rsidRDefault="003902FF" w:rsidP="003B4F8D">
      <w:pPr>
        <w:jc w:val="both"/>
        <w:rPr>
          <w:b/>
          <w:bCs/>
        </w:rPr>
      </w:pPr>
      <w:r w:rsidRPr="00BF6F6A">
        <w:rPr>
          <w:b/>
          <w:bCs/>
        </w:rPr>
        <w:t>Design/methodology/approach</w:t>
      </w:r>
      <w:r w:rsidR="00D23322" w:rsidRPr="00BF6F6A">
        <w:rPr>
          <w:b/>
          <w:bCs/>
        </w:rPr>
        <w:t xml:space="preserve"> </w:t>
      </w:r>
      <w:r w:rsidR="00D23322" w:rsidRPr="00BF6F6A">
        <w:t xml:space="preserve">- </w:t>
      </w:r>
      <w:r w:rsidRPr="00BF6F6A">
        <w:t xml:space="preserve">The approach used in this study is qualitative in nature, adopting a phenomenological research design to capture the essence of the lived experiences of purposely sampled participants. This is done through </w:t>
      </w:r>
      <w:r w:rsidR="00502505">
        <w:t>an i</w:t>
      </w:r>
      <w:r w:rsidR="00F75A9B" w:rsidRPr="00BF6F6A">
        <w:t xml:space="preserve">nterpretative </w:t>
      </w:r>
      <w:r w:rsidR="00502505">
        <w:t>p</w:t>
      </w:r>
      <w:r w:rsidR="00F75A9B" w:rsidRPr="00BF6F6A">
        <w:t xml:space="preserve">henomenological </w:t>
      </w:r>
      <w:r w:rsidR="00502505">
        <w:t>a</w:t>
      </w:r>
      <w:r w:rsidR="00F75A9B" w:rsidRPr="00BF6F6A">
        <w:t>nalysis of</w:t>
      </w:r>
      <w:r w:rsidRPr="00BF6F6A">
        <w:t xml:space="preserve"> semi-structured interviews. </w:t>
      </w:r>
    </w:p>
    <w:p w14:paraId="5EA4BB73" w14:textId="25C30DF5" w:rsidR="0024044E" w:rsidRPr="00BF6F6A" w:rsidRDefault="003902FF" w:rsidP="003B4F8D">
      <w:pPr>
        <w:jc w:val="both"/>
        <w:rPr>
          <w:b/>
          <w:bCs/>
        </w:rPr>
      </w:pPr>
      <w:r w:rsidRPr="00BF6F6A">
        <w:rPr>
          <w:b/>
          <w:bCs/>
        </w:rPr>
        <w:t>Findings</w:t>
      </w:r>
      <w:r w:rsidR="00D23322" w:rsidRPr="00BF6F6A">
        <w:rPr>
          <w:b/>
          <w:bCs/>
        </w:rPr>
        <w:t xml:space="preserve"> </w:t>
      </w:r>
      <w:r w:rsidR="00D23322" w:rsidRPr="00BF6F6A">
        <w:t xml:space="preserve">- </w:t>
      </w:r>
      <w:r w:rsidR="0024044E" w:rsidRPr="00BF6F6A">
        <w:t>L</w:t>
      </w:r>
      <w:r w:rsidR="004858C2" w:rsidRPr="00BF6F6A">
        <w:t>egislation</w:t>
      </w:r>
      <w:r w:rsidR="0024044E" w:rsidRPr="00BF6F6A">
        <w:t xml:space="preserve">, </w:t>
      </w:r>
      <w:r w:rsidR="004858C2" w:rsidRPr="00BF6F6A">
        <w:t xml:space="preserve">regulation </w:t>
      </w:r>
      <w:r w:rsidR="0024044E" w:rsidRPr="00BF6F6A">
        <w:t>and</w:t>
      </w:r>
      <w:r w:rsidR="004858C2" w:rsidRPr="00BF6F6A">
        <w:t xml:space="preserve"> risk management </w:t>
      </w:r>
      <w:r w:rsidR="0024044E" w:rsidRPr="00BF6F6A">
        <w:t xml:space="preserve">are </w:t>
      </w:r>
      <w:r w:rsidR="004858C2" w:rsidRPr="00BF6F6A">
        <w:t xml:space="preserve">the main motivations for engaging with </w:t>
      </w:r>
      <w:r w:rsidR="00CF452B" w:rsidRPr="00BF6F6A">
        <w:t>ESG-related</w:t>
      </w:r>
      <w:r w:rsidR="004858C2" w:rsidRPr="00BF6F6A">
        <w:t xml:space="preserve"> issues. The main benefit of GRESB </w:t>
      </w:r>
      <w:r w:rsidR="0024044E" w:rsidRPr="00BF6F6A">
        <w:t>is</w:t>
      </w:r>
      <w:r w:rsidR="004858C2" w:rsidRPr="00BF6F6A">
        <w:t xml:space="preserve"> benchmarking,</w:t>
      </w:r>
      <w:r w:rsidR="0024044E" w:rsidRPr="00BF6F6A">
        <w:t xml:space="preserve"> while the main </w:t>
      </w:r>
      <w:r w:rsidR="00CF452B" w:rsidRPr="00BF6F6A">
        <w:t>weakness</w:t>
      </w:r>
      <w:r w:rsidR="0024044E" w:rsidRPr="00BF6F6A">
        <w:t xml:space="preserve">es </w:t>
      </w:r>
      <w:r w:rsidR="00502505">
        <w:t>lie</w:t>
      </w:r>
      <w:r w:rsidR="00502505" w:rsidRPr="00BF6F6A">
        <w:t xml:space="preserve"> </w:t>
      </w:r>
      <w:r w:rsidR="0024044E" w:rsidRPr="00BF6F6A">
        <w:t xml:space="preserve">in </w:t>
      </w:r>
      <w:r w:rsidR="008D4BDC" w:rsidRPr="00BF6F6A">
        <w:t xml:space="preserve">the </w:t>
      </w:r>
      <w:r w:rsidR="004858C2" w:rsidRPr="00BF6F6A">
        <w:t xml:space="preserve">data collection and the </w:t>
      </w:r>
      <w:r w:rsidR="0024044E" w:rsidRPr="00BF6F6A">
        <w:t xml:space="preserve">undeveloped </w:t>
      </w:r>
      <w:r w:rsidR="004858C2" w:rsidRPr="00BF6F6A">
        <w:t>social component</w:t>
      </w:r>
      <w:r w:rsidR="0024044E" w:rsidRPr="00BF6F6A">
        <w:t xml:space="preserve">. Within data, the major challenges are observed for </w:t>
      </w:r>
      <w:r w:rsidR="004858C2" w:rsidRPr="00BF6F6A">
        <w:t xml:space="preserve">the transparency of performance data and </w:t>
      </w:r>
      <w:r w:rsidR="0024044E" w:rsidRPr="00BF6F6A">
        <w:t>overreliance on</w:t>
      </w:r>
      <w:r w:rsidR="004858C2" w:rsidRPr="00BF6F6A">
        <w:t xml:space="preserve"> policies </w:t>
      </w:r>
      <w:r w:rsidR="0024044E" w:rsidRPr="00BF6F6A">
        <w:t xml:space="preserve">instead </w:t>
      </w:r>
      <w:r w:rsidR="004279D5" w:rsidRPr="00BF6F6A">
        <w:t xml:space="preserve">of </w:t>
      </w:r>
      <w:r w:rsidR="004858C2" w:rsidRPr="00BF6F6A">
        <w:t xml:space="preserve">performance. </w:t>
      </w:r>
      <w:r w:rsidR="0024044E" w:rsidRPr="00BF6F6A">
        <w:t xml:space="preserve">GRESB would benefit from </w:t>
      </w:r>
      <w:r w:rsidR="00502505">
        <w:t xml:space="preserve">the </w:t>
      </w:r>
      <w:r w:rsidR="0024044E" w:rsidRPr="00BF6F6A">
        <w:t>inclu</w:t>
      </w:r>
      <w:r w:rsidR="00502505">
        <w:t>sion of</w:t>
      </w:r>
      <w:r w:rsidR="004C6044">
        <w:t xml:space="preserve"> </w:t>
      </w:r>
      <w:r w:rsidR="00502505">
        <w:t xml:space="preserve">(1) </w:t>
      </w:r>
      <w:r w:rsidR="0024044E" w:rsidRPr="00BF6F6A">
        <w:t>more detailed sustainability benchmarks relating to social and governance components</w:t>
      </w:r>
      <w:r w:rsidR="002B6C0F">
        <w:t>,</w:t>
      </w:r>
      <w:r w:rsidR="0024044E" w:rsidRPr="00BF6F6A">
        <w:t xml:space="preserve"> and </w:t>
      </w:r>
      <w:r w:rsidR="00502505">
        <w:t>(2)</w:t>
      </w:r>
      <w:r w:rsidR="0024044E" w:rsidRPr="00BF6F6A">
        <w:t xml:space="preserve"> social value metric</w:t>
      </w:r>
      <w:r w:rsidR="00502505">
        <w:t>s</w:t>
      </w:r>
      <w:r w:rsidR="0024044E" w:rsidRPr="00BF6F6A">
        <w:t xml:space="preserve"> in their overall assessment.</w:t>
      </w:r>
    </w:p>
    <w:p w14:paraId="0BD0B949" w14:textId="44233D07" w:rsidR="0024044E" w:rsidRPr="00BF6F6A" w:rsidRDefault="0024044E" w:rsidP="003B4F8D">
      <w:pPr>
        <w:jc w:val="both"/>
        <w:rPr>
          <w:b/>
          <w:bCs/>
        </w:rPr>
      </w:pPr>
      <w:r w:rsidRPr="00BF6F6A">
        <w:rPr>
          <w:b/>
          <w:bCs/>
        </w:rPr>
        <w:t>Practical implications</w:t>
      </w:r>
      <w:r w:rsidR="00D23322" w:rsidRPr="00BF6F6A">
        <w:rPr>
          <w:b/>
          <w:bCs/>
        </w:rPr>
        <w:t xml:space="preserve"> </w:t>
      </w:r>
      <w:r w:rsidR="00D23322" w:rsidRPr="00BF6F6A">
        <w:t xml:space="preserve">- </w:t>
      </w:r>
      <w:r w:rsidRPr="00BF6F6A">
        <w:t>P</w:t>
      </w:r>
      <w:r w:rsidR="004858C2" w:rsidRPr="00BF6F6A">
        <w:t xml:space="preserve">olicymakers </w:t>
      </w:r>
      <w:r w:rsidRPr="00BF6F6A">
        <w:t xml:space="preserve">need </w:t>
      </w:r>
      <w:r w:rsidR="004858C2" w:rsidRPr="00BF6F6A">
        <w:t xml:space="preserve">to develop </w:t>
      </w:r>
      <w:r w:rsidRPr="00BF6F6A">
        <w:t xml:space="preserve">or support </w:t>
      </w:r>
      <w:r w:rsidR="004858C2" w:rsidRPr="00BF6F6A">
        <w:t>globally recognized reporting standards to increase the quality, accuracy, and comparability of ESG information</w:t>
      </w:r>
      <w:r w:rsidRPr="00BF6F6A">
        <w:t xml:space="preserve">. </w:t>
      </w:r>
    </w:p>
    <w:p w14:paraId="3724D54B" w14:textId="0CC3A14A" w:rsidR="003902FF" w:rsidRPr="00BF6F6A" w:rsidRDefault="003902FF" w:rsidP="004F7B84">
      <w:pPr>
        <w:tabs>
          <w:tab w:val="left" w:pos="5812"/>
        </w:tabs>
        <w:jc w:val="both"/>
        <w:rPr>
          <w:b/>
          <w:bCs/>
        </w:rPr>
      </w:pPr>
      <w:r w:rsidRPr="00BF6F6A">
        <w:rPr>
          <w:b/>
          <w:bCs/>
        </w:rPr>
        <w:t>Originality</w:t>
      </w:r>
      <w:r w:rsidR="00D23322" w:rsidRPr="00BF6F6A">
        <w:rPr>
          <w:b/>
          <w:bCs/>
        </w:rPr>
        <w:t xml:space="preserve"> </w:t>
      </w:r>
      <w:r w:rsidR="002B6C0F">
        <w:t>-</w:t>
      </w:r>
      <w:r w:rsidR="00D23322" w:rsidRPr="00BF6F6A">
        <w:t xml:space="preserve"> </w:t>
      </w:r>
      <w:r w:rsidR="004279D5" w:rsidRPr="00BF6F6A">
        <w:t>Th</w:t>
      </w:r>
      <w:r w:rsidR="004C6044">
        <w:t>is is the</w:t>
      </w:r>
      <w:r w:rsidR="004279D5" w:rsidRPr="00BF6F6A">
        <w:t xml:space="preserve"> f</w:t>
      </w:r>
      <w:r w:rsidRPr="00BF6F6A">
        <w:t>i</w:t>
      </w:r>
      <w:r w:rsidR="00707A6D" w:rsidRPr="00BF6F6A">
        <w:t>r</w:t>
      </w:r>
      <w:r w:rsidRPr="00BF6F6A">
        <w:t xml:space="preserve">st study on ESG reporting </w:t>
      </w:r>
      <w:r w:rsidR="00707A6D" w:rsidRPr="00BF6F6A">
        <w:t>using</w:t>
      </w:r>
      <w:r w:rsidRPr="00BF6F6A">
        <w:t xml:space="preserve"> a phenomenological research design</w:t>
      </w:r>
      <w:r w:rsidR="00CF452B" w:rsidRPr="00BF6F6A">
        <w:t>.</w:t>
      </w:r>
    </w:p>
    <w:p w14:paraId="403473C0" w14:textId="77777777" w:rsidR="00CF452B" w:rsidRPr="00BF6F6A" w:rsidRDefault="00CF452B" w:rsidP="003B4F8D"/>
    <w:p w14:paraId="50BEFD5B" w14:textId="20F1C105" w:rsidR="005D18D4" w:rsidRPr="00BF6F6A" w:rsidRDefault="009B6432" w:rsidP="00252A44">
      <w:pPr>
        <w:pStyle w:val="Heading1"/>
        <w:tabs>
          <w:tab w:val="center" w:pos="1451"/>
        </w:tabs>
        <w:spacing w:before="0" w:after="0"/>
        <w:ind w:left="-15"/>
        <w:rPr>
          <w:rFonts w:eastAsia="Calibri"/>
          <w:sz w:val="34"/>
          <w:szCs w:val="22"/>
        </w:rPr>
      </w:pPr>
      <w:r w:rsidRPr="00BF6F6A">
        <w:br w:type="column"/>
      </w:r>
      <w:bookmarkStart w:id="2" w:name="_Toc99882212"/>
      <w:r w:rsidR="0024044E" w:rsidRPr="00BF6F6A">
        <w:rPr>
          <w:rFonts w:eastAsia="Calibri" w:cs="Times New Roman"/>
          <w:b w:val="0"/>
          <w:sz w:val="34"/>
          <w:szCs w:val="22"/>
          <w:u w:val="none"/>
        </w:rPr>
        <w:lastRenderedPageBreak/>
        <w:t xml:space="preserve">1. </w:t>
      </w:r>
      <w:r w:rsidR="00A82E53" w:rsidRPr="00BF6F6A">
        <w:rPr>
          <w:rFonts w:eastAsia="Calibri" w:cs="Times New Roman"/>
          <w:b w:val="0"/>
          <w:sz w:val="34"/>
          <w:szCs w:val="22"/>
          <w:u w:val="none"/>
        </w:rPr>
        <w:t>Introduction</w:t>
      </w:r>
      <w:bookmarkEnd w:id="2"/>
    </w:p>
    <w:p w14:paraId="28B0A696" w14:textId="15F8FCE7" w:rsidR="00524BF3" w:rsidRPr="00BF6F6A" w:rsidRDefault="007E6212" w:rsidP="003B4F8D">
      <w:pPr>
        <w:jc w:val="both"/>
      </w:pPr>
      <w:r w:rsidRPr="00BF6F6A">
        <w:t>To</w:t>
      </w:r>
      <w:r w:rsidR="006B50AB" w:rsidRPr="00BF6F6A">
        <w:t xml:space="preserve"> </w:t>
      </w:r>
      <w:r w:rsidR="00D27599" w:rsidRPr="00BF6F6A">
        <w:t>transition</w:t>
      </w:r>
      <w:r w:rsidR="00F53257" w:rsidRPr="00BF6F6A">
        <w:t xml:space="preserve"> to a </w:t>
      </w:r>
      <w:r w:rsidRPr="00BF6F6A">
        <w:t xml:space="preserve">more </w:t>
      </w:r>
      <w:r w:rsidR="00F53257" w:rsidRPr="00BF6F6A">
        <w:t>sustainable world</w:t>
      </w:r>
      <w:r w:rsidR="006B50AB" w:rsidRPr="00BF6F6A">
        <w:t xml:space="preserve">, the </w:t>
      </w:r>
      <w:r w:rsidR="00F53257" w:rsidRPr="00BF6F6A">
        <w:t xml:space="preserve">international community </w:t>
      </w:r>
      <w:r w:rsidR="00F75A9B" w:rsidRPr="00BF6F6A">
        <w:t xml:space="preserve">is aiming for </w:t>
      </w:r>
      <w:r w:rsidR="00B451E1" w:rsidRPr="00BF6F6A">
        <w:t>net-</w:t>
      </w:r>
      <w:r w:rsidR="00E02B20" w:rsidRPr="00BF6F6A">
        <w:t>zero emissions by 2050 (U</w:t>
      </w:r>
      <w:r w:rsidR="00527E5E" w:rsidRPr="00BF6F6A">
        <w:t xml:space="preserve">nited </w:t>
      </w:r>
      <w:r w:rsidR="00E02B20" w:rsidRPr="00BF6F6A">
        <w:t>N</w:t>
      </w:r>
      <w:r w:rsidR="00527E5E" w:rsidRPr="00BF6F6A">
        <w:t>ations</w:t>
      </w:r>
      <w:r w:rsidR="00E02B20" w:rsidRPr="00BF6F6A">
        <w:t>, 2020).</w:t>
      </w:r>
      <w:r w:rsidR="00F53257" w:rsidRPr="00BF6F6A">
        <w:t xml:space="preserve"> </w:t>
      </w:r>
      <w:r w:rsidR="003B6C26" w:rsidRPr="00BF6F6A">
        <w:t xml:space="preserve">Sustainable investment is </w:t>
      </w:r>
      <w:r w:rsidR="00F75A9B" w:rsidRPr="00BF6F6A">
        <w:t>necessary if</w:t>
      </w:r>
      <w:r w:rsidR="003B6C26" w:rsidRPr="00BF6F6A">
        <w:t xml:space="preserve"> the real estate industry </w:t>
      </w:r>
      <w:r w:rsidR="00F75A9B" w:rsidRPr="00BF6F6A">
        <w:t xml:space="preserve">is </w:t>
      </w:r>
      <w:r w:rsidR="003B6C26" w:rsidRPr="00BF6F6A">
        <w:t xml:space="preserve">to reach </w:t>
      </w:r>
      <w:r w:rsidR="008D4BDC" w:rsidRPr="00BF6F6A">
        <w:t xml:space="preserve">the </w:t>
      </w:r>
      <w:r w:rsidR="004C6044">
        <w:t xml:space="preserve">proposed current </w:t>
      </w:r>
      <w:r w:rsidR="003B6C26" w:rsidRPr="00BF6F6A">
        <w:t>climate and environmental sustainability target</w:t>
      </w:r>
      <w:r w:rsidR="001B6A02" w:rsidRPr="00BF6F6A">
        <w:t>s</w:t>
      </w:r>
      <w:r w:rsidR="003B6C26" w:rsidRPr="00BF6F6A">
        <w:t xml:space="preserve">. </w:t>
      </w:r>
      <w:bookmarkStart w:id="3" w:name="_Hlk174397369"/>
      <w:r w:rsidR="00D9783F" w:rsidRPr="00BF6F6A">
        <w:t>Thus</w:t>
      </w:r>
      <w:r w:rsidRPr="00BF6F6A">
        <w:t xml:space="preserve">, </w:t>
      </w:r>
      <w:r w:rsidR="008124A1" w:rsidRPr="00BF6F6A">
        <w:t xml:space="preserve">to </w:t>
      </w:r>
      <w:r w:rsidR="00011144" w:rsidRPr="00BF6F6A">
        <w:t xml:space="preserve">accurately </w:t>
      </w:r>
      <w:r w:rsidR="00F86922" w:rsidRPr="00BF6F6A">
        <w:t xml:space="preserve">evaluate </w:t>
      </w:r>
      <w:r w:rsidR="00BF6F6A">
        <w:t xml:space="preserve">building </w:t>
      </w:r>
      <w:r w:rsidR="00F86922" w:rsidRPr="00BF6F6A">
        <w:t>sustainability performance</w:t>
      </w:r>
      <w:r w:rsidR="004C6044">
        <w:t>,</w:t>
      </w:r>
      <w:r w:rsidR="008D4BDC" w:rsidRPr="00BF6F6A">
        <w:t xml:space="preserve"> </w:t>
      </w:r>
      <w:r w:rsidR="00BF6F6A">
        <w:t xml:space="preserve">stricter quantification </w:t>
      </w:r>
      <w:r w:rsidR="008D4BDC" w:rsidRPr="00BF6F6A">
        <w:t>requirement</w:t>
      </w:r>
      <w:r w:rsidR="00BF6F6A">
        <w:t>s are needed</w:t>
      </w:r>
      <w:r w:rsidR="00FE0952" w:rsidRPr="00BF6F6A">
        <w:t>.</w:t>
      </w:r>
    </w:p>
    <w:bookmarkEnd w:id="3"/>
    <w:p w14:paraId="5EE6148F" w14:textId="433CBE98" w:rsidR="00524BF3" w:rsidRPr="00BF6F6A" w:rsidRDefault="00524BF3" w:rsidP="00252A44">
      <w:pPr>
        <w:ind w:firstLine="720"/>
        <w:jc w:val="both"/>
      </w:pPr>
      <w:r w:rsidRPr="00BF6F6A">
        <w:t xml:space="preserve">Over the last decade, GRESB has become the leading global ESG rating tool to benchmark real asset investments, and for reporting data metrics and measures in the real estate industry. What makes GRESB different from other eco-certifications (e.g. BREEAM, LEED) is that it encompasses a holistic sustainability measurement of a company’s real asset holdings (Christensen </w:t>
      </w:r>
      <w:r w:rsidRPr="00BF6F6A">
        <w:rPr>
          <w:i/>
          <w:iCs/>
        </w:rPr>
        <w:t>et al.</w:t>
      </w:r>
      <w:r w:rsidRPr="00BF6F6A">
        <w:t xml:space="preserve">, 2018). To date, there is a scarcity of studies </w:t>
      </w:r>
      <w:r w:rsidR="00502505">
        <w:t>that</w:t>
      </w:r>
      <w:r w:rsidR="00502505" w:rsidRPr="00BF6F6A">
        <w:t xml:space="preserve"> </w:t>
      </w:r>
      <w:r w:rsidRPr="00BF6F6A">
        <w:t xml:space="preserve">focus on GRESB. </w:t>
      </w:r>
      <w:bookmarkStart w:id="4" w:name="_Hlk174397539"/>
      <w:r w:rsidRPr="00BF6F6A">
        <w:t xml:space="preserve">Therefore, </w:t>
      </w:r>
      <w:r w:rsidRPr="00BF6F6A">
        <w:rPr>
          <w:rFonts w:cs="Calibri"/>
          <w:color w:val="000000"/>
        </w:rPr>
        <w:t xml:space="preserve">this is the first known study that uses a phenomenological methodology to explore the </w:t>
      </w:r>
      <w:r w:rsidR="00502505">
        <w:rPr>
          <w:rFonts w:cs="Calibri"/>
          <w:color w:val="000000"/>
        </w:rPr>
        <w:t>lived experiences</w:t>
      </w:r>
      <w:r w:rsidRPr="00BF6F6A">
        <w:rPr>
          <w:rFonts w:cs="Calibri"/>
          <w:color w:val="000000"/>
        </w:rPr>
        <w:t xml:space="preserve"> of real estate professionals</w:t>
      </w:r>
      <w:r w:rsidR="00651F58">
        <w:rPr>
          <w:rFonts w:cs="Calibri"/>
          <w:color w:val="000000"/>
        </w:rPr>
        <w:t xml:space="preserve"> </w:t>
      </w:r>
      <w:r w:rsidRPr="00BF6F6A">
        <w:rPr>
          <w:rFonts w:cs="Calibri"/>
          <w:color w:val="000000"/>
        </w:rPr>
        <w:t>using GRESB</w:t>
      </w:r>
      <w:r w:rsidR="00651F58">
        <w:rPr>
          <w:rFonts w:cs="Calibri"/>
          <w:color w:val="000000"/>
        </w:rPr>
        <w:t>. Such exploration of the GRESB experience enables</w:t>
      </w:r>
      <w:r w:rsidR="00502505">
        <w:rPr>
          <w:rFonts w:cs="Calibri"/>
          <w:color w:val="000000"/>
        </w:rPr>
        <w:t xml:space="preserve"> </w:t>
      </w:r>
      <w:r w:rsidRPr="00BF6F6A">
        <w:rPr>
          <w:rFonts w:cs="Calibri"/>
          <w:color w:val="000000"/>
        </w:rPr>
        <w:t>identif</w:t>
      </w:r>
      <w:r w:rsidR="00651F58">
        <w:rPr>
          <w:rFonts w:cs="Calibri"/>
          <w:color w:val="000000"/>
        </w:rPr>
        <w:t>ication of</w:t>
      </w:r>
      <w:r w:rsidRPr="00BF6F6A">
        <w:rPr>
          <w:rFonts w:cs="Calibri"/>
          <w:color w:val="000000"/>
        </w:rPr>
        <w:t xml:space="preserve"> the benefits </w:t>
      </w:r>
      <w:r w:rsidRPr="00BF6F6A">
        <w:t>of adopting it as an ESG benchmarking tool.</w:t>
      </w:r>
    </w:p>
    <w:bookmarkEnd w:id="4"/>
    <w:p w14:paraId="29F03613" w14:textId="49EAAF9D" w:rsidR="005D18D4" w:rsidRPr="00BF6F6A" w:rsidRDefault="00A82CC2" w:rsidP="003B4F8D">
      <w:pPr>
        <w:ind w:firstLine="720"/>
        <w:jc w:val="both"/>
      </w:pPr>
      <w:r w:rsidRPr="00BF6F6A">
        <w:t xml:space="preserve">Many built environment </w:t>
      </w:r>
      <w:r w:rsidR="00057AD4" w:rsidRPr="00BF6F6A">
        <w:t xml:space="preserve">assessment tools </w:t>
      </w:r>
      <w:r w:rsidR="00A8401D" w:rsidRPr="00BF6F6A">
        <w:t>have</w:t>
      </w:r>
      <w:r w:rsidR="00D9783F" w:rsidRPr="00BF6F6A">
        <w:t xml:space="preserve"> been </w:t>
      </w:r>
      <w:r w:rsidR="00057AD4" w:rsidRPr="00BF6F6A">
        <w:t>designed to measure</w:t>
      </w:r>
      <w:r w:rsidRPr="00BF6F6A">
        <w:t xml:space="preserve"> </w:t>
      </w:r>
      <w:r w:rsidR="00502505">
        <w:t>projects'</w:t>
      </w:r>
      <w:r w:rsidR="00502505" w:rsidRPr="00BF6F6A">
        <w:t xml:space="preserve"> </w:t>
      </w:r>
      <w:r w:rsidRPr="00BF6F6A">
        <w:t xml:space="preserve">environmental and/or </w:t>
      </w:r>
      <w:r w:rsidR="00057AD4" w:rsidRPr="00BF6F6A">
        <w:t>sustainability</w:t>
      </w:r>
      <w:r w:rsidRPr="00BF6F6A">
        <w:t xml:space="preserve"> performance</w:t>
      </w:r>
      <w:r w:rsidR="009F105C" w:rsidRPr="00BF6F6A">
        <w:t xml:space="preserve">, with the </w:t>
      </w:r>
      <w:r w:rsidR="0023435C" w:rsidRPr="00BF6F6A">
        <w:t>ultimate goal</w:t>
      </w:r>
      <w:r w:rsidR="00EF6250" w:rsidRPr="00BF6F6A">
        <w:t xml:space="preserve"> </w:t>
      </w:r>
      <w:r w:rsidR="00A8401D" w:rsidRPr="00BF6F6A">
        <w:t>of improving</w:t>
      </w:r>
      <w:r w:rsidR="00EF6250" w:rsidRPr="00BF6F6A">
        <w:t xml:space="preserve"> buildings</w:t>
      </w:r>
      <w:r w:rsidRPr="00BF6F6A">
        <w:t xml:space="preserve"> and infrastructure</w:t>
      </w:r>
      <w:r w:rsidR="00EF6250" w:rsidRPr="00BF6F6A">
        <w:t xml:space="preserve"> </w:t>
      </w:r>
      <w:r w:rsidR="009626FE" w:rsidRPr="00BF6F6A">
        <w:t>(</w:t>
      </w:r>
      <w:r w:rsidR="009626FE" w:rsidRPr="00BF6F6A">
        <w:rPr>
          <w:shd w:val="clear" w:color="auto" w:fill="FFFFFF"/>
        </w:rPr>
        <w:t>Euromoney, 2020)</w:t>
      </w:r>
      <w:r w:rsidR="00111BFF" w:rsidRPr="00BF6F6A">
        <w:t>.</w:t>
      </w:r>
      <w:r w:rsidR="00AE05DB" w:rsidRPr="00BF6F6A">
        <w:t xml:space="preserve"> </w:t>
      </w:r>
      <w:r w:rsidR="00D9783F" w:rsidRPr="00BF6F6A">
        <w:t>Se</w:t>
      </w:r>
      <w:r w:rsidR="00CE3579" w:rsidRPr="00BF6F6A">
        <w:t>veral countries have developed independent certification</w:t>
      </w:r>
      <w:r w:rsidR="00E73103" w:rsidRPr="00BF6F6A">
        <w:t xml:space="preserve"> </w:t>
      </w:r>
      <w:r w:rsidR="004B6D48" w:rsidRPr="00BF6F6A">
        <w:t>g</w:t>
      </w:r>
      <w:r w:rsidR="00145690" w:rsidRPr="00BF6F6A">
        <w:t xml:space="preserve">reen </w:t>
      </w:r>
      <w:r w:rsidR="004B6D48" w:rsidRPr="00BF6F6A">
        <w:t>b</w:t>
      </w:r>
      <w:r w:rsidR="00145690" w:rsidRPr="00BF6F6A">
        <w:t xml:space="preserve">uilding </w:t>
      </w:r>
      <w:r w:rsidR="004B6D48" w:rsidRPr="00BF6F6A">
        <w:t>r</w:t>
      </w:r>
      <w:r w:rsidR="00145690" w:rsidRPr="00BF6F6A">
        <w:t xml:space="preserve">ating </w:t>
      </w:r>
      <w:r w:rsidR="004B6D48" w:rsidRPr="00BF6F6A">
        <w:t>s</w:t>
      </w:r>
      <w:r w:rsidR="00145690" w:rsidRPr="00BF6F6A">
        <w:t>ystems</w:t>
      </w:r>
      <w:r w:rsidRPr="00BF6F6A">
        <w:t>, such as</w:t>
      </w:r>
      <w:r w:rsidR="007E6212" w:rsidRPr="00BF6F6A">
        <w:t xml:space="preserve"> </w:t>
      </w:r>
      <w:r w:rsidR="00145690" w:rsidRPr="00BF6F6A">
        <w:t>BREEAM</w:t>
      </w:r>
      <w:r w:rsidR="009D4067" w:rsidRPr="00BF6F6A">
        <w:t xml:space="preserve"> (Building Research Establishment Environmental Assessment Methodology)</w:t>
      </w:r>
      <w:r w:rsidR="00013425" w:rsidRPr="00BF6F6A">
        <w:t>,</w:t>
      </w:r>
      <w:r w:rsidR="00A8401D" w:rsidRPr="00BF6F6A">
        <w:t xml:space="preserve"> CASBEE</w:t>
      </w:r>
      <w:r w:rsidR="009D4067" w:rsidRPr="00BF6F6A">
        <w:t xml:space="preserve"> (Comprehensive Assessment System for Built Environment Efficiency)</w:t>
      </w:r>
      <w:r w:rsidR="00A8401D" w:rsidRPr="00BF6F6A">
        <w:t>, Green Star, ITACA,</w:t>
      </w:r>
      <w:r w:rsidR="00013425" w:rsidRPr="00BF6F6A">
        <w:t xml:space="preserve"> LEED</w:t>
      </w:r>
      <w:r w:rsidR="001E3925" w:rsidRPr="00BF6F6A">
        <w:t xml:space="preserve"> and </w:t>
      </w:r>
      <w:r w:rsidR="00D9783F" w:rsidRPr="00BF6F6A">
        <w:t>DGNB</w:t>
      </w:r>
      <w:r w:rsidR="00013425" w:rsidRPr="00BF6F6A">
        <w:t xml:space="preserve"> </w:t>
      </w:r>
      <w:r w:rsidR="001E3925" w:rsidRPr="00BF6F6A">
        <w:t>(</w:t>
      </w:r>
      <w:r w:rsidR="008969CE" w:rsidRPr="00BF6F6A">
        <w:t xml:space="preserve">Barman, 2018; </w:t>
      </w:r>
      <w:r w:rsidR="00A8401D" w:rsidRPr="00BF6F6A">
        <w:t xml:space="preserve">Mattoni </w:t>
      </w:r>
      <w:r w:rsidR="00A8401D" w:rsidRPr="00BF6F6A">
        <w:rPr>
          <w:i/>
          <w:iCs/>
        </w:rPr>
        <w:t>et al.</w:t>
      </w:r>
      <w:r w:rsidR="00A8401D" w:rsidRPr="00BF6F6A">
        <w:t>, 2018;</w:t>
      </w:r>
      <w:r w:rsidR="001E3925" w:rsidRPr="00BF6F6A">
        <w:t xml:space="preserve"> </w:t>
      </w:r>
      <w:r w:rsidR="008969CE" w:rsidRPr="00BF6F6A">
        <w:t xml:space="preserve">Hodges </w:t>
      </w:r>
      <w:r w:rsidR="008969CE" w:rsidRPr="00BF6F6A">
        <w:rPr>
          <w:i/>
          <w:iCs/>
        </w:rPr>
        <w:t>et al.</w:t>
      </w:r>
      <w:r w:rsidR="009D4067" w:rsidRPr="00BF6F6A">
        <w:rPr>
          <w:i/>
          <w:iCs/>
        </w:rPr>
        <w:t>,</w:t>
      </w:r>
      <w:r w:rsidR="008969CE" w:rsidRPr="00BF6F6A">
        <w:t xml:space="preserve"> 2022</w:t>
      </w:r>
      <w:r w:rsidR="001E3925" w:rsidRPr="00BF6F6A">
        <w:t>)</w:t>
      </w:r>
      <w:r w:rsidRPr="00BF6F6A">
        <w:t>,</w:t>
      </w:r>
      <w:r w:rsidR="001E3925" w:rsidRPr="00BF6F6A">
        <w:t xml:space="preserve"> </w:t>
      </w:r>
      <w:r w:rsidR="00A8401D" w:rsidRPr="00BF6F6A">
        <w:t>that</w:t>
      </w:r>
      <w:r w:rsidR="007E6212" w:rsidRPr="00BF6F6A">
        <w:t xml:space="preserve"> </w:t>
      </w:r>
      <w:r w:rsidRPr="00BF6F6A">
        <w:t>address</w:t>
      </w:r>
      <w:r w:rsidR="00DD2F8A" w:rsidRPr="00BF6F6A">
        <w:t xml:space="preserve"> energy consumption and environmental impacts during </w:t>
      </w:r>
      <w:r w:rsidR="004C6044">
        <w:t xml:space="preserve">the </w:t>
      </w:r>
      <w:r w:rsidR="00DD2F8A" w:rsidRPr="00BF6F6A">
        <w:t xml:space="preserve">construction, </w:t>
      </w:r>
      <w:r w:rsidR="00B31646" w:rsidRPr="00BF6F6A">
        <w:t>management,</w:t>
      </w:r>
      <w:r w:rsidR="00DD2F8A" w:rsidRPr="00BF6F6A">
        <w:t xml:space="preserve"> and operational phases</w:t>
      </w:r>
      <w:r w:rsidR="00B31646" w:rsidRPr="00BF6F6A">
        <w:t xml:space="preserve"> of a building.</w:t>
      </w:r>
      <w:r w:rsidR="00FA0346" w:rsidRPr="00BF6F6A">
        <w:t xml:space="preserve"> </w:t>
      </w:r>
      <w:r w:rsidR="00F75A9B" w:rsidRPr="00BF6F6A">
        <w:t>They, however,</w:t>
      </w:r>
      <w:r w:rsidR="00F75A9B" w:rsidRPr="00BF6F6A" w:rsidDel="00F75A9B">
        <w:t xml:space="preserve"> </w:t>
      </w:r>
      <w:r w:rsidR="003B4F8D" w:rsidRPr="00BF6F6A">
        <w:t xml:space="preserve">rate </w:t>
      </w:r>
      <w:r w:rsidR="00D9783F" w:rsidRPr="00BF6F6A">
        <w:t>buildings in isolation</w:t>
      </w:r>
      <w:r w:rsidRPr="00BF6F6A">
        <w:t xml:space="preserve"> and do not consider sustainable </w:t>
      </w:r>
      <w:r w:rsidR="00131977" w:rsidRPr="00BF6F6A">
        <w:t xml:space="preserve">performance </w:t>
      </w:r>
      <w:r w:rsidR="007A65B8" w:rsidRPr="00BF6F6A">
        <w:t>in line with sustainable business policies</w:t>
      </w:r>
      <w:r w:rsidRPr="00BF6F6A">
        <w:t>,</w:t>
      </w:r>
      <w:r w:rsidR="007A65B8" w:rsidRPr="00BF6F6A">
        <w:t xml:space="preserve"> such as transparency, </w:t>
      </w:r>
      <w:r w:rsidR="00BA3D77" w:rsidRPr="00BF6F6A">
        <w:t xml:space="preserve">human rights, good labour </w:t>
      </w:r>
      <w:r w:rsidR="00353FFC" w:rsidRPr="00BF6F6A">
        <w:t>practices, corporate</w:t>
      </w:r>
      <w:r w:rsidR="0035136D" w:rsidRPr="00BF6F6A">
        <w:t xml:space="preserve"> </w:t>
      </w:r>
      <w:r w:rsidR="00935A61" w:rsidRPr="00BF6F6A">
        <w:t xml:space="preserve">social </w:t>
      </w:r>
      <w:r w:rsidR="00F825BB" w:rsidRPr="00BF6F6A">
        <w:t>responsibility</w:t>
      </w:r>
      <w:r w:rsidR="002965C5" w:rsidRPr="00BF6F6A">
        <w:t xml:space="preserve"> (CSR)</w:t>
      </w:r>
      <w:r w:rsidR="00F825BB" w:rsidRPr="00BF6F6A">
        <w:t>,</w:t>
      </w:r>
      <w:r w:rsidR="00BA3D77" w:rsidRPr="00BF6F6A">
        <w:t xml:space="preserve"> </w:t>
      </w:r>
      <w:r w:rsidR="00935A61" w:rsidRPr="00BF6F6A">
        <w:t>supply chain</w:t>
      </w:r>
      <w:r w:rsidRPr="00BF6F6A">
        <w:t>s</w:t>
      </w:r>
      <w:r w:rsidR="00C47769" w:rsidRPr="00BF6F6A">
        <w:t xml:space="preserve">, </w:t>
      </w:r>
      <w:r w:rsidR="007E6212" w:rsidRPr="00BF6F6A">
        <w:t>and</w:t>
      </w:r>
      <w:r w:rsidR="00353FFC" w:rsidRPr="00BF6F6A">
        <w:t xml:space="preserve"> environmental protection</w:t>
      </w:r>
      <w:r w:rsidR="007E6212" w:rsidRPr="00BF6F6A">
        <w:t>,</w:t>
      </w:r>
      <w:r w:rsidR="00353FFC" w:rsidRPr="00BF6F6A">
        <w:t xml:space="preserve"> which requires more holistic approach</w:t>
      </w:r>
      <w:r w:rsidR="007E6212" w:rsidRPr="00BF6F6A">
        <w:t xml:space="preserve">es </w:t>
      </w:r>
      <w:r w:rsidR="00D9783F" w:rsidRPr="00BF6F6A">
        <w:t>(</w:t>
      </w:r>
      <w:r w:rsidR="009626FE" w:rsidRPr="00BF6F6A">
        <w:t>D</w:t>
      </w:r>
      <w:r w:rsidR="00D9783F" w:rsidRPr="00BF6F6A">
        <w:t xml:space="preserve">e Castro </w:t>
      </w:r>
      <w:r w:rsidR="00D9783F" w:rsidRPr="00BF6F6A">
        <w:rPr>
          <w:i/>
          <w:iCs/>
        </w:rPr>
        <w:t>et al.</w:t>
      </w:r>
      <w:r w:rsidR="00D9783F" w:rsidRPr="00BF6F6A">
        <w:t>, 20</w:t>
      </w:r>
      <w:r w:rsidR="009626FE" w:rsidRPr="00BF6F6A">
        <w:t>20</w:t>
      </w:r>
      <w:r w:rsidR="00D9783F" w:rsidRPr="00BF6F6A">
        <w:t>)</w:t>
      </w:r>
      <w:r w:rsidR="00353FFC" w:rsidRPr="00BF6F6A">
        <w:t xml:space="preserve">. </w:t>
      </w:r>
    </w:p>
    <w:p w14:paraId="60DDDFB7" w14:textId="394CDEDE" w:rsidR="000A402B" w:rsidRPr="00BF6F6A" w:rsidRDefault="00A82CC2" w:rsidP="000A402B">
      <w:pPr>
        <w:ind w:firstLine="720"/>
        <w:jc w:val="both"/>
        <w:rPr>
          <w:shd w:val="clear" w:color="auto" w:fill="FFFFFF"/>
        </w:rPr>
      </w:pPr>
      <w:r w:rsidRPr="00BF6F6A">
        <w:rPr>
          <w:shd w:val="clear" w:color="auto" w:fill="FFFFFF"/>
        </w:rPr>
        <w:t>S</w:t>
      </w:r>
      <w:r w:rsidR="00666261" w:rsidRPr="00BF6F6A">
        <w:rPr>
          <w:shd w:val="clear" w:color="auto" w:fill="FFFFFF"/>
        </w:rPr>
        <w:t xml:space="preserve">ustainability reporting </w:t>
      </w:r>
      <w:r w:rsidR="003B4F8D" w:rsidRPr="00BF6F6A">
        <w:rPr>
          <w:shd w:val="clear" w:color="auto" w:fill="FFFFFF"/>
        </w:rPr>
        <w:t>includes</w:t>
      </w:r>
      <w:r w:rsidR="006A2424" w:rsidRPr="00BF6F6A">
        <w:rPr>
          <w:shd w:val="clear" w:color="auto" w:fill="FFFFFF"/>
        </w:rPr>
        <w:t xml:space="preserve"> </w:t>
      </w:r>
      <w:r w:rsidR="00666261" w:rsidRPr="00BF6F6A">
        <w:rPr>
          <w:shd w:val="clear" w:color="auto" w:fill="FFFFFF"/>
        </w:rPr>
        <w:t>CSR, socially responsible investing (SRI), sustainable development, non-financial, responsible property investment (RPI), triple bottom line, and environmental, social and governance (ESG)</w:t>
      </w:r>
      <w:r w:rsidR="006A2424" w:rsidRPr="00BF6F6A">
        <w:rPr>
          <w:shd w:val="clear" w:color="auto" w:fill="FFFFFF"/>
        </w:rPr>
        <w:t xml:space="preserve">, all different yet often </w:t>
      </w:r>
      <w:r w:rsidR="00666261" w:rsidRPr="00BF6F6A">
        <w:rPr>
          <w:shd w:val="clear" w:color="auto" w:fill="FFFFFF"/>
        </w:rPr>
        <w:t xml:space="preserve">used interchangeably (Siew </w:t>
      </w:r>
      <w:r w:rsidR="00666261" w:rsidRPr="00BF6F6A">
        <w:rPr>
          <w:i/>
          <w:iCs/>
          <w:shd w:val="clear" w:color="auto" w:fill="FFFFFF"/>
        </w:rPr>
        <w:t>et al.</w:t>
      </w:r>
      <w:r w:rsidR="00666261" w:rsidRPr="00BF6F6A">
        <w:rPr>
          <w:shd w:val="clear" w:color="auto" w:fill="FFFFFF"/>
        </w:rPr>
        <w:t>, 2013)</w:t>
      </w:r>
      <w:r w:rsidR="00666261" w:rsidRPr="00BF6F6A">
        <w:rPr>
          <w:i/>
          <w:iCs/>
          <w:shd w:val="clear" w:color="auto" w:fill="FFFFFF"/>
        </w:rPr>
        <w:t xml:space="preserve">. </w:t>
      </w:r>
      <w:r w:rsidR="00F75A9B" w:rsidRPr="00BF6F6A">
        <w:rPr>
          <w:shd w:val="clear" w:color="auto" w:fill="FFFFFF"/>
        </w:rPr>
        <w:t xml:space="preserve">The </w:t>
      </w:r>
      <w:r w:rsidR="00B931B1" w:rsidRPr="00BF6F6A">
        <w:rPr>
          <w:shd w:val="clear" w:color="auto" w:fill="FFFFFF"/>
        </w:rPr>
        <w:t>ESG criteria are a set of standards</w:t>
      </w:r>
      <w:r w:rsidR="00A10245" w:rsidRPr="00BF6F6A">
        <w:rPr>
          <w:shd w:val="clear" w:color="auto" w:fill="FFFFFF"/>
        </w:rPr>
        <w:t xml:space="preserve"> that socially </w:t>
      </w:r>
      <w:r w:rsidR="00373ABB" w:rsidRPr="00BF6F6A">
        <w:rPr>
          <w:shd w:val="clear" w:color="auto" w:fill="FFFFFF"/>
        </w:rPr>
        <w:t xml:space="preserve">aware </w:t>
      </w:r>
      <w:r w:rsidR="00A10245" w:rsidRPr="00BF6F6A">
        <w:rPr>
          <w:shd w:val="clear" w:color="auto" w:fill="FFFFFF"/>
        </w:rPr>
        <w:t xml:space="preserve">companies and investors use to </w:t>
      </w:r>
      <w:r w:rsidR="00AC34E2" w:rsidRPr="00BF6F6A">
        <w:rPr>
          <w:shd w:val="clear" w:color="auto" w:fill="FFFFFF"/>
        </w:rPr>
        <w:t xml:space="preserve">screen potential investments and practices to adopt. </w:t>
      </w:r>
      <w:r w:rsidR="00131224" w:rsidRPr="00BF6F6A">
        <w:rPr>
          <w:shd w:val="clear" w:color="auto" w:fill="FFFFFF"/>
        </w:rPr>
        <w:t xml:space="preserve">The environmental criteria </w:t>
      </w:r>
      <w:r w:rsidR="003B4F8D" w:rsidRPr="00BF6F6A">
        <w:rPr>
          <w:shd w:val="clear" w:color="auto" w:fill="FFFFFF"/>
        </w:rPr>
        <w:t>describe</w:t>
      </w:r>
      <w:r w:rsidR="00131224" w:rsidRPr="00BF6F6A">
        <w:rPr>
          <w:shd w:val="clear" w:color="auto" w:fill="FFFFFF"/>
        </w:rPr>
        <w:t xml:space="preserve"> </w:t>
      </w:r>
      <w:r w:rsidR="00DC1D2B" w:rsidRPr="00BF6F6A">
        <w:rPr>
          <w:shd w:val="clear" w:color="auto" w:fill="FFFFFF"/>
        </w:rPr>
        <w:t>the impact a company has on its surrounding</w:t>
      </w:r>
      <w:r w:rsidR="00A10596" w:rsidRPr="00BF6F6A">
        <w:rPr>
          <w:shd w:val="clear" w:color="auto" w:fill="FFFFFF"/>
        </w:rPr>
        <w:t xml:space="preserve">s; the social criteria </w:t>
      </w:r>
      <w:r w:rsidR="00F825BB" w:rsidRPr="00BF6F6A">
        <w:rPr>
          <w:shd w:val="clear" w:color="auto" w:fill="FFFFFF"/>
        </w:rPr>
        <w:t>account</w:t>
      </w:r>
      <w:r w:rsidR="00A10596" w:rsidRPr="00BF6F6A">
        <w:rPr>
          <w:shd w:val="clear" w:color="auto" w:fill="FFFFFF"/>
        </w:rPr>
        <w:t xml:space="preserve"> </w:t>
      </w:r>
      <w:r w:rsidR="005B60B7" w:rsidRPr="00BF6F6A">
        <w:rPr>
          <w:shd w:val="clear" w:color="auto" w:fill="FFFFFF"/>
        </w:rPr>
        <w:t>for how it</w:t>
      </w:r>
      <w:r w:rsidR="0047613E" w:rsidRPr="00BF6F6A">
        <w:rPr>
          <w:shd w:val="clear" w:color="auto" w:fill="FFFFFF"/>
        </w:rPr>
        <w:t xml:space="preserve"> manages relationships with </w:t>
      </w:r>
      <w:r w:rsidR="00A042F3" w:rsidRPr="00BF6F6A">
        <w:rPr>
          <w:shd w:val="clear" w:color="auto" w:fill="FFFFFF"/>
        </w:rPr>
        <w:t>people</w:t>
      </w:r>
      <w:r w:rsidR="007E6212" w:rsidRPr="00BF6F6A">
        <w:rPr>
          <w:shd w:val="clear" w:color="auto" w:fill="FFFFFF"/>
        </w:rPr>
        <w:t>, while the</w:t>
      </w:r>
      <w:r w:rsidR="00A042F3" w:rsidRPr="00BF6F6A">
        <w:rPr>
          <w:shd w:val="clear" w:color="auto" w:fill="FFFFFF"/>
        </w:rPr>
        <w:t xml:space="preserve"> governance deals </w:t>
      </w:r>
      <w:r w:rsidR="00F825BB" w:rsidRPr="00BF6F6A">
        <w:rPr>
          <w:shd w:val="clear" w:color="auto" w:fill="FFFFFF"/>
        </w:rPr>
        <w:t xml:space="preserve">with </w:t>
      </w:r>
      <w:r w:rsidR="0088704F" w:rsidRPr="00BF6F6A">
        <w:rPr>
          <w:shd w:val="clear" w:color="auto" w:fill="FFFFFF"/>
        </w:rPr>
        <w:t xml:space="preserve">how a company </w:t>
      </w:r>
      <w:r w:rsidR="004017BC" w:rsidRPr="00BF6F6A">
        <w:rPr>
          <w:shd w:val="clear" w:color="auto" w:fill="FFFFFF"/>
        </w:rPr>
        <w:t>operates</w:t>
      </w:r>
      <w:r w:rsidR="004017BC" w:rsidRPr="00BF6F6A">
        <w:t xml:space="preserve"> (</w:t>
      </w:r>
      <w:r w:rsidR="000A402B" w:rsidRPr="00BF6F6A">
        <w:t>Ribando and Bonne, 2010)</w:t>
      </w:r>
    </w:p>
    <w:p w14:paraId="5B239BEF" w14:textId="346DB2A2" w:rsidR="00927313" w:rsidRPr="00BF6F6A" w:rsidRDefault="00AE3573" w:rsidP="003B4F8D">
      <w:pPr>
        <w:ind w:firstLine="720"/>
        <w:jc w:val="both"/>
      </w:pPr>
      <w:r w:rsidRPr="00BF6F6A">
        <w:rPr>
          <w:shd w:val="clear" w:color="auto" w:fill="FFFFFF"/>
        </w:rPr>
        <w:t>The ESG benchmark universe is diverse (</w:t>
      </w:r>
      <w:r w:rsidRPr="00BF6F6A">
        <w:t xml:space="preserve">Mattoni </w:t>
      </w:r>
      <w:r w:rsidRPr="00BF6F6A">
        <w:rPr>
          <w:i/>
          <w:iCs/>
        </w:rPr>
        <w:t>et al.</w:t>
      </w:r>
      <w:r w:rsidRPr="00BF6F6A">
        <w:t>, 2018</w:t>
      </w:r>
      <w:r w:rsidRPr="00BF6F6A">
        <w:rPr>
          <w:shd w:val="clear" w:color="auto" w:fill="FFFFFF"/>
        </w:rPr>
        <w:t xml:space="preserve">) and </w:t>
      </w:r>
      <w:r w:rsidR="004C6044">
        <w:rPr>
          <w:shd w:val="clear" w:color="auto" w:fill="FFFFFF"/>
        </w:rPr>
        <w:t xml:space="preserve">is </w:t>
      </w:r>
      <w:r w:rsidRPr="00BF6F6A">
        <w:rPr>
          <w:shd w:val="clear" w:color="auto" w:fill="FFFFFF"/>
        </w:rPr>
        <w:t>still expanding.</w:t>
      </w:r>
      <w:r>
        <w:rPr>
          <w:shd w:val="clear" w:color="auto" w:fill="FFFFFF"/>
        </w:rPr>
        <w:t xml:space="preserve"> Despite that, </w:t>
      </w:r>
      <w:r>
        <w:t>t</w:t>
      </w:r>
      <w:r w:rsidR="007E6212" w:rsidRPr="00BF6F6A">
        <w:t>here is</w:t>
      </w:r>
      <w:r w:rsidR="00AD7E93" w:rsidRPr="00BF6F6A">
        <w:t xml:space="preserve"> c</w:t>
      </w:r>
      <w:r w:rsidR="005F6B74" w:rsidRPr="00BF6F6A">
        <w:t xml:space="preserve">onfusion about </w:t>
      </w:r>
      <w:r w:rsidR="00502505">
        <w:t xml:space="preserve">the </w:t>
      </w:r>
      <w:r w:rsidR="000E2276" w:rsidRPr="00BF6F6A">
        <w:t>consistency of</w:t>
      </w:r>
      <w:r w:rsidR="00480B8B" w:rsidRPr="00BF6F6A">
        <w:t xml:space="preserve"> </w:t>
      </w:r>
      <w:r w:rsidR="006B2AEE" w:rsidRPr="00BF6F6A">
        <w:t>ESG</w:t>
      </w:r>
      <w:r w:rsidR="000E2276" w:rsidRPr="00BF6F6A">
        <w:t xml:space="preserve"> definitions, scores and actual</w:t>
      </w:r>
      <w:r w:rsidR="006B2AEE" w:rsidRPr="00BF6F6A">
        <w:t xml:space="preserve"> practices</w:t>
      </w:r>
      <w:r>
        <w:t xml:space="preserve"> (</w:t>
      </w:r>
      <w:r w:rsidRPr="00BF6F6A">
        <w:rPr>
          <w:color w:val="000000"/>
        </w:rPr>
        <w:t>Clément</w:t>
      </w:r>
      <w:r>
        <w:rPr>
          <w:color w:val="000000"/>
        </w:rPr>
        <w:t xml:space="preserve">, </w:t>
      </w:r>
      <w:r w:rsidRPr="00BF6F6A">
        <w:rPr>
          <w:color w:val="000000"/>
        </w:rPr>
        <w:t>2023</w:t>
      </w:r>
      <w:r>
        <w:rPr>
          <w:color w:val="000000"/>
        </w:rPr>
        <w:t>)</w:t>
      </w:r>
      <w:r w:rsidR="00976D74" w:rsidRPr="00BF6F6A">
        <w:rPr>
          <w:shd w:val="clear" w:color="auto" w:fill="FFFFFF"/>
        </w:rPr>
        <w:t xml:space="preserve">. </w:t>
      </w:r>
      <w:r>
        <w:rPr>
          <w:shd w:val="clear" w:color="auto" w:fill="FFFFFF"/>
        </w:rPr>
        <w:t>Several other researchers note that t</w:t>
      </w:r>
      <w:r w:rsidR="00AC21A1" w:rsidRPr="00BF6F6A">
        <w:rPr>
          <w:shd w:val="clear" w:color="auto" w:fill="FFFFFF"/>
        </w:rPr>
        <w:t>here is</w:t>
      </w:r>
      <w:r w:rsidR="00A8340E" w:rsidRPr="00BF6F6A">
        <w:rPr>
          <w:shd w:val="clear" w:color="auto" w:fill="FFFFFF"/>
        </w:rPr>
        <w:t xml:space="preserve"> no universal approach covering </w:t>
      </w:r>
      <w:r w:rsidR="00B5305E" w:rsidRPr="00BF6F6A">
        <w:rPr>
          <w:shd w:val="clear" w:color="auto" w:fill="FFFFFF"/>
        </w:rPr>
        <w:t xml:space="preserve">all </w:t>
      </w:r>
      <w:r w:rsidR="00373ABB" w:rsidRPr="00BF6F6A">
        <w:rPr>
          <w:shd w:val="clear" w:color="auto" w:fill="FFFFFF"/>
        </w:rPr>
        <w:t xml:space="preserve">the </w:t>
      </w:r>
      <w:r w:rsidR="00B5305E" w:rsidRPr="00BF6F6A">
        <w:rPr>
          <w:shd w:val="clear" w:color="auto" w:fill="FFFFFF"/>
        </w:rPr>
        <w:t>ESG issues for all</w:t>
      </w:r>
      <w:r w:rsidR="00CE3121" w:rsidRPr="00BF6F6A">
        <w:rPr>
          <w:shd w:val="clear" w:color="auto" w:fill="FFFFFF"/>
        </w:rPr>
        <w:t xml:space="preserve"> companies</w:t>
      </w:r>
      <w:r w:rsidR="00226091" w:rsidRPr="00BF6F6A">
        <w:rPr>
          <w:shd w:val="clear" w:color="auto" w:fill="FFFFFF"/>
        </w:rPr>
        <w:t xml:space="preserve"> (</w:t>
      </w:r>
      <w:r w:rsidR="00E77C55" w:rsidRPr="00BF6F6A">
        <w:rPr>
          <w:shd w:val="clear" w:color="auto" w:fill="FFFFFF"/>
        </w:rPr>
        <w:t xml:space="preserve">Brandstetter and Lehner, </w:t>
      </w:r>
      <w:r w:rsidR="00E9758B" w:rsidRPr="00BF6F6A">
        <w:rPr>
          <w:shd w:val="clear" w:color="auto" w:fill="FFFFFF"/>
        </w:rPr>
        <w:t>2015; Auer and Schu</w:t>
      </w:r>
      <w:r w:rsidR="00AD2264" w:rsidRPr="00BF6F6A">
        <w:rPr>
          <w:shd w:val="clear" w:color="auto" w:fill="FFFFFF"/>
        </w:rPr>
        <w:t>h</w:t>
      </w:r>
      <w:r w:rsidR="00E9758B" w:rsidRPr="00BF6F6A">
        <w:rPr>
          <w:shd w:val="clear" w:color="auto" w:fill="FFFFFF"/>
        </w:rPr>
        <w:t>macher, 2016</w:t>
      </w:r>
      <w:r w:rsidR="00D81DEE" w:rsidRPr="00BF6F6A">
        <w:rPr>
          <w:shd w:val="clear" w:color="auto" w:fill="FFFFFF"/>
        </w:rPr>
        <w:t xml:space="preserve">; </w:t>
      </w:r>
      <w:r w:rsidR="00D81DEE" w:rsidRPr="00BF6F6A">
        <w:rPr>
          <w:color w:val="000000"/>
        </w:rPr>
        <w:t>Barman, 2018</w:t>
      </w:r>
      <w:r w:rsidR="00226091" w:rsidRPr="00BF6F6A">
        <w:rPr>
          <w:shd w:val="clear" w:color="auto" w:fill="FFFFFF"/>
        </w:rPr>
        <w:t>)</w:t>
      </w:r>
      <w:r w:rsidR="00CE3121" w:rsidRPr="00BF6F6A">
        <w:rPr>
          <w:shd w:val="clear" w:color="auto" w:fill="FFFFFF"/>
        </w:rPr>
        <w:t xml:space="preserve">. </w:t>
      </w:r>
      <w:r w:rsidR="00A426DB" w:rsidRPr="00BF6F6A">
        <w:rPr>
          <w:shd w:val="clear" w:color="auto" w:fill="FFFFFF"/>
        </w:rPr>
        <w:t xml:space="preserve">The rating market is highly </w:t>
      </w:r>
      <w:r w:rsidR="001B6A02" w:rsidRPr="00BF6F6A">
        <w:rPr>
          <w:shd w:val="clear" w:color="auto" w:fill="FFFFFF"/>
        </w:rPr>
        <w:t>fragmented</w:t>
      </w:r>
      <w:r w:rsidR="00C27A2E" w:rsidRPr="00BF6F6A">
        <w:rPr>
          <w:shd w:val="clear" w:color="auto" w:fill="FFFFFF"/>
        </w:rPr>
        <w:t xml:space="preserve"> </w:t>
      </w:r>
      <w:r w:rsidR="004017BC" w:rsidRPr="00BF6F6A">
        <w:rPr>
          <w:shd w:val="clear" w:color="auto" w:fill="FFFFFF"/>
        </w:rPr>
        <w:t>-</w:t>
      </w:r>
      <w:r w:rsidR="004017BC" w:rsidRPr="00BF6F6A">
        <w:rPr>
          <w:i/>
          <w:iCs/>
        </w:rPr>
        <w:t xml:space="preserve"> “</w:t>
      </w:r>
      <w:r w:rsidR="00A426DB" w:rsidRPr="00BF6F6A">
        <w:rPr>
          <w:i/>
          <w:iCs/>
        </w:rPr>
        <w:t>The reality is, that today it’s a bit of a zoo”</w:t>
      </w:r>
      <w:r w:rsidR="007E6212" w:rsidRPr="00BF6F6A">
        <w:rPr>
          <w:i/>
          <w:iCs/>
        </w:rPr>
        <w:t xml:space="preserve"> </w:t>
      </w:r>
      <w:r w:rsidR="00A426DB" w:rsidRPr="00BF6F6A">
        <w:t xml:space="preserve">with over </w:t>
      </w:r>
      <w:r w:rsidR="00A426DB" w:rsidRPr="00BF6F6A">
        <w:rPr>
          <w:shd w:val="clear" w:color="auto" w:fill="FFFFFF"/>
        </w:rPr>
        <w:t>600 ratings and over 4,500 ESG KPIs (Euromoney, 2020)</w:t>
      </w:r>
      <w:r w:rsidR="008E6FC9" w:rsidRPr="00BF6F6A">
        <w:rPr>
          <w:shd w:val="clear" w:color="auto" w:fill="FFFFFF"/>
        </w:rPr>
        <w:t xml:space="preserve">. </w:t>
      </w:r>
      <w:r>
        <w:rPr>
          <w:shd w:val="clear" w:color="auto" w:fill="FFFFFF"/>
        </w:rPr>
        <w:t xml:space="preserve">While this would suggest a solid basis for reliable benchmarking, </w:t>
      </w:r>
      <w:r w:rsidR="00E36F51">
        <w:rPr>
          <w:shd w:val="clear" w:color="auto" w:fill="FFFFFF"/>
        </w:rPr>
        <w:t>for</w:t>
      </w:r>
      <w:r>
        <w:rPr>
          <w:shd w:val="clear" w:color="auto" w:fill="FFFFFF"/>
        </w:rPr>
        <w:t xml:space="preserve"> this to be true,</w:t>
      </w:r>
      <w:r w:rsidRPr="00BF6F6A">
        <w:rPr>
          <w:shd w:val="clear" w:color="auto" w:fill="FFFFFF"/>
        </w:rPr>
        <w:t xml:space="preserve"> </w:t>
      </w:r>
      <w:r w:rsidR="008E6FC9" w:rsidRPr="00BF6F6A">
        <w:rPr>
          <w:shd w:val="clear" w:color="auto" w:fill="FFFFFF"/>
        </w:rPr>
        <w:t xml:space="preserve">ESG KPIs need compression and standardisation </w:t>
      </w:r>
      <w:r w:rsidR="005A0070" w:rsidRPr="00BF6F6A">
        <w:rPr>
          <w:shd w:val="clear" w:color="auto" w:fill="FFFFFF"/>
        </w:rPr>
        <w:t xml:space="preserve">(Deloitte, 2021) and must be </w:t>
      </w:r>
      <w:r w:rsidR="00BE3934" w:rsidRPr="00BF6F6A">
        <w:rPr>
          <w:shd w:val="clear" w:color="auto" w:fill="FFFFFF"/>
        </w:rPr>
        <w:t>relevant and faithfully represent what they purport to represent</w:t>
      </w:r>
      <w:r w:rsidR="005A0070" w:rsidRPr="00BF6F6A">
        <w:rPr>
          <w:shd w:val="clear" w:color="auto" w:fill="FFFFFF"/>
        </w:rPr>
        <w:t xml:space="preserve"> (IFRS, </w:t>
      </w:r>
      <w:r w:rsidR="00BE3934" w:rsidRPr="00BF6F6A">
        <w:rPr>
          <w:shd w:val="clear" w:color="auto" w:fill="FFFFFF"/>
        </w:rPr>
        <w:t>2023</w:t>
      </w:r>
      <w:r w:rsidR="005A0070" w:rsidRPr="00BF6F6A">
        <w:rPr>
          <w:shd w:val="clear" w:color="auto" w:fill="FFFFFF"/>
        </w:rPr>
        <w:t>)</w:t>
      </w:r>
      <w:r w:rsidR="00A426DB" w:rsidRPr="00BF6F6A">
        <w:rPr>
          <w:shd w:val="clear" w:color="auto" w:fill="FFFFFF"/>
        </w:rPr>
        <w:t xml:space="preserve">. </w:t>
      </w:r>
      <w:r w:rsidR="007E6212" w:rsidRPr="00BF6F6A">
        <w:rPr>
          <w:shd w:val="clear" w:color="auto" w:fill="FFFFFF"/>
        </w:rPr>
        <w:t>I</w:t>
      </w:r>
      <w:r w:rsidR="00927313" w:rsidRPr="00BF6F6A">
        <w:rPr>
          <w:shd w:val="clear" w:color="auto" w:fill="FFFFFF"/>
        </w:rPr>
        <w:t>nvestors</w:t>
      </w:r>
      <w:r w:rsidR="00707A6D" w:rsidRPr="00BF6F6A">
        <w:rPr>
          <w:shd w:val="clear" w:color="auto" w:fill="FFFFFF"/>
        </w:rPr>
        <w:t>’</w:t>
      </w:r>
      <w:r w:rsidR="00927313" w:rsidRPr="00BF6F6A">
        <w:rPr>
          <w:shd w:val="clear" w:color="auto" w:fill="FFFFFF"/>
        </w:rPr>
        <w:t xml:space="preserve"> demand</w:t>
      </w:r>
      <w:r w:rsidR="00373ABB" w:rsidRPr="00BF6F6A">
        <w:rPr>
          <w:shd w:val="clear" w:color="auto" w:fill="FFFFFF"/>
        </w:rPr>
        <w:t>s</w:t>
      </w:r>
      <w:r w:rsidR="00927313" w:rsidRPr="00BF6F6A">
        <w:rPr>
          <w:shd w:val="clear" w:color="auto" w:fill="FFFFFF"/>
        </w:rPr>
        <w:t xml:space="preserve"> for ESG ratings </w:t>
      </w:r>
      <w:r w:rsidR="003B4F8D" w:rsidRPr="00BF6F6A">
        <w:rPr>
          <w:shd w:val="clear" w:color="auto" w:fill="FFFFFF"/>
        </w:rPr>
        <w:t>are</w:t>
      </w:r>
      <w:r w:rsidR="00927313" w:rsidRPr="00BF6F6A">
        <w:rPr>
          <w:shd w:val="clear" w:color="auto" w:fill="FFFFFF"/>
        </w:rPr>
        <w:t xml:space="preserve"> strong and growing</w:t>
      </w:r>
      <w:r w:rsidR="0038592E" w:rsidRPr="00BF6F6A">
        <w:rPr>
          <w:shd w:val="clear" w:color="auto" w:fill="FFFFFF"/>
        </w:rPr>
        <w:t xml:space="preserve"> </w:t>
      </w:r>
      <w:r w:rsidR="007E6212" w:rsidRPr="00BF6F6A">
        <w:rPr>
          <w:shd w:val="clear" w:color="auto" w:fill="FFFFFF"/>
        </w:rPr>
        <w:t>but investors</w:t>
      </w:r>
      <w:r w:rsidR="0038592E" w:rsidRPr="00BF6F6A">
        <w:rPr>
          <w:shd w:val="clear" w:color="auto" w:fill="FFFFFF"/>
        </w:rPr>
        <w:t xml:space="preserve"> </w:t>
      </w:r>
      <w:r w:rsidR="00927313" w:rsidRPr="00BF6F6A">
        <w:rPr>
          <w:shd w:val="clear" w:color="auto" w:fill="FFFFFF"/>
        </w:rPr>
        <w:t xml:space="preserve">are frustrated about </w:t>
      </w:r>
      <w:r w:rsidR="00D23322" w:rsidRPr="00BF6F6A">
        <w:rPr>
          <w:shd w:val="clear" w:color="auto" w:fill="FFFFFF"/>
        </w:rPr>
        <w:t xml:space="preserve">the </w:t>
      </w:r>
      <w:r w:rsidR="00927313" w:rsidRPr="00BF6F6A">
        <w:rPr>
          <w:shd w:val="clear" w:color="auto" w:fill="FFFFFF"/>
        </w:rPr>
        <w:t xml:space="preserve">shortcomings of ESG ratings and question both methodologies and data accuracy, which results in </w:t>
      </w:r>
      <w:r w:rsidR="00BE3934" w:rsidRPr="00BF6F6A">
        <w:rPr>
          <w:shd w:val="clear" w:color="auto" w:fill="FFFFFF"/>
        </w:rPr>
        <w:t>low</w:t>
      </w:r>
      <w:r w:rsidR="00373ABB" w:rsidRPr="00BF6F6A">
        <w:rPr>
          <w:shd w:val="clear" w:color="auto" w:fill="FFFFFF"/>
        </w:rPr>
        <w:t xml:space="preserve"> </w:t>
      </w:r>
      <w:r w:rsidR="00927313" w:rsidRPr="00BF6F6A">
        <w:rPr>
          <w:shd w:val="clear" w:color="auto" w:fill="FFFFFF"/>
        </w:rPr>
        <w:t xml:space="preserve">confidence </w:t>
      </w:r>
      <w:r w:rsidR="00707A6D" w:rsidRPr="00BF6F6A">
        <w:rPr>
          <w:shd w:val="clear" w:color="auto" w:fill="FFFFFF"/>
        </w:rPr>
        <w:t>in</w:t>
      </w:r>
      <w:r w:rsidR="00927313" w:rsidRPr="00BF6F6A">
        <w:rPr>
          <w:shd w:val="clear" w:color="auto" w:fill="FFFFFF"/>
        </w:rPr>
        <w:t xml:space="preserve"> ESG ratings (ERM, 2023). At the same time</w:t>
      </w:r>
      <w:r w:rsidR="00707A6D" w:rsidRPr="00BF6F6A">
        <w:rPr>
          <w:shd w:val="clear" w:color="auto" w:fill="FFFFFF"/>
        </w:rPr>
        <w:t>,</w:t>
      </w:r>
      <w:r w:rsidR="00927313" w:rsidRPr="00BF6F6A">
        <w:rPr>
          <w:shd w:val="clear" w:color="auto" w:fill="FFFFFF"/>
        </w:rPr>
        <w:t xml:space="preserve"> regulators </w:t>
      </w:r>
      <w:r w:rsidR="00373ABB" w:rsidRPr="00BF6F6A">
        <w:rPr>
          <w:shd w:val="clear" w:color="auto" w:fill="FFFFFF"/>
        </w:rPr>
        <w:t xml:space="preserve">are </w:t>
      </w:r>
      <w:r w:rsidR="00927313" w:rsidRPr="00BF6F6A">
        <w:rPr>
          <w:shd w:val="clear" w:color="auto" w:fill="FFFFFF"/>
        </w:rPr>
        <w:t>ask</w:t>
      </w:r>
      <w:r w:rsidR="00373ABB" w:rsidRPr="00BF6F6A">
        <w:rPr>
          <w:shd w:val="clear" w:color="auto" w:fill="FFFFFF"/>
        </w:rPr>
        <w:t>ing</w:t>
      </w:r>
      <w:r w:rsidR="00927313" w:rsidRPr="00BF6F6A">
        <w:rPr>
          <w:shd w:val="clear" w:color="auto" w:fill="FFFFFF"/>
        </w:rPr>
        <w:t xml:space="preserve"> for improved transparency</w:t>
      </w:r>
      <w:r w:rsidR="00BE3934" w:rsidRPr="00BF6F6A">
        <w:rPr>
          <w:shd w:val="clear" w:color="auto" w:fill="FFFFFF"/>
        </w:rPr>
        <w:t xml:space="preserve"> (IFRS, 2023)</w:t>
      </w:r>
      <w:r w:rsidR="00927313" w:rsidRPr="00BF6F6A">
        <w:rPr>
          <w:shd w:val="clear" w:color="auto" w:fill="FFFFFF"/>
        </w:rPr>
        <w:t xml:space="preserve">. </w:t>
      </w:r>
      <w:bookmarkStart w:id="5" w:name="_Hlk174450973"/>
      <w:r w:rsidR="00927313" w:rsidRPr="00BF6F6A">
        <w:rPr>
          <w:shd w:val="clear" w:color="auto" w:fill="FFFFFF"/>
        </w:rPr>
        <w:lastRenderedPageBreak/>
        <w:t>Th</w:t>
      </w:r>
      <w:r w:rsidR="008D4BDC" w:rsidRPr="00BF6F6A">
        <w:rPr>
          <w:shd w:val="clear" w:color="auto" w:fill="FFFFFF"/>
        </w:rPr>
        <w:t>e</w:t>
      </w:r>
      <w:r w:rsidR="00927313" w:rsidRPr="00BF6F6A">
        <w:rPr>
          <w:shd w:val="clear" w:color="auto" w:fill="FFFFFF"/>
        </w:rPr>
        <w:t xml:space="preserve"> ratings must evolve to meet the </w:t>
      </w:r>
      <w:r w:rsidR="000157A8">
        <w:rPr>
          <w:shd w:val="clear" w:color="auto" w:fill="FFFFFF"/>
        </w:rPr>
        <w:t xml:space="preserve">increasing </w:t>
      </w:r>
      <w:r w:rsidR="00927313" w:rsidRPr="00BF6F6A">
        <w:rPr>
          <w:shd w:val="clear" w:color="auto" w:fill="FFFFFF"/>
        </w:rPr>
        <w:t>expectations of investors and regulators</w:t>
      </w:r>
      <w:r w:rsidR="001E0830" w:rsidRPr="00BF6F6A">
        <w:rPr>
          <w:shd w:val="clear" w:color="auto" w:fill="FFFFFF"/>
        </w:rPr>
        <w:t xml:space="preserve"> (Bernardi </w:t>
      </w:r>
      <w:r w:rsidR="001E0830" w:rsidRPr="00BF6F6A">
        <w:rPr>
          <w:i/>
          <w:iCs/>
          <w:shd w:val="clear" w:color="auto" w:fill="FFFFFF"/>
        </w:rPr>
        <w:t>et al.</w:t>
      </w:r>
      <w:r w:rsidR="001E0830" w:rsidRPr="00BF6F6A">
        <w:rPr>
          <w:shd w:val="clear" w:color="auto" w:fill="FFFFFF"/>
        </w:rPr>
        <w:t>, 2017)</w:t>
      </w:r>
      <w:r w:rsidR="000157A8">
        <w:rPr>
          <w:shd w:val="clear" w:color="auto" w:fill="FFFFFF"/>
        </w:rPr>
        <w:t>.</w:t>
      </w:r>
      <w:bookmarkEnd w:id="5"/>
    </w:p>
    <w:p w14:paraId="1384AE37" w14:textId="0AB19845" w:rsidR="00945055" w:rsidRPr="00BF6F6A" w:rsidRDefault="008D4BDC" w:rsidP="00602EB5">
      <w:pPr>
        <w:ind w:firstLine="720"/>
        <w:jc w:val="both"/>
      </w:pPr>
      <w:r w:rsidRPr="00BF6F6A">
        <w:t xml:space="preserve">The next section </w:t>
      </w:r>
      <w:r w:rsidR="00BE3934" w:rsidRPr="00BF6F6A">
        <w:t xml:space="preserve">reviews the literature on </w:t>
      </w:r>
      <w:r w:rsidR="00602EB5" w:rsidRPr="00BF6F6A">
        <w:t>ESG considerations from the corporate and investors perspectives, discusse</w:t>
      </w:r>
      <w:r w:rsidR="00511BDA" w:rsidRPr="00BF6F6A">
        <w:t>s</w:t>
      </w:r>
      <w:r w:rsidRPr="00BF6F6A">
        <w:t xml:space="preserve"> </w:t>
      </w:r>
      <w:r w:rsidR="00602EB5" w:rsidRPr="00BF6F6A">
        <w:t>ESG disclosures</w:t>
      </w:r>
      <w:r w:rsidRPr="00BF6F6A">
        <w:t xml:space="preserve">, </w:t>
      </w:r>
      <w:r w:rsidR="00602EB5" w:rsidRPr="00BF6F6A">
        <w:t>reporting and elaborates on GRESB</w:t>
      </w:r>
      <w:r w:rsidR="00BE3934" w:rsidRPr="00BF6F6A">
        <w:t>. Section three</w:t>
      </w:r>
      <w:r w:rsidR="00602EB5" w:rsidRPr="00BF6F6A">
        <w:t xml:space="preserve"> presents our methodology</w:t>
      </w:r>
      <w:r w:rsidRPr="00BF6F6A">
        <w:t xml:space="preserve">, which </w:t>
      </w:r>
      <w:r w:rsidR="00602EB5" w:rsidRPr="00BF6F6A">
        <w:t xml:space="preserve">is followed by section four </w:t>
      </w:r>
      <w:r w:rsidR="00A9457B" w:rsidRPr="00BF6F6A">
        <w:t xml:space="preserve">which </w:t>
      </w:r>
      <w:r w:rsidR="00602EB5" w:rsidRPr="00BF6F6A">
        <w:t>includ</w:t>
      </w:r>
      <w:r w:rsidR="00A9457B" w:rsidRPr="00BF6F6A">
        <w:t>es</w:t>
      </w:r>
      <w:r w:rsidR="00602EB5" w:rsidRPr="00BF6F6A">
        <w:t xml:space="preserve"> detailed results of the analysis and discussion on identified themes.</w:t>
      </w:r>
      <w:r w:rsidR="00BE3934" w:rsidRPr="00BF6F6A">
        <w:t xml:space="preserve"> </w:t>
      </w:r>
      <w:r w:rsidR="00602EB5" w:rsidRPr="00BF6F6A">
        <w:t>Section five provides concluding remarks and practical implications.</w:t>
      </w:r>
    </w:p>
    <w:p w14:paraId="4932A5C8" w14:textId="540ADF8B" w:rsidR="00FE0952" w:rsidRPr="00BF6F6A" w:rsidRDefault="00FE0952" w:rsidP="009D4067">
      <w:pPr>
        <w:tabs>
          <w:tab w:val="left" w:pos="2308"/>
        </w:tabs>
        <w:jc w:val="both"/>
      </w:pPr>
    </w:p>
    <w:p w14:paraId="1F62ED2D" w14:textId="484E640C" w:rsidR="00A82E53" w:rsidRPr="00BF6F6A" w:rsidRDefault="0024044E" w:rsidP="003B4F8D">
      <w:pPr>
        <w:pStyle w:val="Heading1"/>
        <w:tabs>
          <w:tab w:val="center" w:pos="1451"/>
        </w:tabs>
        <w:spacing w:before="0" w:after="0"/>
        <w:ind w:left="-15"/>
        <w:rPr>
          <w:rFonts w:eastAsia="Calibri" w:cs="Times New Roman"/>
          <w:b w:val="0"/>
          <w:sz w:val="34"/>
          <w:szCs w:val="22"/>
          <w:u w:val="none"/>
        </w:rPr>
      </w:pPr>
      <w:bookmarkStart w:id="6" w:name="_Toc99882218"/>
      <w:r w:rsidRPr="00BF6F6A">
        <w:rPr>
          <w:rFonts w:eastAsia="Calibri" w:cs="Times New Roman"/>
          <w:b w:val="0"/>
          <w:sz w:val="34"/>
          <w:szCs w:val="22"/>
          <w:u w:val="none"/>
        </w:rPr>
        <w:t xml:space="preserve">2. </w:t>
      </w:r>
      <w:bookmarkEnd w:id="6"/>
      <w:r w:rsidR="000A73BE" w:rsidRPr="00BF6F6A">
        <w:rPr>
          <w:rFonts w:eastAsia="Calibri" w:cs="Times New Roman"/>
          <w:b w:val="0"/>
          <w:sz w:val="34"/>
          <w:szCs w:val="22"/>
          <w:u w:val="none"/>
        </w:rPr>
        <w:t xml:space="preserve">Literature </w:t>
      </w:r>
    </w:p>
    <w:p w14:paraId="68902511" w14:textId="145CCE68" w:rsidR="009D4A07" w:rsidRPr="00BF6F6A" w:rsidRDefault="00A14B52" w:rsidP="00945055">
      <w:pPr>
        <w:jc w:val="both"/>
      </w:pPr>
      <w:r w:rsidRPr="00BF6F6A">
        <w:t>Studies</w:t>
      </w:r>
      <w:r w:rsidR="009B6432" w:rsidRPr="00BF6F6A">
        <w:t xml:space="preserve"> on </w:t>
      </w:r>
      <w:r w:rsidR="008517FE" w:rsidRPr="00BF6F6A">
        <w:t>ESG</w:t>
      </w:r>
      <w:r w:rsidR="00323366" w:rsidRPr="00BF6F6A">
        <w:t>s</w:t>
      </w:r>
      <w:r w:rsidR="008517FE" w:rsidRPr="00BF6F6A">
        <w:t xml:space="preserve"> within the real estate sector</w:t>
      </w:r>
      <w:r w:rsidR="009B6432" w:rsidRPr="00BF6F6A">
        <w:t xml:space="preserve"> </w:t>
      </w:r>
      <w:r w:rsidR="00E22F02" w:rsidRPr="00BF6F6A">
        <w:t xml:space="preserve">only </w:t>
      </w:r>
      <w:r w:rsidR="00323366" w:rsidRPr="00BF6F6A">
        <w:t>really began ~</w:t>
      </w:r>
      <w:r w:rsidR="00E22F02" w:rsidRPr="00BF6F6A">
        <w:t>2008 (Pivo</w:t>
      </w:r>
      <w:r w:rsidR="00D22007" w:rsidRPr="00BF6F6A">
        <w:t xml:space="preserve"> and UNEP</w:t>
      </w:r>
      <w:r w:rsidR="00E22F02" w:rsidRPr="00BF6F6A">
        <w:t>, 2008</w:t>
      </w:r>
      <w:bookmarkStart w:id="7" w:name="_Hlk98946676"/>
      <w:r w:rsidR="002A55B3" w:rsidRPr="00BF6F6A">
        <w:t>) and</w:t>
      </w:r>
      <w:r w:rsidR="00E22F02" w:rsidRPr="00BF6F6A">
        <w:t xml:space="preserve"> </w:t>
      </w:r>
      <w:r w:rsidR="00323366" w:rsidRPr="00BF6F6A">
        <w:t>gained momentum</w:t>
      </w:r>
      <w:r w:rsidR="00E22F02" w:rsidRPr="00BF6F6A">
        <w:t xml:space="preserve"> in </w:t>
      </w:r>
      <w:r w:rsidRPr="00BF6F6A">
        <w:t xml:space="preserve">the </w:t>
      </w:r>
      <w:r w:rsidR="00E22F02" w:rsidRPr="00BF6F6A">
        <w:t>late 2010s following the debates sparked by the Paris Agreement (</w:t>
      </w:r>
      <w:r w:rsidR="00527E5E" w:rsidRPr="00BF6F6A">
        <w:t>United Nations, 2015</w:t>
      </w:r>
      <w:r w:rsidR="00E22F02" w:rsidRPr="00BF6F6A">
        <w:t>)</w:t>
      </w:r>
      <w:r w:rsidR="002A55B3" w:rsidRPr="00BF6F6A">
        <w:t xml:space="preserve">. </w:t>
      </w:r>
      <w:bookmarkEnd w:id="7"/>
      <w:r w:rsidR="00511BDA" w:rsidRPr="00BF6F6A">
        <w:t>While expectations of abnormal returns</w:t>
      </w:r>
      <w:r w:rsidR="004C6044">
        <w:t>,</w:t>
      </w:r>
      <w:r w:rsidR="00511BDA" w:rsidRPr="00BF6F6A">
        <w:t xml:space="preserve"> </w:t>
      </w:r>
      <w:r w:rsidR="000632EC">
        <w:t>and to address climate emergency</w:t>
      </w:r>
      <w:r w:rsidR="004C6044">
        <w:t>,</w:t>
      </w:r>
      <w:r w:rsidR="000632EC">
        <w:t xml:space="preserve"> </w:t>
      </w:r>
      <w:r w:rsidR="00511BDA" w:rsidRPr="00BF6F6A">
        <w:t>are increasing, to date</w:t>
      </w:r>
      <w:r w:rsidR="00323366" w:rsidRPr="00BF6F6A">
        <w:t xml:space="preserve"> there are mixed </w:t>
      </w:r>
      <w:r w:rsidR="000A73BE" w:rsidRPr="00BF6F6A">
        <w:t>view</w:t>
      </w:r>
      <w:r w:rsidR="00323366" w:rsidRPr="00BF6F6A">
        <w:t>s</w:t>
      </w:r>
      <w:r w:rsidR="009D4A07" w:rsidRPr="00BF6F6A">
        <w:t xml:space="preserve"> on </w:t>
      </w:r>
      <w:r w:rsidR="002A55B3" w:rsidRPr="00BF6F6A">
        <w:t xml:space="preserve">the </w:t>
      </w:r>
      <w:r w:rsidR="009D4A07" w:rsidRPr="00BF6F6A">
        <w:t xml:space="preserve">benefits and barriers </w:t>
      </w:r>
      <w:r w:rsidR="000A73BE" w:rsidRPr="00BF6F6A">
        <w:t xml:space="preserve">to </w:t>
      </w:r>
      <w:r w:rsidR="00502505">
        <w:t xml:space="preserve">the </w:t>
      </w:r>
      <w:r w:rsidR="000A73BE" w:rsidRPr="00BF6F6A">
        <w:t>implementation of</w:t>
      </w:r>
      <w:r w:rsidR="00480B8B" w:rsidRPr="00BF6F6A">
        <w:t xml:space="preserve"> </w:t>
      </w:r>
      <w:r w:rsidR="009D4A07" w:rsidRPr="00BF6F6A">
        <w:t>ESG ratings</w:t>
      </w:r>
      <w:r w:rsidR="00CB4BDD" w:rsidRPr="00BF6F6A">
        <w:t>.</w:t>
      </w:r>
      <w:r w:rsidR="000A73BE" w:rsidRPr="00BF6F6A">
        <w:t xml:space="preserve"> </w:t>
      </w:r>
      <w:r w:rsidR="00511BDA" w:rsidRPr="00BF6F6A">
        <w:t xml:space="preserve">Perspectives of investors differ from what the managers can or </w:t>
      </w:r>
      <w:r w:rsidR="004C6044">
        <w:t>may</w:t>
      </w:r>
      <w:r w:rsidR="00511BDA" w:rsidRPr="00BF6F6A">
        <w:t xml:space="preserve"> deliver. The multitude of ESG KPIs is confusing and does not </w:t>
      </w:r>
      <w:r w:rsidR="0021415C">
        <w:t>enable</w:t>
      </w:r>
      <w:r w:rsidR="0021415C" w:rsidRPr="00BF6F6A">
        <w:t xml:space="preserve"> </w:t>
      </w:r>
      <w:r w:rsidR="00511BDA" w:rsidRPr="00BF6F6A">
        <w:t>clear decisions</w:t>
      </w:r>
      <w:r w:rsidR="00A9457B" w:rsidRPr="00BF6F6A">
        <w:t xml:space="preserve"> to be made</w:t>
      </w:r>
      <w:r w:rsidR="00511BDA" w:rsidRPr="00BF6F6A">
        <w:t xml:space="preserve">. GRESB has </w:t>
      </w:r>
      <w:r w:rsidR="00502505">
        <w:t>the</w:t>
      </w:r>
      <w:r w:rsidR="00502505" w:rsidRPr="00BF6F6A">
        <w:t xml:space="preserve"> </w:t>
      </w:r>
      <w:r w:rsidR="00511BDA" w:rsidRPr="00BF6F6A">
        <w:t xml:space="preserve">potential to clarify some of this confusion. </w:t>
      </w:r>
      <w:r w:rsidR="00480B8B" w:rsidRPr="00BF6F6A">
        <w:t>Thus,</w:t>
      </w:r>
      <w:r w:rsidR="00511BDA" w:rsidRPr="00BF6F6A">
        <w:t xml:space="preserve"> </w:t>
      </w:r>
      <w:r w:rsidR="00A9457B" w:rsidRPr="00BF6F6A">
        <w:t xml:space="preserve">firstly </w:t>
      </w:r>
      <w:r w:rsidR="00511BDA" w:rsidRPr="00BF6F6A">
        <w:t xml:space="preserve">ESG considerations </w:t>
      </w:r>
      <w:r w:rsidR="00A9457B" w:rsidRPr="00BF6F6A">
        <w:t xml:space="preserve">are reviewed </w:t>
      </w:r>
      <w:r w:rsidR="00511BDA" w:rsidRPr="00BF6F6A">
        <w:t xml:space="preserve">from the companies’ and then from the investors’ perspectives, and </w:t>
      </w:r>
      <w:r w:rsidR="00A9457B" w:rsidRPr="00BF6F6A">
        <w:t xml:space="preserve">this is followed by a discussion on the </w:t>
      </w:r>
      <w:r w:rsidR="00511BDA" w:rsidRPr="00BF6F6A">
        <w:t xml:space="preserve">nature of ESG disclosures and key characteristics of GRESB. </w:t>
      </w:r>
    </w:p>
    <w:p w14:paraId="4EE8F0FF" w14:textId="77777777" w:rsidR="00945055" w:rsidRPr="00BF6F6A" w:rsidRDefault="00945055" w:rsidP="003B4F8D">
      <w:pPr>
        <w:jc w:val="both"/>
      </w:pPr>
    </w:p>
    <w:p w14:paraId="44A3F951" w14:textId="694130E0" w:rsidR="00BD0C81" w:rsidRPr="00BF6F6A" w:rsidRDefault="000A2D3D" w:rsidP="003B4F8D">
      <w:pPr>
        <w:pStyle w:val="Heading2"/>
        <w:numPr>
          <w:ilvl w:val="1"/>
          <w:numId w:val="43"/>
        </w:numPr>
        <w:spacing w:before="0" w:after="0"/>
        <w:ind w:left="-15" w:firstLine="0"/>
        <w:rPr>
          <w:rFonts w:eastAsia="Calibri" w:cs="Times New Roman"/>
          <w:b w:val="0"/>
          <w:sz w:val="29"/>
          <w:szCs w:val="22"/>
        </w:rPr>
      </w:pPr>
      <w:bookmarkStart w:id="8" w:name="_Toc99882220"/>
      <w:r w:rsidRPr="00BF6F6A">
        <w:rPr>
          <w:rFonts w:eastAsia="Calibri" w:cs="Times New Roman"/>
          <w:b w:val="0"/>
          <w:sz w:val="29"/>
          <w:szCs w:val="22"/>
        </w:rPr>
        <w:t>ESG</w:t>
      </w:r>
      <w:r w:rsidR="00556D7E" w:rsidRPr="00BF6F6A">
        <w:rPr>
          <w:rFonts w:eastAsia="Calibri" w:cs="Times New Roman"/>
          <w:b w:val="0"/>
          <w:sz w:val="29"/>
          <w:szCs w:val="22"/>
        </w:rPr>
        <w:t xml:space="preserve"> </w:t>
      </w:r>
      <w:r w:rsidR="00FE48E5" w:rsidRPr="00BF6F6A">
        <w:rPr>
          <w:rFonts w:eastAsia="Calibri" w:cs="Times New Roman"/>
          <w:b w:val="0"/>
          <w:sz w:val="29"/>
          <w:szCs w:val="22"/>
        </w:rPr>
        <w:t>c</w:t>
      </w:r>
      <w:r w:rsidR="00556D7E" w:rsidRPr="00BF6F6A">
        <w:rPr>
          <w:rFonts w:eastAsia="Calibri" w:cs="Times New Roman"/>
          <w:b w:val="0"/>
          <w:sz w:val="29"/>
          <w:szCs w:val="22"/>
        </w:rPr>
        <w:t xml:space="preserve">ompany </w:t>
      </w:r>
      <w:r w:rsidR="00FE48E5" w:rsidRPr="00BF6F6A">
        <w:rPr>
          <w:rFonts w:eastAsia="Calibri" w:cs="Times New Roman"/>
          <w:b w:val="0"/>
          <w:sz w:val="29"/>
          <w:szCs w:val="22"/>
        </w:rPr>
        <w:t>c</w:t>
      </w:r>
      <w:r w:rsidR="00556D7E" w:rsidRPr="00BF6F6A">
        <w:rPr>
          <w:rFonts w:eastAsia="Calibri" w:cs="Times New Roman"/>
          <w:b w:val="0"/>
          <w:sz w:val="29"/>
          <w:szCs w:val="22"/>
        </w:rPr>
        <w:t>onsiderations</w:t>
      </w:r>
      <w:bookmarkEnd w:id="8"/>
    </w:p>
    <w:p w14:paraId="54C40889" w14:textId="70638861" w:rsidR="00CB4BDD" w:rsidRPr="00BF6F6A" w:rsidRDefault="00381C26" w:rsidP="003B4F8D">
      <w:pPr>
        <w:jc w:val="both"/>
      </w:pPr>
      <w:r w:rsidRPr="00BF6F6A">
        <w:t>In recent years, a</w:t>
      </w:r>
      <w:r w:rsidR="00650527" w:rsidRPr="00BF6F6A">
        <w:t>n</w:t>
      </w:r>
      <w:r w:rsidR="00954C02" w:rsidRPr="00BF6F6A">
        <w:t xml:space="preserve"> increasing amount of research</w:t>
      </w:r>
      <w:r w:rsidR="00BD0C81" w:rsidRPr="00BF6F6A">
        <w:t xml:space="preserve"> has emerged on </w:t>
      </w:r>
      <w:r w:rsidR="00885880" w:rsidRPr="00BF6F6A">
        <w:t xml:space="preserve">motivations </w:t>
      </w:r>
      <w:r w:rsidR="00BE0BC4" w:rsidRPr="00BF6F6A">
        <w:t>for</w:t>
      </w:r>
      <w:r w:rsidR="00BD0C81" w:rsidRPr="00BF6F6A">
        <w:t xml:space="preserve"> a</w:t>
      </w:r>
      <w:r w:rsidR="00885880" w:rsidRPr="00BF6F6A">
        <w:t>dopting</w:t>
      </w:r>
      <w:r w:rsidR="00BD0C81" w:rsidRPr="00BF6F6A">
        <w:t xml:space="preserve"> strong</w:t>
      </w:r>
      <w:r w:rsidR="00BE0BC4" w:rsidRPr="00BF6F6A">
        <w:t>er</w:t>
      </w:r>
      <w:r w:rsidR="00BD0C81" w:rsidRPr="00BF6F6A">
        <w:t xml:space="preserve"> ESG commitment</w:t>
      </w:r>
      <w:r w:rsidR="00BE0BC4" w:rsidRPr="00BF6F6A">
        <w:t>s</w:t>
      </w:r>
      <w:r w:rsidR="00BD0C81" w:rsidRPr="00BF6F6A">
        <w:t xml:space="preserve"> and the effect</w:t>
      </w:r>
      <w:r w:rsidR="00BE0BC4" w:rsidRPr="00BF6F6A">
        <w:t>s</w:t>
      </w:r>
      <w:r w:rsidR="00BD0C81" w:rsidRPr="00BF6F6A">
        <w:t xml:space="preserve"> of rising </w:t>
      </w:r>
      <w:r w:rsidR="00CB4BDD" w:rsidRPr="00BF6F6A">
        <w:t xml:space="preserve">societal </w:t>
      </w:r>
      <w:r w:rsidR="00BD0C81" w:rsidRPr="00BF6F6A">
        <w:t>awareness of ESG</w:t>
      </w:r>
      <w:r w:rsidR="0021415C">
        <w:t>,</w:t>
      </w:r>
      <w:r w:rsidR="00BD0C81" w:rsidRPr="00BF6F6A">
        <w:t xml:space="preserve"> </w:t>
      </w:r>
      <w:r w:rsidR="007B5ADD" w:rsidRPr="00BF6F6A">
        <w:t xml:space="preserve">urging </w:t>
      </w:r>
      <w:r w:rsidR="00520B5C" w:rsidRPr="00BF6F6A">
        <w:rPr>
          <w:shd w:val="clear" w:color="auto" w:fill="FFFFFF"/>
        </w:rPr>
        <w:t xml:space="preserve">companies </w:t>
      </w:r>
      <w:r w:rsidR="007B5ADD" w:rsidRPr="00BF6F6A">
        <w:rPr>
          <w:shd w:val="clear" w:color="auto" w:fill="FFFFFF"/>
        </w:rPr>
        <w:t>to</w:t>
      </w:r>
      <w:r w:rsidR="00937AC3" w:rsidRPr="00BF6F6A">
        <w:rPr>
          <w:shd w:val="clear" w:color="auto" w:fill="FFFFFF"/>
        </w:rPr>
        <w:t xml:space="preserve"> </w:t>
      </w:r>
      <w:r w:rsidR="00520B5C" w:rsidRPr="00BF6F6A">
        <w:rPr>
          <w:shd w:val="clear" w:color="auto" w:fill="FFFFFF"/>
        </w:rPr>
        <w:t>incorporate sustainability into their corporate strateg</w:t>
      </w:r>
      <w:r w:rsidR="007B5ADD" w:rsidRPr="00BF6F6A">
        <w:rPr>
          <w:shd w:val="clear" w:color="auto" w:fill="FFFFFF"/>
        </w:rPr>
        <w:t>ies</w:t>
      </w:r>
      <w:r w:rsidR="00520B5C" w:rsidRPr="00BF6F6A">
        <w:rPr>
          <w:shd w:val="clear" w:color="auto" w:fill="FFFFFF"/>
        </w:rPr>
        <w:t xml:space="preserve">. </w:t>
      </w:r>
      <w:r w:rsidR="009626FE" w:rsidRPr="00BF6F6A">
        <w:t>D</w:t>
      </w:r>
      <w:r w:rsidR="00520B5C" w:rsidRPr="00BF6F6A">
        <w:t xml:space="preserve">e Castro </w:t>
      </w:r>
      <w:r w:rsidR="00520B5C" w:rsidRPr="00BF6F6A">
        <w:rPr>
          <w:i/>
          <w:iCs/>
        </w:rPr>
        <w:t>et al.</w:t>
      </w:r>
      <w:r w:rsidR="00520B5C" w:rsidRPr="00BF6F6A">
        <w:t xml:space="preserve"> (2020) </w:t>
      </w:r>
      <w:r w:rsidR="00502505">
        <w:t>argue</w:t>
      </w:r>
      <w:r w:rsidR="00502505" w:rsidRPr="00BF6F6A">
        <w:t xml:space="preserve"> </w:t>
      </w:r>
      <w:r w:rsidR="00520B5C" w:rsidRPr="00BF6F6A">
        <w:t xml:space="preserve">that </w:t>
      </w:r>
      <w:r w:rsidR="003B4F8D" w:rsidRPr="00BF6F6A">
        <w:t xml:space="preserve">in </w:t>
      </w:r>
      <w:r w:rsidR="00CB4BDD" w:rsidRPr="00BF6F6A">
        <w:t>real estate corporations</w:t>
      </w:r>
      <w:r w:rsidR="00502505">
        <w:t>,</w:t>
      </w:r>
      <w:r w:rsidR="00CB4BDD" w:rsidRPr="00BF6F6A">
        <w:t xml:space="preserve"> </w:t>
      </w:r>
      <w:r w:rsidR="00520B5C" w:rsidRPr="00BF6F6A">
        <w:t xml:space="preserve">cultural change and advances in business planning </w:t>
      </w:r>
      <w:r w:rsidR="007B5ADD" w:rsidRPr="00BF6F6A">
        <w:t>are</w:t>
      </w:r>
      <w:r w:rsidR="00520B5C" w:rsidRPr="00BF6F6A">
        <w:t xml:space="preserve"> required</w:t>
      </w:r>
      <w:r w:rsidR="00A312B3" w:rsidRPr="00BF6F6A">
        <w:t>,</w:t>
      </w:r>
      <w:r w:rsidR="00520B5C" w:rsidRPr="00BF6F6A">
        <w:t xml:space="preserve"> </w:t>
      </w:r>
      <w:r w:rsidR="007B5ADD" w:rsidRPr="00BF6F6A">
        <w:t>focus</w:t>
      </w:r>
      <w:r w:rsidR="00A85640" w:rsidRPr="00BF6F6A">
        <w:t>ing</w:t>
      </w:r>
      <w:r w:rsidR="007B5ADD" w:rsidRPr="00BF6F6A">
        <w:t xml:space="preserve"> on</w:t>
      </w:r>
      <w:r w:rsidR="00520B5C" w:rsidRPr="00BF6F6A">
        <w:t xml:space="preserve"> </w:t>
      </w:r>
      <w:r w:rsidR="007B5ADD" w:rsidRPr="00BF6F6A">
        <w:t xml:space="preserve">(1) </w:t>
      </w:r>
      <w:r w:rsidR="00520B5C" w:rsidRPr="00BF6F6A">
        <w:t>core premises help</w:t>
      </w:r>
      <w:r w:rsidR="006A1BC5" w:rsidRPr="00BF6F6A">
        <w:t>ing</w:t>
      </w:r>
      <w:r w:rsidR="00644C7B" w:rsidRPr="00BF6F6A">
        <w:t xml:space="preserve"> to</w:t>
      </w:r>
      <w:r w:rsidR="00520B5C" w:rsidRPr="00BF6F6A">
        <w:t xml:space="preserve"> organise the collection, monitoring and controlling of sustainability goals at corporate, portfolio</w:t>
      </w:r>
      <w:r w:rsidR="00CB4BDD" w:rsidRPr="00BF6F6A">
        <w:t>,</w:t>
      </w:r>
      <w:r w:rsidR="00520B5C" w:rsidRPr="00BF6F6A">
        <w:t xml:space="preserve"> and single building levels</w:t>
      </w:r>
      <w:r w:rsidR="00323366" w:rsidRPr="00BF6F6A">
        <w:t>;</w:t>
      </w:r>
      <w:r w:rsidR="007B5ADD" w:rsidRPr="00BF6F6A">
        <w:t xml:space="preserve"> and (2)</w:t>
      </w:r>
      <w:r w:rsidR="00520B5C" w:rsidRPr="00BF6F6A">
        <w:t xml:space="preserve"> data collection, input, and reading on sustainability issues to analyse opportunities and risks. </w:t>
      </w:r>
    </w:p>
    <w:p w14:paraId="68B1D068" w14:textId="7D26F1DF" w:rsidR="00D4717A" w:rsidRPr="00BF6F6A" w:rsidRDefault="00CB4BDD" w:rsidP="003B4F8D">
      <w:pPr>
        <w:ind w:firstLine="720"/>
        <w:jc w:val="both"/>
      </w:pPr>
      <w:r w:rsidRPr="00BF6F6A">
        <w:rPr>
          <w:shd w:val="clear" w:color="auto" w:fill="FFFFFF"/>
        </w:rPr>
        <w:t xml:space="preserve">Wong </w:t>
      </w:r>
      <w:r w:rsidRPr="00BF6F6A">
        <w:rPr>
          <w:i/>
          <w:iCs/>
          <w:shd w:val="clear" w:color="auto" w:fill="FFFFFF"/>
        </w:rPr>
        <w:t>et al.</w:t>
      </w:r>
      <w:r w:rsidRPr="00BF6F6A">
        <w:rPr>
          <w:shd w:val="clear" w:color="auto" w:fill="FFFFFF"/>
        </w:rPr>
        <w:t xml:space="preserve"> (2021) </w:t>
      </w:r>
      <w:r w:rsidR="00502505">
        <w:rPr>
          <w:shd w:val="clear" w:color="auto" w:fill="FFFFFF"/>
        </w:rPr>
        <w:t>f</w:t>
      </w:r>
      <w:r w:rsidR="000307F8">
        <w:rPr>
          <w:shd w:val="clear" w:color="auto" w:fill="FFFFFF"/>
        </w:rPr>
        <w:t>oun</w:t>
      </w:r>
      <w:r w:rsidR="00502505">
        <w:rPr>
          <w:shd w:val="clear" w:color="auto" w:fill="FFFFFF"/>
        </w:rPr>
        <w:t>d</w:t>
      </w:r>
      <w:r w:rsidR="00502505" w:rsidRPr="00BF6F6A">
        <w:rPr>
          <w:shd w:val="clear" w:color="auto" w:fill="FFFFFF"/>
        </w:rPr>
        <w:t xml:space="preserve"> </w:t>
      </w:r>
      <w:r w:rsidR="004B54E8" w:rsidRPr="00BF6F6A">
        <w:rPr>
          <w:shd w:val="clear" w:color="auto" w:fill="FFFFFF"/>
        </w:rPr>
        <w:t>a positive correlation between green indicators and operating performance</w:t>
      </w:r>
      <w:r w:rsidR="007B5ADD" w:rsidRPr="00BF6F6A">
        <w:rPr>
          <w:shd w:val="clear" w:color="auto" w:fill="FFFFFF"/>
        </w:rPr>
        <w:t xml:space="preserve"> </w:t>
      </w:r>
      <w:r w:rsidR="007B5ADD" w:rsidRPr="00BF6F6A">
        <w:t>as</w:t>
      </w:r>
      <w:r w:rsidR="004B54E8" w:rsidRPr="00BF6F6A">
        <w:t xml:space="preserve"> ESG certification lowers the cost of capital</w:t>
      </w:r>
      <w:r w:rsidR="00A9457B" w:rsidRPr="00BF6F6A">
        <w:t>,</w:t>
      </w:r>
      <w:r w:rsidR="004B54E8" w:rsidRPr="00BF6F6A">
        <w:t xml:space="preserve"> encouraging investors to pursue responsible investment practices</w:t>
      </w:r>
      <w:r w:rsidR="007B5ADD" w:rsidRPr="00BF6F6A">
        <w:t>.</w:t>
      </w:r>
      <w:r w:rsidR="00D52388" w:rsidRPr="00BF6F6A">
        <w:t xml:space="preserve"> </w:t>
      </w:r>
      <w:r w:rsidR="00A9457B" w:rsidRPr="00BF6F6A">
        <w:t xml:space="preserve">It has been noted that </w:t>
      </w:r>
      <w:r w:rsidRPr="00BF6F6A">
        <w:rPr>
          <w:shd w:val="clear" w:color="auto" w:fill="FFFFFF"/>
        </w:rPr>
        <w:t>RPI</w:t>
      </w:r>
      <w:r w:rsidR="00A132F8" w:rsidRPr="00BF6F6A">
        <w:rPr>
          <w:shd w:val="clear" w:color="auto" w:fill="FFFFFF"/>
        </w:rPr>
        <w:t xml:space="preserve"> can reduce the </w:t>
      </w:r>
      <w:r w:rsidR="00577A52" w:rsidRPr="00BF6F6A">
        <w:rPr>
          <w:shd w:val="clear" w:color="auto" w:fill="FFFFFF"/>
        </w:rPr>
        <w:t>environmental</w:t>
      </w:r>
      <w:r w:rsidR="005777C9" w:rsidRPr="00BF6F6A">
        <w:rPr>
          <w:shd w:val="clear" w:color="auto" w:fill="FFFFFF"/>
        </w:rPr>
        <w:t xml:space="preserve"> </w:t>
      </w:r>
      <w:r w:rsidR="00A132F8" w:rsidRPr="00BF6F6A">
        <w:rPr>
          <w:shd w:val="clear" w:color="auto" w:fill="FFFFFF"/>
        </w:rPr>
        <w:t>impact</w:t>
      </w:r>
      <w:r w:rsidR="005A029C" w:rsidRPr="00BF6F6A">
        <w:rPr>
          <w:shd w:val="clear" w:color="auto" w:fill="FFFFFF"/>
        </w:rPr>
        <w:t xml:space="preserve"> of the existing buil</w:t>
      </w:r>
      <w:r w:rsidRPr="00BF6F6A">
        <w:rPr>
          <w:shd w:val="clear" w:color="auto" w:fill="FFFFFF"/>
        </w:rPr>
        <w:t>dings</w:t>
      </w:r>
      <w:r w:rsidR="000307F8">
        <w:rPr>
          <w:shd w:val="clear" w:color="auto" w:fill="FFFFFF"/>
        </w:rPr>
        <w:t>,</w:t>
      </w:r>
      <w:r w:rsidR="00774840" w:rsidRPr="00BF6F6A">
        <w:t xml:space="preserve"> </w:t>
      </w:r>
      <w:r w:rsidR="007B5ADD" w:rsidRPr="00BF6F6A">
        <w:t xml:space="preserve">as </w:t>
      </w:r>
      <w:r w:rsidR="008A0547" w:rsidRPr="00BF6F6A">
        <w:t xml:space="preserve">green buildings </w:t>
      </w:r>
      <w:r w:rsidR="007B5ADD" w:rsidRPr="00BF6F6A">
        <w:t xml:space="preserve">are expected to </w:t>
      </w:r>
      <w:r w:rsidR="008A0547" w:rsidRPr="00BF6F6A">
        <w:t xml:space="preserve">become more valuable relative to conventional </w:t>
      </w:r>
      <w:r w:rsidRPr="00BF6F6A">
        <w:t>ones</w:t>
      </w:r>
      <w:r w:rsidR="007B5ADD" w:rsidRPr="00BF6F6A">
        <w:t xml:space="preserve"> (Pivo</w:t>
      </w:r>
      <w:r w:rsidR="00D22007" w:rsidRPr="00BF6F6A">
        <w:t xml:space="preserve"> and UNEP</w:t>
      </w:r>
      <w:r w:rsidR="007B5ADD" w:rsidRPr="00BF6F6A">
        <w:t>, 2008)</w:t>
      </w:r>
      <w:r w:rsidR="00364DE2" w:rsidRPr="00BF6F6A">
        <w:t>.</w:t>
      </w:r>
      <w:r w:rsidR="00D52388" w:rsidRPr="00BF6F6A">
        <w:t xml:space="preserve"> </w:t>
      </w:r>
      <w:r w:rsidR="00E441E0" w:rsidRPr="00BF6F6A">
        <w:rPr>
          <w:shd w:val="clear" w:color="auto" w:fill="FFFFFF"/>
        </w:rPr>
        <w:t xml:space="preserve">Green building certification is </w:t>
      </w:r>
      <w:r w:rsidR="00A9457B" w:rsidRPr="00BF6F6A">
        <w:rPr>
          <w:shd w:val="clear" w:color="auto" w:fill="FFFFFF"/>
        </w:rPr>
        <w:t xml:space="preserve">also </w:t>
      </w:r>
      <w:r w:rsidR="00E441E0" w:rsidRPr="00BF6F6A">
        <w:rPr>
          <w:shd w:val="clear" w:color="auto" w:fill="FFFFFF"/>
        </w:rPr>
        <w:t>shown to lower risk</w:t>
      </w:r>
      <w:r w:rsidR="0021415C">
        <w:rPr>
          <w:shd w:val="clear" w:color="auto" w:fill="FFFFFF"/>
        </w:rPr>
        <w:t>,</w:t>
      </w:r>
      <w:r w:rsidR="00E441E0" w:rsidRPr="00BF6F6A">
        <w:rPr>
          <w:shd w:val="clear" w:color="auto" w:fill="FFFFFF"/>
        </w:rPr>
        <w:t xml:space="preserve"> while improving energy and financial performance</w:t>
      </w:r>
      <w:r w:rsidR="007B5ADD" w:rsidRPr="00BF6F6A">
        <w:rPr>
          <w:shd w:val="clear" w:color="auto" w:fill="FFFFFF"/>
        </w:rPr>
        <w:t xml:space="preserve"> </w:t>
      </w:r>
      <w:r w:rsidR="00651F58">
        <w:rPr>
          <w:shd w:val="clear" w:color="auto" w:fill="FFFFFF"/>
        </w:rPr>
        <w:t>through</w:t>
      </w:r>
      <w:r w:rsidR="007B5ADD" w:rsidRPr="00BF6F6A">
        <w:rPr>
          <w:shd w:val="clear" w:color="auto" w:fill="FFFFFF"/>
        </w:rPr>
        <w:t xml:space="preserve"> lower</w:t>
      </w:r>
      <w:r w:rsidR="00323366" w:rsidRPr="00BF6F6A">
        <w:rPr>
          <w:shd w:val="clear" w:color="auto" w:fill="FFFFFF"/>
        </w:rPr>
        <w:t xml:space="preserve"> </w:t>
      </w:r>
      <w:r w:rsidR="007B5ADD" w:rsidRPr="00BF6F6A">
        <w:rPr>
          <w:shd w:val="clear" w:color="auto" w:fill="FFFFFF"/>
        </w:rPr>
        <w:t>cost of debt (</w:t>
      </w:r>
      <w:r w:rsidR="00E441E0" w:rsidRPr="00BF6F6A">
        <w:t xml:space="preserve">Eichholtz </w:t>
      </w:r>
      <w:r w:rsidR="00E441E0" w:rsidRPr="00BF6F6A">
        <w:rPr>
          <w:i/>
          <w:iCs/>
        </w:rPr>
        <w:t>et al.</w:t>
      </w:r>
      <w:r w:rsidR="007B5ADD" w:rsidRPr="00BF6F6A">
        <w:t xml:space="preserve">, </w:t>
      </w:r>
      <w:r w:rsidR="00E441E0" w:rsidRPr="00BF6F6A">
        <w:t>201</w:t>
      </w:r>
      <w:r w:rsidR="00CD0C88" w:rsidRPr="00BF6F6A">
        <w:t>9</w:t>
      </w:r>
      <w:r w:rsidR="008E678D" w:rsidRPr="00BF6F6A">
        <w:t>a</w:t>
      </w:r>
      <w:r w:rsidR="00E441E0" w:rsidRPr="00BF6F6A">
        <w:t>)</w:t>
      </w:r>
      <w:r w:rsidR="007B5ADD" w:rsidRPr="00BF6F6A">
        <w:t>.</w:t>
      </w:r>
      <w:r w:rsidR="00937AC3" w:rsidRPr="00BF6F6A">
        <w:t xml:space="preserve"> </w:t>
      </w:r>
      <w:r w:rsidR="00651F58">
        <w:t>S</w:t>
      </w:r>
      <w:r w:rsidR="00313E18" w:rsidRPr="00BF6F6A">
        <w:rPr>
          <w:shd w:val="clear" w:color="auto" w:fill="FFFFFF"/>
        </w:rPr>
        <w:t xml:space="preserve">ustainability </w:t>
      </w:r>
      <w:r w:rsidR="00AF655D" w:rsidRPr="00BF6F6A">
        <w:rPr>
          <w:shd w:val="clear" w:color="auto" w:fill="FFFFFF"/>
        </w:rPr>
        <w:t>g</w:t>
      </w:r>
      <w:r w:rsidR="00313E18" w:rsidRPr="00BF6F6A">
        <w:rPr>
          <w:shd w:val="clear" w:color="auto" w:fill="FFFFFF"/>
        </w:rPr>
        <w:t xml:space="preserve">overnance and </w:t>
      </w:r>
      <w:r w:rsidR="00AF655D" w:rsidRPr="00BF6F6A">
        <w:rPr>
          <w:shd w:val="clear" w:color="auto" w:fill="FFFFFF"/>
        </w:rPr>
        <w:t>s</w:t>
      </w:r>
      <w:r w:rsidR="00313E18" w:rsidRPr="00BF6F6A">
        <w:rPr>
          <w:shd w:val="clear" w:color="auto" w:fill="FFFFFF"/>
        </w:rPr>
        <w:t xml:space="preserve">takeholder </w:t>
      </w:r>
      <w:r w:rsidR="00F22AE6" w:rsidRPr="00BF6F6A">
        <w:rPr>
          <w:shd w:val="clear" w:color="auto" w:fill="FFFFFF"/>
        </w:rPr>
        <w:t xml:space="preserve">collaboration </w:t>
      </w:r>
      <w:r w:rsidR="00A85640" w:rsidRPr="00BF6F6A">
        <w:rPr>
          <w:shd w:val="clear" w:color="auto" w:fill="FFFFFF"/>
        </w:rPr>
        <w:t>ha</w:t>
      </w:r>
      <w:r w:rsidR="00651F58">
        <w:rPr>
          <w:shd w:val="clear" w:color="auto" w:fill="FFFFFF"/>
        </w:rPr>
        <w:t>ve</w:t>
      </w:r>
      <w:r w:rsidR="00A85640" w:rsidRPr="00BF6F6A">
        <w:rPr>
          <w:shd w:val="clear" w:color="auto" w:fill="FFFFFF"/>
        </w:rPr>
        <w:t xml:space="preserve"> been suggested to </w:t>
      </w:r>
      <w:r w:rsidR="00313E18" w:rsidRPr="00BF6F6A">
        <w:rPr>
          <w:shd w:val="clear" w:color="auto" w:fill="FFFFFF"/>
        </w:rPr>
        <w:t xml:space="preserve">improve operating </w:t>
      </w:r>
      <w:r w:rsidR="00F22AE6" w:rsidRPr="00BF6F6A">
        <w:rPr>
          <w:shd w:val="clear" w:color="auto" w:fill="FFFFFF"/>
        </w:rPr>
        <w:t>performance</w:t>
      </w:r>
      <w:r w:rsidR="00D52388" w:rsidRPr="00BF6F6A">
        <w:rPr>
          <w:shd w:val="clear" w:color="auto" w:fill="FFFFFF"/>
        </w:rPr>
        <w:t xml:space="preserve"> (</w:t>
      </w:r>
      <w:r w:rsidR="00756DC2" w:rsidRPr="00BF6F6A">
        <w:t>Husted and Sousa-Filho</w:t>
      </w:r>
      <w:r w:rsidR="00D52388" w:rsidRPr="00BF6F6A">
        <w:t xml:space="preserve">, </w:t>
      </w:r>
      <w:r w:rsidR="00756DC2" w:rsidRPr="00BF6F6A">
        <w:t>2017)</w:t>
      </w:r>
      <w:r w:rsidR="00D52388" w:rsidRPr="00BF6F6A">
        <w:t xml:space="preserve">. </w:t>
      </w:r>
      <w:r w:rsidR="00480B8B" w:rsidRPr="00BF6F6A">
        <w:t>Also,</w:t>
      </w:r>
      <w:r w:rsidR="00A9457B" w:rsidRPr="00BF6F6A">
        <w:t xml:space="preserve"> h</w:t>
      </w:r>
      <w:r w:rsidR="003878A7" w:rsidRPr="00BF6F6A">
        <w:t xml:space="preserve">igh ESG firms have lower systematic risk and tend to create more value </w:t>
      </w:r>
      <w:r w:rsidRPr="00BF6F6A">
        <w:t xml:space="preserve">when </w:t>
      </w:r>
      <w:r w:rsidR="003878A7" w:rsidRPr="00BF6F6A">
        <w:t>compared to lower ESG firms</w:t>
      </w:r>
      <w:r w:rsidR="00D52388" w:rsidRPr="00BF6F6A">
        <w:t xml:space="preserve"> (Bhaskaran </w:t>
      </w:r>
      <w:r w:rsidR="00D52388" w:rsidRPr="00BF6F6A">
        <w:rPr>
          <w:i/>
          <w:iCs/>
        </w:rPr>
        <w:t>et al.</w:t>
      </w:r>
      <w:r w:rsidR="00D52388" w:rsidRPr="00BF6F6A">
        <w:t>, 2020).</w:t>
      </w:r>
      <w:r w:rsidR="004579E7" w:rsidRPr="00BF6F6A">
        <w:t xml:space="preserve"> </w:t>
      </w:r>
      <w:bookmarkStart w:id="9" w:name="_Hlk174397938"/>
      <w:r w:rsidR="007B715C" w:rsidRPr="00BF6F6A">
        <w:rPr>
          <w:shd w:val="clear" w:color="auto" w:fill="FFFFFF"/>
        </w:rPr>
        <w:t>B</w:t>
      </w:r>
      <w:r w:rsidR="002904C0" w:rsidRPr="00BF6F6A">
        <w:rPr>
          <w:shd w:val="clear" w:color="auto" w:fill="FFFFFF"/>
        </w:rPr>
        <w:t xml:space="preserve">y contrast, </w:t>
      </w:r>
      <w:r w:rsidR="00651F58">
        <w:rPr>
          <w:shd w:val="clear" w:color="auto" w:fill="FFFFFF"/>
        </w:rPr>
        <w:t>the</w:t>
      </w:r>
      <w:r w:rsidR="009953A6" w:rsidRPr="00BF6F6A">
        <w:rPr>
          <w:shd w:val="clear" w:color="auto" w:fill="FFFFFF"/>
        </w:rPr>
        <w:t xml:space="preserve"> lack of</w:t>
      </w:r>
      <w:r w:rsidR="007325B2" w:rsidRPr="00BF6F6A">
        <w:rPr>
          <w:shd w:val="clear" w:color="auto" w:fill="FFFFFF"/>
        </w:rPr>
        <w:t xml:space="preserve"> collaboration across countries and sectors</w:t>
      </w:r>
      <w:r w:rsidRPr="00BF6F6A">
        <w:rPr>
          <w:shd w:val="clear" w:color="auto" w:fill="FFFFFF"/>
        </w:rPr>
        <w:t xml:space="preserve"> is a challenge </w:t>
      </w:r>
      <w:r w:rsidR="007325B2" w:rsidRPr="00BF6F6A">
        <w:rPr>
          <w:shd w:val="clear" w:color="auto" w:fill="FFFFFF"/>
        </w:rPr>
        <w:t>for impact invest</w:t>
      </w:r>
      <w:r w:rsidRPr="00BF6F6A">
        <w:rPr>
          <w:shd w:val="clear" w:color="auto" w:fill="FFFFFF"/>
        </w:rPr>
        <w:t>ments</w:t>
      </w:r>
      <w:r w:rsidR="007325B2" w:rsidRPr="00BF6F6A">
        <w:rPr>
          <w:shd w:val="clear" w:color="auto" w:fill="FFFFFF"/>
        </w:rPr>
        <w:t xml:space="preserve"> to</w:t>
      </w:r>
      <w:r w:rsidR="00E44123" w:rsidRPr="00BF6F6A">
        <w:rPr>
          <w:shd w:val="clear" w:color="auto" w:fill="FFFFFF"/>
        </w:rPr>
        <w:t xml:space="preserve"> be</w:t>
      </w:r>
      <w:r w:rsidR="00F11C0E" w:rsidRPr="00BF6F6A">
        <w:rPr>
          <w:shd w:val="clear" w:color="auto" w:fill="FFFFFF"/>
        </w:rPr>
        <w:t xml:space="preserve"> truly</w:t>
      </w:r>
      <w:r w:rsidR="00E44123" w:rsidRPr="00BF6F6A">
        <w:rPr>
          <w:shd w:val="clear" w:color="auto" w:fill="FFFFFF"/>
        </w:rPr>
        <w:t xml:space="preserve"> effective</w:t>
      </w:r>
      <w:r w:rsidR="00D4717A" w:rsidRPr="00BF6F6A">
        <w:rPr>
          <w:shd w:val="clear" w:color="auto" w:fill="FFFFFF"/>
        </w:rPr>
        <w:t xml:space="preserve"> (</w:t>
      </w:r>
      <w:r w:rsidR="001103A7" w:rsidRPr="00BF6F6A">
        <w:t>Brandstetter and Lehner</w:t>
      </w:r>
      <w:r w:rsidR="00D4717A" w:rsidRPr="00BF6F6A">
        <w:t xml:space="preserve">, </w:t>
      </w:r>
      <w:r w:rsidR="001103A7" w:rsidRPr="00BF6F6A">
        <w:t>2015)</w:t>
      </w:r>
      <w:r w:rsidR="00651F58">
        <w:t>. This is particularly apparent for</w:t>
      </w:r>
      <w:r w:rsidR="001103A7" w:rsidRPr="00BF6F6A">
        <w:t xml:space="preserve"> niche investment sector</w:t>
      </w:r>
      <w:r w:rsidR="00651F58">
        <w:t>s</w:t>
      </w:r>
      <w:r w:rsidR="001103A7" w:rsidRPr="00BF6F6A">
        <w:t xml:space="preserve"> </w:t>
      </w:r>
      <w:r w:rsidR="00651F58">
        <w:t xml:space="preserve">where it is critical to </w:t>
      </w:r>
      <w:r w:rsidR="00D4717A" w:rsidRPr="00BF6F6A">
        <w:t xml:space="preserve">develop </w:t>
      </w:r>
      <w:r w:rsidR="001103A7" w:rsidRPr="00BF6F6A">
        <w:t>global strateg</w:t>
      </w:r>
      <w:r w:rsidR="00D4717A" w:rsidRPr="00BF6F6A">
        <w:t>ies</w:t>
      </w:r>
      <w:r w:rsidR="001103A7" w:rsidRPr="00BF6F6A">
        <w:t xml:space="preserve"> </w:t>
      </w:r>
      <w:r w:rsidR="0021415C">
        <w:t xml:space="preserve">for </w:t>
      </w:r>
      <w:r w:rsidR="00651F58">
        <w:t>promoting social value</w:t>
      </w:r>
      <w:r w:rsidR="001103A7" w:rsidRPr="00BF6F6A">
        <w:t xml:space="preserve">. </w:t>
      </w:r>
    </w:p>
    <w:bookmarkEnd w:id="9"/>
    <w:p w14:paraId="56F2B634" w14:textId="1B57668A" w:rsidR="00015899" w:rsidRPr="00BF6F6A" w:rsidRDefault="00D4717A" w:rsidP="00945055">
      <w:pPr>
        <w:ind w:firstLine="720"/>
        <w:jc w:val="both"/>
      </w:pPr>
      <w:r w:rsidRPr="00BF6F6A">
        <w:rPr>
          <w:shd w:val="clear" w:color="auto" w:fill="FFFFFF"/>
        </w:rPr>
        <w:t>K</w:t>
      </w:r>
      <w:r w:rsidR="006A2CDC" w:rsidRPr="00BF6F6A">
        <w:rPr>
          <w:shd w:val="clear" w:color="auto" w:fill="FFFFFF"/>
        </w:rPr>
        <w:t>ey risk</w:t>
      </w:r>
      <w:r w:rsidR="004579E7" w:rsidRPr="00BF6F6A">
        <w:rPr>
          <w:shd w:val="clear" w:color="auto" w:fill="FFFFFF"/>
        </w:rPr>
        <w:t xml:space="preserve">s </w:t>
      </w:r>
      <w:r w:rsidR="00937AC3" w:rsidRPr="00BF6F6A">
        <w:rPr>
          <w:shd w:val="clear" w:color="auto" w:fill="FFFFFF"/>
        </w:rPr>
        <w:t xml:space="preserve">around ESG engagement </w:t>
      </w:r>
      <w:r w:rsidR="004579E7" w:rsidRPr="00BF6F6A">
        <w:rPr>
          <w:shd w:val="clear" w:color="auto" w:fill="FFFFFF"/>
        </w:rPr>
        <w:t xml:space="preserve">relate to </w:t>
      </w:r>
      <w:r w:rsidR="005F7A03" w:rsidRPr="00BF6F6A">
        <w:rPr>
          <w:shd w:val="clear" w:color="auto" w:fill="FFFFFF"/>
        </w:rPr>
        <w:t xml:space="preserve">the reputation of the entity </w:t>
      </w:r>
      <w:r w:rsidR="004E50A8" w:rsidRPr="00BF6F6A">
        <w:rPr>
          <w:shd w:val="clear" w:color="auto" w:fill="FFFFFF"/>
        </w:rPr>
        <w:t xml:space="preserve">choosing </w:t>
      </w:r>
      <w:r w:rsidR="00937AC3" w:rsidRPr="00BF6F6A">
        <w:rPr>
          <w:shd w:val="clear" w:color="auto" w:fill="FFFFFF"/>
        </w:rPr>
        <w:t xml:space="preserve">to proceed </w:t>
      </w:r>
      <w:r w:rsidR="003B4F8D" w:rsidRPr="00BF6F6A">
        <w:rPr>
          <w:shd w:val="clear" w:color="auto" w:fill="FFFFFF"/>
        </w:rPr>
        <w:t xml:space="preserve">(or not) </w:t>
      </w:r>
      <w:r w:rsidR="00937AC3" w:rsidRPr="00BF6F6A">
        <w:rPr>
          <w:shd w:val="clear" w:color="auto" w:fill="FFFFFF"/>
        </w:rPr>
        <w:t>with specific ESG actions</w:t>
      </w:r>
      <w:r w:rsidR="00CA072E" w:rsidRPr="00BF6F6A">
        <w:rPr>
          <w:shd w:val="clear" w:color="auto" w:fill="FFFFFF"/>
        </w:rPr>
        <w:t xml:space="preserve"> (</w:t>
      </w:r>
      <w:r w:rsidR="0029008D" w:rsidRPr="00BF6F6A">
        <w:rPr>
          <w:shd w:val="clear" w:color="auto" w:fill="FFFFFF"/>
        </w:rPr>
        <w:t xml:space="preserve">Hebb </w:t>
      </w:r>
      <w:r w:rsidR="0029008D" w:rsidRPr="00BF6F6A">
        <w:rPr>
          <w:i/>
          <w:iCs/>
          <w:shd w:val="clear" w:color="auto" w:fill="FFFFFF"/>
        </w:rPr>
        <w:t>et al.</w:t>
      </w:r>
      <w:r w:rsidR="0046656E" w:rsidRPr="00BF6F6A">
        <w:rPr>
          <w:shd w:val="clear" w:color="auto" w:fill="FFFFFF"/>
        </w:rPr>
        <w:t>,</w:t>
      </w:r>
      <w:r w:rsidR="0029008D" w:rsidRPr="00BF6F6A">
        <w:rPr>
          <w:shd w:val="clear" w:color="auto" w:fill="FFFFFF"/>
        </w:rPr>
        <w:t xml:space="preserve"> 2010; </w:t>
      </w:r>
      <w:r w:rsidR="00CE514C" w:rsidRPr="00BF6F6A">
        <w:rPr>
          <w:shd w:val="clear" w:color="auto" w:fill="FFFFFF"/>
        </w:rPr>
        <w:t xml:space="preserve">Bhaskaran </w:t>
      </w:r>
      <w:r w:rsidR="00CE514C" w:rsidRPr="00BF6F6A">
        <w:rPr>
          <w:i/>
          <w:iCs/>
          <w:shd w:val="clear" w:color="auto" w:fill="FFFFFF"/>
        </w:rPr>
        <w:t>et al.</w:t>
      </w:r>
      <w:r w:rsidR="00CE514C" w:rsidRPr="00BF6F6A">
        <w:rPr>
          <w:shd w:val="clear" w:color="auto" w:fill="FFFFFF"/>
        </w:rPr>
        <w:t>, 2020</w:t>
      </w:r>
      <w:r w:rsidR="00A67FC3" w:rsidRPr="00BF6F6A">
        <w:rPr>
          <w:shd w:val="clear" w:color="auto" w:fill="FFFFFF"/>
        </w:rPr>
        <w:t>;</w:t>
      </w:r>
      <w:r w:rsidR="00DB57BF" w:rsidRPr="00BF6F6A">
        <w:t xml:space="preserve"> </w:t>
      </w:r>
      <w:r w:rsidR="00DB57BF" w:rsidRPr="00BF6F6A">
        <w:rPr>
          <w:shd w:val="clear" w:color="auto" w:fill="FFFFFF"/>
        </w:rPr>
        <w:t xml:space="preserve">Krueger </w:t>
      </w:r>
      <w:r w:rsidR="00DB57BF" w:rsidRPr="00BF6F6A">
        <w:rPr>
          <w:i/>
          <w:iCs/>
          <w:shd w:val="clear" w:color="auto" w:fill="FFFFFF"/>
        </w:rPr>
        <w:t>et al</w:t>
      </w:r>
      <w:r w:rsidR="00DB57BF" w:rsidRPr="00BF6F6A">
        <w:rPr>
          <w:shd w:val="clear" w:color="auto" w:fill="FFFFFF"/>
        </w:rPr>
        <w:t>.</w:t>
      </w:r>
      <w:r w:rsidR="008F5A28" w:rsidRPr="00BF6F6A">
        <w:rPr>
          <w:shd w:val="clear" w:color="auto" w:fill="FFFFFF"/>
        </w:rPr>
        <w:t>,</w:t>
      </w:r>
      <w:r w:rsidR="004551B0" w:rsidRPr="00BF6F6A">
        <w:rPr>
          <w:shd w:val="clear" w:color="auto" w:fill="FFFFFF"/>
        </w:rPr>
        <w:t xml:space="preserve"> </w:t>
      </w:r>
      <w:r w:rsidR="00BB29E9" w:rsidRPr="00BF6F6A">
        <w:rPr>
          <w:shd w:val="clear" w:color="auto" w:fill="FFFFFF"/>
        </w:rPr>
        <w:t>2020</w:t>
      </w:r>
      <w:r w:rsidR="00B123C1" w:rsidRPr="00BF6F6A">
        <w:rPr>
          <w:shd w:val="clear" w:color="auto" w:fill="FFFFFF"/>
        </w:rPr>
        <w:t xml:space="preserve">; Chambers </w:t>
      </w:r>
      <w:r w:rsidR="00B123C1" w:rsidRPr="00BF6F6A">
        <w:rPr>
          <w:i/>
          <w:iCs/>
          <w:shd w:val="clear" w:color="auto" w:fill="FFFFFF"/>
        </w:rPr>
        <w:t>et al.</w:t>
      </w:r>
      <w:r w:rsidR="00032A52" w:rsidRPr="00BF6F6A">
        <w:rPr>
          <w:shd w:val="clear" w:color="auto" w:fill="FFFFFF"/>
        </w:rPr>
        <w:t xml:space="preserve">, </w:t>
      </w:r>
      <w:r w:rsidR="00B123C1" w:rsidRPr="00BF6F6A">
        <w:rPr>
          <w:shd w:val="clear" w:color="auto" w:fill="FFFFFF"/>
        </w:rPr>
        <w:t>2021</w:t>
      </w:r>
      <w:r w:rsidR="00BB29E9" w:rsidRPr="00BF6F6A">
        <w:rPr>
          <w:shd w:val="clear" w:color="auto" w:fill="FFFFFF"/>
        </w:rPr>
        <w:t xml:space="preserve">). </w:t>
      </w:r>
      <w:r w:rsidR="00937AC3" w:rsidRPr="00BF6F6A">
        <w:rPr>
          <w:shd w:val="clear" w:color="auto" w:fill="FFFFFF"/>
        </w:rPr>
        <w:t>ESG r</w:t>
      </w:r>
      <w:r w:rsidR="009C6BFC" w:rsidRPr="00BF6F6A">
        <w:rPr>
          <w:shd w:val="clear" w:color="auto" w:fill="FFFFFF"/>
        </w:rPr>
        <w:t xml:space="preserve">isk management has the potential </w:t>
      </w:r>
      <w:r w:rsidR="00937AC3" w:rsidRPr="00BF6F6A">
        <w:rPr>
          <w:shd w:val="clear" w:color="auto" w:fill="FFFFFF"/>
        </w:rPr>
        <w:t>for</w:t>
      </w:r>
      <w:r w:rsidR="009C6BFC" w:rsidRPr="00BF6F6A">
        <w:rPr>
          <w:shd w:val="clear" w:color="auto" w:fill="FFFFFF"/>
        </w:rPr>
        <w:t xml:space="preserve"> value creation. </w:t>
      </w:r>
      <w:r w:rsidR="009C6BFC" w:rsidRPr="00BF6F6A">
        <w:t>Shea and Hutchin (2013)</w:t>
      </w:r>
      <w:r w:rsidR="00A85640" w:rsidRPr="00BF6F6A">
        <w:t>, however,</w:t>
      </w:r>
      <w:r w:rsidR="009C6BFC" w:rsidRPr="00BF6F6A">
        <w:t xml:space="preserve"> f</w:t>
      </w:r>
      <w:r w:rsidR="00945055" w:rsidRPr="00BF6F6A">
        <w:t>ound</w:t>
      </w:r>
      <w:r w:rsidR="009C6BFC" w:rsidRPr="00BF6F6A">
        <w:t xml:space="preserve"> that the insurance industry is vulnerable to emerging risks from ESG factors of sustainability and requires a systematic integration of various stakeholder</w:t>
      </w:r>
      <w:r w:rsidR="003B4F8D" w:rsidRPr="00BF6F6A">
        <w:t>s’</w:t>
      </w:r>
      <w:r w:rsidR="009C6BFC" w:rsidRPr="00BF6F6A">
        <w:t xml:space="preserve"> perspectives. </w:t>
      </w:r>
      <w:r w:rsidR="00937AC3" w:rsidRPr="00BF6F6A">
        <w:t xml:space="preserve">The issue is that </w:t>
      </w:r>
      <w:r w:rsidR="009C6BFC" w:rsidRPr="00BF6F6A">
        <w:t xml:space="preserve">ESG factors appear to </w:t>
      </w:r>
      <w:r w:rsidR="000A73BE" w:rsidRPr="00BF6F6A">
        <w:lastRenderedPageBreak/>
        <w:t xml:space="preserve">have a detrimental effect on </w:t>
      </w:r>
      <w:r w:rsidR="009C6BFC" w:rsidRPr="00BF6F6A">
        <w:t xml:space="preserve">value in the insurance industry </w:t>
      </w:r>
      <w:r w:rsidR="00540CBA" w:rsidRPr="00BF6F6A">
        <w:t>with</w:t>
      </w:r>
      <w:r w:rsidR="009C6BFC" w:rsidRPr="00BF6F6A">
        <w:t xml:space="preserve"> mismanagement of these factors caus</w:t>
      </w:r>
      <w:r w:rsidR="00540CBA" w:rsidRPr="00BF6F6A">
        <w:t>ing</w:t>
      </w:r>
      <w:r w:rsidR="009C6BFC" w:rsidRPr="00BF6F6A">
        <w:t xml:space="preserve"> reputational harm</w:t>
      </w:r>
      <w:r w:rsidR="00945055" w:rsidRPr="00BF6F6A">
        <w:t>,</w:t>
      </w:r>
      <w:r w:rsidR="009C6BFC" w:rsidRPr="00BF6F6A">
        <w:t xml:space="preserve"> which could </w:t>
      </w:r>
      <w:r w:rsidR="00945055" w:rsidRPr="00BF6F6A">
        <w:t xml:space="preserve">be </w:t>
      </w:r>
      <w:r w:rsidR="00937AC3" w:rsidRPr="00BF6F6A">
        <w:t xml:space="preserve">avoided and with improved management </w:t>
      </w:r>
      <w:r w:rsidR="009C6BFC" w:rsidRPr="00BF6F6A">
        <w:t xml:space="preserve">lead to greater financial benefits. </w:t>
      </w:r>
      <w:r w:rsidR="00945055" w:rsidRPr="00BF6F6A">
        <w:rPr>
          <w:shd w:val="clear" w:color="auto" w:fill="FFFFFF"/>
        </w:rPr>
        <w:t>In contrast</w:t>
      </w:r>
      <w:r w:rsidR="00540CBA" w:rsidRPr="00BF6F6A">
        <w:rPr>
          <w:shd w:val="clear" w:color="auto" w:fill="FFFFFF"/>
        </w:rPr>
        <w:t>, u</w:t>
      </w:r>
      <w:r w:rsidR="00D31E80" w:rsidRPr="00BF6F6A">
        <w:rPr>
          <w:shd w:val="clear" w:color="auto" w:fill="FFFFFF"/>
        </w:rPr>
        <w:t xml:space="preserve">ser </w:t>
      </w:r>
      <w:r w:rsidR="00B55C2C" w:rsidRPr="00BF6F6A">
        <w:rPr>
          <w:shd w:val="clear" w:color="auto" w:fill="FFFFFF"/>
        </w:rPr>
        <w:t>well</w:t>
      </w:r>
      <w:r w:rsidRPr="00BF6F6A">
        <w:rPr>
          <w:shd w:val="clear" w:color="auto" w:fill="FFFFFF"/>
        </w:rPr>
        <w:t>-</w:t>
      </w:r>
      <w:r w:rsidR="00B55C2C" w:rsidRPr="00BF6F6A">
        <w:rPr>
          <w:shd w:val="clear" w:color="auto" w:fill="FFFFFF"/>
        </w:rPr>
        <w:t>being</w:t>
      </w:r>
      <w:r w:rsidR="00D31E80" w:rsidRPr="00BF6F6A">
        <w:rPr>
          <w:shd w:val="clear" w:color="auto" w:fill="FFFFFF"/>
        </w:rPr>
        <w:t xml:space="preserve"> </w:t>
      </w:r>
      <w:r w:rsidR="00540CBA" w:rsidRPr="00BF6F6A">
        <w:rPr>
          <w:shd w:val="clear" w:color="auto" w:fill="FFFFFF"/>
        </w:rPr>
        <w:t xml:space="preserve">appears to </w:t>
      </w:r>
      <w:r w:rsidR="00F37786" w:rsidRPr="00BF6F6A">
        <w:rPr>
          <w:shd w:val="clear" w:color="auto" w:fill="FFFFFF"/>
        </w:rPr>
        <w:t>improve</w:t>
      </w:r>
      <w:r w:rsidR="00D31E80" w:rsidRPr="00BF6F6A">
        <w:rPr>
          <w:shd w:val="clear" w:color="auto" w:fill="FFFFFF"/>
        </w:rPr>
        <w:t xml:space="preserve"> </w:t>
      </w:r>
      <w:r w:rsidR="00D352C7" w:rsidRPr="00BF6F6A">
        <w:rPr>
          <w:shd w:val="clear" w:color="auto" w:fill="FFFFFF"/>
        </w:rPr>
        <w:t>u</w:t>
      </w:r>
      <w:r w:rsidR="00D31E80" w:rsidRPr="00BF6F6A">
        <w:rPr>
          <w:shd w:val="clear" w:color="auto" w:fill="FFFFFF"/>
        </w:rPr>
        <w:t xml:space="preserve">ser </w:t>
      </w:r>
      <w:r w:rsidR="00F37786" w:rsidRPr="00BF6F6A">
        <w:rPr>
          <w:shd w:val="clear" w:color="auto" w:fill="FFFFFF"/>
        </w:rPr>
        <w:t>satisfaction</w:t>
      </w:r>
      <w:r w:rsidR="00D31E80" w:rsidRPr="00BF6F6A">
        <w:rPr>
          <w:shd w:val="clear" w:color="auto" w:fill="FFFFFF"/>
        </w:rPr>
        <w:t xml:space="preserve"> </w:t>
      </w:r>
      <w:r w:rsidR="00D352C7" w:rsidRPr="00BF6F6A">
        <w:rPr>
          <w:shd w:val="clear" w:color="auto" w:fill="FFFFFF"/>
        </w:rPr>
        <w:t>and lead</w:t>
      </w:r>
      <w:r w:rsidRPr="00BF6F6A">
        <w:rPr>
          <w:shd w:val="clear" w:color="auto" w:fill="FFFFFF"/>
        </w:rPr>
        <w:t>s</w:t>
      </w:r>
      <w:r w:rsidR="00D352C7" w:rsidRPr="00BF6F6A">
        <w:rPr>
          <w:shd w:val="clear" w:color="auto" w:fill="FFFFFF"/>
        </w:rPr>
        <w:t xml:space="preserve"> to increased returns</w:t>
      </w:r>
      <w:r w:rsidR="00B55C2C" w:rsidRPr="00BF6F6A">
        <w:rPr>
          <w:shd w:val="clear" w:color="auto" w:fill="FFFFFF"/>
        </w:rPr>
        <w:t>.</w:t>
      </w:r>
      <w:r w:rsidR="000403D5" w:rsidRPr="00BF6F6A">
        <w:rPr>
          <w:shd w:val="clear" w:color="auto" w:fill="FFFFFF"/>
        </w:rPr>
        <w:t xml:space="preserve"> </w:t>
      </w:r>
      <w:r w:rsidR="000403D5" w:rsidRPr="00BF6F6A">
        <w:t xml:space="preserve">Kempeneer </w:t>
      </w:r>
      <w:r w:rsidR="000403D5" w:rsidRPr="00BF6F6A">
        <w:rPr>
          <w:i/>
          <w:iCs/>
        </w:rPr>
        <w:t>et al.</w:t>
      </w:r>
      <w:r w:rsidR="000403D5" w:rsidRPr="00BF6F6A">
        <w:t xml:space="preserve"> (2021) argue that the social dimension of ESG is under</w:t>
      </w:r>
      <w:r w:rsidR="00540CBA" w:rsidRPr="00BF6F6A">
        <w:t>-</w:t>
      </w:r>
      <w:r w:rsidR="000403D5" w:rsidRPr="00BF6F6A">
        <w:t>conceptualised and should include elements of user well</w:t>
      </w:r>
      <w:r w:rsidRPr="00BF6F6A">
        <w:t>-</w:t>
      </w:r>
      <w:r w:rsidR="000403D5" w:rsidRPr="00BF6F6A">
        <w:t>being</w:t>
      </w:r>
      <w:r w:rsidR="00945055" w:rsidRPr="00BF6F6A">
        <w:t>,</w:t>
      </w:r>
      <w:r w:rsidR="000403D5" w:rsidRPr="00BF6F6A">
        <w:t xml:space="preserve"> as it is crucial </w:t>
      </w:r>
      <w:r w:rsidRPr="00BF6F6A">
        <w:t>to understand</w:t>
      </w:r>
      <w:r w:rsidR="000403D5" w:rsidRPr="00BF6F6A">
        <w:t xml:space="preserve"> user behaviour when trying to reduce the environmental impact of buildings</w:t>
      </w:r>
      <w:r w:rsidR="0061219A" w:rsidRPr="00BF6F6A">
        <w:t>. Further</w:t>
      </w:r>
      <w:r w:rsidR="00253AD7" w:rsidRPr="00BF6F6A">
        <w:t xml:space="preserve">, </w:t>
      </w:r>
      <w:r w:rsidR="00015899" w:rsidRPr="00BF6F6A">
        <w:t xml:space="preserve">Diouf </w:t>
      </w:r>
      <w:r w:rsidR="00015899" w:rsidRPr="00BF6F6A">
        <w:rPr>
          <w:i/>
          <w:iCs/>
        </w:rPr>
        <w:t>et al.</w:t>
      </w:r>
      <w:r w:rsidR="00015899" w:rsidRPr="00BF6F6A">
        <w:t xml:space="preserve"> (2016) </w:t>
      </w:r>
      <w:r w:rsidR="0061219A" w:rsidRPr="00BF6F6A">
        <w:t>observe</w:t>
      </w:r>
      <w:r w:rsidR="00015899" w:rsidRPr="00BF6F6A">
        <w:t xml:space="preserve"> that social values, ESG issues, financial return, </w:t>
      </w:r>
      <w:r w:rsidR="008306CB" w:rsidRPr="00BF6F6A">
        <w:t xml:space="preserve">and </w:t>
      </w:r>
      <w:r w:rsidR="00015899" w:rsidRPr="00BF6F6A">
        <w:t>the role of the institution are all complexly associated with SRI portfolios</w:t>
      </w:r>
      <w:r w:rsidR="008306CB" w:rsidRPr="00BF6F6A">
        <w:t xml:space="preserve"> and that </w:t>
      </w:r>
      <w:r w:rsidR="00015899" w:rsidRPr="00BF6F6A">
        <w:t>investment decisions depend on individual motivations and the socio-cultural context within which they are made</w:t>
      </w:r>
      <w:r w:rsidRPr="00BF6F6A">
        <w:t>.</w:t>
      </w:r>
      <w:r w:rsidR="000A73BE" w:rsidRPr="00BF6F6A">
        <w:t xml:space="preserve"> These observations prove the weak role of institutions and thus</w:t>
      </w:r>
      <w:r w:rsidR="00A85640" w:rsidRPr="00BF6F6A">
        <w:t xml:space="preserve"> i</w:t>
      </w:r>
      <w:r w:rsidR="00015899" w:rsidRPr="00BF6F6A">
        <w:t>ncreas</w:t>
      </w:r>
      <w:r w:rsidRPr="00BF6F6A">
        <w:t xml:space="preserve">ing </w:t>
      </w:r>
      <w:r w:rsidR="00015899" w:rsidRPr="00BF6F6A">
        <w:t>the role of the institution</w:t>
      </w:r>
      <w:r w:rsidR="000A73BE" w:rsidRPr="00BF6F6A">
        <w:t>s</w:t>
      </w:r>
      <w:r w:rsidR="00015899" w:rsidRPr="00BF6F6A">
        <w:t xml:space="preserve"> through promotion strategies and education </w:t>
      </w:r>
      <w:r w:rsidR="000A73BE" w:rsidRPr="00BF6F6A">
        <w:t>should</w:t>
      </w:r>
      <w:r w:rsidR="00015899" w:rsidRPr="00BF6F6A">
        <w:t xml:space="preserve"> further increase public awareness and interest </w:t>
      </w:r>
      <w:r w:rsidR="00502505">
        <w:t>in</w:t>
      </w:r>
      <w:r w:rsidR="00502505" w:rsidRPr="00BF6F6A">
        <w:t xml:space="preserve"> </w:t>
      </w:r>
      <w:r w:rsidR="00015899" w:rsidRPr="00BF6F6A">
        <w:t>SRI.</w:t>
      </w:r>
    </w:p>
    <w:p w14:paraId="578BCAB6" w14:textId="77777777" w:rsidR="00945055" w:rsidRPr="00BF6F6A" w:rsidRDefault="00945055" w:rsidP="003B4F8D">
      <w:pPr>
        <w:jc w:val="both"/>
      </w:pPr>
    </w:p>
    <w:p w14:paraId="3AB423A4" w14:textId="751EEB61" w:rsidR="00F4786E" w:rsidRPr="00BF6F6A" w:rsidRDefault="002D257D" w:rsidP="003B4F8D">
      <w:pPr>
        <w:pStyle w:val="Heading2"/>
        <w:numPr>
          <w:ilvl w:val="1"/>
          <w:numId w:val="43"/>
        </w:numPr>
        <w:spacing w:before="0" w:after="0"/>
        <w:ind w:left="-15" w:firstLine="0"/>
        <w:rPr>
          <w:rFonts w:eastAsia="Calibri" w:cs="Times New Roman"/>
          <w:b w:val="0"/>
          <w:sz w:val="29"/>
          <w:szCs w:val="22"/>
        </w:rPr>
      </w:pPr>
      <w:bookmarkStart w:id="10" w:name="_Toc99882223"/>
      <w:r w:rsidRPr="00BF6F6A">
        <w:rPr>
          <w:rFonts w:eastAsia="Calibri" w:cs="Times New Roman"/>
          <w:b w:val="0"/>
          <w:sz w:val="29"/>
          <w:szCs w:val="22"/>
        </w:rPr>
        <w:t>ESG</w:t>
      </w:r>
      <w:r w:rsidR="00FF2662" w:rsidRPr="00BF6F6A">
        <w:rPr>
          <w:rFonts w:eastAsia="Calibri" w:cs="Times New Roman"/>
          <w:b w:val="0"/>
          <w:sz w:val="29"/>
          <w:szCs w:val="22"/>
        </w:rPr>
        <w:t xml:space="preserve"> </w:t>
      </w:r>
      <w:r w:rsidR="00FE48E5" w:rsidRPr="00BF6F6A">
        <w:rPr>
          <w:rFonts w:eastAsia="Calibri" w:cs="Times New Roman"/>
          <w:b w:val="0"/>
          <w:sz w:val="29"/>
          <w:szCs w:val="22"/>
        </w:rPr>
        <w:t>i</w:t>
      </w:r>
      <w:r w:rsidR="00FF2662" w:rsidRPr="00BF6F6A">
        <w:rPr>
          <w:rFonts w:eastAsia="Calibri" w:cs="Times New Roman"/>
          <w:b w:val="0"/>
          <w:sz w:val="29"/>
          <w:szCs w:val="22"/>
        </w:rPr>
        <w:t>nvestor considerations</w:t>
      </w:r>
      <w:bookmarkEnd w:id="10"/>
    </w:p>
    <w:p w14:paraId="386169F9" w14:textId="03696769" w:rsidR="00682255" w:rsidRPr="00BF6F6A" w:rsidRDefault="0061219A" w:rsidP="003B4F8D">
      <w:pPr>
        <w:jc w:val="both"/>
      </w:pPr>
      <w:r w:rsidRPr="00BF6F6A">
        <w:rPr>
          <w:shd w:val="clear" w:color="auto" w:fill="FFFFFF"/>
        </w:rPr>
        <w:t>I</w:t>
      </w:r>
      <w:r w:rsidR="00260BE9" w:rsidRPr="00BF6F6A">
        <w:rPr>
          <w:shd w:val="clear" w:color="auto" w:fill="FFFFFF"/>
        </w:rPr>
        <w:t xml:space="preserve">nstitutional </w:t>
      </w:r>
      <w:r w:rsidR="000107FB" w:rsidRPr="00BF6F6A">
        <w:rPr>
          <w:shd w:val="clear" w:color="auto" w:fill="FFFFFF"/>
        </w:rPr>
        <w:t>investors</w:t>
      </w:r>
      <w:r w:rsidR="00BD0C81" w:rsidRPr="00BF6F6A">
        <w:rPr>
          <w:shd w:val="clear" w:color="auto" w:fill="FFFFFF"/>
        </w:rPr>
        <w:t xml:space="preserve"> driv</w:t>
      </w:r>
      <w:r w:rsidR="0052132F" w:rsidRPr="00BF6F6A">
        <w:rPr>
          <w:shd w:val="clear" w:color="auto" w:fill="FFFFFF"/>
        </w:rPr>
        <w:t>e</w:t>
      </w:r>
      <w:r w:rsidR="00BD0C81" w:rsidRPr="00BF6F6A">
        <w:rPr>
          <w:shd w:val="clear" w:color="auto" w:fill="FFFFFF"/>
        </w:rPr>
        <w:t xml:space="preserve"> increase</w:t>
      </w:r>
      <w:r w:rsidR="0021415C">
        <w:rPr>
          <w:shd w:val="clear" w:color="auto" w:fill="FFFFFF"/>
        </w:rPr>
        <w:t>s</w:t>
      </w:r>
      <w:r w:rsidR="00BD0C81" w:rsidRPr="00BF6F6A">
        <w:rPr>
          <w:shd w:val="clear" w:color="auto" w:fill="FFFFFF"/>
        </w:rPr>
        <w:t xml:space="preserve"> in </w:t>
      </w:r>
      <w:r w:rsidR="00502505">
        <w:rPr>
          <w:shd w:val="clear" w:color="auto" w:fill="FFFFFF"/>
        </w:rPr>
        <w:t xml:space="preserve">the </w:t>
      </w:r>
      <w:r w:rsidR="00BD0C81" w:rsidRPr="00BF6F6A">
        <w:rPr>
          <w:shd w:val="clear" w:color="auto" w:fill="FFFFFF"/>
        </w:rPr>
        <w:t xml:space="preserve">adoption of ESG reporting, as strong ESG performance leads to better financial performance </w:t>
      </w:r>
      <w:r w:rsidR="006E4945" w:rsidRPr="00BF6F6A">
        <w:rPr>
          <w:shd w:val="clear" w:color="auto" w:fill="FFFFFF"/>
        </w:rPr>
        <w:t>(</w:t>
      </w:r>
      <w:r w:rsidR="00EA4E5F" w:rsidRPr="00BF6F6A">
        <w:rPr>
          <w:shd w:val="clear" w:color="auto" w:fill="FFFFFF"/>
        </w:rPr>
        <w:t>Fr</w:t>
      </w:r>
      <w:r w:rsidR="00B123C1" w:rsidRPr="00BF6F6A">
        <w:rPr>
          <w:shd w:val="clear" w:color="auto" w:fill="FFFFFF"/>
        </w:rPr>
        <w:t>ie</w:t>
      </w:r>
      <w:r w:rsidR="00EA4E5F" w:rsidRPr="00BF6F6A">
        <w:rPr>
          <w:shd w:val="clear" w:color="auto" w:fill="FFFFFF"/>
        </w:rPr>
        <w:t xml:space="preserve">de </w:t>
      </w:r>
      <w:r w:rsidR="00EA4E5F" w:rsidRPr="00BF6F6A">
        <w:rPr>
          <w:i/>
          <w:iCs/>
          <w:shd w:val="clear" w:color="auto" w:fill="FFFFFF"/>
        </w:rPr>
        <w:t>et al.</w:t>
      </w:r>
      <w:r w:rsidR="00B91CCE" w:rsidRPr="00BF6F6A">
        <w:rPr>
          <w:shd w:val="clear" w:color="auto" w:fill="FFFFFF"/>
        </w:rPr>
        <w:t>,</w:t>
      </w:r>
      <w:r w:rsidR="00EA4E5F" w:rsidRPr="00BF6F6A">
        <w:rPr>
          <w:shd w:val="clear" w:color="auto" w:fill="FFFFFF"/>
        </w:rPr>
        <w:t xml:space="preserve"> 2015</w:t>
      </w:r>
      <w:r w:rsidR="00BF0A32" w:rsidRPr="00BF6F6A">
        <w:rPr>
          <w:shd w:val="clear" w:color="auto" w:fill="FFFFFF"/>
        </w:rPr>
        <w:t>;</w:t>
      </w:r>
      <w:r w:rsidR="00265476" w:rsidRPr="00BF6F6A">
        <w:rPr>
          <w:shd w:val="clear" w:color="auto" w:fill="FFFFFF"/>
        </w:rPr>
        <w:t xml:space="preserve"> </w:t>
      </w:r>
      <w:r w:rsidR="00BF0A32" w:rsidRPr="00BF6F6A">
        <w:rPr>
          <w:shd w:val="clear" w:color="auto" w:fill="FFFFFF"/>
        </w:rPr>
        <w:t xml:space="preserve">Khemir </w:t>
      </w:r>
      <w:r w:rsidR="00BF0A32" w:rsidRPr="00BF6F6A">
        <w:rPr>
          <w:i/>
          <w:iCs/>
          <w:shd w:val="clear" w:color="auto" w:fill="FFFFFF"/>
        </w:rPr>
        <w:t>et al.</w:t>
      </w:r>
      <w:r w:rsidR="00BF0A32" w:rsidRPr="00BF6F6A">
        <w:rPr>
          <w:shd w:val="clear" w:color="auto" w:fill="FFFFFF"/>
        </w:rPr>
        <w:t>, 2019</w:t>
      </w:r>
      <w:r w:rsidR="001D5E39" w:rsidRPr="00BF6F6A">
        <w:rPr>
          <w:shd w:val="clear" w:color="auto" w:fill="FFFFFF"/>
        </w:rPr>
        <w:t>; Kanuri, 2020; Feng and Wu, 202</w:t>
      </w:r>
      <w:r w:rsidR="006E17F6" w:rsidRPr="00BF6F6A">
        <w:rPr>
          <w:shd w:val="clear" w:color="auto" w:fill="FFFFFF"/>
        </w:rPr>
        <w:t>3</w:t>
      </w:r>
      <w:r w:rsidR="00246E6B" w:rsidRPr="00BF6F6A">
        <w:rPr>
          <w:shd w:val="clear" w:color="auto" w:fill="FFFFFF"/>
        </w:rPr>
        <w:t>)</w:t>
      </w:r>
      <w:r w:rsidR="00AD4B48" w:rsidRPr="00BF6F6A">
        <w:rPr>
          <w:shd w:val="clear" w:color="auto" w:fill="FFFFFF"/>
        </w:rPr>
        <w:t xml:space="preserve">. </w:t>
      </w:r>
      <w:r w:rsidR="00074639" w:rsidRPr="00BF6F6A">
        <w:t xml:space="preserve">Hebb </w:t>
      </w:r>
      <w:r w:rsidR="00074639" w:rsidRPr="00BF6F6A">
        <w:rPr>
          <w:i/>
          <w:iCs/>
        </w:rPr>
        <w:t>et al.</w:t>
      </w:r>
      <w:r w:rsidR="00074639" w:rsidRPr="00BF6F6A">
        <w:t xml:space="preserve"> (2010) </w:t>
      </w:r>
      <w:r w:rsidR="00A9457B" w:rsidRPr="00BF6F6A">
        <w:t xml:space="preserve">also note </w:t>
      </w:r>
      <w:r w:rsidR="00074639" w:rsidRPr="00BF6F6A">
        <w:t xml:space="preserve">that a </w:t>
      </w:r>
      <w:r w:rsidR="00014D2C" w:rsidRPr="00BF6F6A">
        <w:rPr>
          <w:i/>
          <w:iCs/>
        </w:rPr>
        <w:t>“h</w:t>
      </w:r>
      <w:r w:rsidR="00074639" w:rsidRPr="00BF6F6A">
        <w:rPr>
          <w:i/>
          <w:iCs/>
        </w:rPr>
        <w:t>igh</w:t>
      </w:r>
      <w:r w:rsidR="00014D2C" w:rsidRPr="00BF6F6A">
        <w:rPr>
          <w:i/>
          <w:iCs/>
        </w:rPr>
        <w:t>”</w:t>
      </w:r>
      <w:r w:rsidR="00074639" w:rsidRPr="00BF6F6A">
        <w:t xml:space="preserve"> ESG portfolio outperforms a </w:t>
      </w:r>
      <w:r w:rsidR="00014D2C" w:rsidRPr="00BF6F6A">
        <w:rPr>
          <w:i/>
          <w:iCs/>
        </w:rPr>
        <w:t>“l</w:t>
      </w:r>
      <w:r w:rsidR="00074639" w:rsidRPr="00BF6F6A">
        <w:rPr>
          <w:i/>
          <w:iCs/>
        </w:rPr>
        <w:t>ow</w:t>
      </w:r>
      <w:r w:rsidR="00014D2C" w:rsidRPr="00BF6F6A">
        <w:rPr>
          <w:i/>
          <w:iCs/>
        </w:rPr>
        <w:t>”</w:t>
      </w:r>
      <w:r w:rsidR="00074639" w:rsidRPr="00BF6F6A">
        <w:t xml:space="preserve"> ESG portfolio </w:t>
      </w:r>
      <w:r w:rsidR="00134F65" w:rsidRPr="00BF6F6A">
        <w:t>and that</w:t>
      </w:r>
      <w:r w:rsidR="00074639" w:rsidRPr="00BF6F6A">
        <w:t xml:space="preserve"> ESG standards have an indirect effect </w:t>
      </w:r>
      <w:r w:rsidR="00D4717A" w:rsidRPr="00BF6F6A">
        <w:t xml:space="preserve">on financial out-performance </w:t>
      </w:r>
      <w:r w:rsidR="00074639" w:rsidRPr="00BF6F6A">
        <w:t>through risk reduction and enhanced corporate reputation</w:t>
      </w:r>
      <w:r w:rsidR="00F7269E" w:rsidRPr="00BF6F6A">
        <w:t>.</w:t>
      </w:r>
      <w:r w:rsidR="00074639" w:rsidRPr="00BF6F6A">
        <w:t xml:space="preserve"> </w:t>
      </w:r>
      <w:r w:rsidR="00945055" w:rsidRPr="00BF6F6A">
        <w:rPr>
          <w:shd w:val="clear" w:color="auto" w:fill="FFFFFF"/>
        </w:rPr>
        <w:t>In contrast</w:t>
      </w:r>
      <w:r w:rsidR="00A12FB5" w:rsidRPr="00BF6F6A">
        <w:rPr>
          <w:shd w:val="clear" w:color="auto" w:fill="FFFFFF"/>
        </w:rPr>
        <w:t xml:space="preserve">, </w:t>
      </w:r>
      <w:r w:rsidR="001A01F7" w:rsidRPr="00BF6F6A">
        <w:rPr>
          <w:shd w:val="clear" w:color="auto" w:fill="FFFFFF"/>
        </w:rPr>
        <w:t xml:space="preserve">Kanuri (2020) </w:t>
      </w:r>
      <w:r w:rsidR="001D5E39" w:rsidRPr="00BF6F6A">
        <w:rPr>
          <w:shd w:val="clear" w:color="auto" w:fill="FFFFFF"/>
        </w:rPr>
        <w:t>observ</w:t>
      </w:r>
      <w:r w:rsidR="00D4717A" w:rsidRPr="00BF6F6A">
        <w:rPr>
          <w:shd w:val="clear" w:color="auto" w:fill="FFFFFF"/>
        </w:rPr>
        <w:t>es</w:t>
      </w:r>
      <w:r w:rsidR="00F13AD8" w:rsidRPr="00BF6F6A">
        <w:rPr>
          <w:shd w:val="clear" w:color="auto" w:fill="FFFFFF"/>
        </w:rPr>
        <w:t xml:space="preserve"> </w:t>
      </w:r>
      <w:r w:rsidR="000C633E" w:rsidRPr="00BF6F6A">
        <w:rPr>
          <w:shd w:val="clear" w:color="auto" w:fill="FFFFFF"/>
        </w:rPr>
        <w:t>that</w:t>
      </w:r>
      <w:r w:rsidR="001A01F7" w:rsidRPr="00BF6F6A">
        <w:rPr>
          <w:shd w:val="clear" w:color="auto" w:fill="FFFFFF"/>
        </w:rPr>
        <w:t xml:space="preserve"> ESG ETFs </w:t>
      </w:r>
      <w:r w:rsidR="00F170FD" w:rsidRPr="00BF6F6A">
        <w:rPr>
          <w:shd w:val="clear" w:color="auto" w:fill="FFFFFF"/>
        </w:rPr>
        <w:t xml:space="preserve">have </w:t>
      </w:r>
      <w:r w:rsidR="00131A5E" w:rsidRPr="00BF6F6A">
        <w:rPr>
          <w:shd w:val="clear" w:color="auto" w:fill="FFFFFF"/>
        </w:rPr>
        <w:t>underperformed,</w:t>
      </w:r>
      <w:r w:rsidR="001A01F7" w:rsidRPr="00BF6F6A">
        <w:rPr>
          <w:shd w:val="clear" w:color="auto" w:fill="FFFFFF"/>
        </w:rPr>
        <w:t xml:space="preserve"> and </w:t>
      </w:r>
      <w:r w:rsidR="00F170FD" w:rsidRPr="00BF6F6A">
        <w:rPr>
          <w:shd w:val="clear" w:color="auto" w:fill="FFFFFF"/>
        </w:rPr>
        <w:t>investors</w:t>
      </w:r>
      <w:r w:rsidR="001A01F7" w:rsidRPr="00BF6F6A">
        <w:rPr>
          <w:shd w:val="clear" w:color="auto" w:fill="FFFFFF"/>
        </w:rPr>
        <w:t xml:space="preserve"> may</w:t>
      </w:r>
      <w:r w:rsidR="00F170FD" w:rsidRPr="00BF6F6A">
        <w:rPr>
          <w:shd w:val="clear" w:color="auto" w:fill="FFFFFF"/>
        </w:rPr>
        <w:t xml:space="preserve"> simply</w:t>
      </w:r>
      <w:r w:rsidR="001A01F7" w:rsidRPr="00BF6F6A">
        <w:rPr>
          <w:shd w:val="clear" w:color="auto" w:fill="FFFFFF"/>
        </w:rPr>
        <w:t xml:space="preserve"> allocate a proportion of their portfolio to ESG investing </w:t>
      </w:r>
      <w:r w:rsidR="00A12FB5" w:rsidRPr="00BF6F6A">
        <w:rPr>
          <w:shd w:val="clear" w:color="auto" w:fill="FFFFFF"/>
        </w:rPr>
        <w:t>to</w:t>
      </w:r>
      <w:r w:rsidR="001A01F7" w:rsidRPr="00BF6F6A">
        <w:rPr>
          <w:shd w:val="clear" w:color="auto" w:fill="FFFFFF"/>
        </w:rPr>
        <w:t xml:space="preserve"> add diversification benefits.</w:t>
      </w:r>
      <w:r w:rsidR="00F170FD" w:rsidRPr="00BF6F6A">
        <w:rPr>
          <w:shd w:val="clear" w:color="auto" w:fill="FFFFFF"/>
        </w:rPr>
        <w:t xml:space="preserve"> </w:t>
      </w:r>
      <w:r w:rsidR="00A85640" w:rsidRPr="00BF6F6A">
        <w:rPr>
          <w:shd w:val="clear" w:color="auto" w:fill="FFFFFF"/>
        </w:rPr>
        <w:t>I</w:t>
      </w:r>
      <w:r w:rsidR="001D5E39" w:rsidRPr="00BF6F6A">
        <w:rPr>
          <w:shd w:val="clear" w:color="auto" w:fill="FFFFFF"/>
        </w:rPr>
        <w:t>t is not clear</w:t>
      </w:r>
      <w:r w:rsidR="00A85640" w:rsidRPr="00BF6F6A">
        <w:rPr>
          <w:shd w:val="clear" w:color="auto" w:fill="FFFFFF"/>
        </w:rPr>
        <w:t>, however,</w:t>
      </w:r>
      <w:r w:rsidR="00FF56C2" w:rsidRPr="00BF6F6A">
        <w:rPr>
          <w:shd w:val="clear" w:color="auto" w:fill="FFFFFF"/>
        </w:rPr>
        <w:t xml:space="preserve"> to what ext</w:t>
      </w:r>
      <w:r w:rsidR="001A01F7" w:rsidRPr="00BF6F6A">
        <w:rPr>
          <w:shd w:val="clear" w:color="auto" w:fill="FFFFFF"/>
        </w:rPr>
        <w:t xml:space="preserve">ent investors are driven by personal values compared to those </w:t>
      </w:r>
      <w:r w:rsidR="00A85640" w:rsidRPr="00BF6F6A">
        <w:rPr>
          <w:shd w:val="clear" w:color="auto" w:fill="FFFFFF"/>
        </w:rPr>
        <w:t xml:space="preserve">who </w:t>
      </w:r>
      <w:r w:rsidR="001A01F7" w:rsidRPr="00BF6F6A">
        <w:rPr>
          <w:shd w:val="clear" w:color="auto" w:fill="FFFFFF"/>
        </w:rPr>
        <w:t>believ</w:t>
      </w:r>
      <w:r w:rsidR="00A85640" w:rsidRPr="00BF6F6A">
        <w:rPr>
          <w:shd w:val="clear" w:color="auto" w:fill="FFFFFF"/>
        </w:rPr>
        <w:t>e</w:t>
      </w:r>
      <w:r w:rsidR="001A01F7" w:rsidRPr="00BF6F6A">
        <w:rPr>
          <w:shd w:val="clear" w:color="auto" w:fill="FFFFFF"/>
        </w:rPr>
        <w:t xml:space="preserve"> that investing </w:t>
      </w:r>
      <w:r w:rsidR="00FF56C2" w:rsidRPr="00BF6F6A">
        <w:rPr>
          <w:shd w:val="clear" w:color="auto" w:fill="FFFFFF"/>
        </w:rPr>
        <w:t xml:space="preserve">in ESG </w:t>
      </w:r>
      <w:r w:rsidR="001A01F7" w:rsidRPr="00BF6F6A">
        <w:rPr>
          <w:shd w:val="clear" w:color="auto" w:fill="FFFFFF"/>
        </w:rPr>
        <w:t>will simply produce a favourable risk-adjusted return.</w:t>
      </w:r>
      <w:r w:rsidR="006E17F6" w:rsidRPr="00BF6F6A">
        <w:rPr>
          <w:shd w:val="clear" w:color="auto" w:fill="FFFFFF"/>
        </w:rPr>
        <w:t xml:space="preserve"> </w:t>
      </w:r>
      <w:r w:rsidR="006E17F6" w:rsidRPr="00BF6F6A">
        <w:t xml:space="preserve">Friede </w:t>
      </w:r>
      <w:r w:rsidR="006E17F6" w:rsidRPr="00BF6F6A">
        <w:rPr>
          <w:i/>
          <w:iCs/>
        </w:rPr>
        <w:t>et al.</w:t>
      </w:r>
      <w:r w:rsidR="006E17F6" w:rsidRPr="00BF6F6A">
        <w:t xml:space="preserve"> (2015) indicate a positive correlation between </w:t>
      </w:r>
      <w:r w:rsidR="004A0180" w:rsidRPr="00BF6F6A">
        <w:t>ESG</w:t>
      </w:r>
      <w:r w:rsidR="006E17F6" w:rsidRPr="00BF6F6A">
        <w:t xml:space="preserve"> and corporate financial performance</w:t>
      </w:r>
      <w:r w:rsidR="0021415C">
        <w:t>,</w:t>
      </w:r>
      <w:r w:rsidR="006E17F6" w:rsidRPr="00BF6F6A">
        <w:t xml:space="preserve"> </w:t>
      </w:r>
      <w:r w:rsidR="00A85640" w:rsidRPr="00BF6F6A">
        <w:t xml:space="preserve">which </w:t>
      </w:r>
      <w:r w:rsidR="006E17F6" w:rsidRPr="00BF6F6A">
        <w:t>reinforc</w:t>
      </w:r>
      <w:r w:rsidR="00A85640" w:rsidRPr="00BF6F6A">
        <w:t>es</w:t>
      </w:r>
      <w:r w:rsidR="006E17F6" w:rsidRPr="00BF6F6A">
        <w:t xml:space="preserve"> the business case for ESG inves</w:t>
      </w:r>
      <w:r w:rsidR="003B4F8D" w:rsidRPr="00BF6F6A">
        <w:t>tments</w:t>
      </w:r>
      <w:r w:rsidR="006E17F6" w:rsidRPr="00BF6F6A">
        <w:t xml:space="preserve">, contradicting previous common perceptions among investors perhaps biased towards the ESG-CFP relation being at best neutral. </w:t>
      </w:r>
    </w:p>
    <w:p w14:paraId="4F98B75B" w14:textId="0209BDAA" w:rsidR="00E82A72" w:rsidRPr="00BF6F6A" w:rsidRDefault="001D5E39" w:rsidP="00682255">
      <w:pPr>
        <w:ind w:firstLine="720"/>
        <w:jc w:val="both"/>
        <w:rPr>
          <w:shd w:val="clear" w:color="auto" w:fill="FFFFFF"/>
        </w:rPr>
      </w:pPr>
      <w:r w:rsidRPr="00BF6F6A">
        <w:rPr>
          <w:shd w:val="clear" w:color="auto" w:fill="FFFFFF"/>
        </w:rPr>
        <w:t>Wider ES</w:t>
      </w:r>
      <w:r w:rsidR="006E17F6" w:rsidRPr="00BF6F6A">
        <w:rPr>
          <w:shd w:val="clear" w:color="auto" w:fill="FFFFFF"/>
        </w:rPr>
        <w:t>G</w:t>
      </w:r>
      <w:r w:rsidRPr="00BF6F6A">
        <w:rPr>
          <w:shd w:val="clear" w:color="auto" w:fill="FFFFFF"/>
        </w:rPr>
        <w:t xml:space="preserve"> rating benefits suggest that higher ESG </w:t>
      </w:r>
      <w:r w:rsidR="00E013D7" w:rsidRPr="00BF6F6A">
        <w:rPr>
          <w:shd w:val="clear" w:color="auto" w:fill="FFFFFF"/>
        </w:rPr>
        <w:t>firm</w:t>
      </w:r>
      <w:r w:rsidR="00D4717A" w:rsidRPr="00BF6F6A">
        <w:rPr>
          <w:shd w:val="clear" w:color="auto" w:fill="FFFFFF"/>
        </w:rPr>
        <w:t>s</w:t>
      </w:r>
      <w:r w:rsidR="00E013D7" w:rsidRPr="00BF6F6A">
        <w:rPr>
          <w:shd w:val="clear" w:color="auto" w:fill="FFFFFF"/>
        </w:rPr>
        <w:t xml:space="preserve"> scor</w:t>
      </w:r>
      <w:r w:rsidRPr="00BF6F6A">
        <w:rPr>
          <w:shd w:val="clear" w:color="auto" w:fill="FFFFFF"/>
        </w:rPr>
        <w:t xml:space="preserve">e </w:t>
      </w:r>
      <w:r w:rsidR="00D4717A" w:rsidRPr="00BF6F6A">
        <w:rPr>
          <w:shd w:val="clear" w:color="auto" w:fill="FFFFFF"/>
        </w:rPr>
        <w:t>better for</w:t>
      </w:r>
      <w:r w:rsidR="00E55F62" w:rsidRPr="00BF6F6A">
        <w:rPr>
          <w:shd w:val="clear" w:color="auto" w:fill="FFFFFF"/>
        </w:rPr>
        <w:t xml:space="preserve"> firm</w:t>
      </w:r>
      <w:r w:rsidR="00D4717A" w:rsidRPr="00BF6F6A">
        <w:rPr>
          <w:shd w:val="clear" w:color="auto" w:fill="FFFFFF"/>
        </w:rPr>
        <w:t>s</w:t>
      </w:r>
      <w:r w:rsidR="00502505">
        <w:rPr>
          <w:shd w:val="clear" w:color="auto" w:fill="FFFFFF"/>
        </w:rPr>
        <w:t>’</w:t>
      </w:r>
      <w:r w:rsidR="00E55F62" w:rsidRPr="00BF6F6A">
        <w:rPr>
          <w:shd w:val="clear" w:color="auto" w:fill="FFFFFF"/>
        </w:rPr>
        <w:t xml:space="preserve"> value</w:t>
      </w:r>
      <w:r w:rsidR="00981CE6" w:rsidRPr="00BF6F6A">
        <w:rPr>
          <w:shd w:val="clear" w:color="auto" w:fill="FFFFFF"/>
        </w:rPr>
        <w:t xml:space="preserve"> (</w:t>
      </w:r>
      <w:r w:rsidR="00ED0911" w:rsidRPr="00BF6F6A">
        <w:rPr>
          <w:shd w:val="clear" w:color="auto" w:fill="FFFFFF"/>
        </w:rPr>
        <w:t xml:space="preserve">Cajias </w:t>
      </w:r>
      <w:r w:rsidR="00ED0911" w:rsidRPr="00BF6F6A">
        <w:rPr>
          <w:i/>
          <w:iCs/>
          <w:shd w:val="clear" w:color="auto" w:fill="FFFFFF"/>
        </w:rPr>
        <w:t>et al.</w:t>
      </w:r>
      <w:r w:rsidR="00981CE6" w:rsidRPr="00BF6F6A">
        <w:rPr>
          <w:shd w:val="clear" w:color="auto" w:fill="FFFFFF"/>
        </w:rPr>
        <w:t>,</w:t>
      </w:r>
      <w:r w:rsidR="00F3590B" w:rsidRPr="00BF6F6A">
        <w:rPr>
          <w:shd w:val="clear" w:color="auto" w:fill="FFFFFF"/>
        </w:rPr>
        <w:t xml:space="preserve"> </w:t>
      </w:r>
      <w:r w:rsidR="001768FB" w:rsidRPr="00BF6F6A">
        <w:rPr>
          <w:shd w:val="clear" w:color="auto" w:fill="FFFFFF"/>
        </w:rPr>
        <w:t xml:space="preserve">2014; Bhaskaran </w:t>
      </w:r>
      <w:r w:rsidR="001768FB" w:rsidRPr="00BF6F6A">
        <w:rPr>
          <w:i/>
          <w:iCs/>
          <w:shd w:val="clear" w:color="auto" w:fill="FFFFFF"/>
        </w:rPr>
        <w:t>et al.</w:t>
      </w:r>
      <w:r w:rsidR="00981CE6" w:rsidRPr="00BF6F6A">
        <w:rPr>
          <w:i/>
          <w:iCs/>
          <w:shd w:val="clear" w:color="auto" w:fill="FFFFFF"/>
        </w:rPr>
        <w:t>,</w:t>
      </w:r>
      <w:r w:rsidR="00F3590B" w:rsidRPr="00BF6F6A">
        <w:rPr>
          <w:i/>
          <w:iCs/>
          <w:shd w:val="clear" w:color="auto" w:fill="FFFFFF"/>
        </w:rPr>
        <w:t xml:space="preserve"> </w:t>
      </w:r>
      <w:r w:rsidR="001768FB" w:rsidRPr="00BF6F6A">
        <w:rPr>
          <w:shd w:val="clear" w:color="auto" w:fill="FFFFFF"/>
        </w:rPr>
        <w:t xml:space="preserve">2020; </w:t>
      </w:r>
      <w:r w:rsidR="007E1062" w:rsidRPr="00BF6F6A">
        <w:rPr>
          <w:shd w:val="clear" w:color="auto" w:fill="FFFFFF"/>
        </w:rPr>
        <w:t>Broun</w:t>
      </w:r>
      <w:r w:rsidR="00D4717A" w:rsidRPr="00BF6F6A">
        <w:rPr>
          <w:shd w:val="clear" w:color="auto" w:fill="FFFFFF"/>
        </w:rPr>
        <w:t>g</w:t>
      </w:r>
      <w:r w:rsidR="007E1062" w:rsidRPr="00BF6F6A">
        <w:rPr>
          <w:shd w:val="clear" w:color="auto" w:fill="FFFFFF"/>
        </w:rPr>
        <w:t xml:space="preserve">en </w:t>
      </w:r>
      <w:r w:rsidR="007E1062" w:rsidRPr="00BF6F6A">
        <w:rPr>
          <w:i/>
          <w:iCs/>
          <w:shd w:val="clear" w:color="auto" w:fill="FFFFFF"/>
        </w:rPr>
        <w:t>et al.</w:t>
      </w:r>
      <w:r w:rsidR="00981CE6" w:rsidRPr="00BF6F6A">
        <w:rPr>
          <w:shd w:val="clear" w:color="auto" w:fill="FFFFFF"/>
        </w:rPr>
        <w:t>,</w:t>
      </w:r>
      <w:r w:rsidR="007E1062" w:rsidRPr="00BF6F6A">
        <w:rPr>
          <w:shd w:val="clear" w:color="auto" w:fill="FFFFFF"/>
        </w:rPr>
        <w:t xml:space="preserve"> 2021</w:t>
      </w:r>
      <w:r w:rsidR="00B123C1" w:rsidRPr="00BF6F6A">
        <w:rPr>
          <w:shd w:val="clear" w:color="auto" w:fill="FFFFFF"/>
        </w:rPr>
        <w:t xml:space="preserve">; Chambers </w:t>
      </w:r>
      <w:r w:rsidR="00B123C1" w:rsidRPr="00BF6F6A">
        <w:rPr>
          <w:i/>
          <w:iCs/>
          <w:shd w:val="clear" w:color="auto" w:fill="FFFFFF"/>
        </w:rPr>
        <w:t>et al.</w:t>
      </w:r>
      <w:r w:rsidR="00B123C1" w:rsidRPr="00BF6F6A">
        <w:rPr>
          <w:shd w:val="clear" w:color="auto" w:fill="FFFFFF"/>
        </w:rPr>
        <w:t>, 2021</w:t>
      </w:r>
      <w:r w:rsidR="00981CE6" w:rsidRPr="00BF6F6A">
        <w:rPr>
          <w:shd w:val="clear" w:color="auto" w:fill="FFFFFF"/>
        </w:rPr>
        <w:t>)</w:t>
      </w:r>
      <w:r w:rsidR="00E55F62" w:rsidRPr="00BF6F6A">
        <w:rPr>
          <w:shd w:val="clear" w:color="auto" w:fill="FFFFFF"/>
        </w:rPr>
        <w:t xml:space="preserve">. </w:t>
      </w:r>
      <w:r w:rsidR="002E36FF" w:rsidRPr="00BF6F6A">
        <w:rPr>
          <w:shd w:val="clear" w:color="auto" w:fill="FFFFFF"/>
        </w:rPr>
        <w:t xml:space="preserve">Another key aspect relating to financial performance is that </w:t>
      </w:r>
      <w:r w:rsidR="00324029" w:rsidRPr="00BF6F6A">
        <w:rPr>
          <w:shd w:val="clear" w:color="auto" w:fill="FFFFFF"/>
        </w:rPr>
        <w:t xml:space="preserve">companies and investors engaging with ESG </w:t>
      </w:r>
      <w:r w:rsidR="00F370A6" w:rsidRPr="00BF6F6A">
        <w:rPr>
          <w:shd w:val="clear" w:color="auto" w:fill="FFFFFF"/>
        </w:rPr>
        <w:t>disclosure</w:t>
      </w:r>
      <w:r w:rsidR="00D4717A" w:rsidRPr="00BF6F6A">
        <w:rPr>
          <w:shd w:val="clear" w:color="auto" w:fill="FFFFFF"/>
        </w:rPr>
        <w:t>s</w:t>
      </w:r>
      <w:r w:rsidR="00F370A6" w:rsidRPr="00BF6F6A">
        <w:rPr>
          <w:shd w:val="clear" w:color="auto" w:fill="FFFFFF"/>
        </w:rPr>
        <w:t xml:space="preserve"> tend to financially outperform </w:t>
      </w:r>
      <w:r w:rsidR="009E3971" w:rsidRPr="00BF6F6A">
        <w:rPr>
          <w:shd w:val="clear" w:color="auto" w:fill="FFFFFF"/>
        </w:rPr>
        <w:t>non-disclos</w:t>
      </w:r>
      <w:r w:rsidR="00E82A72" w:rsidRPr="00BF6F6A">
        <w:rPr>
          <w:shd w:val="clear" w:color="auto" w:fill="FFFFFF"/>
        </w:rPr>
        <w:t>ing ones</w:t>
      </w:r>
      <w:r w:rsidR="00C30A6A" w:rsidRPr="00BF6F6A">
        <w:rPr>
          <w:shd w:val="clear" w:color="auto" w:fill="FFFFFF"/>
        </w:rPr>
        <w:t xml:space="preserve"> </w:t>
      </w:r>
      <w:r w:rsidR="00BB4CB8" w:rsidRPr="00BF6F6A">
        <w:rPr>
          <w:shd w:val="clear" w:color="auto" w:fill="FFFFFF"/>
        </w:rPr>
        <w:t>(</w:t>
      </w:r>
      <w:r w:rsidR="00C30A6A" w:rsidRPr="00BF6F6A">
        <w:rPr>
          <w:shd w:val="clear" w:color="auto" w:fill="FFFFFF"/>
        </w:rPr>
        <w:t>Siew</w:t>
      </w:r>
      <w:r w:rsidR="00B30536" w:rsidRPr="00BF6F6A">
        <w:rPr>
          <w:shd w:val="clear" w:color="auto" w:fill="FFFFFF"/>
        </w:rPr>
        <w:t xml:space="preserve"> </w:t>
      </w:r>
      <w:r w:rsidR="00B30536" w:rsidRPr="00BF6F6A">
        <w:rPr>
          <w:i/>
          <w:iCs/>
          <w:shd w:val="clear" w:color="auto" w:fill="FFFFFF"/>
        </w:rPr>
        <w:t>et al.</w:t>
      </w:r>
      <w:r w:rsidR="00BB4CB8" w:rsidRPr="00BF6F6A">
        <w:rPr>
          <w:shd w:val="clear" w:color="auto" w:fill="FFFFFF"/>
        </w:rPr>
        <w:t>,</w:t>
      </w:r>
      <w:r w:rsidR="00F3590B" w:rsidRPr="00BF6F6A">
        <w:rPr>
          <w:shd w:val="clear" w:color="auto" w:fill="FFFFFF"/>
        </w:rPr>
        <w:t xml:space="preserve"> </w:t>
      </w:r>
      <w:r w:rsidR="00B30536" w:rsidRPr="00BF6F6A">
        <w:rPr>
          <w:shd w:val="clear" w:color="auto" w:fill="FFFFFF"/>
        </w:rPr>
        <w:t>2013)</w:t>
      </w:r>
      <w:r w:rsidR="00E82A72" w:rsidRPr="00BF6F6A">
        <w:rPr>
          <w:shd w:val="clear" w:color="auto" w:fill="FFFFFF"/>
        </w:rPr>
        <w:t xml:space="preserve"> and </w:t>
      </w:r>
      <w:r w:rsidR="00A9457B" w:rsidRPr="00BF6F6A">
        <w:rPr>
          <w:shd w:val="clear" w:color="auto" w:fill="FFFFFF"/>
        </w:rPr>
        <w:t xml:space="preserve">that </w:t>
      </w:r>
      <w:r w:rsidR="00E36B1F" w:rsidRPr="00BF6F6A">
        <w:t>ESG disclosure</w:t>
      </w:r>
      <w:r w:rsidR="00E82A72" w:rsidRPr="00BF6F6A">
        <w:t>s have</w:t>
      </w:r>
      <w:r w:rsidR="00E36B1F" w:rsidRPr="00BF6F6A">
        <w:t xml:space="preserve"> a significant positive impact on all firms</w:t>
      </w:r>
      <w:r w:rsidR="00502505">
        <w:t>’</w:t>
      </w:r>
      <w:r w:rsidR="00E36B1F" w:rsidRPr="00BF6F6A">
        <w:t xml:space="preserve"> operational, financial and market performance</w:t>
      </w:r>
      <w:r w:rsidR="008E1BE1" w:rsidRPr="00BF6F6A">
        <w:t xml:space="preserve"> </w:t>
      </w:r>
      <w:r w:rsidR="00E82A72" w:rsidRPr="00BF6F6A">
        <w:t>(Alareeni and Hamdan, 2020).</w:t>
      </w:r>
      <w:r w:rsidR="00E75860" w:rsidRPr="00BF6F6A">
        <w:t xml:space="preserve"> </w:t>
      </w:r>
      <w:r w:rsidR="00A9457B" w:rsidRPr="00BF6F6A">
        <w:t>Others have suggested that i</w:t>
      </w:r>
      <w:r w:rsidR="0023777E" w:rsidRPr="00BF6F6A">
        <w:rPr>
          <w:shd w:val="clear" w:color="auto" w:fill="FFFFFF"/>
        </w:rPr>
        <w:t>nvesting</w:t>
      </w:r>
      <w:r w:rsidR="00D051AC" w:rsidRPr="00BF6F6A">
        <w:rPr>
          <w:shd w:val="clear" w:color="auto" w:fill="FFFFFF"/>
        </w:rPr>
        <w:t xml:space="preserve"> in </w:t>
      </w:r>
      <w:r w:rsidR="002965C5" w:rsidRPr="00BF6F6A">
        <w:rPr>
          <w:shd w:val="clear" w:color="auto" w:fill="FFFFFF"/>
        </w:rPr>
        <w:t>CSR</w:t>
      </w:r>
      <w:r w:rsidR="0023777E" w:rsidRPr="00BF6F6A">
        <w:rPr>
          <w:shd w:val="clear" w:color="auto" w:fill="FFFFFF"/>
        </w:rPr>
        <w:t xml:space="preserve"> can lead to</w:t>
      </w:r>
      <w:r w:rsidR="00F303E9" w:rsidRPr="00BF6F6A">
        <w:rPr>
          <w:shd w:val="clear" w:color="auto" w:fill="FFFFFF"/>
        </w:rPr>
        <w:t xml:space="preserve"> desirable abnormal returns </w:t>
      </w:r>
      <w:r w:rsidR="00502505">
        <w:rPr>
          <w:shd w:val="clear" w:color="auto" w:fill="FFFFFF"/>
        </w:rPr>
        <w:t xml:space="preserve">and </w:t>
      </w:r>
      <w:r w:rsidR="00F303E9" w:rsidRPr="00BF6F6A">
        <w:rPr>
          <w:shd w:val="clear" w:color="auto" w:fill="FFFFFF"/>
        </w:rPr>
        <w:t>provide greater risk-adjusted returns and diversification benefits for investors</w:t>
      </w:r>
      <w:r w:rsidR="00155B97" w:rsidRPr="00BF6F6A">
        <w:rPr>
          <w:shd w:val="clear" w:color="auto" w:fill="FFFFFF"/>
        </w:rPr>
        <w:t xml:space="preserve"> (</w:t>
      </w:r>
      <w:r w:rsidR="00DF55A3" w:rsidRPr="00BF6F6A">
        <w:rPr>
          <w:shd w:val="clear" w:color="auto" w:fill="FFFFFF"/>
        </w:rPr>
        <w:t xml:space="preserve">Garcia </w:t>
      </w:r>
      <w:r w:rsidR="00DF55A3" w:rsidRPr="00BF6F6A">
        <w:rPr>
          <w:i/>
          <w:iCs/>
          <w:shd w:val="clear" w:color="auto" w:fill="FFFFFF"/>
        </w:rPr>
        <w:t>et al.</w:t>
      </w:r>
      <w:r w:rsidR="00995C89" w:rsidRPr="00BF6F6A">
        <w:rPr>
          <w:shd w:val="clear" w:color="auto" w:fill="FFFFFF"/>
        </w:rPr>
        <w:t>,</w:t>
      </w:r>
      <w:r w:rsidR="00F3590B" w:rsidRPr="00BF6F6A">
        <w:rPr>
          <w:shd w:val="clear" w:color="auto" w:fill="FFFFFF"/>
        </w:rPr>
        <w:t xml:space="preserve"> </w:t>
      </w:r>
      <w:r w:rsidR="006C69C5" w:rsidRPr="00BF6F6A">
        <w:rPr>
          <w:shd w:val="clear" w:color="auto" w:fill="FFFFFF"/>
        </w:rPr>
        <w:t>2019; Marzuki and Newell</w:t>
      </w:r>
      <w:r w:rsidR="00995C89" w:rsidRPr="00BF6F6A">
        <w:rPr>
          <w:shd w:val="clear" w:color="auto" w:fill="FFFFFF"/>
        </w:rPr>
        <w:t>,</w:t>
      </w:r>
      <w:r w:rsidR="006C69C5" w:rsidRPr="00BF6F6A">
        <w:rPr>
          <w:shd w:val="clear" w:color="auto" w:fill="FFFFFF"/>
        </w:rPr>
        <w:t xml:space="preserve"> </w:t>
      </w:r>
      <w:r w:rsidR="003D0A2F" w:rsidRPr="00BF6F6A">
        <w:rPr>
          <w:shd w:val="clear" w:color="auto" w:fill="FFFFFF"/>
        </w:rPr>
        <w:t>2019</w:t>
      </w:r>
      <w:r w:rsidR="00F825BB" w:rsidRPr="00BF6F6A">
        <w:rPr>
          <w:shd w:val="clear" w:color="auto" w:fill="FFFFFF"/>
        </w:rPr>
        <w:t xml:space="preserve">; </w:t>
      </w:r>
      <w:r w:rsidR="00F825BB" w:rsidRPr="00BF6F6A">
        <w:rPr>
          <w:color w:val="000000"/>
        </w:rPr>
        <w:t>Jadevicius, 2020</w:t>
      </w:r>
      <w:r w:rsidR="00155B97" w:rsidRPr="00BF6F6A">
        <w:rPr>
          <w:shd w:val="clear" w:color="auto" w:fill="FFFFFF"/>
        </w:rPr>
        <w:t>)</w:t>
      </w:r>
      <w:r w:rsidR="00F303E9" w:rsidRPr="00BF6F6A">
        <w:rPr>
          <w:shd w:val="clear" w:color="auto" w:fill="FFFFFF"/>
        </w:rPr>
        <w:t>.</w:t>
      </w:r>
      <w:r w:rsidR="00024C0B" w:rsidRPr="00BF6F6A">
        <w:rPr>
          <w:shd w:val="clear" w:color="auto" w:fill="FFFFFF"/>
        </w:rPr>
        <w:t xml:space="preserve"> </w:t>
      </w:r>
    </w:p>
    <w:p w14:paraId="33C60A1C" w14:textId="191BD7BE" w:rsidR="00682255" w:rsidRPr="00BF6F6A" w:rsidRDefault="00024C0B" w:rsidP="003B4F8D">
      <w:pPr>
        <w:ind w:firstLine="720"/>
        <w:jc w:val="both"/>
      </w:pPr>
      <w:r w:rsidRPr="00BF6F6A">
        <w:t xml:space="preserve">Nguyen </w:t>
      </w:r>
      <w:r w:rsidRPr="00BF6F6A">
        <w:rPr>
          <w:i/>
          <w:iCs/>
        </w:rPr>
        <w:t>et al.</w:t>
      </w:r>
      <w:r w:rsidRPr="00BF6F6A">
        <w:t xml:space="preserve"> (2019) </w:t>
      </w:r>
      <w:r w:rsidR="00E75860" w:rsidRPr="00BF6F6A">
        <w:t xml:space="preserve">suggest that </w:t>
      </w:r>
      <w:r w:rsidRPr="00BF6F6A">
        <w:t>when selecting investment portfolios</w:t>
      </w:r>
      <w:r w:rsidR="00E75860" w:rsidRPr="00BF6F6A">
        <w:t xml:space="preserve"> CSR can</w:t>
      </w:r>
      <w:r w:rsidRPr="00BF6F6A">
        <w:t xml:space="preserve"> promote responsible finance in addition to maximising returns. </w:t>
      </w:r>
      <w:r w:rsidR="00952644" w:rsidRPr="00BF6F6A">
        <w:t xml:space="preserve">Furthermore, </w:t>
      </w:r>
      <w:r w:rsidR="00667F1D" w:rsidRPr="00BF6F6A">
        <w:t xml:space="preserve">Camilleri (2020) </w:t>
      </w:r>
      <w:r w:rsidR="00E75860" w:rsidRPr="00BF6F6A">
        <w:t>based on a</w:t>
      </w:r>
      <w:r w:rsidR="00667F1D" w:rsidRPr="00BF6F6A">
        <w:t xml:space="preserve"> systematic review of the extent </w:t>
      </w:r>
      <w:r w:rsidR="00502505">
        <w:t xml:space="preserve">of </w:t>
      </w:r>
      <w:r w:rsidR="00667F1D" w:rsidRPr="00BF6F6A">
        <w:t xml:space="preserve">theory and regulatory issues on </w:t>
      </w:r>
      <w:r w:rsidR="00E75860" w:rsidRPr="00BF6F6A">
        <w:t>SRI highlights</w:t>
      </w:r>
      <w:r w:rsidR="00667F1D" w:rsidRPr="00BF6F6A">
        <w:t xml:space="preserve"> that </w:t>
      </w:r>
      <w:r w:rsidR="00AD2264" w:rsidRPr="00BF6F6A">
        <w:t xml:space="preserve">the </w:t>
      </w:r>
      <w:r w:rsidR="00667F1D" w:rsidRPr="00BF6F6A">
        <w:t>SRI market has increased the number of stakeholders involved in the scrutinization of the businesses’ ESG behaviours</w:t>
      </w:r>
      <w:r w:rsidR="00E75860" w:rsidRPr="00BF6F6A">
        <w:t>.</w:t>
      </w:r>
      <w:r w:rsidR="003025FA" w:rsidRPr="00BF6F6A">
        <w:t xml:space="preserve"> </w:t>
      </w:r>
      <w:r w:rsidR="00B62F3D" w:rsidRPr="00BF6F6A">
        <w:t xml:space="preserve">Conversely, </w:t>
      </w:r>
      <w:r w:rsidR="00E34392" w:rsidRPr="00BF6F6A">
        <w:t>h</w:t>
      </w:r>
      <w:r w:rsidR="00095D5D" w:rsidRPr="00BF6F6A">
        <w:t xml:space="preserve">igh </w:t>
      </w:r>
      <w:r w:rsidR="00501E6B" w:rsidRPr="00BF6F6A">
        <w:t xml:space="preserve">ESG </w:t>
      </w:r>
      <w:r w:rsidR="00095D5D" w:rsidRPr="00BF6F6A">
        <w:t>scores can impact negatively returns</w:t>
      </w:r>
      <w:r w:rsidR="00EC1696" w:rsidRPr="00BF6F6A">
        <w:t xml:space="preserve"> or at best</w:t>
      </w:r>
      <w:r w:rsidR="00EF5AC3" w:rsidRPr="00BF6F6A">
        <w:t xml:space="preserve"> provide similar market returns</w:t>
      </w:r>
      <w:r w:rsidR="00AD2264" w:rsidRPr="00BF6F6A">
        <w:t xml:space="preserve"> (</w:t>
      </w:r>
      <w:r w:rsidR="0010372A" w:rsidRPr="00BF6F6A">
        <w:t xml:space="preserve">Cajias </w:t>
      </w:r>
      <w:r w:rsidR="0010372A" w:rsidRPr="00BF6F6A">
        <w:rPr>
          <w:i/>
          <w:iCs/>
        </w:rPr>
        <w:t>et al.</w:t>
      </w:r>
      <w:r w:rsidR="00AD2264" w:rsidRPr="00BF6F6A">
        <w:t xml:space="preserve">, </w:t>
      </w:r>
      <w:r w:rsidR="0010372A" w:rsidRPr="00BF6F6A">
        <w:t>2014</w:t>
      </w:r>
      <w:r w:rsidR="003025FA" w:rsidRPr="00BF6F6A">
        <w:t xml:space="preserve">; Chacon </w:t>
      </w:r>
      <w:r w:rsidR="003025FA" w:rsidRPr="00BF6F6A">
        <w:rPr>
          <w:i/>
          <w:iCs/>
        </w:rPr>
        <w:t>et al.</w:t>
      </w:r>
      <w:r w:rsidR="003025FA" w:rsidRPr="00BF6F6A">
        <w:t>, 2024</w:t>
      </w:r>
      <w:r w:rsidR="0010372A" w:rsidRPr="00BF6F6A">
        <w:t>)</w:t>
      </w:r>
      <w:r w:rsidR="00AD2264" w:rsidRPr="00BF6F6A">
        <w:t xml:space="preserve">. For Cajias </w:t>
      </w:r>
      <w:r w:rsidR="00AD2264" w:rsidRPr="00BF6F6A">
        <w:rPr>
          <w:i/>
          <w:iCs/>
        </w:rPr>
        <w:t>et al.</w:t>
      </w:r>
      <w:r w:rsidR="00AD2264" w:rsidRPr="00BF6F6A">
        <w:t xml:space="preserve"> (2014) t</w:t>
      </w:r>
      <w:r w:rsidR="0010372A" w:rsidRPr="00BF6F6A">
        <w:t xml:space="preserve">he link between ESG performance and listed real estate companies is dependent on long and short-term costs and </w:t>
      </w:r>
      <w:r w:rsidR="00945055" w:rsidRPr="00BF6F6A">
        <w:t xml:space="preserve">the </w:t>
      </w:r>
      <w:r w:rsidR="0010372A" w:rsidRPr="00BF6F6A">
        <w:t>benefits created by the allocation of resources to ESG activities.</w:t>
      </w:r>
      <w:r w:rsidR="00AD2264" w:rsidRPr="00BF6F6A">
        <w:t xml:space="preserve"> </w:t>
      </w:r>
      <w:bookmarkStart w:id="11" w:name="_Hlk174398200"/>
      <w:r w:rsidR="00C61470">
        <w:t xml:space="preserve">More recently, </w:t>
      </w:r>
      <w:r w:rsidR="003025FA" w:rsidRPr="00BF6F6A">
        <w:t xml:space="preserve">Chacon </w:t>
      </w:r>
      <w:r w:rsidR="003025FA" w:rsidRPr="00BF6F6A">
        <w:rPr>
          <w:i/>
          <w:iCs/>
        </w:rPr>
        <w:t>et al.</w:t>
      </w:r>
      <w:r w:rsidR="003025FA" w:rsidRPr="00BF6F6A">
        <w:t xml:space="preserve"> (2024) </w:t>
      </w:r>
      <w:r w:rsidR="00C61470">
        <w:t>observed</w:t>
      </w:r>
      <w:r w:rsidR="003025FA" w:rsidRPr="00BF6F6A">
        <w:t xml:space="preserve"> that </w:t>
      </w:r>
      <w:r w:rsidR="00524BF3" w:rsidRPr="00BF6F6A">
        <w:t>Real Estate Investment Trust (</w:t>
      </w:r>
      <w:r w:rsidR="003025FA" w:rsidRPr="00BF6F6A">
        <w:t>REIT</w:t>
      </w:r>
      <w:r w:rsidR="00524BF3" w:rsidRPr="00BF6F6A">
        <w:t>)</w:t>
      </w:r>
      <w:r w:rsidR="003025FA" w:rsidRPr="00BF6F6A">
        <w:t xml:space="preserve"> manage</w:t>
      </w:r>
      <w:r w:rsidR="00C61470">
        <w:t>rs</w:t>
      </w:r>
      <w:r w:rsidR="003025FA" w:rsidRPr="00BF6F6A">
        <w:t xml:space="preserve"> may overinvest in ESG activities at the expense of shareholder value.</w:t>
      </w:r>
      <w:bookmarkEnd w:id="11"/>
    </w:p>
    <w:p w14:paraId="48478F27" w14:textId="6A8C1507" w:rsidR="003025FA" w:rsidRPr="00BF6F6A" w:rsidRDefault="003025FA" w:rsidP="003B4F8D">
      <w:pPr>
        <w:ind w:firstLine="720"/>
        <w:jc w:val="both"/>
      </w:pPr>
      <w:r w:rsidRPr="00BF6F6A">
        <w:t>R</w:t>
      </w:r>
      <w:r w:rsidR="00C411F0" w:rsidRPr="00BF6F6A">
        <w:t>egardless of region, industry</w:t>
      </w:r>
      <w:r w:rsidR="00405716" w:rsidRPr="00BF6F6A">
        <w:t>,</w:t>
      </w:r>
      <w:r w:rsidR="00C411F0" w:rsidRPr="00BF6F6A">
        <w:t xml:space="preserve"> or ESG criterion</w:t>
      </w:r>
      <w:r w:rsidR="00405716" w:rsidRPr="00BF6F6A">
        <w:t>,</w:t>
      </w:r>
      <w:r w:rsidR="00C411F0" w:rsidRPr="00BF6F6A">
        <w:t xml:space="preserve"> </w:t>
      </w:r>
      <w:r w:rsidR="00A70616" w:rsidRPr="00BF6F6A">
        <w:t xml:space="preserve">the </w:t>
      </w:r>
      <w:r w:rsidR="00AD2264" w:rsidRPr="00BF6F6A">
        <w:t xml:space="preserve">interests of </w:t>
      </w:r>
      <w:r w:rsidR="00C411F0" w:rsidRPr="00BF6F6A">
        <w:t>profit</w:t>
      </w:r>
      <w:r w:rsidR="00945055" w:rsidRPr="00BF6F6A">
        <w:t>-</w:t>
      </w:r>
      <w:r w:rsidR="00C411F0" w:rsidRPr="00BF6F6A">
        <w:t>seeking investors cannot be met by ESG</w:t>
      </w:r>
      <w:r w:rsidR="008866C0" w:rsidRPr="00BF6F6A">
        <w:t>-</w:t>
      </w:r>
      <w:r w:rsidR="00C411F0" w:rsidRPr="00BF6F6A">
        <w:t>based stock selection</w:t>
      </w:r>
      <w:r w:rsidR="005F4970">
        <w:t xml:space="preserve">. This has been </w:t>
      </w:r>
      <w:r w:rsidR="00E36F51">
        <w:t xml:space="preserve">shown </w:t>
      </w:r>
      <w:r w:rsidR="005F4970">
        <w:t>to</w:t>
      </w:r>
      <w:r w:rsidR="00AD2264" w:rsidRPr="00BF6F6A">
        <w:t xml:space="preserve"> at best provide</w:t>
      </w:r>
      <w:r w:rsidR="00C411F0" w:rsidRPr="00BF6F6A">
        <w:t xml:space="preserve"> </w:t>
      </w:r>
      <w:r w:rsidR="00502505">
        <w:t>market-level</w:t>
      </w:r>
      <w:r w:rsidR="008866C0" w:rsidRPr="00BF6F6A">
        <w:t xml:space="preserve"> </w:t>
      </w:r>
      <w:r w:rsidR="00C411F0" w:rsidRPr="00BF6F6A">
        <w:t>perfor</w:t>
      </w:r>
      <w:r w:rsidR="008866C0" w:rsidRPr="00BF6F6A">
        <w:t xml:space="preserve">mance </w:t>
      </w:r>
      <w:r w:rsidRPr="00BF6F6A">
        <w:t>(Auer and Schuhmacher 2016)</w:t>
      </w:r>
      <w:r w:rsidR="00C411F0" w:rsidRPr="00BF6F6A">
        <w:t xml:space="preserve">. </w:t>
      </w:r>
      <w:r w:rsidR="000305A0" w:rsidRPr="00BF6F6A">
        <w:rPr>
          <w:iCs/>
          <w:shd w:val="clear" w:color="auto" w:fill="FFFFFF"/>
        </w:rPr>
        <w:t xml:space="preserve">Siew </w:t>
      </w:r>
      <w:r w:rsidR="000305A0" w:rsidRPr="00BF6F6A">
        <w:rPr>
          <w:i/>
          <w:iCs/>
          <w:shd w:val="clear" w:color="auto" w:fill="FFFFFF"/>
        </w:rPr>
        <w:t>et al</w:t>
      </w:r>
      <w:r w:rsidR="00CA74C7" w:rsidRPr="00BF6F6A">
        <w:rPr>
          <w:iCs/>
          <w:shd w:val="clear" w:color="auto" w:fill="FFFFFF"/>
        </w:rPr>
        <w:t>.</w:t>
      </w:r>
      <w:r w:rsidR="000305A0" w:rsidRPr="00BF6F6A">
        <w:rPr>
          <w:shd w:val="clear" w:color="auto" w:fill="FFFFFF"/>
        </w:rPr>
        <w:t xml:space="preserve"> (2013) and</w:t>
      </w:r>
      <w:r w:rsidR="00CA74C7" w:rsidRPr="00BF6F6A">
        <w:rPr>
          <w:shd w:val="clear" w:color="auto" w:fill="FFFFFF"/>
        </w:rPr>
        <w:t xml:space="preserve"> </w:t>
      </w:r>
      <w:r w:rsidR="00CA74C7" w:rsidRPr="00BF6F6A">
        <w:rPr>
          <w:shd w:val="clear" w:color="auto" w:fill="FFFFFF"/>
        </w:rPr>
        <w:lastRenderedPageBreak/>
        <w:t>Alareeni and Hamdan (2020)</w:t>
      </w:r>
      <w:r w:rsidR="00AD2264" w:rsidRPr="00BF6F6A">
        <w:rPr>
          <w:shd w:val="clear" w:color="auto" w:fill="FFFFFF"/>
        </w:rPr>
        <w:t xml:space="preserve"> conclude</w:t>
      </w:r>
      <w:r w:rsidR="000305A0" w:rsidRPr="00BF6F6A">
        <w:rPr>
          <w:shd w:val="clear" w:color="auto" w:fill="FFFFFF"/>
        </w:rPr>
        <w:t xml:space="preserve"> </w:t>
      </w:r>
      <w:r w:rsidR="00AD2264" w:rsidRPr="00BF6F6A">
        <w:rPr>
          <w:shd w:val="clear" w:color="auto" w:fill="FFFFFF"/>
        </w:rPr>
        <w:t xml:space="preserve">that </w:t>
      </w:r>
      <w:r w:rsidR="00CA74C7" w:rsidRPr="00BF6F6A">
        <w:rPr>
          <w:shd w:val="clear" w:color="auto" w:fill="FFFFFF"/>
        </w:rPr>
        <w:t>s</w:t>
      </w:r>
      <w:r w:rsidR="00AA125C" w:rsidRPr="00BF6F6A">
        <w:rPr>
          <w:shd w:val="clear" w:color="auto" w:fill="FFFFFF"/>
        </w:rPr>
        <w:t xml:space="preserve">ustainability </w:t>
      </w:r>
      <w:r w:rsidR="00CA74C7" w:rsidRPr="00BF6F6A">
        <w:rPr>
          <w:shd w:val="clear" w:color="auto" w:fill="FFFFFF"/>
        </w:rPr>
        <w:t>d</w:t>
      </w:r>
      <w:r w:rsidR="00AA125C" w:rsidRPr="00BF6F6A">
        <w:rPr>
          <w:shd w:val="clear" w:color="auto" w:fill="FFFFFF"/>
        </w:rPr>
        <w:t>isclosure</w:t>
      </w:r>
      <w:r w:rsidR="00945055" w:rsidRPr="00BF6F6A">
        <w:rPr>
          <w:shd w:val="clear" w:color="auto" w:fill="FFFFFF"/>
        </w:rPr>
        <w:t>s</w:t>
      </w:r>
      <w:r w:rsidR="00AA125C" w:rsidRPr="00BF6F6A">
        <w:rPr>
          <w:shd w:val="clear" w:color="auto" w:fill="FFFFFF"/>
        </w:rPr>
        <w:t xml:space="preserve"> can</w:t>
      </w:r>
      <w:r w:rsidR="00CA74C7" w:rsidRPr="00BF6F6A">
        <w:rPr>
          <w:shd w:val="clear" w:color="auto" w:fill="FFFFFF"/>
        </w:rPr>
        <w:t xml:space="preserve"> also</w:t>
      </w:r>
      <w:r w:rsidR="00AA125C" w:rsidRPr="00BF6F6A">
        <w:rPr>
          <w:shd w:val="clear" w:color="auto" w:fill="FFFFFF"/>
        </w:rPr>
        <w:t xml:space="preserve"> decrease </w:t>
      </w:r>
      <w:r w:rsidR="00292F7A" w:rsidRPr="00BF6F6A">
        <w:rPr>
          <w:shd w:val="clear" w:color="auto" w:fill="FFFFFF"/>
        </w:rPr>
        <w:t>market performance</w:t>
      </w:r>
      <w:r w:rsidR="005F4970">
        <w:rPr>
          <w:shd w:val="clear" w:color="auto" w:fill="FFFFFF"/>
        </w:rPr>
        <w:t>. This is further</w:t>
      </w:r>
      <w:r w:rsidR="001428FF" w:rsidRPr="00BF6F6A">
        <w:rPr>
          <w:shd w:val="clear" w:color="auto" w:fill="FFFFFF"/>
        </w:rPr>
        <w:t xml:space="preserve"> supported by </w:t>
      </w:r>
      <w:r w:rsidR="00764FEF" w:rsidRPr="00BF6F6A">
        <w:t xml:space="preserve">Oprean-Stan </w:t>
      </w:r>
      <w:r w:rsidR="00764FEF" w:rsidRPr="00BF6F6A">
        <w:rPr>
          <w:i/>
          <w:iCs/>
        </w:rPr>
        <w:t>et al.</w:t>
      </w:r>
      <w:r w:rsidR="00764FEF" w:rsidRPr="00BF6F6A">
        <w:t xml:space="preserve"> (2020) </w:t>
      </w:r>
      <w:r w:rsidR="001428FF" w:rsidRPr="00BF6F6A">
        <w:t xml:space="preserve">who </w:t>
      </w:r>
      <w:r w:rsidR="00CF076A" w:rsidRPr="00BF6F6A">
        <w:t xml:space="preserve">confirm </w:t>
      </w:r>
      <w:r w:rsidR="00764FEF" w:rsidRPr="00BF6F6A">
        <w:t xml:space="preserve">that a lack of consistency in reporting </w:t>
      </w:r>
      <w:r w:rsidR="009536A9">
        <w:t xml:space="preserve">on </w:t>
      </w:r>
      <w:r w:rsidR="00764FEF" w:rsidRPr="00BF6F6A">
        <w:t xml:space="preserve">sustainability </w:t>
      </w:r>
      <w:r w:rsidR="009536A9">
        <w:t xml:space="preserve">matters negatively </w:t>
      </w:r>
      <w:r w:rsidR="005F4970">
        <w:t xml:space="preserve">affects </w:t>
      </w:r>
      <w:r w:rsidR="009536A9">
        <w:t xml:space="preserve">the companies’ market performance </w:t>
      </w:r>
      <w:r w:rsidR="005F4970">
        <w:t xml:space="preserve">and this is </w:t>
      </w:r>
      <w:r w:rsidR="009536A9">
        <w:t xml:space="preserve">due to </w:t>
      </w:r>
      <w:r w:rsidR="00764FEF" w:rsidRPr="00BF6F6A">
        <w:t xml:space="preserve">the </w:t>
      </w:r>
      <w:r w:rsidR="005F4970">
        <w:t xml:space="preserve">challenges with the </w:t>
      </w:r>
      <w:r w:rsidR="00764FEF" w:rsidRPr="00BF6F6A">
        <w:t>quality of data</w:t>
      </w:r>
      <w:r w:rsidR="009536A9">
        <w:t xml:space="preserve"> reported</w:t>
      </w:r>
      <w:r w:rsidR="00790C70" w:rsidRPr="00BF6F6A">
        <w:t xml:space="preserve"> and</w:t>
      </w:r>
      <w:r w:rsidR="00764FEF" w:rsidRPr="00BF6F6A">
        <w:t xml:space="preserve"> </w:t>
      </w:r>
      <w:r w:rsidR="009536A9">
        <w:t xml:space="preserve">ways in which </w:t>
      </w:r>
      <w:r w:rsidR="00764FEF" w:rsidRPr="00BF6F6A">
        <w:t xml:space="preserve">organisations disclose </w:t>
      </w:r>
      <w:r w:rsidR="009536A9">
        <w:t xml:space="preserve">particular </w:t>
      </w:r>
      <w:r w:rsidR="00764FEF" w:rsidRPr="00BF6F6A">
        <w:t>sustainability information</w:t>
      </w:r>
      <w:r w:rsidR="00BB6BA3" w:rsidRPr="00BF6F6A">
        <w:t>.</w:t>
      </w:r>
    </w:p>
    <w:p w14:paraId="260796E3" w14:textId="21577D38" w:rsidR="00067357" w:rsidRPr="00BF6F6A" w:rsidRDefault="0083528C" w:rsidP="003B4F8D">
      <w:pPr>
        <w:ind w:firstLine="720"/>
        <w:jc w:val="both"/>
      </w:pPr>
      <w:r w:rsidRPr="00BF6F6A">
        <w:rPr>
          <w:shd w:val="clear" w:color="auto" w:fill="FFFFFF"/>
        </w:rPr>
        <w:t xml:space="preserve">Another </w:t>
      </w:r>
      <w:r w:rsidR="009F13F2" w:rsidRPr="00BF6F6A">
        <w:rPr>
          <w:shd w:val="clear" w:color="auto" w:fill="FFFFFF"/>
        </w:rPr>
        <w:t xml:space="preserve">obstacle for investors </w:t>
      </w:r>
      <w:r w:rsidR="000E1B48" w:rsidRPr="00BF6F6A">
        <w:rPr>
          <w:shd w:val="clear" w:color="auto" w:fill="FFFFFF"/>
        </w:rPr>
        <w:t xml:space="preserve">adopting ESG practices </w:t>
      </w:r>
      <w:r w:rsidR="00CF076A" w:rsidRPr="00BF6F6A">
        <w:rPr>
          <w:shd w:val="clear" w:color="auto" w:fill="FFFFFF"/>
        </w:rPr>
        <w:t>is</w:t>
      </w:r>
      <w:r w:rsidR="009F13F2" w:rsidRPr="00BF6F6A">
        <w:rPr>
          <w:shd w:val="clear" w:color="auto" w:fill="FFFFFF"/>
        </w:rPr>
        <w:t xml:space="preserve"> </w:t>
      </w:r>
      <w:r w:rsidR="000E1B48" w:rsidRPr="00BF6F6A">
        <w:rPr>
          <w:shd w:val="clear" w:color="auto" w:fill="FFFFFF"/>
        </w:rPr>
        <w:t>that short</w:t>
      </w:r>
      <w:r w:rsidR="008866C0" w:rsidRPr="00BF6F6A">
        <w:rPr>
          <w:shd w:val="clear" w:color="auto" w:fill="FFFFFF"/>
        </w:rPr>
        <w:t>-</w:t>
      </w:r>
      <w:r w:rsidR="000E1B48" w:rsidRPr="00BF6F6A">
        <w:rPr>
          <w:shd w:val="clear" w:color="auto" w:fill="FFFFFF"/>
        </w:rPr>
        <w:t xml:space="preserve">term profits are prioritised over </w:t>
      </w:r>
      <w:r w:rsidR="004B48F4" w:rsidRPr="00BF6F6A">
        <w:rPr>
          <w:shd w:val="clear" w:color="auto" w:fill="FFFFFF"/>
        </w:rPr>
        <w:t>long-term</w:t>
      </w:r>
      <w:r w:rsidR="000E1B48" w:rsidRPr="00BF6F6A">
        <w:rPr>
          <w:shd w:val="clear" w:color="auto" w:fill="FFFFFF"/>
        </w:rPr>
        <w:t xml:space="preserve"> value</w:t>
      </w:r>
      <w:r w:rsidR="00CF076A" w:rsidRPr="00BF6F6A">
        <w:rPr>
          <w:shd w:val="clear" w:color="auto" w:fill="FFFFFF"/>
        </w:rPr>
        <w:t xml:space="preserve"> (</w:t>
      </w:r>
      <w:r w:rsidR="00603CBA" w:rsidRPr="00BF6F6A">
        <w:t xml:space="preserve">Busch </w:t>
      </w:r>
      <w:r w:rsidR="00603CBA" w:rsidRPr="00BF6F6A">
        <w:rPr>
          <w:i/>
          <w:iCs/>
        </w:rPr>
        <w:t>et al.</w:t>
      </w:r>
      <w:r w:rsidR="00CF076A" w:rsidRPr="00BF6F6A">
        <w:t xml:space="preserve">, </w:t>
      </w:r>
      <w:r w:rsidR="00603CBA" w:rsidRPr="00BF6F6A">
        <w:t>2016)</w:t>
      </w:r>
      <w:r w:rsidR="00945055" w:rsidRPr="00BF6F6A">
        <w:t>,</w:t>
      </w:r>
      <w:r w:rsidR="008866C0" w:rsidRPr="00BF6F6A">
        <w:t xml:space="preserve"> which links to </w:t>
      </w:r>
      <w:r w:rsidR="00603CBA" w:rsidRPr="00BF6F6A">
        <w:t>banks</w:t>
      </w:r>
      <w:r w:rsidR="008866C0" w:rsidRPr="00BF6F6A">
        <w:t>’</w:t>
      </w:r>
      <w:r w:rsidR="00603CBA" w:rsidRPr="00BF6F6A">
        <w:t xml:space="preserve"> and investors</w:t>
      </w:r>
      <w:r w:rsidR="008866C0" w:rsidRPr="00BF6F6A">
        <w:t>’ rating approaches</w:t>
      </w:r>
      <w:r w:rsidR="00603CBA" w:rsidRPr="00BF6F6A">
        <w:t>.</w:t>
      </w:r>
      <w:r w:rsidR="00937AC3" w:rsidRPr="00BF6F6A">
        <w:t xml:space="preserve"> </w:t>
      </w:r>
      <w:r w:rsidR="008866C0" w:rsidRPr="00BF6F6A">
        <w:rPr>
          <w:shd w:val="clear" w:color="auto" w:fill="FFFFFF"/>
        </w:rPr>
        <w:t>While i</w:t>
      </w:r>
      <w:r w:rsidR="00ED2595" w:rsidRPr="00BF6F6A">
        <w:rPr>
          <w:shd w:val="clear" w:color="auto" w:fill="FFFFFF"/>
        </w:rPr>
        <w:t>ntegrating ESG priorities</w:t>
      </w:r>
      <w:r w:rsidR="001330C5" w:rsidRPr="00BF6F6A">
        <w:rPr>
          <w:shd w:val="clear" w:color="auto" w:fill="FFFFFF"/>
        </w:rPr>
        <w:t xml:space="preserve"> into corporate strategy </w:t>
      </w:r>
      <w:r w:rsidR="00937AC3" w:rsidRPr="00BF6F6A">
        <w:rPr>
          <w:shd w:val="clear" w:color="auto" w:fill="FFFFFF"/>
        </w:rPr>
        <w:t>does not seem to have</w:t>
      </w:r>
      <w:r w:rsidR="00D703AE" w:rsidRPr="00BF6F6A">
        <w:rPr>
          <w:shd w:val="clear" w:color="auto" w:fill="FFFFFF"/>
        </w:rPr>
        <w:t xml:space="preserve"> </w:t>
      </w:r>
      <w:r w:rsidR="00502505">
        <w:rPr>
          <w:shd w:val="clear" w:color="auto" w:fill="FFFFFF"/>
        </w:rPr>
        <w:t xml:space="preserve">a </w:t>
      </w:r>
      <w:r w:rsidR="00D703AE" w:rsidRPr="00BF6F6A">
        <w:rPr>
          <w:shd w:val="clear" w:color="auto" w:fill="FFFFFF"/>
        </w:rPr>
        <w:t>significant</w:t>
      </w:r>
      <w:r w:rsidR="00F158F4" w:rsidRPr="00BF6F6A">
        <w:rPr>
          <w:shd w:val="clear" w:color="auto" w:fill="FFFFFF"/>
        </w:rPr>
        <w:t xml:space="preserve"> impact on financial performance</w:t>
      </w:r>
      <w:r w:rsidR="00506527" w:rsidRPr="00BF6F6A">
        <w:rPr>
          <w:shd w:val="clear" w:color="auto" w:fill="FFFFFF"/>
        </w:rPr>
        <w:t xml:space="preserve"> </w:t>
      </w:r>
      <w:r w:rsidR="00D703AE" w:rsidRPr="00BF6F6A">
        <w:rPr>
          <w:shd w:val="clear" w:color="auto" w:fill="FFFFFF"/>
        </w:rPr>
        <w:t>(</w:t>
      </w:r>
      <w:r w:rsidR="00A90C62" w:rsidRPr="00BF6F6A">
        <w:t xml:space="preserve">Espahbodi </w:t>
      </w:r>
      <w:r w:rsidR="00A90C62" w:rsidRPr="00BF6F6A">
        <w:rPr>
          <w:i/>
          <w:iCs/>
        </w:rPr>
        <w:t>et al.</w:t>
      </w:r>
      <w:r w:rsidR="00D703AE" w:rsidRPr="00BF6F6A">
        <w:t xml:space="preserve">, </w:t>
      </w:r>
      <w:r w:rsidR="00A90C62" w:rsidRPr="00BF6F6A">
        <w:t>2019)</w:t>
      </w:r>
      <w:r w:rsidR="00945055" w:rsidRPr="00BF6F6A">
        <w:t>,</w:t>
      </w:r>
      <w:r w:rsidR="008866C0" w:rsidRPr="00BF6F6A">
        <w:t xml:space="preserve"> this</w:t>
      </w:r>
      <w:r w:rsidR="00A90C62" w:rsidRPr="00BF6F6A">
        <w:t xml:space="preserve"> has a stronger effect on long</w:t>
      </w:r>
      <w:r w:rsidR="008866C0" w:rsidRPr="00BF6F6A">
        <w:t>-</w:t>
      </w:r>
      <w:r w:rsidR="00A90C62" w:rsidRPr="00BF6F6A">
        <w:t xml:space="preserve">term price assessments and </w:t>
      </w:r>
      <w:r w:rsidR="008866C0" w:rsidRPr="00BF6F6A">
        <w:t xml:space="preserve">the </w:t>
      </w:r>
      <w:r w:rsidR="00A90C62" w:rsidRPr="00BF6F6A">
        <w:t>perceived relevance and reliability of ESG disclosure</w:t>
      </w:r>
      <w:r w:rsidR="008866C0" w:rsidRPr="00BF6F6A">
        <w:t>s</w:t>
      </w:r>
      <w:r w:rsidR="00A90C62" w:rsidRPr="00BF6F6A">
        <w:t>.</w:t>
      </w:r>
      <w:r w:rsidR="00762832" w:rsidRPr="00BF6F6A">
        <w:t xml:space="preserve"> Further, </w:t>
      </w:r>
      <w:r w:rsidR="00D0040D" w:rsidRPr="00BF6F6A">
        <w:rPr>
          <w:shd w:val="clear" w:color="auto" w:fill="FFFFFF"/>
        </w:rPr>
        <w:t>r</w:t>
      </w:r>
      <w:r w:rsidR="00623CC6" w:rsidRPr="00BF6F6A">
        <w:rPr>
          <w:shd w:val="clear" w:color="auto" w:fill="FFFFFF"/>
        </w:rPr>
        <w:t xml:space="preserve">eal </w:t>
      </w:r>
      <w:r w:rsidR="00311327" w:rsidRPr="00BF6F6A">
        <w:rPr>
          <w:shd w:val="clear" w:color="auto" w:fill="FFFFFF"/>
        </w:rPr>
        <w:t>e</w:t>
      </w:r>
      <w:r w:rsidR="00623CC6" w:rsidRPr="00BF6F6A">
        <w:rPr>
          <w:shd w:val="clear" w:color="auto" w:fill="FFFFFF"/>
        </w:rPr>
        <w:t>state i</w:t>
      </w:r>
      <w:r w:rsidR="00C7615D" w:rsidRPr="00BF6F6A">
        <w:rPr>
          <w:shd w:val="clear" w:color="auto" w:fill="FFFFFF"/>
        </w:rPr>
        <w:t xml:space="preserve">nvestors need to be </w:t>
      </w:r>
      <w:r w:rsidR="0091303F" w:rsidRPr="00BF6F6A">
        <w:rPr>
          <w:shd w:val="clear" w:color="auto" w:fill="FFFFFF"/>
        </w:rPr>
        <w:t>aware</w:t>
      </w:r>
      <w:r w:rsidR="00623CC6" w:rsidRPr="00BF6F6A">
        <w:rPr>
          <w:shd w:val="clear" w:color="auto" w:fill="FFFFFF"/>
        </w:rPr>
        <w:t xml:space="preserve"> of the potential</w:t>
      </w:r>
      <w:r w:rsidR="00740873" w:rsidRPr="00BF6F6A">
        <w:rPr>
          <w:shd w:val="clear" w:color="auto" w:fill="FFFFFF"/>
        </w:rPr>
        <w:t xml:space="preserve"> obstacles posed by c</w:t>
      </w:r>
      <w:r w:rsidR="00C7615D" w:rsidRPr="00BF6F6A">
        <w:rPr>
          <w:shd w:val="clear" w:color="auto" w:fill="FFFFFF"/>
        </w:rPr>
        <w:t>limate risks, geographical</w:t>
      </w:r>
      <w:r w:rsidR="00DA723C" w:rsidRPr="00BF6F6A">
        <w:rPr>
          <w:shd w:val="clear" w:color="auto" w:fill="FFFFFF"/>
        </w:rPr>
        <w:t xml:space="preserve"> </w:t>
      </w:r>
      <w:r w:rsidR="00740873" w:rsidRPr="00BF6F6A">
        <w:rPr>
          <w:shd w:val="clear" w:color="auto" w:fill="FFFFFF"/>
        </w:rPr>
        <w:t xml:space="preserve">and </w:t>
      </w:r>
      <w:r w:rsidR="001F0ED7" w:rsidRPr="00BF6F6A">
        <w:rPr>
          <w:shd w:val="clear" w:color="auto" w:fill="FFFFFF"/>
        </w:rPr>
        <w:t xml:space="preserve">sector allocations that </w:t>
      </w:r>
      <w:r w:rsidR="00DA723C" w:rsidRPr="00BF6F6A">
        <w:rPr>
          <w:shd w:val="clear" w:color="auto" w:fill="FFFFFF"/>
        </w:rPr>
        <w:t xml:space="preserve">can have a </w:t>
      </w:r>
      <w:r w:rsidR="00A70616" w:rsidRPr="00BF6F6A">
        <w:rPr>
          <w:shd w:val="clear" w:color="auto" w:fill="FFFFFF"/>
        </w:rPr>
        <w:t xml:space="preserve">significant </w:t>
      </w:r>
      <w:r w:rsidR="00DA723C" w:rsidRPr="00BF6F6A">
        <w:rPr>
          <w:shd w:val="clear" w:color="auto" w:fill="FFFFFF"/>
        </w:rPr>
        <w:t>impact on financial performance.</w:t>
      </w:r>
      <w:r w:rsidR="00DA723C" w:rsidRPr="00BF6F6A">
        <w:t xml:space="preserve"> </w:t>
      </w:r>
      <w:r w:rsidR="001428FF" w:rsidRPr="00BF6F6A">
        <w:t>Dopiera</w:t>
      </w:r>
      <w:r w:rsidR="004B3CE0" w:rsidRPr="00BF6F6A">
        <w:t>ł</w:t>
      </w:r>
      <w:r w:rsidR="001428FF" w:rsidRPr="00BF6F6A">
        <w:t xml:space="preserve">a </w:t>
      </w:r>
      <w:r w:rsidR="001428FF" w:rsidRPr="00BF6F6A">
        <w:rPr>
          <w:i/>
          <w:iCs/>
        </w:rPr>
        <w:t>et al.</w:t>
      </w:r>
      <w:r w:rsidR="001428FF" w:rsidRPr="00BF6F6A">
        <w:t xml:space="preserve"> (2020) noted that c</w:t>
      </w:r>
      <w:r w:rsidR="000C72EB" w:rsidRPr="00BF6F6A">
        <w:t>limate-friendly funds achieve higher returns when the investment portfolio</w:t>
      </w:r>
      <w:r w:rsidR="00D0040D" w:rsidRPr="00BF6F6A">
        <w:t xml:space="preserve"> is </w:t>
      </w:r>
      <w:r w:rsidR="000C72EB" w:rsidRPr="00BF6F6A">
        <w:t>divided between different geographical areas of investment and industries</w:t>
      </w:r>
      <w:r w:rsidR="001428FF" w:rsidRPr="00BF6F6A">
        <w:t>.</w:t>
      </w:r>
    </w:p>
    <w:p w14:paraId="75152358" w14:textId="77777777" w:rsidR="00762832" w:rsidRPr="00BF6F6A" w:rsidRDefault="00762832" w:rsidP="003B4F8D">
      <w:pPr>
        <w:pStyle w:val="NormalWeb"/>
        <w:spacing w:before="0" w:beforeAutospacing="0" w:after="0" w:afterAutospacing="0"/>
        <w:ind w:firstLine="720"/>
        <w:jc w:val="both"/>
      </w:pPr>
    </w:p>
    <w:p w14:paraId="7F05AD43" w14:textId="22E30FC4" w:rsidR="00FE3674" w:rsidRPr="00BF6F6A" w:rsidRDefault="00AD6034" w:rsidP="003B4F8D">
      <w:pPr>
        <w:pStyle w:val="Heading2"/>
        <w:numPr>
          <w:ilvl w:val="1"/>
          <w:numId w:val="43"/>
        </w:numPr>
        <w:spacing w:before="0" w:after="0"/>
        <w:ind w:left="-15" w:firstLine="0"/>
        <w:rPr>
          <w:rFonts w:eastAsia="Calibri" w:cs="Times New Roman"/>
          <w:b w:val="0"/>
          <w:sz w:val="29"/>
          <w:szCs w:val="22"/>
        </w:rPr>
      </w:pPr>
      <w:bookmarkStart w:id="12" w:name="_Toc99882225"/>
      <w:r w:rsidRPr="00BF6F6A">
        <w:rPr>
          <w:rFonts w:eastAsia="Calibri" w:cs="Times New Roman"/>
          <w:b w:val="0"/>
          <w:sz w:val="29"/>
          <w:szCs w:val="22"/>
        </w:rPr>
        <w:t>ESG</w:t>
      </w:r>
      <w:r w:rsidR="00652F5D" w:rsidRPr="00BF6F6A">
        <w:rPr>
          <w:rFonts w:eastAsia="Calibri" w:cs="Times New Roman"/>
          <w:b w:val="0"/>
          <w:sz w:val="29"/>
          <w:szCs w:val="22"/>
        </w:rPr>
        <w:t xml:space="preserve"> </w:t>
      </w:r>
      <w:r w:rsidR="00FE48E5" w:rsidRPr="00BF6F6A">
        <w:rPr>
          <w:rFonts w:eastAsia="Calibri" w:cs="Times New Roman"/>
          <w:b w:val="0"/>
          <w:sz w:val="29"/>
          <w:szCs w:val="22"/>
        </w:rPr>
        <w:t>d</w:t>
      </w:r>
      <w:r w:rsidR="00652F5D" w:rsidRPr="00BF6F6A">
        <w:rPr>
          <w:rFonts w:eastAsia="Calibri" w:cs="Times New Roman"/>
          <w:b w:val="0"/>
          <w:sz w:val="29"/>
          <w:szCs w:val="22"/>
        </w:rPr>
        <w:t>isc</w:t>
      </w:r>
      <w:r w:rsidR="00825628" w:rsidRPr="00BF6F6A">
        <w:rPr>
          <w:rFonts w:eastAsia="Calibri" w:cs="Times New Roman"/>
          <w:b w:val="0"/>
          <w:sz w:val="29"/>
          <w:szCs w:val="22"/>
        </w:rPr>
        <w:t>losure</w:t>
      </w:r>
      <w:r w:rsidR="00937AC3" w:rsidRPr="00BF6F6A">
        <w:rPr>
          <w:rFonts w:eastAsia="Calibri" w:cs="Times New Roman"/>
          <w:b w:val="0"/>
          <w:sz w:val="29"/>
          <w:szCs w:val="22"/>
        </w:rPr>
        <w:t>s</w:t>
      </w:r>
      <w:r w:rsidR="00825628" w:rsidRPr="00BF6F6A">
        <w:rPr>
          <w:rFonts w:eastAsia="Calibri" w:cs="Times New Roman"/>
          <w:b w:val="0"/>
          <w:sz w:val="29"/>
          <w:szCs w:val="22"/>
        </w:rPr>
        <w:t xml:space="preserve"> and </w:t>
      </w:r>
      <w:r w:rsidR="00FE48E5" w:rsidRPr="00BF6F6A">
        <w:rPr>
          <w:rFonts w:eastAsia="Calibri" w:cs="Times New Roman"/>
          <w:b w:val="0"/>
          <w:sz w:val="29"/>
          <w:szCs w:val="22"/>
        </w:rPr>
        <w:t>r</w:t>
      </w:r>
      <w:r w:rsidR="00825628" w:rsidRPr="00BF6F6A">
        <w:rPr>
          <w:rFonts w:eastAsia="Calibri" w:cs="Times New Roman"/>
          <w:b w:val="0"/>
          <w:sz w:val="29"/>
          <w:szCs w:val="22"/>
        </w:rPr>
        <w:t>eporting</w:t>
      </w:r>
      <w:bookmarkEnd w:id="12"/>
    </w:p>
    <w:p w14:paraId="0F594C1E" w14:textId="43724B18" w:rsidR="00682255" w:rsidRPr="00BF6F6A" w:rsidRDefault="00762832" w:rsidP="003B4F8D">
      <w:pPr>
        <w:jc w:val="both"/>
      </w:pPr>
      <w:bookmarkStart w:id="13" w:name="_Hlk98419188"/>
      <w:r w:rsidRPr="00BF6F6A">
        <w:t>T</w:t>
      </w:r>
      <w:r w:rsidR="00BA653C" w:rsidRPr="00BF6F6A">
        <w:t>here has been</w:t>
      </w:r>
      <w:r w:rsidR="0097092F" w:rsidRPr="00BF6F6A">
        <w:t xml:space="preserve"> a general</w:t>
      </w:r>
      <w:r w:rsidR="00C03570" w:rsidRPr="00BF6F6A">
        <w:t xml:space="preserve"> </w:t>
      </w:r>
      <w:r w:rsidR="0097092F" w:rsidRPr="00BF6F6A">
        <w:t>lack of legislation and regulation</w:t>
      </w:r>
      <w:r w:rsidR="00A70616" w:rsidRPr="00BF6F6A">
        <w:t xml:space="preserve"> </w:t>
      </w:r>
      <w:r w:rsidR="0097092F" w:rsidRPr="00BF6F6A">
        <w:t>requir</w:t>
      </w:r>
      <w:r w:rsidR="00C03570" w:rsidRPr="00BF6F6A">
        <w:t>ing</w:t>
      </w:r>
      <w:r w:rsidR="0097092F" w:rsidRPr="00BF6F6A">
        <w:t xml:space="preserve"> companies to report detailed ESG information</w:t>
      </w:r>
      <w:r w:rsidR="003713B6" w:rsidRPr="00BF6F6A">
        <w:t xml:space="preserve"> (Siew, 2015</w:t>
      </w:r>
      <w:r w:rsidR="008866C0" w:rsidRPr="00BF6F6A">
        <w:t>;</w:t>
      </w:r>
      <w:r w:rsidR="003713B6" w:rsidRPr="00BF6F6A">
        <w:t xml:space="preserve"> Ochi, 2018; Karim </w:t>
      </w:r>
      <w:r w:rsidR="003713B6" w:rsidRPr="00BF6F6A">
        <w:rPr>
          <w:i/>
          <w:iCs/>
        </w:rPr>
        <w:t>et al.</w:t>
      </w:r>
      <w:r w:rsidR="003713B6" w:rsidRPr="00BF6F6A">
        <w:t>, 2021)</w:t>
      </w:r>
      <w:r w:rsidR="000632EC">
        <w:t xml:space="preserve"> and in many areas </w:t>
      </w:r>
      <w:r w:rsidR="0021415C">
        <w:t>of</w:t>
      </w:r>
      <w:r w:rsidR="000632EC">
        <w:t xml:space="preserve"> the real estate sector, the reporting is </w:t>
      </w:r>
      <w:r w:rsidR="00E36F51">
        <w:t>limited</w:t>
      </w:r>
      <w:r w:rsidR="000632EC">
        <w:t xml:space="preserve"> (Weinfeld </w:t>
      </w:r>
      <w:r w:rsidR="000632EC" w:rsidRPr="004F7B84">
        <w:rPr>
          <w:i/>
          <w:iCs/>
        </w:rPr>
        <w:t>et al.</w:t>
      </w:r>
      <w:r w:rsidR="000632EC">
        <w:t>, 2023)</w:t>
      </w:r>
      <w:r w:rsidR="00BA653C" w:rsidRPr="00BF6F6A">
        <w:t>.</w:t>
      </w:r>
      <w:bookmarkEnd w:id="13"/>
      <w:r w:rsidR="00AB6CFE" w:rsidRPr="00BF6F6A">
        <w:t xml:space="preserve"> Over the years, various regulatory pronouncements have taken the market a long way in understanding the ESG factors, but </w:t>
      </w:r>
      <w:r w:rsidRPr="00BF6F6A">
        <w:t>much</w:t>
      </w:r>
      <w:r w:rsidR="00AB6CFE" w:rsidRPr="00BF6F6A">
        <w:t xml:space="preserve"> </w:t>
      </w:r>
      <w:r w:rsidRPr="00BF6F6A">
        <w:t>remains</w:t>
      </w:r>
      <w:r w:rsidR="00AB6CFE" w:rsidRPr="00BF6F6A">
        <w:t xml:space="preserve"> to be done (Morphett </w:t>
      </w:r>
      <w:r w:rsidR="00AB6CFE" w:rsidRPr="00BF6F6A">
        <w:rPr>
          <w:i/>
          <w:iCs/>
        </w:rPr>
        <w:t>et al.</w:t>
      </w:r>
      <w:r w:rsidR="00AB6CFE" w:rsidRPr="00BF6F6A">
        <w:t xml:space="preserve">, 2023). </w:t>
      </w:r>
      <w:r w:rsidR="003B4F8D" w:rsidRPr="00BF6F6A">
        <w:t>I</w:t>
      </w:r>
      <w:r w:rsidR="00577236" w:rsidRPr="00BF6F6A">
        <w:t>n line with market expectations</w:t>
      </w:r>
      <w:r w:rsidR="000B0324" w:rsidRPr="00BF6F6A">
        <w:t xml:space="preserve">, </w:t>
      </w:r>
      <w:r w:rsidRPr="00BF6F6A">
        <w:t xml:space="preserve">many </w:t>
      </w:r>
      <w:r w:rsidR="000B0324" w:rsidRPr="00BF6F6A">
        <w:t xml:space="preserve">companies voluntarily </w:t>
      </w:r>
      <w:r w:rsidR="00577236" w:rsidRPr="00BF6F6A">
        <w:t>make</w:t>
      </w:r>
      <w:r w:rsidR="000B0324" w:rsidRPr="00BF6F6A">
        <w:t xml:space="preserve"> ESG </w:t>
      </w:r>
      <w:r w:rsidR="00577236" w:rsidRPr="00BF6F6A">
        <w:t>disclosures</w:t>
      </w:r>
      <w:r w:rsidR="003713B6" w:rsidRPr="00BF6F6A">
        <w:t xml:space="preserve"> (Siew </w:t>
      </w:r>
      <w:r w:rsidR="003713B6" w:rsidRPr="00BF6F6A">
        <w:rPr>
          <w:i/>
          <w:iCs/>
        </w:rPr>
        <w:t>et al.</w:t>
      </w:r>
      <w:r w:rsidR="003713B6" w:rsidRPr="00BF6F6A">
        <w:t>, 2013)</w:t>
      </w:r>
      <w:r w:rsidR="003B4F8D" w:rsidRPr="00BF6F6A">
        <w:t xml:space="preserve"> however,</w:t>
      </w:r>
      <w:r w:rsidR="00D50518" w:rsidRPr="00BF6F6A">
        <w:t xml:space="preserve"> </w:t>
      </w:r>
      <w:r w:rsidR="003713B6" w:rsidRPr="00BF6F6A">
        <w:t>these are inconsistent and fragmented</w:t>
      </w:r>
      <w:r w:rsidR="00D50518" w:rsidRPr="00BF6F6A">
        <w:t xml:space="preserve"> (Billio</w:t>
      </w:r>
      <w:r w:rsidR="00D50518" w:rsidRPr="00BF6F6A">
        <w:rPr>
          <w:color w:val="17313B"/>
        </w:rPr>
        <w:t xml:space="preserve"> </w:t>
      </w:r>
      <w:r w:rsidR="00D50518" w:rsidRPr="00BF6F6A">
        <w:rPr>
          <w:i/>
          <w:iCs/>
          <w:color w:val="17313B"/>
        </w:rPr>
        <w:t>et al.</w:t>
      </w:r>
      <w:r w:rsidR="00D50518" w:rsidRPr="00BF6F6A">
        <w:rPr>
          <w:color w:val="17313B"/>
        </w:rPr>
        <w:t>, 2021</w:t>
      </w:r>
      <w:r w:rsidR="00D50518" w:rsidRPr="00BF6F6A">
        <w:t>)</w:t>
      </w:r>
      <w:r w:rsidR="003713B6" w:rsidRPr="00BF6F6A">
        <w:t xml:space="preserve">. </w:t>
      </w:r>
      <w:r w:rsidR="00577236" w:rsidRPr="00BF6F6A">
        <w:t xml:space="preserve">Christensen </w:t>
      </w:r>
      <w:r w:rsidR="00577236" w:rsidRPr="00BF6F6A">
        <w:rPr>
          <w:i/>
          <w:iCs/>
        </w:rPr>
        <w:t>et al.</w:t>
      </w:r>
      <w:r w:rsidR="00577236" w:rsidRPr="00BF6F6A">
        <w:t xml:space="preserve"> (2018) confirm</w:t>
      </w:r>
      <w:r w:rsidR="00A70616" w:rsidRPr="00BF6F6A">
        <w:t>ed</w:t>
      </w:r>
      <w:r w:rsidR="00577236" w:rsidRPr="00BF6F6A">
        <w:t xml:space="preserve"> </w:t>
      </w:r>
      <w:r w:rsidR="00083FFB" w:rsidRPr="00BF6F6A">
        <w:t>that opportunities exist for energy-related features and initiatives for value creation at acquisition, during the holding period, and through superior management. While eco-labels and energy ratings add value,</w:t>
      </w:r>
      <w:r w:rsidR="00577236" w:rsidRPr="00BF6F6A">
        <w:t xml:space="preserve"> eco-investments are </w:t>
      </w:r>
      <w:r w:rsidR="002F7ADC" w:rsidRPr="00BF6F6A">
        <w:t>fuelled</w:t>
      </w:r>
      <w:r w:rsidR="00083FFB" w:rsidRPr="00BF6F6A">
        <w:t xml:space="preserve"> by </w:t>
      </w:r>
      <w:r w:rsidR="00577236" w:rsidRPr="00BF6F6A">
        <w:t xml:space="preserve">finance-driven </w:t>
      </w:r>
      <w:r w:rsidR="00083FFB" w:rsidRPr="00BF6F6A">
        <w:t xml:space="preserve">cost-benefit analysis over </w:t>
      </w:r>
      <w:r w:rsidR="00BA5A93" w:rsidRPr="00BF6F6A">
        <w:t>sustainability-related</w:t>
      </w:r>
      <w:r w:rsidR="00083FFB" w:rsidRPr="00BF6F6A">
        <w:t xml:space="preserve"> motivations. </w:t>
      </w:r>
    </w:p>
    <w:p w14:paraId="7E11FD29" w14:textId="50CB1347" w:rsidR="008C52EC" w:rsidRPr="00BF6F6A" w:rsidRDefault="001428FF" w:rsidP="00682255">
      <w:pPr>
        <w:ind w:firstLine="720"/>
        <w:jc w:val="both"/>
      </w:pPr>
      <w:r w:rsidRPr="00BF6F6A">
        <w:t xml:space="preserve">Khemir </w:t>
      </w:r>
      <w:r w:rsidRPr="00BF6F6A">
        <w:rPr>
          <w:i/>
          <w:iCs/>
        </w:rPr>
        <w:t>et al.</w:t>
      </w:r>
      <w:r w:rsidRPr="00BF6F6A">
        <w:t xml:space="preserve"> (2019) suggest that s</w:t>
      </w:r>
      <w:r w:rsidR="00E95EE1" w:rsidRPr="00BF6F6A">
        <w:t xml:space="preserve">ocial and corporate governance </w:t>
      </w:r>
      <w:r w:rsidR="007D02C7" w:rsidRPr="00BF6F6A">
        <w:t>ha</w:t>
      </w:r>
      <w:r w:rsidR="007D02C7">
        <w:t>s</w:t>
      </w:r>
      <w:r w:rsidR="007D02C7" w:rsidRPr="00BF6F6A">
        <w:t xml:space="preserve"> </w:t>
      </w:r>
      <w:r w:rsidR="00E95EE1" w:rsidRPr="00BF6F6A">
        <w:t xml:space="preserve">more influence on investment decisions compared to environmental. </w:t>
      </w:r>
      <w:r w:rsidR="00762832" w:rsidRPr="00BF6F6A">
        <w:t>In the absence of a legal obligation, m</w:t>
      </w:r>
      <w:r w:rsidR="00577236" w:rsidRPr="00BF6F6A">
        <w:t>any firms believe that</w:t>
      </w:r>
      <w:r w:rsidR="00E95EE1" w:rsidRPr="00BF6F6A">
        <w:t xml:space="preserve"> ESG information</w:t>
      </w:r>
      <w:r w:rsidR="00762832" w:rsidRPr="00BF6F6A">
        <w:t>,</w:t>
      </w:r>
      <w:r w:rsidR="00E95EE1" w:rsidRPr="00BF6F6A">
        <w:t xml:space="preserve"> </w:t>
      </w:r>
      <w:r w:rsidR="00577236" w:rsidRPr="00BF6F6A">
        <w:t>as a positive voluntary disclosure,</w:t>
      </w:r>
      <w:r w:rsidR="00E95EE1" w:rsidRPr="00BF6F6A">
        <w:t xml:space="preserve"> </w:t>
      </w:r>
      <w:r w:rsidR="00577236" w:rsidRPr="00BF6F6A">
        <w:t>should have a</w:t>
      </w:r>
      <w:r w:rsidR="00E95EE1" w:rsidRPr="00BF6F6A">
        <w:t xml:space="preserve"> positive impact on financial performance.</w:t>
      </w:r>
      <w:r w:rsidR="007E6212" w:rsidRPr="00BF6F6A">
        <w:t xml:space="preserve"> </w:t>
      </w:r>
      <w:r w:rsidR="00577236" w:rsidRPr="00BF6F6A">
        <w:t>The challenge is t</w:t>
      </w:r>
      <w:r w:rsidR="00745BF6" w:rsidRPr="00BF6F6A">
        <w:t>hat ESG reporting</w:t>
      </w:r>
      <w:r w:rsidR="00577236" w:rsidRPr="00BF6F6A">
        <w:t xml:space="preserve"> suffers</w:t>
      </w:r>
      <w:r w:rsidR="00745BF6" w:rsidRPr="00BF6F6A">
        <w:t xml:space="preserve"> from data </w:t>
      </w:r>
      <w:r w:rsidR="00577236" w:rsidRPr="00BF6F6A">
        <w:t>limitations (</w:t>
      </w:r>
      <w:r w:rsidR="00762832" w:rsidRPr="00BF6F6A">
        <w:t xml:space="preserve">i.e. </w:t>
      </w:r>
      <w:r w:rsidR="00577236" w:rsidRPr="00BF6F6A">
        <w:t>a</w:t>
      </w:r>
      <w:r w:rsidR="00745BF6" w:rsidRPr="00BF6F6A">
        <w:t>ccura</w:t>
      </w:r>
      <w:r w:rsidR="00577236" w:rsidRPr="00BF6F6A">
        <w:t>cy</w:t>
      </w:r>
      <w:r w:rsidR="00745BF6" w:rsidRPr="00BF6F6A">
        <w:t xml:space="preserve">, </w:t>
      </w:r>
      <w:r w:rsidR="00E36F51" w:rsidRPr="00BF6F6A">
        <w:t>reliability</w:t>
      </w:r>
      <w:r w:rsidR="00577236" w:rsidRPr="00BF6F6A">
        <w:t xml:space="preserve"> and</w:t>
      </w:r>
      <w:r w:rsidR="00745BF6" w:rsidRPr="00BF6F6A">
        <w:t xml:space="preserve"> comparab</w:t>
      </w:r>
      <w:r w:rsidR="00577236" w:rsidRPr="00BF6F6A">
        <w:t>ility) and u</w:t>
      </w:r>
      <w:r w:rsidR="00745BF6" w:rsidRPr="00BF6F6A">
        <w:t>seful</w:t>
      </w:r>
      <w:r w:rsidR="00577236" w:rsidRPr="00BF6F6A">
        <w:t>ness</w:t>
      </w:r>
      <w:r w:rsidR="00745BF6" w:rsidRPr="00BF6F6A">
        <w:t xml:space="preserve"> for </w:t>
      </w:r>
      <w:r w:rsidR="00577236" w:rsidRPr="00BF6F6A">
        <w:t xml:space="preserve">specific </w:t>
      </w:r>
      <w:r w:rsidR="00745BF6" w:rsidRPr="00BF6F6A">
        <w:t xml:space="preserve">stakeholders, as companies can choose how to collect and what ESG </w:t>
      </w:r>
      <w:r w:rsidR="00577236" w:rsidRPr="00BF6F6A">
        <w:t>information</w:t>
      </w:r>
      <w:r w:rsidR="00745BF6" w:rsidRPr="00BF6F6A">
        <w:t xml:space="preserve"> to disclose</w:t>
      </w:r>
      <w:r w:rsidR="007E6212" w:rsidRPr="00BF6F6A">
        <w:t xml:space="preserve"> </w:t>
      </w:r>
      <w:r w:rsidR="00745BF6" w:rsidRPr="00BF6F6A">
        <w:t xml:space="preserve">(Busch </w:t>
      </w:r>
      <w:r w:rsidR="00745BF6" w:rsidRPr="00BF6F6A">
        <w:rPr>
          <w:i/>
          <w:iCs/>
        </w:rPr>
        <w:t>et al.</w:t>
      </w:r>
      <w:r w:rsidR="00745BF6" w:rsidRPr="00BF6F6A">
        <w:t xml:space="preserve">, 2016; Espahbodi </w:t>
      </w:r>
      <w:r w:rsidR="00745BF6" w:rsidRPr="00BF6F6A">
        <w:rPr>
          <w:i/>
          <w:iCs/>
        </w:rPr>
        <w:t>et al.</w:t>
      </w:r>
      <w:r w:rsidR="00745BF6" w:rsidRPr="00BF6F6A">
        <w:t>, 2019; Camilleri, 2020).</w:t>
      </w:r>
    </w:p>
    <w:p w14:paraId="62E4A292" w14:textId="19AF6229" w:rsidR="007E6212" w:rsidRPr="00BF6F6A" w:rsidRDefault="001428FF" w:rsidP="003B4F8D">
      <w:pPr>
        <w:ind w:firstLine="720"/>
        <w:jc w:val="both"/>
      </w:pPr>
      <w:r w:rsidRPr="00BF6F6A">
        <w:rPr>
          <w:shd w:val="clear" w:color="auto" w:fill="FFFFFF"/>
        </w:rPr>
        <w:t>As proposed by Slapikaite and Tamosiuniene (2013)</w:t>
      </w:r>
      <w:r w:rsidR="007D02C7">
        <w:rPr>
          <w:shd w:val="clear" w:color="auto" w:fill="FFFFFF"/>
        </w:rPr>
        <w:t>,</w:t>
      </w:r>
      <w:r w:rsidRPr="00BF6F6A">
        <w:rPr>
          <w:shd w:val="clear" w:color="auto" w:fill="FFFFFF"/>
        </w:rPr>
        <w:t xml:space="preserve"> </w:t>
      </w:r>
      <w:r w:rsidR="002F7ADC" w:rsidRPr="00BF6F6A">
        <w:rPr>
          <w:shd w:val="clear" w:color="auto" w:fill="FFFFFF"/>
        </w:rPr>
        <w:t>SRI</w:t>
      </w:r>
      <w:r w:rsidR="00A32314" w:rsidRPr="00BF6F6A">
        <w:rPr>
          <w:shd w:val="clear" w:color="auto" w:fill="FFFFFF"/>
        </w:rPr>
        <w:t xml:space="preserve"> needs </w:t>
      </w:r>
      <w:r w:rsidR="00407454" w:rsidRPr="00BF6F6A">
        <w:rPr>
          <w:shd w:val="clear" w:color="auto" w:fill="FFFFFF"/>
        </w:rPr>
        <w:t xml:space="preserve">to be supported </w:t>
      </w:r>
      <w:r w:rsidR="00A70616" w:rsidRPr="00BF6F6A">
        <w:rPr>
          <w:shd w:val="clear" w:color="auto" w:fill="FFFFFF"/>
        </w:rPr>
        <w:t xml:space="preserve">through </w:t>
      </w:r>
      <w:r w:rsidR="00407454" w:rsidRPr="00BF6F6A">
        <w:rPr>
          <w:shd w:val="clear" w:color="auto" w:fill="FFFFFF"/>
        </w:rPr>
        <w:t>legislation, education, and promotion strategies</w:t>
      </w:r>
      <w:r w:rsidR="00010617" w:rsidRPr="00BF6F6A">
        <w:rPr>
          <w:shd w:val="clear" w:color="auto" w:fill="FFFFFF"/>
        </w:rPr>
        <w:t xml:space="preserve">. </w:t>
      </w:r>
      <w:bookmarkStart w:id="14" w:name="_Hlk98422519"/>
      <w:r w:rsidR="00010617" w:rsidRPr="00BF6F6A">
        <w:rPr>
          <w:shd w:val="clear" w:color="auto" w:fill="FFFFFF"/>
        </w:rPr>
        <w:t>Additionally, t</w:t>
      </w:r>
      <w:r w:rsidR="001011C0" w:rsidRPr="00BF6F6A">
        <w:rPr>
          <w:shd w:val="clear" w:color="auto" w:fill="FFFFFF"/>
        </w:rPr>
        <w:t xml:space="preserve">here may be a need for legislation to provide incentives </w:t>
      </w:r>
      <w:r w:rsidR="004270AC" w:rsidRPr="00BF6F6A">
        <w:rPr>
          <w:shd w:val="clear" w:color="auto" w:fill="FFFFFF"/>
        </w:rPr>
        <w:t>for disclosure</w:t>
      </w:r>
      <w:r w:rsidR="00950D46" w:rsidRPr="00BF6F6A">
        <w:rPr>
          <w:shd w:val="clear" w:color="auto" w:fill="FFFFFF"/>
        </w:rPr>
        <w:t xml:space="preserve"> (</w:t>
      </w:r>
      <w:r w:rsidR="00667C1D" w:rsidRPr="00BF6F6A">
        <w:rPr>
          <w:shd w:val="clear" w:color="auto" w:fill="FFFFFF"/>
        </w:rPr>
        <w:t xml:space="preserve">Eichholtz </w:t>
      </w:r>
      <w:r w:rsidR="00667C1D" w:rsidRPr="00BF6F6A">
        <w:rPr>
          <w:i/>
          <w:iCs/>
          <w:shd w:val="clear" w:color="auto" w:fill="FFFFFF"/>
        </w:rPr>
        <w:t>et al.</w:t>
      </w:r>
      <w:r w:rsidR="00667C1D" w:rsidRPr="00BF6F6A">
        <w:rPr>
          <w:shd w:val="clear" w:color="auto" w:fill="FFFFFF"/>
        </w:rPr>
        <w:t>, 2019</w:t>
      </w:r>
      <w:r w:rsidR="008E678D" w:rsidRPr="00BF6F6A">
        <w:rPr>
          <w:shd w:val="clear" w:color="auto" w:fill="FFFFFF"/>
        </w:rPr>
        <w:t>a</w:t>
      </w:r>
      <w:r w:rsidR="00950D46" w:rsidRPr="00BF6F6A">
        <w:rPr>
          <w:shd w:val="clear" w:color="auto" w:fill="FFFFFF"/>
        </w:rPr>
        <w:t>)</w:t>
      </w:r>
      <w:r w:rsidR="004270AC" w:rsidRPr="00BF6F6A">
        <w:rPr>
          <w:shd w:val="clear" w:color="auto" w:fill="FFFFFF"/>
        </w:rPr>
        <w:t xml:space="preserve">. </w:t>
      </w:r>
      <w:bookmarkEnd w:id="14"/>
      <w:r w:rsidR="003713B6" w:rsidRPr="00BF6F6A">
        <w:t>A</w:t>
      </w:r>
      <w:r w:rsidR="00591379" w:rsidRPr="00BF6F6A">
        <w:t xml:space="preserve">n </w:t>
      </w:r>
      <w:r w:rsidR="004F38CA" w:rsidRPr="00BF6F6A">
        <w:t xml:space="preserve">ESG strategy </w:t>
      </w:r>
      <w:r w:rsidR="00591379" w:rsidRPr="00BF6F6A">
        <w:t xml:space="preserve">can </w:t>
      </w:r>
      <w:r w:rsidR="004F38CA" w:rsidRPr="00BF6F6A">
        <w:t>enabl</w:t>
      </w:r>
      <w:r w:rsidR="00591379" w:rsidRPr="00BF6F6A">
        <w:t>e</w:t>
      </w:r>
      <w:r w:rsidR="004F38CA" w:rsidRPr="00BF6F6A">
        <w:t xml:space="preserve"> companies </w:t>
      </w:r>
      <w:r w:rsidR="00762832" w:rsidRPr="00BF6F6A">
        <w:t xml:space="preserve">to </w:t>
      </w:r>
      <w:r w:rsidR="004F38CA" w:rsidRPr="00BF6F6A">
        <w:t>legitimise the decision-making process</w:t>
      </w:r>
      <w:r w:rsidR="003713B6" w:rsidRPr="00BF6F6A">
        <w:t xml:space="preserve"> (Ochi, 2018)</w:t>
      </w:r>
      <w:r w:rsidR="004F38CA" w:rsidRPr="00BF6F6A">
        <w:t xml:space="preserve">. </w:t>
      </w:r>
      <w:r w:rsidR="00A70616" w:rsidRPr="00BF6F6A">
        <w:t>I</w:t>
      </w:r>
      <w:r w:rsidR="004F38CA" w:rsidRPr="00BF6F6A">
        <w:t>t is necessary</w:t>
      </w:r>
      <w:r w:rsidR="00A70616" w:rsidRPr="00BF6F6A">
        <w:t>, however,</w:t>
      </w:r>
      <w:r w:rsidR="004F38CA" w:rsidRPr="00BF6F6A">
        <w:t xml:space="preserve"> to facilitate a system for </w:t>
      </w:r>
      <w:r w:rsidR="003713B6" w:rsidRPr="00BF6F6A">
        <w:t xml:space="preserve">sector-specific </w:t>
      </w:r>
      <w:r w:rsidR="004F38CA" w:rsidRPr="00BF6F6A">
        <w:t xml:space="preserve">comparison and evaluation by announcing </w:t>
      </w:r>
      <w:r w:rsidR="002F7ADC" w:rsidRPr="00BF6F6A">
        <w:t xml:space="preserve">non-financial </w:t>
      </w:r>
      <w:r w:rsidR="004F38CA" w:rsidRPr="00BF6F6A">
        <w:t xml:space="preserve">disclosure </w:t>
      </w:r>
      <w:r w:rsidR="003713B6" w:rsidRPr="00BF6F6A">
        <w:t>criteria</w:t>
      </w:r>
      <w:r w:rsidR="004F38CA" w:rsidRPr="00BF6F6A">
        <w:t>.</w:t>
      </w:r>
      <w:r w:rsidR="00146AD0" w:rsidRPr="00BF6F6A">
        <w:t xml:space="preserve"> </w:t>
      </w:r>
      <w:r w:rsidR="003713B6" w:rsidRPr="00BF6F6A">
        <w:t>I</w:t>
      </w:r>
      <w:r w:rsidR="005F3EC7" w:rsidRPr="00BF6F6A">
        <w:t xml:space="preserve">n the absence of </w:t>
      </w:r>
      <w:r w:rsidR="003713B6" w:rsidRPr="00BF6F6A">
        <w:t xml:space="preserve">clear </w:t>
      </w:r>
      <w:r w:rsidR="005F3EC7" w:rsidRPr="00BF6F6A">
        <w:t>legislation for mandatory disclosure</w:t>
      </w:r>
      <w:r w:rsidR="002F7ADC" w:rsidRPr="00BF6F6A">
        <w:t>s</w:t>
      </w:r>
      <w:r w:rsidR="005F3EC7" w:rsidRPr="00BF6F6A">
        <w:t xml:space="preserve">, </w:t>
      </w:r>
      <w:r w:rsidR="00A70616" w:rsidRPr="00BF6F6A">
        <w:t xml:space="preserve">there cannot be an expectation that </w:t>
      </w:r>
      <w:r w:rsidR="005F3EC7" w:rsidRPr="00BF6F6A">
        <w:t>the quality of reporting</w:t>
      </w:r>
      <w:r w:rsidR="00A70616" w:rsidRPr="00BF6F6A">
        <w:t xml:space="preserve"> will </w:t>
      </w:r>
      <w:r w:rsidR="003713B6" w:rsidRPr="00BF6F6A">
        <w:t xml:space="preserve">be consistent (Cho </w:t>
      </w:r>
      <w:r w:rsidR="003713B6" w:rsidRPr="00BF6F6A">
        <w:rPr>
          <w:i/>
          <w:iCs/>
        </w:rPr>
        <w:t>et al</w:t>
      </w:r>
      <w:r w:rsidR="00032A52" w:rsidRPr="00BF6F6A">
        <w:rPr>
          <w:i/>
          <w:iCs/>
        </w:rPr>
        <w:t xml:space="preserve">., </w:t>
      </w:r>
      <w:r w:rsidR="003713B6" w:rsidRPr="00BF6F6A">
        <w:t>2020)</w:t>
      </w:r>
      <w:r w:rsidR="007E6212" w:rsidRPr="00BF6F6A">
        <w:t>. Thus</w:t>
      </w:r>
      <w:r w:rsidR="00762832" w:rsidRPr="00BF6F6A">
        <w:t>,</w:t>
      </w:r>
      <w:r w:rsidR="007E6212" w:rsidRPr="00BF6F6A">
        <w:t xml:space="preserve"> it is not surprising to observe</w:t>
      </w:r>
      <w:r w:rsidR="00142DE9" w:rsidRPr="00BF6F6A">
        <w:t xml:space="preserve"> </w:t>
      </w:r>
      <w:r w:rsidR="007E6212" w:rsidRPr="00BF6F6A">
        <w:t xml:space="preserve">international divergence in terms of the influence of mandatory ESG reporting on disclosures across stock markets (Fyodorova </w:t>
      </w:r>
      <w:r w:rsidR="007E6212" w:rsidRPr="00BF6F6A">
        <w:rPr>
          <w:i/>
          <w:iCs/>
        </w:rPr>
        <w:t>et al.</w:t>
      </w:r>
      <w:r w:rsidR="007E6212" w:rsidRPr="00BF6F6A">
        <w:t xml:space="preserve">, 2019). </w:t>
      </w:r>
      <w:r w:rsidR="003713B6" w:rsidRPr="00BF6F6A">
        <w:t xml:space="preserve">This </w:t>
      </w:r>
      <w:r w:rsidR="007E6212" w:rsidRPr="00BF6F6A">
        <w:t xml:space="preserve">lack of clarity </w:t>
      </w:r>
      <w:r w:rsidR="003713B6" w:rsidRPr="00BF6F6A">
        <w:t>is particularly important for</w:t>
      </w:r>
      <w:r w:rsidR="005F3EC7" w:rsidRPr="00BF6F6A">
        <w:t xml:space="preserve"> smaller companies </w:t>
      </w:r>
      <w:r w:rsidR="003713B6" w:rsidRPr="00BF6F6A">
        <w:t>facing</w:t>
      </w:r>
      <w:r w:rsidR="005F3EC7" w:rsidRPr="00BF6F6A">
        <w:t xml:space="preserve"> </w:t>
      </w:r>
      <w:r w:rsidR="003713B6" w:rsidRPr="00BF6F6A">
        <w:t xml:space="preserve">competition from </w:t>
      </w:r>
      <w:r w:rsidR="005F3EC7" w:rsidRPr="00BF6F6A">
        <w:t>large companies</w:t>
      </w:r>
      <w:r w:rsidR="003713B6" w:rsidRPr="00BF6F6A">
        <w:t xml:space="preserve"> using ESG as a quality signal</w:t>
      </w:r>
      <w:r w:rsidR="005F3EC7" w:rsidRPr="00BF6F6A">
        <w:t>.</w:t>
      </w:r>
      <w:r w:rsidR="007E6212" w:rsidRPr="00BF6F6A">
        <w:t xml:space="preserve"> </w:t>
      </w:r>
      <w:r w:rsidR="00142DE9" w:rsidRPr="00BF6F6A">
        <w:t>The rapid</w:t>
      </w:r>
      <w:r w:rsidR="00C14EA2" w:rsidRPr="00BF6F6A">
        <w:t xml:space="preserve"> growth of the SRI market requires a universal rating model evaluating both </w:t>
      </w:r>
      <w:r w:rsidR="00142DE9" w:rsidRPr="00BF6F6A">
        <w:t xml:space="preserve">the </w:t>
      </w:r>
      <w:r w:rsidR="00C14EA2" w:rsidRPr="00BF6F6A">
        <w:t xml:space="preserve">financial and sustainability performances of mutual funds and SRI should be encouraged further by fund managers and governments </w:t>
      </w:r>
      <w:r w:rsidR="003713B6" w:rsidRPr="00BF6F6A">
        <w:t>(Slapikaite and Tamosiuniene, 2013)</w:t>
      </w:r>
      <w:r w:rsidR="00C14EA2" w:rsidRPr="00BF6F6A">
        <w:t>.</w:t>
      </w:r>
    </w:p>
    <w:p w14:paraId="4D7FD6C8" w14:textId="05A083AE" w:rsidR="00BA6488" w:rsidRPr="00BF6F6A" w:rsidRDefault="00411034" w:rsidP="003B4F8D">
      <w:pPr>
        <w:ind w:firstLine="720"/>
        <w:jc w:val="both"/>
      </w:pPr>
      <w:r w:rsidRPr="00BF6F6A">
        <w:lastRenderedPageBreak/>
        <w:t xml:space="preserve">Another challenge </w:t>
      </w:r>
      <w:r w:rsidR="007E6212" w:rsidRPr="00BF6F6A">
        <w:t>to</w:t>
      </w:r>
      <w:r w:rsidRPr="00BF6F6A">
        <w:t xml:space="preserve"> </w:t>
      </w:r>
      <w:r w:rsidR="007E6212" w:rsidRPr="00BF6F6A">
        <w:t xml:space="preserve">ESG </w:t>
      </w:r>
      <w:r w:rsidRPr="00BF6F6A">
        <w:t>disclosure</w:t>
      </w:r>
      <w:r w:rsidR="007E6212" w:rsidRPr="00BF6F6A">
        <w:t>s</w:t>
      </w:r>
      <w:r w:rsidRPr="00BF6F6A">
        <w:t xml:space="preserve"> </w:t>
      </w:r>
      <w:r w:rsidR="00330B88" w:rsidRPr="00BF6F6A">
        <w:t>relates</w:t>
      </w:r>
      <w:r w:rsidRPr="00BF6F6A">
        <w:t xml:space="preserve"> to capital expenditure</w:t>
      </w:r>
      <w:r w:rsidR="004A0180" w:rsidRPr="00BF6F6A">
        <w:t>s</w:t>
      </w:r>
      <w:r w:rsidR="00943349" w:rsidRPr="00BF6F6A">
        <w:t xml:space="preserve"> </w:t>
      </w:r>
      <w:r w:rsidR="004A0180" w:rsidRPr="00BF6F6A">
        <w:t xml:space="preserve">by </w:t>
      </w:r>
      <w:r w:rsidRPr="00BF6F6A">
        <w:t xml:space="preserve">larger companies. Varyash </w:t>
      </w:r>
      <w:r w:rsidRPr="00BF6F6A">
        <w:rPr>
          <w:i/>
          <w:iCs/>
        </w:rPr>
        <w:t>et al.</w:t>
      </w:r>
      <w:r w:rsidRPr="00BF6F6A">
        <w:t xml:space="preserve"> (2020) show that environmental innovations and ESG levels are </w:t>
      </w:r>
      <w:r w:rsidR="007E6212" w:rsidRPr="00BF6F6A">
        <w:t xml:space="preserve">positively </w:t>
      </w:r>
      <w:r w:rsidRPr="00BF6F6A">
        <w:t xml:space="preserve">linked to the </w:t>
      </w:r>
      <w:r w:rsidR="007E6212" w:rsidRPr="00BF6F6A">
        <w:t xml:space="preserve">company size and certain industry sectors, which </w:t>
      </w:r>
      <w:r w:rsidR="00142DE9" w:rsidRPr="00BF6F6A">
        <w:t xml:space="preserve">may </w:t>
      </w:r>
      <w:r w:rsidR="007E6212" w:rsidRPr="00BF6F6A">
        <w:t>suggest greenwashing</w:t>
      </w:r>
      <w:r w:rsidRPr="00BF6F6A">
        <w:t>.</w:t>
      </w:r>
      <w:r w:rsidR="00EE750D" w:rsidRPr="00BF6F6A">
        <w:t xml:space="preserve"> </w:t>
      </w:r>
      <w:r w:rsidR="007E6212" w:rsidRPr="00BF6F6A">
        <w:t>Furthermore,</w:t>
      </w:r>
      <w:r w:rsidR="00B35793" w:rsidRPr="00BF6F6A">
        <w:t xml:space="preserve"> firm-level cost of debt is negatively associated with ESG disclosure level and REITs with higher disclosure levels have more flexibility and higher market value</w:t>
      </w:r>
      <w:r w:rsidR="007E6212" w:rsidRPr="00BF6F6A">
        <w:t xml:space="preserve"> (Feng and Wu, 2023)</w:t>
      </w:r>
      <w:r w:rsidR="00B35793" w:rsidRPr="00BF6F6A">
        <w:t xml:space="preserve">. </w:t>
      </w:r>
      <w:r w:rsidR="007E6212" w:rsidRPr="00BF6F6A">
        <w:t>Hence,</w:t>
      </w:r>
      <w:r w:rsidR="00B35793" w:rsidRPr="00BF6F6A">
        <w:t xml:space="preserve"> REITs that do not disclose ESG information </w:t>
      </w:r>
      <w:r w:rsidR="007E6212" w:rsidRPr="00BF6F6A">
        <w:t>may</w:t>
      </w:r>
      <w:r w:rsidR="00B35793" w:rsidRPr="00BF6F6A">
        <w:t xml:space="preserve"> suffer compared to their peers who </w:t>
      </w:r>
      <w:r w:rsidR="007E6212" w:rsidRPr="00BF6F6A">
        <w:t>use ESG disclosures to gain</w:t>
      </w:r>
      <w:r w:rsidR="00B35793" w:rsidRPr="00BF6F6A">
        <w:t xml:space="preserve"> competitive advantage through differentiation. </w:t>
      </w:r>
      <w:r w:rsidR="007E6212" w:rsidRPr="00BF6F6A">
        <w:t xml:space="preserve">Moreover, </w:t>
      </w:r>
      <w:r w:rsidR="00524BF3" w:rsidRPr="00BF6F6A">
        <w:t xml:space="preserve">Karim </w:t>
      </w:r>
      <w:r w:rsidR="00524BF3" w:rsidRPr="00BF6F6A">
        <w:rPr>
          <w:i/>
          <w:iCs/>
        </w:rPr>
        <w:t>et al.</w:t>
      </w:r>
      <w:r w:rsidR="00524BF3" w:rsidRPr="00BF6F6A">
        <w:t xml:space="preserve"> (2021) stated that </w:t>
      </w:r>
      <w:r w:rsidR="007E6212" w:rsidRPr="00BF6F6A">
        <w:t xml:space="preserve">there is </w:t>
      </w:r>
      <w:r w:rsidR="00BA6488" w:rsidRPr="00BF6F6A">
        <w:t>a positive relationship between capital expenditure, internal governance and carbon emission disclosure</w:t>
      </w:r>
      <w:r w:rsidR="007E6212" w:rsidRPr="00BF6F6A">
        <w:t xml:space="preserve">s. </w:t>
      </w:r>
      <w:r w:rsidR="00A70616" w:rsidRPr="00BF6F6A">
        <w:t>A</w:t>
      </w:r>
      <w:r w:rsidR="007E6212" w:rsidRPr="00BF6F6A">
        <w:t xml:space="preserve">s </w:t>
      </w:r>
      <w:r w:rsidR="00BA6488" w:rsidRPr="00BF6F6A">
        <w:t>the expenditure</w:t>
      </w:r>
      <w:r w:rsidR="007E6212" w:rsidRPr="00BF6F6A">
        <w:t>s</w:t>
      </w:r>
      <w:r w:rsidR="00A70616" w:rsidRPr="00BF6F6A">
        <w:t>, however,</w:t>
      </w:r>
      <w:r w:rsidR="00BA6488" w:rsidRPr="00BF6F6A">
        <w:t xml:space="preserve"> </w:t>
      </w:r>
      <w:r w:rsidR="007E6212" w:rsidRPr="00BF6F6A">
        <w:t>are</w:t>
      </w:r>
      <w:r w:rsidR="00BA6488" w:rsidRPr="00BF6F6A">
        <w:t xml:space="preserve"> positively associated with the level of disclosure</w:t>
      </w:r>
      <w:r w:rsidR="007E6212" w:rsidRPr="00BF6F6A">
        <w:t>s</w:t>
      </w:r>
      <w:r w:rsidR="00BA6488" w:rsidRPr="00BF6F6A">
        <w:t xml:space="preserve">, </w:t>
      </w:r>
      <w:r w:rsidR="007E6212" w:rsidRPr="00BF6F6A">
        <w:t>this</w:t>
      </w:r>
      <w:r w:rsidR="00BA6488" w:rsidRPr="00BF6F6A">
        <w:t xml:space="preserve"> negatively affect</w:t>
      </w:r>
      <w:r w:rsidR="007E6212" w:rsidRPr="00BF6F6A">
        <w:t>s</w:t>
      </w:r>
      <w:r w:rsidR="00BA6488" w:rsidRPr="00BF6F6A">
        <w:t xml:space="preserve"> the value of the firm. </w:t>
      </w:r>
    </w:p>
    <w:p w14:paraId="1689D450" w14:textId="323A76B6" w:rsidR="007D081B" w:rsidRPr="00BF6F6A" w:rsidRDefault="007E6212" w:rsidP="00C65601">
      <w:pPr>
        <w:ind w:firstLine="720"/>
        <w:jc w:val="both"/>
        <w:rPr>
          <w:color w:val="000000"/>
        </w:rPr>
      </w:pPr>
      <w:r w:rsidRPr="00BF6F6A">
        <w:t xml:space="preserve">Another </w:t>
      </w:r>
      <w:r w:rsidR="00B35793" w:rsidRPr="00BF6F6A">
        <w:t>major obstacle to overcome</w:t>
      </w:r>
      <w:r w:rsidR="00142DE9" w:rsidRPr="00BF6F6A">
        <w:t xml:space="preserve"> </w:t>
      </w:r>
      <w:r w:rsidR="00A70616" w:rsidRPr="00BF6F6A">
        <w:t xml:space="preserve">is </w:t>
      </w:r>
      <w:r w:rsidR="00142DE9" w:rsidRPr="00BF6F6A">
        <w:t>the general lack of trust due to concerns over greenwashing</w:t>
      </w:r>
      <w:r w:rsidR="007D2E7B" w:rsidRPr="00BF6F6A">
        <w:t xml:space="preserve"> </w:t>
      </w:r>
      <w:r w:rsidR="00142DE9" w:rsidRPr="00BF6F6A">
        <w:t xml:space="preserve">(Busch </w:t>
      </w:r>
      <w:r w:rsidR="00142DE9" w:rsidRPr="00BF6F6A">
        <w:rPr>
          <w:i/>
          <w:iCs/>
        </w:rPr>
        <w:t>et al.</w:t>
      </w:r>
      <w:r w:rsidR="00142DE9" w:rsidRPr="00BF6F6A">
        <w:t xml:space="preserve">, 2016; Espahbodi </w:t>
      </w:r>
      <w:r w:rsidR="00142DE9" w:rsidRPr="00BF6F6A">
        <w:rPr>
          <w:i/>
          <w:iCs/>
        </w:rPr>
        <w:t>et al.</w:t>
      </w:r>
      <w:r w:rsidR="00142DE9" w:rsidRPr="00BF6F6A">
        <w:t xml:space="preserve">, 2019; Camilleri, 2020; Morphett </w:t>
      </w:r>
      <w:r w:rsidR="00142DE9" w:rsidRPr="00BF6F6A">
        <w:rPr>
          <w:i/>
          <w:iCs/>
        </w:rPr>
        <w:t>et al.</w:t>
      </w:r>
      <w:r w:rsidR="00142DE9" w:rsidRPr="00BF6F6A">
        <w:t>, 2023)</w:t>
      </w:r>
      <w:r w:rsidR="007D02C7">
        <w:t>,</w:t>
      </w:r>
      <w:r w:rsidR="00B35793" w:rsidRPr="00BF6F6A">
        <w:t xml:space="preserve"> </w:t>
      </w:r>
      <w:r w:rsidR="00A70616" w:rsidRPr="00BF6F6A">
        <w:t xml:space="preserve">resulting in </w:t>
      </w:r>
      <w:r w:rsidR="00B35793" w:rsidRPr="00BF6F6A">
        <w:t xml:space="preserve">the need </w:t>
      </w:r>
      <w:r w:rsidRPr="00BF6F6A">
        <w:t>for</w:t>
      </w:r>
      <w:r w:rsidR="00B35793" w:rsidRPr="00BF6F6A">
        <w:t xml:space="preserve"> improved reliability </w:t>
      </w:r>
      <w:r w:rsidRPr="00BF6F6A">
        <w:t xml:space="preserve">of ESG data </w:t>
      </w:r>
      <w:r w:rsidR="00B35793" w:rsidRPr="00BF6F6A">
        <w:t xml:space="preserve">(Espahbodi </w:t>
      </w:r>
      <w:r w:rsidR="00B35793" w:rsidRPr="00BF6F6A">
        <w:rPr>
          <w:i/>
          <w:iCs/>
        </w:rPr>
        <w:t>et al.</w:t>
      </w:r>
      <w:r w:rsidR="00B35793" w:rsidRPr="00BF6F6A">
        <w:t xml:space="preserve">, 2019). Brounen </w:t>
      </w:r>
      <w:r w:rsidR="00B35793" w:rsidRPr="00BF6F6A">
        <w:rPr>
          <w:i/>
          <w:iCs/>
        </w:rPr>
        <w:t>et al.</w:t>
      </w:r>
      <w:r w:rsidR="00B35793" w:rsidRPr="00BF6F6A">
        <w:t xml:space="preserve"> (2021) </w:t>
      </w:r>
      <w:r w:rsidRPr="00BF6F6A">
        <w:t>observe</w:t>
      </w:r>
      <w:r w:rsidR="00524BF3" w:rsidRPr="00BF6F6A">
        <w:t>d</w:t>
      </w:r>
      <w:r w:rsidRPr="00BF6F6A">
        <w:t xml:space="preserve"> </w:t>
      </w:r>
      <w:r w:rsidR="00B35793" w:rsidRPr="00BF6F6A">
        <w:t>that firms scor</w:t>
      </w:r>
      <w:r w:rsidRPr="00BF6F6A">
        <w:t>ing</w:t>
      </w:r>
      <w:r w:rsidR="00B35793" w:rsidRPr="00BF6F6A">
        <w:t xml:space="preserve"> highly on ESG also tend to score higher than average on performance</w:t>
      </w:r>
      <w:r w:rsidR="00762832" w:rsidRPr="00BF6F6A">
        <w:t>,</w:t>
      </w:r>
      <w:r w:rsidR="00B35793" w:rsidRPr="00BF6F6A">
        <w:t xml:space="preserve"> which indicates </w:t>
      </w:r>
      <w:r w:rsidRPr="00BF6F6A">
        <w:t xml:space="preserve">that </w:t>
      </w:r>
      <w:r w:rsidR="00B35793" w:rsidRPr="00BF6F6A">
        <w:t>poorly performing firms shy away from reporting</w:t>
      </w:r>
      <w:r w:rsidR="00762832" w:rsidRPr="00BF6F6A">
        <w:t>,</w:t>
      </w:r>
      <w:r w:rsidR="00142DE9" w:rsidRPr="00BF6F6A">
        <w:t xml:space="preserve"> signalling perhaps lower quality</w:t>
      </w:r>
      <w:r w:rsidR="00A70616" w:rsidRPr="00BF6F6A">
        <w:t xml:space="preserve"> of data</w:t>
      </w:r>
      <w:r w:rsidR="00142DE9" w:rsidRPr="00BF6F6A">
        <w:t>.</w:t>
      </w:r>
      <w:r w:rsidRPr="00BF6F6A">
        <w:t xml:space="preserve"> </w:t>
      </w:r>
      <w:r w:rsidR="00C65601" w:rsidRPr="00BF6F6A">
        <w:t xml:space="preserve">However, </w:t>
      </w:r>
      <w:r w:rsidRPr="00BF6F6A">
        <w:rPr>
          <w:color w:val="000000"/>
        </w:rPr>
        <w:t xml:space="preserve">Chacon </w:t>
      </w:r>
      <w:r w:rsidRPr="00BF6F6A">
        <w:rPr>
          <w:i/>
          <w:iCs/>
          <w:color w:val="000000"/>
        </w:rPr>
        <w:t>et al.</w:t>
      </w:r>
      <w:r w:rsidR="00142DE9" w:rsidRPr="00BF6F6A">
        <w:rPr>
          <w:color w:val="000000"/>
        </w:rPr>
        <w:t xml:space="preserve"> (</w:t>
      </w:r>
      <w:r w:rsidRPr="00BF6F6A">
        <w:rPr>
          <w:color w:val="000000"/>
        </w:rPr>
        <w:t>2024</w:t>
      </w:r>
      <w:r w:rsidR="00142DE9" w:rsidRPr="00BF6F6A">
        <w:rPr>
          <w:color w:val="000000"/>
        </w:rPr>
        <w:t xml:space="preserve">) </w:t>
      </w:r>
      <w:r w:rsidR="00502505">
        <w:rPr>
          <w:color w:val="000000"/>
        </w:rPr>
        <w:t>do</w:t>
      </w:r>
      <w:r w:rsidR="00502505" w:rsidRPr="00BF6F6A">
        <w:rPr>
          <w:color w:val="000000"/>
        </w:rPr>
        <w:t xml:space="preserve"> </w:t>
      </w:r>
      <w:r w:rsidR="00142DE9" w:rsidRPr="00BF6F6A">
        <w:rPr>
          <w:color w:val="000000"/>
        </w:rPr>
        <w:t>not support this observation</w:t>
      </w:r>
      <w:r w:rsidR="001E3DC6" w:rsidRPr="00BF6F6A">
        <w:rPr>
          <w:color w:val="000000"/>
        </w:rPr>
        <w:t>, stating</w:t>
      </w:r>
      <w:r w:rsidR="00C65601" w:rsidRPr="00BF6F6A">
        <w:rPr>
          <w:color w:val="000000"/>
        </w:rPr>
        <w:t xml:space="preserve"> that </w:t>
      </w:r>
      <w:r w:rsidR="00C65601" w:rsidRPr="00BF6F6A">
        <w:t>REITs with higher ESG performance scores have lower firm value</w:t>
      </w:r>
      <w:r w:rsidR="00C65601" w:rsidRPr="00BF6F6A">
        <w:rPr>
          <w:color w:val="000000"/>
        </w:rPr>
        <w:t xml:space="preserve"> and lo</w:t>
      </w:r>
      <w:r w:rsidR="00502505">
        <w:rPr>
          <w:color w:val="000000"/>
        </w:rPr>
        <w:t>w</w:t>
      </w:r>
      <w:r w:rsidR="00C65601" w:rsidRPr="00BF6F6A">
        <w:rPr>
          <w:color w:val="000000"/>
        </w:rPr>
        <w:t>er operating cashflows.</w:t>
      </w:r>
    </w:p>
    <w:p w14:paraId="1FD7A741" w14:textId="77777777" w:rsidR="00762832" w:rsidRPr="00BF6F6A" w:rsidRDefault="00762832" w:rsidP="003B4F8D">
      <w:pPr>
        <w:ind w:firstLine="720"/>
        <w:jc w:val="both"/>
      </w:pPr>
    </w:p>
    <w:p w14:paraId="66FEDE3D" w14:textId="1A60F120" w:rsidR="0006474B" w:rsidRPr="00BF6F6A" w:rsidRDefault="0006474B" w:rsidP="003B4F8D">
      <w:pPr>
        <w:pStyle w:val="Heading2"/>
        <w:numPr>
          <w:ilvl w:val="1"/>
          <w:numId w:val="43"/>
        </w:numPr>
        <w:spacing w:before="0" w:after="0"/>
        <w:ind w:left="-15" w:firstLine="0"/>
        <w:rPr>
          <w:rFonts w:eastAsia="Calibri" w:cs="Times New Roman"/>
          <w:b w:val="0"/>
          <w:sz w:val="29"/>
          <w:szCs w:val="22"/>
        </w:rPr>
      </w:pPr>
      <w:bookmarkStart w:id="15" w:name="_Hlk98494328"/>
      <w:r w:rsidRPr="00BF6F6A">
        <w:rPr>
          <w:rFonts w:eastAsia="Calibri" w:cs="Times New Roman"/>
          <w:b w:val="0"/>
          <w:sz w:val="29"/>
          <w:szCs w:val="22"/>
        </w:rPr>
        <w:t xml:space="preserve"> </w:t>
      </w:r>
      <w:bookmarkStart w:id="16" w:name="_Toc99882227"/>
      <w:r w:rsidRPr="00BF6F6A">
        <w:rPr>
          <w:rFonts w:eastAsia="Calibri" w:cs="Times New Roman"/>
          <w:b w:val="0"/>
          <w:sz w:val="29"/>
          <w:szCs w:val="22"/>
        </w:rPr>
        <w:t>GRESB</w:t>
      </w:r>
      <w:bookmarkEnd w:id="16"/>
    </w:p>
    <w:p w14:paraId="774211E0" w14:textId="21BD48D1" w:rsidR="00495307" w:rsidRPr="00BF6F6A" w:rsidRDefault="003A7C0A" w:rsidP="003B4F8D">
      <w:pPr>
        <w:jc w:val="both"/>
      </w:pPr>
      <w:r w:rsidRPr="00BF6F6A">
        <w:t xml:space="preserve">GRESB underpins </w:t>
      </w:r>
      <w:r w:rsidR="00A8401D" w:rsidRPr="00BF6F6A">
        <w:t>investor-driven</w:t>
      </w:r>
      <w:r w:rsidRPr="00BF6F6A">
        <w:t xml:space="preserve"> ESG benchmarking and reporting frameworks for </w:t>
      </w:r>
      <w:r w:rsidR="00142DE9" w:rsidRPr="00BF6F6A">
        <w:t>companies</w:t>
      </w:r>
      <w:r w:rsidRPr="00BF6F6A">
        <w:t xml:space="preserve"> investing directly in real estate. </w:t>
      </w:r>
      <w:r w:rsidR="009B6432" w:rsidRPr="00BF6F6A">
        <w:t>T</w:t>
      </w:r>
      <w:r w:rsidRPr="00BF6F6A">
        <w:t>he assessment is shaped by what investors and the industry consider to be material issues in sustainability performance</w:t>
      </w:r>
      <w:r w:rsidR="00142DE9" w:rsidRPr="00BF6F6A">
        <w:t xml:space="preserve">. </w:t>
      </w:r>
      <w:r w:rsidR="00762832" w:rsidRPr="00BF6F6A">
        <w:t xml:space="preserve">The </w:t>
      </w:r>
      <w:r w:rsidR="00142DE9" w:rsidRPr="00BF6F6A">
        <w:t>GRESB</w:t>
      </w:r>
      <w:r w:rsidRPr="00BF6F6A">
        <w:t xml:space="preserve"> methodology</w:t>
      </w:r>
      <w:r w:rsidR="00142DE9" w:rsidRPr="00BF6F6A">
        <w:t xml:space="preserve">, contrary to some other tools, </w:t>
      </w:r>
      <w:r w:rsidRPr="00BF6F6A">
        <w:t>is consistent across regions, property types, and investment vehicles (GRESB, 2022</w:t>
      </w:r>
      <w:r w:rsidR="008E678D" w:rsidRPr="00BF6F6A">
        <w:t>a</w:t>
      </w:r>
      <w:r w:rsidRPr="00BF6F6A">
        <w:t xml:space="preserve">). The Real Estate Assessment </w:t>
      </w:r>
      <w:r w:rsidR="00142DE9" w:rsidRPr="00BF6F6A">
        <w:t xml:space="preserve">(REA) </w:t>
      </w:r>
      <w:r w:rsidRPr="00BF6F6A">
        <w:t>generates two benchmarks: the GRESB Real Estate Benchmark and the GRESB Development Benchmark.</w:t>
      </w:r>
      <w:r w:rsidR="00937AC3" w:rsidRPr="00BF6F6A">
        <w:t xml:space="preserve"> </w:t>
      </w:r>
      <w:r w:rsidR="00142DE9" w:rsidRPr="00BF6F6A">
        <w:t>REA</w:t>
      </w:r>
      <w:r w:rsidRPr="00BF6F6A">
        <w:t xml:space="preserve"> consists of two</w:t>
      </w:r>
      <w:r w:rsidR="00142DE9" w:rsidRPr="00BF6F6A">
        <w:t xml:space="preserve"> </w:t>
      </w:r>
      <w:r w:rsidRPr="00BF6F6A">
        <w:t>components</w:t>
      </w:r>
      <w:r w:rsidR="009B6432" w:rsidRPr="00BF6F6A">
        <w:t xml:space="preserve">: </w:t>
      </w:r>
      <w:r w:rsidR="001E3DC6" w:rsidRPr="004F7B84">
        <w:rPr>
          <w:i/>
          <w:iCs/>
        </w:rPr>
        <w:t>“</w:t>
      </w:r>
      <w:r w:rsidRPr="004F7B84">
        <w:rPr>
          <w:i/>
          <w:iCs/>
        </w:rPr>
        <w:t>Management</w:t>
      </w:r>
      <w:r w:rsidR="001E3DC6" w:rsidRPr="004F7B84">
        <w:rPr>
          <w:i/>
          <w:iCs/>
        </w:rPr>
        <w:t>”</w:t>
      </w:r>
      <w:r w:rsidR="009B6432" w:rsidRPr="00BF6F6A">
        <w:t xml:space="preserve"> – measuring at</w:t>
      </w:r>
      <w:r w:rsidRPr="00BF6F6A">
        <w:t xml:space="preserve"> organisational level: strategy, leadership, policies and processes, risk management, and stakeholder engagement</w:t>
      </w:r>
      <w:r w:rsidR="006339D5" w:rsidRPr="00BF6F6A">
        <w:t>,</w:t>
      </w:r>
      <w:r w:rsidR="009B6432" w:rsidRPr="00BF6F6A">
        <w:t xml:space="preserve"> and </w:t>
      </w:r>
      <w:r w:rsidR="001E3DC6" w:rsidRPr="004F7B84">
        <w:rPr>
          <w:i/>
          <w:iCs/>
        </w:rPr>
        <w:t>“</w:t>
      </w:r>
      <w:r w:rsidRPr="004F7B84">
        <w:rPr>
          <w:i/>
          <w:iCs/>
        </w:rPr>
        <w:t>Performance</w:t>
      </w:r>
      <w:r w:rsidR="001E3DC6" w:rsidRPr="004F7B84">
        <w:rPr>
          <w:i/>
          <w:iCs/>
        </w:rPr>
        <w:t>”</w:t>
      </w:r>
      <w:r w:rsidRPr="00BF6F6A">
        <w:t xml:space="preserve"> </w:t>
      </w:r>
      <w:r w:rsidR="009B6432" w:rsidRPr="00BF6F6A">
        <w:t xml:space="preserve">– looking at </w:t>
      </w:r>
      <w:r w:rsidRPr="00BF6F6A">
        <w:t>asset and portfolio performance indicators, such as energy consumption, GHG emissions, water consumption and waste (GRESB, 2022</w:t>
      </w:r>
      <w:r w:rsidR="008E678D" w:rsidRPr="00BF6F6A">
        <w:t>a</w:t>
      </w:r>
      <w:r w:rsidRPr="00BF6F6A">
        <w:t>).</w:t>
      </w:r>
      <w:r w:rsidR="0003173D" w:rsidRPr="00BF6F6A">
        <w:t xml:space="preserve"> </w:t>
      </w:r>
      <w:r w:rsidR="00495307" w:rsidRPr="00BF6F6A">
        <w:t xml:space="preserve">Over recent years substantial growth in GRESB uptake has been observed (Devine </w:t>
      </w:r>
      <w:r w:rsidR="00495307" w:rsidRPr="00BF6F6A">
        <w:rPr>
          <w:i/>
          <w:iCs/>
        </w:rPr>
        <w:t>et al.</w:t>
      </w:r>
      <w:r w:rsidR="00495307" w:rsidRPr="00BF6F6A">
        <w:t>, 2024; GRES</w:t>
      </w:r>
      <w:r w:rsidR="0056505B" w:rsidRPr="00BF6F6A">
        <w:t>B</w:t>
      </w:r>
      <w:r w:rsidR="00495307" w:rsidRPr="00BF6F6A">
        <w:t>, 2024). Currently</w:t>
      </w:r>
      <w:r w:rsidR="00BA5A93" w:rsidRPr="00BF6F6A">
        <w:t>,</w:t>
      </w:r>
      <w:r w:rsidR="00495307" w:rsidRPr="00BF6F6A">
        <w:t xml:space="preserve"> GRESB covers some 170 thousand assets </w:t>
      </w:r>
      <w:r w:rsidR="006339D5" w:rsidRPr="00BF6F6A">
        <w:t>valued at</w:t>
      </w:r>
      <w:r w:rsidR="00495307" w:rsidRPr="00BF6F6A">
        <w:t xml:space="preserve"> some USD7.2trillion (GRESB, 2024). The rating outcomes are continuously improving, with buildings </w:t>
      </w:r>
      <w:r w:rsidR="007D02C7">
        <w:t>(</w:t>
      </w:r>
      <w:r w:rsidR="00502505">
        <w:t>rated in 2023</w:t>
      </w:r>
      <w:r w:rsidR="007D02C7">
        <w:t>)</w:t>
      </w:r>
      <w:r w:rsidR="00502505">
        <w:t xml:space="preserve"> </w:t>
      </w:r>
      <w:r w:rsidR="00495307" w:rsidRPr="00BF6F6A">
        <w:t xml:space="preserve">scoring 85%. </w:t>
      </w:r>
      <w:r w:rsidR="001E3DC6" w:rsidRPr="00BF6F6A">
        <w:t xml:space="preserve">The </w:t>
      </w:r>
      <w:r w:rsidR="005A3394" w:rsidRPr="00BF6F6A">
        <w:t>comparison basis</w:t>
      </w:r>
      <w:r w:rsidR="001E3DC6" w:rsidRPr="00BF6F6A">
        <w:t>, however,</w:t>
      </w:r>
      <w:r w:rsidR="005A3394" w:rsidRPr="00BF6F6A">
        <w:t xml:space="preserve"> is not representative of the whole building supply and </w:t>
      </w:r>
      <w:r w:rsidR="00495307" w:rsidRPr="00BF6F6A">
        <w:t xml:space="preserve">the scores are uneven with the poorest performance </w:t>
      </w:r>
      <w:r w:rsidR="001E3DC6" w:rsidRPr="00BF6F6A">
        <w:t xml:space="preserve">being seen in </w:t>
      </w:r>
      <w:r w:rsidR="00495307" w:rsidRPr="00BF6F6A">
        <w:t>Governance - Board Oversight and Metrics &amp; Targets - GHG emissions (GRESB, 2024).</w:t>
      </w:r>
    </w:p>
    <w:p w14:paraId="15E0E451" w14:textId="5FDB5D36" w:rsidR="006E17F6" w:rsidRPr="00BF6F6A" w:rsidRDefault="00495307" w:rsidP="00945055">
      <w:pPr>
        <w:ind w:firstLine="720"/>
        <w:jc w:val="both"/>
      </w:pPr>
      <w:r w:rsidRPr="00BF6F6A">
        <w:t>Research on GRESB remains scarce. Morri</w:t>
      </w:r>
      <w:r w:rsidRPr="00BF6F6A">
        <w:rPr>
          <w:i/>
          <w:iCs/>
        </w:rPr>
        <w:t xml:space="preserve"> et al.</w:t>
      </w:r>
      <w:r w:rsidR="005A3394" w:rsidRPr="00BF6F6A">
        <w:t xml:space="preserve"> </w:t>
      </w:r>
      <w:r w:rsidRPr="00BF6F6A">
        <w:t>(2020) based on European REITSs suggest that GRESB</w:t>
      </w:r>
      <w:r w:rsidR="005A3394" w:rsidRPr="00BF6F6A">
        <w:t>’s</w:t>
      </w:r>
      <w:r w:rsidRPr="00BF6F6A">
        <w:t xml:space="preserve"> </w:t>
      </w:r>
      <w:r w:rsidRPr="00BF6F6A">
        <w:rPr>
          <w:i/>
          <w:iCs/>
        </w:rPr>
        <w:t>“greenness”</w:t>
      </w:r>
      <w:r w:rsidRPr="00BF6F6A">
        <w:t xml:space="preserve"> is significant </w:t>
      </w:r>
      <w:r w:rsidR="00463F87" w:rsidRPr="00BF6F6A">
        <w:t>in explaining</w:t>
      </w:r>
      <w:r w:rsidRPr="00BF6F6A">
        <w:t xml:space="preserve"> </w:t>
      </w:r>
      <w:r w:rsidR="005A3394" w:rsidRPr="00BF6F6A">
        <w:t xml:space="preserve">operational performance, </w:t>
      </w:r>
      <w:r w:rsidRPr="00BF6F6A">
        <w:t xml:space="preserve">returns on equity and assets. Devine </w:t>
      </w:r>
      <w:r w:rsidRPr="00BF6F6A">
        <w:rPr>
          <w:i/>
          <w:iCs/>
        </w:rPr>
        <w:t>et al.</w:t>
      </w:r>
      <w:r w:rsidRPr="00BF6F6A">
        <w:t xml:space="preserve"> (2024)</w:t>
      </w:r>
      <w:r w:rsidR="001E3DC6" w:rsidRPr="00BF6F6A">
        <w:t xml:space="preserve">, however, </w:t>
      </w:r>
      <w:r w:rsidRPr="00BF6F6A">
        <w:t>looking at the US real estate investment funds</w:t>
      </w:r>
      <w:r w:rsidR="007D02C7">
        <w:t>,</w:t>
      </w:r>
      <w:r w:rsidRPr="00BF6F6A">
        <w:t xml:space="preserve"> conclude</w:t>
      </w:r>
      <w:r w:rsidR="001E3DC6" w:rsidRPr="00BF6F6A">
        <w:t>d</w:t>
      </w:r>
      <w:r w:rsidRPr="00BF6F6A">
        <w:t xml:space="preserve"> that </w:t>
      </w:r>
      <w:r w:rsidR="00AB6CFE" w:rsidRPr="00BF6F6A">
        <w:t xml:space="preserve">GRESB participation and performance are associated with the </w:t>
      </w:r>
      <w:r w:rsidRPr="00BF6F6A">
        <w:t>value</w:t>
      </w:r>
      <w:r w:rsidR="00AB6CFE" w:rsidRPr="00BF6F6A">
        <w:t xml:space="preserve"> appreciation component of total returns but not with the income component</w:t>
      </w:r>
      <w:r w:rsidRPr="00BF6F6A">
        <w:t xml:space="preserve"> and i</w:t>
      </w:r>
      <w:r w:rsidR="00AB6CFE" w:rsidRPr="00BF6F6A">
        <w:t xml:space="preserve">ndependent of local economic conditions. </w:t>
      </w:r>
      <w:r w:rsidRPr="00BF6F6A">
        <w:t xml:space="preserve">While GRESB appears to be effective </w:t>
      </w:r>
      <w:r w:rsidR="00463F87" w:rsidRPr="00BF6F6A">
        <w:t>in providing</w:t>
      </w:r>
      <w:r w:rsidRPr="00BF6F6A">
        <w:t xml:space="preserve"> transparency and comparability across the global real estate industry (Feng and Wu, 2023), it is c</w:t>
      </w:r>
      <w:r w:rsidRPr="00BF6F6A">
        <w:rPr>
          <w:color w:val="3A3A3A"/>
          <w:shd w:val="clear" w:color="auto" w:fill="FFFFFF"/>
        </w:rPr>
        <w:t xml:space="preserve">riticised for its </w:t>
      </w:r>
      <w:r w:rsidRPr="00BF6F6A">
        <w:t xml:space="preserve">limited alignment with the 2030 Agenda for Sustainable </w:t>
      </w:r>
      <w:r w:rsidRPr="00BF6F6A">
        <w:rPr>
          <w:color w:val="000000" w:themeColor="text1"/>
        </w:rPr>
        <w:t>Development</w:t>
      </w:r>
      <w:r w:rsidR="007D02C7">
        <w:rPr>
          <w:color w:val="000000" w:themeColor="text1"/>
        </w:rPr>
        <w:t>,</w:t>
      </w:r>
      <w:r w:rsidRPr="00BF6F6A">
        <w:rPr>
          <w:color w:val="000000" w:themeColor="text1"/>
        </w:rPr>
        <w:t xml:space="preserve"> especially in terms of transformative change implicit in the SDGs </w:t>
      </w:r>
      <w:r w:rsidRPr="00BF6F6A">
        <w:rPr>
          <w:color w:val="000000" w:themeColor="text1"/>
          <w:shd w:val="clear" w:color="auto" w:fill="FFFFFF"/>
        </w:rPr>
        <w:t xml:space="preserve">(Goubran </w:t>
      </w:r>
      <w:r w:rsidRPr="00BF6F6A">
        <w:rPr>
          <w:i/>
          <w:iCs/>
          <w:color w:val="000000" w:themeColor="text1"/>
          <w:shd w:val="clear" w:color="auto" w:fill="FFFFFF"/>
        </w:rPr>
        <w:t>et al.</w:t>
      </w:r>
      <w:r w:rsidRPr="00BF6F6A">
        <w:rPr>
          <w:color w:val="000000" w:themeColor="text1"/>
          <w:shd w:val="clear" w:color="auto" w:fill="FFFFFF"/>
        </w:rPr>
        <w:t>, 2023)</w:t>
      </w:r>
      <w:r w:rsidRPr="00BF6F6A">
        <w:rPr>
          <w:color w:val="000000" w:themeColor="text1"/>
        </w:rPr>
        <w:t>. Hence, claims that G</w:t>
      </w:r>
      <w:r w:rsidR="00C65601" w:rsidRPr="00BF6F6A">
        <w:rPr>
          <w:color w:val="000000" w:themeColor="text1"/>
        </w:rPr>
        <w:t>RESB</w:t>
      </w:r>
      <w:r w:rsidRPr="00BF6F6A">
        <w:rPr>
          <w:color w:val="000000" w:themeColor="text1"/>
        </w:rPr>
        <w:t xml:space="preserve"> </w:t>
      </w:r>
      <w:r w:rsidR="003B4F8D" w:rsidRPr="00BF6F6A">
        <w:rPr>
          <w:color w:val="000000" w:themeColor="text1"/>
        </w:rPr>
        <w:t>is</w:t>
      </w:r>
      <w:r w:rsidRPr="00BF6F6A">
        <w:rPr>
          <w:color w:val="000000" w:themeColor="text1"/>
        </w:rPr>
        <w:t xml:space="preserve"> effective in advancing the SDGs are overstated and </w:t>
      </w:r>
      <w:r w:rsidRPr="00BF6F6A">
        <w:t>increas</w:t>
      </w:r>
      <w:r w:rsidR="00C65601" w:rsidRPr="00BF6F6A">
        <w:t>e</w:t>
      </w:r>
      <w:r w:rsidRPr="00BF6F6A">
        <w:t xml:space="preserve"> the risk of sustainab</w:t>
      </w:r>
      <w:r w:rsidR="00502505">
        <w:t>ility</w:t>
      </w:r>
      <w:r w:rsidRPr="00BF6F6A">
        <w:t xml:space="preserve"> greenwashing in development and </w:t>
      </w:r>
      <w:r w:rsidR="005A3394" w:rsidRPr="00BF6F6A">
        <w:t xml:space="preserve">in </w:t>
      </w:r>
      <w:r w:rsidRPr="00BF6F6A">
        <w:t xml:space="preserve">even areas </w:t>
      </w:r>
      <w:r w:rsidR="001E3DC6" w:rsidRPr="00BF6F6A">
        <w:t xml:space="preserve">such </w:t>
      </w:r>
      <w:r w:rsidRPr="00BF6F6A">
        <w:t xml:space="preserve">as structured debt finance (Morphett </w:t>
      </w:r>
      <w:r w:rsidRPr="00BF6F6A">
        <w:rPr>
          <w:i/>
          <w:iCs/>
        </w:rPr>
        <w:t>et al.</w:t>
      </w:r>
      <w:r w:rsidRPr="00BF6F6A">
        <w:t xml:space="preserve">, 2023). </w:t>
      </w:r>
      <w:r w:rsidR="005A3394" w:rsidRPr="00BF6F6A">
        <w:lastRenderedPageBreak/>
        <w:t>W</w:t>
      </w:r>
      <w:r w:rsidRPr="00BF6F6A">
        <w:t xml:space="preserve">ith </w:t>
      </w:r>
      <w:r w:rsidR="00B35793" w:rsidRPr="00BF6F6A">
        <w:t xml:space="preserve">GRESB </w:t>
      </w:r>
      <w:r w:rsidRPr="00BF6F6A">
        <w:t>taking a more holistic approach than other eco-certifications</w:t>
      </w:r>
      <w:r w:rsidR="007D02C7">
        <w:t>,</w:t>
      </w:r>
      <w:r w:rsidRPr="00BF6F6A">
        <w:t xml:space="preserve"> and </w:t>
      </w:r>
      <w:r w:rsidR="00B35793" w:rsidRPr="00BF6F6A">
        <w:t>becom</w:t>
      </w:r>
      <w:r w:rsidRPr="00BF6F6A">
        <w:t>ing</w:t>
      </w:r>
      <w:r w:rsidR="00B35793" w:rsidRPr="00BF6F6A">
        <w:t xml:space="preserve"> the leading sustainability benchmarking standard</w:t>
      </w:r>
      <w:r w:rsidRPr="00BF6F6A">
        <w:t>, it has the potential to inform</w:t>
      </w:r>
      <w:r w:rsidR="00B35793" w:rsidRPr="00BF6F6A">
        <w:t xml:space="preserve"> reporting guidelines</w:t>
      </w:r>
      <w:bookmarkStart w:id="17" w:name="_Hlk98444028"/>
      <w:r w:rsidRPr="00BF6F6A">
        <w:t>.</w:t>
      </w:r>
      <w:bookmarkEnd w:id="17"/>
      <w:r w:rsidR="00B35793" w:rsidRPr="00BF6F6A">
        <w:t xml:space="preserve"> </w:t>
      </w:r>
      <w:r w:rsidR="001E3DC6" w:rsidRPr="00BF6F6A">
        <w:t>I</w:t>
      </w:r>
      <w:r w:rsidR="005A3394" w:rsidRPr="00BF6F6A">
        <w:t>t would</w:t>
      </w:r>
      <w:r w:rsidR="001E3DC6" w:rsidRPr="00BF6F6A">
        <w:t>, however,</w:t>
      </w:r>
      <w:r w:rsidR="005A3394" w:rsidRPr="00BF6F6A">
        <w:t xml:space="preserve"> benefit from </w:t>
      </w:r>
      <w:r w:rsidR="00D23322" w:rsidRPr="00BF6F6A">
        <w:t>repositioning</w:t>
      </w:r>
      <w:r w:rsidR="005A3394" w:rsidRPr="00BF6F6A">
        <w:t xml:space="preserve"> to adopt transformation-focused indicators for long-term impacts.</w:t>
      </w:r>
      <w:r w:rsidR="001E0830" w:rsidRPr="00BF6F6A">
        <w:t xml:space="preserve"> Thus, given the limited research on GRESB, exploration of the </w:t>
      </w:r>
      <w:r w:rsidR="000A73BE" w:rsidRPr="00BF6F6A">
        <w:t>experience</w:t>
      </w:r>
      <w:r w:rsidR="00331969" w:rsidRPr="00BF6F6A">
        <w:t>s</w:t>
      </w:r>
      <w:r w:rsidR="000A73BE" w:rsidRPr="00BF6F6A">
        <w:t xml:space="preserve"> of those who </w:t>
      </w:r>
      <w:r w:rsidR="007D02C7">
        <w:t xml:space="preserve">are </w:t>
      </w:r>
      <w:r w:rsidR="000A73BE" w:rsidRPr="00BF6F6A">
        <w:t>engaged in GRESB is needed to create a rich</w:t>
      </w:r>
      <w:r w:rsidR="00BC484D" w:rsidRPr="00BF6F6A">
        <w:t>er</w:t>
      </w:r>
      <w:r w:rsidR="000A73BE" w:rsidRPr="00BF6F6A">
        <w:t xml:space="preserve"> picture of the benefits and weaknesses of this benchmark.</w:t>
      </w:r>
    </w:p>
    <w:p w14:paraId="752B2C33" w14:textId="77777777" w:rsidR="001B5C1D" w:rsidRPr="00BF6F6A" w:rsidRDefault="001B5C1D" w:rsidP="003B4F8D">
      <w:pPr>
        <w:ind w:firstLine="720"/>
        <w:jc w:val="both"/>
      </w:pPr>
    </w:p>
    <w:p w14:paraId="2DD5D1DC" w14:textId="1B616BFD" w:rsidR="00BD58F3" w:rsidRPr="00BF6F6A" w:rsidRDefault="0024044E" w:rsidP="003B4F8D">
      <w:pPr>
        <w:pStyle w:val="Heading1"/>
        <w:tabs>
          <w:tab w:val="center" w:pos="1451"/>
        </w:tabs>
        <w:spacing w:before="0" w:after="0"/>
        <w:ind w:left="-15"/>
        <w:rPr>
          <w:rFonts w:eastAsia="Calibri" w:cs="Times New Roman"/>
          <w:b w:val="0"/>
          <w:sz w:val="34"/>
          <w:szCs w:val="22"/>
          <w:u w:val="none"/>
        </w:rPr>
      </w:pPr>
      <w:bookmarkStart w:id="18" w:name="_Toc99882232"/>
      <w:bookmarkEnd w:id="15"/>
      <w:r w:rsidRPr="00BF6F6A">
        <w:rPr>
          <w:rFonts w:eastAsia="Calibri" w:cs="Times New Roman"/>
          <w:b w:val="0"/>
          <w:sz w:val="34"/>
          <w:szCs w:val="22"/>
          <w:u w:val="none"/>
        </w:rPr>
        <w:t xml:space="preserve">3. </w:t>
      </w:r>
      <w:r w:rsidR="00A82E53" w:rsidRPr="00BF6F6A">
        <w:rPr>
          <w:rFonts w:eastAsia="Calibri" w:cs="Times New Roman"/>
          <w:b w:val="0"/>
          <w:sz w:val="34"/>
          <w:szCs w:val="22"/>
          <w:u w:val="none"/>
        </w:rPr>
        <w:t>M</w:t>
      </w:r>
      <w:r w:rsidR="008B290D" w:rsidRPr="00BF6F6A">
        <w:rPr>
          <w:rFonts w:eastAsia="Calibri" w:cs="Times New Roman"/>
          <w:b w:val="0"/>
          <w:sz w:val="34"/>
          <w:szCs w:val="22"/>
          <w:u w:val="none"/>
        </w:rPr>
        <w:t>aterial and m</w:t>
      </w:r>
      <w:r w:rsidR="00A82E53" w:rsidRPr="00BF6F6A">
        <w:rPr>
          <w:rFonts w:eastAsia="Calibri" w:cs="Times New Roman"/>
          <w:b w:val="0"/>
          <w:sz w:val="34"/>
          <w:szCs w:val="22"/>
          <w:u w:val="none"/>
        </w:rPr>
        <w:t>ethod</w:t>
      </w:r>
      <w:bookmarkEnd w:id="18"/>
      <w:r w:rsidR="008B290D" w:rsidRPr="00BF6F6A">
        <w:rPr>
          <w:rFonts w:eastAsia="Calibri" w:cs="Times New Roman"/>
          <w:b w:val="0"/>
          <w:sz w:val="34"/>
          <w:szCs w:val="22"/>
          <w:u w:val="none"/>
        </w:rPr>
        <w:t>s</w:t>
      </w:r>
    </w:p>
    <w:p w14:paraId="4189E750" w14:textId="0007C41F" w:rsidR="0040796B" w:rsidRPr="00BF6F6A" w:rsidRDefault="00BD58F3" w:rsidP="001B5C1D">
      <w:pPr>
        <w:jc w:val="both"/>
        <w:rPr>
          <w:shd w:val="clear" w:color="auto" w:fill="FFFFFF"/>
        </w:rPr>
      </w:pPr>
      <w:bookmarkStart w:id="19" w:name="_Hlk98852780"/>
      <w:r w:rsidRPr="00BF6F6A">
        <w:t xml:space="preserve">Analysis of </w:t>
      </w:r>
      <w:r w:rsidR="00463F87" w:rsidRPr="00BF6F6A">
        <w:t>ESG-related</w:t>
      </w:r>
      <w:r w:rsidR="004017BC">
        <w:t xml:space="preserve"> </w:t>
      </w:r>
      <w:r w:rsidRPr="00BF6F6A">
        <w:t xml:space="preserve">issues suggests that investors </w:t>
      </w:r>
      <w:r w:rsidR="001B5C1D" w:rsidRPr="00BF6F6A">
        <w:t xml:space="preserve">focus </w:t>
      </w:r>
      <w:r w:rsidR="00E36F51" w:rsidRPr="00BF6F6A">
        <w:t>on</w:t>
      </w:r>
      <w:r w:rsidRPr="00BF6F6A">
        <w:t xml:space="preserve"> financial performance</w:t>
      </w:r>
      <w:r w:rsidR="00121F44">
        <w:t>,</w:t>
      </w:r>
      <w:r w:rsidRPr="00BF6F6A">
        <w:t xml:space="preserve"> but </w:t>
      </w:r>
      <w:r w:rsidR="00121F44">
        <w:t xml:space="preserve">they </w:t>
      </w:r>
      <w:r w:rsidRPr="00BF6F6A">
        <w:t xml:space="preserve">are the driving force behind the adoption of ESG reporting. </w:t>
      </w:r>
      <w:r w:rsidR="00447B77" w:rsidRPr="00BF6F6A">
        <w:t>In doing so, they face</w:t>
      </w:r>
      <w:r w:rsidRPr="00BF6F6A">
        <w:t xml:space="preserve"> obstacles relating to a general historical lack of global reporting standardization, legislation, and transparency</w:t>
      </w:r>
      <w:r w:rsidR="00AB6CFE" w:rsidRPr="00BF6F6A">
        <w:t xml:space="preserve"> (Morphett </w:t>
      </w:r>
      <w:r w:rsidR="00AB6CFE" w:rsidRPr="00BF6F6A">
        <w:rPr>
          <w:i/>
          <w:iCs/>
        </w:rPr>
        <w:t>et al.</w:t>
      </w:r>
      <w:r w:rsidR="00AB6CFE" w:rsidRPr="00BF6F6A">
        <w:t>, 2023)</w:t>
      </w:r>
      <w:r w:rsidRPr="00BF6F6A">
        <w:t xml:space="preserve">. </w:t>
      </w:r>
      <w:r w:rsidR="00AC7428" w:rsidRPr="00BF6F6A">
        <w:t xml:space="preserve">Newell </w:t>
      </w:r>
      <w:r w:rsidR="00AC7428" w:rsidRPr="00BF6F6A">
        <w:rPr>
          <w:i/>
          <w:iCs/>
        </w:rPr>
        <w:t>et al.</w:t>
      </w:r>
      <w:r w:rsidR="00AC7428" w:rsidRPr="00BF6F6A">
        <w:t xml:space="preserve"> (2023) are adamant that </w:t>
      </w:r>
      <w:r w:rsidR="001E3DC6" w:rsidRPr="00BF6F6A">
        <w:t xml:space="preserve">there </w:t>
      </w:r>
      <w:r w:rsidR="00502505">
        <w:t xml:space="preserve">is a </w:t>
      </w:r>
      <w:r w:rsidR="001E3DC6" w:rsidRPr="00BF6F6A">
        <w:t xml:space="preserve">need </w:t>
      </w:r>
      <w:r w:rsidR="00502505">
        <w:t>for</w:t>
      </w:r>
      <w:r w:rsidR="001E3DC6" w:rsidRPr="00BF6F6A">
        <w:t xml:space="preserve"> </w:t>
      </w:r>
      <w:r w:rsidR="00AC7428" w:rsidRPr="00BF6F6A">
        <w:rPr>
          <w:rFonts w:eastAsiaTheme="minorHAnsi"/>
          <w:lang w:eastAsia="en-US"/>
        </w:rPr>
        <w:t xml:space="preserve">clear ESG strategies </w:t>
      </w:r>
      <w:r w:rsidR="00121F44">
        <w:rPr>
          <w:rFonts w:eastAsiaTheme="minorHAnsi"/>
          <w:lang w:eastAsia="en-US"/>
        </w:rPr>
        <w:t xml:space="preserve">to be </w:t>
      </w:r>
      <w:r w:rsidR="00AC7428" w:rsidRPr="00BF6F6A">
        <w:rPr>
          <w:rFonts w:eastAsiaTheme="minorHAnsi"/>
          <w:lang w:eastAsia="en-US"/>
        </w:rPr>
        <w:t xml:space="preserve">well embedded in company culture and decision-making, which effectively use external and internal benchmarks and are communicated externally through informative ESG reporting. </w:t>
      </w:r>
      <w:r w:rsidR="00A3064E" w:rsidRPr="00BF6F6A">
        <w:t>For that</w:t>
      </w:r>
      <w:r w:rsidR="004A0180" w:rsidRPr="00BF6F6A">
        <w:t>,</w:t>
      </w:r>
      <w:r w:rsidR="00A3064E" w:rsidRPr="00BF6F6A">
        <w:t xml:space="preserve"> a </w:t>
      </w:r>
      <w:r w:rsidRPr="00BF6F6A">
        <w:t>universal ESG rating model</w:t>
      </w:r>
      <w:r w:rsidR="00A3064E" w:rsidRPr="00BF6F6A">
        <w:t xml:space="preserve"> is </w:t>
      </w:r>
      <w:r w:rsidR="00495307" w:rsidRPr="00BF6F6A">
        <w:t>required</w:t>
      </w:r>
      <w:r w:rsidRPr="00BF6F6A">
        <w:t xml:space="preserve"> (Slapikaite and Tamosiuniene, 2013). </w:t>
      </w:r>
      <w:r w:rsidR="00447B77" w:rsidRPr="00BF6F6A">
        <w:t xml:space="preserve">With </w:t>
      </w:r>
      <w:r w:rsidRPr="00BF6F6A">
        <w:t>GRESB emerg</w:t>
      </w:r>
      <w:r w:rsidR="00447B77" w:rsidRPr="00BF6F6A">
        <w:t>ing</w:t>
      </w:r>
      <w:r w:rsidRPr="00BF6F6A">
        <w:t xml:space="preserve"> as the leading real estate and infrastructure ESG benchmark</w:t>
      </w:r>
      <w:bookmarkEnd w:id="19"/>
      <w:r w:rsidR="00447B77" w:rsidRPr="00BF6F6A">
        <w:t>, t</w:t>
      </w:r>
      <w:r w:rsidR="008922FF" w:rsidRPr="00BF6F6A">
        <w:rPr>
          <w:shd w:val="clear" w:color="auto" w:fill="FFFFFF"/>
        </w:rPr>
        <w:t xml:space="preserve">his </w:t>
      </w:r>
      <w:r w:rsidR="001B5C1D" w:rsidRPr="00BF6F6A">
        <w:rPr>
          <w:shd w:val="clear" w:color="auto" w:fill="FFFFFF"/>
        </w:rPr>
        <w:t xml:space="preserve">study </w:t>
      </w:r>
      <w:r w:rsidR="008922FF" w:rsidRPr="00BF6F6A">
        <w:rPr>
          <w:shd w:val="clear" w:color="auto" w:fill="FFFFFF"/>
        </w:rPr>
        <w:t>seeks to address</w:t>
      </w:r>
      <w:r w:rsidR="00B87C94" w:rsidRPr="00BF6F6A">
        <w:rPr>
          <w:shd w:val="clear" w:color="auto" w:fill="FFFFFF"/>
        </w:rPr>
        <w:t xml:space="preserve"> the </w:t>
      </w:r>
      <w:r w:rsidR="001B5C1D" w:rsidRPr="00BF6F6A">
        <w:rPr>
          <w:shd w:val="clear" w:color="auto" w:fill="FFFFFF"/>
        </w:rPr>
        <w:t>lived</w:t>
      </w:r>
      <w:r w:rsidR="00B92DC5">
        <w:rPr>
          <w:shd w:val="clear" w:color="auto" w:fill="FFFFFF"/>
        </w:rPr>
        <w:t xml:space="preserve"> </w:t>
      </w:r>
      <w:r w:rsidR="00447B77" w:rsidRPr="00BF6F6A">
        <w:rPr>
          <w:shd w:val="clear" w:color="auto" w:fill="FFFFFF"/>
        </w:rPr>
        <w:t xml:space="preserve">experience </w:t>
      </w:r>
      <w:r w:rsidR="00B87C94" w:rsidRPr="00BF6F6A">
        <w:rPr>
          <w:shd w:val="clear" w:color="auto" w:fill="FFFFFF"/>
        </w:rPr>
        <w:t>of</w:t>
      </w:r>
      <w:r w:rsidR="00447B77" w:rsidRPr="00BF6F6A">
        <w:rPr>
          <w:shd w:val="clear" w:color="auto" w:fill="FFFFFF"/>
        </w:rPr>
        <w:t xml:space="preserve"> practitioners in the</w:t>
      </w:r>
      <w:r w:rsidR="00121F44">
        <w:rPr>
          <w:shd w:val="clear" w:color="auto" w:fill="FFFFFF"/>
        </w:rPr>
        <w:t>ir</w:t>
      </w:r>
      <w:r w:rsidR="00447B77" w:rsidRPr="00BF6F6A">
        <w:rPr>
          <w:shd w:val="clear" w:color="auto" w:fill="FFFFFF"/>
        </w:rPr>
        <w:t xml:space="preserve"> interaction with GRESB. </w:t>
      </w:r>
    </w:p>
    <w:p w14:paraId="4F120EF3" w14:textId="0719EEBB" w:rsidR="006B4B5B" w:rsidRPr="00BF6F6A" w:rsidRDefault="0040796B" w:rsidP="00682255">
      <w:pPr>
        <w:ind w:firstLine="720"/>
        <w:jc w:val="both"/>
        <w:rPr>
          <w:shd w:val="clear" w:color="auto" w:fill="FFFFFF"/>
        </w:rPr>
      </w:pPr>
      <w:r w:rsidRPr="00BF6F6A">
        <w:rPr>
          <w:shd w:val="clear" w:color="auto" w:fill="FFFFFF"/>
        </w:rPr>
        <w:t>To address the aim of the study</w:t>
      </w:r>
      <w:r w:rsidR="00BC484D" w:rsidRPr="00BF6F6A">
        <w:rPr>
          <w:shd w:val="clear" w:color="auto" w:fill="FFFFFF"/>
        </w:rPr>
        <w:t>, exploring lived</w:t>
      </w:r>
      <w:r w:rsidR="00B92DC5">
        <w:rPr>
          <w:shd w:val="clear" w:color="auto" w:fill="FFFFFF"/>
        </w:rPr>
        <w:t xml:space="preserve"> </w:t>
      </w:r>
      <w:r w:rsidR="00BC484D" w:rsidRPr="00BF6F6A">
        <w:rPr>
          <w:shd w:val="clear" w:color="auto" w:fill="FFFFFF"/>
        </w:rPr>
        <w:t>experiences</w:t>
      </w:r>
      <w:r w:rsidR="00664B6A">
        <w:rPr>
          <w:shd w:val="clear" w:color="auto" w:fill="FFFFFF"/>
        </w:rPr>
        <w:t xml:space="preserve"> (</w:t>
      </w:r>
      <w:r w:rsidR="00121F44">
        <w:rPr>
          <w:shd w:val="clear" w:color="auto" w:fill="FFFFFF"/>
        </w:rPr>
        <w:t xml:space="preserve">i.e. </w:t>
      </w:r>
      <w:r w:rsidR="00664B6A">
        <w:rPr>
          <w:shd w:val="clear" w:color="auto" w:fill="FFFFFF"/>
        </w:rPr>
        <w:t xml:space="preserve">feelings, </w:t>
      </w:r>
      <w:r w:rsidR="00E36F51">
        <w:rPr>
          <w:shd w:val="clear" w:color="auto" w:fill="FFFFFF"/>
        </w:rPr>
        <w:t>beliefs</w:t>
      </w:r>
      <w:r w:rsidR="00664B6A">
        <w:rPr>
          <w:shd w:val="clear" w:color="auto" w:fill="FFFFFF"/>
        </w:rPr>
        <w:t xml:space="preserve"> and individual perceptions)</w:t>
      </w:r>
      <w:r w:rsidR="00BC484D" w:rsidRPr="00BF6F6A">
        <w:rPr>
          <w:shd w:val="clear" w:color="auto" w:fill="FFFFFF"/>
        </w:rPr>
        <w:t xml:space="preserve">, </w:t>
      </w:r>
      <w:r w:rsidRPr="00BF6F6A">
        <w:rPr>
          <w:shd w:val="clear" w:color="auto" w:fill="FFFFFF"/>
        </w:rPr>
        <w:t xml:space="preserve">a phenomenological methodology </w:t>
      </w:r>
      <w:r w:rsidR="00603A0A" w:rsidRPr="00BF6F6A">
        <w:rPr>
          <w:shd w:val="clear" w:color="auto" w:fill="FFFFFF"/>
        </w:rPr>
        <w:t>was</w:t>
      </w:r>
      <w:r w:rsidRPr="00BF6F6A">
        <w:rPr>
          <w:shd w:val="clear" w:color="auto" w:fill="FFFFFF"/>
        </w:rPr>
        <w:t xml:space="preserve"> adopted (</w:t>
      </w:r>
      <w:r w:rsidR="0038592E" w:rsidRPr="00BF6F6A">
        <w:rPr>
          <w:shd w:val="clear" w:color="auto" w:fill="FFFFFF"/>
        </w:rPr>
        <w:t xml:space="preserve">Smith </w:t>
      </w:r>
      <w:r w:rsidR="0038592E" w:rsidRPr="00BF6F6A">
        <w:rPr>
          <w:i/>
          <w:iCs/>
          <w:shd w:val="clear" w:color="auto" w:fill="FFFFFF"/>
        </w:rPr>
        <w:t>et al</w:t>
      </w:r>
      <w:r w:rsidR="003B4F8D" w:rsidRPr="00BF6F6A">
        <w:rPr>
          <w:i/>
          <w:iCs/>
          <w:shd w:val="clear" w:color="auto" w:fill="FFFFFF"/>
        </w:rPr>
        <w:t>.</w:t>
      </w:r>
      <w:r w:rsidR="0038592E" w:rsidRPr="00BF6F6A">
        <w:rPr>
          <w:shd w:val="clear" w:color="auto" w:fill="FFFFFF"/>
        </w:rPr>
        <w:t>, 2022</w:t>
      </w:r>
      <w:r w:rsidRPr="00BF6F6A">
        <w:rPr>
          <w:shd w:val="clear" w:color="auto" w:fill="FFFFFF"/>
        </w:rPr>
        <w:t xml:space="preserve">). This </w:t>
      </w:r>
      <w:r w:rsidR="001C5FBE" w:rsidRPr="00BF6F6A">
        <w:rPr>
          <w:shd w:val="clear" w:color="auto" w:fill="FFFFFF"/>
        </w:rPr>
        <w:t>approach</w:t>
      </w:r>
      <w:r w:rsidR="00AC7330" w:rsidRPr="00BF6F6A">
        <w:rPr>
          <w:shd w:val="clear" w:color="auto" w:fill="FFFFFF"/>
        </w:rPr>
        <w:t xml:space="preserve"> </w:t>
      </w:r>
      <w:r w:rsidR="00467099" w:rsidRPr="00BF6F6A">
        <w:rPr>
          <w:shd w:val="clear" w:color="auto" w:fill="FFFFFF"/>
        </w:rPr>
        <w:t xml:space="preserve">is </w:t>
      </w:r>
      <w:r w:rsidR="003B4F8D" w:rsidRPr="00BF6F6A">
        <w:rPr>
          <w:shd w:val="clear" w:color="auto" w:fill="FFFFFF"/>
        </w:rPr>
        <w:t>centred</w:t>
      </w:r>
      <w:r w:rsidR="00EB60E8" w:rsidRPr="00BF6F6A">
        <w:rPr>
          <w:shd w:val="clear" w:color="auto" w:fill="FFFFFF"/>
        </w:rPr>
        <w:t xml:space="preserve"> around</w:t>
      </w:r>
      <w:r w:rsidR="00AC7330" w:rsidRPr="00BF6F6A">
        <w:rPr>
          <w:shd w:val="clear" w:color="auto" w:fill="FFFFFF"/>
        </w:rPr>
        <w:t xml:space="preserve"> understanding</w:t>
      </w:r>
      <w:r w:rsidR="001C5FBE" w:rsidRPr="00BF6F6A">
        <w:rPr>
          <w:shd w:val="clear" w:color="auto" w:fill="FFFFFF"/>
        </w:rPr>
        <w:t xml:space="preserve"> the personal experience</w:t>
      </w:r>
      <w:r w:rsidR="00BC484D" w:rsidRPr="00BF6F6A">
        <w:rPr>
          <w:shd w:val="clear" w:color="auto" w:fill="FFFFFF"/>
        </w:rPr>
        <w:t>s</w:t>
      </w:r>
      <w:r w:rsidR="001C5FBE" w:rsidRPr="00BF6F6A">
        <w:rPr>
          <w:shd w:val="clear" w:color="auto" w:fill="FFFFFF"/>
        </w:rPr>
        <w:t xml:space="preserve"> of GRESB </w:t>
      </w:r>
      <w:r w:rsidR="001B5C1D" w:rsidRPr="00BF6F6A">
        <w:rPr>
          <w:shd w:val="clear" w:color="auto" w:fill="FFFFFF"/>
        </w:rPr>
        <w:t>users</w:t>
      </w:r>
      <w:r w:rsidR="00EC2FD8" w:rsidRPr="00BF6F6A">
        <w:rPr>
          <w:shd w:val="clear" w:color="auto" w:fill="FFFFFF"/>
        </w:rPr>
        <w:t>.</w:t>
      </w:r>
      <w:r w:rsidR="00603A0A" w:rsidRPr="00BF6F6A">
        <w:rPr>
          <w:shd w:val="clear" w:color="auto" w:fill="FFFFFF"/>
        </w:rPr>
        <w:t xml:space="preserve"> This methodology is gaining popularity amongst built environment researchers, with s</w:t>
      </w:r>
      <w:r w:rsidR="00E9693D" w:rsidRPr="00BF6F6A">
        <w:rPr>
          <w:shd w:val="clear" w:color="auto" w:fill="FFFFFF"/>
        </w:rPr>
        <w:t xml:space="preserve">everal </w:t>
      </w:r>
      <w:r w:rsidR="00603A0A" w:rsidRPr="00BF6F6A">
        <w:rPr>
          <w:shd w:val="clear" w:color="auto" w:fill="FFFFFF"/>
        </w:rPr>
        <w:t xml:space="preserve">recent </w:t>
      </w:r>
      <w:r w:rsidR="00E9693D" w:rsidRPr="00BF6F6A">
        <w:rPr>
          <w:shd w:val="clear" w:color="auto" w:fill="FFFFFF"/>
        </w:rPr>
        <w:t xml:space="preserve">studies </w:t>
      </w:r>
      <w:r w:rsidR="00603A0A" w:rsidRPr="00BF6F6A">
        <w:rPr>
          <w:shd w:val="clear" w:color="auto" w:fill="FFFFFF"/>
        </w:rPr>
        <w:t>adopting</w:t>
      </w:r>
      <w:r w:rsidR="00E9693D" w:rsidRPr="00BF6F6A">
        <w:rPr>
          <w:shd w:val="clear" w:color="auto" w:fill="FFFFFF"/>
        </w:rPr>
        <w:t xml:space="preserve"> a phenomenological approach to understanding built environment </w:t>
      </w:r>
      <w:r w:rsidR="00603A0A" w:rsidRPr="00BF6F6A">
        <w:rPr>
          <w:shd w:val="clear" w:color="auto" w:fill="FFFFFF"/>
        </w:rPr>
        <w:t xml:space="preserve">issues </w:t>
      </w:r>
      <w:r w:rsidR="00EC2FD8" w:rsidRPr="00BF6F6A">
        <w:rPr>
          <w:shd w:val="clear" w:color="auto" w:fill="FFFFFF"/>
        </w:rPr>
        <w:t>(Sewell and Fraser</w:t>
      </w:r>
      <w:r w:rsidR="00032A52" w:rsidRPr="00BF6F6A">
        <w:rPr>
          <w:shd w:val="clear" w:color="auto" w:fill="FFFFFF"/>
        </w:rPr>
        <w:t xml:space="preserve">, </w:t>
      </w:r>
      <w:r w:rsidR="00EC2FD8" w:rsidRPr="00BF6F6A">
        <w:rPr>
          <w:shd w:val="clear" w:color="auto" w:fill="FFFFFF"/>
        </w:rPr>
        <w:t xml:space="preserve">2019; </w:t>
      </w:r>
      <w:r w:rsidR="00CA3B1A" w:rsidRPr="00BF6F6A">
        <w:rPr>
          <w:rFonts w:eastAsiaTheme="minorHAnsi"/>
          <w:lang w:eastAsia="en-US"/>
        </w:rPr>
        <w:t>Sudhakaran</w:t>
      </w:r>
      <w:r w:rsidR="00CA3B1A" w:rsidRPr="00BF6F6A">
        <w:rPr>
          <w:shd w:val="clear" w:color="auto" w:fill="FFFFFF"/>
        </w:rPr>
        <w:t xml:space="preserve"> </w:t>
      </w:r>
      <w:r w:rsidR="00CA3B1A" w:rsidRPr="00BF6F6A">
        <w:rPr>
          <w:i/>
          <w:shd w:val="clear" w:color="auto" w:fill="FFFFFF"/>
        </w:rPr>
        <w:t>et al</w:t>
      </w:r>
      <w:r w:rsidR="00CA3B1A" w:rsidRPr="00BF6F6A">
        <w:rPr>
          <w:shd w:val="clear" w:color="auto" w:fill="FFFFFF"/>
        </w:rPr>
        <w:t xml:space="preserve">., 2023; </w:t>
      </w:r>
      <w:r w:rsidR="00EC2FD8" w:rsidRPr="00BF6F6A">
        <w:rPr>
          <w:shd w:val="clear" w:color="auto" w:fill="FFFFFF"/>
        </w:rPr>
        <w:t xml:space="preserve">Horry </w:t>
      </w:r>
      <w:r w:rsidR="00EC2FD8" w:rsidRPr="00BF6F6A">
        <w:rPr>
          <w:i/>
          <w:iCs/>
          <w:shd w:val="clear" w:color="auto" w:fill="FFFFFF"/>
        </w:rPr>
        <w:t>et al.</w:t>
      </w:r>
      <w:r w:rsidR="00EC2FD8" w:rsidRPr="00BF6F6A">
        <w:rPr>
          <w:shd w:val="clear" w:color="auto" w:fill="FFFFFF"/>
        </w:rPr>
        <w:t>, 2023)</w:t>
      </w:r>
      <w:r w:rsidR="00447B77" w:rsidRPr="00BF6F6A">
        <w:rPr>
          <w:shd w:val="clear" w:color="auto" w:fill="FFFFFF"/>
        </w:rPr>
        <w:t xml:space="preserve"> </w:t>
      </w:r>
      <w:r w:rsidR="00603A0A" w:rsidRPr="00BF6F6A">
        <w:rPr>
          <w:shd w:val="clear" w:color="auto" w:fill="FFFFFF"/>
        </w:rPr>
        <w:t>To date, and</w:t>
      </w:r>
      <w:r w:rsidR="00447B77" w:rsidRPr="00BF6F6A">
        <w:rPr>
          <w:shd w:val="clear" w:color="auto" w:fill="FFFFFF"/>
        </w:rPr>
        <w:t xml:space="preserve"> to the best of our knowledge</w:t>
      </w:r>
      <w:r w:rsidR="004A0180" w:rsidRPr="00BF6F6A">
        <w:rPr>
          <w:shd w:val="clear" w:color="auto" w:fill="FFFFFF"/>
        </w:rPr>
        <w:t>,</w:t>
      </w:r>
      <w:r w:rsidR="00447B77" w:rsidRPr="00BF6F6A">
        <w:rPr>
          <w:shd w:val="clear" w:color="auto" w:fill="FFFFFF"/>
        </w:rPr>
        <w:t xml:space="preserve"> </w:t>
      </w:r>
      <w:r w:rsidR="00603A0A" w:rsidRPr="00BF6F6A">
        <w:rPr>
          <w:shd w:val="clear" w:color="auto" w:fill="FFFFFF"/>
        </w:rPr>
        <w:t xml:space="preserve">no previous studies </w:t>
      </w:r>
      <w:r w:rsidR="00447B77" w:rsidRPr="00BF6F6A">
        <w:rPr>
          <w:shd w:val="clear" w:color="auto" w:fill="FFFFFF"/>
        </w:rPr>
        <w:t>ha</w:t>
      </w:r>
      <w:r w:rsidR="00603A0A" w:rsidRPr="00BF6F6A">
        <w:rPr>
          <w:shd w:val="clear" w:color="auto" w:fill="FFFFFF"/>
        </w:rPr>
        <w:t>ve</w:t>
      </w:r>
      <w:r w:rsidR="00447B77" w:rsidRPr="00BF6F6A">
        <w:rPr>
          <w:shd w:val="clear" w:color="auto" w:fill="FFFFFF"/>
        </w:rPr>
        <w:t xml:space="preserve"> taken this stance </w:t>
      </w:r>
      <w:r w:rsidR="006339D5" w:rsidRPr="00BF6F6A">
        <w:rPr>
          <w:shd w:val="clear" w:color="auto" w:fill="FFFFFF"/>
        </w:rPr>
        <w:t>for</w:t>
      </w:r>
      <w:r w:rsidR="00447B77" w:rsidRPr="00BF6F6A">
        <w:rPr>
          <w:shd w:val="clear" w:color="auto" w:fill="FFFFFF"/>
        </w:rPr>
        <w:t xml:space="preserve"> ESG benchmark</w:t>
      </w:r>
      <w:r w:rsidR="005A3394" w:rsidRPr="00BF6F6A">
        <w:rPr>
          <w:shd w:val="clear" w:color="auto" w:fill="FFFFFF"/>
        </w:rPr>
        <w:t>ing</w:t>
      </w:r>
      <w:r w:rsidR="00EC2FD8" w:rsidRPr="00BF6F6A">
        <w:rPr>
          <w:shd w:val="clear" w:color="auto" w:fill="FFFFFF"/>
        </w:rPr>
        <w:t>.</w:t>
      </w:r>
    </w:p>
    <w:p w14:paraId="52A30DD3" w14:textId="77777777" w:rsidR="001B5C1D" w:rsidRPr="00BF6F6A" w:rsidRDefault="001B5C1D" w:rsidP="003B4F8D">
      <w:pPr>
        <w:jc w:val="both"/>
        <w:rPr>
          <w:shd w:val="clear" w:color="auto" w:fill="FFFFFF"/>
        </w:rPr>
      </w:pPr>
    </w:p>
    <w:p w14:paraId="64494782" w14:textId="7294CC84" w:rsidR="0038592E" w:rsidRPr="00BF6F6A" w:rsidRDefault="0038592E" w:rsidP="003B4F8D">
      <w:pPr>
        <w:pStyle w:val="Heading2"/>
        <w:numPr>
          <w:ilvl w:val="1"/>
          <w:numId w:val="53"/>
        </w:numPr>
        <w:spacing w:before="0" w:after="0"/>
        <w:rPr>
          <w:rFonts w:eastAsia="Calibri" w:cs="Times New Roman"/>
          <w:b w:val="0"/>
          <w:sz w:val="29"/>
          <w:szCs w:val="22"/>
        </w:rPr>
      </w:pPr>
      <w:r w:rsidRPr="00BF6F6A">
        <w:rPr>
          <w:rFonts w:eastAsia="Calibri" w:cs="Times New Roman"/>
          <w:b w:val="0"/>
          <w:sz w:val="29"/>
          <w:szCs w:val="22"/>
        </w:rPr>
        <w:t>Sample selection</w:t>
      </w:r>
    </w:p>
    <w:p w14:paraId="03A828E7" w14:textId="50E8045D" w:rsidR="00882AF2" w:rsidRPr="00BF6F6A" w:rsidRDefault="0038592E" w:rsidP="001B5C1D">
      <w:pPr>
        <w:jc w:val="both"/>
      </w:pPr>
      <w:r w:rsidRPr="00BF6F6A">
        <w:rPr>
          <w:shd w:val="clear" w:color="auto" w:fill="FFFFFF"/>
        </w:rPr>
        <w:t xml:space="preserve">GRESB </w:t>
      </w:r>
      <w:r w:rsidR="006339D5" w:rsidRPr="00BF6F6A">
        <w:rPr>
          <w:shd w:val="clear" w:color="auto" w:fill="FFFFFF"/>
        </w:rPr>
        <w:t>is</w:t>
      </w:r>
      <w:r w:rsidRPr="00BF6F6A">
        <w:rPr>
          <w:shd w:val="clear" w:color="auto" w:fill="FFFFFF"/>
        </w:rPr>
        <w:t xml:space="preserve"> a </w:t>
      </w:r>
      <w:r w:rsidR="004A0180" w:rsidRPr="00BF6F6A">
        <w:rPr>
          <w:shd w:val="clear" w:color="auto" w:fill="FFFFFF"/>
        </w:rPr>
        <w:t>complex</w:t>
      </w:r>
      <w:r w:rsidRPr="00BF6F6A">
        <w:rPr>
          <w:shd w:val="clear" w:color="auto" w:fill="FFFFFF"/>
        </w:rPr>
        <w:t xml:space="preserve"> ESG benchmarking tool</w:t>
      </w:r>
      <w:r w:rsidR="001B5C1D" w:rsidRPr="00BF6F6A">
        <w:rPr>
          <w:shd w:val="clear" w:color="auto" w:fill="FFFFFF"/>
        </w:rPr>
        <w:t>;</w:t>
      </w:r>
      <w:r w:rsidRPr="00BF6F6A">
        <w:rPr>
          <w:shd w:val="clear" w:color="auto" w:fill="FFFFFF"/>
        </w:rPr>
        <w:t xml:space="preserve"> thus</w:t>
      </w:r>
      <w:r w:rsidR="001B5C1D" w:rsidRPr="00BF6F6A">
        <w:rPr>
          <w:shd w:val="clear" w:color="auto" w:fill="FFFFFF"/>
        </w:rPr>
        <w:t>,</w:t>
      </w:r>
      <w:r w:rsidRPr="00BF6F6A">
        <w:rPr>
          <w:shd w:val="clear" w:color="auto" w:fill="FFFFFF"/>
        </w:rPr>
        <w:t xml:space="preserve"> </w:t>
      </w:r>
      <w:r w:rsidR="001B5C1D" w:rsidRPr="00BF6F6A">
        <w:rPr>
          <w:shd w:val="clear" w:color="auto" w:fill="FFFFFF"/>
        </w:rPr>
        <w:t>only experts who are</w:t>
      </w:r>
      <w:r w:rsidRPr="00BF6F6A">
        <w:rPr>
          <w:shd w:val="clear" w:color="auto" w:fill="FFFFFF"/>
        </w:rPr>
        <w:t xml:space="preserve"> experienced with this too</w:t>
      </w:r>
      <w:r w:rsidR="005A3394" w:rsidRPr="00BF6F6A">
        <w:rPr>
          <w:shd w:val="clear" w:color="auto" w:fill="FFFFFF"/>
        </w:rPr>
        <w:t>l</w:t>
      </w:r>
      <w:r w:rsidRPr="00BF6F6A">
        <w:rPr>
          <w:shd w:val="clear" w:color="auto" w:fill="FFFFFF"/>
        </w:rPr>
        <w:t xml:space="preserve"> were </w:t>
      </w:r>
      <w:r w:rsidR="001B5C1D" w:rsidRPr="00BF6F6A">
        <w:rPr>
          <w:shd w:val="clear" w:color="auto" w:fill="FFFFFF"/>
        </w:rPr>
        <w:t>invited to engage with this study</w:t>
      </w:r>
      <w:r w:rsidRPr="00BF6F6A">
        <w:rPr>
          <w:shd w:val="clear" w:color="auto" w:fill="FFFFFF"/>
        </w:rPr>
        <w:t xml:space="preserve">. Hence, a purposive </w:t>
      </w:r>
      <w:r w:rsidR="008B290D" w:rsidRPr="00BF6F6A">
        <w:t>homogeneous non-probability sampling technique</w:t>
      </w:r>
      <w:r w:rsidRPr="00BF6F6A">
        <w:rPr>
          <w:shd w:val="clear" w:color="auto" w:fill="FFFFFF"/>
        </w:rPr>
        <w:t xml:space="preserve"> was adopted, using the following explicit inclusion criteria: (1) </w:t>
      </w:r>
      <w:r w:rsidR="008B290D" w:rsidRPr="00BF6F6A">
        <w:rPr>
          <w:shd w:val="clear" w:color="auto" w:fill="FFFFFF"/>
        </w:rPr>
        <w:t>participants must operate in the real estate sector</w:t>
      </w:r>
      <w:r w:rsidR="00EF7D41" w:rsidRPr="00BF6F6A">
        <w:rPr>
          <w:shd w:val="clear" w:color="auto" w:fill="FFFFFF"/>
        </w:rPr>
        <w:t>;</w:t>
      </w:r>
      <w:r w:rsidR="008B290D" w:rsidRPr="00BF6F6A">
        <w:rPr>
          <w:shd w:val="clear" w:color="auto" w:fill="FFFFFF"/>
        </w:rPr>
        <w:t xml:space="preserve"> (2) </w:t>
      </w:r>
      <w:r w:rsidR="00EF7D41" w:rsidRPr="00BF6F6A">
        <w:rPr>
          <w:shd w:val="clear" w:color="auto" w:fill="FFFFFF"/>
        </w:rPr>
        <w:t xml:space="preserve">participants’ company must have an ESG policy; and (3) </w:t>
      </w:r>
      <w:r w:rsidRPr="00BF6F6A">
        <w:rPr>
          <w:shd w:val="clear" w:color="auto" w:fill="FFFFFF"/>
        </w:rPr>
        <w:t xml:space="preserve">participants must be </w:t>
      </w:r>
      <w:r w:rsidR="008B290D" w:rsidRPr="00BF6F6A">
        <w:rPr>
          <w:shd w:val="clear" w:color="auto" w:fill="FFFFFF"/>
        </w:rPr>
        <w:t xml:space="preserve">experienced with GRESB, i.e. they would have submitted a GRESB assessment. These criteria enabled </w:t>
      </w:r>
      <w:r w:rsidR="00463F87" w:rsidRPr="00BF6F6A">
        <w:rPr>
          <w:shd w:val="clear" w:color="auto" w:fill="FFFFFF"/>
        </w:rPr>
        <w:t xml:space="preserve">the </w:t>
      </w:r>
      <w:r w:rsidR="008B290D" w:rsidRPr="00BF6F6A">
        <w:rPr>
          <w:shd w:val="clear" w:color="auto" w:fill="FFFFFF"/>
        </w:rPr>
        <w:t xml:space="preserve">selection of </w:t>
      </w:r>
      <w:r w:rsidRPr="00BF6F6A">
        <w:rPr>
          <w:shd w:val="clear" w:color="auto" w:fill="FFFFFF"/>
        </w:rPr>
        <w:t xml:space="preserve">a small, homogenous, and specifically targeted group of participants (Smith </w:t>
      </w:r>
      <w:r w:rsidRPr="00BF6F6A">
        <w:rPr>
          <w:i/>
          <w:iCs/>
          <w:shd w:val="clear" w:color="auto" w:fill="FFFFFF"/>
        </w:rPr>
        <w:t>et al.</w:t>
      </w:r>
      <w:r w:rsidRPr="00BF6F6A">
        <w:rPr>
          <w:shd w:val="clear" w:color="auto" w:fill="FFFFFF"/>
        </w:rPr>
        <w:t>, 2022)</w:t>
      </w:r>
      <w:r w:rsidR="008B290D" w:rsidRPr="00BF6F6A">
        <w:rPr>
          <w:shd w:val="clear" w:color="auto" w:fill="FFFFFF"/>
        </w:rPr>
        <w:t>.</w:t>
      </w:r>
      <w:r w:rsidR="000642B5" w:rsidRPr="00BF6F6A">
        <w:rPr>
          <w:shd w:val="clear" w:color="auto" w:fill="FFFFFF"/>
        </w:rPr>
        <w:t xml:space="preserve"> </w:t>
      </w:r>
      <w:r w:rsidR="008B290D" w:rsidRPr="00BF6F6A">
        <w:rPr>
          <w:shd w:val="clear" w:color="auto" w:fill="FFFFFF"/>
        </w:rPr>
        <w:t xml:space="preserve">Potential participants </w:t>
      </w:r>
      <w:r w:rsidR="00962AC2" w:rsidRPr="00BF6F6A">
        <w:rPr>
          <w:shd w:val="clear" w:color="auto" w:fill="FFFFFF"/>
        </w:rPr>
        <w:t xml:space="preserve">(n=239) </w:t>
      </w:r>
      <w:r w:rsidR="008B290D" w:rsidRPr="00BF6F6A">
        <w:rPr>
          <w:shd w:val="clear" w:color="auto" w:fill="FFFFFF"/>
        </w:rPr>
        <w:t xml:space="preserve">were </w:t>
      </w:r>
      <w:r w:rsidR="008B290D" w:rsidRPr="00BF6F6A">
        <w:t>identified as individuals who have taken part in the latest GRESB assessment (</w:t>
      </w:r>
      <w:r w:rsidR="00962AC2" w:rsidRPr="00BF6F6A">
        <w:t>GRESB, 2022</w:t>
      </w:r>
      <w:r w:rsidR="008E678D" w:rsidRPr="00BF6F6A">
        <w:t>b</w:t>
      </w:r>
      <w:r w:rsidR="008B290D" w:rsidRPr="00BF6F6A">
        <w:t>)</w:t>
      </w:r>
      <w:r w:rsidR="00962AC2" w:rsidRPr="00BF6F6A">
        <w:t xml:space="preserve"> and all </w:t>
      </w:r>
      <w:r w:rsidR="00467099" w:rsidRPr="00BF6F6A">
        <w:t>were</w:t>
      </w:r>
      <w:r w:rsidR="00962AC2" w:rsidRPr="00BF6F6A">
        <w:t xml:space="preserve"> invited via e-mail to participate in the study. </w:t>
      </w:r>
      <w:r w:rsidR="003C3368" w:rsidRPr="00BF6F6A">
        <w:t>Participants were invited to take part in a</w:t>
      </w:r>
      <w:r w:rsidR="008B290D" w:rsidRPr="00BF6F6A">
        <w:t xml:space="preserve"> </w:t>
      </w:r>
      <w:r w:rsidR="004A0180" w:rsidRPr="00BF6F6A">
        <w:t>30-minute-long</w:t>
      </w:r>
      <w:r w:rsidR="008B290D" w:rsidRPr="00BF6F6A">
        <w:t xml:space="preserve"> online interview</w:t>
      </w:r>
      <w:r w:rsidR="00095EEF" w:rsidRPr="00BF6F6A">
        <w:t xml:space="preserve"> (</w:t>
      </w:r>
      <w:r w:rsidR="00121F44">
        <w:t xml:space="preserve">using </w:t>
      </w:r>
      <w:r w:rsidR="00095EEF" w:rsidRPr="00BF6F6A">
        <w:t>MS</w:t>
      </w:r>
      <w:r w:rsidR="005653E3">
        <w:t xml:space="preserve"> </w:t>
      </w:r>
      <w:r w:rsidR="00095EEF" w:rsidRPr="00BF6F6A">
        <w:t>Teams)</w:t>
      </w:r>
      <w:r w:rsidR="008B290D" w:rsidRPr="00BF6F6A">
        <w:t>.</w:t>
      </w:r>
      <w:r w:rsidR="00EF7D41" w:rsidRPr="00BF6F6A">
        <w:t xml:space="preserve"> </w:t>
      </w:r>
      <w:r w:rsidR="003C3368" w:rsidRPr="00BF6F6A">
        <w:t xml:space="preserve">A further interview was conducted to validate </w:t>
      </w:r>
      <w:r w:rsidR="00467099" w:rsidRPr="00BF6F6A">
        <w:t xml:space="preserve">the </w:t>
      </w:r>
      <w:r w:rsidR="003C3368" w:rsidRPr="00BF6F6A">
        <w:t>interpretation of the evidence provided by</w:t>
      </w:r>
      <w:r w:rsidR="00757271" w:rsidRPr="00BF6F6A">
        <w:t xml:space="preserve"> </w:t>
      </w:r>
      <w:r w:rsidR="003C3368" w:rsidRPr="00BF6F6A">
        <w:t>the</w:t>
      </w:r>
      <w:r w:rsidR="00757271" w:rsidRPr="00BF6F6A">
        <w:t xml:space="preserve"> participants.</w:t>
      </w:r>
    </w:p>
    <w:p w14:paraId="67A71B8E" w14:textId="77777777" w:rsidR="005A09F0" w:rsidRPr="00BF6F6A" w:rsidRDefault="005A09F0" w:rsidP="003B4F8D">
      <w:pPr>
        <w:jc w:val="both"/>
        <w:rPr>
          <w:shd w:val="clear" w:color="auto" w:fill="FFFFFF"/>
        </w:rPr>
      </w:pPr>
    </w:p>
    <w:p w14:paraId="5315CAF3" w14:textId="2AE08DAE" w:rsidR="008B290D" w:rsidRPr="00BF6F6A" w:rsidRDefault="008B290D" w:rsidP="003B4F8D">
      <w:pPr>
        <w:pStyle w:val="Heading2"/>
        <w:numPr>
          <w:ilvl w:val="1"/>
          <w:numId w:val="53"/>
        </w:numPr>
        <w:spacing w:before="0" w:after="0"/>
        <w:rPr>
          <w:rFonts w:eastAsia="Calibri" w:cs="Times New Roman"/>
          <w:b w:val="0"/>
          <w:sz w:val="29"/>
          <w:szCs w:val="22"/>
        </w:rPr>
      </w:pPr>
      <w:r w:rsidRPr="00BF6F6A">
        <w:rPr>
          <w:rFonts w:eastAsia="Calibri" w:cs="Times New Roman"/>
          <w:b w:val="0"/>
          <w:sz w:val="29"/>
          <w:szCs w:val="22"/>
        </w:rPr>
        <w:t>Expert interviews</w:t>
      </w:r>
    </w:p>
    <w:p w14:paraId="480880DC" w14:textId="429BD2D8" w:rsidR="008B290D" w:rsidRPr="00BF6F6A" w:rsidRDefault="00EC2FD8" w:rsidP="005A09F0">
      <w:pPr>
        <w:jc w:val="both"/>
        <w:rPr>
          <w:shd w:val="clear" w:color="auto" w:fill="FFFFFF"/>
        </w:rPr>
      </w:pPr>
      <w:r w:rsidRPr="00BF6F6A">
        <w:rPr>
          <w:shd w:val="clear" w:color="auto" w:fill="FFFFFF"/>
        </w:rPr>
        <w:t xml:space="preserve">The </w:t>
      </w:r>
      <w:r w:rsidR="000853CA" w:rsidRPr="00BF6F6A">
        <w:rPr>
          <w:shd w:val="clear" w:color="auto" w:fill="FFFFFF"/>
        </w:rPr>
        <w:t xml:space="preserve">semi-structured </w:t>
      </w:r>
      <w:r w:rsidRPr="00BF6F6A">
        <w:rPr>
          <w:shd w:val="clear" w:color="auto" w:fill="FFFFFF"/>
        </w:rPr>
        <w:t>interviews consisted of two parts:</w:t>
      </w:r>
      <w:r w:rsidR="004F331E" w:rsidRPr="00BF6F6A">
        <w:rPr>
          <w:shd w:val="clear" w:color="auto" w:fill="FFFFFF"/>
        </w:rPr>
        <w:t xml:space="preserve"> </w:t>
      </w:r>
      <w:r w:rsidR="00014F35" w:rsidRPr="00BF6F6A">
        <w:rPr>
          <w:shd w:val="clear" w:color="auto" w:fill="FFFFFF"/>
        </w:rPr>
        <w:t xml:space="preserve">(a) </w:t>
      </w:r>
      <w:r w:rsidR="004F331E" w:rsidRPr="00BF6F6A">
        <w:rPr>
          <w:shd w:val="clear" w:color="auto" w:fill="FFFFFF"/>
        </w:rPr>
        <w:t>characteristic</w:t>
      </w:r>
      <w:r w:rsidRPr="00BF6F6A">
        <w:rPr>
          <w:shd w:val="clear" w:color="auto" w:fill="FFFFFF"/>
        </w:rPr>
        <w:t>s</w:t>
      </w:r>
      <w:r w:rsidR="00CD4B7A" w:rsidRPr="00BF6F6A">
        <w:rPr>
          <w:shd w:val="clear" w:color="auto" w:fill="FFFFFF"/>
        </w:rPr>
        <w:t xml:space="preserve"> of participants and their organisations (sector, job role, type and size of the organisation; years of relevant experience; education background; professional membership; organisations’ ESG policies; year</w:t>
      </w:r>
      <w:r w:rsidR="00121F44">
        <w:rPr>
          <w:shd w:val="clear" w:color="auto" w:fill="FFFFFF"/>
        </w:rPr>
        <w:t>s</w:t>
      </w:r>
      <w:r w:rsidR="00CD4B7A" w:rsidRPr="00BF6F6A">
        <w:rPr>
          <w:shd w:val="clear" w:color="auto" w:fill="FFFFFF"/>
        </w:rPr>
        <w:t xml:space="preserve"> of work with GRESB)</w:t>
      </w:r>
      <w:r w:rsidRPr="00BF6F6A">
        <w:rPr>
          <w:shd w:val="clear" w:color="auto" w:fill="FFFFFF"/>
        </w:rPr>
        <w:t xml:space="preserve">; and </w:t>
      </w:r>
      <w:r w:rsidR="00014F35" w:rsidRPr="00BF6F6A">
        <w:rPr>
          <w:shd w:val="clear" w:color="auto" w:fill="FFFFFF"/>
        </w:rPr>
        <w:t>(b)</w:t>
      </w:r>
      <w:r w:rsidRPr="00BF6F6A">
        <w:rPr>
          <w:shd w:val="clear" w:color="auto" w:fill="FFFFFF"/>
        </w:rPr>
        <w:t xml:space="preserve"> </w:t>
      </w:r>
      <w:r w:rsidR="004F331E" w:rsidRPr="00BF6F6A">
        <w:rPr>
          <w:shd w:val="clear" w:color="auto" w:fill="FFFFFF"/>
        </w:rPr>
        <w:t>participant</w:t>
      </w:r>
      <w:r w:rsidRPr="00BF6F6A">
        <w:rPr>
          <w:shd w:val="clear" w:color="auto" w:fill="FFFFFF"/>
        </w:rPr>
        <w:t>s’</w:t>
      </w:r>
      <w:r w:rsidR="004F331E" w:rsidRPr="00BF6F6A">
        <w:rPr>
          <w:shd w:val="clear" w:color="auto" w:fill="FFFFFF"/>
        </w:rPr>
        <w:t xml:space="preserve"> lived experience </w:t>
      </w:r>
      <w:r w:rsidR="00361AA6">
        <w:rPr>
          <w:shd w:val="clear" w:color="auto" w:fill="FFFFFF"/>
        </w:rPr>
        <w:t>and feelings towards</w:t>
      </w:r>
      <w:r w:rsidR="004F331E" w:rsidRPr="00BF6F6A">
        <w:rPr>
          <w:shd w:val="clear" w:color="auto" w:fill="FFFFFF"/>
        </w:rPr>
        <w:t xml:space="preserve"> GRESB</w:t>
      </w:r>
      <w:r w:rsidR="00143550">
        <w:rPr>
          <w:shd w:val="clear" w:color="auto" w:fill="FFFFFF"/>
        </w:rPr>
        <w:t xml:space="preserve"> based on their</w:t>
      </w:r>
      <w:r w:rsidR="00014F35" w:rsidRPr="00BF6F6A">
        <w:rPr>
          <w:shd w:val="clear" w:color="auto" w:fill="FFFFFF"/>
        </w:rPr>
        <w:t xml:space="preserve"> participants’ </w:t>
      </w:r>
      <w:r w:rsidR="00143550">
        <w:rPr>
          <w:shd w:val="clear" w:color="auto" w:fill="FFFFFF"/>
        </w:rPr>
        <w:t xml:space="preserve">and participant </w:t>
      </w:r>
      <w:r w:rsidR="00014F35" w:rsidRPr="00BF6F6A">
        <w:rPr>
          <w:shd w:val="clear" w:color="auto" w:fill="FFFFFF"/>
        </w:rPr>
        <w:t>organisations</w:t>
      </w:r>
      <w:r w:rsidR="00143550">
        <w:rPr>
          <w:shd w:val="clear" w:color="auto" w:fill="FFFFFF"/>
        </w:rPr>
        <w:t>’</w:t>
      </w:r>
      <w:r w:rsidR="00014F35" w:rsidRPr="00BF6F6A">
        <w:rPr>
          <w:shd w:val="clear" w:color="auto" w:fill="FFFFFF"/>
        </w:rPr>
        <w:t xml:space="preserve"> engage</w:t>
      </w:r>
      <w:r w:rsidR="00143550">
        <w:rPr>
          <w:shd w:val="clear" w:color="auto" w:fill="FFFFFF"/>
        </w:rPr>
        <w:t>ment</w:t>
      </w:r>
      <w:r w:rsidR="00014F35" w:rsidRPr="00BF6F6A">
        <w:rPr>
          <w:shd w:val="clear" w:color="auto" w:fill="FFFFFF"/>
        </w:rPr>
        <w:t xml:space="preserve"> with ESG-related issues</w:t>
      </w:r>
      <w:r w:rsidR="00143550">
        <w:rPr>
          <w:shd w:val="clear" w:color="auto" w:fill="FFFFFF"/>
        </w:rPr>
        <w:t xml:space="preserve"> including</w:t>
      </w:r>
      <w:r w:rsidR="00014F35" w:rsidRPr="00BF6F6A">
        <w:rPr>
          <w:shd w:val="clear" w:color="auto" w:fill="FFFFFF"/>
        </w:rPr>
        <w:t xml:space="preserve"> (1) Factors motivating investors to incorporate ESG into their decision-making process; (2) Impact of legislation, regulation </w:t>
      </w:r>
      <w:r w:rsidR="00014F35" w:rsidRPr="00BF6F6A">
        <w:rPr>
          <w:shd w:val="clear" w:color="auto" w:fill="FFFFFF"/>
        </w:rPr>
        <w:lastRenderedPageBreak/>
        <w:t xml:space="preserve">and promotion strategies upon ESG disclosures; (3) Drivers for getting involved with GRESB; (4) Benefits of getting involved with GRESB; (5) Challenges faced using GRESB; </w:t>
      </w:r>
      <w:r w:rsidR="00FE48E5" w:rsidRPr="00BF6F6A">
        <w:rPr>
          <w:shd w:val="clear" w:color="auto" w:fill="FFFFFF"/>
        </w:rPr>
        <w:t xml:space="preserve">and </w:t>
      </w:r>
      <w:r w:rsidR="00014F35" w:rsidRPr="00BF6F6A">
        <w:rPr>
          <w:shd w:val="clear" w:color="auto" w:fill="FFFFFF"/>
        </w:rPr>
        <w:t>(6) Weaknesses of GRESB as an ESG benchmarking tool.</w:t>
      </w:r>
    </w:p>
    <w:p w14:paraId="7346554F" w14:textId="77777777" w:rsidR="005A09F0" w:rsidRPr="00BF6F6A" w:rsidRDefault="005A09F0" w:rsidP="003B4F8D">
      <w:pPr>
        <w:jc w:val="both"/>
        <w:rPr>
          <w:shd w:val="clear" w:color="auto" w:fill="FFFFFF"/>
        </w:rPr>
      </w:pPr>
    </w:p>
    <w:p w14:paraId="4014D4E2" w14:textId="77777777" w:rsidR="00882AF2" w:rsidRPr="00BF6F6A" w:rsidRDefault="00882AF2" w:rsidP="003B4F8D">
      <w:pPr>
        <w:pStyle w:val="Heading2"/>
        <w:numPr>
          <w:ilvl w:val="1"/>
          <w:numId w:val="53"/>
        </w:numPr>
        <w:spacing w:before="0" w:after="0"/>
        <w:rPr>
          <w:rFonts w:eastAsia="Calibri" w:cs="Times New Roman"/>
          <w:b w:val="0"/>
          <w:sz w:val="29"/>
          <w:szCs w:val="22"/>
        </w:rPr>
      </w:pPr>
      <w:r w:rsidRPr="00BF6F6A">
        <w:rPr>
          <w:rFonts w:eastAsia="Calibri" w:cs="Times New Roman"/>
          <w:b w:val="0"/>
          <w:sz w:val="29"/>
          <w:szCs w:val="22"/>
        </w:rPr>
        <w:t>Interview process</w:t>
      </w:r>
    </w:p>
    <w:p w14:paraId="09224A2A" w14:textId="34632BF1" w:rsidR="00BC484D" w:rsidRPr="00BF6F6A" w:rsidRDefault="00882AF2" w:rsidP="00252A44">
      <w:pPr>
        <w:jc w:val="both"/>
        <w:rPr>
          <w:b/>
          <w:bCs/>
        </w:rPr>
      </w:pPr>
      <w:r w:rsidRPr="00BF6F6A">
        <w:t xml:space="preserve">Each interview comprised </w:t>
      </w:r>
      <w:r w:rsidR="00C46C71" w:rsidRPr="00BF6F6A">
        <w:t xml:space="preserve">for the most part </w:t>
      </w:r>
      <w:r w:rsidRPr="00BF6F6A">
        <w:t xml:space="preserve">standard interview questions. </w:t>
      </w:r>
      <w:r w:rsidR="00C46C71" w:rsidRPr="00BF6F6A">
        <w:t xml:space="preserve">Some questions were modified in </w:t>
      </w:r>
      <w:r w:rsidR="00014F35" w:rsidRPr="00BF6F6A">
        <w:t>line with the phenomenological approach, t</w:t>
      </w:r>
      <w:r w:rsidRPr="00BF6F6A">
        <w:t xml:space="preserve">o explore emerging themes, enable interviewees to expand when appropriate </w:t>
      </w:r>
      <w:r w:rsidR="00014F35" w:rsidRPr="00BF6F6A">
        <w:t>and</w:t>
      </w:r>
      <w:r w:rsidRPr="00BF6F6A">
        <w:t xml:space="preserve"> to clarify responses (Brinkmann and Kvale, 2005). </w:t>
      </w:r>
      <w:r w:rsidR="000853CA" w:rsidRPr="00BF6F6A">
        <w:rPr>
          <w:shd w:val="clear" w:color="auto" w:fill="FFFFFF"/>
        </w:rPr>
        <w:t xml:space="preserve">The nature of semi-structured interviews </w:t>
      </w:r>
      <w:r w:rsidR="00C46C71" w:rsidRPr="00BF6F6A">
        <w:rPr>
          <w:shd w:val="clear" w:color="auto" w:fill="FFFFFF"/>
        </w:rPr>
        <w:t xml:space="preserve">permitted </w:t>
      </w:r>
      <w:r w:rsidR="000853CA" w:rsidRPr="00BF6F6A">
        <w:rPr>
          <w:shd w:val="clear" w:color="auto" w:fill="FFFFFF"/>
        </w:rPr>
        <w:t>open discussion</w:t>
      </w:r>
      <w:r w:rsidR="00143550">
        <w:rPr>
          <w:shd w:val="clear" w:color="auto" w:fill="FFFFFF"/>
        </w:rPr>
        <w:t xml:space="preserve"> on less explicit matters</w:t>
      </w:r>
      <w:r w:rsidR="000853CA" w:rsidRPr="00BF6F6A">
        <w:rPr>
          <w:shd w:val="clear" w:color="auto" w:fill="FFFFFF"/>
        </w:rPr>
        <w:t xml:space="preserve">, </w:t>
      </w:r>
      <w:r w:rsidR="00C46C71" w:rsidRPr="00BF6F6A">
        <w:rPr>
          <w:shd w:val="clear" w:color="auto" w:fill="FFFFFF"/>
        </w:rPr>
        <w:t xml:space="preserve">to </w:t>
      </w:r>
      <w:r w:rsidR="000853CA" w:rsidRPr="00BF6F6A">
        <w:rPr>
          <w:shd w:val="clear" w:color="auto" w:fill="FFFFFF"/>
        </w:rPr>
        <w:t>further explor</w:t>
      </w:r>
      <w:r w:rsidR="00C46C71" w:rsidRPr="00BF6F6A">
        <w:rPr>
          <w:shd w:val="clear" w:color="auto" w:fill="FFFFFF"/>
        </w:rPr>
        <w:t>e</w:t>
      </w:r>
      <w:r w:rsidR="000853CA" w:rsidRPr="00BF6F6A">
        <w:rPr>
          <w:shd w:val="clear" w:color="auto" w:fill="FFFFFF"/>
        </w:rPr>
        <w:t xml:space="preserve"> participant </w:t>
      </w:r>
      <w:r w:rsidR="00143550">
        <w:rPr>
          <w:shd w:val="clear" w:color="auto" w:fill="FFFFFF"/>
        </w:rPr>
        <w:t xml:space="preserve">feelings and </w:t>
      </w:r>
      <w:r w:rsidR="000853CA" w:rsidRPr="00BF6F6A">
        <w:rPr>
          <w:shd w:val="clear" w:color="auto" w:fill="FFFFFF"/>
        </w:rPr>
        <w:t xml:space="preserve">opinions on whether or not personal values or favourable </w:t>
      </w:r>
      <w:r w:rsidR="000D603F" w:rsidRPr="00BF6F6A">
        <w:rPr>
          <w:shd w:val="clear" w:color="auto" w:fill="FFFFFF"/>
        </w:rPr>
        <w:t>risk-return</w:t>
      </w:r>
      <w:r w:rsidR="000853CA" w:rsidRPr="00BF6F6A">
        <w:rPr>
          <w:shd w:val="clear" w:color="auto" w:fill="FFFFFF"/>
        </w:rPr>
        <w:t xml:space="preserve"> trade-offs drive </w:t>
      </w:r>
      <w:r w:rsidR="000D603F" w:rsidRPr="00BF6F6A">
        <w:rPr>
          <w:shd w:val="clear" w:color="auto" w:fill="FFFFFF"/>
        </w:rPr>
        <w:t>investment-making</w:t>
      </w:r>
      <w:r w:rsidR="000853CA" w:rsidRPr="00BF6F6A">
        <w:rPr>
          <w:shd w:val="clear" w:color="auto" w:fill="FFFFFF"/>
        </w:rPr>
        <w:t xml:space="preserve"> decisions, and if perceived greenwashing</w:t>
      </w:r>
      <w:r w:rsidR="00121F44">
        <w:rPr>
          <w:shd w:val="clear" w:color="auto" w:fill="FFFFFF"/>
        </w:rPr>
        <w:t>,</w:t>
      </w:r>
      <w:r w:rsidR="000853CA" w:rsidRPr="00BF6F6A">
        <w:rPr>
          <w:shd w:val="clear" w:color="auto" w:fill="FFFFFF"/>
        </w:rPr>
        <w:t xml:space="preserve"> done by some companies</w:t>
      </w:r>
      <w:r w:rsidR="00121F44">
        <w:rPr>
          <w:shd w:val="clear" w:color="auto" w:fill="FFFFFF"/>
        </w:rPr>
        <w:t>,</w:t>
      </w:r>
      <w:r w:rsidR="000853CA" w:rsidRPr="00BF6F6A">
        <w:rPr>
          <w:shd w:val="clear" w:color="auto" w:fill="FFFFFF"/>
        </w:rPr>
        <w:t xml:space="preserve"> had any impact when considering ESG</w:t>
      </w:r>
      <w:r w:rsidR="00143550">
        <w:rPr>
          <w:shd w:val="clear" w:color="auto" w:fill="FFFFFF"/>
        </w:rPr>
        <w:t>-</w:t>
      </w:r>
      <w:r w:rsidR="000853CA" w:rsidRPr="00BF6F6A">
        <w:rPr>
          <w:shd w:val="clear" w:color="auto" w:fill="FFFFFF"/>
        </w:rPr>
        <w:t>related issues</w:t>
      </w:r>
      <w:r w:rsidR="00664B6A">
        <w:rPr>
          <w:shd w:val="clear" w:color="auto" w:fill="FFFFFF"/>
        </w:rPr>
        <w:t>. This was done by starting with exploratory questions on personal experiences and dwelling on the associated feelings and impressions</w:t>
      </w:r>
      <w:r w:rsidR="003B4F8D" w:rsidRPr="00BF6F6A">
        <w:rPr>
          <w:shd w:val="clear" w:color="auto" w:fill="FFFFFF"/>
        </w:rPr>
        <w:t xml:space="preserve"> (Table 1)</w:t>
      </w:r>
      <w:r w:rsidR="000853CA" w:rsidRPr="00BF6F6A">
        <w:rPr>
          <w:shd w:val="clear" w:color="auto" w:fill="FFFFFF"/>
        </w:rPr>
        <w:t>.</w:t>
      </w:r>
    </w:p>
    <w:p w14:paraId="73ECEE01" w14:textId="77777777" w:rsidR="00BC484D" w:rsidRPr="00BF6F6A" w:rsidRDefault="00BC484D" w:rsidP="00252A44">
      <w:pPr>
        <w:jc w:val="both"/>
        <w:rPr>
          <w:b/>
          <w:bCs/>
        </w:rPr>
      </w:pPr>
    </w:p>
    <w:p w14:paraId="7932A927" w14:textId="6AD715D7" w:rsidR="00BF3AC7" w:rsidRPr="00BF6F6A" w:rsidRDefault="00BF3AC7" w:rsidP="003B4F8D">
      <w:pPr>
        <w:rPr>
          <w:rFonts w:eastAsiaTheme="minorHAnsi"/>
          <w:b/>
          <w:bCs/>
          <w:lang w:eastAsia="en-US"/>
        </w:rPr>
      </w:pPr>
      <w:r w:rsidRPr="00BF6F6A">
        <w:rPr>
          <w:b/>
          <w:bCs/>
        </w:rPr>
        <w:t xml:space="preserve">Table </w:t>
      </w:r>
      <w:r w:rsidR="003B4F8D" w:rsidRPr="00BF6F6A">
        <w:rPr>
          <w:b/>
          <w:bCs/>
        </w:rPr>
        <w:t>1</w:t>
      </w:r>
      <w:r w:rsidRPr="00BF6F6A">
        <w:rPr>
          <w:b/>
          <w:bCs/>
        </w:rPr>
        <w:t xml:space="preserve">: </w:t>
      </w:r>
      <w:r w:rsidRPr="00BF6F6A">
        <w:rPr>
          <w:rFonts w:eastAsiaTheme="minorHAnsi"/>
          <w:b/>
          <w:bCs/>
          <w:lang w:eastAsia="en-US"/>
        </w:rPr>
        <w:t>List of the questions posed to the interviewees</w:t>
      </w:r>
    </w:p>
    <w:p w14:paraId="586DB86A" w14:textId="77777777" w:rsidR="00480B8B" w:rsidRPr="00BF6F6A" w:rsidRDefault="00480B8B" w:rsidP="003B4F8D"/>
    <w:tbl>
      <w:tblPr>
        <w:tblStyle w:val="TableGrid"/>
        <w:tblW w:w="0" w:type="auto"/>
        <w:tblLook w:val="04A0" w:firstRow="1" w:lastRow="0" w:firstColumn="1" w:lastColumn="0" w:noHBand="0" w:noVBand="1"/>
      </w:tblPr>
      <w:tblGrid>
        <w:gridCol w:w="562"/>
        <w:gridCol w:w="7933"/>
      </w:tblGrid>
      <w:tr w:rsidR="00BF3AC7" w:rsidRPr="00BF6F6A" w14:paraId="630926B6" w14:textId="77777777" w:rsidTr="003B4F8D">
        <w:tc>
          <w:tcPr>
            <w:tcW w:w="562" w:type="dxa"/>
          </w:tcPr>
          <w:p w14:paraId="644BF7DB" w14:textId="23182BA7" w:rsidR="00BF3AC7" w:rsidRPr="00BF6F6A" w:rsidRDefault="00BF3AC7" w:rsidP="003B4F8D">
            <w:pPr>
              <w:rPr>
                <w:b/>
                <w:bCs/>
                <w:sz w:val="20"/>
                <w:szCs w:val="20"/>
              </w:rPr>
            </w:pPr>
            <w:r w:rsidRPr="00BF6F6A">
              <w:rPr>
                <w:b/>
                <w:bCs/>
                <w:sz w:val="20"/>
                <w:szCs w:val="20"/>
              </w:rPr>
              <w:t>#</w:t>
            </w:r>
          </w:p>
        </w:tc>
        <w:tc>
          <w:tcPr>
            <w:tcW w:w="7933" w:type="dxa"/>
          </w:tcPr>
          <w:p w14:paraId="51707A1A" w14:textId="5C4D2EF7" w:rsidR="00BF3AC7" w:rsidRPr="00BF6F6A" w:rsidRDefault="00BF3AC7" w:rsidP="003B4F8D">
            <w:pPr>
              <w:rPr>
                <w:b/>
                <w:bCs/>
                <w:sz w:val="20"/>
                <w:szCs w:val="20"/>
              </w:rPr>
            </w:pPr>
            <w:r w:rsidRPr="00BF6F6A">
              <w:rPr>
                <w:b/>
                <w:bCs/>
                <w:sz w:val="20"/>
                <w:szCs w:val="20"/>
              </w:rPr>
              <w:t>Interview Questions</w:t>
            </w:r>
          </w:p>
        </w:tc>
      </w:tr>
      <w:tr w:rsidR="0036246E" w:rsidRPr="00BF6F6A" w14:paraId="7D97392E" w14:textId="77777777" w:rsidTr="003B4F8D">
        <w:tc>
          <w:tcPr>
            <w:tcW w:w="562" w:type="dxa"/>
          </w:tcPr>
          <w:p w14:paraId="4E8D46B0" w14:textId="77777777" w:rsidR="0036246E" w:rsidRPr="00BF6F6A" w:rsidRDefault="0036246E" w:rsidP="00BF3AC7">
            <w:pPr>
              <w:jc w:val="both"/>
              <w:rPr>
                <w:sz w:val="20"/>
                <w:szCs w:val="20"/>
              </w:rPr>
            </w:pPr>
          </w:p>
        </w:tc>
        <w:tc>
          <w:tcPr>
            <w:tcW w:w="7933" w:type="dxa"/>
          </w:tcPr>
          <w:p w14:paraId="1CDDA1DC" w14:textId="359B1D4B" w:rsidR="0036246E" w:rsidRPr="00BF6F6A" w:rsidRDefault="0036246E" w:rsidP="00BF3AC7">
            <w:pPr>
              <w:jc w:val="both"/>
              <w:rPr>
                <w:sz w:val="20"/>
                <w:szCs w:val="20"/>
              </w:rPr>
            </w:pPr>
            <w:r w:rsidRPr="00BF6F6A">
              <w:rPr>
                <w:sz w:val="20"/>
                <w:szCs w:val="20"/>
              </w:rPr>
              <w:t>Drawing on your personal experiences</w:t>
            </w:r>
            <w:r w:rsidR="00B92DC5">
              <w:rPr>
                <w:sz w:val="20"/>
                <w:szCs w:val="20"/>
              </w:rPr>
              <w:t xml:space="preserve"> and feelings</w:t>
            </w:r>
            <w:r w:rsidRPr="00BF6F6A">
              <w:rPr>
                <w:sz w:val="20"/>
                <w:szCs w:val="20"/>
              </w:rPr>
              <w:t>…</w:t>
            </w:r>
          </w:p>
        </w:tc>
      </w:tr>
      <w:tr w:rsidR="00BF3AC7" w:rsidRPr="00BF6F6A" w14:paraId="35483418" w14:textId="77777777" w:rsidTr="003B4F8D">
        <w:tc>
          <w:tcPr>
            <w:tcW w:w="562" w:type="dxa"/>
          </w:tcPr>
          <w:p w14:paraId="711F0A34" w14:textId="0E6267A2" w:rsidR="00BF3AC7" w:rsidRPr="00BF6F6A" w:rsidRDefault="00BF3AC7" w:rsidP="00BF3AC7">
            <w:pPr>
              <w:jc w:val="both"/>
              <w:rPr>
                <w:sz w:val="20"/>
                <w:szCs w:val="20"/>
              </w:rPr>
            </w:pPr>
            <w:r w:rsidRPr="00BF6F6A">
              <w:rPr>
                <w:sz w:val="20"/>
                <w:szCs w:val="20"/>
              </w:rPr>
              <w:t>1</w:t>
            </w:r>
          </w:p>
        </w:tc>
        <w:tc>
          <w:tcPr>
            <w:tcW w:w="7933" w:type="dxa"/>
          </w:tcPr>
          <w:p w14:paraId="4ED750EB" w14:textId="2DCF5024" w:rsidR="00BF3AC7" w:rsidRPr="00BF6F6A" w:rsidRDefault="003B4F8D" w:rsidP="00BF3AC7">
            <w:pPr>
              <w:jc w:val="both"/>
              <w:rPr>
                <w:sz w:val="20"/>
                <w:szCs w:val="20"/>
              </w:rPr>
            </w:pPr>
            <w:r w:rsidRPr="00BF6F6A">
              <w:rPr>
                <w:sz w:val="20"/>
                <w:szCs w:val="20"/>
              </w:rPr>
              <w:t>What</w:t>
            </w:r>
            <w:r w:rsidR="00BF3AC7" w:rsidRPr="00BF6F6A">
              <w:rPr>
                <w:sz w:val="20"/>
                <w:szCs w:val="20"/>
              </w:rPr>
              <w:t xml:space="preserve"> </w:t>
            </w:r>
            <w:r w:rsidRPr="00BF6F6A">
              <w:rPr>
                <w:sz w:val="20"/>
                <w:szCs w:val="20"/>
              </w:rPr>
              <w:t xml:space="preserve">factors </w:t>
            </w:r>
            <w:r w:rsidR="00BF3AC7" w:rsidRPr="00BF6F6A">
              <w:rPr>
                <w:sz w:val="20"/>
                <w:szCs w:val="20"/>
              </w:rPr>
              <w:t>motivate</w:t>
            </w:r>
            <w:r w:rsidR="0036246E" w:rsidRPr="00BF6F6A">
              <w:rPr>
                <w:sz w:val="20"/>
                <w:szCs w:val="20"/>
              </w:rPr>
              <w:t>d</w:t>
            </w:r>
            <w:r w:rsidR="00BF3AC7" w:rsidRPr="00BF6F6A">
              <w:rPr>
                <w:sz w:val="20"/>
                <w:szCs w:val="20"/>
              </w:rPr>
              <w:t xml:space="preserve"> your organisation to engage with ESG related issues?</w:t>
            </w:r>
          </w:p>
        </w:tc>
      </w:tr>
      <w:tr w:rsidR="00BF3AC7" w:rsidRPr="00BF6F6A" w14:paraId="612904C0" w14:textId="77777777" w:rsidTr="003B4F8D">
        <w:tc>
          <w:tcPr>
            <w:tcW w:w="562" w:type="dxa"/>
          </w:tcPr>
          <w:p w14:paraId="2E0345B3" w14:textId="702E5956" w:rsidR="00BF3AC7" w:rsidRPr="00BF6F6A" w:rsidRDefault="00BF3AC7" w:rsidP="00BF3AC7">
            <w:pPr>
              <w:jc w:val="both"/>
              <w:rPr>
                <w:sz w:val="20"/>
                <w:szCs w:val="20"/>
              </w:rPr>
            </w:pPr>
            <w:r w:rsidRPr="00BF6F6A">
              <w:rPr>
                <w:sz w:val="20"/>
                <w:szCs w:val="20"/>
              </w:rPr>
              <w:t>2</w:t>
            </w:r>
          </w:p>
        </w:tc>
        <w:tc>
          <w:tcPr>
            <w:tcW w:w="7933" w:type="dxa"/>
          </w:tcPr>
          <w:p w14:paraId="4E95BAB8" w14:textId="588D4510" w:rsidR="00BF3AC7" w:rsidRPr="00BF6F6A" w:rsidRDefault="0036246E" w:rsidP="00BF3AC7">
            <w:pPr>
              <w:jc w:val="both"/>
              <w:rPr>
                <w:sz w:val="20"/>
                <w:szCs w:val="20"/>
              </w:rPr>
            </w:pPr>
            <w:r w:rsidRPr="00BF6F6A">
              <w:rPr>
                <w:sz w:val="20"/>
                <w:szCs w:val="20"/>
              </w:rPr>
              <w:t>W</w:t>
            </w:r>
            <w:r w:rsidR="00BF3AC7" w:rsidRPr="00BF6F6A">
              <w:rPr>
                <w:sz w:val="20"/>
                <w:szCs w:val="20"/>
              </w:rPr>
              <w:t xml:space="preserve">hat factors motivate investors to incorporate ESG into their decision-making process? </w:t>
            </w:r>
          </w:p>
        </w:tc>
      </w:tr>
      <w:tr w:rsidR="00BF3AC7" w:rsidRPr="00BF6F6A" w14:paraId="576D3F4F" w14:textId="77777777" w:rsidTr="003B4F8D">
        <w:tc>
          <w:tcPr>
            <w:tcW w:w="562" w:type="dxa"/>
          </w:tcPr>
          <w:p w14:paraId="46B67CE9" w14:textId="3D262DE1" w:rsidR="00BF3AC7" w:rsidRPr="00BF6F6A" w:rsidRDefault="00BF3AC7" w:rsidP="00BF3AC7">
            <w:pPr>
              <w:jc w:val="both"/>
              <w:rPr>
                <w:sz w:val="20"/>
                <w:szCs w:val="20"/>
              </w:rPr>
            </w:pPr>
            <w:r w:rsidRPr="00BF6F6A">
              <w:rPr>
                <w:sz w:val="20"/>
                <w:szCs w:val="20"/>
              </w:rPr>
              <w:t>3</w:t>
            </w:r>
          </w:p>
        </w:tc>
        <w:tc>
          <w:tcPr>
            <w:tcW w:w="7933" w:type="dxa"/>
          </w:tcPr>
          <w:p w14:paraId="61E2DE0B" w14:textId="3E9F6688" w:rsidR="00BF3AC7" w:rsidRPr="00BF6F6A" w:rsidRDefault="0036246E" w:rsidP="00BF3AC7">
            <w:pPr>
              <w:jc w:val="both"/>
              <w:rPr>
                <w:sz w:val="20"/>
                <w:szCs w:val="20"/>
              </w:rPr>
            </w:pPr>
            <w:r w:rsidRPr="00BF6F6A">
              <w:rPr>
                <w:sz w:val="20"/>
                <w:szCs w:val="20"/>
              </w:rPr>
              <w:t>I</w:t>
            </w:r>
            <w:r w:rsidR="00BF3AC7" w:rsidRPr="00BF6F6A">
              <w:rPr>
                <w:sz w:val="20"/>
                <w:szCs w:val="20"/>
              </w:rPr>
              <w:t>n what way</w:t>
            </w:r>
            <w:r w:rsidRPr="00BF6F6A">
              <w:rPr>
                <w:sz w:val="20"/>
                <w:szCs w:val="20"/>
              </w:rPr>
              <w:t>,</w:t>
            </w:r>
            <w:r w:rsidR="00BF3AC7" w:rsidRPr="00BF6F6A">
              <w:rPr>
                <w:sz w:val="20"/>
                <w:szCs w:val="20"/>
              </w:rPr>
              <w:t xml:space="preserve"> if any</w:t>
            </w:r>
            <w:r w:rsidRPr="00BF6F6A">
              <w:rPr>
                <w:sz w:val="20"/>
                <w:szCs w:val="20"/>
              </w:rPr>
              <w:t>,</w:t>
            </w:r>
            <w:r w:rsidR="00BF3AC7" w:rsidRPr="00BF6F6A">
              <w:rPr>
                <w:sz w:val="20"/>
                <w:szCs w:val="20"/>
              </w:rPr>
              <w:t xml:space="preserve"> </w:t>
            </w:r>
            <w:r w:rsidRPr="00BF6F6A">
              <w:rPr>
                <w:sz w:val="20"/>
                <w:szCs w:val="20"/>
              </w:rPr>
              <w:t>does</w:t>
            </w:r>
            <w:r w:rsidR="00BF3AC7" w:rsidRPr="00BF6F6A">
              <w:rPr>
                <w:sz w:val="20"/>
                <w:szCs w:val="20"/>
              </w:rPr>
              <w:t xml:space="preserve"> legislation, </w:t>
            </w:r>
            <w:r w:rsidR="00E36F51" w:rsidRPr="00BF6F6A">
              <w:rPr>
                <w:sz w:val="20"/>
                <w:szCs w:val="20"/>
              </w:rPr>
              <w:t>regulation,</w:t>
            </w:r>
            <w:r w:rsidR="00BF3AC7" w:rsidRPr="00BF6F6A">
              <w:rPr>
                <w:sz w:val="20"/>
                <w:szCs w:val="20"/>
              </w:rPr>
              <w:t xml:space="preserve"> and promotion strategies (e.g. advertising, marketin</w:t>
            </w:r>
            <w:r w:rsidRPr="00BF6F6A">
              <w:rPr>
                <w:sz w:val="20"/>
                <w:szCs w:val="20"/>
              </w:rPr>
              <w:t>g, etc.)</w:t>
            </w:r>
            <w:r w:rsidR="00BF3AC7" w:rsidRPr="00BF6F6A">
              <w:rPr>
                <w:sz w:val="20"/>
                <w:szCs w:val="20"/>
              </w:rPr>
              <w:t xml:space="preserve"> impact ESG disclosure in your industry?</w:t>
            </w:r>
          </w:p>
        </w:tc>
      </w:tr>
      <w:tr w:rsidR="00BF3AC7" w:rsidRPr="00BF6F6A" w14:paraId="6C554D97" w14:textId="77777777" w:rsidTr="003B4F8D">
        <w:tc>
          <w:tcPr>
            <w:tcW w:w="562" w:type="dxa"/>
          </w:tcPr>
          <w:p w14:paraId="7DA826C4" w14:textId="4D800D2B" w:rsidR="00BF3AC7" w:rsidRPr="00BF6F6A" w:rsidRDefault="00BF3AC7" w:rsidP="00BF3AC7">
            <w:pPr>
              <w:jc w:val="both"/>
              <w:rPr>
                <w:sz w:val="20"/>
                <w:szCs w:val="20"/>
              </w:rPr>
            </w:pPr>
            <w:r w:rsidRPr="00BF6F6A">
              <w:rPr>
                <w:sz w:val="20"/>
                <w:szCs w:val="20"/>
              </w:rPr>
              <w:t>4</w:t>
            </w:r>
          </w:p>
        </w:tc>
        <w:tc>
          <w:tcPr>
            <w:tcW w:w="7933" w:type="dxa"/>
          </w:tcPr>
          <w:p w14:paraId="36E4386C" w14:textId="575FF311" w:rsidR="00BF3AC7" w:rsidRPr="00BF6F6A" w:rsidRDefault="003B4F8D" w:rsidP="00BF3AC7">
            <w:pPr>
              <w:jc w:val="both"/>
              <w:rPr>
                <w:sz w:val="20"/>
                <w:szCs w:val="20"/>
              </w:rPr>
            </w:pPr>
            <w:r w:rsidRPr="00BF6F6A">
              <w:rPr>
                <w:sz w:val="20"/>
                <w:szCs w:val="20"/>
              </w:rPr>
              <w:t>What are</w:t>
            </w:r>
            <w:r w:rsidR="00BF3AC7" w:rsidRPr="00BF6F6A">
              <w:rPr>
                <w:sz w:val="20"/>
                <w:szCs w:val="20"/>
              </w:rPr>
              <w:t xml:space="preserve"> </w:t>
            </w:r>
            <w:r w:rsidR="0036246E" w:rsidRPr="00BF6F6A">
              <w:rPr>
                <w:sz w:val="20"/>
                <w:szCs w:val="20"/>
              </w:rPr>
              <w:t>the</w:t>
            </w:r>
            <w:r w:rsidR="00BF3AC7" w:rsidRPr="00BF6F6A">
              <w:rPr>
                <w:sz w:val="20"/>
                <w:szCs w:val="20"/>
              </w:rPr>
              <w:t xml:space="preserve"> main drivers for </w:t>
            </w:r>
            <w:r w:rsidR="0036246E" w:rsidRPr="00BF6F6A">
              <w:rPr>
                <w:sz w:val="20"/>
                <w:szCs w:val="20"/>
              </w:rPr>
              <w:t xml:space="preserve">your organisation </w:t>
            </w:r>
            <w:r w:rsidR="006505A1" w:rsidRPr="00BF6F6A">
              <w:rPr>
                <w:sz w:val="20"/>
                <w:szCs w:val="20"/>
              </w:rPr>
              <w:t>opting to use GRESB?</w:t>
            </w:r>
          </w:p>
        </w:tc>
      </w:tr>
      <w:tr w:rsidR="00BF3AC7" w:rsidRPr="00BF6F6A" w14:paraId="34DC43FF" w14:textId="77777777" w:rsidTr="003B4F8D">
        <w:tc>
          <w:tcPr>
            <w:tcW w:w="562" w:type="dxa"/>
          </w:tcPr>
          <w:p w14:paraId="1F8E8934" w14:textId="448602E3" w:rsidR="00BF3AC7" w:rsidRPr="00BF6F6A" w:rsidRDefault="00BF3AC7" w:rsidP="00BF3AC7">
            <w:pPr>
              <w:jc w:val="both"/>
              <w:rPr>
                <w:sz w:val="20"/>
                <w:szCs w:val="20"/>
              </w:rPr>
            </w:pPr>
            <w:r w:rsidRPr="00BF6F6A">
              <w:rPr>
                <w:sz w:val="20"/>
                <w:szCs w:val="20"/>
              </w:rPr>
              <w:t>5</w:t>
            </w:r>
          </w:p>
        </w:tc>
        <w:tc>
          <w:tcPr>
            <w:tcW w:w="7933" w:type="dxa"/>
          </w:tcPr>
          <w:p w14:paraId="3A32405F" w14:textId="14D572A1" w:rsidR="00BF3AC7" w:rsidRPr="00BF6F6A" w:rsidRDefault="0036246E" w:rsidP="00BF3AC7">
            <w:pPr>
              <w:jc w:val="both"/>
              <w:rPr>
                <w:sz w:val="20"/>
                <w:szCs w:val="20"/>
              </w:rPr>
            </w:pPr>
            <w:r w:rsidRPr="00BF6F6A">
              <w:rPr>
                <w:sz w:val="20"/>
                <w:szCs w:val="20"/>
              </w:rPr>
              <w:t>W</w:t>
            </w:r>
            <w:r w:rsidR="00BF3AC7" w:rsidRPr="00BF6F6A">
              <w:rPr>
                <w:sz w:val="20"/>
                <w:szCs w:val="20"/>
              </w:rPr>
              <w:t xml:space="preserve">hat are the main benefits </w:t>
            </w:r>
            <w:r w:rsidRPr="00BF6F6A">
              <w:rPr>
                <w:sz w:val="20"/>
                <w:szCs w:val="20"/>
              </w:rPr>
              <w:t xml:space="preserve">an organisation </w:t>
            </w:r>
            <w:r w:rsidR="006505A1" w:rsidRPr="00BF6F6A">
              <w:rPr>
                <w:sz w:val="20"/>
                <w:szCs w:val="20"/>
              </w:rPr>
              <w:t>can expect from using</w:t>
            </w:r>
            <w:r w:rsidR="00BF3AC7" w:rsidRPr="00BF6F6A">
              <w:rPr>
                <w:sz w:val="20"/>
                <w:szCs w:val="20"/>
              </w:rPr>
              <w:t xml:space="preserve"> GRESB? </w:t>
            </w:r>
          </w:p>
        </w:tc>
      </w:tr>
      <w:tr w:rsidR="00BF3AC7" w:rsidRPr="00BF6F6A" w14:paraId="3E1679AF" w14:textId="77777777" w:rsidTr="003B4F8D">
        <w:tc>
          <w:tcPr>
            <w:tcW w:w="562" w:type="dxa"/>
          </w:tcPr>
          <w:p w14:paraId="01294C0E" w14:textId="64299741" w:rsidR="00BF3AC7" w:rsidRPr="00BF6F6A" w:rsidRDefault="00BF3AC7" w:rsidP="00BF3AC7">
            <w:pPr>
              <w:jc w:val="both"/>
              <w:rPr>
                <w:sz w:val="20"/>
                <w:szCs w:val="20"/>
              </w:rPr>
            </w:pPr>
            <w:r w:rsidRPr="00BF6F6A">
              <w:rPr>
                <w:sz w:val="20"/>
                <w:szCs w:val="20"/>
              </w:rPr>
              <w:t>6</w:t>
            </w:r>
          </w:p>
        </w:tc>
        <w:tc>
          <w:tcPr>
            <w:tcW w:w="7933" w:type="dxa"/>
          </w:tcPr>
          <w:p w14:paraId="28577454" w14:textId="2976C208" w:rsidR="00BF3AC7" w:rsidRPr="00BF6F6A" w:rsidRDefault="003B4F8D" w:rsidP="0036246E">
            <w:pPr>
              <w:jc w:val="both"/>
              <w:rPr>
                <w:sz w:val="20"/>
                <w:szCs w:val="20"/>
              </w:rPr>
            </w:pPr>
            <w:r w:rsidRPr="00BF6F6A">
              <w:rPr>
                <w:sz w:val="20"/>
                <w:szCs w:val="20"/>
              </w:rPr>
              <w:t xml:space="preserve">What are the </w:t>
            </w:r>
            <w:r w:rsidR="00BF3AC7" w:rsidRPr="00BF6F6A">
              <w:rPr>
                <w:sz w:val="20"/>
                <w:szCs w:val="20"/>
              </w:rPr>
              <w:t xml:space="preserve">challenges </w:t>
            </w:r>
            <w:r w:rsidR="006505A1" w:rsidRPr="00BF6F6A">
              <w:rPr>
                <w:sz w:val="20"/>
                <w:szCs w:val="20"/>
              </w:rPr>
              <w:t>your organisation</w:t>
            </w:r>
            <w:r w:rsidR="00BF3AC7" w:rsidRPr="00BF6F6A">
              <w:rPr>
                <w:sz w:val="20"/>
                <w:szCs w:val="20"/>
              </w:rPr>
              <w:t xml:space="preserve"> faced using GRESB?</w:t>
            </w:r>
          </w:p>
        </w:tc>
      </w:tr>
      <w:tr w:rsidR="00BF3AC7" w:rsidRPr="00BF6F6A" w14:paraId="449DBF79" w14:textId="77777777" w:rsidTr="003B4F8D">
        <w:tc>
          <w:tcPr>
            <w:tcW w:w="562" w:type="dxa"/>
          </w:tcPr>
          <w:p w14:paraId="7F46F245" w14:textId="2A9C7BD2" w:rsidR="00BF3AC7" w:rsidRPr="00BF6F6A" w:rsidRDefault="00BF3AC7" w:rsidP="00BF3AC7">
            <w:pPr>
              <w:jc w:val="both"/>
              <w:rPr>
                <w:sz w:val="20"/>
                <w:szCs w:val="20"/>
              </w:rPr>
            </w:pPr>
            <w:r w:rsidRPr="00BF6F6A">
              <w:rPr>
                <w:sz w:val="20"/>
                <w:szCs w:val="20"/>
              </w:rPr>
              <w:t>7</w:t>
            </w:r>
          </w:p>
        </w:tc>
        <w:tc>
          <w:tcPr>
            <w:tcW w:w="7933" w:type="dxa"/>
          </w:tcPr>
          <w:p w14:paraId="5FC9325B" w14:textId="0A5B2D8B" w:rsidR="00BF3AC7" w:rsidRPr="00BF6F6A" w:rsidRDefault="006505A1" w:rsidP="0036246E">
            <w:pPr>
              <w:jc w:val="both"/>
              <w:rPr>
                <w:sz w:val="20"/>
                <w:szCs w:val="20"/>
              </w:rPr>
            </w:pPr>
            <w:r w:rsidRPr="00BF6F6A">
              <w:rPr>
                <w:sz w:val="20"/>
                <w:szCs w:val="20"/>
              </w:rPr>
              <w:t>W</w:t>
            </w:r>
            <w:r w:rsidR="00BF3AC7" w:rsidRPr="00BF6F6A">
              <w:rPr>
                <w:sz w:val="20"/>
                <w:szCs w:val="20"/>
              </w:rPr>
              <w:t xml:space="preserve">hat </w:t>
            </w:r>
            <w:r w:rsidR="00B92DC5">
              <w:rPr>
                <w:sz w:val="20"/>
                <w:szCs w:val="20"/>
              </w:rPr>
              <w:t xml:space="preserve">do </w:t>
            </w:r>
            <w:r w:rsidR="00BF3AC7" w:rsidRPr="00BF6F6A">
              <w:rPr>
                <w:sz w:val="20"/>
                <w:szCs w:val="20"/>
              </w:rPr>
              <w:t>you consider</w:t>
            </w:r>
            <w:r w:rsidRPr="00BF6F6A">
              <w:rPr>
                <w:sz w:val="20"/>
                <w:szCs w:val="20"/>
              </w:rPr>
              <w:t xml:space="preserve"> to be the most</w:t>
            </w:r>
            <w:r w:rsidR="00BF3AC7" w:rsidRPr="00BF6F6A">
              <w:rPr>
                <w:sz w:val="20"/>
                <w:szCs w:val="20"/>
              </w:rPr>
              <w:t xml:space="preserve"> successful </w:t>
            </w:r>
            <w:r w:rsidRPr="00BF6F6A">
              <w:rPr>
                <w:sz w:val="20"/>
                <w:szCs w:val="20"/>
              </w:rPr>
              <w:t>and/or unsuccessful feature(s) of</w:t>
            </w:r>
            <w:r w:rsidR="00BF3AC7" w:rsidRPr="00BF6F6A">
              <w:rPr>
                <w:sz w:val="20"/>
                <w:szCs w:val="20"/>
              </w:rPr>
              <w:t xml:space="preserve"> </w:t>
            </w:r>
            <w:r w:rsidRPr="00BF6F6A">
              <w:rPr>
                <w:sz w:val="20"/>
                <w:szCs w:val="20"/>
              </w:rPr>
              <w:t xml:space="preserve">using </w:t>
            </w:r>
            <w:r w:rsidR="00BF3AC7" w:rsidRPr="00BF6F6A">
              <w:rPr>
                <w:sz w:val="20"/>
                <w:szCs w:val="20"/>
              </w:rPr>
              <w:t>GRESB as an ESG benchmarking tool?</w:t>
            </w:r>
          </w:p>
        </w:tc>
      </w:tr>
    </w:tbl>
    <w:p w14:paraId="07DB2A0A" w14:textId="77777777" w:rsidR="005A09F0" w:rsidRPr="00BF6F6A" w:rsidRDefault="005A09F0" w:rsidP="004F7B84">
      <w:pPr>
        <w:jc w:val="both"/>
      </w:pPr>
    </w:p>
    <w:p w14:paraId="25E1BA30" w14:textId="24FF894F" w:rsidR="00F94749" w:rsidRPr="00BF6F6A" w:rsidRDefault="006505A1" w:rsidP="003B4F8D">
      <w:pPr>
        <w:pStyle w:val="Heading2"/>
        <w:numPr>
          <w:ilvl w:val="1"/>
          <w:numId w:val="53"/>
        </w:numPr>
        <w:spacing w:before="0" w:after="0"/>
        <w:rPr>
          <w:rFonts w:eastAsia="Calibri" w:cs="Times New Roman"/>
          <w:b w:val="0"/>
          <w:sz w:val="29"/>
          <w:szCs w:val="22"/>
        </w:rPr>
      </w:pPr>
      <w:r w:rsidRPr="00BF6F6A">
        <w:rPr>
          <w:rFonts w:eastAsia="Calibri" w:cs="Times New Roman"/>
          <w:b w:val="0"/>
          <w:sz w:val="29"/>
          <w:szCs w:val="22"/>
        </w:rPr>
        <w:t xml:space="preserve">Data </w:t>
      </w:r>
      <w:r w:rsidR="00D52388" w:rsidRPr="00BF6F6A">
        <w:rPr>
          <w:rFonts w:eastAsia="Calibri" w:cs="Times New Roman"/>
          <w:b w:val="0"/>
          <w:sz w:val="29"/>
          <w:szCs w:val="22"/>
        </w:rPr>
        <w:t>a</w:t>
      </w:r>
      <w:r w:rsidR="00F94749" w:rsidRPr="00BF6F6A">
        <w:rPr>
          <w:rFonts w:eastAsia="Calibri" w:cs="Times New Roman"/>
          <w:b w:val="0"/>
          <w:sz w:val="29"/>
          <w:szCs w:val="22"/>
        </w:rPr>
        <w:t>nalysis</w:t>
      </w:r>
    </w:p>
    <w:p w14:paraId="2B94A0AC" w14:textId="16FCC213" w:rsidR="00726271" w:rsidRPr="00BF6F6A" w:rsidRDefault="00BC484D" w:rsidP="001E7F6C">
      <w:pPr>
        <w:jc w:val="both"/>
        <w:rPr>
          <w:rFonts w:eastAsiaTheme="minorHAnsi"/>
          <w:lang w:eastAsia="en-US"/>
        </w:rPr>
      </w:pPr>
      <w:r w:rsidRPr="00BF6F6A">
        <w:t>A</w:t>
      </w:r>
      <w:r w:rsidR="00C75887" w:rsidRPr="00BF6F6A">
        <w:t xml:space="preserve">nalysis </w:t>
      </w:r>
      <w:r w:rsidRPr="00BF6F6A">
        <w:t xml:space="preserve">allows the </w:t>
      </w:r>
      <w:r w:rsidR="00C75887" w:rsidRPr="00BF6F6A">
        <w:t>identif</w:t>
      </w:r>
      <w:r w:rsidR="00EF7D41" w:rsidRPr="00BF6F6A">
        <w:t>ication</w:t>
      </w:r>
      <w:r w:rsidR="00C75887" w:rsidRPr="00BF6F6A">
        <w:t xml:space="preserve"> </w:t>
      </w:r>
      <w:r w:rsidR="00EF7D41" w:rsidRPr="00BF6F6A">
        <w:t>of</w:t>
      </w:r>
      <w:r w:rsidR="00A632FA" w:rsidRPr="00BF6F6A">
        <w:t xml:space="preserve"> </w:t>
      </w:r>
      <w:r w:rsidRPr="00BF6F6A">
        <w:t>recurring</w:t>
      </w:r>
      <w:r w:rsidR="00C75887" w:rsidRPr="00BF6F6A">
        <w:t xml:space="preserve"> themes</w:t>
      </w:r>
      <w:r w:rsidRPr="00BF6F6A">
        <w:t xml:space="preserve"> and sub-themes</w:t>
      </w:r>
      <w:r w:rsidR="00480B8B" w:rsidRPr="00BF6F6A">
        <w:t xml:space="preserve"> </w:t>
      </w:r>
      <w:r w:rsidR="00515598" w:rsidRPr="00BF6F6A">
        <w:t>to</w:t>
      </w:r>
      <w:r w:rsidR="00C75887" w:rsidRPr="00BF6F6A">
        <w:t xml:space="preserve"> seek commonalities, </w:t>
      </w:r>
      <w:r w:rsidR="00515598" w:rsidRPr="00BF6F6A">
        <w:t>relationships,</w:t>
      </w:r>
      <w:r w:rsidR="00C75887" w:rsidRPr="00BF6F6A">
        <w:t xml:space="preserve"> and principles </w:t>
      </w:r>
      <w:r w:rsidR="00EF7D41" w:rsidRPr="00BF6F6A">
        <w:t>(</w:t>
      </w:r>
      <w:r w:rsidR="00EF7D41" w:rsidRPr="00BF6F6A">
        <w:rPr>
          <w:shd w:val="clear" w:color="auto" w:fill="FFFFFF"/>
        </w:rPr>
        <w:t xml:space="preserve">Smith </w:t>
      </w:r>
      <w:r w:rsidR="00EF7D41" w:rsidRPr="00BF6F6A">
        <w:rPr>
          <w:i/>
          <w:iCs/>
          <w:shd w:val="clear" w:color="auto" w:fill="FFFFFF"/>
        </w:rPr>
        <w:t>et al.</w:t>
      </w:r>
      <w:r w:rsidR="00EF7D41" w:rsidRPr="00BF6F6A">
        <w:rPr>
          <w:shd w:val="clear" w:color="auto" w:fill="FFFFFF"/>
        </w:rPr>
        <w:t>, 2022</w:t>
      </w:r>
      <w:r w:rsidR="00EF7D41" w:rsidRPr="00BF6F6A">
        <w:t>)</w:t>
      </w:r>
      <w:r w:rsidR="00515598" w:rsidRPr="00BF6F6A">
        <w:t>.</w:t>
      </w:r>
      <w:r w:rsidR="00014F35" w:rsidRPr="00BF6F6A">
        <w:t xml:space="preserve"> </w:t>
      </w:r>
      <w:r w:rsidRPr="00BF6F6A">
        <w:rPr>
          <w:rFonts w:eastAsiaTheme="minorHAnsi"/>
          <w:lang w:eastAsia="en-US"/>
        </w:rPr>
        <w:t xml:space="preserve">As with other phenomenological studies, no computer data analysis software was used to interrogate the data sets (Capodanno </w:t>
      </w:r>
      <w:r w:rsidRPr="00BF6F6A">
        <w:rPr>
          <w:rFonts w:eastAsiaTheme="minorHAnsi"/>
          <w:i/>
          <w:lang w:eastAsia="en-US"/>
        </w:rPr>
        <w:t>et al</w:t>
      </w:r>
      <w:r w:rsidRPr="00BF6F6A">
        <w:rPr>
          <w:rFonts w:eastAsiaTheme="minorHAnsi"/>
          <w:lang w:eastAsia="en-US"/>
        </w:rPr>
        <w:t xml:space="preserve">., 2020). Moreover, the transcripts are scrutinised using a stepwise process (Table </w:t>
      </w:r>
      <w:r w:rsidR="001E7F6C" w:rsidRPr="00BF6F6A">
        <w:rPr>
          <w:rFonts w:eastAsiaTheme="minorHAnsi"/>
          <w:lang w:eastAsia="en-US"/>
        </w:rPr>
        <w:t>2</w:t>
      </w:r>
      <w:r w:rsidRPr="00BF6F6A">
        <w:rPr>
          <w:rFonts w:eastAsiaTheme="minorHAnsi"/>
          <w:lang w:eastAsia="en-US"/>
        </w:rPr>
        <w:t xml:space="preserve">), which involves </w:t>
      </w:r>
      <w:r w:rsidR="00B92DC5">
        <w:rPr>
          <w:rFonts w:eastAsiaTheme="minorHAnsi"/>
          <w:lang w:eastAsia="en-US"/>
        </w:rPr>
        <w:t xml:space="preserve">a </w:t>
      </w:r>
      <w:r w:rsidRPr="00BF6F6A">
        <w:rPr>
          <w:rFonts w:eastAsiaTheme="minorHAnsi"/>
          <w:lang w:eastAsia="en-US"/>
        </w:rPr>
        <w:t>repeated reading of the transcripts to</w:t>
      </w:r>
      <w:r w:rsidR="001E7F6C" w:rsidRPr="00BF6F6A">
        <w:rPr>
          <w:rFonts w:eastAsiaTheme="minorHAnsi"/>
          <w:lang w:eastAsia="en-US"/>
        </w:rPr>
        <w:t xml:space="preserve"> </w:t>
      </w:r>
      <w:r w:rsidRPr="00BF6F6A">
        <w:rPr>
          <w:rFonts w:eastAsiaTheme="minorHAnsi"/>
          <w:lang w:eastAsia="en-US"/>
        </w:rPr>
        <w:t xml:space="preserve">extract interrelated themes and meanings, </w:t>
      </w:r>
      <w:r w:rsidR="00B92DC5">
        <w:rPr>
          <w:rFonts w:eastAsiaTheme="minorHAnsi"/>
          <w:lang w:eastAsia="en-US"/>
        </w:rPr>
        <w:t>to</w:t>
      </w:r>
      <w:r w:rsidRPr="00BF6F6A">
        <w:rPr>
          <w:rFonts w:eastAsiaTheme="minorHAnsi"/>
          <w:lang w:eastAsia="en-US"/>
        </w:rPr>
        <w:t xml:space="preserve"> describe the</w:t>
      </w:r>
      <w:r w:rsidR="001E7F6C" w:rsidRPr="00BF6F6A">
        <w:rPr>
          <w:rFonts w:eastAsiaTheme="minorHAnsi"/>
          <w:lang w:eastAsia="en-US"/>
        </w:rPr>
        <w:t xml:space="preserve"> </w:t>
      </w:r>
      <w:r w:rsidRPr="00BF6F6A">
        <w:rPr>
          <w:rFonts w:eastAsiaTheme="minorHAnsi"/>
          <w:lang w:eastAsia="en-US"/>
        </w:rPr>
        <w:t>assembly of the phenomenon being investigated (Osborn and</w:t>
      </w:r>
      <w:r w:rsidR="001E7F6C" w:rsidRPr="00BF6F6A">
        <w:rPr>
          <w:rFonts w:eastAsiaTheme="minorHAnsi"/>
          <w:lang w:eastAsia="en-US"/>
        </w:rPr>
        <w:t xml:space="preserve"> </w:t>
      </w:r>
      <w:r w:rsidRPr="00BF6F6A">
        <w:rPr>
          <w:rFonts w:eastAsiaTheme="minorHAnsi"/>
          <w:lang w:eastAsia="en-US"/>
        </w:rPr>
        <w:t>Smith, 1998; Smith, 1995). This is conceivable because the small</w:t>
      </w:r>
      <w:r w:rsidR="001E7F6C" w:rsidRPr="00BF6F6A">
        <w:rPr>
          <w:rFonts w:eastAsiaTheme="minorHAnsi"/>
          <w:lang w:eastAsia="en-US"/>
        </w:rPr>
        <w:t xml:space="preserve"> </w:t>
      </w:r>
      <w:r w:rsidRPr="00BF6F6A">
        <w:rPr>
          <w:rFonts w:eastAsiaTheme="minorHAnsi"/>
          <w:lang w:eastAsia="en-US"/>
        </w:rPr>
        <w:t>sample size of most phenomenological studies permits micro-level</w:t>
      </w:r>
      <w:r w:rsidR="001E7F6C" w:rsidRPr="00BF6F6A">
        <w:rPr>
          <w:rFonts w:eastAsiaTheme="minorHAnsi"/>
          <w:lang w:eastAsia="en-US"/>
        </w:rPr>
        <w:t xml:space="preserve"> </w:t>
      </w:r>
      <w:r w:rsidRPr="00BF6F6A">
        <w:rPr>
          <w:rFonts w:eastAsiaTheme="minorHAnsi"/>
          <w:lang w:eastAsia="en-US"/>
        </w:rPr>
        <w:t>reading of participants’</w:t>
      </w:r>
      <w:r w:rsidR="001E7F6C" w:rsidRPr="00BF6F6A">
        <w:rPr>
          <w:rFonts w:eastAsiaTheme="minorHAnsi"/>
          <w:lang w:eastAsia="en-US"/>
        </w:rPr>
        <w:t xml:space="preserve"> </w:t>
      </w:r>
      <w:r w:rsidRPr="00BF6F6A">
        <w:rPr>
          <w:rFonts w:eastAsiaTheme="minorHAnsi"/>
          <w:lang w:eastAsia="en-US"/>
        </w:rPr>
        <w:t>narratives</w:t>
      </w:r>
      <w:r w:rsidR="001E7F6C" w:rsidRPr="00BF6F6A">
        <w:rPr>
          <w:rFonts w:eastAsiaTheme="minorHAnsi"/>
          <w:lang w:eastAsia="en-US"/>
        </w:rPr>
        <w:t xml:space="preserve"> (Booth </w:t>
      </w:r>
      <w:r w:rsidR="001E7F6C" w:rsidRPr="00BF6F6A">
        <w:rPr>
          <w:rFonts w:eastAsiaTheme="minorHAnsi"/>
          <w:i/>
          <w:lang w:eastAsia="en-US"/>
        </w:rPr>
        <w:t>et al</w:t>
      </w:r>
      <w:r w:rsidR="001E7F6C" w:rsidRPr="00BF6F6A">
        <w:rPr>
          <w:rFonts w:eastAsiaTheme="minorHAnsi"/>
          <w:lang w:eastAsia="en-US"/>
        </w:rPr>
        <w:t xml:space="preserve">., </w:t>
      </w:r>
      <w:r w:rsidR="00603A0A" w:rsidRPr="00BF6F6A">
        <w:rPr>
          <w:rFonts w:eastAsiaTheme="minorHAnsi"/>
          <w:lang w:eastAsia="en-US"/>
        </w:rPr>
        <w:t>2023)</w:t>
      </w:r>
      <w:r w:rsidRPr="00BF6F6A">
        <w:rPr>
          <w:rFonts w:eastAsiaTheme="minorHAnsi"/>
          <w:lang w:eastAsia="en-US"/>
        </w:rPr>
        <w:t>.</w:t>
      </w:r>
    </w:p>
    <w:p w14:paraId="678191B7" w14:textId="42F521D5" w:rsidR="001E7F6C" w:rsidRPr="00BF6F6A" w:rsidRDefault="00900975" w:rsidP="00252A44">
      <w:pPr>
        <w:jc w:val="both"/>
        <w:rPr>
          <w:rFonts w:eastAsiaTheme="minorHAnsi"/>
          <w:lang w:eastAsia="en-US"/>
        </w:rPr>
      </w:pPr>
      <w:r>
        <w:rPr>
          <w:rFonts w:eastAsiaTheme="minorHAnsi"/>
          <w:lang w:eastAsia="en-US"/>
        </w:rPr>
        <w:br w:type="column"/>
      </w:r>
    </w:p>
    <w:p w14:paraId="6150A634" w14:textId="379FFA7F" w:rsidR="00BC484D" w:rsidRPr="00BF6F6A" w:rsidRDefault="00603A0A" w:rsidP="00252A44">
      <w:pPr>
        <w:autoSpaceDE w:val="0"/>
        <w:autoSpaceDN w:val="0"/>
        <w:adjustRightInd w:val="0"/>
        <w:jc w:val="both"/>
        <w:rPr>
          <w:rFonts w:eastAsiaTheme="minorHAnsi"/>
          <w:b/>
          <w:color w:val="000000"/>
          <w:lang w:eastAsia="en-US"/>
        </w:rPr>
      </w:pPr>
      <w:r w:rsidRPr="00BF6F6A">
        <w:rPr>
          <w:rFonts w:eastAsiaTheme="minorHAnsi"/>
          <w:b/>
          <w:lang w:eastAsia="en-US"/>
        </w:rPr>
        <w:t xml:space="preserve">Table 2: </w:t>
      </w:r>
      <w:r w:rsidRPr="00BF6F6A">
        <w:rPr>
          <w:rFonts w:eastAsiaTheme="minorHAnsi"/>
          <w:b/>
          <w:color w:val="000000"/>
          <w:lang w:eastAsia="en-US"/>
        </w:rPr>
        <w:t>Description of the stepwise process used to analyse the participant interview narratives (based on Smith (1995) and Osborn and Smith (1998))</w:t>
      </w:r>
    </w:p>
    <w:p w14:paraId="0F59A9B7" w14:textId="77777777" w:rsidR="00603A0A" w:rsidRPr="00BF6F6A" w:rsidRDefault="00603A0A" w:rsidP="00252A44">
      <w:pPr>
        <w:autoSpaceDE w:val="0"/>
        <w:autoSpaceDN w:val="0"/>
        <w:adjustRightInd w:val="0"/>
        <w:rPr>
          <w:b/>
          <w:bCs/>
          <w:i/>
          <w:iCs/>
          <w:shd w:val="clear" w:color="auto" w:fill="FFFFFF"/>
        </w:rPr>
      </w:pPr>
    </w:p>
    <w:tbl>
      <w:tblPr>
        <w:tblStyle w:val="TableGrid"/>
        <w:tblW w:w="0" w:type="auto"/>
        <w:tblLook w:val="04A0" w:firstRow="1" w:lastRow="0" w:firstColumn="1" w:lastColumn="0" w:noHBand="0" w:noVBand="1"/>
      </w:tblPr>
      <w:tblGrid>
        <w:gridCol w:w="704"/>
        <w:gridCol w:w="7791"/>
      </w:tblGrid>
      <w:tr w:rsidR="001E7F6C" w:rsidRPr="00BF6F6A" w14:paraId="1410AFBE" w14:textId="77777777" w:rsidTr="00252A44">
        <w:tc>
          <w:tcPr>
            <w:tcW w:w="704" w:type="dxa"/>
          </w:tcPr>
          <w:p w14:paraId="0EABAAE6" w14:textId="280D2A0F" w:rsidR="001E7F6C" w:rsidRPr="00BF6F6A" w:rsidRDefault="001E7F6C" w:rsidP="001E7F6C">
            <w:pPr>
              <w:jc w:val="both"/>
              <w:rPr>
                <w:b/>
                <w:bCs/>
                <w:iCs/>
                <w:sz w:val="20"/>
                <w:szCs w:val="20"/>
                <w:shd w:val="clear" w:color="auto" w:fill="FFFFFF"/>
              </w:rPr>
            </w:pPr>
            <w:r w:rsidRPr="00BF6F6A">
              <w:rPr>
                <w:b/>
                <w:bCs/>
                <w:iCs/>
                <w:sz w:val="20"/>
                <w:szCs w:val="20"/>
                <w:shd w:val="clear" w:color="auto" w:fill="FFFFFF"/>
              </w:rPr>
              <w:t>Step</w:t>
            </w:r>
          </w:p>
        </w:tc>
        <w:tc>
          <w:tcPr>
            <w:tcW w:w="7791" w:type="dxa"/>
          </w:tcPr>
          <w:p w14:paraId="6AC7F50C" w14:textId="65FD7D11" w:rsidR="001E7F6C" w:rsidRPr="00BF6F6A" w:rsidRDefault="001E7F6C" w:rsidP="001E7F6C">
            <w:pPr>
              <w:jc w:val="both"/>
              <w:rPr>
                <w:b/>
                <w:bCs/>
                <w:iCs/>
                <w:sz w:val="20"/>
                <w:szCs w:val="20"/>
                <w:shd w:val="clear" w:color="auto" w:fill="FFFFFF"/>
              </w:rPr>
            </w:pPr>
            <w:r w:rsidRPr="00BF6F6A">
              <w:rPr>
                <w:b/>
                <w:bCs/>
                <w:iCs/>
                <w:sz w:val="20"/>
                <w:szCs w:val="20"/>
                <w:shd w:val="clear" w:color="auto" w:fill="FFFFFF"/>
              </w:rPr>
              <w:t>Description</w:t>
            </w:r>
          </w:p>
        </w:tc>
      </w:tr>
      <w:tr w:rsidR="001E7F6C" w:rsidRPr="00BF6F6A" w14:paraId="566B789A" w14:textId="77777777" w:rsidTr="00252A44">
        <w:tc>
          <w:tcPr>
            <w:tcW w:w="704" w:type="dxa"/>
          </w:tcPr>
          <w:p w14:paraId="5F32D288" w14:textId="1C135273" w:rsidR="001E7F6C" w:rsidRPr="004F7B84" w:rsidRDefault="001E7F6C" w:rsidP="001E7F6C">
            <w:pPr>
              <w:jc w:val="both"/>
              <w:rPr>
                <w:iCs/>
                <w:sz w:val="20"/>
                <w:szCs w:val="20"/>
                <w:shd w:val="clear" w:color="auto" w:fill="FFFFFF"/>
              </w:rPr>
            </w:pPr>
            <w:r w:rsidRPr="004F7B84">
              <w:rPr>
                <w:iCs/>
                <w:sz w:val="20"/>
                <w:szCs w:val="20"/>
                <w:shd w:val="clear" w:color="auto" w:fill="FFFFFF"/>
              </w:rPr>
              <w:t>1</w:t>
            </w:r>
          </w:p>
        </w:tc>
        <w:tc>
          <w:tcPr>
            <w:tcW w:w="7791" w:type="dxa"/>
          </w:tcPr>
          <w:p w14:paraId="3BC38253" w14:textId="2AE59144" w:rsidR="001E7F6C" w:rsidRPr="004F7B84" w:rsidRDefault="001E7F6C" w:rsidP="001E7F6C">
            <w:pPr>
              <w:jc w:val="both"/>
              <w:rPr>
                <w:i/>
                <w:iCs/>
                <w:sz w:val="20"/>
                <w:szCs w:val="20"/>
                <w:shd w:val="clear" w:color="auto" w:fill="FFFFFF"/>
              </w:rPr>
            </w:pPr>
            <w:r w:rsidRPr="00143550">
              <w:rPr>
                <w:rFonts w:eastAsiaTheme="minorHAnsi"/>
                <w:sz w:val="20"/>
                <w:szCs w:val="20"/>
                <w:lang w:eastAsia="en-US"/>
              </w:rPr>
              <w:t>Interview transcripts were read, and reread several times, to ensure that a general sense was obtained of the whole nature of participants’ narratives.</w:t>
            </w:r>
          </w:p>
        </w:tc>
      </w:tr>
      <w:tr w:rsidR="001E7F6C" w:rsidRPr="00BF6F6A" w14:paraId="426FA0D1" w14:textId="77777777" w:rsidTr="00252A44">
        <w:tc>
          <w:tcPr>
            <w:tcW w:w="704" w:type="dxa"/>
          </w:tcPr>
          <w:p w14:paraId="73FE8C9A" w14:textId="2C4EC6D1" w:rsidR="001E7F6C" w:rsidRPr="004F7B84" w:rsidRDefault="001E7F6C" w:rsidP="001E7F6C">
            <w:pPr>
              <w:jc w:val="both"/>
              <w:rPr>
                <w:iCs/>
                <w:sz w:val="20"/>
                <w:szCs w:val="20"/>
                <w:shd w:val="clear" w:color="auto" w:fill="FFFFFF"/>
              </w:rPr>
            </w:pPr>
            <w:r w:rsidRPr="004F7B84">
              <w:rPr>
                <w:iCs/>
                <w:sz w:val="20"/>
                <w:szCs w:val="20"/>
                <w:shd w:val="clear" w:color="auto" w:fill="FFFFFF"/>
              </w:rPr>
              <w:t>2</w:t>
            </w:r>
          </w:p>
        </w:tc>
        <w:tc>
          <w:tcPr>
            <w:tcW w:w="7791" w:type="dxa"/>
          </w:tcPr>
          <w:p w14:paraId="0764D5ED" w14:textId="35E3B135" w:rsidR="001E7F6C" w:rsidRPr="004F7B84" w:rsidRDefault="001E7F6C" w:rsidP="001E7F6C">
            <w:pPr>
              <w:jc w:val="both"/>
              <w:rPr>
                <w:i/>
                <w:iCs/>
                <w:sz w:val="20"/>
                <w:szCs w:val="20"/>
                <w:shd w:val="clear" w:color="auto" w:fill="FFFFFF"/>
              </w:rPr>
            </w:pPr>
            <w:r w:rsidRPr="00143550">
              <w:rPr>
                <w:rFonts w:eastAsiaTheme="minorHAnsi"/>
                <w:sz w:val="20"/>
                <w:szCs w:val="20"/>
                <w:lang w:eastAsia="en-US"/>
              </w:rPr>
              <w:t>Returning to the beginning, the transcripts were reread, and any emerging themes identified and organised tentatively.</w:t>
            </w:r>
          </w:p>
        </w:tc>
      </w:tr>
      <w:tr w:rsidR="001E7F6C" w:rsidRPr="00BF6F6A" w14:paraId="618184C6" w14:textId="77777777" w:rsidTr="00252A44">
        <w:tc>
          <w:tcPr>
            <w:tcW w:w="704" w:type="dxa"/>
          </w:tcPr>
          <w:p w14:paraId="4F7942D9" w14:textId="652E0CE0" w:rsidR="001E7F6C" w:rsidRPr="004F7B84" w:rsidRDefault="001E7F6C" w:rsidP="001E7F6C">
            <w:pPr>
              <w:jc w:val="both"/>
              <w:rPr>
                <w:iCs/>
                <w:sz w:val="20"/>
                <w:szCs w:val="20"/>
                <w:shd w:val="clear" w:color="auto" w:fill="FFFFFF"/>
              </w:rPr>
            </w:pPr>
            <w:r w:rsidRPr="004F7B84">
              <w:rPr>
                <w:iCs/>
                <w:sz w:val="20"/>
                <w:szCs w:val="20"/>
                <w:shd w:val="clear" w:color="auto" w:fill="FFFFFF"/>
              </w:rPr>
              <w:t>3</w:t>
            </w:r>
          </w:p>
        </w:tc>
        <w:tc>
          <w:tcPr>
            <w:tcW w:w="7791" w:type="dxa"/>
          </w:tcPr>
          <w:p w14:paraId="7A065F43" w14:textId="7C39902B" w:rsidR="001E7F6C" w:rsidRPr="004F7B84" w:rsidRDefault="001E7F6C" w:rsidP="001E7F6C">
            <w:pPr>
              <w:jc w:val="both"/>
              <w:rPr>
                <w:i/>
                <w:iCs/>
                <w:sz w:val="20"/>
                <w:szCs w:val="20"/>
                <w:shd w:val="clear" w:color="auto" w:fill="FFFFFF"/>
              </w:rPr>
            </w:pPr>
            <w:r w:rsidRPr="00143550">
              <w:rPr>
                <w:rFonts w:eastAsiaTheme="minorHAnsi"/>
                <w:sz w:val="20"/>
                <w:szCs w:val="20"/>
                <w:lang w:eastAsia="en-US"/>
              </w:rPr>
              <w:t>Attention was then focused on the themes themselves to group and define them in more detail and establish their interrelationships.</w:t>
            </w:r>
          </w:p>
        </w:tc>
      </w:tr>
      <w:tr w:rsidR="001E7F6C" w:rsidRPr="00BF6F6A" w14:paraId="7C86C35F" w14:textId="77777777" w:rsidTr="00252A44">
        <w:tc>
          <w:tcPr>
            <w:tcW w:w="704" w:type="dxa"/>
          </w:tcPr>
          <w:p w14:paraId="40CF8E73" w14:textId="32B0DC1F" w:rsidR="001E7F6C" w:rsidRPr="004F7B84" w:rsidRDefault="001E7F6C" w:rsidP="001E7F6C">
            <w:pPr>
              <w:jc w:val="both"/>
              <w:rPr>
                <w:iCs/>
                <w:sz w:val="20"/>
                <w:szCs w:val="20"/>
                <w:shd w:val="clear" w:color="auto" w:fill="FFFFFF"/>
              </w:rPr>
            </w:pPr>
            <w:r w:rsidRPr="004F7B84">
              <w:rPr>
                <w:iCs/>
                <w:sz w:val="20"/>
                <w:szCs w:val="20"/>
                <w:shd w:val="clear" w:color="auto" w:fill="FFFFFF"/>
              </w:rPr>
              <w:t>4</w:t>
            </w:r>
          </w:p>
        </w:tc>
        <w:tc>
          <w:tcPr>
            <w:tcW w:w="7791" w:type="dxa"/>
          </w:tcPr>
          <w:p w14:paraId="7598A88B" w14:textId="4C9B8C5D" w:rsidR="001E7F6C" w:rsidRPr="004F7B84" w:rsidRDefault="001E7F6C" w:rsidP="001E7F6C">
            <w:pPr>
              <w:jc w:val="both"/>
              <w:rPr>
                <w:i/>
                <w:iCs/>
                <w:sz w:val="20"/>
                <w:szCs w:val="20"/>
                <w:shd w:val="clear" w:color="auto" w:fill="FFFFFF"/>
              </w:rPr>
            </w:pPr>
            <w:r w:rsidRPr="00143550">
              <w:rPr>
                <w:rFonts w:eastAsiaTheme="minorHAnsi"/>
                <w:sz w:val="20"/>
                <w:szCs w:val="20"/>
                <w:lang w:eastAsia="en-US"/>
              </w:rPr>
              <w:t>The shared themes were then organised to formulate consistent and meaningful statements, which contribute to an account of the meaning and essence of the participants’ experience grounded in their own words.</w:t>
            </w:r>
          </w:p>
        </w:tc>
      </w:tr>
      <w:tr w:rsidR="001E7F6C" w:rsidRPr="00BF6F6A" w14:paraId="004BC854" w14:textId="77777777" w:rsidTr="00252A44">
        <w:tc>
          <w:tcPr>
            <w:tcW w:w="704" w:type="dxa"/>
          </w:tcPr>
          <w:p w14:paraId="5901FC7C" w14:textId="45F95692" w:rsidR="001E7F6C" w:rsidRPr="004F7B84" w:rsidRDefault="001E7F6C" w:rsidP="001E7F6C">
            <w:pPr>
              <w:jc w:val="both"/>
              <w:rPr>
                <w:iCs/>
                <w:sz w:val="20"/>
                <w:szCs w:val="20"/>
                <w:shd w:val="clear" w:color="auto" w:fill="FFFFFF"/>
              </w:rPr>
            </w:pPr>
            <w:r w:rsidRPr="004F7B84">
              <w:rPr>
                <w:iCs/>
                <w:sz w:val="20"/>
                <w:szCs w:val="20"/>
                <w:shd w:val="clear" w:color="auto" w:fill="FFFFFF"/>
              </w:rPr>
              <w:t>5</w:t>
            </w:r>
          </w:p>
        </w:tc>
        <w:tc>
          <w:tcPr>
            <w:tcW w:w="7791" w:type="dxa"/>
          </w:tcPr>
          <w:p w14:paraId="3C400D52" w14:textId="5FFBC83B" w:rsidR="001E7F6C" w:rsidRPr="004F7B84" w:rsidRDefault="001E7F6C" w:rsidP="001E7F6C">
            <w:pPr>
              <w:jc w:val="both"/>
              <w:rPr>
                <w:i/>
                <w:iCs/>
                <w:sz w:val="20"/>
                <w:szCs w:val="20"/>
                <w:shd w:val="clear" w:color="auto" w:fill="FFFFFF"/>
              </w:rPr>
            </w:pPr>
            <w:r w:rsidRPr="00143550">
              <w:rPr>
                <w:rFonts w:eastAsiaTheme="minorHAnsi"/>
                <w:sz w:val="20"/>
                <w:szCs w:val="20"/>
                <w:lang w:eastAsia="en-US"/>
              </w:rPr>
              <w:t>The superordinate themes and statements were then referred back to the original transcripts to verify their occurrence.</w:t>
            </w:r>
          </w:p>
        </w:tc>
      </w:tr>
    </w:tbl>
    <w:p w14:paraId="026790A6" w14:textId="77777777" w:rsidR="001E7F6C" w:rsidRPr="00BF6F6A" w:rsidRDefault="001E7F6C" w:rsidP="001E7F6C">
      <w:pPr>
        <w:jc w:val="both"/>
        <w:rPr>
          <w:b/>
          <w:bCs/>
          <w:i/>
          <w:iCs/>
          <w:shd w:val="clear" w:color="auto" w:fill="FFFFFF"/>
        </w:rPr>
      </w:pPr>
    </w:p>
    <w:p w14:paraId="34B533AC" w14:textId="79ADFFC8" w:rsidR="001E7F6C" w:rsidRPr="00BF6F6A" w:rsidRDefault="00BC484D" w:rsidP="00252A44">
      <w:pPr>
        <w:autoSpaceDE w:val="0"/>
        <w:autoSpaceDN w:val="0"/>
        <w:adjustRightInd w:val="0"/>
        <w:jc w:val="both"/>
        <w:rPr>
          <w:rFonts w:eastAsiaTheme="minorHAnsi"/>
          <w:lang w:eastAsia="en-US"/>
        </w:rPr>
      </w:pPr>
      <w:r w:rsidRPr="00BF6F6A">
        <w:rPr>
          <w:rFonts w:eastAsiaTheme="minorHAnsi"/>
          <w:lang w:eastAsia="en-US"/>
        </w:rPr>
        <w:t>The researchers involved in the study set aside their own preunderstandings</w:t>
      </w:r>
      <w:r w:rsidR="001E7F6C" w:rsidRPr="00BF6F6A">
        <w:rPr>
          <w:rFonts w:eastAsiaTheme="minorHAnsi"/>
          <w:lang w:eastAsia="en-US"/>
        </w:rPr>
        <w:t xml:space="preserve"> </w:t>
      </w:r>
      <w:r w:rsidR="00E36F51" w:rsidRPr="00BF6F6A">
        <w:rPr>
          <w:rFonts w:eastAsiaTheme="minorHAnsi"/>
          <w:lang w:eastAsia="en-US"/>
        </w:rPr>
        <w:t>to</w:t>
      </w:r>
      <w:r w:rsidRPr="00BF6F6A">
        <w:rPr>
          <w:rFonts w:eastAsiaTheme="minorHAnsi"/>
          <w:lang w:eastAsia="en-US"/>
        </w:rPr>
        <w:t xml:space="preserve"> accord with the </w:t>
      </w:r>
      <w:r w:rsidR="001E7F6C" w:rsidRPr="00BF6F6A">
        <w:rPr>
          <w:rFonts w:eastAsiaTheme="minorHAnsi"/>
          <w:lang w:eastAsia="en-US"/>
        </w:rPr>
        <w:t>p</w:t>
      </w:r>
      <w:r w:rsidRPr="00BF6F6A">
        <w:rPr>
          <w:rFonts w:eastAsiaTheme="minorHAnsi"/>
          <w:lang w:eastAsia="en-US"/>
        </w:rPr>
        <w:t>henomenological principle</w:t>
      </w:r>
      <w:r w:rsidR="001E7F6C" w:rsidRPr="00BF6F6A">
        <w:rPr>
          <w:rFonts w:eastAsiaTheme="minorHAnsi"/>
          <w:lang w:eastAsia="en-US"/>
        </w:rPr>
        <w:t xml:space="preserve"> </w:t>
      </w:r>
      <w:r w:rsidRPr="00BF6F6A">
        <w:rPr>
          <w:rFonts w:eastAsiaTheme="minorHAnsi"/>
          <w:lang w:eastAsia="en-US"/>
        </w:rPr>
        <w:t xml:space="preserve">of </w:t>
      </w:r>
      <w:r w:rsidRPr="004F7B84">
        <w:rPr>
          <w:rFonts w:eastAsiaTheme="minorHAnsi"/>
          <w:i/>
          <w:iCs/>
          <w:lang w:eastAsia="en-US"/>
        </w:rPr>
        <w:t>epoche</w:t>
      </w:r>
      <w:r w:rsidRPr="00BF6F6A">
        <w:rPr>
          <w:rFonts w:eastAsiaTheme="minorHAnsi"/>
          <w:lang w:eastAsia="en-US"/>
        </w:rPr>
        <w:t xml:space="preserve"> (or bracketing), which attempts to circumvent any</w:t>
      </w:r>
      <w:r w:rsidR="001E7F6C" w:rsidRPr="00BF6F6A">
        <w:rPr>
          <w:rFonts w:eastAsiaTheme="minorHAnsi"/>
          <w:lang w:eastAsia="en-US"/>
        </w:rPr>
        <w:t xml:space="preserve"> preconceptions or expectations to facilitate the phenomenon of the study objectively. As none of the researchers involved in the study ha</w:t>
      </w:r>
      <w:r w:rsidR="00603A0A" w:rsidRPr="00BF6F6A">
        <w:rPr>
          <w:rFonts w:eastAsiaTheme="minorHAnsi"/>
          <w:lang w:eastAsia="en-US"/>
        </w:rPr>
        <w:t>d</w:t>
      </w:r>
      <w:r w:rsidR="001E7F6C" w:rsidRPr="00BF6F6A">
        <w:rPr>
          <w:rFonts w:eastAsiaTheme="minorHAnsi"/>
          <w:lang w:eastAsia="en-US"/>
        </w:rPr>
        <w:t xml:space="preserve"> been involved in the </w:t>
      </w:r>
      <w:r w:rsidR="00603A0A" w:rsidRPr="00BF6F6A">
        <w:rPr>
          <w:rFonts w:eastAsiaTheme="minorHAnsi"/>
          <w:lang w:eastAsia="en-US"/>
        </w:rPr>
        <w:t>creation</w:t>
      </w:r>
      <w:r w:rsidR="001E7F6C" w:rsidRPr="00BF6F6A">
        <w:rPr>
          <w:rFonts w:eastAsiaTheme="minorHAnsi"/>
          <w:lang w:eastAsia="en-US"/>
        </w:rPr>
        <w:t xml:space="preserve"> or </w:t>
      </w:r>
      <w:r w:rsidR="00603A0A" w:rsidRPr="00BF6F6A">
        <w:rPr>
          <w:rFonts w:eastAsiaTheme="minorHAnsi"/>
          <w:lang w:eastAsia="en-US"/>
        </w:rPr>
        <w:t xml:space="preserve">in </w:t>
      </w:r>
      <w:r w:rsidR="001E7F6C" w:rsidRPr="00BF6F6A">
        <w:rPr>
          <w:rFonts w:eastAsiaTheme="minorHAnsi"/>
          <w:lang w:eastAsia="en-US"/>
        </w:rPr>
        <w:t>the use of GRESB</w:t>
      </w:r>
      <w:r w:rsidR="00121F44">
        <w:rPr>
          <w:rFonts w:eastAsiaTheme="minorHAnsi"/>
          <w:lang w:eastAsia="en-US"/>
        </w:rPr>
        <w:t>,</w:t>
      </w:r>
      <w:r w:rsidR="001E7F6C" w:rsidRPr="00BF6F6A">
        <w:rPr>
          <w:rFonts w:eastAsiaTheme="minorHAnsi"/>
          <w:lang w:eastAsia="en-US"/>
        </w:rPr>
        <w:t xml:space="preserve"> the researchers’ own values should not threaten the interpretations reported.</w:t>
      </w:r>
    </w:p>
    <w:p w14:paraId="1C3ABCD9" w14:textId="77777777" w:rsidR="001E7F6C" w:rsidRPr="00BF6F6A" w:rsidRDefault="001E7F6C" w:rsidP="001E7F6C">
      <w:pPr>
        <w:jc w:val="both"/>
      </w:pPr>
    </w:p>
    <w:p w14:paraId="146BA25B" w14:textId="77777777" w:rsidR="001E7F6C" w:rsidRPr="00BF6F6A" w:rsidRDefault="001E7F6C" w:rsidP="001E7F6C">
      <w:pPr>
        <w:pStyle w:val="Heading2"/>
        <w:numPr>
          <w:ilvl w:val="1"/>
          <w:numId w:val="53"/>
        </w:numPr>
        <w:spacing w:before="0" w:after="0"/>
        <w:rPr>
          <w:rFonts w:eastAsia="Calibri" w:cs="Times New Roman"/>
          <w:b w:val="0"/>
          <w:sz w:val="29"/>
          <w:szCs w:val="22"/>
        </w:rPr>
      </w:pPr>
      <w:r w:rsidRPr="00BF6F6A">
        <w:rPr>
          <w:rFonts w:eastAsia="Calibri" w:cs="Times New Roman"/>
          <w:b w:val="0"/>
          <w:sz w:val="29"/>
          <w:szCs w:val="22"/>
        </w:rPr>
        <w:t>Ethical considerations and data management</w:t>
      </w:r>
    </w:p>
    <w:p w14:paraId="00404884" w14:textId="233A944B" w:rsidR="001E7F6C" w:rsidRPr="00BF6F6A" w:rsidRDefault="001E7F6C" w:rsidP="001E7F6C">
      <w:pPr>
        <w:jc w:val="both"/>
        <w:rPr>
          <w:shd w:val="clear" w:color="auto" w:fill="FFFFFF"/>
        </w:rPr>
      </w:pPr>
      <w:r w:rsidRPr="00BF6F6A">
        <w:rPr>
          <w:color w:val="000000"/>
        </w:rPr>
        <w:t>The study is compliant with the expectations of university research ethics regulations in the UK (Universities UK, 2019). Ethical approval was sought before the interviews were conducted; whereby, p</w:t>
      </w:r>
      <w:r w:rsidRPr="00BF6F6A">
        <w:rPr>
          <w:shd w:val="clear" w:color="auto" w:fill="FFFFFF"/>
        </w:rPr>
        <w:t xml:space="preserve">rior to the interviews, participants were e-mailed a cover letter, a participant information sheet detailing the research design and interview process; a privacy notice explaining how data is collected and managed prior, during and after participation; and a consent form. </w:t>
      </w:r>
      <w:r w:rsidRPr="00BF6F6A">
        <w:t>Participation was voluntary with an option to withdraw from research within a ‘cooling-off’ period of two weeks after the interview took place. All</w:t>
      </w:r>
      <w:r w:rsidRPr="00BF6F6A">
        <w:rPr>
          <w:shd w:val="clear" w:color="auto" w:fill="FFFFFF"/>
        </w:rPr>
        <w:t xml:space="preserve"> interviews were recorded, </w:t>
      </w:r>
      <w:r w:rsidR="00E36F51" w:rsidRPr="00BF6F6A">
        <w:rPr>
          <w:shd w:val="clear" w:color="auto" w:fill="FFFFFF"/>
        </w:rPr>
        <w:t>transcribed,</w:t>
      </w:r>
      <w:r w:rsidRPr="00BF6F6A">
        <w:rPr>
          <w:shd w:val="clear" w:color="auto" w:fill="FFFFFF"/>
        </w:rPr>
        <w:t xml:space="preserve"> and subsequently anonymised.</w:t>
      </w:r>
    </w:p>
    <w:p w14:paraId="2251190D" w14:textId="77777777" w:rsidR="001E7F6C" w:rsidRPr="00BF6F6A" w:rsidRDefault="001E7F6C" w:rsidP="00252A44">
      <w:pPr>
        <w:autoSpaceDE w:val="0"/>
        <w:autoSpaceDN w:val="0"/>
        <w:adjustRightInd w:val="0"/>
        <w:rPr>
          <w:b/>
          <w:bCs/>
          <w:i/>
          <w:iCs/>
          <w:shd w:val="clear" w:color="auto" w:fill="FFFFFF"/>
        </w:rPr>
      </w:pPr>
    </w:p>
    <w:p w14:paraId="519F2126" w14:textId="22191083" w:rsidR="00726271" w:rsidRPr="00BF6F6A" w:rsidRDefault="003B4F8D" w:rsidP="003B4F8D">
      <w:pPr>
        <w:pStyle w:val="Heading1"/>
        <w:tabs>
          <w:tab w:val="center" w:pos="1451"/>
        </w:tabs>
        <w:spacing w:before="0" w:after="0"/>
        <w:ind w:left="-15"/>
        <w:rPr>
          <w:rFonts w:eastAsia="Calibri" w:cs="Times New Roman"/>
          <w:b w:val="0"/>
          <w:sz w:val="34"/>
          <w:szCs w:val="22"/>
          <w:u w:val="none"/>
        </w:rPr>
      </w:pPr>
      <w:r w:rsidRPr="00BF6F6A">
        <w:rPr>
          <w:rFonts w:eastAsia="Calibri" w:cs="Times New Roman"/>
          <w:b w:val="0"/>
          <w:sz w:val="34"/>
          <w:szCs w:val="22"/>
          <w:u w:val="none"/>
        </w:rPr>
        <w:t xml:space="preserve">4. </w:t>
      </w:r>
      <w:r w:rsidR="00726271" w:rsidRPr="00BF6F6A">
        <w:rPr>
          <w:rFonts w:eastAsia="Calibri" w:cs="Times New Roman"/>
          <w:b w:val="0"/>
          <w:sz w:val="34"/>
          <w:szCs w:val="22"/>
          <w:u w:val="none"/>
        </w:rPr>
        <w:t xml:space="preserve">Results </w:t>
      </w:r>
      <w:r w:rsidR="007F607F" w:rsidRPr="00BF6F6A">
        <w:rPr>
          <w:rFonts w:eastAsia="Calibri" w:cs="Times New Roman"/>
          <w:b w:val="0"/>
          <w:sz w:val="34"/>
          <w:szCs w:val="22"/>
          <w:u w:val="none"/>
        </w:rPr>
        <w:t>and Discussion</w:t>
      </w:r>
    </w:p>
    <w:p w14:paraId="5A534B02" w14:textId="1957C5CF" w:rsidR="005524F7" w:rsidRPr="00BF6F6A" w:rsidRDefault="005524F7" w:rsidP="003B4F8D">
      <w:pPr>
        <w:autoSpaceDE w:val="0"/>
        <w:autoSpaceDN w:val="0"/>
        <w:adjustRightInd w:val="0"/>
        <w:jc w:val="both"/>
        <w:rPr>
          <w:rFonts w:eastAsiaTheme="minorHAnsi"/>
          <w:lang w:eastAsia="en-US"/>
        </w:rPr>
      </w:pPr>
      <w:r w:rsidRPr="00BF6F6A">
        <w:rPr>
          <w:rFonts w:eastAsiaTheme="minorHAnsi"/>
          <w:lang w:eastAsia="en-US"/>
        </w:rPr>
        <w:t>Using the themes and sub-themes generated by the analysis, along with selected verbatim quotes (</w:t>
      </w:r>
      <w:r w:rsidR="003B4F8D" w:rsidRPr="00BF6F6A">
        <w:rPr>
          <w:rFonts w:eastAsiaTheme="minorHAnsi"/>
          <w:lang w:eastAsia="en-US"/>
        </w:rPr>
        <w:t xml:space="preserve">edited for ease of reading with edits indicated </w:t>
      </w:r>
      <w:r w:rsidRPr="00BF6F6A">
        <w:rPr>
          <w:rFonts w:eastAsiaTheme="minorHAnsi"/>
          <w:lang w:eastAsia="en-US"/>
        </w:rPr>
        <w:t xml:space="preserve">in </w:t>
      </w:r>
      <w:r w:rsidR="003B4F8D" w:rsidRPr="00BF6F6A">
        <w:rPr>
          <w:rFonts w:eastAsiaTheme="minorHAnsi"/>
          <w:lang w:eastAsia="en-US"/>
        </w:rPr>
        <w:t xml:space="preserve">square </w:t>
      </w:r>
      <w:r w:rsidRPr="00BF6F6A">
        <w:rPr>
          <w:rFonts w:eastAsiaTheme="minorHAnsi"/>
          <w:lang w:eastAsia="en-US"/>
        </w:rPr>
        <w:t>brackets), the findings of the study are presented below under two main section headings: (a) Participant demographics and backgrounds; and (b) Identified themes. To protect the anonymity of the participants, no personal information about the participants has been directly attributed to any of the direct comments included.</w:t>
      </w:r>
    </w:p>
    <w:p w14:paraId="5D9E92E0" w14:textId="77777777" w:rsidR="005524F7" w:rsidRPr="00BF6F6A" w:rsidRDefault="005524F7" w:rsidP="003B4F8D">
      <w:pPr>
        <w:autoSpaceDE w:val="0"/>
        <w:autoSpaceDN w:val="0"/>
        <w:adjustRightInd w:val="0"/>
        <w:jc w:val="both"/>
        <w:rPr>
          <w:rFonts w:eastAsia="Calibri"/>
          <w:b/>
        </w:rPr>
      </w:pPr>
    </w:p>
    <w:p w14:paraId="2C42B8DB" w14:textId="2F7264C9" w:rsidR="000A4EE0" w:rsidRPr="00BF6F6A" w:rsidRDefault="003B4F8D" w:rsidP="003B4F8D">
      <w:pPr>
        <w:pStyle w:val="Heading2"/>
        <w:spacing w:before="0" w:after="0"/>
        <w:rPr>
          <w:rFonts w:eastAsia="Calibri" w:cs="Times New Roman"/>
          <w:b w:val="0"/>
          <w:sz w:val="29"/>
          <w:szCs w:val="22"/>
        </w:rPr>
      </w:pPr>
      <w:bookmarkStart w:id="20" w:name="_Toc99882239"/>
      <w:r w:rsidRPr="00BF6F6A">
        <w:rPr>
          <w:rFonts w:eastAsia="Calibri" w:cs="Times New Roman"/>
          <w:b w:val="0"/>
          <w:sz w:val="29"/>
          <w:szCs w:val="22"/>
        </w:rPr>
        <w:t xml:space="preserve">4.1 </w:t>
      </w:r>
      <w:r w:rsidR="000A4EE0" w:rsidRPr="00BF6F6A">
        <w:rPr>
          <w:rFonts w:eastAsia="Calibri" w:cs="Times New Roman"/>
          <w:b w:val="0"/>
          <w:sz w:val="29"/>
          <w:szCs w:val="22"/>
        </w:rPr>
        <w:t xml:space="preserve">Participant </w:t>
      </w:r>
      <w:r w:rsidR="005524F7" w:rsidRPr="00BF6F6A">
        <w:rPr>
          <w:rFonts w:eastAsia="Calibri" w:cs="Times New Roman"/>
          <w:b w:val="0"/>
          <w:sz w:val="29"/>
          <w:szCs w:val="22"/>
        </w:rPr>
        <w:t>demographics and backgrounds</w:t>
      </w:r>
      <w:bookmarkEnd w:id="20"/>
    </w:p>
    <w:p w14:paraId="3EE533BC" w14:textId="73005408" w:rsidR="005A09F0" w:rsidRPr="00BF6F6A" w:rsidRDefault="008922FF" w:rsidP="003B4F8D">
      <w:pPr>
        <w:autoSpaceDE w:val="0"/>
        <w:autoSpaceDN w:val="0"/>
        <w:adjustRightInd w:val="0"/>
        <w:jc w:val="both"/>
        <w:rPr>
          <w:shd w:val="clear" w:color="auto" w:fill="FFFFFF"/>
        </w:rPr>
      </w:pPr>
      <w:r w:rsidRPr="00BF6F6A">
        <w:rPr>
          <w:shd w:val="clear" w:color="auto" w:fill="FFFFFF"/>
        </w:rPr>
        <w:t>S</w:t>
      </w:r>
      <w:r w:rsidR="00ED6C57" w:rsidRPr="00BF6F6A">
        <w:rPr>
          <w:shd w:val="clear" w:color="auto" w:fill="FFFFFF"/>
        </w:rPr>
        <w:t>even</w:t>
      </w:r>
      <w:r w:rsidR="008F5D88" w:rsidRPr="00BF6F6A">
        <w:rPr>
          <w:shd w:val="clear" w:color="auto" w:fill="FFFFFF"/>
        </w:rPr>
        <w:t xml:space="preserve"> participants </w:t>
      </w:r>
      <w:r w:rsidR="00224B82" w:rsidRPr="00BF6F6A">
        <w:rPr>
          <w:shd w:val="clear" w:color="auto" w:fill="FFFFFF"/>
        </w:rPr>
        <w:t xml:space="preserve">from </w:t>
      </w:r>
      <w:r w:rsidRPr="00BF6F6A">
        <w:rPr>
          <w:shd w:val="clear" w:color="auto" w:fill="FFFFFF"/>
        </w:rPr>
        <w:t>real estate</w:t>
      </w:r>
      <w:r w:rsidR="001465FB" w:rsidRPr="00BF6F6A">
        <w:rPr>
          <w:shd w:val="clear" w:color="auto" w:fill="FFFFFF"/>
        </w:rPr>
        <w:t xml:space="preserve"> companies </w:t>
      </w:r>
      <w:r w:rsidR="00420ACC" w:rsidRPr="00BF6F6A">
        <w:rPr>
          <w:shd w:val="clear" w:color="auto" w:fill="FFFFFF"/>
        </w:rPr>
        <w:t>located across different</w:t>
      </w:r>
      <w:r w:rsidR="00224B82" w:rsidRPr="00BF6F6A">
        <w:rPr>
          <w:shd w:val="clear" w:color="auto" w:fill="FFFFFF"/>
        </w:rPr>
        <w:t xml:space="preserve"> European nations, and beyond,</w:t>
      </w:r>
      <w:r w:rsidR="006B4B5B" w:rsidRPr="00BF6F6A">
        <w:rPr>
          <w:shd w:val="clear" w:color="auto" w:fill="FFFFFF"/>
        </w:rPr>
        <w:t xml:space="preserve"> took part in the study. </w:t>
      </w:r>
      <w:r w:rsidR="00CA3B1A" w:rsidRPr="00BF6F6A">
        <w:rPr>
          <w:rFonts w:eastAsiaTheme="minorHAnsi"/>
          <w:lang w:eastAsia="en-US"/>
        </w:rPr>
        <w:t xml:space="preserve">This number, which may seem small, aligns with what is expected of a phenomenological study </w:t>
      </w:r>
      <w:r w:rsidR="00D3503E" w:rsidRPr="00BF6F6A">
        <w:rPr>
          <w:rFonts w:eastAsiaTheme="minorHAnsi"/>
          <w:lang w:eastAsia="en-US"/>
        </w:rPr>
        <w:t>(</w:t>
      </w:r>
      <w:r w:rsidR="00420ACC" w:rsidRPr="00BF6F6A">
        <w:rPr>
          <w:rFonts w:eastAsiaTheme="minorHAnsi"/>
          <w:lang w:eastAsia="en-US"/>
        </w:rPr>
        <w:t xml:space="preserve">i.e. </w:t>
      </w:r>
      <w:r w:rsidR="00CA3B1A" w:rsidRPr="00BF6F6A">
        <w:rPr>
          <w:rFonts w:eastAsiaTheme="minorHAnsi"/>
          <w:lang w:eastAsia="en-US"/>
        </w:rPr>
        <w:t>between</w:t>
      </w:r>
      <w:r w:rsidR="00D3503E" w:rsidRPr="00BF6F6A">
        <w:rPr>
          <w:rFonts w:eastAsiaTheme="minorHAnsi"/>
          <w:lang w:eastAsia="en-US"/>
        </w:rPr>
        <w:t xml:space="preserve"> </w:t>
      </w:r>
      <w:r w:rsidR="001E0830" w:rsidRPr="00BF6F6A">
        <w:rPr>
          <w:rFonts w:eastAsiaTheme="minorHAnsi"/>
          <w:lang w:eastAsia="en-US"/>
        </w:rPr>
        <w:t>six and eight</w:t>
      </w:r>
      <w:r w:rsidR="00D3503E" w:rsidRPr="00BF6F6A">
        <w:rPr>
          <w:rFonts w:eastAsiaTheme="minorHAnsi"/>
          <w:lang w:eastAsia="en-US"/>
        </w:rPr>
        <w:t xml:space="preserve"> participants (Gauntlett </w:t>
      </w:r>
      <w:r w:rsidR="00D3503E" w:rsidRPr="00BF6F6A">
        <w:rPr>
          <w:rFonts w:eastAsiaTheme="minorHAnsi"/>
          <w:i/>
          <w:lang w:eastAsia="en-US"/>
        </w:rPr>
        <w:t>et al</w:t>
      </w:r>
      <w:r w:rsidR="00D3503E" w:rsidRPr="00BF6F6A">
        <w:rPr>
          <w:rFonts w:eastAsiaTheme="minorHAnsi"/>
          <w:lang w:eastAsia="en-US"/>
        </w:rPr>
        <w:t xml:space="preserve">., 2017)) and, as such, accords with previous studies, including those of </w:t>
      </w:r>
      <w:r w:rsidR="00CA3B1A" w:rsidRPr="00BF6F6A">
        <w:rPr>
          <w:rFonts w:eastAsiaTheme="minorHAnsi"/>
          <w:lang w:eastAsia="en-US"/>
        </w:rPr>
        <w:t xml:space="preserve">Ball </w:t>
      </w:r>
      <w:r w:rsidR="00CA3B1A" w:rsidRPr="00BF6F6A">
        <w:rPr>
          <w:rFonts w:eastAsiaTheme="minorHAnsi"/>
          <w:i/>
          <w:lang w:eastAsia="en-US"/>
        </w:rPr>
        <w:t>et al</w:t>
      </w:r>
      <w:r w:rsidR="00CA3B1A" w:rsidRPr="00BF6F6A">
        <w:rPr>
          <w:rFonts w:eastAsiaTheme="minorHAnsi"/>
          <w:lang w:eastAsia="en-US"/>
        </w:rPr>
        <w:t xml:space="preserve">. (2023), Booth </w:t>
      </w:r>
      <w:r w:rsidR="00CA3B1A" w:rsidRPr="00BF6F6A">
        <w:rPr>
          <w:rFonts w:eastAsiaTheme="minorHAnsi"/>
          <w:i/>
          <w:lang w:eastAsia="en-US"/>
        </w:rPr>
        <w:t>et al</w:t>
      </w:r>
      <w:r w:rsidR="00CA3B1A" w:rsidRPr="00BF6F6A">
        <w:rPr>
          <w:rFonts w:eastAsiaTheme="minorHAnsi"/>
          <w:lang w:eastAsia="en-US"/>
        </w:rPr>
        <w:t xml:space="preserve">. (2023) and Horry </w:t>
      </w:r>
      <w:r w:rsidR="00CA3B1A" w:rsidRPr="00BF6F6A">
        <w:rPr>
          <w:rFonts w:eastAsiaTheme="minorHAnsi"/>
          <w:i/>
          <w:lang w:eastAsia="en-US"/>
        </w:rPr>
        <w:t>et al</w:t>
      </w:r>
      <w:r w:rsidR="00CA3B1A" w:rsidRPr="00BF6F6A">
        <w:rPr>
          <w:rFonts w:eastAsiaTheme="minorHAnsi"/>
          <w:lang w:eastAsia="en-US"/>
        </w:rPr>
        <w:t xml:space="preserve">. (2023) </w:t>
      </w:r>
      <w:r w:rsidR="00D3503E" w:rsidRPr="00BF6F6A">
        <w:rPr>
          <w:rFonts w:eastAsiaTheme="minorHAnsi"/>
          <w:lang w:eastAsia="en-US"/>
        </w:rPr>
        <w:t>who used six, seven and eight participants, respectively.</w:t>
      </w:r>
    </w:p>
    <w:p w14:paraId="135C51E2" w14:textId="25DB5633" w:rsidR="00E70307" w:rsidRPr="00BF6F6A" w:rsidRDefault="00224B82" w:rsidP="003B4F8D">
      <w:pPr>
        <w:ind w:firstLine="720"/>
        <w:jc w:val="both"/>
        <w:rPr>
          <w:shd w:val="clear" w:color="auto" w:fill="FFFFFF"/>
        </w:rPr>
      </w:pPr>
      <w:r w:rsidRPr="00BF6F6A">
        <w:rPr>
          <w:shd w:val="clear" w:color="auto" w:fill="FFFFFF"/>
        </w:rPr>
        <w:t>P</w:t>
      </w:r>
      <w:r w:rsidR="008F5D88" w:rsidRPr="00BF6F6A">
        <w:rPr>
          <w:shd w:val="clear" w:color="auto" w:fill="FFFFFF"/>
        </w:rPr>
        <w:t>articipant</w:t>
      </w:r>
      <w:r w:rsidR="001465FB" w:rsidRPr="00BF6F6A">
        <w:rPr>
          <w:shd w:val="clear" w:color="auto" w:fill="FFFFFF"/>
        </w:rPr>
        <w:t>s</w:t>
      </w:r>
      <w:r w:rsidR="008F5D88" w:rsidRPr="00BF6F6A">
        <w:rPr>
          <w:shd w:val="clear" w:color="auto" w:fill="FFFFFF"/>
        </w:rPr>
        <w:t xml:space="preserve"> had</w:t>
      </w:r>
      <w:r w:rsidR="00455EC6" w:rsidRPr="00BF6F6A">
        <w:rPr>
          <w:shd w:val="clear" w:color="auto" w:fill="FFFFFF"/>
        </w:rPr>
        <w:t xml:space="preserve"> varying </w:t>
      </w:r>
      <w:r w:rsidR="00420ACC" w:rsidRPr="00BF6F6A">
        <w:rPr>
          <w:shd w:val="clear" w:color="auto" w:fill="FFFFFF"/>
        </w:rPr>
        <w:t xml:space="preserve">sector </w:t>
      </w:r>
      <w:r w:rsidR="001465FB" w:rsidRPr="00BF6F6A">
        <w:rPr>
          <w:shd w:val="clear" w:color="auto" w:fill="FFFFFF"/>
        </w:rPr>
        <w:t>responsibilities</w:t>
      </w:r>
      <w:r w:rsidR="00455EC6" w:rsidRPr="00BF6F6A">
        <w:rPr>
          <w:shd w:val="clear" w:color="auto" w:fill="FFFFFF"/>
        </w:rPr>
        <w:t xml:space="preserve"> and experience within the real estate industry, with an average of </w:t>
      </w:r>
      <w:r w:rsidR="00ED6C57" w:rsidRPr="00BF6F6A">
        <w:rPr>
          <w:shd w:val="clear" w:color="auto" w:fill="FFFFFF"/>
        </w:rPr>
        <w:t>ten</w:t>
      </w:r>
      <w:r w:rsidR="00455EC6" w:rsidRPr="00BF6F6A">
        <w:rPr>
          <w:shd w:val="clear" w:color="auto" w:fill="FFFFFF"/>
        </w:rPr>
        <w:t xml:space="preserve"> years’ </w:t>
      </w:r>
      <w:r w:rsidR="00143550">
        <w:rPr>
          <w:shd w:val="clear" w:color="auto" w:fill="FFFFFF"/>
        </w:rPr>
        <w:t xml:space="preserve">of </w:t>
      </w:r>
      <w:r w:rsidR="00455EC6" w:rsidRPr="00BF6F6A">
        <w:rPr>
          <w:shd w:val="clear" w:color="auto" w:fill="FFFFFF"/>
        </w:rPr>
        <w:t>relevant professional experience</w:t>
      </w:r>
      <w:r w:rsidR="00E72F84" w:rsidRPr="00BF6F6A">
        <w:rPr>
          <w:shd w:val="clear" w:color="auto" w:fill="FFFFFF"/>
        </w:rPr>
        <w:t xml:space="preserve"> and an </w:t>
      </w:r>
      <w:r w:rsidR="00E72F84" w:rsidRPr="00BF6F6A">
        <w:rPr>
          <w:shd w:val="clear" w:color="auto" w:fill="FFFFFF"/>
        </w:rPr>
        <w:lastRenderedPageBreak/>
        <w:t xml:space="preserve">average of </w:t>
      </w:r>
      <w:r w:rsidR="00ED6C57" w:rsidRPr="00BF6F6A">
        <w:rPr>
          <w:shd w:val="clear" w:color="auto" w:fill="FFFFFF"/>
        </w:rPr>
        <w:t>five</w:t>
      </w:r>
      <w:r w:rsidR="00E72F84" w:rsidRPr="00BF6F6A">
        <w:rPr>
          <w:shd w:val="clear" w:color="auto" w:fill="FFFFFF"/>
        </w:rPr>
        <w:t xml:space="preserve"> years’ </w:t>
      </w:r>
      <w:r w:rsidR="00143550">
        <w:rPr>
          <w:shd w:val="clear" w:color="auto" w:fill="FFFFFF"/>
        </w:rPr>
        <w:t xml:space="preserve">of </w:t>
      </w:r>
      <w:r w:rsidR="00E72F84" w:rsidRPr="00BF6F6A">
        <w:rPr>
          <w:shd w:val="clear" w:color="auto" w:fill="FFFFFF"/>
        </w:rPr>
        <w:t>experience collaborating directly with GRESB</w:t>
      </w:r>
      <w:r w:rsidRPr="00BF6F6A">
        <w:rPr>
          <w:shd w:val="clear" w:color="auto" w:fill="FFFFFF"/>
        </w:rPr>
        <w:t xml:space="preserve"> (Table </w:t>
      </w:r>
      <w:r w:rsidR="001E7F6C" w:rsidRPr="00BF6F6A">
        <w:rPr>
          <w:shd w:val="clear" w:color="auto" w:fill="FFFFFF"/>
        </w:rPr>
        <w:t>3</w:t>
      </w:r>
      <w:r w:rsidRPr="00BF6F6A">
        <w:rPr>
          <w:shd w:val="clear" w:color="auto" w:fill="FFFFFF"/>
        </w:rPr>
        <w:t>)</w:t>
      </w:r>
      <w:r w:rsidR="00E72F84" w:rsidRPr="00BF6F6A">
        <w:rPr>
          <w:shd w:val="clear" w:color="auto" w:fill="FFFFFF"/>
        </w:rPr>
        <w:t>.</w:t>
      </w:r>
      <w:r w:rsidR="00A40510" w:rsidRPr="00BF6F6A">
        <w:rPr>
          <w:shd w:val="clear" w:color="auto" w:fill="FFFFFF"/>
        </w:rPr>
        <w:t xml:space="preserve"> The eighth participant </w:t>
      </w:r>
      <w:r w:rsidR="006B4B5B" w:rsidRPr="00BF6F6A">
        <w:rPr>
          <w:shd w:val="clear" w:color="auto" w:fill="FFFFFF"/>
        </w:rPr>
        <w:t xml:space="preserve">was a </w:t>
      </w:r>
      <w:r w:rsidR="00A40510" w:rsidRPr="00BF6F6A">
        <w:rPr>
          <w:shd w:val="clear" w:color="auto" w:fill="FFFFFF"/>
        </w:rPr>
        <w:t xml:space="preserve">GRESB representative who </w:t>
      </w:r>
      <w:r w:rsidR="006B4B5B" w:rsidRPr="00BF6F6A">
        <w:rPr>
          <w:shd w:val="clear" w:color="auto" w:fill="FFFFFF"/>
        </w:rPr>
        <w:t>provided</w:t>
      </w:r>
      <w:r w:rsidR="00A40510" w:rsidRPr="00BF6F6A">
        <w:rPr>
          <w:shd w:val="clear" w:color="auto" w:fill="FFFFFF"/>
        </w:rPr>
        <w:t xml:space="preserve"> comment</w:t>
      </w:r>
      <w:r w:rsidR="006B4B5B" w:rsidRPr="00BF6F6A">
        <w:rPr>
          <w:shd w:val="clear" w:color="auto" w:fill="FFFFFF"/>
        </w:rPr>
        <w:t>s</w:t>
      </w:r>
      <w:r w:rsidR="00A40510" w:rsidRPr="00BF6F6A">
        <w:rPr>
          <w:shd w:val="clear" w:color="auto" w:fill="FFFFFF"/>
        </w:rPr>
        <w:t xml:space="preserve"> on the findings gathered from the interviews with the </w:t>
      </w:r>
      <w:r w:rsidR="006B4B5B" w:rsidRPr="00BF6F6A">
        <w:rPr>
          <w:shd w:val="clear" w:color="auto" w:fill="FFFFFF"/>
        </w:rPr>
        <w:t xml:space="preserve">seven </w:t>
      </w:r>
      <w:r w:rsidR="00A40510" w:rsidRPr="00BF6F6A">
        <w:rPr>
          <w:shd w:val="clear" w:color="auto" w:fill="FFFFFF"/>
        </w:rPr>
        <w:t>participants</w:t>
      </w:r>
      <w:r w:rsidR="003B4F8D" w:rsidRPr="00BF6F6A">
        <w:rPr>
          <w:shd w:val="clear" w:color="auto" w:fill="FFFFFF"/>
        </w:rPr>
        <w:t xml:space="preserve"> (Table </w:t>
      </w:r>
      <w:r w:rsidR="001E7F6C" w:rsidRPr="00BF6F6A">
        <w:rPr>
          <w:shd w:val="clear" w:color="auto" w:fill="FFFFFF"/>
        </w:rPr>
        <w:t>4</w:t>
      </w:r>
      <w:r w:rsidR="003B4F8D" w:rsidRPr="00BF6F6A">
        <w:rPr>
          <w:shd w:val="clear" w:color="auto" w:fill="FFFFFF"/>
        </w:rPr>
        <w:t>)</w:t>
      </w:r>
      <w:r w:rsidR="00A40510" w:rsidRPr="00BF6F6A">
        <w:rPr>
          <w:shd w:val="clear" w:color="auto" w:fill="FFFFFF"/>
        </w:rPr>
        <w:t xml:space="preserve">. </w:t>
      </w:r>
      <w:r w:rsidR="007828A8" w:rsidRPr="00BF6F6A">
        <w:rPr>
          <w:shd w:val="clear" w:color="auto" w:fill="FFFFFF"/>
        </w:rPr>
        <w:t xml:space="preserve">All </w:t>
      </w:r>
      <w:r w:rsidR="001465FB" w:rsidRPr="00BF6F6A">
        <w:rPr>
          <w:shd w:val="clear" w:color="auto" w:fill="FFFFFF"/>
        </w:rPr>
        <w:t>participants</w:t>
      </w:r>
      <w:r w:rsidR="00095EEF" w:rsidRPr="00BF6F6A">
        <w:rPr>
          <w:shd w:val="clear" w:color="auto" w:fill="FFFFFF"/>
        </w:rPr>
        <w:t>’</w:t>
      </w:r>
      <w:r w:rsidR="001465FB" w:rsidRPr="00BF6F6A">
        <w:rPr>
          <w:shd w:val="clear" w:color="auto" w:fill="FFFFFF"/>
        </w:rPr>
        <w:t xml:space="preserve"> organisations have formal ESG polic</w:t>
      </w:r>
      <w:r w:rsidR="006B4B5B" w:rsidRPr="00BF6F6A">
        <w:rPr>
          <w:shd w:val="clear" w:color="auto" w:fill="FFFFFF"/>
        </w:rPr>
        <w:t>ies</w:t>
      </w:r>
      <w:r w:rsidR="001465FB" w:rsidRPr="00BF6F6A">
        <w:rPr>
          <w:shd w:val="clear" w:color="auto" w:fill="FFFFFF"/>
        </w:rPr>
        <w:t xml:space="preserve"> and </w:t>
      </w:r>
      <w:r w:rsidR="00CF7F73" w:rsidRPr="00BF6F6A">
        <w:rPr>
          <w:shd w:val="clear" w:color="auto" w:fill="FFFFFF"/>
        </w:rPr>
        <w:t xml:space="preserve">as per OECD (2022) </w:t>
      </w:r>
      <w:r w:rsidR="007828A8" w:rsidRPr="00BF6F6A">
        <w:rPr>
          <w:shd w:val="clear" w:color="auto" w:fill="FFFFFF"/>
        </w:rPr>
        <w:t xml:space="preserve">can be classified </w:t>
      </w:r>
      <w:r w:rsidR="001465FB" w:rsidRPr="00BF6F6A">
        <w:rPr>
          <w:shd w:val="clear" w:color="auto" w:fill="FFFFFF"/>
        </w:rPr>
        <w:t xml:space="preserve">as mid-size </w:t>
      </w:r>
      <w:r w:rsidR="00CF7F73" w:rsidRPr="00BF6F6A">
        <w:rPr>
          <w:shd w:val="clear" w:color="auto" w:fill="FFFFFF"/>
        </w:rPr>
        <w:t>(50-250 staff) or</w:t>
      </w:r>
      <w:r w:rsidR="001465FB" w:rsidRPr="00BF6F6A">
        <w:rPr>
          <w:shd w:val="clear" w:color="auto" w:fill="FFFFFF"/>
        </w:rPr>
        <w:t xml:space="preserve"> large-size enterprises</w:t>
      </w:r>
      <w:r w:rsidR="00CF7F73" w:rsidRPr="00BF6F6A">
        <w:rPr>
          <w:shd w:val="clear" w:color="auto" w:fill="FFFFFF"/>
        </w:rPr>
        <w:t xml:space="preserve"> (&gt;250 staff). </w:t>
      </w:r>
      <w:r w:rsidR="00E36F51" w:rsidRPr="00BF6F6A">
        <w:rPr>
          <w:shd w:val="clear" w:color="auto" w:fill="FFFFFF"/>
        </w:rPr>
        <w:t>Most</w:t>
      </w:r>
      <w:r w:rsidR="001465FB" w:rsidRPr="00BF6F6A">
        <w:rPr>
          <w:shd w:val="clear" w:color="auto" w:fill="FFFFFF"/>
        </w:rPr>
        <w:t xml:space="preserve"> participants had a high level of education, and notably one</w:t>
      </w:r>
      <w:r w:rsidR="00CF7F73" w:rsidRPr="00BF6F6A">
        <w:rPr>
          <w:shd w:val="clear" w:color="auto" w:fill="FFFFFF"/>
        </w:rPr>
        <w:t xml:space="preserve"> was a member of a</w:t>
      </w:r>
      <w:r w:rsidR="00A40510" w:rsidRPr="00BF6F6A">
        <w:rPr>
          <w:shd w:val="clear" w:color="auto" w:fill="FFFFFF"/>
        </w:rPr>
        <w:t xml:space="preserve"> professional</w:t>
      </w:r>
      <w:r w:rsidR="00CF7F73" w:rsidRPr="00BF6F6A">
        <w:rPr>
          <w:shd w:val="clear" w:color="auto" w:fill="FFFFFF"/>
        </w:rPr>
        <w:t xml:space="preserve"> </w:t>
      </w:r>
      <w:r w:rsidR="00095EEF" w:rsidRPr="00BF6F6A">
        <w:rPr>
          <w:shd w:val="clear" w:color="auto" w:fill="FFFFFF"/>
        </w:rPr>
        <w:t xml:space="preserve">organisation </w:t>
      </w:r>
      <w:r w:rsidR="00CF7F73" w:rsidRPr="00BF6F6A">
        <w:rPr>
          <w:shd w:val="clear" w:color="auto" w:fill="FFFFFF"/>
        </w:rPr>
        <w:t>(</w:t>
      </w:r>
      <w:r w:rsidR="003663AB" w:rsidRPr="00BF6F6A">
        <w:rPr>
          <w:shd w:val="clear" w:color="auto" w:fill="FFFFFF"/>
        </w:rPr>
        <w:t>Alternative Investment Management Association</w:t>
      </w:r>
      <w:r w:rsidR="00CF7F73" w:rsidRPr="00BF6F6A">
        <w:rPr>
          <w:shd w:val="clear" w:color="auto" w:fill="FFFFFF"/>
        </w:rPr>
        <w:t>)</w:t>
      </w:r>
      <w:r w:rsidR="003663AB" w:rsidRPr="00BF6F6A">
        <w:rPr>
          <w:shd w:val="clear" w:color="auto" w:fill="FFFFFF"/>
        </w:rPr>
        <w:t>.</w:t>
      </w:r>
    </w:p>
    <w:p w14:paraId="344E4620" w14:textId="6A86B971" w:rsidR="00FE48E5" w:rsidRPr="00BF6F6A" w:rsidRDefault="00FE48E5" w:rsidP="003B4F8D">
      <w:pPr>
        <w:jc w:val="both"/>
        <w:rPr>
          <w:shd w:val="clear" w:color="auto" w:fill="FFFFFF"/>
        </w:rPr>
      </w:pPr>
    </w:p>
    <w:p w14:paraId="6947771D" w14:textId="04489626" w:rsidR="00224B82" w:rsidRPr="00BF6F6A" w:rsidRDefault="00E70307" w:rsidP="003B4F8D">
      <w:pPr>
        <w:pStyle w:val="Caption"/>
        <w:spacing w:after="0"/>
        <w:rPr>
          <w:rFonts w:ascii="Times New Roman" w:hAnsi="Times New Roman" w:cs="Times New Roman"/>
          <w:b/>
          <w:bCs/>
          <w:i w:val="0"/>
          <w:iCs w:val="0"/>
          <w:color w:val="auto"/>
          <w:sz w:val="24"/>
          <w:szCs w:val="24"/>
        </w:rPr>
      </w:pPr>
      <w:r w:rsidRPr="00BF6F6A">
        <w:rPr>
          <w:rFonts w:ascii="Times New Roman" w:hAnsi="Times New Roman" w:cs="Times New Roman"/>
          <w:b/>
          <w:bCs/>
          <w:i w:val="0"/>
          <w:iCs w:val="0"/>
          <w:color w:val="auto"/>
          <w:sz w:val="24"/>
          <w:szCs w:val="24"/>
        </w:rPr>
        <w:t xml:space="preserve">Table </w:t>
      </w:r>
      <w:r w:rsidR="001E7F6C" w:rsidRPr="00BF6F6A">
        <w:rPr>
          <w:rFonts w:ascii="Times New Roman" w:hAnsi="Times New Roman" w:cs="Times New Roman"/>
          <w:b/>
          <w:bCs/>
          <w:i w:val="0"/>
          <w:iCs w:val="0"/>
          <w:color w:val="auto"/>
          <w:sz w:val="24"/>
          <w:szCs w:val="24"/>
        </w:rPr>
        <w:t>3</w:t>
      </w:r>
      <w:r w:rsidR="00224B82" w:rsidRPr="00BF6F6A">
        <w:rPr>
          <w:rFonts w:ascii="Times New Roman" w:hAnsi="Times New Roman" w:cs="Times New Roman"/>
          <w:b/>
          <w:bCs/>
          <w:i w:val="0"/>
          <w:iCs w:val="0"/>
          <w:color w:val="auto"/>
          <w:sz w:val="24"/>
          <w:szCs w:val="24"/>
        </w:rPr>
        <w:t xml:space="preserve">: Profiles of the </w:t>
      </w:r>
      <w:r w:rsidRPr="00BF6F6A">
        <w:rPr>
          <w:rFonts w:ascii="Times New Roman" w:hAnsi="Times New Roman" w:cs="Times New Roman"/>
          <w:b/>
          <w:bCs/>
          <w:i w:val="0"/>
          <w:iCs w:val="0"/>
          <w:color w:val="auto"/>
          <w:sz w:val="24"/>
          <w:szCs w:val="24"/>
        </w:rPr>
        <w:t>participants</w:t>
      </w:r>
      <w:r w:rsidR="00224B82" w:rsidRPr="00BF6F6A">
        <w:rPr>
          <w:rFonts w:ascii="Times New Roman" w:hAnsi="Times New Roman" w:cs="Times New Roman"/>
          <w:b/>
          <w:bCs/>
          <w:i w:val="0"/>
          <w:iCs w:val="0"/>
          <w:color w:val="auto"/>
          <w:sz w:val="24"/>
          <w:szCs w:val="24"/>
        </w:rPr>
        <w:t xml:space="preserve"> who </w:t>
      </w:r>
      <w:r w:rsidR="00D3503E" w:rsidRPr="00BF6F6A">
        <w:rPr>
          <w:rFonts w:ascii="Times New Roman" w:hAnsi="Times New Roman" w:cs="Times New Roman"/>
          <w:b/>
          <w:bCs/>
          <w:i w:val="0"/>
          <w:iCs w:val="0"/>
          <w:color w:val="auto"/>
          <w:sz w:val="24"/>
          <w:szCs w:val="24"/>
        </w:rPr>
        <w:t>engag</w:t>
      </w:r>
      <w:r w:rsidR="00224B82" w:rsidRPr="00BF6F6A">
        <w:rPr>
          <w:rFonts w:ascii="Times New Roman" w:hAnsi="Times New Roman" w:cs="Times New Roman"/>
          <w:b/>
          <w:bCs/>
          <w:i w:val="0"/>
          <w:iCs w:val="0"/>
          <w:color w:val="auto"/>
          <w:sz w:val="24"/>
          <w:szCs w:val="24"/>
        </w:rPr>
        <w:t xml:space="preserve">ed </w:t>
      </w:r>
      <w:r w:rsidR="00D3503E" w:rsidRPr="00BF6F6A">
        <w:rPr>
          <w:rFonts w:ascii="Times New Roman" w:hAnsi="Times New Roman" w:cs="Times New Roman"/>
          <w:b/>
          <w:bCs/>
          <w:i w:val="0"/>
          <w:iCs w:val="0"/>
          <w:color w:val="auto"/>
          <w:sz w:val="24"/>
          <w:szCs w:val="24"/>
        </w:rPr>
        <w:t xml:space="preserve">with </w:t>
      </w:r>
      <w:r w:rsidR="00224B82" w:rsidRPr="00BF6F6A">
        <w:rPr>
          <w:rFonts w:ascii="Times New Roman" w:hAnsi="Times New Roman" w:cs="Times New Roman"/>
          <w:b/>
          <w:bCs/>
          <w:i w:val="0"/>
          <w:iCs w:val="0"/>
          <w:color w:val="auto"/>
          <w:sz w:val="24"/>
          <w:szCs w:val="24"/>
        </w:rPr>
        <w:t>the study</w:t>
      </w:r>
    </w:p>
    <w:p w14:paraId="6FB4E8E6" w14:textId="77777777" w:rsidR="00480B8B" w:rsidRPr="00BF6F6A" w:rsidRDefault="00480B8B" w:rsidP="00480B8B">
      <w:pPr>
        <w:rPr>
          <w:lang w:eastAsia="en-U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506"/>
        <w:gridCol w:w="1842"/>
        <w:gridCol w:w="1701"/>
        <w:gridCol w:w="1283"/>
        <w:gridCol w:w="1127"/>
      </w:tblGrid>
      <w:tr w:rsidR="00A12E91" w:rsidRPr="00BF6F6A" w14:paraId="7E4EEEF5" w14:textId="77777777" w:rsidTr="00252A44">
        <w:trPr>
          <w:trHeight w:val="288"/>
        </w:trPr>
        <w:tc>
          <w:tcPr>
            <w:tcW w:w="1183" w:type="dxa"/>
          </w:tcPr>
          <w:p w14:paraId="537602EC" w14:textId="32773D79" w:rsidR="00A12E91" w:rsidRPr="00BF6F6A" w:rsidRDefault="00A12E91" w:rsidP="003B4F8D">
            <w:pPr>
              <w:pStyle w:val="NormalWeb"/>
              <w:spacing w:before="0" w:beforeAutospacing="0" w:after="0" w:afterAutospacing="0"/>
              <w:rPr>
                <w:b/>
                <w:bCs/>
                <w:sz w:val="20"/>
                <w:szCs w:val="20"/>
                <w:shd w:val="clear" w:color="auto" w:fill="FFFFFF"/>
              </w:rPr>
            </w:pPr>
            <w:r w:rsidRPr="00BF6F6A">
              <w:rPr>
                <w:b/>
                <w:bCs/>
                <w:sz w:val="20"/>
                <w:szCs w:val="20"/>
                <w:shd w:val="clear" w:color="auto" w:fill="FFFFFF"/>
              </w:rPr>
              <w:t>Participant</w:t>
            </w:r>
          </w:p>
        </w:tc>
        <w:tc>
          <w:tcPr>
            <w:tcW w:w="1506" w:type="dxa"/>
            <w:shd w:val="clear" w:color="auto" w:fill="auto"/>
            <w:noWrap/>
            <w:hideMark/>
          </w:tcPr>
          <w:p w14:paraId="0E805BD0" w14:textId="286C07DA" w:rsidR="00A12E91" w:rsidRPr="00BF6F6A" w:rsidRDefault="00A12E91" w:rsidP="003B4F8D">
            <w:pPr>
              <w:pStyle w:val="NormalWeb"/>
              <w:spacing w:before="0" w:beforeAutospacing="0" w:after="0" w:afterAutospacing="0"/>
              <w:rPr>
                <w:b/>
                <w:bCs/>
                <w:sz w:val="20"/>
                <w:szCs w:val="20"/>
                <w:shd w:val="clear" w:color="auto" w:fill="FFFFFF"/>
              </w:rPr>
            </w:pPr>
            <w:r w:rsidRPr="00BF6F6A">
              <w:rPr>
                <w:b/>
                <w:bCs/>
                <w:sz w:val="20"/>
                <w:szCs w:val="20"/>
                <w:shd w:val="clear" w:color="auto" w:fill="FFFFFF"/>
              </w:rPr>
              <w:t>Sector</w:t>
            </w:r>
          </w:p>
        </w:tc>
        <w:tc>
          <w:tcPr>
            <w:tcW w:w="1842" w:type="dxa"/>
            <w:shd w:val="clear" w:color="auto" w:fill="auto"/>
            <w:noWrap/>
            <w:hideMark/>
          </w:tcPr>
          <w:p w14:paraId="6D4EFF6B" w14:textId="77777777" w:rsidR="00A12E91" w:rsidRPr="00BF6F6A" w:rsidRDefault="00A12E91" w:rsidP="003B4F8D">
            <w:pPr>
              <w:pStyle w:val="NormalWeb"/>
              <w:spacing w:before="0" w:beforeAutospacing="0" w:after="0" w:afterAutospacing="0"/>
              <w:rPr>
                <w:b/>
                <w:bCs/>
                <w:sz w:val="20"/>
                <w:szCs w:val="20"/>
                <w:shd w:val="clear" w:color="auto" w:fill="FFFFFF"/>
              </w:rPr>
            </w:pPr>
            <w:r w:rsidRPr="00BF6F6A">
              <w:rPr>
                <w:b/>
                <w:bCs/>
                <w:sz w:val="20"/>
                <w:szCs w:val="20"/>
                <w:shd w:val="clear" w:color="auto" w:fill="FFFFFF"/>
              </w:rPr>
              <w:t>Job title</w:t>
            </w:r>
          </w:p>
        </w:tc>
        <w:tc>
          <w:tcPr>
            <w:tcW w:w="1701" w:type="dxa"/>
            <w:shd w:val="clear" w:color="auto" w:fill="auto"/>
            <w:noWrap/>
            <w:hideMark/>
          </w:tcPr>
          <w:p w14:paraId="0AA9A94E" w14:textId="175D27F8" w:rsidR="00A12E91" w:rsidRPr="00BF6F6A" w:rsidRDefault="00A12E91" w:rsidP="003B4F8D">
            <w:pPr>
              <w:pStyle w:val="NormalWeb"/>
              <w:spacing w:before="0" w:beforeAutospacing="0" w:after="0" w:afterAutospacing="0"/>
              <w:rPr>
                <w:b/>
                <w:bCs/>
                <w:sz w:val="20"/>
                <w:szCs w:val="20"/>
                <w:shd w:val="clear" w:color="auto" w:fill="FFFFFF"/>
              </w:rPr>
            </w:pPr>
            <w:r w:rsidRPr="00BF6F6A">
              <w:rPr>
                <w:b/>
                <w:bCs/>
                <w:sz w:val="20"/>
                <w:szCs w:val="20"/>
                <w:shd w:val="clear" w:color="auto" w:fill="FFFFFF"/>
              </w:rPr>
              <w:t>Professional sector experience / GRESB collaboration (years)</w:t>
            </w:r>
          </w:p>
        </w:tc>
        <w:tc>
          <w:tcPr>
            <w:tcW w:w="1283" w:type="dxa"/>
            <w:shd w:val="clear" w:color="auto" w:fill="auto"/>
            <w:noWrap/>
            <w:hideMark/>
          </w:tcPr>
          <w:p w14:paraId="29D0CB83" w14:textId="3CFB52A1" w:rsidR="00A12E91" w:rsidRPr="00BF6F6A" w:rsidRDefault="00A12E91" w:rsidP="003B4F8D">
            <w:pPr>
              <w:pStyle w:val="NormalWeb"/>
              <w:spacing w:before="0" w:beforeAutospacing="0" w:after="0" w:afterAutospacing="0"/>
              <w:rPr>
                <w:b/>
                <w:bCs/>
                <w:sz w:val="20"/>
                <w:szCs w:val="20"/>
                <w:shd w:val="clear" w:color="auto" w:fill="FFFFFF"/>
              </w:rPr>
            </w:pPr>
            <w:r w:rsidRPr="00BF6F6A">
              <w:rPr>
                <w:b/>
                <w:bCs/>
                <w:sz w:val="20"/>
                <w:szCs w:val="20"/>
                <w:shd w:val="clear" w:color="auto" w:fill="FFFFFF"/>
              </w:rPr>
              <w:t>Highest academic achievement</w:t>
            </w:r>
          </w:p>
        </w:tc>
        <w:tc>
          <w:tcPr>
            <w:tcW w:w="1127" w:type="dxa"/>
          </w:tcPr>
          <w:p w14:paraId="4A1C2094" w14:textId="77777777" w:rsidR="00A12E91" w:rsidRPr="00BF6F6A" w:rsidRDefault="00A12E91" w:rsidP="003B4F8D">
            <w:pPr>
              <w:pStyle w:val="NormalWeb"/>
              <w:spacing w:before="0" w:beforeAutospacing="0" w:after="0" w:afterAutospacing="0"/>
              <w:rPr>
                <w:b/>
                <w:bCs/>
                <w:sz w:val="20"/>
                <w:szCs w:val="20"/>
                <w:shd w:val="clear" w:color="auto" w:fill="FFFFFF"/>
              </w:rPr>
            </w:pPr>
            <w:r w:rsidRPr="00BF6F6A">
              <w:rPr>
                <w:b/>
                <w:bCs/>
                <w:sz w:val="20"/>
                <w:szCs w:val="20"/>
                <w:shd w:val="clear" w:color="auto" w:fill="FFFFFF"/>
              </w:rPr>
              <w:t>Company size</w:t>
            </w:r>
          </w:p>
        </w:tc>
      </w:tr>
      <w:tr w:rsidR="00A12E91" w:rsidRPr="00BF6F6A" w14:paraId="07DF78FE" w14:textId="77777777" w:rsidTr="00252A44">
        <w:trPr>
          <w:trHeight w:val="288"/>
        </w:trPr>
        <w:tc>
          <w:tcPr>
            <w:tcW w:w="1183" w:type="dxa"/>
          </w:tcPr>
          <w:p w14:paraId="48F26613" w14:textId="5D20946C"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P1</w:t>
            </w:r>
          </w:p>
        </w:tc>
        <w:tc>
          <w:tcPr>
            <w:tcW w:w="1506" w:type="dxa"/>
            <w:shd w:val="clear" w:color="auto" w:fill="auto"/>
            <w:noWrap/>
            <w:hideMark/>
          </w:tcPr>
          <w:p w14:paraId="62E00646" w14:textId="715AF192"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Development &amp; Management</w:t>
            </w:r>
          </w:p>
        </w:tc>
        <w:tc>
          <w:tcPr>
            <w:tcW w:w="1842" w:type="dxa"/>
            <w:shd w:val="clear" w:color="auto" w:fill="auto"/>
            <w:noWrap/>
            <w:hideMark/>
          </w:tcPr>
          <w:p w14:paraId="475D89FD"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Senior Manager - Operations and Sustainability</w:t>
            </w:r>
          </w:p>
        </w:tc>
        <w:tc>
          <w:tcPr>
            <w:tcW w:w="1701" w:type="dxa"/>
            <w:shd w:val="clear" w:color="auto" w:fill="auto"/>
            <w:noWrap/>
            <w:hideMark/>
          </w:tcPr>
          <w:p w14:paraId="6A839197" w14:textId="50D2BC99"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10/9</w:t>
            </w:r>
          </w:p>
        </w:tc>
        <w:tc>
          <w:tcPr>
            <w:tcW w:w="1283" w:type="dxa"/>
            <w:shd w:val="clear" w:color="auto" w:fill="auto"/>
            <w:noWrap/>
            <w:hideMark/>
          </w:tcPr>
          <w:p w14:paraId="54753029"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Masters</w:t>
            </w:r>
          </w:p>
        </w:tc>
        <w:tc>
          <w:tcPr>
            <w:tcW w:w="1127" w:type="dxa"/>
          </w:tcPr>
          <w:p w14:paraId="2EC57AB9"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Large</w:t>
            </w:r>
          </w:p>
        </w:tc>
      </w:tr>
      <w:tr w:rsidR="00A12E91" w:rsidRPr="00BF6F6A" w14:paraId="1771D678" w14:textId="77777777" w:rsidTr="00252A44">
        <w:trPr>
          <w:trHeight w:val="288"/>
        </w:trPr>
        <w:tc>
          <w:tcPr>
            <w:tcW w:w="1183" w:type="dxa"/>
          </w:tcPr>
          <w:p w14:paraId="19DD8B37" w14:textId="4DC18A70"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P2</w:t>
            </w:r>
          </w:p>
        </w:tc>
        <w:tc>
          <w:tcPr>
            <w:tcW w:w="1506" w:type="dxa"/>
            <w:shd w:val="clear" w:color="auto" w:fill="auto"/>
            <w:noWrap/>
            <w:hideMark/>
          </w:tcPr>
          <w:p w14:paraId="3917F539" w14:textId="1642C072"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Development &amp; Management</w:t>
            </w:r>
          </w:p>
        </w:tc>
        <w:tc>
          <w:tcPr>
            <w:tcW w:w="1842" w:type="dxa"/>
            <w:shd w:val="clear" w:color="auto" w:fill="auto"/>
            <w:noWrap/>
            <w:hideMark/>
          </w:tcPr>
          <w:p w14:paraId="67275A14"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Head of Sustainability</w:t>
            </w:r>
          </w:p>
        </w:tc>
        <w:tc>
          <w:tcPr>
            <w:tcW w:w="1701" w:type="dxa"/>
            <w:shd w:val="clear" w:color="auto" w:fill="auto"/>
            <w:noWrap/>
            <w:hideMark/>
          </w:tcPr>
          <w:p w14:paraId="6BB7B151" w14:textId="0E3D2CC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25/10</w:t>
            </w:r>
          </w:p>
        </w:tc>
        <w:tc>
          <w:tcPr>
            <w:tcW w:w="1283" w:type="dxa"/>
            <w:shd w:val="clear" w:color="auto" w:fill="auto"/>
            <w:noWrap/>
            <w:hideMark/>
          </w:tcPr>
          <w:p w14:paraId="011A5A87"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Masters</w:t>
            </w:r>
          </w:p>
        </w:tc>
        <w:tc>
          <w:tcPr>
            <w:tcW w:w="1127" w:type="dxa"/>
          </w:tcPr>
          <w:p w14:paraId="6B0FA84F"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Large</w:t>
            </w:r>
          </w:p>
        </w:tc>
      </w:tr>
      <w:tr w:rsidR="00A12E91" w:rsidRPr="00BF6F6A" w14:paraId="1220C5E5" w14:textId="77777777" w:rsidTr="00252A44">
        <w:trPr>
          <w:trHeight w:val="288"/>
        </w:trPr>
        <w:tc>
          <w:tcPr>
            <w:tcW w:w="1183" w:type="dxa"/>
          </w:tcPr>
          <w:p w14:paraId="23782E81" w14:textId="32FB3568"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P3</w:t>
            </w:r>
          </w:p>
        </w:tc>
        <w:tc>
          <w:tcPr>
            <w:tcW w:w="1506" w:type="dxa"/>
            <w:shd w:val="clear" w:color="auto" w:fill="auto"/>
            <w:noWrap/>
            <w:hideMark/>
          </w:tcPr>
          <w:p w14:paraId="247F0FD2" w14:textId="6332807D"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Investment Management</w:t>
            </w:r>
          </w:p>
        </w:tc>
        <w:tc>
          <w:tcPr>
            <w:tcW w:w="1842" w:type="dxa"/>
            <w:shd w:val="clear" w:color="auto" w:fill="auto"/>
            <w:noWrap/>
            <w:hideMark/>
          </w:tcPr>
          <w:p w14:paraId="398EA9A1"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Investor Relations, Communication Manager</w:t>
            </w:r>
          </w:p>
        </w:tc>
        <w:tc>
          <w:tcPr>
            <w:tcW w:w="1701" w:type="dxa"/>
            <w:shd w:val="clear" w:color="auto" w:fill="auto"/>
            <w:noWrap/>
            <w:hideMark/>
          </w:tcPr>
          <w:p w14:paraId="310E6420" w14:textId="5BEB928D"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5/3</w:t>
            </w:r>
          </w:p>
        </w:tc>
        <w:tc>
          <w:tcPr>
            <w:tcW w:w="1283" w:type="dxa"/>
            <w:shd w:val="clear" w:color="auto" w:fill="auto"/>
            <w:noWrap/>
            <w:hideMark/>
          </w:tcPr>
          <w:p w14:paraId="1023E2EA"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Bachelor</w:t>
            </w:r>
          </w:p>
        </w:tc>
        <w:tc>
          <w:tcPr>
            <w:tcW w:w="1127" w:type="dxa"/>
          </w:tcPr>
          <w:p w14:paraId="4BC4E2D4"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Midsize</w:t>
            </w:r>
          </w:p>
        </w:tc>
      </w:tr>
      <w:tr w:rsidR="00A12E91" w:rsidRPr="00BF6F6A" w14:paraId="6ED749EC" w14:textId="77777777" w:rsidTr="00252A44">
        <w:trPr>
          <w:trHeight w:val="288"/>
        </w:trPr>
        <w:tc>
          <w:tcPr>
            <w:tcW w:w="1183" w:type="dxa"/>
          </w:tcPr>
          <w:p w14:paraId="1C3EE148" w14:textId="759BE2B2"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P4</w:t>
            </w:r>
          </w:p>
        </w:tc>
        <w:tc>
          <w:tcPr>
            <w:tcW w:w="1506" w:type="dxa"/>
            <w:shd w:val="clear" w:color="auto" w:fill="auto"/>
            <w:noWrap/>
            <w:hideMark/>
          </w:tcPr>
          <w:p w14:paraId="5F82A155" w14:textId="549CBE5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Construction &amp; Development</w:t>
            </w:r>
          </w:p>
        </w:tc>
        <w:tc>
          <w:tcPr>
            <w:tcW w:w="1842" w:type="dxa"/>
            <w:shd w:val="clear" w:color="auto" w:fill="auto"/>
            <w:noWrap/>
            <w:hideMark/>
          </w:tcPr>
          <w:p w14:paraId="31742660"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Sustainability Reporting Manager</w:t>
            </w:r>
          </w:p>
        </w:tc>
        <w:tc>
          <w:tcPr>
            <w:tcW w:w="1701" w:type="dxa"/>
            <w:shd w:val="clear" w:color="auto" w:fill="auto"/>
            <w:noWrap/>
            <w:hideMark/>
          </w:tcPr>
          <w:p w14:paraId="4FF10B50" w14:textId="09238910"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4/2</w:t>
            </w:r>
          </w:p>
        </w:tc>
        <w:tc>
          <w:tcPr>
            <w:tcW w:w="1283" w:type="dxa"/>
            <w:shd w:val="clear" w:color="auto" w:fill="auto"/>
            <w:noWrap/>
            <w:hideMark/>
          </w:tcPr>
          <w:p w14:paraId="6D4BDF1E"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Bachelor</w:t>
            </w:r>
          </w:p>
        </w:tc>
        <w:tc>
          <w:tcPr>
            <w:tcW w:w="1127" w:type="dxa"/>
          </w:tcPr>
          <w:p w14:paraId="12BB60B0"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Large</w:t>
            </w:r>
          </w:p>
        </w:tc>
      </w:tr>
      <w:tr w:rsidR="00A12E91" w:rsidRPr="00BF6F6A" w14:paraId="30F5D164" w14:textId="77777777" w:rsidTr="00252A44">
        <w:trPr>
          <w:trHeight w:val="288"/>
        </w:trPr>
        <w:tc>
          <w:tcPr>
            <w:tcW w:w="1183" w:type="dxa"/>
          </w:tcPr>
          <w:p w14:paraId="67A5EB4C" w14:textId="089606A3"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P5</w:t>
            </w:r>
          </w:p>
        </w:tc>
        <w:tc>
          <w:tcPr>
            <w:tcW w:w="1506" w:type="dxa"/>
            <w:shd w:val="clear" w:color="auto" w:fill="auto"/>
            <w:noWrap/>
            <w:hideMark/>
          </w:tcPr>
          <w:p w14:paraId="141715A2" w14:textId="33553A2F"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Investment</w:t>
            </w:r>
          </w:p>
        </w:tc>
        <w:tc>
          <w:tcPr>
            <w:tcW w:w="1842" w:type="dxa"/>
            <w:shd w:val="clear" w:color="auto" w:fill="auto"/>
            <w:noWrap/>
            <w:hideMark/>
          </w:tcPr>
          <w:p w14:paraId="54A5A60B"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ESG Associate</w:t>
            </w:r>
          </w:p>
        </w:tc>
        <w:tc>
          <w:tcPr>
            <w:tcW w:w="1701" w:type="dxa"/>
            <w:shd w:val="clear" w:color="auto" w:fill="auto"/>
            <w:noWrap/>
            <w:hideMark/>
          </w:tcPr>
          <w:p w14:paraId="71DFC4B1" w14:textId="4CAED60E"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2/2</w:t>
            </w:r>
          </w:p>
        </w:tc>
        <w:tc>
          <w:tcPr>
            <w:tcW w:w="1283" w:type="dxa"/>
            <w:shd w:val="clear" w:color="auto" w:fill="auto"/>
            <w:noWrap/>
            <w:hideMark/>
          </w:tcPr>
          <w:p w14:paraId="3089AC31"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Masters</w:t>
            </w:r>
          </w:p>
        </w:tc>
        <w:tc>
          <w:tcPr>
            <w:tcW w:w="1127" w:type="dxa"/>
          </w:tcPr>
          <w:p w14:paraId="2C9FB13D"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Large</w:t>
            </w:r>
          </w:p>
        </w:tc>
      </w:tr>
      <w:tr w:rsidR="00A12E91" w:rsidRPr="00BF6F6A" w14:paraId="78396E01" w14:textId="77777777" w:rsidTr="00252A44">
        <w:trPr>
          <w:trHeight w:val="288"/>
        </w:trPr>
        <w:tc>
          <w:tcPr>
            <w:tcW w:w="1183" w:type="dxa"/>
          </w:tcPr>
          <w:p w14:paraId="44620F8C" w14:textId="396640CE"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P6</w:t>
            </w:r>
          </w:p>
        </w:tc>
        <w:tc>
          <w:tcPr>
            <w:tcW w:w="1506" w:type="dxa"/>
            <w:shd w:val="clear" w:color="auto" w:fill="auto"/>
            <w:noWrap/>
            <w:hideMark/>
          </w:tcPr>
          <w:p w14:paraId="72366F4C" w14:textId="6340B4B9"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Construction &amp; Management</w:t>
            </w:r>
          </w:p>
        </w:tc>
        <w:tc>
          <w:tcPr>
            <w:tcW w:w="1842" w:type="dxa"/>
            <w:shd w:val="clear" w:color="auto" w:fill="auto"/>
            <w:noWrap/>
            <w:hideMark/>
          </w:tcPr>
          <w:p w14:paraId="2D58B158"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CSR Project Manager</w:t>
            </w:r>
          </w:p>
        </w:tc>
        <w:tc>
          <w:tcPr>
            <w:tcW w:w="1701" w:type="dxa"/>
            <w:shd w:val="clear" w:color="auto" w:fill="auto"/>
            <w:noWrap/>
            <w:hideMark/>
          </w:tcPr>
          <w:p w14:paraId="3E9844D3" w14:textId="1C10374A"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14/8</w:t>
            </w:r>
          </w:p>
        </w:tc>
        <w:tc>
          <w:tcPr>
            <w:tcW w:w="1283" w:type="dxa"/>
            <w:shd w:val="clear" w:color="auto" w:fill="auto"/>
            <w:noWrap/>
            <w:hideMark/>
          </w:tcPr>
          <w:p w14:paraId="729533E8"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High School Diploma</w:t>
            </w:r>
          </w:p>
        </w:tc>
        <w:tc>
          <w:tcPr>
            <w:tcW w:w="1127" w:type="dxa"/>
          </w:tcPr>
          <w:p w14:paraId="60F542A4"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Midsize</w:t>
            </w:r>
          </w:p>
        </w:tc>
      </w:tr>
      <w:tr w:rsidR="00A12E91" w:rsidRPr="00BF6F6A" w14:paraId="7ACE5A78" w14:textId="77777777" w:rsidTr="00252A44">
        <w:trPr>
          <w:trHeight w:val="288"/>
        </w:trPr>
        <w:tc>
          <w:tcPr>
            <w:tcW w:w="1183" w:type="dxa"/>
          </w:tcPr>
          <w:p w14:paraId="4408A38B" w14:textId="62611456"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P7</w:t>
            </w:r>
          </w:p>
        </w:tc>
        <w:tc>
          <w:tcPr>
            <w:tcW w:w="1506" w:type="dxa"/>
            <w:shd w:val="clear" w:color="auto" w:fill="auto"/>
            <w:noWrap/>
            <w:hideMark/>
          </w:tcPr>
          <w:p w14:paraId="3C9EDDAB" w14:textId="00FB4EBF"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Asset Management</w:t>
            </w:r>
          </w:p>
        </w:tc>
        <w:tc>
          <w:tcPr>
            <w:tcW w:w="1842" w:type="dxa"/>
            <w:shd w:val="clear" w:color="auto" w:fill="auto"/>
            <w:noWrap/>
            <w:hideMark/>
          </w:tcPr>
          <w:p w14:paraId="35AAC715"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Head of Sustainability</w:t>
            </w:r>
          </w:p>
        </w:tc>
        <w:tc>
          <w:tcPr>
            <w:tcW w:w="1701" w:type="dxa"/>
            <w:shd w:val="clear" w:color="auto" w:fill="auto"/>
            <w:noWrap/>
            <w:hideMark/>
          </w:tcPr>
          <w:p w14:paraId="73A441EC" w14:textId="3525C3B6"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 xml:space="preserve">11/2 </w:t>
            </w:r>
          </w:p>
        </w:tc>
        <w:tc>
          <w:tcPr>
            <w:tcW w:w="1283" w:type="dxa"/>
            <w:shd w:val="clear" w:color="auto" w:fill="auto"/>
            <w:noWrap/>
            <w:hideMark/>
          </w:tcPr>
          <w:p w14:paraId="7F81FE01"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Masters</w:t>
            </w:r>
          </w:p>
        </w:tc>
        <w:tc>
          <w:tcPr>
            <w:tcW w:w="1127" w:type="dxa"/>
          </w:tcPr>
          <w:p w14:paraId="38FA758F" w14:textId="77777777" w:rsidR="00A12E91" w:rsidRPr="00BF6F6A" w:rsidRDefault="00A12E91" w:rsidP="003B4F8D">
            <w:pPr>
              <w:pStyle w:val="NormalWeb"/>
              <w:spacing w:before="0" w:beforeAutospacing="0" w:after="0" w:afterAutospacing="0"/>
              <w:rPr>
                <w:sz w:val="20"/>
                <w:szCs w:val="20"/>
                <w:shd w:val="clear" w:color="auto" w:fill="FFFFFF"/>
              </w:rPr>
            </w:pPr>
            <w:r w:rsidRPr="00BF6F6A">
              <w:rPr>
                <w:sz w:val="20"/>
                <w:szCs w:val="20"/>
                <w:shd w:val="clear" w:color="auto" w:fill="FFFFFF"/>
              </w:rPr>
              <w:t>Midsize</w:t>
            </w:r>
          </w:p>
        </w:tc>
      </w:tr>
    </w:tbl>
    <w:p w14:paraId="76A5FCFD" w14:textId="77777777" w:rsidR="005A09F0" w:rsidRPr="00BF6F6A" w:rsidRDefault="005A09F0" w:rsidP="005F3C0B">
      <w:pPr>
        <w:jc w:val="both"/>
        <w:rPr>
          <w:shd w:val="clear" w:color="auto" w:fill="FFFFFF"/>
        </w:rPr>
      </w:pPr>
      <w:bookmarkStart w:id="21" w:name="_Toc99882240"/>
      <w:bookmarkStart w:id="22" w:name="_Hlk98852821"/>
    </w:p>
    <w:p w14:paraId="55673BD8" w14:textId="0A57A922" w:rsidR="003B4F8D" w:rsidRPr="00BF6F6A" w:rsidRDefault="003B4F8D" w:rsidP="003B4F8D">
      <w:pPr>
        <w:pStyle w:val="Caption"/>
        <w:spacing w:after="0"/>
        <w:rPr>
          <w:rFonts w:ascii="Times New Roman" w:hAnsi="Times New Roman" w:cs="Times New Roman"/>
          <w:b/>
          <w:bCs/>
          <w:i w:val="0"/>
          <w:iCs w:val="0"/>
          <w:color w:val="auto"/>
          <w:sz w:val="24"/>
          <w:szCs w:val="24"/>
        </w:rPr>
      </w:pPr>
      <w:r w:rsidRPr="00BF6F6A">
        <w:rPr>
          <w:rFonts w:ascii="Times New Roman" w:hAnsi="Times New Roman" w:cs="Times New Roman"/>
          <w:b/>
          <w:bCs/>
          <w:i w:val="0"/>
          <w:iCs w:val="0"/>
          <w:color w:val="auto"/>
          <w:sz w:val="24"/>
          <w:szCs w:val="24"/>
        </w:rPr>
        <w:t xml:space="preserve">Table </w:t>
      </w:r>
      <w:r w:rsidR="001E7F6C" w:rsidRPr="00BF6F6A">
        <w:rPr>
          <w:rFonts w:ascii="Times New Roman" w:hAnsi="Times New Roman" w:cs="Times New Roman"/>
          <w:b/>
          <w:bCs/>
          <w:i w:val="0"/>
          <w:iCs w:val="0"/>
          <w:color w:val="auto"/>
          <w:sz w:val="24"/>
          <w:szCs w:val="24"/>
        </w:rPr>
        <w:t>4</w:t>
      </w:r>
      <w:r w:rsidRPr="00BF6F6A">
        <w:rPr>
          <w:rFonts w:ascii="Times New Roman" w:hAnsi="Times New Roman" w:cs="Times New Roman"/>
          <w:b/>
          <w:bCs/>
          <w:i w:val="0"/>
          <w:iCs w:val="0"/>
          <w:color w:val="auto"/>
          <w:sz w:val="24"/>
          <w:szCs w:val="24"/>
        </w:rPr>
        <w:t>: Profile of the GRE</w:t>
      </w:r>
      <w:r w:rsidR="001E7F6C" w:rsidRPr="00BF6F6A">
        <w:rPr>
          <w:rFonts w:ascii="Times New Roman" w:hAnsi="Times New Roman" w:cs="Times New Roman"/>
          <w:b/>
          <w:bCs/>
          <w:i w:val="0"/>
          <w:iCs w:val="0"/>
          <w:color w:val="auto"/>
          <w:sz w:val="24"/>
          <w:szCs w:val="24"/>
        </w:rPr>
        <w:t>S</w:t>
      </w:r>
      <w:r w:rsidRPr="00BF6F6A">
        <w:rPr>
          <w:rFonts w:ascii="Times New Roman" w:hAnsi="Times New Roman" w:cs="Times New Roman"/>
          <w:b/>
          <w:bCs/>
          <w:i w:val="0"/>
          <w:iCs w:val="0"/>
          <w:color w:val="auto"/>
          <w:sz w:val="24"/>
          <w:szCs w:val="24"/>
        </w:rPr>
        <w:t>B representative</w:t>
      </w:r>
    </w:p>
    <w:p w14:paraId="60002E47" w14:textId="77777777" w:rsidR="00480B8B" w:rsidRPr="00BF6F6A" w:rsidRDefault="00480B8B" w:rsidP="00480B8B">
      <w:pPr>
        <w:rPr>
          <w:lang w:eastAsia="en-U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506"/>
        <w:gridCol w:w="1842"/>
        <w:gridCol w:w="1701"/>
        <w:gridCol w:w="1283"/>
        <w:gridCol w:w="1127"/>
      </w:tblGrid>
      <w:tr w:rsidR="00A12E91" w:rsidRPr="00BF6F6A" w14:paraId="7A915978" w14:textId="77777777" w:rsidTr="00252A44">
        <w:trPr>
          <w:trHeight w:val="288"/>
        </w:trPr>
        <w:tc>
          <w:tcPr>
            <w:tcW w:w="1183" w:type="dxa"/>
          </w:tcPr>
          <w:p w14:paraId="4FB80FD9" w14:textId="6C2BDCCB" w:rsidR="00A12E91" w:rsidRPr="00BF6F6A" w:rsidRDefault="00A12E91" w:rsidP="003B4F8D">
            <w:pPr>
              <w:pStyle w:val="NormalWeb"/>
              <w:spacing w:before="0" w:beforeAutospacing="0" w:after="0" w:afterAutospacing="0"/>
              <w:rPr>
                <w:b/>
                <w:bCs/>
                <w:sz w:val="20"/>
                <w:szCs w:val="20"/>
                <w:shd w:val="clear" w:color="auto" w:fill="FFFFFF"/>
              </w:rPr>
            </w:pPr>
            <w:r w:rsidRPr="00BF6F6A">
              <w:rPr>
                <w:b/>
                <w:bCs/>
                <w:sz w:val="20"/>
                <w:szCs w:val="20"/>
                <w:shd w:val="clear" w:color="auto" w:fill="FFFFFF"/>
              </w:rPr>
              <w:t>Participant</w:t>
            </w:r>
          </w:p>
        </w:tc>
        <w:tc>
          <w:tcPr>
            <w:tcW w:w="1506" w:type="dxa"/>
            <w:shd w:val="clear" w:color="auto" w:fill="auto"/>
            <w:noWrap/>
            <w:hideMark/>
          </w:tcPr>
          <w:p w14:paraId="44AA9637" w14:textId="25F1FE5D" w:rsidR="00A12E91" w:rsidRPr="00BF6F6A" w:rsidRDefault="00A12E91" w:rsidP="003B4F8D">
            <w:pPr>
              <w:pStyle w:val="NormalWeb"/>
              <w:spacing w:before="0" w:beforeAutospacing="0" w:after="0" w:afterAutospacing="0"/>
              <w:rPr>
                <w:sz w:val="20"/>
                <w:szCs w:val="20"/>
                <w:shd w:val="clear" w:color="auto" w:fill="FFFFFF"/>
              </w:rPr>
            </w:pPr>
            <w:r w:rsidRPr="00BF6F6A">
              <w:rPr>
                <w:b/>
                <w:bCs/>
                <w:sz w:val="20"/>
                <w:szCs w:val="20"/>
                <w:shd w:val="clear" w:color="auto" w:fill="FFFFFF"/>
              </w:rPr>
              <w:t>Sector</w:t>
            </w:r>
          </w:p>
        </w:tc>
        <w:tc>
          <w:tcPr>
            <w:tcW w:w="1842" w:type="dxa"/>
            <w:shd w:val="clear" w:color="auto" w:fill="auto"/>
            <w:noWrap/>
            <w:hideMark/>
          </w:tcPr>
          <w:p w14:paraId="5F5189E8" w14:textId="181EFFBA" w:rsidR="00A12E91" w:rsidRPr="00BF6F6A" w:rsidRDefault="00A12E91" w:rsidP="003B4F8D">
            <w:pPr>
              <w:pStyle w:val="NormalWeb"/>
              <w:spacing w:before="0" w:beforeAutospacing="0" w:after="0" w:afterAutospacing="0"/>
              <w:rPr>
                <w:sz w:val="20"/>
                <w:szCs w:val="20"/>
                <w:shd w:val="clear" w:color="auto" w:fill="FFFFFF"/>
              </w:rPr>
            </w:pPr>
            <w:r w:rsidRPr="00BF6F6A">
              <w:rPr>
                <w:b/>
                <w:bCs/>
                <w:sz w:val="20"/>
                <w:szCs w:val="20"/>
                <w:shd w:val="clear" w:color="auto" w:fill="FFFFFF"/>
              </w:rPr>
              <w:t>Job title</w:t>
            </w:r>
          </w:p>
        </w:tc>
        <w:tc>
          <w:tcPr>
            <w:tcW w:w="1701" w:type="dxa"/>
            <w:shd w:val="clear" w:color="auto" w:fill="auto"/>
            <w:noWrap/>
            <w:hideMark/>
          </w:tcPr>
          <w:p w14:paraId="56245F86" w14:textId="16AF4890" w:rsidR="00A12E91" w:rsidRPr="00BF6F6A" w:rsidRDefault="00A12E91" w:rsidP="003B4F8D">
            <w:pPr>
              <w:pStyle w:val="NormalWeb"/>
              <w:spacing w:before="0" w:beforeAutospacing="0" w:after="0" w:afterAutospacing="0"/>
              <w:rPr>
                <w:sz w:val="20"/>
                <w:szCs w:val="20"/>
                <w:shd w:val="clear" w:color="auto" w:fill="FFFFFF"/>
              </w:rPr>
            </w:pPr>
            <w:r w:rsidRPr="00BF6F6A">
              <w:rPr>
                <w:b/>
                <w:bCs/>
                <w:sz w:val="20"/>
                <w:szCs w:val="20"/>
                <w:shd w:val="clear" w:color="auto" w:fill="FFFFFF"/>
              </w:rPr>
              <w:t>Professional sector experience / GRESB collaboration (years)</w:t>
            </w:r>
          </w:p>
        </w:tc>
        <w:tc>
          <w:tcPr>
            <w:tcW w:w="1283" w:type="dxa"/>
            <w:shd w:val="clear" w:color="auto" w:fill="auto"/>
            <w:noWrap/>
            <w:hideMark/>
          </w:tcPr>
          <w:p w14:paraId="4C717424" w14:textId="7E495A88" w:rsidR="00A12E91" w:rsidRPr="00BF6F6A" w:rsidRDefault="00A12E91" w:rsidP="003B4F8D">
            <w:pPr>
              <w:pStyle w:val="NormalWeb"/>
              <w:spacing w:before="0" w:beforeAutospacing="0" w:after="0" w:afterAutospacing="0"/>
              <w:rPr>
                <w:sz w:val="20"/>
                <w:szCs w:val="20"/>
                <w:shd w:val="clear" w:color="auto" w:fill="FFFFFF"/>
              </w:rPr>
            </w:pPr>
            <w:r w:rsidRPr="00BF6F6A">
              <w:rPr>
                <w:b/>
                <w:bCs/>
                <w:sz w:val="20"/>
                <w:szCs w:val="20"/>
                <w:shd w:val="clear" w:color="auto" w:fill="FFFFFF"/>
              </w:rPr>
              <w:t>Highest academic achievement</w:t>
            </w:r>
          </w:p>
        </w:tc>
        <w:tc>
          <w:tcPr>
            <w:tcW w:w="1127" w:type="dxa"/>
          </w:tcPr>
          <w:p w14:paraId="37816876" w14:textId="6043D2F3" w:rsidR="00A12E91" w:rsidRPr="00BF6F6A" w:rsidRDefault="00A12E91" w:rsidP="003B4F8D">
            <w:pPr>
              <w:pStyle w:val="NormalWeb"/>
              <w:spacing w:before="0" w:beforeAutospacing="0" w:after="0" w:afterAutospacing="0"/>
              <w:rPr>
                <w:sz w:val="20"/>
                <w:szCs w:val="20"/>
                <w:shd w:val="clear" w:color="auto" w:fill="FFFFFF"/>
              </w:rPr>
            </w:pPr>
            <w:r w:rsidRPr="00BF6F6A">
              <w:rPr>
                <w:b/>
                <w:bCs/>
                <w:sz w:val="20"/>
                <w:szCs w:val="20"/>
                <w:shd w:val="clear" w:color="auto" w:fill="FFFFFF"/>
              </w:rPr>
              <w:t>Company size</w:t>
            </w:r>
          </w:p>
        </w:tc>
      </w:tr>
      <w:tr w:rsidR="00A12E91" w:rsidRPr="00BF6F6A" w14:paraId="28746F94" w14:textId="77777777" w:rsidTr="00252A44">
        <w:trPr>
          <w:trHeight w:val="288"/>
        </w:trPr>
        <w:tc>
          <w:tcPr>
            <w:tcW w:w="1183" w:type="dxa"/>
          </w:tcPr>
          <w:p w14:paraId="64152F2B" w14:textId="02599911" w:rsidR="00A12E91" w:rsidRPr="00BF6F6A" w:rsidRDefault="00A12E91" w:rsidP="00BC484D">
            <w:pPr>
              <w:pStyle w:val="NormalWeb"/>
              <w:spacing w:before="0" w:beforeAutospacing="0" w:after="0" w:afterAutospacing="0"/>
              <w:rPr>
                <w:sz w:val="20"/>
                <w:szCs w:val="20"/>
                <w:shd w:val="clear" w:color="auto" w:fill="FFFFFF"/>
              </w:rPr>
            </w:pPr>
            <w:r w:rsidRPr="00BF6F6A">
              <w:rPr>
                <w:sz w:val="20"/>
                <w:szCs w:val="20"/>
                <w:shd w:val="clear" w:color="auto" w:fill="FFFFFF"/>
              </w:rPr>
              <w:t>P8</w:t>
            </w:r>
          </w:p>
        </w:tc>
        <w:tc>
          <w:tcPr>
            <w:tcW w:w="1506" w:type="dxa"/>
            <w:shd w:val="clear" w:color="auto" w:fill="auto"/>
            <w:noWrap/>
            <w:hideMark/>
          </w:tcPr>
          <w:p w14:paraId="3522524C" w14:textId="6344DE68" w:rsidR="00A12E91" w:rsidRPr="00BF6F6A" w:rsidRDefault="00A12E91" w:rsidP="00BC484D">
            <w:pPr>
              <w:pStyle w:val="NormalWeb"/>
              <w:spacing w:before="0" w:beforeAutospacing="0" w:after="0" w:afterAutospacing="0"/>
              <w:rPr>
                <w:sz w:val="20"/>
                <w:szCs w:val="20"/>
                <w:shd w:val="clear" w:color="auto" w:fill="FFFFFF"/>
              </w:rPr>
            </w:pPr>
            <w:r w:rsidRPr="00BF6F6A">
              <w:rPr>
                <w:sz w:val="20"/>
                <w:szCs w:val="20"/>
                <w:shd w:val="clear" w:color="auto" w:fill="FFFFFF"/>
              </w:rPr>
              <w:t>GRESB</w:t>
            </w:r>
          </w:p>
        </w:tc>
        <w:tc>
          <w:tcPr>
            <w:tcW w:w="1842" w:type="dxa"/>
            <w:shd w:val="clear" w:color="auto" w:fill="auto"/>
            <w:noWrap/>
            <w:hideMark/>
          </w:tcPr>
          <w:p w14:paraId="00BBF146" w14:textId="77777777" w:rsidR="00A12E91" w:rsidRPr="00BF6F6A" w:rsidRDefault="00A12E91" w:rsidP="00BC484D">
            <w:pPr>
              <w:pStyle w:val="NormalWeb"/>
              <w:spacing w:before="0" w:beforeAutospacing="0" w:after="0" w:afterAutospacing="0"/>
              <w:rPr>
                <w:sz w:val="20"/>
                <w:szCs w:val="20"/>
                <w:shd w:val="clear" w:color="auto" w:fill="FFFFFF"/>
              </w:rPr>
            </w:pPr>
            <w:r w:rsidRPr="00BF6F6A">
              <w:rPr>
                <w:sz w:val="20"/>
                <w:szCs w:val="20"/>
                <w:shd w:val="clear" w:color="auto" w:fill="FFFFFF"/>
              </w:rPr>
              <w:t>Real Estate Analyst</w:t>
            </w:r>
          </w:p>
        </w:tc>
        <w:tc>
          <w:tcPr>
            <w:tcW w:w="1701" w:type="dxa"/>
            <w:shd w:val="clear" w:color="auto" w:fill="auto"/>
            <w:noWrap/>
            <w:hideMark/>
          </w:tcPr>
          <w:p w14:paraId="4523BEBB" w14:textId="77777777" w:rsidR="00A12E91" w:rsidRPr="00BF6F6A" w:rsidRDefault="00A12E91" w:rsidP="00BC484D">
            <w:pPr>
              <w:pStyle w:val="NormalWeb"/>
              <w:spacing w:before="0" w:beforeAutospacing="0" w:after="0" w:afterAutospacing="0"/>
              <w:rPr>
                <w:sz w:val="20"/>
                <w:szCs w:val="20"/>
                <w:shd w:val="clear" w:color="auto" w:fill="FFFFFF"/>
              </w:rPr>
            </w:pPr>
            <w:r w:rsidRPr="00BF6F6A">
              <w:rPr>
                <w:sz w:val="20"/>
                <w:szCs w:val="20"/>
                <w:shd w:val="clear" w:color="auto" w:fill="FFFFFF"/>
              </w:rPr>
              <w:t>1/1</w:t>
            </w:r>
          </w:p>
        </w:tc>
        <w:tc>
          <w:tcPr>
            <w:tcW w:w="1283" w:type="dxa"/>
            <w:shd w:val="clear" w:color="auto" w:fill="auto"/>
            <w:noWrap/>
            <w:hideMark/>
          </w:tcPr>
          <w:p w14:paraId="0758DD89" w14:textId="77777777" w:rsidR="00A12E91" w:rsidRPr="00BF6F6A" w:rsidRDefault="00A12E91" w:rsidP="00BC484D">
            <w:pPr>
              <w:pStyle w:val="NormalWeb"/>
              <w:spacing w:before="0" w:beforeAutospacing="0" w:after="0" w:afterAutospacing="0"/>
              <w:rPr>
                <w:sz w:val="20"/>
                <w:szCs w:val="20"/>
                <w:shd w:val="clear" w:color="auto" w:fill="FFFFFF"/>
              </w:rPr>
            </w:pPr>
            <w:r w:rsidRPr="00BF6F6A">
              <w:rPr>
                <w:sz w:val="20"/>
                <w:szCs w:val="20"/>
                <w:shd w:val="clear" w:color="auto" w:fill="FFFFFF"/>
              </w:rPr>
              <w:t>Masters</w:t>
            </w:r>
          </w:p>
        </w:tc>
        <w:tc>
          <w:tcPr>
            <w:tcW w:w="1127" w:type="dxa"/>
          </w:tcPr>
          <w:p w14:paraId="7737884A" w14:textId="6E40153F" w:rsidR="00A12E91" w:rsidRPr="00BF6F6A" w:rsidRDefault="001E7F6C" w:rsidP="00BC484D">
            <w:pPr>
              <w:pStyle w:val="NormalWeb"/>
              <w:spacing w:before="0" w:beforeAutospacing="0" w:after="0" w:afterAutospacing="0"/>
              <w:rPr>
                <w:sz w:val="20"/>
                <w:szCs w:val="20"/>
                <w:shd w:val="clear" w:color="auto" w:fill="FFFFFF"/>
              </w:rPr>
            </w:pPr>
            <w:r w:rsidRPr="00BF6F6A">
              <w:rPr>
                <w:sz w:val="20"/>
                <w:szCs w:val="20"/>
                <w:shd w:val="clear" w:color="auto" w:fill="FFFFFF"/>
              </w:rPr>
              <w:t>N/A</w:t>
            </w:r>
          </w:p>
        </w:tc>
      </w:tr>
    </w:tbl>
    <w:p w14:paraId="5CD0D445" w14:textId="77777777" w:rsidR="003B4F8D" w:rsidRPr="00BF6F6A" w:rsidRDefault="003B4F8D" w:rsidP="003B4F8D">
      <w:pPr>
        <w:rPr>
          <w:rFonts w:eastAsia="Calibri"/>
        </w:rPr>
      </w:pPr>
    </w:p>
    <w:p w14:paraId="2EA004C6" w14:textId="059EBDFF" w:rsidR="000A4EE0" w:rsidRPr="00BF6F6A" w:rsidRDefault="003B4F8D" w:rsidP="003B4F8D">
      <w:pPr>
        <w:pStyle w:val="Heading2"/>
        <w:spacing w:before="0" w:after="0"/>
        <w:rPr>
          <w:rFonts w:eastAsia="Calibri" w:cs="Times New Roman"/>
          <w:b w:val="0"/>
          <w:sz w:val="29"/>
          <w:szCs w:val="22"/>
        </w:rPr>
      </w:pPr>
      <w:r w:rsidRPr="00BF6F6A">
        <w:rPr>
          <w:rFonts w:eastAsia="Calibri" w:cs="Times New Roman"/>
          <w:b w:val="0"/>
          <w:sz w:val="29"/>
          <w:szCs w:val="22"/>
        </w:rPr>
        <w:t xml:space="preserve">4.2 </w:t>
      </w:r>
      <w:r w:rsidR="00C328DC" w:rsidRPr="00BF6F6A">
        <w:rPr>
          <w:rFonts w:eastAsia="Calibri" w:cs="Times New Roman"/>
          <w:b w:val="0"/>
          <w:sz w:val="29"/>
          <w:szCs w:val="22"/>
        </w:rPr>
        <w:t xml:space="preserve">Identified </w:t>
      </w:r>
      <w:r w:rsidR="00FE48E5" w:rsidRPr="00BF6F6A">
        <w:rPr>
          <w:rFonts w:eastAsia="Calibri" w:cs="Times New Roman"/>
          <w:b w:val="0"/>
          <w:sz w:val="29"/>
          <w:szCs w:val="22"/>
        </w:rPr>
        <w:t>t</w:t>
      </w:r>
      <w:r w:rsidR="00C328DC" w:rsidRPr="00BF6F6A">
        <w:rPr>
          <w:rFonts w:eastAsia="Calibri" w:cs="Times New Roman"/>
          <w:b w:val="0"/>
          <w:sz w:val="29"/>
          <w:szCs w:val="22"/>
        </w:rPr>
        <w:t>hemes</w:t>
      </w:r>
      <w:bookmarkEnd w:id="21"/>
    </w:p>
    <w:p w14:paraId="25D5EF21" w14:textId="0617B6F2" w:rsidR="007F607F" w:rsidRPr="00BF6F6A" w:rsidRDefault="007F607F" w:rsidP="005A09F0">
      <w:pPr>
        <w:jc w:val="both"/>
        <w:rPr>
          <w:shd w:val="clear" w:color="auto" w:fill="FFFFFF"/>
        </w:rPr>
      </w:pPr>
      <w:bookmarkStart w:id="23" w:name="_Hlk98852653"/>
      <w:r w:rsidRPr="00BF6F6A">
        <w:rPr>
          <w:shd w:val="clear" w:color="auto" w:fill="FFFFFF"/>
        </w:rPr>
        <w:t xml:space="preserve">The findings from the analyses are surmised in Figures 1a and 1b, with the themes extracted from the conversations listed in ranked </w:t>
      </w:r>
      <w:r w:rsidR="004017BC" w:rsidRPr="00BF6F6A">
        <w:rPr>
          <w:shd w:val="clear" w:color="auto" w:fill="FFFFFF"/>
        </w:rPr>
        <w:t xml:space="preserve">order </w:t>
      </w:r>
      <w:r w:rsidR="005A230A">
        <w:rPr>
          <w:shd w:val="clear" w:color="auto" w:fill="FFFFFF"/>
        </w:rPr>
        <w:t xml:space="preserve">(according to their cited frequency) </w:t>
      </w:r>
      <w:r w:rsidR="004017BC" w:rsidRPr="00BF6F6A">
        <w:rPr>
          <w:shd w:val="clear" w:color="auto" w:fill="FFFFFF"/>
        </w:rPr>
        <w:t>and</w:t>
      </w:r>
      <w:r w:rsidR="001113CB" w:rsidRPr="00BF6F6A">
        <w:rPr>
          <w:shd w:val="clear" w:color="auto" w:fill="FFFFFF"/>
        </w:rPr>
        <w:t xml:space="preserve"> are now presented and discussed beneath</w:t>
      </w:r>
      <w:r w:rsidRPr="00BF6F6A">
        <w:rPr>
          <w:shd w:val="clear" w:color="auto" w:fill="FFFFFF"/>
        </w:rPr>
        <w:t>.</w:t>
      </w:r>
    </w:p>
    <w:bookmarkEnd w:id="22"/>
    <w:bookmarkEnd w:id="23"/>
    <w:p w14:paraId="0265B603" w14:textId="23C0EEF1" w:rsidR="001517AD" w:rsidRPr="00BF6F6A" w:rsidRDefault="001517AD" w:rsidP="003B4F8D">
      <w:pPr>
        <w:jc w:val="center"/>
        <w:rPr>
          <w:b/>
          <w:bCs/>
          <w:shd w:val="clear" w:color="auto" w:fill="FFFFFF"/>
        </w:rPr>
      </w:pPr>
    </w:p>
    <w:p w14:paraId="5018E854" w14:textId="10B48768" w:rsidR="00420ACC" w:rsidRPr="00BF6F6A" w:rsidRDefault="0025219C" w:rsidP="00945055">
      <w:pPr>
        <w:jc w:val="both"/>
        <w:rPr>
          <w:b/>
          <w:bCs/>
        </w:rPr>
      </w:pPr>
      <w:bookmarkStart w:id="24" w:name="_Ref159099400"/>
      <w:bookmarkStart w:id="25" w:name="_Ref163482017"/>
      <w:r w:rsidRPr="0025219C">
        <w:lastRenderedPageBreak/>
        <w:t xml:space="preserve"> </w:t>
      </w:r>
      <w:r>
        <w:object w:dxaOrig="9744" w:dyaOrig="13044" w14:anchorId="66AA4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05pt;height:568.4pt" o:ole="">
            <v:imagedata r:id="rId11" o:title=""/>
          </v:shape>
          <o:OLEObject Type="Embed" ProgID="Visio.Drawing.15" ShapeID="_x0000_i1025" DrawAspect="Content" ObjectID="_1789586793" r:id="rId12"/>
        </w:object>
      </w:r>
    </w:p>
    <w:p w14:paraId="2D912578" w14:textId="77777777" w:rsidR="00F766A5" w:rsidRPr="00BF6F6A" w:rsidRDefault="00F766A5" w:rsidP="00945055">
      <w:pPr>
        <w:jc w:val="both"/>
        <w:rPr>
          <w:b/>
          <w:bCs/>
        </w:rPr>
      </w:pPr>
    </w:p>
    <w:p w14:paraId="337B623B" w14:textId="4DBED8D4" w:rsidR="00323CA7" w:rsidRPr="00BF6F6A" w:rsidRDefault="00CA73F4" w:rsidP="00945055">
      <w:pPr>
        <w:jc w:val="both"/>
        <w:rPr>
          <w:b/>
          <w:bCs/>
          <w:shd w:val="clear" w:color="auto" w:fill="FFFFFF"/>
        </w:rPr>
      </w:pPr>
      <w:r w:rsidRPr="00BF6F6A">
        <w:rPr>
          <w:b/>
          <w:bCs/>
        </w:rPr>
        <w:t>Fig</w:t>
      </w:r>
      <w:r w:rsidR="007828A8" w:rsidRPr="00BF6F6A">
        <w:rPr>
          <w:b/>
          <w:bCs/>
        </w:rPr>
        <w:t>ure</w:t>
      </w:r>
      <w:r w:rsidRPr="00BF6F6A">
        <w:rPr>
          <w:b/>
          <w:bCs/>
        </w:rPr>
        <w:t xml:space="preserve"> </w:t>
      </w:r>
      <w:r w:rsidRPr="00BF6F6A">
        <w:rPr>
          <w:b/>
          <w:bCs/>
        </w:rPr>
        <w:fldChar w:fldCharType="begin"/>
      </w:r>
      <w:r w:rsidRPr="00BF6F6A">
        <w:rPr>
          <w:b/>
          <w:bCs/>
        </w:rPr>
        <w:instrText xml:space="preserve"> SEQ Figure \* ARABIC </w:instrText>
      </w:r>
      <w:r w:rsidRPr="00BF6F6A">
        <w:rPr>
          <w:b/>
          <w:bCs/>
        </w:rPr>
        <w:fldChar w:fldCharType="separate"/>
      </w:r>
      <w:r w:rsidRPr="00BF6F6A">
        <w:rPr>
          <w:b/>
          <w:bCs/>
        </w:rPr>
        <w:t>1</w:t>
      </w:r>
      <w:r w:rsidRPr="00BF6F6A">
        <w:rPr>
          <w:b/>
          <w:bCs/>
        </w:rPr>
        <w:fldChar w:fldCharType="end"/>
      </w:r>
      <w:bookmarkEnd w:id="24"/>
      <w:r w:rsidR="007828A8" w:rsidRPr="00BF6F6A">
        <w:rPr>
          <w:b/>
          <w:bCs/>
        </w:rPr>
        <w:t>:</w:t>
      </w:r>
      <w:r w:rsidRPr="00BF6F6A">
        <w:rPr>
          <w:b/>
          <w:bCs/>
        </w:rPr>
        <w:t xml:space="preserve"> </w:t>
      </w:r>
      <w:r w:rsidR="00420ACC" w:rsidRPr="00BF6F6A">
        <w:rPr>
          <w:b/>
          <w:bCs/>
          <w:shd w:val="clear" w:color="auto" w:fill="FFFFFF"/>
        </w:rPr>
        <w:t>A summary of the themes and sub-themes extracted from the analyses</w:t>
      </w:r>
      <w:bookmarkEnd w:id="25"/>
    </w:p>
    <w:p w14:paraId="4766AB7D" w14:textId="77777777" w:rsidR="00420ACC" w:rsidRPr="00BF6F6A" w:rsidRDefault="00420ACC" w:rsidP="003B4F8D">
      <w:pPr>
        <w:jc w:val="both"/>
      </w:pPr>
    </w:p>
    <w:p w14:paraId="6EA67950" w14:textId="6010D48A" w:rsidR="00776303" w:rsidRPr="00BF6F6A" w:rsidRDefault="00154A44" w:rsidP="003B4F8D">
      <w:pPr>
        <w:pStyle w:val="Heading3"/>
        <w:numPr>
          <w:ilvl w:val="0"/>
          <w:numId w:val="0"/>
        </w:numPr>
        <w:spacing w:before="0" w:after="0"/>
        <w:rPr>
          <w:rFonts w:cs="Times New Roman"/>
          <w:u w:val="none"/>
          <w:shd w:val="clear" w:color="auto" w:fill="FFFFFF"/>
        </w:rPr>
      </w:pPr>
      <w:bookmarkStart w:id="26" w:name="_Toc99882244"/>
      <w:r w:rsidRPr="00BF6F6A">
        <w:rPr>
          <w:rFonts w:cs="Times New Roman"/>
          <w:u w:val="none"/>
          <w:shd w:val="clear" w:color="auto" w:fill="FFFFFF"/>
        </w:rPr>
        <w:t xml:space="preserve">ESG </w:t>
      </w:r>
      <w:r w:rsidR="00FE48E5" w:rsidRPr="00BF6F6A">
        <w:rPr>
          <w:rFonts w:cs="Times New Roman"/>
          <w:u w:val="none"/>
          <w:shd w:val="clear" w:color="auto" w:fill="FFFFFF"/>
        </w:rPr>
        <w:t>o</w:t>
      </w:r>
      <w:r w:rsidR="00776303" w:rsidRPr="00BF6F6A">
        <w:rPr>
          <w:rFonts w:cs="Times New Roman"/>
          <w:u w:val="none"/>
          <w:shd w:val="clear" w:color="auto" w:fill="FFFFFF"/>
        </w:rPr>
        <w:t xml:space="preserve">rganisation </w:t>
      </w:r>
      <w:r w:rsidR="00FE48E5" w:rsidRPr="00BF6F6A">
        <w:rPr>
          <w:rFonts w:cs="Times New Roman"/>
          <w:u w:val="none"/>
          <w:shd w:val="clear" w:color="auto" w:fill="FFFFFF"/>
        </w:rPr>
        <w:t>m</w:t>
      </w:r>
      <w:r w:rsidR="00776303" w:rsidRPr="00BF6F6A">
        <w:rPr>
          <w:rFonts w:cs="Times New Roman"/>
          <w:u w:val="none"/>
          <w:shd w:val="clear" w:color="auto" w:fill="FFFFFF"/>
        </w:rPr>
        <w:t>otivations</w:t>
      </w:r>
      <w:bookmarkEnd w:id="26"/>
    </w:p>
    <w:p w14:paraId="4B430D79" w14:textId="60FA4FD8" w:rsidR="005E0CFB" w:rsidRPr="00BF6F6A" w:rsidRDefault="00037516" w:rsidP="003B4F8D">
      <w:pPr>
        <w:jc w:val="both"/>
        <w:rPr>
          <w:shd w:val="clear" w:color="auto" w:fill="FFFFFF"/>
        </w:rPr>
      </w:pPr>
      <w:r w:rsidRPr="00BF6F6A">
        <w:rPr>
          <w:shd w:val="clear" w:color="auto" w:fill="FFFFFF"/>
        </w:rPr>
        <w:t xml:space="preserve">All </w:t>
      </w:r>
      <w:r w:rsidR="00617031" w:rsidRPr="00BF6F6A">
        <w:rPr>
          <w:shd w:val="clear" w:color="auto" w:fill="FFFFFF"/>
        </w:rPr>
        <w:t xml:space="preserve">participants </w:t>
      </w:r>
      <w:r w:rsidR="00A632FA" w:rsidRPr="00BF6F6A">
        <w:rPr>
          <w:shd w:val="clear" w:color="auto" w:fill="FFFFFF"/>
        </w:rPr>
        <w:t>declared</w:t>
      </w:r>
      <w:r w:rsidR="004B48F4" w:rsidRPr="00BF6F6A">
        <w:rPr>
          <w:shd w:val="clear" w:color="auto" w:fill="FFFFFF"/>
        </w:rPr>
        <w:t xml:space="preserve"> </w:t>
      </w:r>
      <w:r w:rsidR="001113CB" w:rsidRPr="00BF6F6A">
        <w:rPr>
          <w:shd w:val="clear" w:color="auto" w:fill="FFFFFF"/>
        </w:rPr>
        <w:t xml:space="preserve">that </w:t>
      </w:r>
      <w:r w:rsidR="004B48F4" w:rsidRPr="00BF6F6A">
        <w:rPr>
          <w:shd w:val="clear" w:color="auto" w:fill="FFFFFF"/>
        </w:rPr>
        <w:t>their</w:t>
      </w:r>
      <w:r w:rsidR="00617031" w:rsidRPr="00BF6F6A">
        <w:rPr>
          <w:shd w:val="clear" w:color="auto" w:fill="FFFFFF"/>
        </w:rPr>
        <w:t xml:space="preserve"> organisation</w:t>
      </w:r>
      <w:r w:rsidR="00095EEF" w:rsidRPr="00BF6F6A">
        <w:rPr>
          <w:shd w:val="clear" w:color="auto" w:fill="FFFFFF"/>
        </w:rPr>
        <w:t>s</w:t>
      </w:r>
      <w:r w:rsidR="00A632FA" w:rsidRPr="00BF6F6A">
        <w:rPr>
          <w:shd w:val="clear" w:color="auto" w:fill="FFFFFF"/>
        </w:rPr>
        <w:t>’</w:t>
      </w:r>
      <w:r w:rsidR="00617031" w:rsidRPr="00BF6F6A">
        <w:rPr>
          <w:shd w:val="clear" w:color="auto" w:fill="FFFFFF"/>
        </w:rPr>
        <w:t xml:space="preserve"> </w:t>
      </w:r>
      <w:r w:rsidR="001113CB" w:rsidRPr="00BF6F6A">
        <w:rPr>
          <w:shd w:val="clear" w:color="auto" w:fill="FFFFFF"/>
        </w:rPr>
        <w:t xml:space="preserve">main </w:t>
      </w:r>
      <w:r w:rsidR="004B48F4" w:rsidRPr="00BF6F6A">
        <w:rPr>
          <w:shd w:val="clear" w:color="auto" w:fill="FFFFFF"/>
        </w:rPr>
        <w:t>motivat</w:t>
      </w:r>
      <w:r w:rsidR="00A632FA" w:rsidRPr="00BF6F6A">
        <w:rPr>
          <w:shd w:val="clear" w:color="auto" w:fill="FFFFFF"/>
        </w:rPr>
        <w:t>ion</w:t>
      </w:r>
      <w:r w:rsidR="004B48F4" w:rsidRPr="00BF6F6A">
        <w:rPr>
          <w:shd w:val="clear" w:color="auto" w:fill="FFFFFF"/>
        </w:rPr>
        <w:t xml:space="preserve"> </w:t>
      </w:r>
      <w:r w:rsidR="00617031" w:rsidRPr="00BF6F6A">
        <w:rPr>
          <w:shd w:val="clear" w:color="auto" w:fill="FFFFFF"/>
        </w:rPr>
        <w:t xml:space="preserve">to engage with ESG </w:t>
      </w:r>
      <w:r w:rsidR="007828A8" w:rsidRPr="00BF6F6A">
        <w:rPr>
          <w:shd w:val="clear" w:color="auto" w:fill="FFFFFF"/>
        </w:rPr>
        <w:t xml:space="preserve">is important </w:t>
      </w:r>
      <w:r w:rsidRPr="00BF6F6A">
        <w:rPr>
          <w:shd w:val="clear" w:color="auto" w:fill="FFFFFF"/>
        </w:rPr>
        <w:t>with three</w:t>
      </w:r>
      <w:r w:rsidR="005A2AE6" w:rsidRPr="00BF6F6A">
        <w:rPr>
          <w:shd w:val="clear" w:color="auto" w:fill="FFFFFF"/>
        </w:rPr>
        <w:t xml:space="preserve"> </w:t>
      </w:r>
      <w:r w:rsidR="00440AB2" w:rsidRPr="00BF6F6A">
        <w:rPr>
          <w:shd w:val="clear" w:color="auto" w:fill="FFFFFF"/>
        </w:rPr>
        <w:t>indicat</w:t>
      </w:r>
      <w:r w:rsidRPr="00BF6F6A">
        <w:rPr>
          <w:shd w:val="clear" w:color="auto" w:fill="FFFFFF"/>
        </w:rPr>
        <w:t xml:space="preserve">ing </w:t>
      </w:r>
      <w:r w:rsidR="004B48F4" w:rsidRPr="00BF6F6A">
        <w:rPr>
          <w:shd w:val="clear" w:color="auto" w:fill="FFFFFF"/>
        </w:rPr>
        <w:t xml:space="preserve">engagement </w:t>
      </w:r>
      <w:r w:rsidR="005A2AE6" w:rsidRPr="00BF6F6A">
        <w:rPr>
          <w:shd w:val="clear" w:color="auto" w:fill="FFFFFF"/>
        </w:rPr>
        <w:t>driven by investor</w:t>
      </w:r>
      <w:r w:rsidRPr="00BF6F6A">
        <w:rPr>
          <w:shd w:val="clear" w:color="auto" w:fill="FFFFFF"/>
        </w:rPr>
        <w:t>s w</w:t>
      </w:r>
      <w:r w:rsidR="00C1211C" w:rsidRPr="00BF6F6A">
        <w:rPr>
          <w:shd w:val="clear" w:color="auto" w:fill="FFFFFF"/>
        </w:rPr>
        <w:t>anting to</w:t>
      </w:r>
      <w:r w:rsidR="006E2FDD" w:rsidRPr="00BF6F6A">
        <w:rPr>
          <w:shd w:val="clear" w:color="auto" w:fill="FFFFFF"/>
        </w:rPr>
        <w:t xml:space="preserve"> </w:t>
      </w:r>
      <w:r w:rsidR="00FF37E0" w:rsidRPr="00BF6F6A">
        <w:rPr>
          <w:shd w:val="clear" w:color="auto" w:fill="FFFFFF"/>
        </w:rPr>
        <w:t xml:space="preserve">be seen to </w:t>
      </w:r>
      <w:r w:rsidR="006E2FDD" w:rsidRPr="00BF6F6A">
        <w:rPr>
          <w:shd w:val="clear" w:color="auto" w:fill="FFFFFF"/>
        </w:rPr>
        <w:t xml:space="preserve">work with companies </w:t>
      </w:r>
      <w:r w:rsidR="00A632FA" w:rsidRPr="00BF6F6A">
        <w:rPr>
          <w:shd w:val="clear" w:color="auto" w:fill="FFFFFF"/>
        </w:rPr>
        <w:t>of</w:t>
      </w:r>
      <w:r w:rsidR="006E2FDD" w:rsidRPr="00BF6F6A">
        <w:rPr>
          <w:shd w:val="clear" w:color="auto" w:fill="FFFFFF"/>
        </w:rPr>
        <w:t xml:space="preserve"> good sustainability credentials</w:t>
      </w:r>
      <w:r w:rsidR="00D568C2" w:rsidRPr="00BF6F6A">
        <w:rPr>
          <w:shd w:val="clear" w:color="auto" w:fill="FFFFFF"/>
        </w:rPr>
        <w:t>.</w:t>
      </w:r>
      <w:r w:rsidR="004B48F4" w:rsidRPr="00BF6F6A">
        <w:rPr>
          <w:shd w:val="clear" w:color="auto" w:fill="FFFFFF"/>
        </w:rPr>
        <w:t xml:space="preserve"> </w:t>
      </w:r>
      <w:r w:rsidR="003B4F8D" w:rsidRPr="00BF6F6A">
        <w:rPr>
          <w:shd w:val="clear" w:color="auto" w:fill="FFFFFF"/>
        </w:rPr>
        <w:t xml:space="preserve">Many </w:t>
      </w:r>
      <w:r w:rsidR="00551862" w:rsidRPr="00BF6F6A">
        <w:rPr>
          <w:shd w:val="clear" w:color="auto" w:fill="FFFFFF"/>
        </w:rPr>
        <w:t xml:space="preserve">responses </w:t>
      </w:r>
      <w:r w:rsidR="004B48F4" w:rsidRPr="00BF6F6A">
        <w:rPr>
          <w:shd w:val="clear" w:color="auto" w:fill="FFFFFF"/>
        </w:rPr>
        <w:t>centred</w:t>
      </w:r>
      <w:r w:rsidR="00551862" w:rsidRPr="00BF6F6A">
        <w:rPr>
          <w:shd w:val="clear" w:color="auto" w:fill="FFFFFF"/>
        </w:rPr>
        <w:t xml:space="preserve"> around risk management </w:t>
      </w:r>
      <w:r w:rsidR="004B48F4" w:rsidRPr="00BF6F6A">
        <w:rPr>
          <w:shd w:val="clear" w:color="auto" w:fill="FFFFFF"/>
        </w:rPr>
        <w:t>and</w:t>
      </w:r>
      <w:r w:rsidR="00EA3905" w:rsidRPr="00BF6F6A">
        <w:rPr>
          <w:shd w:val="clear" w:color="auto" w:fill="FFFFFF"/>
        </w:rPr>
        <w:t xml:space="preserve"> reputational concerns </w:t>
      </w:r>
      <w:r w:rsidR="003B4F8D" w:rsidRPr="00BF6F6A">
        <w:rPr>
          <w:shd w:val="clear" w:color="auto" w:fill="FFFFFF"/>
        </w:rPr>
        <w:t xml:space="preserve">like </w:t>
      </w:r>
      <w:r w:rsidR="00EA3905" w:rsidRPr="00BF6F6A">
        <w:rPr>
          <w:i/>
          <w:iCs/>
          <w:shd w:val="clear" w:color="auto" w:fill="FFFFFF"/>
        </w:rPr>
        <w:t>“</w:t>
      </w:r>
      <w:r w:rsidR="001113CB" w:rsidRPr="00BF6F6A">
        <w:rPr>
          <w:i/>
        </w:rPr>
        <w:t xml:space="preserve">I think for the executive committee </w:t>
      </w:r>
      <w:r w:rsidR="001113CB" w:rsidRPr="00BF6F6A">
        <w:rPr>
          <w:i/>
        </w:rPr>
        <w:lastRenderedPageBreak/>
        <w:t>especially, it is the risk, the risk of not doing</w:t>
      </w:r>
      <w:r w:rsidR="00EA3905" w:rsidRPr="00BF6F6A">
        <w:rPr>
          <w:i/>
          <w:iCs/>
          <w:shd w:val="clear" w:color="auto" w:fill="FFFFFF"/>
        </w:rPr>
        <w:t>”</w:t>
      </w:r>
      <w:r w:rsidR="005F3C0B" w:rsidRPr="00BF6F6A">
        <w:rPr>
          <w:i/>
          <w:iCs/>
          <w:shd w:val="clear" w:color="auto" w:fill="FFFFFF"/>
        </w:rPr>
        <w:t xml:space="preserve"> </w:t>
      </w:r>
      <w:r w:rsidR="005F3C0B" w:rsidRPr="00BF6F6A">
        <w:rPr>
          <w:shd w:val="clear" w:color="auto" w:fill="FFFFFF"/>
        </w:rPr>
        <w:t>(P5)</w:t>
      </w:r>
      <w:r w:rsidR="003B4F8D" w:rsidRPr="00BF6F6A">
        <w:rPr>
          <w:shd w:val="clear" w:color="auto" w:fill="FFFFFF"/>
        </w:rPr>
        <w:t>. This s</w:t>
      </w:r>
      <w:r w:rsidR="007059DE" w:rsidRPr="00BF6F6A">
        <w:rPr>
          <w:shd w:val="clear" w:color="auto" w:fill="FFFFFF"/>
        </w:rPr>
        <w:t xml:space="preserve">upports Hebb </w:t>
      </w:r>
      <w:r w:rsidR="007059DE" w:rsidRPr="00BF6F6A">
        <w:rPr>
          <w:i/>
          <w:iCs/>
          <w:shd w:val="clear" w:color="auto" w:fill="FFFFFF"/>
        </w:rPr>
        <w:t>et al.</w:t>
      </w:r>
      <w:r w:rsidR="007059DE" w:rsidRPr="00BF6F6A">
        <w:rPr>
          <w:shd w:val="clear" w:color="auto" w:fill="FFFFFF"/>
        </w:rPr>
        <w:t xml:space="preserve"> (2010) and Chambers </w:t>
      </w:r>
      <w:r w:rsidR="007059DE" w:rsidRPr="00BF6F6A">
        <w:rPr>
          <w:i/>
          <w:iCs/>
          <w:shd w:val="clear" w:color="auto" w:fill="FFFFFF"/>
        </w:rPr>
        <w:t>et al.</w:t>
      </w:r>
      <w:r w:rsidR="007059DE" w:rsidRPr="00BF6F6A">
        <w:rPr>
          <w:shd w:val="clear" w:color="auto" w:fill="FFFFFF"/>
        </w:rPr>
        <w:t xml:space="preserve"> (2021) </w:t>
      </w:r>
      <w:r w:rsidRPr="00BF6F6A">
        <w:rPr>
          <w:shd w:val="clear" w:color="auto" w:fill="FFFFFF"/>
        </w:rPr>
        <w:t>conclu</w:t>
      </w:r>
      <w:r w:rsidR="00A632FA" w:rsidRPr="00BF6F6A">
        <w:rPr>
          <w:shd w:val="clear" w:color="auto" w:fill="FFFFFF"/>
        </w:rPr>
        <w:t>sion</w:t>
      </w:r>
      <w:r w:rsidRPr="00BF6F6A">
        <w:rPr>
          <w:shd w:val="clear" w:color="auto" w:fill="FFFFFF"/>
        </w:rPr>
        <w:t xml:space="preserve"> that </w:t>
      </w:r>
      <w:r w:rsidR="00D22007" w:rsidRPr="00BF6F6A">
        <w:rPr>
          <w:shd w:val="clear" w:color="auto" w:fill="FFFFFF"/>
        </w:rPr>
        <w:t>RPI</w:t>
      </w:r>
      <w:r w:rsidR="008B6E99" w:rsidRPr="00BF6F6A">
        <w:rPr>
          <w:shd w:val="clear" w:color="auto" w:fill="FFFFFF"/>
        </w:rPr>
        <w:t xml:space="preserve"> when viewed</w:t>
      </w:r>
      <w:r w:rsidR="007059DE" w:rsidRPr="00BF6F6A">
        <w:rPr>
          <w:shd w:val="clear" w:color="auto" w:fill="FFFFFF"/>
        </w:rPr>
        <w:t xml:space="preserve"> in the wider context of ESG</w:t>
      </w:r>
      <w:r w:rsidR="008B6E99" w:rsidRPr="00BF6F6A">
        <w:rPr>
          <w:shd w:val="clear" w:color="auto" w:fill="FFFFFF"/>
        </w:rPr>
        <w:t>, enhance</w:t>
      </w:r>
      <w:r w:rsidR="00AC1082" w:rsidRPr="00BF6F6A">
        <w:rPr>
          <w:shd w:val="clear" w:color="auto" w:fill="FFFFFF"/>
        </w:rPr>
        <w:t>s</w:t>
      </w:r>
      <w:r w:rsidR="008B6E99" w:rsidRPr="00BF6F6A">
        <w:rPr>
          <w:shd w:val="clear" w:color="auto" w:fill="FFFFFF"/>
        </w:rPr>
        <w:t xml:space="preserve"> corporate reputation</w:t>
      </w:r>
      <w:r w:rsidR="003B4F8D" w:rsidRPr="00BF6F6A">
        <w:rPr>
          <w:shd w:val="clear" w:color="auto" w:fill="FFFFFF"/>
        </w:rPr>
        <w:t xml:space="preserve"> and</w:t>
      </w:r>
      <w:r w:rsidR="00A632FA" w:rsidRPr="00BF6F6A">
        <w:rPr>
          <w:shd w:val="clear" w:color="auto" w:fill="FFFFFF"/>
        </w:rPr>
        <w:t xml:space="preserve"> confirms </w:t>
      </w:r>
      <w:r w:rsidR="00AC1082" w:rsidRPr="00BF6F6A">
        <w:rPr>
          <w:shd w:val="clear" w:color="auto" w:fill="FFFFFF"/>
        </w:rPr>
        <w:t xml:space="preserve">the notion </w:t>
      </w:r>
      <w:r w:rsidR="00A632FA" w:rsidRPr="00BF6F6A">
        <w:rPr>
          <w:shd w:val="clear" w:color="auto" w:fill="FFFFFF"/>
        </w:rPr>
        <w:t>of</w:t>
      </w:r>
      <w:r w:rsidR="00AC1082" w:rsidRPr="00BF6F6A">
        <w:rPr>
          <w:shd w:val="clear" w:color="auto" w:fill="FFFFFF"/>
        </w:rPr>
        <w:t xml:space="preserve"> negative reputational risks </w:t>
      </w:r>
      <w:r w:rsidR="00D85400" w:rsidRPr="00BF6F6A">
        <w:rPr>
          <w:shd w:val="clear" w:color="auto" w:fill="FFFFFF"/>
        </w:rPr>
        <w:t>associated with</w:t>
      </w:r>
      <w:r w:rsidR="00AC1082" w:rsidRPr="00BF6F6A">
        <w:rPr>
          <w:shd w:val="clear" w:color="auto" w:fill="FFFFFF"/>
        </w:rPr>
        <w:t xml:space="preserve"> not engaging </w:t>
      </w:r>
      <w:r w:rsidRPr="00BF6F6A">
        <w:rPr>
          <w:shd w:val="clear" w:color="auto" w:fill="FFFFFF"/>
        </w:rPr>
        <w:t>with</w:t>
      </w:r>
      <w:r w:rsidR="00AC1082" w:rsidRPr="00BF6F6A">
        <w:rPr>
          <w:shd w:val="clear" w:color="auto" w:fill="FFFFFF"/>
        </w:rPr>
        <w:t xml:space="preserve"> ESG (</w:t>
      </w:r>
      <w:r w:rsidR="008B6E99" w:rsidRPr="00BF6F6A">
        <w:rPr>
          <w:shd w:val="clear" w:color="auto" w:fill="FFFFFF"/>
        </w:rPr>
        <w:t>Shea and Hutchin</w:t>
      </w:r>
      <w:r w:rsidR="00AC1082" w:rsidRPr="00BF6F6A">
        <w:rPr>
          <w:shd w:val="clear" w:color="auto" w:fill="FFFFFF"/>
        </w:rPr>
        <w:t xml:space="preserve">, </w:t>
      </w:r>
      <w:r w:rsidR="008B6E99" w:rsidRPr="00BF6F6A">
        <w:rPr>
          <w:shd w:val="clear" w:color="auto" w:fill="FFFFFF"/>
        </w:rPr>
        <w:t>2013</w:t>
      </w:r>
      <w:r w:rsidR="00AC1082" w:rsidRPr="00BF6F6A">
        <w:rPr>
          <w:shd w:val="clear" w:color="auto" w:fill="FFFFFF"/>
        </w:rPr>
        <w:t xml:space="preserve">; Krueger </w:t>
      </w:r>
      <w:r w:rsidR="00AC1082" w:rsidRPr="00BF6F6A">
        <w:rPr>
          <w:i/>
          <w:iCs/>
          <w:shd w:val="clear" w:color="auto" w:fill="FFFFFF"/>
        </w:rPr>
        <w:t xml:space="preserve">et al., </w:t>
      </w:r>
      <w:r w:rsidR="00AC1082" w:rsidRPr="00BF6F6A">
        <w:rPr>
          <w:shd w:val="clear" w:color="auto" w:fill="FFFFFF"/>
        </w:rPr>
        <w:t>2020;</w:t>
      </w:r>
      <w:r w:rsidR="0055476D" w:rsidRPr="00BF6F6A">
        <w:t xml:space="preserve"> </w:t>
      </w:r>
      <w:r w:rsidR="0055476D" w:rsidRPr="00BF6F6A">
        <w:rPr>
          <w:shd w:val="clear" w:color="auto" w:fill="FFFFFF"/>
        </w:rPr>
        <w:t xml:space="preserve">Bhaskaran </w:t>
      </w:r>
      <w:r w:rsidR="0055476D" w:rsidRPr="00BF6F6A">
        <w:rPr>
          <w:i/>
          <w:iCs/>
          <w:shd w:val="clear" w:color="auto" w:fill="FFFFFF"/>
        </w:rPr>
        <w:t>et al.</w:t>
      </w:r>
      <w:r w:rsidR="0055476D" w:rsidRPr="00BF6F6A">
        <w:rPr>
          <w:shd w:val="clear" w:color="auto" w:fill="FFFFFF"/>
        </w:rPr>
        <w:t xml:space="preserve">,2020; Brounen </w:t>
      </w:r>
      <w:r w:rsidR="0055476D" w:rsidRPr="00BF6F6A">
        <w:rPr>
          <w:i/>
          <w:iCs/>
          <w:shd w:val="clear" w:color="auto" w:fill="FFFFFF"/>
        </w:rPr>
        <w:t>et al.</w:t>
      </w:r>
      <w:r w:rsidR="0055476D" w:rsidRPr="00BF6F6A">
        <w:rPr>
          <w:shd w:val="clear" w:color="auto" w:fill="FFFFFF"/>
        </w:rPr>
        <w:t>, 2021</w:t>
      </w:r>
      <w:r w:rsidR="008B6E99" w:rsidRPr="00BF6F6A">
        <w:rPr>
          <w:shd w:val="clear" w:color="auto" w:fill="FFFFFF"/>
        </w:rPr>
        <w:t>)</w:t>
      </w:r>
      <w:r w:rsidR="0055476D" w:rsidRPr="00BF6F6A">
        <w:rPr>
          <w:shd w:val="clear" w:color="auto" w:fill="FFFFFF"/>
        </w:rPr>
        <w:t xml:space="preserve">. </w:t>
      </w:r>
      <w:r w:rsidR="007828A8" w:rsidRPr="00BF6F6A">
        <w:rPr>
          <w:shd w:val="clear" w:color="auto" w:fill="FFFFFF"/>
        </w:rPr>
        <w:t>O</w:t>
      </w:r>
      <w:r w:rsidR="00EA3905" w:rsidRPr="00BF6F6A">
        <w:rPr>
          <w:shd w:val="clear" w:color="auto" w:fill="FFFFFF"/>
        </w:rPr>
        <w:t xml:space="preserve">nly one </w:t>
      </w:r>
      <w:r w:rsidR="00671DF4" w:rsidRPr="00BF6F6A">
        <w:rPr>
          <w:shd w:val="clear" w:color="auto" w:fill="FFFFFF"/>
        </w:rPr>
        <w:t>participant</w:t>
      </w:r>
      <w:r w:rsidR="007828A8" w:rsidRPr="00BF6F6A">
        <w:rPr>
          <w:shd w:val="clear" w:color="auto" w:fill="FFFFFF"/>
        </w:rPr>
        <w:t>, however,</w:t>
      </w:r>
      <w:r w:rsidR="00671DF4" w:rsidRPr="00BF6F6A">
        <w:rPr>
          <w:shd w:val="clear" w:color="auto" w:fill="FFFFFF"/>
        </w:rPr>
        <w:t xml:space="preserve"> </w:t>
      </w:r>
      <w:r w:rsidR="00D22F3B">
        <w:rPr>
          <w:shd w:val="clear" w:color="auto" w:fill="FFFFFF"/>
        </w:rPr>
        <w:t>passionately expressed that</w:t>
      </w:r>
      <w:r w:rsidR="00D22F3B" w:rsidRPr="00BF6F6A">
        <w:rPr>
          <w:shd w:val="clear" w:color="auto" w:fill="FFFFFF"/>
        </w:rPr>
        <w:t xml:space="preserve"> </w:t>
      </w:r>
      <w:r w:rsidR="00440AB2" w:rsidRPr="00BF6F6A">
        <w:rPr>
          <w:shd w:val="clear" w:color="auto" w:fill="FFFFFF"/>
        </w:rPr>
        <w:t xml:space="preserve">engaging in ESG </w:t>
      </w:r>
      <w:r w:rsidR="00D22F3B">
        <w:rPr>
          <w:shd w:val="clear" w:color="auto" w:fill="FFFFFF"/>
        </w:rPr>
        <w:t>is</w:t>
      </w:r>
      <w:r w:rsidR="00440AB2" w:rsidRPr="00BF6F6A">
        <w:rPr>
          <w:shd w:val="clear" w:color="auto" w:fill="FFFFFF"/>
        </w:rPr>
        <w:t xml:space="preserve"> </w:t>
      </w:r>
      <w:r w:rsidR="00440AB2" w:rsidRPr="00BF6F6A">
        <w:rPr>
          <w:i/>
          <w:iCs/>
          <w:shd w:val="clear" w:color="auto" w:fill="FFFFFF"/>
        </w:rPr>
        <w:t xml:space="preserve">“one of the most efficient ways to increase </w:t>
      </w:r>
      <w:r w:rsidR="004B48F4" w:rsidRPr="00BF6F6A">
        <w:rPr>
          <w:i/>
          <w:iCs/>
          <w:shd w:val="clear" w:color="auto" w:fill="FFFFFF"/>
        </w:rPr>
        <w:t>[…]</w:t>
      </w:r>
      <w:r w:rsidR="00440AB2" w:rsidRPr="00BF6F6A">
        <w:rPr>
          <w:i/>
          <w:iCs/>
          <w:shd w:val="clear" w:color="auto" w:fill="FFFFFF"/>
        </w:rPr>
        <w:t xml:space="preserve"> profitability”</w:t>
      </w:r>
      <w:r w:rsidR="005F3C0B" w:rsidRPr="00BF6F6A">
        <w:rPr>
          <w:shd w:val="clear" w:color="auto" w:fill="FFFFFF"/>
        </w:rPr>
        <w:t xml:space="preserve"> (P2).</w:t>
      </w:r>
      <w:r w:rsidR="00440AB2" w:rsidRPr="00BF6F6A">
        <w:rPr>
          <w:shd w:val="clear" w:color="auto" w:fill="FFFFFF"/>
        </w:rPr>
        <w:t xml:space="preserve"> </w:t>
      </w:r>
    </w:p>
    <w:p w14:paraId="589FE478" w14:textId="31F83A83" w:rsidR="00097C33" w:rsidRPr="00BF6F6A" w:rsidRDefault="00C609CE" w:rsidP="005E0CFB">
      <w:pPr>
        <w:ind w:firstLine="720"/>
        <w:jc w:val="both"/>
        <w:rPr>
          <w:shd w:val="clear" w:color="auto" w:fill="FFFFFF"/>
        </w:rPr>
      </w:pPr>
      <w:r w:rsidRPr="00BF6F6A">
        <w:rPr>
          <w:shd w:val="clear" w:color="auto" w:fill="FFFFFF"/>
        </w:rPr>
        <w:t>I</w:t>
      </w:r>
      <w:r w:rsidR="004B48F4" w:rsidRPr="00BF6F6A">
        <w:rPr>
          <w:shd w:val="clear" w:color="auto" w:fill="FFFFFF"/>
        </w:rPr>
        <w:t xml:space="preserve">n line with De Castro </w:t>
      </w:r>
      <w:r w:rsidR="004B48F4" w:rsidRPr="00BF6F6A">
        <w:rPr>
          <w:i/>
          <w:iCs/>
          <w:shd w:val="clear" w:color="auto" w:fill="FFFFFF"/>
        </w:rPr>
        <w:t xml:space="preserve">et al. </w:t>
      </w:r>
      <w:r w:rsidR="004B48F4" w:rsidRPr="00BF6F6A">
        <w:rPr>
          <w:shd w:val="clear" w:color="auto" w:fill="FFFFFF"/>
        </w:rPr>
        <w:t>(2020)</w:t>
      </w:r>
      <w:r w:rsidRPr="00BF6F6A">
        <w:rPr>
          <w:shd w:val="clear" w:color="auto" w:fill="FFFFFF"/>
        </w:rPr>
        <w:t xml:space="preserve">, </w:t>
      </w:r>
      <w:r w:rsidR="005E0CFB" w:rsidRPr="00BF6F6A">
        <w:rPr>
          <w:shd w:val="clear" w:color="auto" w:fill="FFFFFF"/>
        </w:rPr>
        <w:t xml:space="preserve">participants </w:t>
      </w:r>
      <w:r w:rsidR="008A6888" w:rsidRPr="00BF6F6A">
        <w:rPr>
          <w:shd w:val="clear" w:color="auto" w:fill="FFFFFF"/>
        </w:rPr>
        <w:t>explained</w:t>
      </w:r>
      <w:r w:rsidR="00440AB2" w:rsidRPr="00BF6F6A">
        <w:rPr>
          <w:shd w:val="clear" w:color="auto" w:fill="FFFFFF"/>
        </w:rPr>
        <w:t xml:space="preserve"> that </w:t>
      </w:r>
      <w:r w:rsidR="008A6888" w:rsidRPr="00BF6F6A">
        <w:rPr>
          <w:shd w:val="clear" w:color="auto" w:fill="FFFFFF"/>
        </w:rPr>
        <w:t xml:space="preserve">the concept of </w:t>
      </w:r>
      <w:r w:rsidR="00440AB2" w:rsidRPr="00BF6F6A">
        <w:rPr>
          <w:i/>
          <w:iCs/>
          <w:shd w:val="clear" w:color="auto" w:fill="FFFFFF"/>
        </w:rPr>
        <w:t xml:space="preserve">“sustainability </w:t>
      </w:r>
      <w:r w:rsidR="00FA1DBF" w:rsidRPr="00BF6F6A">
        <w:rPr>
          <w:i/>
          <w:iCs/>
          <w:shd w:val="clear" w:color="auto" w:fill="FFFFFF"/>
        </w:rPr>
        <w:t>aligns</w:t>
      </w:r>
      <w:r w:rsidR="008A6888" w:rsidRPr="00BF6F6A">
        <w:rPr>
          <w:i/>
          <w:iCs/>
          <w:shd w:val="clear" w:color="auto" w:fill="FFFFFF"/>
        </w:rPr>
        <w:t xml:space="preserve"> very well with the values and objectives of the organization”</w:t>
      </w:r>
      <w:r w:rsidR="004B48F4" w:rsidRPr="00BF6F6A">
        <w:rPr>
          <w:shd w:val="clear" w:color="auto" w:fill="FFFFFF"/>
        </w:rPr>
        <w:t xml:space="preserve"> </w:t>
      </w:r>
      <w:r w:rsidR="005F3C0B" w:rsidRPr="00BF6F6A">
        <w:rPr>
          <w:shd w:val="clear" w:color="auto" w:fill="FFFFFF"/>
        </w:rPr>
        <w:t xml:space="preserve">(P7). </w:t>
      </w:r>
      <w:r w:rsidR="004B48F4" w:rsidRPr="00BF6F6A">
        <w:rPr>
          <w:shd w:val="clear" w:color="auto" w:fill="FFFFFF"/>
        </w:rPr>
        <w:t>T</w:t>
      </w:r>
      <w:r w:rsidR="0087577E" w:rsidRPr="00BF6F6A">
        <w:rPr>
          <w:shd w:val="clear" w:color="auto" w:fill="FFFFFF"/>
        </w:rPr>
        <w:t xml:space="preserve">his </w:t>
      </w:r>
      <w:r w:rsidR="00056708" w:rsidRPr="00BF6F6A">
        <w:rPr>
          <w:shd w:val="clear" w:color="auto" w:fill="FFFFFF"/>
        </w:rPr>
        <w:t xml:space="preserve">demonstrates </w:t>
      </w:r>
      <w:r w:rsidR="004B48F4" w:rsidRPr="00BF6F6A">
        <w:rPr>
          <w:shd w:val="clear" w:color="auto" w:fill="FFFFFF"/>
        </w:rPr>
        <w:t xml:space="preserve">that </w:t>
      </w:r>
      <w:r w:rsidR="00056708" w:rsidRPr="00BF6F6A">
        <w:rPr>
          <w:shd w:val="clear" w:color="auto" w:fill="FFFFFF"/>
        </w:rPr>
        <w:t xml:space="preserve">a </w:t>
      </w:r>
      <w:r w:rsidRPr="00BF6F6A">
        <w:rPr>
          <w:shd w:val="clear" w:color="auto" w:fill="FFFFFF"/>
        </w:rPr>
        <w:t>full</w:t>
      </w:r>
      <w:r w:rsidR="00056708" w:rsidRPr="00BF6F6A">
        <w:rPr>
          <w:shd w:val="clear" w:color="auto" w:fill="FFFFFF"/>
        </w:rPr>
        <w:t xml:space="preserve"> commitment to ESG can be made </w:t>
      </w:r>
      <w:r w:rsidR="001171D1" w:rsidRPr="00BF6F6A">
        <w:rPr>
          <w:shd w:val="clear" w:color="auto" w:fill="FFFFFF"/>
        </w:rPr>
        <w:t>despite</w:t>
      </w:r>
      <w:r w:rsidR="00056708" w:rsidRPr="00BF6F6A">
        <w:rPr>
          <w:shd w:val="clear" w:color="auto" w:fill="FFFFFF"/>
        </w:rPr>
        <w:t xml:space="preserve"> </w:t>
      </w:r>
      <w:r w:rsidR="001171D1" w:rsidRPr="00BF6F6A">
        <w:rPr>
          <w:shd w:val="clear" w:color="auto" w:fill="FFFFFF"/>
        </w:rPr>
        <w:t>claim</w:t>
      </w:r>
      <w:r w:rsidR="004B48F4" w:rsidRPr="00BF6F6A">
        <w:rPr>
          <w:shd w:val="clear" w:color="auto" w:fill="FFFFFF"/>
        </w:rPr>
        <w:t>s</w:t>
      </w:r>
      <w:r w:rsidR="00056708" w:rsidRPr="00BF6F6A">
        <w:rPr>
          <w:shd w:val="clear" w:color="auto" w:fill="FFFFFF"/>
        </w:rPr>
        <w:t xml:space="preserve"> that integrating ESG priorities into corporate strategies does</w:t>
      </w:r>
      <w:r w:rsidR="007B4878" w:rsidRPr="00BF6F6A">
        <w:rPr>
          <w:shd w:val="clear" w:color="auto" w:fill="FFFFFF"/>
        </w:rPr>
        <w:t xml:space="preserve"> </w:t>
      </w:r>
      <w:r w:rsidR="00056708" w:rsidRPr="00BF6F6A">
        <w:rPr>
          <w:shd w:val="clear" w:color="auto" w:fill="FFFFFF"/>
        </w:rPr>
        <w:t>n</w:t>
      </w:r>
      <w:r w:rsidR="007B4878" w:rsidRPr="00BF6F6A">
        <w:rPr>
          <w:shd w:val="clear" w:color="auto" w:fill="FFFFFF"/>
        </w:rPr>
        <w:t>o</w:t>
      </w:r>
      <w:r w:rsidR="00056708" w:rsidRPr="00BF6F6A">
        <w:rPr>
          <w:shd w:val="clear" w:color="auto" w:fill="FFFFFF"/>
        </w:rPr>
        <w:t>t have any impact on financial performance</w:t>
      </w:r>
      <w:r w:rsidR="004B48F4" w:rsidRPr="00BF6F6A">
        <w:rPr>
          <w:shd w:val="clear" w:color="auto" w:fill="FFFFFF"/>
        </w:rPr>
        <w:t xml:space="preserve"> (Espahbodi </w:t>
      </w:r>
      <w:r w:rsidR="004B48F4" w:rsidRPr="00BF6F6A">
        <w:rPr>
          <w:i/>
          <w:iCs/>
          <w:shd w:val="clear" w:color="auto" w:fill="FFFFFF"/>
        </w:rPr>
        <w:t>et al.</w:t>
      </w:r>
      <w:r w:rsidR="004B48F4" w:rsidRPr="00BF6F6A">
        <w:rPr>
          <w:shd w:val="clear" w:color="auto" w:fill="FFFFFF"/>
        </w:rPr>
        <w:t>, 2019)</w:t>
      </w:r>
      <w:r w:rsidR="00056708" w:rsidRPr="00BF6F6A">
        <w:rPr>
          <w:shd w:val="clear" w:color="auto" w:fill="FFFFFF"/>
        </w:rPr>
        <w:t xml:space="preserve">. </w:t>
      </w:r>
      <w:r w:rsidR="007828A8" w:rsidRPr="00BF6F6A">
        <w:rPr>
          <w:shd w:val="clear" w:color="auto" w:fill="FFFFFF"/>
        </w:rPr>
        <w:t>O</w:t>
      </w:r>
      <w:r w:rsidR="00671DF4" w:rsidRPr="00BF6F6A">
        <w:rPr>
          <w:shd w:val="clear" w:color="auto" w:fill="FFFFFF"/>
        </w:rPr>
        <w:t>ther participa</w:t>
      </w:r>
      <w:r w:rsidR="00395175" w:rsidRPr="00BF6F6A">
        <w:rPr>
          <w:shd w:val="clear" w:color="auto" w:fill="FFFFFF"/>
        </w:rPr>
        <w:t>nt</w:t>
      </w:r>
      <w:r w:rsidR="003B4F8D" w:rsidRPr="00BF6F6A">
        <w:rPr>
          <w:shd w:val="clear" w:color="auto" w:fill="FFFFFF"/>
        </w:rPr>
        <w:t>s</w:t>
      </w:r>
      <w:r w:rsidR="007828A8" w:rsidRPr="00BF6F6A">
        <w:rPr>
          <w:shd w:val="clear" w:color="auto" w:fill="FFFFFF"/>
        </w:rPr>
        <w:t>, however,</w:t>
      </w:r>
      <w:r w:rsidR="00D85400" w:rsidRPr="00BF6F6A">
        <w:rPr>
          <w:shd w:val="clear" w:color="auto" w:fill="FFFFFF"/>
        </w:rPr>
        <w:t xml:space="preserve"> </w:t>
      </w:r>
      <w:r w:rsidR="00D22F3B">
        <w:rPr>
          <w:shd w:val="clear" w:color="auto" w:fill="FFFFFF"/>
        </w:rPr>
        <w:t xml:space="preserve">nostalgically </w:t>
      </w:r>
      <w:r w:rsidR="00671DF4" w:rsidRPr="00BF6F6A">
        <w:rPr>
          <w:shd w:val="clear" w:color="auto" w:fill="FFFFFF"/>
        </w:rPr>
        <w:t>suggest</w:t>
      </w:r>
      <w:r w:rsidR="003B4F8D" w:rsidRPr="00BF6F6A">
        <w:rPr>
          <w:shd w:val="clear" w:color="auto" w:fill="FFFFFF"/>
        </w:rPr>
        <w:t>ed</w:t>
      </w:r>
      <w:r w:rsidR="00671DF4" w:rsidRPr="00BF6F6A">
        <w:rPr>
          <w:shd w:val="clear" w:color="auto" w:fill="FFFFFF"/>
        </w:rPr>
        <w:t xml:space="preserve"> that the focus on ESG </w:t>
      </w:r>
      <w:r w:rsidR="00671DF4" w:rsidRPr="00BF6F6A">
        <w:rPr>
          <w:i/>
          <w:iCs/>
          <w:shd w:val="clear" w:color="auto" w:fill="FFFFFF"/>
        </w:rPr>
        <w:t>“</w:t>
      </w:r>
      <w:r w:rsidR="00395175" w:rsidRPr="00BF6F6A">
        <w:rPr>
          <w:i/>
          <w:iCs/>
          <w:shd w:val="clear" w:color="auto" w:fill="FFFFFF"/>
        </w:rPr>
        <w:t>started 10 years ago with more personal beliefs</w:t>
      </w:r>
      <w:r w:rsidR="00D85400" w:rsidRPr="00BF6F6A">
        <w:rPr>
          <w:i/>
          <w:iCs/>
          <w:shd w:val="clear" w:color="auto" w:fill="FFFFFF"/>
        </w:rPr>
        <w:t>,</w:t>
      </w:r>
      <w:r w:rsidR="00395175" w:rsidRPr="00BF6F6A">
        <w:rPr>
          <w:i/>
          <w:iCs/>
          <w:shd w:val="clear" w:color="auto" w:fill="FFFFFF"/>
        </w:rPr>
        <w:t xml:space="preserve"> </w:t>
      </w:r>
      <w:r w:rsidR="00D85400" w:rsidRPr="00BF6F6A">
        <w:rPr>
          <w:i/>
          <w:iCs/>
          <w:shd w:val="clear" w:color="auto" w:fill="FFFFFF"/>
        </w:rPr>
        <w:t>b</w:t>
      </w:r>
      <w:r w:rsidR="00395175" w:rsidRPr="00BF6F6A">
        <w:rPr>
          <w:i/>
          <w:iCs/>
          <w:shd w:val="clear" w:color="auto" w:fill="FFFFFF"/>
        </w:rPr>
        <w:t xml:space="preserve">ut now </w:t>
      </w:r>
      <w:r w:rsidR="00671DF4" w:rsidRPr="00BF6F6A">
        <w:rPr>
          <w:i/>
          <w:iCs/>
          <w:shd w:val="clear" w:color="auto" w:fill="FFFFFF"/>
        </w:rPr>
        <w:t>[…]</w:t>
      </w:r>
      <w:r w:rsidR="00395175" w:rsidRPr="00BF6F6A">
        <w:rPr>
          <w:i/>
          <w:iCs/>
          <w:shd w:val="clear" w:color="auto" w:fill="FFFFFF"/>
        </w:rPr>
        <w:t xml:space="preserve"> it has moved away from personal values</w:t>
      </w:r>
      <w:r w:rsidR="00252CA9" w:rsidRPr="00BF6F6A">
        <w:rPr>
          <w:i/>
          <w:iCs/>
          <w:shd w:val="clear" w:color="auto" w:fill="FFFFFF"/>
        </w:rPr>
        <w:t>”</w:t>
      </w:r>
      <w:r w:rsidR="003B4F8D" w:rsidRPr="00BF6F6A">
        <w:rPr>
          <w:i/>
          <w:iCs/>
          <w:shd w:val="clear" w:color="auto" w:fill="FFFFFF"/>
        </w:rPr>
        <w:t xml:space="preserve">, </w:t>
      </w:r>
      <w:r w:rsidR="003B4F8D" w:rsidRPr="00BF6F6A">
        <w:rPr>
          <w:shd w:val="clear" w:color="auto" w:fill="FFFFFF"/>
        </w:rPr>
        <w:t>but</w:t>
      </w:r>
      <w:r w:rsidR="00671DF4" w:rsidRPr="00BF6F6A">
        <w:rPr>
          <w:shd w:val="clear" w:color="auto" w:fill="FFFFFF"/>
        </w:rPr>
        <w:t xml:space="preserve"> </w:t>
      </w:r>
      <w:r w:rsidR="002C3863" w:rsidRPr="00BF6F6A">
        <w:rPr>
          <w:i/>
          <w:iCs/>
          <w:shd w:val="clear" w:color="auto" w:fill="FFFFFF"/>
        </w:rPr>
        <w:t>“it's quite hard to separate those two</w:t>
      </w:r>
      <w:r w:rsidR="00D22F3B">
        <w:rPr>
          <w:i/>
          <w:iCs/>
          <w:shd w:val="clear" w:color="auto" w:fill="FFFFFF"/>
        </w:rPr>
        <w:t xml:space="preserve"> </w:t>
      </w:r>
      <w:r w:rsidR="00D22F3B" w:rsidRPr="004F7B84">
        <w:rPr>
          <w:shd w:val="clear" w:color="auto" w:fill="FFFFFF"/>
        </w:rPr>
        <w:t>(P2)</w:t>
      </w:r>
      <w:r w:rsidR="002C3863" w:rsidRPr="00BF6F6A">
        <w:rPr>
          <w:i/>
          <w:iCs/>
          <w:shd w:val="clear" w:color="auto" w:fill="FFFFFF"/>
        </w:rPr>
        <w:t>.</w:t>
      </w:r>
      <w:r w:rsidR="002C3863" w:rsidRPr="004F7B84">
        <w:rPr>
          <w:shd w:val="clear" w:color="auto" w:fill="FFFFFF"/>
        </w:rPr>
        <w:t xml:space="preserve"> </w:t>
      </w:r>
      <w:r w:rsidR="00D22F3B" w:rsidRPr="004F7B84">
        <w:rPr>
          <w:shd w:val="clear" w:color="auto" w:fill="FFFFFF"/>
        </w:rPr>
        <w:t xml:space="preserve">Then the same participant with irritation added that </w:t>
      </w:r>
      <w:r w:rsidR="00D22F3B">
        <w:rPr>
          <w:i/>
          <w:iCs/>
          <w:shd w:val="clear" w:color="auto" w:fill="FFFFFF"/>
        </w:rPr>
        <w:t>”[j]</w:t>
      </w:r>
      <w:r w:rsidR="002C3863" w:rsidRPr="00BF6F6A">
        <w:rPr>
          <w:i/>
          <w:iCs/>
          <w:shd w:val="clear" w:color="auto" w:fill="FFFFFF"/>
        </w:rPr>
        <w:t>ust because I do believe that even if there was no investment requirement, the business would still want to do these things”</w:t>
      </w:r>
      <w:r w:rsidR="00A12E91" w:rsidRPr="00BF6F6A">
        <w:rPr>
          <w:shd w:val="clear" w:color="auto" w:fill="FFFFFF"/>
        </w:rPr>
        <w:t xml:space="preserve">. </w:t>
      </w:r>
      <w:r w:rsidR="00AB6CCD">
        <w:rPr>
          <w:shd w:val="clear" w:color="auto" w:fill="FFFFFF"/>
        </w:rPr>
        <w:t>P1 in a stern voice</w:t>
      </w:r>
      <w:r w:rsidR="00D22F3B">
        <w:rPr>
          <w:shd w:val="clear" w:color="auto" w:fill="FFFFFF"/>
        </w:rPr>
        <w:t xml:space="preserve"> </w:t>
      </w:r>
      <w:r w:rsidR="003B4F8D" w:rsidRPr="00BF6F6A">
        <w:rPr>
          <w:shd w:val="clear" w:color="auto" w:fill="FFFFFF"/>
        </w:rPr>
        <w:t>observed</w:t>
      </w:r>
      <w:r w:rsidR="004D47F5" w:rsidRPr="00BF6F6A">
        <w:rPr>
          <w:shd w:val="clear" w:color="auto" w:fill="FFFFFF"/>
        </w:rPr>
        <w:t xml:space="preserve"> that </w:t>
      </w:r>
      <w:r w:rsidR="0004447D" w:rsidRPr="00BF6F6A">
        <w:rPr>
          <w:shd w:val="clear" w:color="auto" w:fill="FFFFFF"/>
        </w:rPr>
        <w:t xml:space="preserve">there is </w:t>
      </w:r>
      <w:r w:rsidR="0004447D" w:rsidRPr="00BF6F6A">
        <w:rPr>
          <w:i/>
          <w:iCs/>
          <w:shd w:val="clear" w:color="auto" w:fill="FFFFFF"/>
        </w:rPr>
        <w:t>“an overall commitment to ESG and being a right kind of moral actor, and good corporate citizen”</w:t>
      </w:r>
      <w:r w:rsidR="00AB6CCD">
        <w:rPr>
          <w:i/>
          <w:iCs/>
          <w:shd w:val="clear" w:color="auto" w:fill="FFFFFF"/>
        </w:rPr>
        <w:t xml:space="preserve">. </w:t>
      </w:r>
      <w:r w:rsidR="00AB6CCD" w:rsidRPr="004F7B84">
        <w:rPr>
          <w:shd w:val="clear" w:color="auto" w:fill="FFFFFF"/>
        </w:rPr>
        <w:t xml:space="preserve">They then went on to </w:t>
      </w:r>
      <w:r w:rsidR="00AB6CCD" w:rsidRPr="00AB6CCD">
        <w:rPr>
          <w:shd w:val="clear" w:color="auto" w:fill="FFFFFF"/>
        </w:rPr>
        <w:t xml:space="preserve">stress </w:t>
      </w:r>
      <w:r w:rsidRPr="00AB6CCD">
        <w:rPr>
          <w:shd w:val="clear" w:color="auto" w:fill="FFFFFF"/>
        </w:rPr>
        <w:t xml:space="preserve">having </w:t>
      </w:r>
      <w:r w:rsidR="0004447D" w:rsidRPr="00AB6CCD">
        <w:rPr>
          <w:shd w:val="clear" w:color="auto" w:fill="FFFFFF"/>
        </w:rPr>
        <w:t>a</w:t>
      </w:r>
      <w:r w:rsidR="00AB6CCD">
        <w:rPr>
          <w:shd w:val="clear" w:color="auto" w:fill="FFFFFF"/>
        </w:rPr>
        <w:t xml:space="preserve"> personal</w:t>
      </w:r>
      <w:r w:rsidR="0004447D" w:rsidRPr="00AB6CCD">
        <w:rPr>
          <w:shd w:val="clear" w:color="auto" w:fill="FFFFFF"/>
        </w:rPr>
        <w:t xml:space="preserve"> fiduciary responsibility when considering ESG.</w:t>
      </w:r>
      <w:r w:rsidR="00143550" w:rsidRPr="00AB6CCD">
        <w:rPr>
          <w:shd w:val="clear" w:color="auto" w:fill="FFFFFF"/>
        </w:rPr>
        <w:t xml:space="preserve"> This</w:t>
      </w:r>
      <w:r w:rsidR="00143550">
        <w:rPr>
          <w:shd w:val="clear" w:color="auto" w:fill="FFFFFF"/>
        </w:rPr>
        <w:t xml:space="preserve"> perception was revealed particularly through emotionally loaded statements suggesting participants’ attachment to ESG values.</w:t>
      </w:r>
    </w:p>
    <w:p w14:paraId="79BB69A2" w14:textId="77777777" w:rsidR="00420ACC" w:rsidRPr="00BF6F6A" w:rsidRDefault="00420ACC" w:rsidP="003B4F8D">
      <w:pPr>
        <w:ind w:firstLine="720"/>
        <w:jc w:val="both"/>
        <w:rPr>
          <w:shd w:val="clear" w:color="auto" w:fill="FFFFFF"/>
        </w:rPr>
      </w:pPr>
    </w:p>
    <w:p w14:paraId="7B681DC7" w14:textId="5A60007A" w:rsidR="002C3863" w:rsidRPr="00BF6F6A" w:rsidRDefault="00154A44" w:rsidP="003B4F8D">
      <w:pPr>
        <w:pStyle w:val="Heading3"/>
        <w:numPr>
          <w:ilvl w:val="0"/>
          <w:numId w:val="0"/>
        </w:numPr>
        <w:spacing w:before="0" w:after="0"/>
        <w:rPr>
          <w:rFonts w:cs="Times New Roman"/>
          <w:u w:val="none"/>
          <w:shd w:val="clear" w:color="auto" w:fill="FFFFFF"/>
        </w:rPr>
      </w:pPr>
      <w:bookmarkStart w:id="27" w:name="_Toc99882245"/>
      <w:r w:rsidRPr="00BF6F6A">
        <w:rPr>
          <w:rFonts w:cs="Times New Roman"/>
          <w:u w:val="none"/>
          <w:shd w:val="clear" w:color="auto" w:fill="FFFFFF"/>
        </w:rPr>
        <w:t xml:space="preserve">ESG </w:t>
      </w:r>
      <w:r w:rsidR="00FE48E5" w:rsidRPr="00BF6F6A">
        <w:rPr>
          <w:rFonts w:cs="Times New Roman"/>
          <w:u w:val="none"/>
          <w:shd w:val="clear" w:color="auto" w:fill="FFFFFF"/>
        </w:rPr>
        <w:t>i</w:t>
      </w:r>
      <w:r w:rsidR="00776303" w:rsidRPr="00BF6F6A">
        <w:rPr>
          <w:rFonts w:cs="Times New Roman"/>
          <w:u w:val="none"/>
          <w:shd w:val="clear" w:color="auto" w:fill="FFFFFF"/>
        </w:rPr>
        <w:t xml:space="preserve">nvestor </w:t>
      </w:r>
      <w:r w:rsidR="00FE48E5" w:rsidRPr="00BF6F6A">
        <w:rPr>
          <w:rFonts w:cs="Times New Roman"/>
          <w:u w:val="none"/>
          <w:shd w:val="clear" w:color="auto" w:fill="FFFFFF"/>
        </w:rPr>
        <w:t>m</w:t>
      </w:r>
      <w:r w:rsidR="00776303" w:rsidRPr="00BF6F6A">
        <w:rPr>
          <w:rFonts w:cs="Times New Roman"/>
          <w:u w:val="none"/>
          <w:shd w:val="clear" w:color="auto" w:fill="FFFFFF"/>
        </w:rPr>
        <w:t>otivations</w:t>
      </w:r>
      <w:bookmarkEnd w:id="27"/>
    </w:p>
    <w:p w14:paraId="6F6BCEED" w14:textId="3263CFA7" w:rsidR="00E03C89" w:rsidRPr="00BF6F6A" w:rsidRDefault="00FD69EF" w:rsidP="00F1327F">
      <w:pPr>
        <w:jc w:val="both"/>
        <w:rPr>
          <w:shd w:val="clear" w:color="auto" w:fill="FFFFFF"/>
        </w:rPr>
      </w:pPr>
      <w:r w:rsidRPr="00BF6F6A">
        <w:rPr>
          <w:shd w:val="clear" w:color="auto" w:fill="FFFFFF"/>
        </w:rPr>
        <w:t xml:space="preserve">When addressing the perception </w:t>
      </w:r>
      <w:r w:rsidR="00671DF4" w:rsidRPr="00BF6F6A">
        <w:rPr>
          <w:shd w:val="clear" w:color="auto" w:fill="FFFFFF"/>
        </w:rPr>
        <w:t>of</w:t>
      </w:r>
      <w:r w:rsidRPr="00BF6F6A">
        <w:rPr>
          <w:shd w:val="clear" w:color="auto" w:fill="FFFFFF"/>
        </w:rPr>
        <w:t xml:space="preserve"> investor</w:t>
      </w:r>
      <w:r w:rsidR="00B92DC5">
        <w:rPr>
          <w:shd w:val="clear" w:color="auto" w:fill="FFFFFF"/>
        </w:rPr>
        <w:t>s</w:t>
      </w:r>
      <w:r w:rsidRPr="00BF6F6A">
        <w:rPr>
          <w:shd w:val="clear" w:color="auto" w:fill="FFFFFF"/>
        </w:rPr>
        <w:t xml:space="preserve">’ motivations towards ESG engagement, </w:t>
      </w:r>
      <w:r w:rsidR="007828A8" w:rsidRPr="00BF6F6A">
        <w:rPr>
          <w:shd w:val="clear" w:color="auto" w:fill="FFFFFF"/>
        </w:rPr>
        <w:t xml:space="preserve">most </w:t>
      </w:r>
      <w:r w:rsidRPr="00BF6F6A">
        <w:rPr>
          <w:shd w:val="clear" w:color="auto" w:fill="FFFFFF"/>
        </w:rPr>
        <w:t>participants spoke of risk management informing decision</w:t>
      </w:r>
      <w:r w:rsidR="00C609CE" w:rsidRPr="00BF6F6A">
        <w:rPr>
          <w:shd w:val="clear" w:color="auto" w:fill="FFFFFF"/>
        </w:rPr>
        <w:t>-</w:t>
      </w:r>
      <w:r w:rsidRPr="00BF6F6A">
        <w:rPr>
          <w:shd w:val="clear" w:color="auto" w:fill="FFFFFF"/>
        </w:rPr>
        <w:t xml:space="preserve">making. </w:t>
      </w:r>
      <w:r w:rsidR="00495307" w:rsidRPr="00BF6F6A">
        <w:rPr>
          <w:shd w:val="clear" w:color="auto" w:fill="FFFFFF"/>
        </w:rPr>
        <w:t>While the</w:t>
      </w:r>
      <w:r w:rsidR="00A93DB9" w:rsidRPr="00BF6F6A">
        <w:rPr>
          <w:shd w:val="clear" w:color="auto" w:fill="FFFFFF"/>
        </w:rPr>
        <w:t xml:space="preserve"> environmental risks are </w:t>
      </w:r>
      <w:r w:rsidR="00A850A1" w:rsidRPr="00BF6F6A">
        <w:rPr>
          <w:shd w:val="clear" w:color="auto" w:fill="FFFFFF"/>
        </w:rPr>
        <w:t xml:space="preserve">more </w:t>
      </w:r>
      <w:r w:rsidR="00A93DB9" w:rsidRPr="00BF6F6A">
        <w:rPr>
          <w:shd w:val="clear" w:color="auto" w:fill="FFFFFF"/>
        </w:rPr>
        <w:t>self-evident</w:t>
      </w:r>
      <w:r w:rsidR="00D52388" w:rsidRPr="00BF6F6A">
        <w:rPr>
          <w:shd w:val="clear" w:color="auto" w:fill="FFFFFF"/>
        </w:rPr>
        <w:t xml:space="preserve">, </w:t>
      </w:r>
      <w:r w:rsidR="003B4F8D" w:rsidRPr="00BF6F6A">
        <w:rPr>
          <w:shd w:val="clear" w:color="auto" w:fill="FFFFFF"/>
        </w:rPr>
        <w:t xml:space="preserve">many </w:t>
      </w:r>
      <w:r w:rsidR="00C609CE" w:rsidRPr="00BF6F6A">
        <w:rPr>
          <w:shd w:val="clear" w:color="auto" w:fill="FFFFFF"/>
        </w:rPr>
        <w:t>participant</w:t>
      </w:r>
      <w:r w:rsidR="003B4F8D" w:rsidRPr="00BF6F6A">
        <w:rPr>
          <w:shd w:val="clear" w:color="auto" w:fill="FFFFFF"/>
        </w:rPr>
        <w:t>s</w:t>
      </w:r>
      <w:r w:rsidR="00A93DB9" w:rsidRPr="00BF6F6A">
        <w:rPr>
          <w:shd w:val="clear" w:color="auto" w:fill="FFFFFF"/>
        </w:rPr>
        <w:t xml:space="preserve"> </w:t>
      </w:r>
      <w:r w:rsidR="00D22F3B">
        <w:rPr>
          <w:shd w:val="clear" w:color="auto" w:fill="FFFFFF"/>
        </w:rPr>
        <w:t>complained</w:t>
      </w:r>
      <w:r w:rsidR="00A93DB9" w:rsidRPr="00BF6F6A">
        <w:rPr>
          <w:shd w:val="clear" w:color="auto" w:fill="FFFFFF"/>
        </w:rPr>
        <w:t xml:space="preserve"> that </w:t>
      </w:r>
      <w:r w:rsidR="00A93DB9" w:rsidRPr="00BF6F6A">
        <w:rPr>
          <w:i/>
          <w:iCs/>
          <w:shd w:val="clear" w:color="auto" w:fill="FFFFFF"/>
        </w:rPr>
        <w:t>“real estate investments and real estate activities</w:t>
      </w:r>
      <w:r w:rsidR="00A850A1" w:rsidRPr="00BF6F6A">
        <w:rPr>
          <w:i/>
          <w:iCs/>
          <w:shd w:val="clear" w:color="auto" w:fill="FFFFFF"/>
        </w:rPr>
        <w:t xml:space="preserve"> </w:t>
      </w:r>
      <w:r w:rsidR="00A93DB9" w:rsidRPr="00BF6F6A">
        <w:rPr>
          <w:i/>
          <w:iCs/>
          <w:shd w:val="clear" w:color="auto" w:fill="FFFFFF"/>
        </w:rPr>
        <w:t>are also related to</w:t>
      </w:r>
      <w:r w:rsidR="00A850A1" w:rsidRPr="00BF6F6A">
        <w:rPr>
          <w:i/>
          <w:iCs/>
          <w:shd w:val="clear" w:color="auto" w:fill="FFFFFF"/>
        </w:rPr>
        <w:t xml:space="preserve"> </w:t>
      </w:r>
      <w:r w:rsidR="00A93DB9" w:rsidRPr="00BF6F6A">
        <w:rPr>
          <w:i/>
          <w:iCs/>
          <w:shd w:val="clear" w:color="auto" w:fill="FFFFFF"/>
        </w:rPr>
        <w:t>social risks, but they are typically not easy to identify”</w:t>
      </w:r>
      <w:r w:rsidR="003B4F8D" w:rsidRPr="00BF6F6A">
        <w:rPr>
          <w:shd w:val="clear" w:color="auto" w:fill="FFFFFF"/>
        </w:rPr>
        <w:t xml:space="preserve"> </w:t>
      </w:r>
      <w:r w:rsidR="00A12E91" w:rsidRPr="00BF6F6A">
        <w:rPr>
          <w:shd w:val="clear" w:color="auto" w:fill="FFFFFF"/>
        </w:rPr>
        <w:t xml:space="preserve">(P2) </w:t>
      </w:r>
      <w:r w:rsidR="003B4F8D" w:rsidRPr="00BF6F6A">
        <w:rPr>
          <w:shd w:val="clear" w:color="auto" w:fill="FFFFFF"/>
        </w:rPr>
        <w:t>and</w:t>
      </w:r>
      <w:r w:rsidR="00495307" w:rsidRPr="00BF6F6A">
        <w:rPr>
          <w:shd w:val="clear" w:color="auto" w:fill="FFFFFF"/>
        </w:rPr>
        <w:t xml:space="preserve"> pointed out investors’</w:t>
      </w:r>
      <w:r w:rsidR="00276D97" w:rsidRPr="00BF6F6A">
        <w:rPr>
          <w:shd w:val="clear" w:color="auto" w:fill="FFFFFF"/>
        </w:rPr>
        <w:t xml:space="preserve"> reputational risk</w:t>
      </w:r>
      <w:r w:rsidR="00C609CE" w:rsidRPr="00BF6F6A">
        <w:rPr>
          <w:shd w:val="clear" w:color="auto" w:fill="FFFFFF"/>
        </w:rPr>
        <w:t xml:space="preserve"> as</w:t>
      </w:r>
      <w:r w:rsidR="00276D97" w:rsidRPr="00BF6F6A">
        <w:rPr>
          <w:shd w:val="clear" w:color="auto" w:fill="FFFFFF"/>
        </w:rPr>
        <w:t xml:space="preserve"> </w:t>
      </w:r>
      <w:r w:rsidR="00276D97" w:rsidRPr="00BF6F6A">
        <w:rPr>
          <w:i/>
          <w:iCs/>
          <w:shd w:val="clear" w:color="auto" w:fill="FFFFFF"/>
        </w:rPr>
        <w:t>“pressure to engage with ESG”</w:t>
      </w:r>
      <w:r w:rsidR="00A12E91" w:rsidRPr="00BF6F6A">
        <w:rPr>
          <w:shd w:val="clear" w:color="auto" w:fill="FFFFFF"/>
        </w:rPr>
        <w:t xml:space="preserve"> (P5).</w:t>
      </w:r>
      <w:r w:rsidR="003B4F8D" w:rsidRPr="00BF6F6A">
        <w:rPr>
          <w:shd w:val="clear" w:color="auto" w:fill="FFFFFF"/>
        </w:rPr>
        <w:t xml:space="preserve"> This c</w:t>
      </w:r>
      <w:r w:rsidR="00D52388" w:rsidRPr="00BF6F6A">
        <w:rPr>
          <w:shd w:val="clear" w:color="auto" w:fill="FFFFFF"/>
        </w:rPr>
        <w:t>onfirm</w:t>
      </w:r>
      <w:r w:rsidR="003B4F8D" w:rsidRPr="00BF6F6A">
        <w:rPr>
          <w:shd w:val="clear" w:color="auto" w:fill="FFFFFF"/>
        </w:rPr>
        <w:t>s</w:t>
      </w:r>
      <w:r w:rsidR="00D52388" w:rsidRPr="00BF6F6A">
        <w:rPr>
          <w:shd w:val="clear" w:color="auto" w:fill="FFFFFF"/>
        </w:rPr>
        <w:t xml:space="preserve"> that </w:t>
      </w:r>
      <w:r w:rsidR="0076436D" w:rsidRPr="00BF6F6A">
        <w:rPr>
          <w:shd w:val="clear" w:color="auto" w:fill="FFFFFF"/>
        </w:rPr>
        <w:t>investors consider a wider range of risk management</w:t>
      </w:r>
      <w:r w:rsidR="00276D97" w:rsidRPr="00BF6F6A">
        <w:rPr>
          <w:shd w:val="clear" w:color="auto" w:fill="FFFFFF"/>
        </w:rPr>
        <w:t xml:space="preserve"> aspects </w:t>
      </w:r>
      <w:r w:rsidR="00C609CE" w:rsidRPr="00BF6F6A">
        <w:rPr>
          <w:shd w:val="clear" w:color="auto" w:fill="FFFFFF"/>
        </w:rPr>
        <w:t>when seeking</w:t>
      </w:r>
      <w:r w:rsidR="00276D97" w:rsidRPr="00BF6F6A">
        <w:rPr>
          <w:shd w:val="clear" w:color="auto" w:fill="FFFFFF"/>
        </w:rPr>
        <w:t xml:space="preserve"> greater risk-adjusted returns and diversification benefits (Marzuki and Newell, 2019; </w:t>
      </w:r>
      <w:r w:rsidR="003F523A" w:rsidRPr="00BF6F6A">
        <w:rPr>
          <w:shd w:val="clear" w:color="auto" w:fill="FFFFFF"/>
        </w:rPr>
        <w:t>Camilleri, 2020; Jadevicius, 2020; Kanuri, 2020</w:t>
      </w:r>
      <w:r w:rsidR="007205E1" w:rsidRPr="00BF6F6A">
        <w:rPr>
          <w:shd w:val="clear" w:color="auto" w:fill="FFFFFF"/>
        </w:rPr>
        <w:t xml:space="preserve">; Morri </w:t>
      </w:r>
      <w:r w:rsidR="007205E1" w:rsidRPr="00BF6F6A">
        <w:rPr>
          <w:i/>
          <w:iCs/>
          <w:shd w:val="clear" w:color="auto" w:fill="FFFFFF"/>
        </w:rPr>
        <w:t>et al.</w:t>
      </w:r>
      <w:r w:rsidR="007205E1" w:rsidRPr="00BF6F6A">
        <w:rPr>
          <w:shd w:val="clear" w:color="auto" w:fill="FFFFFF"/>
        </w:rPr>
        <w:t>, 2020</w:t>
      </w:r>
      <w:r w:rsidR="00276D97" w:rsidRPr="00BF6F6A">
        <w:rPr>
          <w:shd w:val="clear" w:color="auto" w:fill="FFFFFF"/>
        </w:rPr>
        <w:t>)</w:t>
      </w:r>
      <w:r w:rsidR="003F523A" w:rsidRPr="00BF6F6A">
        <w:rPr>
          <w:shd w:val="clear" w:color="auto" w:fill="FFFFFF"/>
        </w:rPr>
        <w:t>.</w:t>
      </w:r>
      <w:r w:rsidR="0076436D" w:rsidRPr="00BF6F6A">
        <w:rPr>
          <w:shd w:val="clear" w:color="auto" w:fill="FFFFFF"/>
        </w:rPr>
        <w:t xml:space="preserve"> </w:t>
      </w:r>
      <w:r w:rsidR="003B4F8D" w:rsidRPr="00BF6F6A">
        <w:rPr>
          <w:shd w:val="clear" w:color="auto" w:fill="FFFFFF"/>
        </w:rPr>
        <w:t>Some</w:t>
      </w:r>
      <w:r w:rsidR="00813AD7" w:rsidRPr="00BF6F6A">
        <w:rPr>
          <w:shd w:val="clear" w:color="auto" w:fill="FFFFFF"/>
        </w:rPr>
        <w:t xml:space="preserve"> participants </w:t>
      </w:r>
      <w:r w:rsidR="00E1673C">
        <w:rPr>
          <w:shd w:val="clear" w:color="auto" w:fill="FFFFFF"/>
        </w:rPr>
        <w:t>somewhat reluctantly</w:t>
      </w:r>
      <w:r w:rsidR="00D22F3B">
        <w:rPr>
          <w:shd w:val="clear" w:color="auto" w:fill="FFFFFF"/>
        </w:rPr>
        <w:t xml:space="preserve"> </w:t>
      </w:r>
      <w:r w:rsidR="003B4F8D" w:rsidRPr="00BF6F6A">
        <w:rPr>
          <w:shd w:val="clear" w:color="auto" w:fill="FFFFFF"/>
        </w:rPr>
        <w:t>observed</w:t>
      </w:r>
      <w:r w:rsidR="00813AD7" w:rsidRPr="00BF6F6A">
        <w:rPr>
          <w:shd w:val="clear" w:color="auto" w:fill="FFFFFF"/>
        </w:rPr>
        <w:t xml:space="preserve"> that investors are also concerned about preserving value in the long term</w:t>
      </w:r>
      <w:r w:rsidR="00A90C97" w:rsidRPr="00BF6F6A">
        <w:rPr>
          <w:shd w:val="clear" w:color="auto" w:fill="FFFFFF"/>
        </w:rPr>
        <w:t xml:space="preserve"> and</w:t>
      </w:r>
      <w:r w:rsidR="00495307" w:rsidRPr="00BF6F6A">
        <w:rPr>
          <w:shd w:val="clear" w:color="auto" w:fill="FFFFFF"/>
        </w:rPr>
        <w:t xml:space="preserve"> </w:t>
      </w:r>
      <w:r w:rsidR="007205E1" w:rsidRPr="00BF6F6A">
        <w:rPr>
          <w:shd w:val="clear" w:color="auto" w:fill="FFFFFF"/>
        </w:rPr>
        <w:t>t</w:t>
      </w:r>
      <w:r w:rsidR="00495307" w:rsidRPr="00BF6F6A">
        <w:rPr>
          <w:shd w:val="clear" w:color="auto" w:fill="FFFFFF"/>
        </w:rPr>
        <w:t>hat</w:t>
      </w:r>
      <w:r w:rsidR="00813AD7" w:rsidRPr="00BF6F6A">
        <w:rPr>
          <w:shd w:val="clear" w:color="auto" w:fill="FFFFFF"/>
        </w:rPr>
        <w:t xml:space="preserve"> </w:t>
      </w:r>
      <w:r w:rsidR="00813AD7" w:rsidRPr="00BF6F6A">
        <w:rPr>
          <w:i/>
          <w:iCs/>
          <w:shd w:val="clear" w:color="auto" w:fill="FFFFFF"/>
        </w:rPr>
        <w:t xml:space="preserve">“there’s some great evidence that </w:t>
      </w:r>
      <w:r w:rsidR="00495307" w:rsidRPr="00BF6F6A">
        <w:rPr>
          <w:i/>
          <w:iCs/>
          <w:shd w:val="clear" w:color="auto" w:fill="FFFFFF"/>
        </w:rPr>
        <w:t>[…]</w:t>
      </w:r>
      <w:r w:rsidR="00813AD7" w:rsidRPr="00BF6F6A">
        <w:rPr>
          <w:i/>
          <w:iCs/>
          <w:shd w:val="clear" w:color="auto" w:fill="FFFFFF"/>
        </w:rPr>
        <w:t xml:space="preserve"> companies and investors that consider ESG perform better”</w:t>
      </w:r>
      <w:r w:rsidR="00942AD4" w:rsidRPr="00BF6F6A">
        <w:rPr>
          <w:shd w:val="clear" w:color="auto" w:fill="FFFFFF"/>
        </w:rPr>
        <w:t xml:space="preserve"> </w:t>
      </w:r>
      <w:r w:rsidR="00A12E91" w:rsidRPr="00BF6F6A">
        <w:rPr>
          <w:shd w:val="clear" w:color="auto" w:fill="FFFFFF"/>
        </w:rPr>
        <w:t xml:space="preserve">(P7). </w:t>
      </w:r>
      <w:r w:rsidR="004A0180" w:rsidRPr="00BF6F6A">
        <w:rPr>
          <w:shd w:val="clear" w:color="auto" w:fill="FFFFFF"/>
        </w:rPr>
        <w:t>While</w:t>
      </w:r>
      <w:r w:rsidR="00C609CE" w:rsidRPr="00BF6F6A">
        <w:rPr>
          <w:shd w:val="clear" w:color="auto" w:fill="FFFFFF"/>
        </w:rPr>
        <w:t xml:space="preserve"> </w:t>
      </w:r>
      <w:r w:rsidR="00E82DBD" w:rsidRPr="00BF6F6A">
        <w:rPr>
          <w:shd w:val="clear" w:color="auto" w:fill="FFFFFF"/>
        </w:rPr>
        <w:t>t</w:t>
      </w:r>
      <w:r w:rsidR="007205E1" w:rsidRPr="00BF6F6A">
        <w:rPr>
          <w:shd w:val="clear" w:color="auto" w:fill="FFFFFF"/>
        </w:rPr>
        <w:t>his</w:t>
      </w:r>
      <w:r w:rsidR="00942AD4" w:rsidRPr="00BF6F6A">
        <w:rPr>
          <w:shd w:val="clear" w:color="auto" w:fill="FFFFFF"/>
        </w:rPr>
        <w:t xml:space="preserve"> </w:t>
      </w:r>
      <w:r w:rsidR="00D53713" w:rsidRPr="00BF6F6A">
        <w:rPr>
          <w:shd w:val="clear" w:color="auto" w:fill="FFFFFF"/>
        </w:rPr>
        <w:t>contrast</w:t>
      </w:r>
      <w:r w:rsidR="007205E1" w:rsidRPr="00BF6F6A">
        <w:rPr>
          <w:shd w:val="clear" w:color="auto" w:fill="FFFFFF"/>
        </w:rPr>
        <w:t>s</w:t>
      </w:r>
      <w:r w:rsidR="00D53713" w:rsidRPr="00BF6F6A">
        <w:rPr>
          <w:shd w:val="clear" w:color="auto" w:fill="FFFFFF"/>
        </w:rPr>
        <w:t xml:space="preserve"> with</w:t>
      </w:r>
      <w:r w:rsidR="00942AD4" w:rsidRPr="00BF6F6A">
        <w:rPr>
          <w:shd w:val="clear" w:color="auto" w:fill="FFFFFF"/>
        </w:rPr>
        <w:t xml:space="preserve"> </w:t>
      </w:r>
      <w:r w:rsidR="00D53713" w:rsidRPr="00BF6F6A">
        <w:rPr>
          <w:shd w:val="clear" w:color="auto" w:fill="FFFFFF"/>
        </w:rPr>
        <w:t xml:space="preserve">Diouf </w:t>
      </w:r>
      <w:r w:rsidR="00D53713" w:rsidRPr="00BF6F6A">
        <w:rPr>
          <w:i/>
          <w:iCs/>
          <w:shd w:val="clear" w:color="auto" w:fill="FFFFFF"/>
        </w:rPr>
        <w:t>et al.</w:t>
      </w:r>
      <w:r w:rsidR="00D53713" w:rsidRPr="00BF6F6A">
        <w:rPr>
          <w:shd w:val="clear" w:color="auto" w:fill="FFFFFF"/>
        </w:rPr>
        <w:t xml:space="preserve"> (2016)</w:t>
      </w:r>
      <w:r w:rsidR="00DF02BA" w:rsidRPr="00BF6F6A">
        <w:rPr>
          <w:shd w:val="clear" w:color="auto" w:fill="FFFFFF"/>
        </w:rPr>
        <w:t xml:space="preserve"> </w:t>
      </w:r>
      <w:r w:rsidR="00D53713" w:rsidRPr="00BF6F6A">
        <w:rPr>
          <w:shd w:val="clear" w:color="auto" w:fill="FFFFFF"/>
        </w:rPr>
        <w:t xml:space="preserve">who found that </w:t>
      </w:r>
      <w:r w:rsidR="007205E1" w:rsidRPr="00BF6F6A">
        <w:rPr>
          <w:shd w:val="clear" w:color="auto" w:fill="FFFFFF"/>
        </w:rPr>
        <w:t xml:space="preserve">prioritising </w:t>
      </w:r>
      <w:r w:rsidR="00D53713" w:rsidRPr="00BF6F6A">
        <w:rPr>
          <w:shd w:val="clear" w:color="auto" w:fill="FFFFFF"/>
        </w:rPr>
        <w:t>short</w:t>
      </w:r>
      <w:r w:rsidR="00E82DBD" w:rsidRPr="00BF6F6A">
        <w:rPr>
          <w:shd w:val="clear" w:color="auto" w:fill="FFFFFF"/>
        </w:rPr>
        <w:t>-</w:t>
      </w:r>
      <w:r w:rsidR="00D53713" w:rsidRPr="00BF6F6A">
        <w:rPr>
          <w:shd w:val="clear" w:color="auto" w:fill="FFFFFF"/>
        </w:rPr>
        <w:t>term profits over long</w:t>
      </w:r>
      <w:r w:rsidR="00E82DBD" w:rsidRPr="00BF6F6A">
        <w:rPr>
          <w:shd w:val="clear" w:color="auto" w:fill="FFFFFF"/>
        </w:rPr>
        <w:t>-</w:t>
      </w:r>
      <w:r w:rsidR="00D53713" w:rsidRPr="00BF6F6A">
        <w:rPr>
          <w:shd w:val="clear" w:color="auto" w:fill="FFFFFF"/>
        </w:rPr>
        <w:t>term value</w:t>
      </w:r>
      <w:r w:rsidR="007205E1" w:rsidRPr="00BF6F6A">
        <w:rPr>
          <w:shd w:val="clear" w:color="auto" w:fill="FFFFFF"/>
        </w:rPr>
        <w:t xml:space="preserve"> was another barrier to ESG</w:t>
      </w:r>
      <w:r w:rsidR="00C609CE" w:rsidRPr="00BF6F6A">
        <w:rPr>
          <w:shd w:val="clear" w:color="auto" w:fill="FFFFFF"/>
        </w:rPr>
        <w:t xml:space="preserve">, this </w:t>
      </w:r>
      <w:r w:rsidR="00107FD6">
        <w:rPr>
          <w:shd w:val="clear" w:color="auto" w:fill="FFFFFF"/>
        </w:rPr>
        <w:t>corroborates</w:t>
      </w:r>
      <w:r w:rsidR="00107FD6" w:rsidRPr="00BF6F6A">
        <w:rPr>
          <w:shd w:val="clear" w:color="auto" w:fill="FFFFFF"/>
        </w:rPr>
        <w:t xml:space="preserve"> </w:t>
      </w:r>
      <w:r w:rsidR="00E82DBD" w:rsidRPr="00BF6F6A">
        <w:rPr>
          <w:shd w:val="clear" w:color="auto" w:fill="FFFFFF"/>
        </w:rPr>
        <w:t>past research suggesting that</w:t>
      </w:r>
      <w:r w:rsidR="0060066D" w:rsidRPr="00BF6F6A">
        <w:rPr>
          <w:shd w:val="clear" w:color="auto" w:fill="FFFFFF"/>
        </w:rPr>
        <w:t xml:space="preserve"> </w:t>
      </w:r>
      <w:r w:rsidR="00D22007" w:rsidRPr="00BF6F6A">
        <w:rPr>
          <w:shd w:val="clear" w:color="auto" w:fill="FFFFFF"/>
        </w:rPr>
        <w:t>RPI</w:t>
      </w:r>
      <w:r w:rsidR="0060066D" w:rsidRPr="00BF6F6A">
        <w:rPr>
          <w:shd w:val="clear" w:color="auto" w:fill="FFFFFF"/>
        </w:rPr>
        <w:t xml:space="preserve"> in the wider context of ESG increases financial performance</w:t>
      </w:r>
      <w:r w:rsidR="00495307" w:rsidRPr="00BF6F6A">
        <w:rPr>
          <w:shd w:val="clear" w:color="auto" w:fill="FFFFFF"/>
        </w:rPr>
        <w:t xml:space="preserve"> </w:t>
      </w:r>
      <w:r w:rsidR="00E82DBD" w:rsidRPr="00BF6F6A">
        <w:rPr>
          <w:shd w:val="clear" w:color="auto" w:fill="FFFFFF"/>
        </w:rPr>
        <w:t xml:space="preserve">(Hebb </w:t>
      </w:r>
      <w:r w:rsidR="00E82DBD" w:rsidRPr="00BF6F6A">
        <w:rPr>
          <w:i/>
          <w:iCs/>
          <w:shd w:val="clear" w:color="auto" w:fill="FFFFFF"/>
        </w:rPr>
        <w:t xml:space="preserve">et al., </w:t>
      </w:r>
      <w:r w:rsidR="00E82DBD" w:rsidRPr="00BF6F6A">
        <w:rPr>
          <w:shd w:val="clear" w:color="auto" w:fill="FFFFFF"/>
        </w:rPr>
        <w:t xml:space="preserve">2010; Chambers </w:t>
      </w:r>
      <w:r w:rsidR="00E82DBD" w:rsidRPr="00BF6F6A">
        <w:rPr>
          <w:i/>
          <w:iCs/>
          <w:shd w:val="clear" w:color="auto" w:fill="FFFFFF"/>
        </w:rPr>
        <w:t>et al.</w:t>
      </w:r>
      <w:r w:rsidR="00E82DBD" w:rsidRPr="00BF6F6A">
        <w:rPr>
          <w:shd w:val="clear" w:color="auto" w:fill="FFFFFF"/>
        </w:rPr>
        <w:t xml:space="preserve">, 2021) </w:t>
      </w:r>
      <w:r w:rsidR="00495307" w:rsidRPr="00BF6F6A">
        <w:rPr>
          <w:shd w:val="clear" w:color="auto" w:fill="FFFFFF"/>
        </w:rPr>
        <w:t xml:space="preserve">and </w:t>
      </w:r>
      <w:r w:rsidR="0060066D" w:rsidRPr="00BF6F6A">
        <w:rPr>
          <w:shd w:val="clear" w:color="auto" w:fill="FFFFFF"/>
        </w:rPr>
        <w:t>that there is a positive correlation between ESG and financial performance (</w:t>
      </w:r>
      <w:r w:rsidR="00B342AE" w:rsidRPr="00BF6F6A">
        <w:rPr>
          <w:shd w:val="clear" w:color="auto" w:fill="FFFFFF"/>
        </w:rPr>
        <w:t>Fr</w:t>
      </w:r>
      <w:r w:rsidR="00B123C1" w:rsidRPr="00BF6F6A">
        <w:rPr>
          <w:shd w:val="clear" w:color="auto" w:fill="FFFFFF"/>
        </w:rPr>
        <w:t>ie</w:t>
      </w:r>
      <w:r w:rsidR="00B342AE" w:rsidRPr="00BF6F6A">
        <w:rPr>
          <w:shd w:val="clear" w:color="auto" w:fill="FFFFFF"/>
        </w:rPr>
        <w:t xml:space="preserve">de </w:t>
      </w:r>
      <w:r w:rsidR="00B342AE" w:rsidRPr="00BF6F6A">
        <w:rPr>
          <w:i/>
          <w:iCs/>
          <w:shd w:val="clear" w:color="auto" w:fill="FFFFFF"/>
        </w:rPr>
        <w:t>et al.</w:t>
      </w:r>
      <w:r w:rsidR="00B342AE" w:rsidRPr="00BF6F6A">
        <w:rPr>
          <w:shd w:val="clear" w:color="auto" w:fill="FFFFFF"/>
        </w:rPr>
        <w:t xml:space="preserve">, 2015; Khemir </w:t>
      </w:r>
      <w:r w:rsidR="00B342AE" w:rsidRPr="00BF6F6A">
        <w:rPr>
          <w:i/>
          <w:iCs/>
          <w:shd w:val="clear" w:color="auto" w:fill="FFFFFF"/>
        </w:rPr>
        <w:t>et al.</w:t>
      </w:r>
      <w:r w:rsidR="00B342AE" w:rsidRPr="00BF6F6A">
        <w:rPr>
          <w:shd w:val="clear" w:color="auto" w:fill="FFFFFF"/>
        </w:rPr>
        <w:t xml:space="preserve">, 2019; Kanuri, 2020; Oprean-Stan </w:t>
      </w:r>
      <w:r w:rsidR="00B342AE" w:rsidRPr="00BF6F6A">
        <w:rPr>
          <w:i/>
          <w:iCs/>
          <w:shd w:val="clear" w:color="auto" w:fill="FFFFFF"/>
        </w:rPr>
        <w:t>et al.</w:t>
      </w:r>
      <w:r w:rsidR="00B342AE" w:rsidRPr="00BF6F6A">
        <w:rPr>
          <w:shd w:val="clear" w:color="auto" w:fill="FFFFFF"/>
        </w:rPr>
        <w:t>, 2020; Feng and Wu, 202</w:t>
      </w:r>
      <w:r w:rsidR="006E17F6" w:rsidRPr="00BF6F6A">
        <w:rPr>
          <w:shd w:val="clear" w:color="auto" w:fill="FFFFFF"/>
        </w:rPr>
        <w:t>3</w:t>
      </w:r>
      <w:r w:rsidR="0060066D" w:rsidRPr="00BF6F6A">
        <w:rPr>
          <w:shd w:val="clear" w:color="auto" w:fill="FFFFFF"/>
        </w:rPr>
        <w:t>)</w:t>
      </w:r>
      <w:r w:rsidR="007B6BFD" w:rsidRPr="00BF6F6A">
        <w:rPr>
          <w:shd w:val="clear" w:color="auto" w:fill="FFFFFF"/>
        </w:rPr>
        <w:t>.</w:t>
      </w:r>
      <w:r w:rsidR="00E82DBD" w:rsidRPr="00BF6F6A">
        <w:rPr>
          <w:shd w:val="clear" w:color="auto" w:fill="FFFFFF"/>
        </w:rPr>
        <w:t xml:space="preserve"> </w:t>
      </w:r>
      <w:r w:rsidR="00671DF4" w:rsidRPr="00BF6F6A">
        <w:rPr>
          <w:shd w:val="clear" w:color="auto" w:fill="FFFFFF"/>
        </w:rPr>
        <w:t>Overall</w:t>
      </w:r>
      <w:r w:rsidR="0012347B" w:rsidRPr="00BF6F6A">
        <w:rPr>
          <w:shd w:val="clear" w:color="auto" w:fill="FFFFFF"/>
        </w:rPr>
        <w:t>,</w:t>
      </w:r>
      <w:r w:rsidR="00671DF4" w:rsidRPr="00BF6F6A">
        <w:rPr>
          <w:shd w:val="clear" w:color="auto" w:fill="FFFFFF"/>
        </w:rPr>
        <w:t xml:space="preserve"> participants</w:t>
      </w:r>
      <w:r w:rsidR="00E03C89" w:rsidRPr="00BF6F6A">
        <w:rPr>
          <w:shd w:val="clear" w:color="auto" w:fill="FFFFFF"/>
        </w:rPr>
        <w:t xml:space="preserve"> believe investors are also engaging f</w:t>
      </w:r>
      <w:r w:rsidR="00E82DBD" w:rsidRPr="00BF6F6A">
        <w:rPr>
          <w:shd w:val="clear" w:color="auto" w:fill="FFFFFF"/>
        </w:rPr>
        <w:t>or</w:t>
      </w:r>
      <w:r w:rsidR="00E03C89" w:rsidRPr="00BF6F6A">
        <w:rPr>
          <w:shd w:val="clear" w:color="auto" w:fill="FFFFFF"/>
        </w:rPr>
        <w:t xml:space="preserve"> legislative and internal compliance </w:t>
      </w:r>
      <w:r w:rsidR="00E82DBD" w:rsidRPr="00BF6F6A">
        <w:rPr>
          <w:shd w:val="clear" w:color="auto" w:fill="FFFFFF"/>
        </w:rPr>
        <w:t>reasons</w:t>
      </w:r>
      <w:r w:rsidR="00671DF4" w:rsidRPr="00BF6F6A">
        <w:rPr>
          <w:shd w:val="clear" w:color="auto" w:fill="FFFFFF"/>
        </w:rPr>
        <w:t>,</w:t>
      </w:r>
      <w:r w:rsidR="00E03C89" w:rsidRPr="00BF6F6A">
        <w:rPr>
          <w:shd w:val="clear" w:color="auto" w:fill="FFFFFF"/>
        </w:rPr>
        <w:t xml:space="preserve"> </w:t>
      </w:r>
      <w:r w:rsidR="00671DF4" w:rsidRPr="00BF6F6A">
        <w:rPr>
          <w:shd w:val="clear" w:color="auto" w:fill="FFFFFF"/>
        </w:rPr>
        <w:t>but</w:t>
      </w:r>
      <w:r w:rsidR="00E03C89" w:rsidRPr="00BF6F6A">
        <w:rPr>
          <w:shd w:val="clear" w:color="auto" w:fill="FFFFFF"/>
        </w:rPr>
        <w:t xml:space="preserve"> </w:t>
      </w:r>
      <w:r w:rsidR="00E03C89" w:rsidRPr="00BF6F6A">
        <w:rPr>
          <w:i/>
          <w:iCs/>
          <w:shd w:val="clear" w:color="auto" w:fill="FFFFFF"/>
        </w:rPr>
        <w:t>“it depends on the region.</w:t>
      </w:r>
      <w:r w:rsidR="007C39B6" w:rsidRPr="00BF6F6A">
        <w:rPr>
          <w:i/>
          <w:iCs/>
          <w:shd w:val="clear" w:color="auto" w:fill="FFFFFF"/>
        </w:rPr>
        <w:t xml:space="preserve"> I</w:t>
      </w:r>
      <w:r w:rsidR="00E03C89" w:rsidRPr="00BF6F6A">
        <w:rPr>
          <w:i/>
          <w:iCs/>
          <w:shd w:val="clear" w:color="auto" w:fill="FFFFFF"/>
        </w:rPr>
        <w:t xml:space="preserve">n Europe there's a lot more recognition of the issue and I think it's a mixture of regulatory pressure from the </w:t>
      </w:r>
      <w:r w:rsidR="004017BC" w:rsidRPr="00BF6F6A">
        <w:rPr>
          <w:i/>
          <w:iCs/>
          <w:shd w:val="clear" w:color="auto" w:fill="FFFFFF"/>
        </w:rPr>
        <w:t>EU”</w:t>
      </w:r>
      <w:r w:rsidR="004017BC" w:rsidRPr="00BF6F6A">
        <w:rPr>
          <w:shd w:val="clear" w:color="auto" w:fill="FFFFFF"/>
        </w:rPr>
        <w:t xml:space="preserve"> (</w:t>
      </w:r>
      <w:r w:rsidR="00A12E91" w:rsidRPr="00BF6F6A">
        <w:rPr>
          <w:shd w:val="clear" w:color="auto" w:fill="FFFFFF"/>
        </w:rPr>
        <w:t>P5).</w:t>
      </w:r>
      <w:r w:rsidR="00E03C89" w:rsidRPr="00BF6F6A">
        <w:rPr>
          <w:shd w:val="clear" w:color="auto" w:fill="FFFFFF"/>
        </w:rPr>
        <w:t xml:space="preserve"> </w:t>
      </w:r>
    </w:p>
    <w:p w14:paraId="09CCA7AF" w14:textId="300D2F9B" w:rsidR="00AD6C15" w:rsidRPr="00BF6F6A" w:rsidRDefault="007D2E7B" w:rsidP="005A230A">
      <w:pPr>
        <w:ind w:firstLine="720"/>
        <w:jc w:val="both"/>
        <w:rPr>
          <w:shd w:val="clear" w:color="auto" w:fill="FFFFFF"/>
        </w:rPr>
      </w:pPr>
      <w:r w:rsidRPr="00BF6F6A">
        <w:rPr>
          <w:shd w:val="clear" w:color="auto" w:fill="FFFFFF"/>
        </w:rPr>
        <w:t>A</w:t>
      </w:r>
      <w:r w:rsidR="009C5923" w:rsidRPr="00BF6F6A">
        <w:rPr>
          <w:shd w:val="clear" w:color="auto" w:fill="FFFFFF"/>
        </w:rPr>
        <w:t xml:space="preserve">ll the participants </w:t>
      </w:r>
      <w:r w:rsidR="00460AEE">
        <w:rPr>
          <w:shd w:val="clear" w:color="auto" w:fill="FFFFFF"/>
        </w:rPr>
        <w:t xml:space="preserve">appeared to </w:t>
      </w:r>
      <w:r w:rsidR="00AD6C15">
        <w:rPr>
          <w:shd w:val="clear" w:color="auto" w:fill="FFFFFF"/>
        </w:rPr>
        <w:t>fe</w:t>
      </w:r>
      <w:r w:rsidR="00460AEE">
        <w:rPr>
          <w:shd w:val="clear" w:color="auto" w:fill="FFFFFF"/>
        </w:rPr>
        <w:t>el</w:t>
      </w:r>
      <w:r w:rsidR="00AD6C15">
        <w:rPr>
          <w:shd w:val="clear" w:color="auto" w:fill="FFFFFF"/>
        </w:rPr>
        <w:t xml:space="preserve"> </w:t>
      </w:r>
      <w:r w:rsidR="00D22F3B">
        <w:rPr>
          <w:shd w:val="clear" w:color="auto" w:fill="FFFFFF"/>
        </w:rPr>
        <w:t xml:space="preserve">somewhat disgusted or irritated and </w:t>
      </w:r>
      <w:r w:rsidR="009C5923" w:rsidRPr="00BF6F6A">
        <w:rPr>
          <w:shd w:val="clear" w:color="auto" w:fill="FFFFFF"/>
        </w:rPr>
        <w:t>concern</w:t>
      </w:r>
      <w:r w:rsidR="00AD6C15">
        <w:rPr>
          <w:shd w:val="clear" w:color="auto" w:fill="FFFFFF"/>
        </w:rPr>
        <w:t>ed</w:t>
      </w:r>
      <w:r w:rsidR="009C5923" w:rsidRPr="00BF6F6A">
        <w:rPr>
          <w:shd w:val="clear" w:color="auto" w:fill="FFFFFF"/>
        </w:rPr>
        <w:t xml:space="preserve"> </w:t>
      </w:r>
      <w:r w:rsidR="00AD6C15">
        <w:rPr>
          <w:shd w:val="clear" w:color="auto" w:fill="FFFFFF"/>
        </w:rPr>
        <w:t>about</w:t>
      </w:r>
      <w:r w:rsidR="009C5923" w:rsidRPr="00BF6F6A">
        <w:rPr>
          <w:shd w:val="clear" w:color="auto" w:fill="FFFFFF"/>
        </w:rPr>
        <w:t xml:space="preserve"> </w:t>
      </w:r>
      <w:r w:rsidR="003B4F8D" w:rsidRPr="00BF6F6A">
        <w:rPr>
          <w:shd w:val="clear" w:color="auto" w:fill="FFFFFF"/>
        </w:rPr>
        <w:t>greenwashing</w:t>
      </w:r>
      <w:r w:rsidR="003B4F8D" w:rsidRPr="00BF6F6A">
        <w:rPr>
          <w:i/>
          <w:iCs/>
          <w:shd w:val="clear" w:color="auto" w:fill="FFFFFF"/>
        </w:rPr>
        <w:t xml:space="preserve"> “because</w:t>
      </w:r>
      <w:r w:rsidR="009C5923" w:rsidRPr="00BF6F6A">
        <w:rPr>
          <w:i/>
          <w:iCs/>
          <w:shd w:val="clear" w:color="auto" w:fill="FFFFFF"/>
        </w:rPr>
        <w:t xml:space="preserve"> it is </w:t>
      </w:r>
      <w:r w:rsidR="00DB2F6A" w:rsidRPr="00BF6F6A">
        <w:rPr>
          <w:i/>
          <w:iCs/>
          <w:shd w:val="clear" w:color="auto" w:fill="FFFFFF"/>
        </w:rPr>
        <w:t>so</w:t>
      </w:r>
      <w:r w:rsidR="009C5923" w:rsidRPr="00BF6F6A">
        <w:rPr>
          <w:i/>
          <w:iCs/>
          <w:shd w:val="clear" w:color="auto" w:fill="FFFFFF"/>
        </w:rPr>
        <w:t xml:space="preserve"> easy to do”</w:t>
      </w:r>
      <w:r w:rsidRPr="00BF6F6A">
        <w:rPr>
          <w:shd w:val="clear" w:color="auto" w:fill="FFFFFF"/>
        </w:rPr>
        <w:t xml:space="preserve"> </w:t>
      </w:r>
      <w:r w:rsidR="00A12E91" w:rsidRPr="00BF6F6A">
        <w:rPr>
          <w:shd w:val="clear" w:color="auto" w:fill="FFFFFF"/>
        </w:rPr>
        <w:t xml:space="preserve">(P3) </w:t>
      </w:r>
      <w:r w:rsidRPr="00BF6F6A">
        <w:rPr>
          <w:shd w:val="clear" w:color="auto" w:fill="FFFFFF"/>
        </w:rPr>
        <w:t xml:space="preserve">and </w:t>
      </w:r>
      <w:r w:rsidR="009C5923" w:rsidRPr="00BF6F6A">
        <w:rPr>
          <w:shd w:val="clear" w:color="auto" w:fill="FFFFFF"/>
        </w:rPr>
        <w:t xml:space="preserve">that </w:t>
      </w:r>
      <w:r w:rsidR="009C5923" w:rsidRPr="00BF6F6A">
        <w:rPr>
          <w:i/>
          <w:iCs/>
          <w:shd w:val="clear" w:color="auto" w:fill="FFFFFF"/>
        </w:rPr>
        <w:t>“there's a lot of grey area, especially around carbon offsetting. What is considered to be net zero? What is carbon neutrality? I think a lot of that can be used to sway investors certainly”</w:t>
      </w:r>
      <w:r w:rsidR="00A12E91" w:rsidRPr="00BF6F6A">
        <w:rPr>
          <w:i/>
          <w:iCs/>
          <w:shd w:val="clear" w:color="auto" w:fill="FFFFFF"/>
        </w:rPr>
        <w:t xml:space="preserve"> </w:t>
      </w:r>
      <w:r w:rsidR="00A12E91" w:rsidRPr="00BF6F6A">
        <w:rPr>
          <w:shd w:val="clear" w:color="auto" w:fill="FFFFFF"/>
        </w:rPr>
        <w:t>(P4)</w:t>
      </w:r>
      <w:r w:rsidR="00A12E91" w:rsidRPr="00BF6F6A">
        <w:rPr>
          <w:i/>
          <w:iCs/>
          <w:shd w:val="clear" w:color="auto" w:fill="FFFFFF"/>
        </w:rPr>
        <w:t>.</w:t>
      </w:r>
      <w:r w:rsidR="00B555F7" w:rsidRPr="00BF6F6A">
        <w:rPr>
          <w:shd w:val="clear" w:color="auto" w:fill="FFFFFF"/>
        </w:rPr>
        <w:t xml:space="preserve"> Although investors are becoming more aware of greenwashing, and there is more scrutiny over </w:t>
      </w:r>
      <w:r w:rsidR="009F2C64" w:rsidRPr="00BF6F6A">
        <w:rPr>
          <w:shd w:val="clear" w:color="auto" w:fill="FFFFFF"/>
        </w:rPr>
        <w:t>public disclosures</w:t>
      </w:r>
      <w:r w:rsidR="00B555F7" w:rsidRPr="00BF6F6A">
        <w:rPr>
          <w:shd w:val="clear" w:color="auto" w:fill="FFFFFF"/>
        </w:rPr>
        <w:t>, participant</w:t>
      </w:r>
      <w:r w:rsidR="003B4F8D" w:rsidRPr="00BF6F6A">
        <w:rPr>
          <w:shd w:val="clear" w:color="auto" w:fill="FFFFFF"/>
        </w:rPr>
        <w:t>s</w:t>
      </w:r>
      <w:r w:rsidR="00B555F7" w:rsidRPr="00BF6F6A">
        <w:rPr>
          <w:shd w:val="clear" w:color="auto" w:fill="FFFFFF"/>
        </w:rPr>
        <w:t xml:space="preserve"> </w:t>
      </w:r>
      <w:r w:rsidR="00E1673C">
        <w:rPr>
          <w:shd w:val="clear" w:color="auto" w:fill="FFFFFF"/>
        </w:rPr>
        <w:t xml:space="preserve">hesitantly </w:t>
      </w:r>
      <w:r w:rsidR="003B4F8D" w:rsidRPr="00BF6F6A">
        <w:rPr>
          <w:shd w:val="clear" w:color="auto" w:fill="FFFFFF"/>
        </w:rPr>
        <w:t xml:space="preserve">expressed their doubts </w:t>
      </w:r>
      <w:r w:rsidR="007828A8" w:rsidRPr="00BF6F6A">
        <w:rPr>
          <w:shd w:val="clear" w:color="auto" w:fill="FFFFFF"/>
        </w:rPr>
        <w:t>through</w:t>
      </w:r>
      <w:r w:rsidR="003B4F8D" w:rsidRPr="00BF6F6A">
        <w:rPr>
          <w:shd w:val="clear" w:color="auto" w:fill="FFFFFF"/>
        </w:rPr>
        <w:t xml:space="preserve"> observations such as</w:t>
      </w:r>
      <w:r w:rsidR="00B555F7" w:rsidRPr="00BF6F6A">
        <w:rPr>
          <w:shd w:val="clear" w:color="auto" w:fill="FFFFFF"/>
        </w:rPr>
        <w:t xml:space="preserve"> </w:t>
      </w:r>
      <w:r w:rsidR="00B555F7" w:rsidRPr="00BF6F6A">
        <w:rPr>
          <w:i/>
          <w:iCs/>
          <w:shd w:val="clear" w:color="auto" w:fill="FFFFFF"/>
        </w:rPr>
        <w:t xml:space="preserve">“to be completely honest with you, I don't know that there are </w:t>
      </w:r>
      <w:r w:rsidR="00B555F7" w:rsidRPr="00BF6F6A">
        <w:rPr>
          <w:i/>
          <w:iCs/>
          <w:shd w:val="clear" w:color="auto" w:fill="FFFFFF"/>
        </w:rPr>
        <w:lastRenderedPageBreak/>
        <w:t>enough investors who can detect greenwashing. So, I think a lot of companies and people can get away with it”</w:t>
      </w:r>
      <w:r w:rsidR="00A12E91" w:rsidRPr="00BF6F6A">
        <w:rPr>
          <w:shd w:val="clear" w:color="auto" w:fill="FFFFFF"/>
        </w:rPr>
        <w:t xml:space="preserve"> (P5),</w:t>
      </w:r>
      <w:r w:rsidRPr="00BF6F6A">
        <w:rPr>
          <w:shd w:val="clear" w:color="auto" w:fill="FFFFFF"/>
        </w:rPr>
        <w:t xml:space="preserve"> </w:t>
      </w:r>
      <w:r w:rsidR="003B4F8D" w:rsidRPr="00BF6F6A">
        <w:rPr>
          <w:shd w:val="clear" w:color="auto" w:fill="FFFFFF"/>
        </w:rPr>
        <w:t xml:space="preserve">or </w:t>
      </w:r>
      <w:r w:rsidR="0073583C" w:rsidRPr="00BF6F6A">
        <w:rPr>
          <w:i/>
          <w:iCs/>
          <w:shd w:val="clear" w:color="auto" w:fill="FFFFFF"/>
        </w:rPr>
        <w:t xml:space="preserve">“I can’t say they </w:t>
      </w:r>
      <w:r w:rsidR="009F2C64" w:rsidRPr="00BF6F6A">
        <w:rPr>
          <w:i/>
          <w:iCs/>
          <w:shd w:val="clear" w:color="auto" w:fill="FFFFFF"/>
        </w:rPr>
        <w:t xml:space="preserve">[investors] </w:t>
      </w:r>
      <w:r w:rsidR="0073583C" w:rsidRPr="00BF6F6A">
        <w:rPr>
          <w:i/>
          <w:iCs/>
          <w:shd w:val="clear" w:color="auto" w:fill="FFFFFF"/>
        </w:rPr>
        <w:t>are precisely looking into this matter and verifying that what we say is true or not”</w:t>
      </w:r>
      <w:r w:rsidR="008E3B21" w:rsidRPr="00BF6F6A">
        <w:rPr>
          <w:shd w:val="clear" w:color="auto" w:fill="FFFFFF"/>
        </w:rPr>
        <w:t xml:space="preserve"> (P6).</w:t>
      </w:r>
      <w:r w:rsidRPr="00BF6F6A">
        <w:rPr>
          <w:shd w:val="clear" w:color="auto" w:fill="FFFFFF"/>
        </w:rPr>
        <w:t xml:space="preserve"> This confirms</w:t>
      </w:r>
      <w:r w:rsidR="000239C7" w:rsidRPr="00BF6F6A">
        <w:rPr>
          <w:shd w:val="clear" w:color="auto" w:fill="FFFFFF"/>
        </w:rPr>
        <w:t xml:space="preserve"> Espahbodi </w:t>
      </w:r>
      <w:r w:rsidR="000239C7" w:rsidRPr="00BF6F6A">
        <w:rPr>
          <w:i/>
          <w:iCs/>
          <w:shd w:val="clear" w:color="auto" w:fill="FFFFFF"/>
        </w:rPr>
        <w:t>et al.</w:t>
      </w:r>
      <w:r w:rsidR="000239C7" w:rsidRPr="00BF6F6A">
        <w:rPr>
          <w:shd w:val="clear" w:color="auto" w:fill="FFFFFF"/>
        </w:rPr>
        <w:t xml:space="preserve"> (2019)</w:t>
      </w:r>
      <w:r w:rsidR="000239C7" w:rsidRPr="00BF6F6A">
        <w:rPr>
          <w:i/>
          <w:iCs/>
          <w:shd w:val="clear" w:color="auto" w:fill="FFFFFF"/>
        </w:rPr>
        <w:t xml:space="preserve"> </w:t>
      </w:r>
      <w:r w:rsidR="00CA2664" w:rsidRPr="00BF6F6A">
        <w:rPr>
          <w:shd w:val="clear" w:color="auto" w:fill="FFFFFF"/>
        </w:rPr>
        <w:t>view</w:t>
      </w:r>
      <w:r w:rsidR="000239C7" w:rsidRPr="00BF6F6A">
        <w:rPr>
          <w:shd w:val="clear" w:color="auto" w:fill="FFFFFF"/>
        </w:rPr>
        <w:t xml:space="preserve"> that there is </w:t>
      </w:r>
      <w:r w:rsidRPr="00BF6F6A">
        <w:rPr>
          <w:shd w:val="clear" w:color="auto" w:fill="FFFFFF"/>
        </w:rPr>
        <w:t xml:space="preserve">a </w:t>
      </w:r>
      <w:r w:rsidR="000239C7" w:rsidRPr="00BF6F6A">
        <w:rPr>
          <w:shd w:val="clear" w:color="auto" w:fill="FFFFFF"/>
        </w:rPr>
        <w:t xml:space="preserve">need to improve the perception of ESG data reliability </w:t>
      </w:r>
      <w:r w:rsidR="009F2C64" w:rsidRPr="00BF6F6A">
        <w:rPr>
          <w:shd w:val="clear" w:color="auto" w:fill="FFFFFF"/>
        </w:rPr>
        <w:t xml:space="preserve">and </w:t>
      </w:r>
      <w:r w:rsidR="00AD6C15">
        <w:rPr>
          <w:shd w:val="clear" w:color="auto" w:fill="FFFFFF"/>
        </w:rPr>
        <w:t>improve</w:t>
      </w:r>
      <w:r w:rsidR="00AD6C15" w:rsidRPr="00BF6F6A">
        <w:rPr>
          <w:shd w:val="clear" w:color="auto" w:fill="FFFFFF"/>
        </w:rPr>
        <w:t xml:space="preserve"> </w:t>
      </w:r>
      <w:r w:rsidR="009F2C64" w:rsidRPr="00BF6F6A">
        <w:rPr>
          <w:shd w:val="clear" w:color="auto" w:fill="FFFFFF"/>
        </w:rPr>
        <w:t xml:space="preserve">trust in </w:t>
      </w:r>
      <w:r w:rsidR="007828A8" w:rsidRPr="00BF6F6A">
        <w:rPr>
          <w:shd w:val="clear" w:color="auto" w:fill="FFFFFF"/>
        </w:rPr>
        <w:t xml:space="preserve">the </w:t>
      </w:r>
      <w:r w:rsidR="009F2C64" w:rsidRPr="00BF6F6A">
        <w:rPr>
          <w:shd w:val="clear" w:color="auto" w:fill="FFFFFF"/>
        </w:rPr>
        <w:t>data (</w:t>
      </w:r>
      <w:r w:rsidR="000239C7" w:rsidRPr="00BF6F6A">
        <w:rPr>
          <w:shd w:val="clear" w:color="auto" w:fill="FFFFFF"/>
        </w:rPr>
        <w:t xml:space="preserve">Busch </w:t>
      </w:r>
      <w:r w:rsidR="000239C7" w:rsidRPr="00BF6F6A">
        <w:rPr>
          <w:i/>
          <w:iCs/>
          <w:shd w:val="clear" w:color="auto" w:fill="FFFFFF"/>
        </w:rPr>
        <w:t>et al</w:t>
      </w:r>
      <w:r w:rsidR="009F2C64" w:rsidRPr="00BF6F6A">
        <w:rPr>
          <w:i/>
          <w:iCs/>
          <w:shd w:val="clear" w:color="auto" w:fill="FFFFFF"/>
        </w:rPr>
        <w:t xml:space="preserve">., </w:t>
      </w:r>
      <w:r w:rsidR="000239C7" w:rsidRPr="00BF6F6A">
        <w:rPr>
          <w:shd w:val="clear" w:color="auto" w:fill="FFFFFF"/>
        </w:rPr>
        <w:t>2016</w:t>
      </w:r>
      <w:r w:rsidR="009F2C64" w:rsidRPr="00BF6F6A">
        <w:rPr>
          <w:shd w:val="clear" w:color="auto" w:fill="FFFFFF"/>
        </w:rPr>
        <w:t>;</w:t>
      </w:r>
      <w:r w:rsidR="000239C7" w:rsidRPr="00BF6F6A">
        <w:rPr>
          <w:shd w:val="clear" w:color="auto" w:fill="FFFFFF"/>
        </w:rPr>
        <w:t xml:space="preserve"> Camilleri</w:t>
      </w:r>
      <w:r w:rsidR="009F2C64" w:rsidRPr="00BF6F6A">
        <w:rPr>
          <w:shd w:val="clear" w:color="auto" w:fill="FFFFFF"/>
        </w:rPr>
        <w:t xml:space="preserve">, </w:t>
      </w:r>
      <w:r w:rsidR="000239C7" w:rsidRPr="00BF6F6A">
        <w:rPr>
          <w:shd w:val="clear" w:color="auto" w:fill="FFFFFF"/>
        </w:rPr>
        <w:t>2020)</w:t>
      </w:r>
      <w:r w:rsidR="009F2C64" w:rsidRPr="00BF6F6A">
        <w:rPr>
          <w:shd w:val="clear" w:color="auto" w:fill="FFFFFF"/>
        </w:rPr>
        <w:t>.</w:t>
      </w:r>
    </w:p>
    <w:p w14:paraId="7AC34BBA" w14:textId="77777777" w:rsidR="005524F7" w:rsidRPr="00BF6F6A" w:rsidRDefault="005524F7" w:rsidP="003B4F8D">
      <w:pPr>
        <w:ind w:firstLine="720"/>
        <w:jc w:val="both"/>
        <w:rPr>
          <w:shd w:val="clear" w:color="auto" w:fill="FFFFFF"/>
        </w:rPr>
      </w:pPr>
    </w:p>
    <w:p w14:paraId="67A909D3" w14:textId="6A892828" w:rsidR="00776303" w:rsidRPr="00BF6F6A" w:rsidRDefault="00DE748B" w:rsidP="003B4F8D">
      <w:pPr>
        <w:pStyle w:val="Heading3"/>
        <w:numPr>
          <w:ilvl w:val="0"/>
          <w:numId w:val="0"/>
        </w:numPr>
        <w:spacing w:before="0" w:after="0"/>
        <w:rPr>
          <w:rFonts w:cs="Times New Roman"/>
          <w:u w:val="none"/>
          <w:shd w:val="clear" w:color="auto" w:fill="FFFFFF"/>
        </w:rPr>
      </w:pPr>
      <w:bookmarkStart w:id="28" w:name="_Toc99882246"/>
      <w:r w:rsidRPr="00BF6F6A">
        <w:rPr>
          <w:rFonts w:cs="Times New Roman"/>
          <w:u w:val="none"/>
          <w:shd w:val="clear" w:color="auto" w:fill="FFFFFF"/>
        </w:rPr>
        <w:t xml:space="preserve">ESG </w:t>
      </w:r>
      <w:r w:rsidR="00FE48E5" w:rsidRPr="00BF6F6A">
        <w:rPr>
          <w:rFonts w:cs="Times New Roman"/>
          <w:u w:val="none"/>
          <w:shd w:val="clear" w:color="auto" w:fill="FFFFFF"/>
        </w:rPr>
        <w:t>d</w:t>
      </w:r>
      <w:r w:rsidR="00776303" w:rsidRPr="00BF6F6A">
        <w:rPr>
          <w:rFonts w:cs="Times New Roman"/>
          <w:u w:val="none"/>
          <w:shd w:val="clear" w:color="auto" w:fill="FFFFFF"/>
        </w:rPr>
        <w:t>isclosure</w:t>
      </w:r>
      <w:bookmarkEnd w:id="28"/>
      <w:r w:rsidR="0056505B" w:rsidRPr="00BF6F6A">
        <w:rPr>
          <w:rFonts w:cs="Times New Roman"/>
          <w:u w:val="none"/>
          <w:shd w:val="clear" w:color="auto" w:fill="FFFFFF"/>
        </w:rPr>
        <w:t>s</w:t>
      </w:r>
    </w:p>
    <w:p w14:paraId="4A0884B7" w14:textId="0CC5B160" w:rsidR="007D2E7B" w:rsidRPr="00BF6F6A" w:rsidRDefault="00E75860" w:rsidP="003B4F8D">
      <w:pPr>
        <w:jc w:val="both"/>
        <w:rPr>
          <w:shd w:val="clear" w:color="auto" w:fill="FFFFFF"/>
        </w:rPr>
      </w:pPr>
      <w:r w:rsidRPr="00BF6F6A">
        <w:rPr>
          <w:shd w:val="clear" w:color="auto" w:fill="FFFFFF"/>
        </w:rPr>
        <w:t>H</w:t>
      </w:r>
      <w:r w:rsidR="00A512BF" w:rsidRPr="00BF6F6A">
        <w:rPr>
          <w:shd w:val="clear" w:color="auto" w:fill="FFFFFF"/>
        </w:rPr>
        <w:t xml:space="preserve">istorically there has been a general lack of legislation and regulation requiring companies to report detailed ESG information (Siew </w:t>
      </w:r>
      <w:r w:rsidR="00A512BF" w:rsidRPr="00BF6F6A">
        <w:rPr>
          <w:i/>
          <w:iCs/>
          <w:shd w:val="clear" w:color="auto" w:fill="FFFFFF"/>
        </w:rPr>
        <w:t>et al.</w:t>
      </w:r>
      <w:r w:rsidR="00A512BF" w:rsidRPr="00BF6F6A">
        <w:rPr>
          <w:shd w:val="clear" w:color="auto" w:fill="FFFFFF"/>
        </w:rPr>
        <w:t xml:space="preserve">, 2013; Ochi, 2018; </w:t>
      </w:r>
      <w:r w:rsidR="00EC7392" w:rsidRPr="00BF6F6A">
        <w:rPr>
          <w:shd w:val="clear" w:color="auto" w:fill="FFFFFF"/>
        </w:rPr>
        <w:t xml:space="preserve">Fyodorova </w:t>
      </w:r>
      <w:r w:rsidR="00EC7392" w:rsidRPr="00BF6F6A">
        <w:rPr>
          <w:i/>
          <w:iCs/>
          <w:shd w:val="clear" w:color="auto" w:fill="FFFFFF"/>
        </w:rPr>
        <w:t>et al.</w:t>
      </w:r>
      <w:r w:rsidR="00EC7392" w:rsidRPr="00BF6F6A">
        <w:rPr>
          <w:shd w:val="clear" w:color="auto" w:fill="FFFFFF"/>
        </w:rPr>
        <w:t xml:space="preserve">, 2019; </w:t>
      </w:r>
      <w:r w:rsidR="009626FE" w:rsidRPr="00BF6F6A">
        <w:rPr>
          <w:shd w:val="clear" w:color="auto" w:fill="FFFFFF"/>
        </w:rPr>
        <w:t>D</w:t>
      </w:r>
      <w:r w:rsidR="00EC7392" w:rsidRPr="00BF6F6A">
        <w:rPr>
          <w:shd w:val="clear" w:color="auto" w:fill="FFFFFF"/>
        </w:rPr>
        <w:t xml:space="preserve">e Castro </w:t>
      </w:r>
      <w:r w:rsidR="00EC7392" w:rsidRPr="00BF6F6A">
        <w:rPr>
          <w:i/>
          <w:iCs/>
          <w:shd w:val="clear" w:color="auto" w:fill="FFFFFF"/>
        </w:rPr>
        <w:t>et al.</w:t>
      </w:r>
      <w:r w:rsidR="00EC7392" w:rsidRPr="00BF6F6A">
        <w:rPr>
          <w:shd w:val="clear" w:color="auto" w:fill="FFFFFF"/>
        </w:rPr>
        <w:t>, 2020</w:t>
      </w:r>
      <w:r w:rsidR="00A512BF" w:rsidRPr="00BF6F6A">
        <w:rPr>
          <w:shd w:val="clear" w:color="auto" w:fill="FFFFFF"/>
        </w:rPr>
        <w:t>)</w:t>
      </w:r>
      <w:r w:rsidR="00EC7392" w:rsidRPr="00BF6F6A">
        <w:rPr>
          <w:shd w:val="clear" w:color="auto" w:fill="FFFFFF"/>
        </w:rPr>
        <w:t>.</w:t>
      </w:r>
      <w:r w:rsidR="009F2C64" w:rsidRPr="00BF6F6A">
        <w:rPr>
          <w:shd w:val="clear" w:color="auto" w:fill="FFFFFF"/>
        </w:rPr>
        <w:t xml:space="preserve"> Yet</w:t>
      </w:r>
      <w:r w:rsidR="00846AD6" w:rsidRPr="00BF6F6A">
        <w:rPr>
          <w:shd w:val="clear" w:color="auto" w:fill="FFFFFF"/>
        </w:rPr>
        <w:t>,</w:t>
      </w:r>
      <w:r w:rsidR="004D47F5" w:rsidRPr="00BF6F6A">
        <w:rPr>
          <w:shd w:val="clear" w:color="auto" w:fill="FFFFFF"/>
        </w:rPr>
        <w:t xml:space="preserve"> </w:t>
      </w:r>
      <w:r w:rsidR="003B4F8D" w:rsidRPr="00BF6F6A">
        <w:rPr>
          <w:shd w:val="clear" w:color="auto" w:fill="FFFFFF"/>
        </w:rPr>
        <w:t>all</w:t>
      </w:r>
      <w:r w:rsidR="004D47F5" w:rsidRPr="00BF6F6A">
        <w:rPr>
          <w:shd w:val="clear" w:color="auto" w:fill="FFFFFF"/>
        </w:rPr>
        <w:t xml:space="preserve"> participants </w:t>
      </w:r>
      <w:r w:rsidR="00357951" w:rsidRPr="00BF6F6A">
        <w:rPr>
          <w:shd w:val="clear" w:color="auto" w:fill="FFFFFF"/>
        </w:rPr>
        <w:t xml:space="preserve">firmly felt that there is </w:t>
      </w:r>
      <w:r w:rsidR="00BF6BB6" w:rsidRPr="00BF6F6A">
        <w:rPr>
          <w:shd w:val="clear" w:color="auto" w:fill="FFFFFF"/>
        </w:rPr>
        <w:t xml:space="preserve">a big legislative and regulatory impact upon ESG disclosure and </w:t>
      </w:r>
      <w:r w:rsidR="00BF6BB6" w:rsidRPr="00BF6F6A">
        <w:rPr>
          <w:i/>
          <w:iCs/>
          <w:shd w:val="clear" w:color="auto" w:fill="FFFFFF"/>
        </w:rPr>
        <w:t>“we're getting more legislation and regulation in terms of what needs to be disclosed”</w:t>
      </w:r>
      <w:r w:rsidR="009F2C64" w:rsidRPr="00BF6F6A">
        <w:rPr>
          <w:shd w:val="clear" w:color="auto" w:fill="FFFFFF"/>
        </w:rPr>
        <w:t xml:space="preserve"> </w:t>
      </w:r>
      <w:r w:rsidR="008E3B21" w:rsidRPr="00BF6F6A">
        <w:rPr>
          <w:shd w:val="clear" w:color="auto" w:fill="FFFFFF"/>
        </w:rPr>
        <w:t xml:space="preserve">(P7) </w:t>
      </w:r>
      <w:r w:rsidR="009F2C64" w:rsidRPr="00BF6F6A">
        <w:rPr>
          <w:shd w:val="clear" w:color="auto" w:fill="FFFFFF"/>
        </w:rPr>
        <w:t xml:space="preserve">but this varies across the globe. </w:t>
      </w:r>
      <w:r w:rsidR="00E1673C">
        <w:rPr>
          <w:shd w:val="clear" w:color="auto" w:fill="FFFFFF"/>
        </w:rPr>
        <w:t xml:space="preserve">P4 with disgust expressed that </w:t>
      </w:r>
      <w:r w:rsidR="004443B7" w:rsidRPr="00BF6F6A">
        <w:rPr>
          <w:i/>
          <w:iCs/>
          <w:shd w:val="clear" w:color="auto" w:fill="FFFFFF"/>
        </w:rPr>
        <w:t>“</w:t>
      </w:r>
      <w:r w:rsidR="00E1673C">
        <w:rPr>
          <w:i/>
          <w:iCs/>
          <w:shd w:val="clear" w:color="auto" w:fill="FFFFFF"/>
        </w:rPr>
        <w:t>i</w:t>
      </w:r>
      <w:r w:rsidR="004443B7" w:rsidRPr="00BF6F6A">
        <w:rPr>
          <w:i/>
          <w:iCs/>
          <w:shd w:val="clear" w:color="auto" w:fill="FFFFFF"/>
        </w:rPr>
        <w:t>n the EU and Australia, legislation is much more stringent when it comes to carbon reporting and transparency and we're not quite there yet in North America”</w:t>
      </w:r>
      <w:r w:rsidR="008E3B21" w:rsidRPr="00BF6F6A">
        <w:rPr>
          <w:shd w:val="clear" w:color="auto" w:fill="FFFFFF"/>
        </w:rPr>
        <w:t xml:space="preserve">. </w:t>
      </w:r>
      <w:r w:rsidR="007828A8" w:rsidRPr="00BF6F6A">
        <w:rPr>
          <w:shd w:val="clear" w:color="auto" w:fill="FFFFFF"/>
        </w:rPr>
        <w:t xml:space="preserve">This was </w:t>
      </w:r>
      <w:r w:rsidR="007D2E7B" w:rsidRPr="00BF6F6A">
        <w:rPr>
          <w:shd w:val="clear" w:color="auto" w:fill="FFFFFF"/>
        </w:rPr>
        <w:t>backed</w:t>
      </w:r>
      <w:r w:rsidR="009F2C64" w:rsidRPr="00BF6F6A">
        <w:rPr>
          <w:shd w:val="clear" w:color="auto" w:fill="FFFFFF"/>
        </w:rPr>
        <w:t xml:space="preserve"> by other participant</w:t>
      </w:r>
      <w:r w:rsidR="003B4F8D" w:rsidRPr="00BF6F6A">
        <w:rPr>
          <w:shd w:val="clear" w:color="auto" w:fill="FFFFFF"/>
        </w:rPr>
        <w:t xml:space="preserve">s </w:t>
      </w:r>
      <w:r w:rsidR="007828A8" w:rsidRPr="00BF6F6A">
        <w:rPr>
          <w:shd w:val="clear" w:color="auto" w:fill="FFFFFF"/>
        </w:rPr>
        <w:t xml:space="preserve">who stated that </w:t>
      </w:r>
      <w:r w:rsidR="003B4F8D" w:rsidRPr="00BF6F6A">
        <w:rPr>
          <w:i/>
          <w:iCs/>
          <w:shd w:val="clear" w:color="auto" w:fill="FFFFFF"/>
        </w:rPr>
        <w:t>“</w:t>
      </w:r>
      <w:r w:rsidR="006575D6" w:rsidRPr="00BF6F6A">
        <w:rPr>
          <w:i/>
          <w:iCs/>
          <w:shd w:val="clear" w:color="auto" w:fill="FFFFFF"/>
        </w:rPr>
        <w:t>regulation is really big</w:t>
      </w:r>
      <w:r w:rsidR="003B4F8D" w:rsidRPr="00BF6F6A">
        <w:rPr>
          <w:i/>
          <w:iCs/>
          <w:shd w:val="clear" w:color="auto" w:fill="FFFFFF"/>
        </w:rPr>
        <w:t xml:space="preserve"> [when speaking]</w:t>
      </w:r>
      <w:r w:rsidR="006575D6" w:rsidRPr="00BF6F6A">
        <w:rPr>
          <w:i/>
          <w:iCs/>
          <w:shd w:val="clear" w:color="auto" w:fill="FFFFFF"/>
        </w:rPr>
        <w:t xml:space="preserve"> about Europe because it has the most progressive regulation, in the US and APAC it's not the same.</w:t>
      </w:r>
      <w:r w:rsidR="004443B7" w:rsidRPr="00BF6F6A">
        <w:rPr>
          <w:i/>
          <w:iCs/>
          <w:shd w:val="clear" w:color="auto" w:fill="FFFFFF"/>
        </w:rPr>
        <w:t>”</w:t>
      </w:r>
      <w:r w:rsidR="007D2E7B" w:rsidRPr="00BF6F6A">
        <w:rPr>
          <w:shd w:val="clear" w:color="auto" w:fill="FFFFFF"/>
        </w:rPr>
        <w:t xml:space="preserve"> </w:t>
      </w:r>
      <w:r w:rsidR="008E3B21" w:rsidRPr="00BF6F6A">
        <w:rPr>
          <w:shd w:val="clear" w:color="auto" w:fill="FFFFFF"/>
        </w:rPr>
        <w:t>(P5).</w:t>
      </w:r>
    </w:p>
    <w:p w14:paraId="78D2C5B1" w14:textId="7BA0EDF3" w:rsidR="007D2E7B" w:rsidRPr="00BF6F6A" w:rsidRDefault="003B4F8D" w:rsidP="003B4F8D">
      <w:pPr>
        <w:ind w:firstLine="720"/>
        <w:jc w:val="both"/>
        <w:rPr>
          <w:shd w:val="clear" w:color="auto" w:fill="FFFFFF"/>
        </w:rPr>
      </w:pPr>
      <w:r w:rsidRPr="00BF6F6A">
        <w:rPr>
          <w:shd w:val="clear" w:color="auto" w:fill="FFFFFF"/>
        </w:rPr>
        <w:t>All p</w:t>
      </w:r>
      <w:r w:rsidR="00F150BC" w:rsidRPr="00BF6F6A">
        <w:rPr>
          <w:shd w:val="clear" w:color="auto" w:fill="FFFFFF"/>
        </w:rPr>
        <w:t xml:space="preserve">articipants </w:t>
      </w:r>
      <w:r w:rsidR="00460AEE">
        <w:rPr>
          <w:shd w:val="clear" w:color="auto" w:fill="FFFFFF"/>
        </w:rPr>
        <w:t>appeared to have</w:t>
      </w:r>
      <w:r w:rsidR="00F150BC" w:rsidRPr="00BF6F6A">
        <w:rPr>
          <w:shd w:val="clear" w:color="auto" w:fill="FFFFFF"/>
        </w:rPr>
        <w:t xml:space="preserve"> mixed </w:t>
      </w:r>
      <w:r w:rsidR="00E1673C">
        <w:rPr>
          <w:shd w:val="clear" w:color="auto" w:fill="FFFFFF"/>
        </w:rPr>
        <w:t>feelings</w:t>
      </w:r>
      <w:r w:rsidR="00F150BC" w:rsidRPr="00BF6F6A">
        <w:rPr>
          <w:shd w:val="clear" w:color="auto" w:fill="FFFFFF"/>
        </w:rPr>
        <w:t xml:space="preserve"> on the impact of promotion strategies</w:t>
      </w:r>
      <w:r w:rsidRPr="00BF6F6A">
        <w:rPr>
          <w:shd w:val="clear" w:color="auto" w:fill="FFFFFF"/>
        </w:rPr>
        <w:t xml:space="preserve"> observing that </w:t>
      </w:r>
      <w:r w:rsidR="00F150BC" w:rsidRPr="00BF6F6A">
        <w:rPr>
          <w:i/>
          <w:iCs/>
          <w:shd w:val="clear" w:color="auto" w:fill="FFFFFF"/>
        </w:rPr>
        <w:t>“certainly we've seen a sophistication in the types of ESG disclosures that have happened looking at corporate social responsibility reporting in 2011, let's say versus 2021”</w:t>
      </w:r>
      <w:r w:rsidR="00F150BC" w:rsidRPr="00BF6F6A">
        <w:rPr>
          <w:shd w:val="clear" w:color="auto" w:fill="FFFFFF"/>
        </w:rPr>
        <w:t xml:space="preserve"> </w:t>
      </w:r>
      <w:r w:rsidR="008E3B21" w:rsidRPr="00BF6F6A">
        <w:rPr>
          <w:shd w:val="clear" w:color="auto" w:fill="FFFFFF"/>
        </w:rPr>
        <w:t>(P1)</w:t>
      </w:r>
      <w:r w:rsidR="00E1673C">
        <w:rPr>
          <w:shd w:val="clear" w:color="auto" w:fill="FFFFFF"/>
        </w:rPr>
        <w:t>. P2 lamented that</w:t>
      </w:r>
      <w:r w:rsidRPr="00BF6F6A">
        <w:rPr>
          <w:shd w:val="clear" w:color="auto" w:fill="FFFFFF"/>
        </w:rPr>
        <w:t xml:space="preserve"> </w:t>
      </w:r>
      <w:r w:rsidR="00F150BC" w:rsidRPr="00BF6F6A">
        <w:rPr>
          <w:i/>
          <w:iCs/>
          <w:shd w:val="clear" w:color="auto" w:fill="FFFFFF"/>
        </w:rPr>
        <w:t xml:space="preserve">“marketing possibilities are not related to actual disclosure, because </w:t>
      </w:r>
      <w:r w:rsidR="00E1673C">
        <w:rPr>
          <w:i/>
          <w:iCs/>
          <w:shd w:val="clear" w:color="auto" w:fill="FFFFFF"/>
        </w:rPr>
        <w:t>[…]</w:t>
      </w:r>
      <w:r w:rsidR="00F150BC" w:rsidRPr="00BF6F6A">
        <w:rPr>
          <w:i/>
          <w:iCs/>
          <w:shd w:val="clear" w:color="auto" w:fill="FFFFFF"/>
        </w:rPr>
        <w:t xml:space="preserve"> we see quite a lot of fluffy green claims in the industry that are not always backed up with facts”</w:t>
      </w:r>
      <w:r w:rsidR="008E3B21" w:rsidRPr="00BF6F6A">
        <w:rPr>
          <w:shd w:val="clear" w:color="auto" w:fill="FFFFFF"/>
        </w:rPr>
        <w:t xml:space="preserve">. </w:t>
      </w:r>
      <w:r w:rsidR="007D2E7B" w:rsidRPr="00BF6F6A">
        <w:rPr>
          <w:shd w:val="clear" w:color="auto" w:fill="FFFFFF"/>
        </w:rPr>
        <w:t xml:space="preserve">This </w:t>
      </w:r>
      <w:r w:rsidRPr="00BF6F6A">
        <w:rPr>
          <w:shd w:val="clear" w:color="auto" w:fill="FFFFFF"/>
        </w:rPr>
        <w:t>undermines</w:t>
      </w:r>
      <w:r w:rsidR="007D2E7B" w:rsidRPr="00BF6F6A">
        <w:rPr>
          <w:shd w:val="clear" w:color="auto" w:fill="FFFFFF"/>
        </w:rPr>
        <w:t xml:space="preserve"> </w:t>
      </w:r>
      <w:r w:rsidR="008F3A11" w:rsidRPr="00BF6F6A">
        <w:rPr>
          <w:shd w:val="clear" w:color="auto" w:fill="FFFFFF"/>
        </w:rPr>
        <w:t xml:space="preserve">the perspective of </w:t>
      </w:r>
      <w:r w:rsidR="00F150BC" w:rsidRPr="00BF6F6A">
        <w:rPr>
          <w:shd w:val="clear" w:color="auto" w:fill="FFFFFF"/>
        </w:rPr>
        <w:t xml:space="preserve">Diouf </w:t>
      </w:r>
      <w:r w:rsidR="00F150BC" w:rsidRPr="00BF6F6A">
        <w:rPr>
          <w:i/>
          <w:iCs/>
          <w:shd w:val="clear" w:color="auto" w:fill="FFFFFF"/>
        </w:rPr>
        <w:t xml:space="preserve">et al. </w:t>
      </w:r>
      <w:r w:rsidR="00F150BC" w:rsidRPr="00BF6F6A">
        <w:rPr>
          <w:shd w:val="clear" w:color="auto" w:fill="FFFFFF"/>
        </w:rPr>
        <w:t xml:space="preserve">(2016) that increasing the role of the institution through promotion strategies will further increase public awareness and interest </w:t>
      </w:r>
      <w:r w:rsidR="009F2C64" w:rsidRPr="00BF6F6A">
        <w:rPr>
          <w:shd w:val="clear" w:color="auto" w:fill="FFFFFF"/>
        </w:rPr>
        <w:t>in SRI</w:t>
      </w:r>
      <w:r w:rsidR="00F150BC" w:rsidRPr="00BF6F6A">
        <w:rPr>
          <w:shd w:val="clear" w:color="auto" w:fill="FFFFFF"/>
        </w:rPr>
        <w:t xml:space="preserve">. </w:t>
      </w:r>
    </w:p>
    <w:p w14:paraId="224C3193" w14:textId="40BC836B" w:rsidR="00F150BC" w:rsidRPr="00BF6F6A" w:rsidRDefault="003B4F8D" w:rsidP="003B4F8D">
      <w:pPr>
        <w:ind w:firstLine="720"/>
        <w:jc w:val="both"/>
        <w:rPr>
          <w:shd w:val="clear" w:color="auto" w:fill="FFFFFF"/>
        </w:rPr>
      </w:pPr>
      <w:r w:rsidRPr="00BF6F6A">
        <w:rPr>
          <w:shd w:val="clear" w:color="auto" w:fill="FFFFFF"/>
        </w:rPr>
        <w:t>Many</w:t>
      </w:r>
      <w:r w:rsidR="006575D6" w:rsidRPr="00BF6F6A">
        <w:rPr>
          <w:shd w:val="clear" w:color="auto" w:fill="FFFFFF"/>
        </w:rPr>
        <w:t xml:space="preserve"> </w:t>
      </w:r>
      <w:r w:rsidR="00671DF4" w:rsidRPr="00BF6F6A">
        <w:rPr>
          <w:shd w:val="clear" w:color="auto" w:fill="FFFFFF"/>
        </w:rPr>
        <w:t>participants</w:t>
      </w:r>
      <w:r w:rsidR="006575D6" w:rsidRPr="00BF6F6A">
        <w:rPr>
          <w:shd w:val="clear" w:color="auto" w:fill="FFFFFF"/>
        </w:rPr>
        <w:t xml:space="preserve"> argued that there was a scalability </w:t>
      </w:r>
      <w:r w:rsidR="00933D79" w:rsidRPr="00BF6F6A">
        <w:rPr>
          <w:shd w:val="clear" w:color="auto" w:fill="FFFFFF"/>
        </w:rPr>
        <w:t>issue</w:t>
      </w:r>
      <w:r w:rsidR="00670D10" w:rsidRPr="00BF6F6A">
        <w:rPr>
          <w:shd w:val="clear" w:color="auto" w:fill="FFFFFF"/>
        </w:rPr>
        <w:t xml:space="preserve"> and</w:t>
      </w:r>
      <w:r w:rsidR="00A632FA" w:rsidRPr="00BF6F6A">
        <w:rPr>
          <w:shd w:val="clear" w:color="auto" w:fill="FFFFFF"/>
        </w:rPr>
        <w:t xml:space="preserve"> </w:t>
      </w:r>
      <w:r w:rsidR="00E1673C">
        <w:rPr>
          <w:shd w:val="clear" w:color="auto" w:fill="FFFFFF"/>
        </w:rPr>
        <w:t xml:space="preserve">complained </w:t>
      </w:r>
      <w:r w:rsidR="00A632FA" w:rsidRPr="00BF6F6A">
        <w:rPr>
          <w:shd w:val="clear" w:color="auto" w:fill="FFFFFF"/>
        </w:rPr>
        <w:t>that</w:t>
      </w:r>
      <w:r w:rsidR="00933D79" w:rsidRPr="00BF6F6A">
        <w:rPr>
          <w:shd w:val="clear" w:color="auto" w:fill="FFFFFF"/>
        </w:rPr>
        <w:t xml:space="preserve"> </w:t>
      </w:r>
      <w:r w:rsidR="00933D79" w:rsidRPr="00BF6F6A">
        <w:rPr>
          <w:i/>
          <w:iCs/>
          <w:shd w:val="clear" w:color="auto" w:fill="FFFFFF"/>
        </w:rPr>
        <w:t>“smaller companies don’t have specialist departments, so it takes a lot longer to get things moving, and large companies have seen an impact much quicker</w:t>
      </w:r>
      <w:r w:rsidR="006102BA" w:rsidRPr="00BF6F6A">
        <w:rPr>
          <w:i/>
          <w:iCs/>
          <w:shd w:val="clear" w:color="auto" w:fill="FFFFFF"/>
        </w:rPr>
        <w:t>”</w:t>
      </w:r>
      <w:r w:rsidR="005635F6" w:rsidRPr="00BF6F6A">
        <w:rPr>
          <w:shd w:val="clear" w:color="auto" w:fill="FFFFFF"/>
        </w:rPr>
        <w:t xml:space="preserve"> </w:t>
      </w:r>
      <w:r w:rsidR="005E0CFB" w:rsidRPr="00BF6F6A">
        <w:rPr>
          <w:shd w:val="clear" w:color="auto" w:fill="FFFFFF"/>
        </w:rPr>
        <w:t xml:space="preserve">(P3) </w:t>
      </w:r>
      <w:r w:rsidRPr="00BF6F6A">
        <w:rPr>
          <w:shd w:val="clear" w:color="auto" w:fill="FFFFFF"/>
        </w:rPr>
        <w:t xml:space="preserve">and </w:t>
      </w:r>
      <w:r w:rsidR="00E1673C">
        <w:rPr>
          <w:shd w:val="clear" w:color="auto" w:fill="FFFFFF"/>
        </w:rPr>
        <w:t xml:space="preserve">in a </w:t>
      </w:r>
      <w:r w:rsidR="00E1673C" w:rsidRPr="00BF6F6A">
        <w:rPr>
          <w:shd w:val="clear" w:color="auto" w:fill="FFFFFF"/>
        </w:rPr>
        <w:t>whin</w:t>
      </w:r>
      <w:r w:rsidR="00E1673C">
        <w:rPr>
          <w:shd w:val="clear" w:color="auto" w:fill="FFFFFF"/>
        </w:rPr>
        <w:t>ing tone expressed</w:t>
      </w:r>
      <w:r w:rsidRPr="00BF6F6A">
        <w:rPr>
          <w:shd w:val="clear" w:color="auto" w:fill="FFFFFF"/>
        </w:rPr>
        <w:t xml:space="preserve"> that disclosures are</w:t>
      </w:r>
      <w:r w:rsidRPr="00BF6F6A">
        <w:rPr>
          <w:i/>
          <w:iCs/>
          <w:shd w:val="clear" w:color="auto" w:fill="FFFFFF"/>
        </w:rPr>
        <w:t xml:space="preserve"> “generally</w:t>
      </w:r>
      <w:r w:rsidR="00C25059" w:rsidRPr="00BF6F6A">
        <w:rPr>
          <w:i/>
          <w:iCs/>
          <w:shd w:val="clear" w:color="auto" w:fill="FFFFFF"/>
        </w:rPr>
        <w:t xml:space="preserve"> still aimed at large organizations, so </w:t>
      </w:r>
      <w:r w:rsidR="00E82DBD" w:rsidRPr="00BF6F6A">
        <w:rPr>
          <w:i/>
          <w:iCs/>
          <w:shd w:val="clear" w:color="auto" w:fill="FFFFFF"/>
        </w:rPr>
        <w:t>[we a</w:t>
      </w:r>
      <w:r w:rsidR="00C25059" w:rsidRPr="00BF6F6A">
        <w:rPr>
          <w:i/>
          <w:iCs/>
          <w:shd w:val="clear" w:color="auto" w:fill="FFFFFF"/>
        </w:rPr>
        <w:t>re</w:t>
      </w:r>
      <w:r w:rsidR="00E82DBD" w:rsidRPr="00BF6F6A">
        <w:rPr>
          <w:i/>
          <w:iCs/>
          <w:shd w:val="clear" w:color="auto" w:fill="FFFFFF"/>
        </w:rPr>
        <w:t>]</w:t>
      </w:r>
      <w:r w:rsidR="00C25059" w:rsidRPr="00BF6F6A">
        <w:rPr>
          <w:i/>
          <w:iCs/>
          <w:shd w:val="clear" w:color="auto" w:fill="FFFFFF"/>
        </w:rPr>
        <w:t xml:space="preserve"> certainly seeing the big organizations with ESG teams doing more of that”</w:t>
      </w:r>
      <w:r w:rsidR="005E0CFB" w:rsidRPr="00BF6F6A">
        <w:rPr>
          <w:shd w:val="clear" w:color="auto" w:fill="FFFFFF"/>
        </w:rPr>
        <w:t xml:space="preserve"> (P7).</w:t>
      </w:r>
      <w:r w:rsidR="00C25059" w:rsidRPr="00BF6F6A">
        <w:rPr>
          <w:shd w:val="clear" w:color="auto" w:fill="FFFFFF"/>
        </w:rPr>
        <w:t xml:space="preserve"> </w:t>
      </w:r>
      <w:r w:rsidR="001410EC" w:rsidRPr="00BF6F6A">
        <w:rPr>
          <w:shd w:val="clear" w:color="auto" w:fill="FFFFFF"/>
        </w:rPr>
        <w:t xml:space="preserve">This </w:t>
      </w:r>
      <w:r w:rsidR="00107FD6">
        <w:rPr>
          <w:shd w:val="clear" w:color="auto" w:fill="FFFFFF"/>
        </w:rPr>
        <w:t xml:space="preserve">supports </w:t>
      </w:r>
      <w:r w:rsidR="00911A78" w:rsidRPr="00BF6F6A">
        <w:rPr>
          <w:shd w:val="clear" w:color="auto" w:fill="FFFFFF"/>
        </w:rPr>
        <w:t>suggestions of</w:t>
      </w:r>
      <w:r w:rsidR="00BA47ED" w:rsidRPr="00BF6F6A">
        <w:rPr>
          <w:shd w:val="clear" w:color="auto" w:fill="FFFFFF"/>
        </w:rPr>
        <w:t xml:space="preserve"> a positive </w:t>
      </w:r>
      <w:r w:rsidR="00A632FA" w:rsidRPr="00BF6F6A">
        <w:rPr>
          <w:shd w:val="clear" w:color="auto" w:fill="FFFFFF"/>
        </w:rPr>
        <w:t>relationship</w:t>
      </w:r>
      <w:r w:rsidR="00BA47ED" w:rsidRPr="00BF6F6A">
        <w:rPr>
          <w:shd w:val="clear" w:color="auto" w:fill="FFFFFF"/>
        </w:rPr>
        <w:t xml:space="preserve"> between capital expenditure, internal governance and carbon emission disclosure</w:t>
      </w:r>
      <w:r w:rsidR="002A2C62" w:rsidRPr="00BF6F6A">
        <w:rPr>
          <w:shd w:val="clear" w:color="auto" w:fill="FFFFFF"/>
        </w:rPr>
        <w:t>s</w:t>
      </w:r>
      <w:r w:rsidR="00BA47ED" w:rsidRPr="00BF6F6A">
        <w:rPr>
          <w:shd w:val="clear" w:color="auto" w:fill="FFFFFF"/>
        </w:rPr>
        <w:t xml:space="preserve"> pointing towards expenditure being positively associated with the level of disclosure</w:t>
      </w:r>
      <w:r w:rsidR="00E82DBD" w:rsidRPr="00BF6F6A">
        <w:rPr>
          <w:shd w:val="clear" w:color="auto" w:fill="FFFFFF"/>
        </w:rPr>
        <w:t xml:space="preserve"> (Karim </w:t>
      </w:r>
      <w:r w:rsidR="00E82DBD" w:rsidRPr="00BF6F6A">
        <w:rPr>
          <w:i/>
          <w:iCs/>
          <w:shd w:val="clear" w:color="auto" w:fill="FFFFFF"/>
        </w:rPr>
        <w:t xml:space="preserve">et al., </w:t>
      </w:r>
      <w:r w:rsidR="00E82DBD" w:rsidRPr="00BF6F6A">
        <w:rPr>
          <w:shd w:val="clear" w:color="auto" w:fill="FFFFFF"/>
        </w:rPr>
        <w:t>2021)</w:t>
      </w:r>
      <w:r w:rsidR="00BA47ED" w:rsidRPr="00BF6F6A">
        <w:rPr>
          <w:shd w:val="clear" w:color="auto" w:fill="FFFFFF"/>
        </w:rPr>
        <w:t>.</w:t>
      </w:r>
      <w:r w:rsidR="002A2C62" w:rsidRPr="00BF6F6A">
        <w:rPr>
          <w:shd w:val="clear" w:color="auto" w:fill="FFFFFF"/>
        </w:rPr>
        <w:t xml:space="preserve"> </w:t>
      </w:r>
      <w:r w:rsidR="00911A78" w:rsidRPr="00BF6F6A">
        <w:rPr>
          <w:shd w:val="clear" w:color="auto" w:fill="FFFFFF"/>
        </w:rPr>
        <w:t xml:space="preserve">In line with Cho </w:t>
      </w:r>
      <w:r w:rsidR="00911A78" w:rsidRPr="00BF6F6A">
        <w:rPr>
          <w:i/>
          <w:iCs/>
          <w:shd w:val="clear" w:color="auto" w:fill="FFFFFF"/>
        </w:rPr>
        <w:t>et al.</w:t>
      </w:r>
      <w:r w:rsidR="00911A78" w:rsidRPr="00BF6F6A">
        <w:rPr>
          <w:shd w:val="clear" w:color="auto" w:fill="FFFFFF"/>
        </w:rPr>
        <w:t xml:space="preserve"> (2020),</w:t>
      </w:r>
      <w:r w:rsidR="00F150BC" w:rsidRPr="00BF6F6A">
        <w:rPr>
          <w:shd w:val="clear" w:color="auto" w:fill="FFFFFF"/>
        </w:rPr>
        <w:t xml:space="preserve"> </w:t>
      </w:r>
      <w:r w:rsidR="00460AEE">
        <w:rPr>
          <w:shd w:val="clear" w:color="auto" w:fill="FFFFFF"/>
        </w:rPr>
        <w:t xml:space="preserve">one of the </w:t>
      </w:r>
      <w:r w:rsidR="00F150BC" w:rsidRPr="00BF6F6A">
        <w:rPr>
          <w:shd w:val="clear" w:color="auto" w:fill="FFFFFF"/>
        </w:rPr>
        <w:t>participant</w:t>
      </w:r>
      <w:r w:rsidRPr="00BF6F6A">
        <w:rPr>
          <w:shd w:val="clear" w:color="auto" w:fill="FFFFFF"/>
        </w:rPr>
        <w:t>s</w:t>
      </w:r>
      <w:r w:rsidR="00F150BC" w:rsidRPr="00BF6F6A">
        <w:rPr>
          <w:shd w:val="clear" w:color="auto" w:fill="FFFFFF"/>
        </w:rPr>
        <w:t xml:space="preserve"> </w:t>
      </w:r>
      <w:r w:rsidR="00AB6CCD">
        <w:rPr>
          <w:shd w:val="clear" w:color="auto" w:fill="FFFFFF"/>
        </w:rPr>
        <w:t>nodded</w:t>
      </w:r>
      <w:r w:rsidRPr="00BF6F6A">
        <w:rPr>
          <w:shd w:val="clear" w:color="auto" w:fill="FFFFFF"/>
        </w:rPr>
        <w:t xml:space="preserve"> that they are </w:t>
      </w:r>
      <w:r w:rsidRPr="00BF6F6A">
        <w:rPr>
          <w:i/>
          <w:iCs/>
          <w:shd w:val="clear" w:color="auto" w:fill="FFFFFF"/>
        </w:rPr>
        <w:t>“</w:t>
      </w:r>
      <w:r w:rsidR="00F150BC" w:rsidRPr="00BF6F6A">
        <w:rPr>
          <w:i/>
          <w:iCs/>
          <w:shd w:val="clear" w:color="auto" w:fill="FFFFFF"/>
        </w:rPr>
        <w:t xml:space="preserve">disclosing over and above what </w:t>
      </w:r>
      <w:r w:rsidRPr="00BF6F6A">
        <w:rPr>
          <w:i/>
          <w:iCs/>
          <w:shd w:val="clear" w:color="auto" w:fill="FFFFFF"/>
        </w:rPr>
        <w:t>[they are]</w:t>
      </w:r>
      <w:r w:rsidR="00F150BC" w:rsidRPr="00BF6F6A">
        <w:rPr>
          <w:i/>
          <w:iCs/>
          <w:shd w:val="clear" w:color="auto" w:fill="FFFFFF"/>
        </w:rPr>
        <w:t xml:space="preserve"> required to, but a lot of the disclosure </w:t>
      </w:r>
      <w:r w:rsidRPr="00BF6F6A">
        <w:rPr>
          <w:i/>
          <w:iCs/>
          <w:shd w:val="clear" w:color="auto" w:fill="FFFFFF"/>
        </w:rPr>
        <w:t>[…]</w:t>
      </w:r>
      <w:r w:rsidR="00F150BC" w:rsidRPr="00BF6F6A">
        <w:rPr>
          <w:i/>
          <w:iCs/>
          <w:shd w:val="clear" w:color="auto" w:fill="FFFFFF"/>
        </w:rPr>
        <w:t xml:space="preserve"> relates to different initiatives”</w:t>
      </w:r>
      <w:r w:rsidR="005E0CFB" w:rsidRPr="00BF6F6A">
        <w:rPr>
          <w:shd w:val="clear" w:color="auto" w:fill="FFFFFF"/>
        </w:rPr>
        <w:t xml:space="preserve"> (P4)</w:t>
      </w:r>
      <w:r w:rsidR="008F3A11" w:rsidRPr="00BF6F6A">
        <w:rPr>
          <w:shd w:val="clear" w:color="auto" w:fill="FFFFFF"/>
        </w:rPr>
        <w:t>.</w:t>
      </w:r>
      <w:r w:rsidRPr="00BF6F6A">
        <w:rPr>
          <w:shd w:val="clear" w:color="auto" w:fill="FFFFFF"/>
        </w:rPr>
        <w:t xml:space="preserve"> </w:t>
      </w:r>
      <w:r w:rsidR="008F3A11" w:rsidRPr="00BF6F6A">
        <w:rPr>
          <w:shd w:val="clear" w:color="auto" w:fill="FFFFFF"/>
        </w:rPr>
        <w:t xml:space="preserve">This emphasises </w:t>
      </w:r>
      <w:r w:rsidRPr="00BF6F6A">
        <w:rPr>
          <w:shd w:val="clear" w:color="auto" w:fill="FFFFFF"/>
        </w:rPr>
        <w:t>that voluntary non-financial disclosures</w:t>
      </w:r>
      <w:r w:rsidR="005A230A">
        <w:rPr>
          <w:shd w:val="clear" w:color="auto" w:fill="FFFFFF"/>
        </w:rPr>
        <w:t>,</w:t>
      </w:r>
      <w:r w:rsidRPr="00BF6F6A">
        <w:rPr>
          <w:shd w:val="clear" w:color="auto" w:fill="FFFFFF"/>
        </w:rPr>
        <w:t xml:space="preserve"> while informative about the business, would not necessarily add transparency about environmental sustainability in the built </w:t>
      </w:r>
      <w:r w:rsidR="004017BC" w:rsidRPr="00BF6F6A">
        <w:rPr>
          <w:shd w:val="clear" w:color="auto" w:fill="FFFFFF"/>
        </w:rPr>
        <w:t>environment.</w:t>
      </w:r>
    </w:p>
    <w:p w14:paraId="4E12CCA6" w14:textId="7A20217A" w:rsidR="00097C33" w:rsidRPr="00BF6F6A" w:rsidRDefault="00911A78" w:rsidP="00945055">
      <w:pPr>
        <w:ind w:firstLine="720"/>
        <w:jc w:val="both"/>
      </w:pPr>
      <w:r w:rsidRPr="00BF6F6A">
        <w:rPr>
          <w:shd w:val="clear" w:color="auto" w:fill="FFFFFF"/>
        </w:rPr>
        <w:t>A</w:t>
      </w:r>
      <w:r w:rsidR="00DE4B39" w:rsidRPr="00BF6F6A">
        <w:rPr>
          <w:shd w:val="clear" w:color="auto" w:fill="FFFFFF"/>
        </w:rPr>
        <w:t xml:space="preserve">ll </w:t>
      </w:r>
      <w:r w:rsidRPr="00BF6F6A">
        <w:rPr>
          <w:shd w:val="clear" w:color="auto" w:fill="FFFFFF"/>
        </w:rPr>
        <w:t>participants</w:t>
      </w:r>
      <w:r w:rsidR="00DE4B39" w:rsidRPr="00BF6F6A">
        <w:rPr>
          <w:shd w:val="clear" w:color="auto" w:fill="FFFFFF"/>
        </w:rPr>
        <w:t xml:space="preserve"> felt that </w:t>
      </w:r>
      <w:r w:rsidRPr="00BF6F6A">
        <w:rPr>
          <w:shd w:val="clear" w:color="auto" w:fill="FFFFFF"/>
        </w:rPr>
        <w:t xml:space="preserve">in the future </w:t>
      </w:r>
      <w:r w:rsidR="00DE4B39" w:rsidRPr="00BF6F6A">
        <w:rPr>
          <w:shd w:val="clear" w:color="auto" w:fill="FFFFFF"/>
        </w:rPr>
        <w:t>disclosure</w:t>
      </w:r>
      <w:r w:rsidR="002A2C62" w:rsidRPr="00BF6F6A">
        <w:rPr>
          <w:shd w:val="clear" w:color="auto" w:fill="FFFFFF"/>
        </w:rPr>
        <w:t xml:space="preserve">s would eventually </w:t>
      </w:r>
      <w:r w:rsidR="00DE4B39" w:rsidRPr="00BF6F6A">
        <w:rPr>
          <w:shd w:val="clear" w:color="auto" w:fill="FFFFFF"/>
        </w:rPr>
        <w:t>become mandatory across sectors</w:t>
      </w:r>
      <w:r w:rsidR="00DD5AA3" w:rsidRPr="00BF6F6A">
        <w:rPr>
          <w:shd w:val="clear" w:color="auto" w:fill="FFFFFF"/>
        </w:rPr>
        <w:t>,</w:t>
      </w:r>
      <w:r w:rsidR="002A2C62" w:rsidRPr="00BF6F6A">
        <w:rPr>
          <w:shd w:val="clear" w:color="auto" w:fill="FFFFFF"/>
        </w:rPr>
        <w:t xml:space="preserve"> but </w:t>
      </w:r>
      <w:r w:rsidR="00460AEE">
        <w:rPr>
          <w:shd w:val="clear" w:color="auto" w:fill="FFFFFF"/>
        </w:rPr>
        <w:t>t</w:t>
      </w:r>
      <w:r w:rsidR="00E1673C">
        <w:rPr>
          <w:shd w:val="clear" w:color="auto" w:fill="FFFFFF"/>
        </w:rPr>
        <w:t xml:space="preserve">hey were eminent that </w:t>
      </w:r>
      <w:r w:rsidR="002A2C62" w:rsidRPr="00BF6F6A">
        <w:rPr>
          <w:shd w:val="clear" w:color="auto" w:fill="FFFFFF"/>
        </w:rPr>
        <w:t xml:space="preserve">these </w:t>
      </w:r>
      <w:r w:rsidR="00DE4B39" w:rsidRPr="00BF6F6A">
        <w:rPr>
          <w:shd w:val="clear" w:color="auto" w:fill="FFFFFF"/>
        </w:rPr>
        <w:t xml:space="preserve">would have to be </w:t>
      </w:r>
      <w:r w:rsidR="00DE4B39" w:rsidRPr="00BF6F6A">
        <w:rPr>
          <w:i/>
          <w:iCs/>
          <w:shd w:val="clear" w:color="auto" w:fill="FFFFFF"/>
        </w:rPr>
        <w:t>“greenwash proof</w:t>
      </w:r>
      <w:r w:rsidRPr="00BF6F6A">
        <w:rPr>
          <w:i/>
          <w:iCs/>
          <w:shd w:val="clear" w:color="auto" w:fill="FFFFFF"/>
        </w:rPr>
        <w:t xml:space="preserve"> [and</w:t>
      </w:r>
      <w:r w:rsidR="002A2C62" w:rsidRPr="00BF6F6A">
        <w:rPr>
          <w:i/>
          <w:iCs/>
          <w:shd w:val="clear" w:color="auto" w:fill="FFFFFF"/>
        </w:rPr>
        <w:t>]</w:t>
      </w:r>
      <w:r w:rsidR="00DE4B39" w:rsidRPr="00BF6F6A">
        <w:rPr>
          <w:i/>
          <w:iCs/>
          <w:shd w:val="clear" w:color="auto" w:fill="FFFFFF"/>
        </w:rPr>
        <w:t xml:space="preserve"> as much as possible standardized across the </w:t>
      </w:r>
      <w:r w:rsidR="004017BC" w:rsidRPr="00BF6F6A">
        <w:rPr>
          <w:i/>
          <w:iCs/>
          <w:shd w:val="clear" w:color="auto" w:fill="FFFFFF"/>
        </w:rPr>
        <w:t>globe”</w:t>
      </w:r>
      <w:r w:rsidR="004017BC" w:rsidRPr="00BF6F6A">
        <w:rPr>
          <w:shd w:val="clear" w:color="auto" w:fill="FFFFFF"/>
        </w:rPr>
        <w:t xml:space="preserve"> (</w:t>
      </w:r>
      <w:r w:rsidR="005E0CFB" w:rsidRPr="00BF6F6A">
        <w:rPr>
          <w:shd w:val="clear" w:color="auto" w:fill="FFFFFF"/>
        </w:rPr>
        <w:t>P5).</w:t>
      </w:r>
      <w:r w:rsidRPr="00BF6F6A">
        <w:rPr>
          <w:shd w:val="clear" w:color="auto" w:fill="FFFFFF"/>
        </w:rPr>
        <w:t xml:space="preserve"> </w:t>
      </w:r>
      <w:r w:rsidR="002A2C62" w:rsidRPr="00BF6F6A">
        <w:rPr>
          <w:shd w:val="clear" w:color="auto" w:fill="FFFFFF"/>
        </w:rPr>
        <w:t>Instead</w:t>
      </w:r>
      <w:r w:rsidRPr="00BF6F6A">
        <w:rPr>
          <w:shd w:val="clear" w:color="auto" w:fill="FFFFFF"/>
        </w:rPr>
        <w:t xml:space="preserve"> of incentivising</w:t>
      </w:r>
      <w:r w:rsidR="002A2C62" w:rsidRPr="00BF6F6A">
        <w:rPr>
          <w:shd w:val="clear" w:color="auto" w:fill="FFFFFF"/>
        </w:rPr>
        <w:t xml:space="preserve">, </w:t>
      </w:r>
      <w:r w:rsidRPr="00BF6F6A">
        <w:rPr>
          <w:shd w:val="clear" w:color="auto" w:fill="FFFFFF"/>
        </w:rPr>
        <w:t>participants</w:t>
      </w:r>
      <w:r w:rsidR="002A2C62" w:rsidRPr="00BF6F6A">
        <w:rPr>
          <w:shd w:val="clear" w:color="auto" w:fill="FFFFFF"/>
        </w:rPr>
        <w:t xml:space="preserve"> expected “</w:t>
      </w:r>
      <w:r w:rsidR="001722FD" w:rsidRPr="00BF6F6A">
        <w:rPr>
          <w:i/>
          <w:iCs/>
          <w:shd w:val="clear" w:color="auto" w:fill="FFFFFF"/>
        </w:rPr>
        <w:t>more standards and guidelines</w:t>
      </w:r>
      <w:r w:rsidR="00DD5AA3" w:rsidRPr="00BF6F6A">
        <w:rPr>
          <w:i/>
          <w:iCs/>
          <w:shd w:val="clear" w:color="auto" w:fill="FFFFFF"/>
        </w:rPr>
        <w:t xml:space="preserve">” </w:t>
      </w:r>
      <w:r w:rsidR="002A2C62" w:rsidRPr="00BF6F6A">
        <w:rPr>
          <w:shd w:val="clear" w:color="auto" w:fill="FFFFFF"/>
        </w:rPr>
        <w:t>or a legal “</w:t>
      </w:r>
      <w:r w:rsidR="001722FD" w:rsidRPr="00BF6F6A">
        <w:rPr>
          <w:i/>
          <w:iCs/>
          <w:shd w:val="clear" w:color="auto" w:fill="FFFFFF"/>
        </w:rPr>
        <w:t>stick rather than a carrot</w:t>
      </w:r>
      <w:r w:rsidR="002A2C62" w:rsidRPr="00BF6F6A">
        <w:rPr>
          <w:i/>
          <w:iCs/>
          <w:shd w:val="clear" w:color="auto" w:fill="FFFFFF"/>
        </w:rPr>
        <w:t>”</w:t>
      </w:r>
      <w:r w:rsidRPr="00BF6F6A">
        <w:rPr>
          <w:shd w:val="clear" w:color="auto" w:fill="FFFFFF"/>
        </w:rPr>
        <w:t xml:space="preserve"> </w:t>
      </w:r>
      <w:r w:rsidR="005E0CFB" w:rsidRPr="00BF6F6A">
        <w:rPr>
          <w:shd w:val="clear" w:color="auto" w:fill="FFFFFF"/>
        </w:rPr>
        <w:t xml:space="preserve">(P4) </w:t>
      </w:r>
      <w:r w:rsidR="00A3716E" w:rsidRPr="00BF6F6A">
        <w:rPr>
          <w:shd w:val="clear" w:color="auto" w:fill="FFFFFF"/>
        </w:rPr>
        <w:t>argu</w:t>
      </w:r>
      <w:r w:rsidRPr="00BF6F6A">
        <w:rPr>
          <w:shd w:val="clear" w:color="auto" w:fill="FFFFFF"/>
        </w:rPr>
        <w:t>ing</w:t>
      </w:r>
      <w:r w:rsidR="000A1ACD" w:rsidRPr="00BF6F6A">
        <w:rPr>
          <w:shd w:val="clear" w:color="auto" w:fill="FFFFFF"/>
        </w:rPr>
        <w:t xml:space="preserve"> that the</w:t>
      </w:r>
      <w:r w:rsidR="003B4F8D" w:rsidRPr="00BF6F6A">
        <w:rPr>
          <w:shd w:val="clear" w:color="auto" w:fill="FFFFFF"/>
        </w:rPr>
        <w:t>re</w:t>
      </w:r>
      <w:r w:rsidR="000A1ACD" w:rsidRPr="00BF6F6A">
        <w:rPr>
          <w:shd w:val="clear" w:color="auto" w:fill="FFFFFF"/>
        </w:rPr>
        <w:t xml:space="preserve"> are enough incentives </w:t>
      </w:r>
      <w:r w:rsidR="002A2C62" w:rsidRPr="00BF6F6A">
        <w:rPr>
          <w:shd w:val="clear" w:color="auto" w:fill="FFFFFF"/>
        </w:rPr>
        <w:t>via</w:t>
      </w:r>
      <w:r w:rsidR="000A1ACD" w:rsidRPr="00BF6F6A">
        <w:rPr>
          <w:shd w:val="clear" w:color="auto" w:fill="FFFFFF"/>
        </w:rPr>
        <w:t xml:space="preserve"> ethical invest</w:t>
      </w:r>
      <w:r w:rsidR="002A2C62" w:rsidRPr="00BF6F6A">
        <w:rPr>
          <w:shd w:val="clear" w:color="auto" w:fill="FFFFFF"/>
        </w:rPr>
        <w:t>ments</w:t>
      </w:r>
      <w:r w:rsidR="00C65601" w:rsidRPr="00BF6F6A">
        <w:rPr>
          <w:shd w:val="clear" w:color="auto" w:fill="FFFFFF"/>
        </w:rPr>
        <w:t xml:space="preserve">. </w:t>
      </w:r>
      <w:r w:rsidR="00B7442F" w:rsidRPr="00BF6F6A">
        <w:rPr>
          <w:shd w:val="clear" w:color="auto" w:fill="FFFFFF"/>
        </w:rPr>
        <w:t xml:space="preserve">Consequently, </w:t>
      </w:r>
      <w:r w:rsidR="00DD5AA3" w:rsidRPr="00BF6F6A">
        <w:rPr>
          <w:shd w:val="clear" w:color="auto" w:fill="FFFFFF"/>
        </w:rPr>
        <w:t xml:space="preserve">the above </w:t>
      </w:r>
      <w:r w:rsidRPr="00BF6F6A">
        <w:rPr>
          <w:shd w:val="clear" w:color="auto" w:fill="FFFFFF"/>
        </w:rPr>
        <w:t>contradicts</w:t>
      </w:r>
      <w:r w:rsidR="00B7442F" w:rsidRPr="00BF6F6A">
        <w:rPr>
          <w:shd w:val="clear" w:color="auto" w:fill="FFFFFF"/>
        </w:rPr>
        <w:t xml:space="preserve"> </w:t>
      </w:r>
      <w:r w:rsidR="00DD5AA3" w:rsidRPr="00BF6F6A">
        <w:rPr>
          <w:shd w:val="clear" w:color="auto" w:fill="FFFFFF"/>
        </w:rPr>
        <w:t xml:space="preserve">research calling </w:t>
      </w:r>
      <w:r w:rsidR="00B7442F" w:rsidRPr="00BF6F6A">
        <w:rPr>
          <w:shd w:val="clear" w:color="auto" w:fill="FFFFFF"/>
        </w:rPr>
        <w:t>for legislation to provide incentives for disclosure</w:t>
      </w:r>
      <w:r w:rsidR="00DD5AA3" w:rsidRPr="00BF6F6A">
        <w:rPr>
          <w:shd w:val="clear" w:color="auto" w:fill="FFFFFF"/>
        </w:rPr>
        <w:t xml:space="preserve"> (Eichholtz </w:t>
      </w:r>
      <w:r w:rsidR="00DD5AA3" w:rsidRPr="00BF6F6A">
        <w:rPr>
          <w:i/>
          <w:iCs/>
          <w:shd w:val="clear" w:color="auto" w:fill="FFFFFF"/>
        </w:rPr>
        <w:t xml:space="preserve">et al., </w:t>
      </w:r>
      <w:r w:rsidR="00DD5AA3" w:rsidRPr="00BF6F6A">
        <w:rPr>
          <w:shd w:val="clear" w:color="auto" w:fill="FFFFFF"/>
        </w:rPr>
        <w:t>2019</w:t>
      </w:r>
      <w:r w:rsidR="008E678D" w:rsidRPr="00BF6F6A">
        <w:rPr>
          <w:shd w:val="clear" w:color="auto" w:fill="FFFFFF"/>
        </w:rPr>
        <w:t>a</w:t>
      </w:r>
      <w:r w:rsidR="00DD5AA3" w:rsidRPr="00BF6F6A">
        <w:rPr>
          <w:shd w:val="clear" w:color="auto" w:fill="FFFFFF"/>
        </w:rPr>
        <w:t>)</w:t>
      </w:r>
      <w:r w:rsidR="00A95864" w:rsidRPr="00BF6F6A">
        <w:rPr>
          <w:shd w:val="clear" w:color="auto" w:fill="FFFFFF"/>
        </w:rPr>
        <w:t xml:space="preserve">, </w:t>
      </w:r>
      <w:r w:rsidR="008F3A11" w:rsidRPr="00BF6F6A">
        <w:rPr>
          <w:shd w:val="clear" w:color="auto" w:fill="FFFFFF"/>
        </w:rPr>
        <w:t xml:space="preserve">and does not </w:t>
      </w:r>
      <w:r w:rsidR="00DD5AA3" w:rsidRPr="00BF6F6A">
        <w:rPr>
          <w:shd w:val="clear" w:color="auto" w:fill="FFFFFF"/>
        </w:rPr>
        <w:t>suggest</w:t>
      </w:r>
      <w:r w:rsidR="00B7442F" w:rsidRPr="00BF6F6A">
        <w:rPr>
          <w:shd w:val="clear" w:color="auto" w:fill="FFFFFF"/>
        </w:rPr>
        <w:t xml:space="preserve"> that incentive-making w</w:t>
      </w:r>
      <w:r w:rsidR="00DD5AA3" w:rsidRPr="00BF6F6A">
        <w:rPr>
          <w:shd w:val="clear" w:color="auto" w:fill="FFFFFF"/>
        </w:rPr>
        <w:t>ould</w:t>
      </w:r>
      <w:r w:rsidR="00B7442F" w:rsidRPr="00BF6F6A">
        <w:rPr>
          <w:shd w:val="clear" w:color="auto" w:fill="FFFFFF"/>
        </w:rPr>
        <w:t xml:space="preserve"> encourage companies to tackle negative externalities</w:t>
      </w:r>
      <w:r w:rsidR="00DD5AA3" w:rsidRPr="00BF6F6A">
        <w:rPr>
          <w:shd w:val="clear" w:color="auto" w:fill="FFFFFF"/>
        </w:rPr>
        <w:t xml:space="preserve"> (</w:t>
      </w:r>
      <w:r w:rsidR="00DD5AA3" w:rsidRPr="00BF6F6A">
        <w:t>Ochi, 2018).</w:t>
      </w:r>
    </w:p>
    <w:p w14:paraId="22B6DE21" w14:textId="77777777" w:rsidR="00420ACC" w:rsidRPr="00BF6F6A" w:rsidRDefault="00420ACC" w:rsidP="003B4F8D">
      <w:pPr>
        <w:ind w:firstLine="720"/>
        <w:jc w:val="both"/>
        <w:rPr>
          <w:shd w:val="clear" w:color="auto" w:fill="FFFFFF"/>
        </w:rPr>
      </w:pPr>
    </w:p>
    <w:p w14:paraId="300D81CA" w14:textId="03044B96" w:rsidR="000E7EFE" w:rsidRPr="00BF6F6A" w:rsidRDefault="00154A44" w:rsidP="003B4F8D">
      <w:pPr>
        <w:pStyle w:val="Heading3"/>
        <w:numPr>
          <w:ilvl w:val="0"/>
          <w:numId w:val="0"/>
        </w:numPr>
        <w:spacing w:before="0" w:after="0"/>
        <w:rPr>
          <w:rFonts w:cs="Times New Roman"/>
          <w:u w:val="none"/>
          <w:shd w:val="clear" w:color="auto" w:fill="FFFFFF"/>
        </w:rPr>
      </w:pPr>
      <w:bookmarkStart w:id="29" w:name="_Toc99882247"/>
      <w:r w:rsidRPr="00BF6F6A">
        <w:rPr>
          <w:rFonts w:cs="Times New Roman"/>
          <w:u w:val="none"/>
          <w:shd w:val="clear" w:color="auto" w:fill="FFFFFF"/>
        </w:rPr>
        <w:lastRenderedPageBreak/>
        <w:t xml:space="preserve">GRESB </w:t>
      </w:r>
      <w:r w:rsidR="00FE48E5" w:rsidRPr="00BF6F6A">
        <w:rPr>
          <w:rFonts w:cs="Times New Roman"/>
          <w:u w:val="none"/>
          <w:shd w:val="clear" w:color="auto" w:fill="FFFFFF"/>
        </w:rPr>
        <w:t>d</w:t>
      </w:r>
      <w:r w:rsidR="000E7EFE" w:rsidRPr="00BF6F6A">
        <w:rPr>
          <w:rFonts w:cs="Times New Roman"/>
          <w:u w:val="none"/>
          <w:shd w:val="clear" w:color="auto" w:fill="FFFFFF"/>
        </w:rPr>
        <w:t>rivers</w:t>
      </w:r>
      <w:bookmarkEnd w:id="29"/>
    </w:p>
    <w:p w14:paraId="1FD15D45" w14:textId="2EEF8324" w:rsidR="00097C33" w:rsidRPr="00BF6F6A" w:rsidRDefault="009F2C64" w:rsidP="003B4F8D">
      <w:pPr>
        <w:jc w:val="both"/>
        <w:rPr>
          <w:shd w:val="clear" w:color="auto" w:fill="FFFFFF"/>
        </w:rPr>
      </w:pPr>
      <w:r w:rsidRPr="00BF6F6A">
        <w:rPr>
          <w:shd w:val="clear" w:color="auto" w:fill="FFFFFF"/>
        </w:rPr>
        <w:t>G</w:t>
      </w:r>
      <w:r w:rsidR="00DE0B8C" w:rsidRPr="00BF6F6A">
        <w:rPr>
          <w:shd w:val="clear" w:color="auto" w:fill="FFFFFF"/>
        </w:rPr>
        <w:t xml:space="preserve">reen building certification has been shown to lower risk and improve energy and financial performance (Eichholtz </w:t>
      </w:r>
      <w:r w:rsidR="00DE0B8C" w:rsidRPr="00BF6F6A">
        <w:rPr>
          <w:i/>
          <w:iCs/>
          <w:shd w:val="clear" w:color="auto" w:fill="FFFFFF"/>
        </w:rPr>
        <w:t>et al.</w:t>
      </w:r>
      <w:r w:rsidR="00DE0B8C" w:rsidRPr="00BF6F6A">
        <w:rPr>
          <w:shd w:val="clear" w:color="auto" w:fill="FFFFFF"/>
        </w:rPr>
        <w:t>, 201</w:t>
      </w:r>
      <w:r w:rsidR="00CD0C88" w:rsidRPr="00BF6F6A">
        <w:rPr>
          <w:shd w:val="clear" w:color="auto" w:fill="FFFFFF"/>
        </w:rPr>
        <w:t>9</w:t>
      </w:r>
      <w:r w:rsidR="008E678D" w:rsidRPr="00BF6F6A">
        <w:rPr>
          <w:shd w:val="clear" w:color="auto" w:fill="FFFFFF"/>
        </w:rPr>
        <w:t>b</w:t>
      </w:r>
      <w:r w:rsidR="003025FA" w:rsidRPr="00BF6F6A">
        <w:rPr>
          <w:shd w:val="clear" w:color="auto" w:fill="FFFFFF"/>
        </w:rPr>
        <w:t>;</w:t>
      </w:r>
      <w:r w:rsidR="00DE0B8C" w:rsidRPr="00BF6F6A">
        <w:rPr>
          <w:shd w:val="clear" w:color="auto" w:fill="FFFFFF"/>
        </w:rPr>
        <w:t xml:space="preserve"> </w:t>
      </w:r>
      <w:r w:rsidR="003025FA" w:rsidRPr="00BF6F6A">
        <w:t xml:space="preserve">Holtermans and Kok, 2019; </w:t>
      </w:r>
      <w:r w:rsidR="00DE0B8C" w:rsidRPr="00BF6F6A">
        <w:rPr>
          <w:shd w:val="clear" w:color="auto" w:fill="FFFFFF"/>
        </w:rPr>
        <w:t xml:space="preserve">Brounen </w:t>
      </w:r>
      <w:r w:rsidR="00DE0B8C" w:rsidRPr="00BF6F6A">
        <w:rPr>
          <w:i/>
          <w:iCs/>
          <w:shd w:val="clear" w:color="auto" w:fill="FFFFFF"/>
        </w:rPr>
        <w:t>et al.</w:t>
      </w:r>
      <w:r w:rsidR="00DE0B8C" w:rsidRPr="00BF6F6A">
        <w:rPr>
          <w:shd w:val="clear" w:color="auto" w:fill="FFFFFF"/>
        </w:rPr>
        <w:t xml:space="preserve">, 2021). </w:t>
      </w:r>
      <w:r w:rsidR="008F3A11" w:rsidRPr="00BF6F6A">
        <w:rPr>
          <w:shd w:val="clear" w:color="auto" w:fill="FFFFFF"/>
        </w:rPr>
        <w:t>None</w:t>
      </w:r>
      <w:r w:rsidR="00DE0B8C" w:rsidRPr="00BF6F6A">
        <w:rPr>
          <w:shd w:val="clear" w:color="auto" w:fill="FFFFFF"/>
        </w:rPr>
        <w:t xml:space="preserve"> of the participants</w:t>
      </w:r>
      <w:r w:rsidR="008F3A11" w:rsidRPr="00BF6F6A">
        <w:rPr>
          <w:shd w:val="clear" w:color="auto" w:fill="FFFFFF"/>
        </w:rPr>
        <w:t>, however,</w:t>
      </w:r>
      <w:r w:rsidR="00DE0B8C" w:rsidRPr="00BF6F6A">
        <w:rPr>
          <w:shd w:val="clear" w:color="auto" w:fill="FFFFFF"/>
        </w:rPr>
        <w:t xml:space="preserve"> indicated</w:t>
      </w:r>
      <w:r w:rsidR="004A481C" w:rsidRPr="00BF6F6A">
        <w:rPr>
          <w:shd w:val="clear" w:color="auto" w:fill="FFFFFF"/>
        </w:rPr>
        <w:t xml:space="preserve"> direct</w:t>
      </w:r>
      <w:r w:rsidR="00DE0B8C" w:rsidRPr="00BF6F6A">
        <w:rPr>
          <w:shd w:val="clear" w:color="auto" w:fill="FFFFFF"/>
        </w:rPr>
        <w:t xml:space="preserve"> </w:t>
      </w:r>
      <w:r w:rsidR="007C3A27" w:rsidRPr="00BF6F6A">
        <w:rPr>
          <w:shd w:val="clear" w:color="auto" w:fill="FFFFFF"/>
        </w:rPr>
        <w:t xml:space="preserve">financial performance as </w:t>
      </w:r>
      <w:r w:rsidR="00DE0B8C" w:rsidRPr="00BF6F6A">
        <w:rPr>
          <w:shd w:val="clear" w:color="auto" w:fill="FFFFFF"/>
        </w:rPr>
        <w:t xml:space="preserve">a driver for </w:t>
      </w:r>
      <w:r w:rsidR="007C3A27" w:rsidRPr="00BF6F6A">
        <w:rPr>
          <w:shd w:val="clear" w:color="auto" w:fill="FFFFFF"/>
        </w:rPr>
        <w:t>involvement with</w:t>
      </w:r>
      <w:r w:rsidR="00DE0B8C" w:rsidRPr="00BF6F6A">
        <w:rPr>
          <w:shd w:val="clear" w:color="auto" w:fill="FFFFFF"/>
        </w:rPr>
        <w:t xml:space="preserve"> GRESB</w:t>
      </w:r>
      <w:r w:rsidR="008F3A11" w:rsidRPr="00BF6F6A">
        <w:rPr>
          <w:shd w:val="clear" w:color="auto" w:fill="FFFFFF"/>
        </w:rPr>
        <w:t>. T</w:t>
      </w:r>
      <w:r w:rsidR="004B3108" w:rsidRPr="00BF6F6A">
        <w:rPr>
          <w:shd w:val="clear" w:color="auto" w:fill="FFFFFF"/>
        </w:rPr>
        <w:t>here was</w:t>
      </w:r>
      <w:r w:rsidR="008F3A11" w:rsidRPr="00BF6F6A">
        <w:rPr>
          <w:shd w:val="clear" w:color="auto" w:fill="FFFFFF"/>
        </w:rPr>
        <w:t>, however,</w:t>
      </w:r>
      <w:r w:rsidR="004B3108" w:rsidRPr="00BF6F6A">
        <w:rPr>
          <w:shd w:val="clear" w:color="auto" w:fill="FFFFFF"/>
        </w:rPr>
        <w:t xml:space="preserve"> agreement </w:t>
      </w:r>
      <w:r w:rsidRPr="00BF6F6A">
        <w:rPr>
          <w:shd w:val="clear" w:color="auto" w:fill="FFFFFF"/>
        </w:rPr>
        <w:t>on the aim for</w:t>
      </w:r>
      <w:r w:rsidR="00DE0B8C" w:rsidRPr="00BF6F6A">
        <w:rPr>
          <w:shd w:val="clear" w:color="auto" w:fill="FFFFFF"/>
        </w:rPr>
        <w:t xml:space="preserve"> </w:t>
      </w:r>
      <w:r w:rsidR="00A265A3">
        <w:rPr>
          <w:shd w:val="clear" w:color="auto" w:fill="FFFFFF"/>
        </w:rPr>
        <w:t xml:space="preserve">a </w:t>
      </w:r>
      <w:r w:rsidR="00DE0B8C" w:rsidRPr="00BF6F6A">
        <w:rPr>
          <w:shd w:val="clear" w:color="auto" w:fill="FFFFFF"/>
        </w:rPr>
        <w:t>favourable risk-return trade-off.</w:t>
      </w:r>
      <w:r w:rsidR="004A481C" w:rsidRPr="00BF6F6A">
        <w:rPr>
          <w:shd w:val="clear" w:color="auto" w:fill="FFFFFF"/>
        </w:rPr>
        <w:t xml:space="preserve"> </w:t>
      </w:r>
      <w:r w:rsidR="003B4F8D" w:rsidRPr="00BF6F6A">
        <w:rPr>
          <w:shd w:val="clear" w:color="auto" w:fill="FFFFFF"/>
        </w:rPr>
        <w:t>Some</w:t>
      </w:r>
      <w:r w:rsidR="00C27637" w:rsidRPr="00BF6F6A">
        <w:rPr>
          <w:shd w:val="clear" w:color="auto" w:fill="FFFFFF"/>
        </w:rPr>
        <w:t xml:space="preserve"> </w:t>
      </w:r>
      <w:r w:rsidR="00671DF4" w:rsidRPr="00BF6F6A">
        <w:rPr>
          <w:shd w:val="clear" w:color="auto" w:fill="FFFFFF"/>
        </w:rPr>
        <w:t>participa</w:t>
      </w:r>
      <w:r w:rsidR="00C27637" w:rsidRPr="00BF6F6A">
        <w:rPr>
          <w:shd w:val="clear" w:color="auto" w:fill="FFFFFF"/>
        </w:rPr>
        <w:t xml:space="preserve">nts </w:t>
      </w:r>
      <w:r w:rsidR="00AD6C15">
        <w:rPr>
          <w:shd w:val="clear" w:color="auto" w:fill="FFFFFF"/>
        </w:rPr>
        <w:t xml:space="preserve">felt that </w:t>
      </w:r>
      <w:r w:rsidR="00C27637" w:rsidRPr="00BF6F6A">
        <w:rPr>
          <w:shd w:val="clear" w:color="auto" w:fill="FFFFFF"/>
        </w:rPr>
        <w:t xml:space="preserve">their </w:t>
      </w:r>
      <w:r w:rsidR="003B4F8D" w:rsidRPr="00BF6F6A">
        <w:rPr>
          <w:shd w:val="clear" w:color="auto" w:fill="FFFFFF"/>
        </w:rPr>
        <w:t>companies</w:t>
      </w:r>
      <w:r w:rsidR="00C27637" w:rsidRPr="00BF6F6A">
        <w:rPr>
          <w:shd w:val="clear" w:color="auto" w:fill="FFFFFF"/>
        </w:rPr>
        <w:t xml:space="preserve"> w</w:t>
      </w:r>
      <w:r w:rsidR="003B4F8D" w:rsidRPr="00BF6F6A">
        <w:rPr>
          <w:shd w:val="clear" w:color="auto" w:fill="FFFFFF"/>
        </w:rPr>
        <w:t>ere</w:t>
      </w:r>
      <w:r w:rsidR="00C27637" w:rsidRPr="00BF6F6A">
        <w:rPr>
          <w:shd w:val="clear" w:color="auto" w:fill="FFFFFF"/>
        </w:rPr>
        <w:t xml:space="preserve"> investor</w:t>
      </w:r>
      <w:r w:rsidR="004A481C" w:rsidRPr="00BF6F6A">
        <w:rPr>
          <w:shd w:val="clear" w:color="auto" w:fill="FFFFFF"/>
        </w:rPr>
        <w:t>-</w:t>
      </w:r>
      <w:r w:rsidR="00C27637" w:rsidRPr="00BF6F6A">
        <w:rPr>
          <w:shd w:val="clear" w:color="auto" w:fill="FFFFFF"/>
        </w:rPr>
        <w:t>drive</w:t>
      </w:r>
      <w:r w:rsidR="003B4F8D" w:rsidRPr="00BF6F6A">
        <w:rPr>
          <w:shd w:val="clear" w:color="auto" w:fill="FFFFFF"/>
        </w:rPr>
        <w:t>n</w:t>
      </w:r>
      <w:r w:rsidR="004A481C" w:rsidRPr="00BF6F6A">
        <w:rPr>
          <w:shd w:val="clear" w:color="auto" w:fill="FFFFFF"/>
        </w:rPr>
        <w:t xml:space="preserve">: </w:t>
      </w:r>
      <w:r w:rsidR="005A2AB9" w:rsidRPr="00BF6F6A">
        <w:rPr>
          <w:i/>
          <w:iCs/>
          <w:shd w:val="clear" w:color="auto" w:fill="FFFFFF"/>
        </w:rPr>
        <w:t xml:space="preserve">“investors are constantly asking, and it is a topic that is followed up all the time. At the beginning, we were simply asked do you participate in GRESB? </w:t>
      </w:r>
      <w:r w:rsidR="004B3108" w:rsidRPr="00BF6F6A">
        <w:rPr>
          <w:i/>
          <w:iCs/>
          <w:shd w:val="clear" w:color="auto" w:fill="FFFFFF"/>
        </w:rPr>
        <w:t xml:space="preserve">And </w:t>
      </w:r>
      <w:r w:rsidR="005A2AB9" w:rsidRPr="00BF6F6A">
        <w:rPr>
          <w:i/>
          <w:iCs/>
          <w:shd w:val="clear" w:color="auto" w:fill="FFFFFF"/>
        </w:rPr>
        <w:t>now the questions have moved to what was your last score</w:t>
      </w:r>
      <w:r w:rsidR="00A265A3">
        <w:rPr>
          <w:i/>
          <w:iCs/>
          <w:shd w:val="clear" w:color="auto" w:fill="FFFFFF"/>
        </w:rPr>
        <w:t>.</w:t>
      </w:r>
      <w:r w:rsidR="005A2AB9" w:rsidRPr="00BF6F6A">
        <w:rPr>
          <w:i/>
          <w:iCs/>
          <w:shd w:val="clear" w:color="auto" w:fill="FFFFFF"/>
        </w:rPr>
        <w:t>”</w:t>
      </w:r>
      <w:r w:rsidR="005E0CFB" w:rsidRPr="00BF6F6A">
        <w:rPr>
          <w:shd w:val="clear" w:color="auto" w:fill="FFFFFF"/>
        </w:rPr>
        <w:t xml:space="preserve"> (P5).</w:t>
      </w:r>
      <w:r w:rsidR="005A2AB9" w:rsidRPr="00BF6F6A">
        <w:rPr>
          <w:shd w:val="clear" w:color="auto" w:fill="FFFFFF"/>
        </w:rPr>
        <w:t xml:space="preserve"> </w:t>
      </w:r>
      <w:r w:rsidR="004A481C" w:rsidRPr="00BF6F6A">
        <w:rPr>
          <w:shd w:val="clear" w:color="auto" w:fill="FFFFFF"/>
        </w:rPr>
        <w:t>Only one participant</w:t>
      </w:r>
      <w:r w:rsidR="008C0C40" w:rsidRPr="00BF6F6A">
        <w:rPr>
          <w:shd w:val="clear" w:color="auto" w:fill="FFFFFF"/>
        </w:rPr>
        <w:t xml:space="preserve"> </w:t>
      </w:r>
      <w:r w:rsidR="00AB6CCD">
        <w:rPr>
          <w:shd w:val="clear" w:color="auto" w:fill="FFFFFF"/>
        </w:rPr>
        <w:t xml:space="preserve">beaming with </w:t>
      </w:r>
      <w:r w:rsidR="00EE42DC">
        <w:rPr>
          <w:shd w:val="clear" w:color="auto" w:fill="FFFFFF"/>
        </w:rPr>
        <w:t>pr</w:t>
      </w:r>
      <w:r w:rsidR="00AB6CCD">
        <w:rPr>
          <w:shd w:val="clear" w:color="auto" w:fill="FFFFFF"/>
        </w:rPr>
        <w:t>i</w:t>
      </w:r>
      <w:r w:rsidR="00EE42DC">
        <w:rPr>
          <w:shd w:val="clear" w:color="auto" w:fill="FFFFFF"/>
        </w:rPr>
        <w:t>d</w:t>
      </w:r>
      <w:r w:rsidR="00AB6CCD">
        <w:rPr>
          <w:shd w:val="clear" w:color="auto" w:fill="FFFFFF"/>
        </w:rPr>
        <w:t>e</w:t>
      </w:r>
      <w:r w:rsidR="00EE42DC">
        <w:rPr>
          <w:shd w:val="clear" w:color="auto" w:fill="FFFFFF"/>
        </w:rPr>
        <w:t xml:space="preserve"> </w:t>
      </w:r>
      <w:r w:rsidR="008C0C40" w:rsidRPr="00BF6F6A">
        <w:rPr>
          <w:shd w:val="clear" w:color="auto" w:fill="FFFFFF"/>
        </w:rPr>
        <w:t>stated that</w:t>
      </w:r>
      <w:r w:rsidR="00AD6C15">
        <w:rPr>
          <w:shd w:val="clear" w:color="auto" w:fill="FFFFFF"/>
        </w:rPr>
        <w:t xml:space="preserve"> they</w:t>
      </w:r>
      <w:r w:rsidR="008C0C40" w:rsidRPr="00BF6F6A">
        <w:rPr>
          <w:shd w:val="clear" w:color="auto" w:fill="FFFFFF"/>
        </w:rPr>
        <w:t xml:space="preserve"> </w:t>
      </w:r>
      <w:r w:rsidR="00AD6C15">
        <w:rPr>
          <w:i/>
          <w:iCs/>
          <w:shd w:val="clear" w:color="auto" w:fill="FFFFFF"/>
        </w:rPr>
        <w:t>“</w:t>
      </w:r>
      <w:r w:rsidR="008C0C40" w:rsidRPr="00BF6F6A">
        <w:rPr>
          <w:i/>
          <w:iCs/>
          <w:shd w:val="clear" w:color="auto" w:fill="FFFFFF"/>
        </w:rPr>
        <w:t xml:space="preserve">wanted to do it because </w:t>
      </w:r>
      <w:r w:rsidR="00AD6C15">
        <w:rPr>
          <w:i/>
          <w:iCs/>
          <w:shd w:val="clear" w:color="auto" w:fill="FFFFFF"/>
        </w:rPr>
        <w:t>[they]</w:t>
      </w:r>
      <w:r w:rsidR="008C0C40" w:rsidRPr="00BF6F6A">
        <w:rPr>
          <w:i/>
          <w:iCs/>
          <w:shd w:val="clear" w:color="auto" w:fill="FFFFFF"/>
        </w:rPr>
        <w:t xml:space="preserve"> felt it was important and rather than investors asking for it”</w:t>
      </w:r>
      <w:r w:rsidR="00A82919" w:rsidRPr="00BF6F6A">
        <w:rPr>
          <w:shd w:val="clear" w:color="auto" w:fill="FFFFFF"/>
        </w:rPr>
        <w:t xml:space="preserve"> </w:t>
      </w:r>
      <w:r w:rsidR="005E0CFB" w:rsidRPr="00BF6F6A">
        <w:rPr>
          <w:shd w:val="clear" w:color="auto" w:fill="FFFFFF"/>
        </w:rPr>
        <w:t xml:space="preserve">(P5) </w:t>
      </w:r>
      <w:r w:rsidR="00A82919" w:rsidRPr="00BF6F6A">
        <w:rPr>
          <w:shd w:val="clear" w:color="auto" w:fill="FFFFFF"/>
        </w:rPr>
        <w:t xml:space="preserve">indicating </w:t>
      </w:r>
      <w:r w:rsidR="00A265A3">
        <w:rPr>
          <w:shd w:val="clear" w:color="auto" w:fill="FFFFFF"/>
        </w:rPr>
        <w:t>their</w:t>
      </w:r>
      <w:r w:rsidR="00A82919" w:rsidRPr="00BF6F6A">
        <w:rPr>
          <w:shd w:val="clear" w:color="auto" w:fill="FFFFFF"/>
        </w:rPr>
        <w:t xml:space="preserve"> sense of moral responsibility towards sustainability</w:t>
      </w:r>
      <w:r w:rsidR="004A481C" w:rsidRPr="00BF6F6A">
        <w:rPr>
          <w:shd w:val="clear" w:color="auto" w:fill="FFFFFF"/>
        </w:rPr>
        <w:t xml:space="preserve"> (</w:t>
      </w:r>
      <w:r w:rsidR="00420238" w:rsidRPr="00BF6F6A">
        <w:rPr>
          <w:shd w:val="clear" w:color="auto" w:fill="FFFFFF"/>
        </w:rPr>
        <w:t xml:space="preserve">Christensen </w:t>
      </w:r>
      <w:r w:rsidR="00420238" w:rsidRPr="00BF6F6A">
        <w:rPr>
          <w:i/>
          <w:iCs/>
          <w:shd w:val="clear" w:color="auto" w:fill="FFFFFF"/>
        </w:rPr>
        <w:t>et al.</w:t>
      </w:r>
      <w:r w:rsidR="004A481C" w:rsidRPr="00BF6F6A">
        <w:rPr>
          <w:shd w:val="clear" w:color="auto" w:fill="FFFFFF"/>
        </w:rPr>
        <w:t xml:space="preserve">, </w:t>
      </w:r>
      <w:r w:rsidR="00420238" w:rsidRPr="00BF6F6A">
        <w:rPr>
          <w:shd w:val="clear" w:color="auto" w:fill="FFFFFF"/>
        </w:rPr>
        <w:t>2018).</w:t>
      </w:r>
      <w:r w:rsidR="004A481C" w:rsidRPr="00BF6F6A">
        <w:rPr>
          <w:shd w:val="clear" w:color="auto" w:fill="FFFFFF"/>
        </w:rPr>
        <w:t xml:space="preserve"> </w:t>
      </w:r>
      <w:r w:rsidR="003B4F8D" w:rsidRPr="00BF6F6A">
        <w:rPr>
          <w:shd w:val="clear" w:color="auto" w:fill="FFFFFF"/>
        </w:rPr>
        <w:t>Many</w:t>
      </w:r>
      <w:r w:rsidR="00184519" w:rsidRPr="00BF6F6A">
        <w:rPr>
          <w:shd w:val="clear" w:color="auto" w:fill="FFFFFF"/>
        </w:rPr>
        <w:t xml:space="preserve"> participants </w:t>
      </w:r>
      <w:r w:rsidR="00AD6C15">
        <w:rPr>
          <w:shd w:val="clear" w:color="auto" w:fill="FFFFFF"/>
        </w:rPr>
        <w:t xml:space="preserve">were less emotionally driven and </w:t>
      </w:r>
      <w:r w:rsidR="004A481C" w:rsidRPr="00BF6F6A">
        <w:rPr>
          <w:shd w:val="clear" w:color="auto" w:fill="FFFFFF"/>
        </w:rPr>
        <w:t xml:space="preserve">used GRESB </w:t>
      </w:r>
      <w:r w:rsidR="00184519" w:rsidRPr="00BF6F6A">
        <w:rPr>
          <w:shd w:val="clear" w:color="auto" w:fill="FFFFFF"/>
        </w:rPr>
        <w:t xml:space="preserve">to prove their sustainability credentials and </w:t>
      </w:r>
      <w:r w:rsidR="00184519" w:rsidRPr="00BF6F6A">
        <w:rPr>
          <w:i/>
          <w:iCs/>
          <w:shd w:val="clear" w:color="auto" w:fill="FFFFFF"/>
        </w:rPr>
        <w:t>“to standardize the performance of all our assets across our different portfolio of companies”</w:t>
      </w:r>
      <w:r w:rsidR="003B4F8D" w:rsidRPr="00BF6F6A">
        <w:rPr>
          <w:shd w:val="clear" w:color="auto" w:fill="FFFFFF"/>
        </w:rPr>
        <w:t xml:space="preserve"> </w:t>
      </w:r>
      <w:r w:rsidR="005E0CFB" w:rsidRPr="00BF6F6A">
        <w:rPr>
          <w:shd w:val="clear" w:color="auto" w:fill="FFFFFF"/>
        </w:rPr>
        <w:t xml:space="preserve">(P4) </w:t>
      </w:r>
      <w:r w:rsidR="003B4F8D" w:rsidRPr="00BF6F6A">
        <w:rPr>
          <w:shd w:val="clear" w:color="auto" w:fill="FFFFFF"/>
        </w:rPr>
        <w:t>and stressed that</w:t>
      </w:r>
      <w:r w:rsidR="008379DE" w:rsidRPr="00BF6F6A">
        <w:rPr>
          <w:shd w:val="clear" w:color="auto" w:fill="FFFFFF"/>
        </w:rPr>
        <w:t xml:space="preserve"> </w:t>
      </w:r>
      <w:r w:rsidR="003B4F8D" w:rsidRPr="00BF6F6A">
        <w:rPr>
          <w:shd w:val="clear" w:color="auto" w:fill="FFFFFF"/>
        </w:rPr>
        <w:t>they</w:t>
      </w:r>
      <w:r w:rsidR="008379DE" w:rsidRPr="00BF6F6A">
        <w:rPr>
          <w:i/>
          <w:iCs/>
          <w:shd w:val="clear" w:color="auto" w:fill="FFFFFF"/>
        </w:rPr>
        <w:t xml:space="preserve"> </w:t>
      </w:r>
      <w:r w:rsidR="003B4F8D" w:rsidRPr="00BF6F6A">
        <w:rPr>
          <w:i/>
          <w:iCs/>
          <w:shd w:val="clear" w:color="auto" w:fill="FFFFFF"/>
        </w:rPr>
        <w:t>“</w:t>
      </w:r>
      <w:r w:rsidR="000D0F41" w:rsidRPr="00BF6F6A">
        <w:rPr>
          <w:i/>
          <w:iCs/>
          <w:shd w:val="clear" w:color="auto" w:fill="FFFFFF"/>
        </w:rPr>
        <w:t xml:space="preserve">understood what </w:t>
      </w:r>
      <w:r w:rsidR="003B4F8D" w:rsidRPr="00BF6F6A">
        <w:rPr>
          <w:i/>
          <w:iCs/>
          <w:shd w:val="clear" w:color="auto" w:fill="FFFFFF"/>
        </w:rPr>
        <w:t>[they]</w:t>
      </w:r>
      <w:r w:rsidR="000D0F41" w:rsidRPr="00BF6F6A">
        <w:rPr>
          <w:i/>
          <w:iCs/>
          <w:shd w:val="clear" w:color="auto" w:fill="FFFFFF"/>
        </w:rPr>
        <w:t>needed to do, what was required, which allowed</w:t>
      </w:r>
      <w:r w:rsidR="003B4F8D" w:rsidRPr="00BF6F6A">
        <w:rPr>
          <w:i/>
          <w:iCs/>
          <w:shd w:val="clear" w:color="auto" w:fill="FFFFFF"/>
        </w:rPr>
        <w:t xml:space="preserve"> [them]</w:t>
      </w:r>
      <w:r w:rsidR="000D0F41" w:rsidRPr="00BF6F6A">
        <w:rPr>
          <w:i/>
          <w:iCs/>
          <w:shd w:val="clear" w:color="auto" w:fill="FFFFFF"/>
        </w:rPr>
        <w:t xml:space="preserve"> to work on a gap analysis and steps program to see how </w:t>
      </w:r>
      <w:r w:rsidR="003B4F8D" w:rsidRPr="00BF6F6A">
        <w:rPr>
          <w:i/>
          <w:iCs/>
          <w:shd w:val="clear" w:color="auto" w:fill="FFFFFF"/>
        </w:rPr>
        <w:t>[they]</w:t>
      </w:r>
      <w:r w:rsidR="000D0F41" w:rsidRPr="00BF6F6A">
        <w:rPr>
          <w:i/>
          <w:iCs/>
          <w:shd w:val="clear" w:color="auto" w:fill="FFFFFF"/>
        </w:rPr>
        <w:t xml:space="preserve"> could improve</w:t>
      </w:r>
      <w:r w:rsidR="008379DE" w:rsidRPr="00BF6F6A">
        <w:rPr>
          <w:i/>
          <w:iCs/>
          <w:shd w:val="clear" w:color="auto" w:fill="FFFFFF"/>
        </w:rPr>
        <w:t>”</w:t>
      </w:r>
      <w:r w:rsidR="00EB50B7" w:rsidRPr="00BF6F6A">
        <w:rPr>
          <w:shd w:val="clear" w:color="auto" w:fill="FFFFFF"/>
        </w:rPr>
        <w:t xml:space="preserve"> </w:t>
      </w:r>
      <w:r w:rsidR="005E0CFB" w:rsidRPr="00BF6F6A">
        <w:rPr>
          <w:shd w:val="clear" w:color="auto" w:fill="FFFFFF"/>
        </w:rPr>
        <w:t xml:space="preserve">(P3). </w:t>
      </w:r>
      <w:r w:rsidR="00A82919" w:rsidRPr="00BF6F6A">
        <w:rPr>
          <w:shd w:val="clear" w:color="auto" w:fill="FFFFFF"/>
        </w:rPr>
        <w:t xml:space="preserve">Another key driver highlighted by </w:t>
      </w:r>
      <w:r w:rsidR="003B4F8D" w:rsidRPr="00BF6F6A">
        <w:rPr>
          <w:shd w:val="clear" w:color="auto" w:fill="FFFFFF"/>
        </w:rPr>
        <w:t xml:space="preserve">many </w:t>
      </w:r>
      <w:r w:rsidR="00671DF4" w:rsidRPr="00BF6F6A">
        <w:rPr>
          <w:shd w:val="clear" w:color="auto" w:fill="FFFFFF"/>
        </w:rPr>
        <w:t>participa</w:t>
      </w:r>
      <w:r w:rsidR="00A82919" w:rsidRPr="00BF6F6A">
        <w:rPr>
          <w:shd w:val="clear" w:color="auto" w:fill="FFFFFF"/>
        </w:rPr>
        <w:t xml:space="preserve">nts was the ability to </w:t>
      </w:r>
      <w:r w:rsidR="00D70E08" w:rsidRPr="00BF6F6A">
        <w:rPr>
          <w:shd w:val="clear" w:color="auto" w:fill="FFFFFF"/>
        </w:rPr>
        <w:t xml:space="preserve">establish </w:t>
      </w:r>
      <w:r w:rsidR="00A82919" w:rsidRPr="00BF6F6A">
        <w:rPr>
          <w:shd w:val="clear" w:color="auto" w:fill="FFFFFF"/>
        </w:rPr>
        <w:t>how</w:t>
      </w:r>
      <w:r w:rsidR="003B4F8D" w:rsidRPr="00BF6F6A">
        <w:rPr>
          <w:shd w:val="clear" w:color="auto" w:fill="FFFFFF"/>
        </w:rPr>
        <w:t xml:space="preserve"> they</w:t>
      </w:r>
      <w:r w:rsidR="00A82919" w:rsidRPr="00BF6F6A">
        <w:rPr>
          <w:shd w:val="clear" w:color="auto" w:fill="FFFFFF"/>
        </w:rPr>
        <w:t xml:space="preserve"> </w:t>
      </w:r>
      <w:r w:rsidR="00A82919" w:rsidRPr="00BF6F6A">
        <w:rPr>
          <w:i/>
          <w:iCs/>
          <w:shd w:val="clear" w:color="auto" w:fill="FFFFFF"/>
        </w:rPr>
        <w:t xml:space="preserve">“actually benchmarked towards </w:t>
      </w:r>
      <w:r w:rsidR="003B4F8D" w:rsidRPr="00BF6F6A">
        <w:rPr>
          <w:i/>
          <w:iCs/>
          <w:shd w:val="clear" w:color="auto" w:fill="FFFFFF"/>
        </w:rPr>
        <w:t>[their]</w:t>
      </w:r>
      <w:r w:rsidR="00A82919" w:rsidRPr="00BF6F6A">
        <w:rPr>
          <w:i/>
          <w:iCs/>
          <w:shd w:val="clear" w:color="auto" w:fill="FFFFFF"/>
        </w:rPr>
        <w:t xml:space="preserve"> peers”</w:t>
      </w:r>
      <w:r w:rsidR="00A82919" w:rsidRPr="00BF6F6A">
        <w:rPr>
          <w:shd w:val="clear" w:color="auto" w:fill="FFFFFF"/>
        </w:rPr>
        <w:t xml:space="preserve"> </w:t>
      </w:r>
      <w:r w:rsidR="005E0CFB" w:rsidRPr="00BF6F6A">
        <w:rPr>
          <w:shd w:val="clear" w:color="auto" w:fill="FFFFFF"/>
        </w:rPr>
        <w:t xml:space="preserve">(P2). </w:t>
      </w:r>
      <w:r w:rsidR="003B4F8D" w:rsidRPr="00BF6F6A">
        <w:rPr>
          <w:shd w:val="clear" w:color="auto" w:fill="FFFFFF"/>
        </w:rPr>
        <w:t>This was particularly important for participants whose companies</w:t>
      </w:r>
      <w:r w:rsidR="00A63DE9" w:rsidRPr="00BF6F6A">
        <w:rPr>
          <w:shd w:val="clear" w:color="auto" w:fill="FFFFFF"/>
        </w:rPr>
        <w:t xml:space="preserve"> were the first company to take part in the benchmark in their </w:t>
      </w:r>
      <w:r w:rsidR="000019BF" w:rsidRPr="00BF6F6A">
        <w:rPr>
          <w:shd w:val="clear" w:color="auto" w:fill="FFFFFF"/>
        </w:rPr>
        <w:t>region</w:t>
      </w:r>
      <w:r w:rsidR="003B4F8D" w:rsidRPr="00BF6F6A">
        <w:rPr>
          <w:shd w:val="clear" w:color="auto" w:fill="FFFFFF"/>
        </w:rPr>
        <w:t xml:space="preserve"> and</w:t>
      </w:r>
      <w:r w:rsidR="008C0C40" w:rsidRPr="00BF6F6A">
        <w:rPr>
          <w:shd w:val="clear" w:color="auto" w:fill="FFFFFF"/>
        </w:rPr>
        <w:t xml:space="preserve"> gave them</w:t>
      </w:r>
      <w:r w:rsidR="00972E5F" w:rsidRPr="00BF6F6A">
        <w:rPr>
          <w:shd w:val="clear" w:color="auto" w:fill="FFFFFF"/>
        </w:rPr>
        <w:t xml:space="preserve"> a competitive advantage</w:t>
      </w:r>
      <w:r w:rsidR="000019BF" w:rsidRPr="00BF6F6A">
        <w:rPr>
          <w:shd w:val="clear" w:color="auto" w:fill="FFFFFF"/>
        </w:rPr>
        <w:t xml:space="preserve"> over their peers</w:t>
      </w:r>
      <w:r w:rsidR="00972E5F" w:rsidRPr="00BF6F6A">
        <w:rPr>
          <w:shd w:val="clear" w:color="auto" w:fill="FFFFFF"/>
        </w:rPr>
        <w:t xml:space="preserve"> </w:t>
      </w:r>
      <w:r w:rsidR="008C0C40" w:rsidRPr="00BF6F6A">
        <w:rPr>
          <w:shd w:val="clear" w:color="auto" w:fill="FFFFFF"/>
        </w:rPr>
        <w:t xml:space="preserve">and ultimately </w:t>
      </w:r>
      <w:r w:rsidR="00A63DE9" w:rsidRPr="00BF6F6A">
        <w:rPr>
          <w:shd w:val="clear" w:color="auto" w:fill="FFFFFF"/>
        </w:rPr>
        <w:t xml:space="preserve">led to </w:t>
      </w:r>
      <w:r w:rsidR="00972E5F" w:rsidRPr="00BF6F6A">
        <w:rPr>
          <w:shd w:val="clear" w:color="auto" w:fill="FFFFFF"/>
        </w:rPr>
        <w:t xml:space="preserve">other </w:t>
      </w:r>
      <w:r w:rsidR="000019BF" w:rsidRPr="00BF6F6A">
        <w:rPr>
          <w:shd w:val="clear" w:color="auto" w:fill="FFFFFF"/>
        </w:rPr>
        <w:t>organisations</w:t>
      </w:r>
      <w:r w:rsidR="00972E5F" w:rsidRPr="00BF6F6A">
        <w:rPr>
          <w:shd w:val="clear" w:color="auto" w:fill="FFFFFF"/>
        </w:rPr>
        <w:t xml:space="preserve"> </w:t>
      </w:r>
      <w:r w:rsidR="008C0C40" w:rsidRPr="00BF6F6A">
        <w:rPr>
          <w:shd w:val="clear" w:color="auto" w:fill="FFFFFF"/>
        </w:rPr>
        <w:t xml:space="preserve">in the region </w:t>
      </w:r>
      <w:r w:rsidR="00433380" w:rsidRPr="00BF6F6A">
        <w:rPr>
          <w:shd w:val="clear" w:color="auto" w:fill="FFFFFF"/>
        </w:rPr>
        <w:t>following</w:t>
      </w:r>
      <w:r w:rsidR="00972E5F" w:rsidRPr="00BF6F6A">
        <w:rPr>
          <w:shd w:val="clear" w:color="auto" w:fill="FFFFFF"/>
        </w:rPr>
        <w:t xml:space="preserve"> in their footsteps</w:t>
      </w:r>
      <w:r w:rsidR="008C0C40" w:rsidRPr="00BF6F6A">
        <w:rPr>
          <w:shd w:val="clear" w:color="auto" w:fill="FFFFFF"/>
        </w:rPr>
        <w:t>.</w:t>
      </w:r>
    </w:p>
    <w:p w14:paraId="23DD8F11" w14:textId="77777777" w:rsidR="00420ACC" w:rsidRPr="00BF6F6A" w:rsidRDefault="00420ACC" w:rsidP="003B4F8D">
      <w:pPr>
        <w:ind w:firstLine="720"/>
        <w:jc w:val="both"/>
        <w:rPr>
          <w:shd w:val="clear" w:color="auto" w:fill="FFFFFF"/>
        </w:rPr>
      </w:pPr>
    </w:p>
    <w:p w14:paraId="6F6EAF56" w14:textId="2C79ADE2" w:rsidR="00776303" w:rsidRPr="00BF6F6A" w:rsidRDefault="00154A44" w:rsidP="003B4F8D">
      <w:pPr>
        <w:pStyle w:val="Heading3"/>
        <w:numPr>
          <w:ilvl w:val="0"/>
          <w:numId w:val="0"/>
        </w:numPr>
        <w:spacing w:before="0" w:after="0"/>
        <w:rPr>
          <w:rFonts w:cs="Times New Roman"/>
          <w:u w:val="none"/>
          <w:shd w:val="clear" w:color="auto" w:fill="FFFFFF"/>
        </w:rPr>
      </w:pPr>
      <w:bookmarkStart w:id="30" w:name="_Toc99882248"/>
      <w:r w:rsidRPr="00BF6F6A">
        <w:rPr>
          <w:rFonts w:cs="Times New Roman"/>
          <w:u w:val="none"/>
          <w:shd w:val="clear" w:color="auto" w:fill="FFFFFF"/>
        </w:rPr>
        <w:t xml:space="preserve">GRESB </w:t>
      </w:r>
      <w:r w:rsidR="00FE48E5" w:rsidRPr="00BF6F6A">
        <w:rPr>
          <w:rFonts w:cs="Times New Roman"/>
          <w:u w:val="none"/>
          <w:shd w:val="clear" w:color="auto" w:fill="FFFFFF"/>
        </w:rPr>
        <w:t>b</w:t>
      </w:r>
      <w:r w:rsidR="00776303" w:rsidRPr="00BF6F6A">
        <w:rPr>
          <w:rFonts w:cs="Times New Roman"/>
          <w:u w:val="none"/>
          <w:shd w:val="clear" w:color="auto" w:fill="FFFFFF"/>
        </w:rPr>
        <w:t>enefits</w:t>
      </w:r>
      <w:bookmarkEnd w:id="30"/>
    </w:p>
    <w:p w14:paraId="1AF75D2F" w14:textId="39D99FB1" w:rsidR="008F3A11" w:rsidRPr="00BF6F6A" w:rsidRDefault="00DD5AA3" w:rsidP="003B4F8D">
      <w:pPr>
        <w:jc w:val="both"/>
        <w:rPr>
          <w:shd w:val="clear" w:color="auto" w:fill="FFFFFF"/>
        </w:rPr>
      </w:pPr>
      <w:r w:rsidRPr="00BF6F6A">
        <w:rPr>
          <w:shd w:val="clear" w:color="auto" w:fill="FFFFFF"/>
        </w:rPr>
        <w:t xml:space="preserve">When discussing </w:t>
      </w:r>
      <w:r w:rsidR="00CA73F4" w:rsidRPr="00BF6F6A">
        <w:rPr>
          <w:shd w:val="clear" w:color="auto" w:fill="FFFFFF"/>
        </w:rPr>
        <w:t xml:space="preserve">the </w:t>
      </w:r>
      <w:r w:rsidRPr="00BF6F6A">
        <w:rPr>
          <w:shd w:val="clear" w:color="auto" w:fill="FFFFFF"/>
        </w:rPr>
        <w:t>benefits of GRES</w:t>
      </w:r>
      <w:r w:rsidR="0056505B" w:rsidRPr="00BF6F6A">
        <w:rPr>
          <w:shd w:val="clear" w:color="auto" w:fill="FFFFFF"/>
        </w:rPr>
        <w:t>B</w:t>
      </w:r>
      <w:r w:rsidRPr="00BF6F6A">
        <w:rPr>
          <w:shd w:val="clear" w:color="auto" w:fill="FFFFFF"/>
        </w:rPr>
        <w:t xml:space="preserve"> </w:t>
      </w:r>
      <w:r w:rsidR="0092311C" w:rsidRPr="00BF6F6A">
        <w:rPr>
          <w:shd w:val="clear" w:color="auto" w:fill="FFFFFF"/>
        </w:rPr>
        <w:t>benchmarking</w:t>
      </w:r>
      <w:r w:rsidRPr="00BF6F6A">
        <w:rPr>
          <w:shd w:val="clear" w:color="auto" w:fill="FFFFFF"/>
        </w:rPr>
        <w:t>,</w:t>
      </w:r>
      <w:r w:rsidR="00132DB4" w:rsidRPr="00BF6F6A">
        <w:rPr>
          <w:shd w:val="clear" w:color="auto" w:fill="FFFFFF"/>
        </w:rPr>
        <w:t xml:space="preserve"> participant</w:t>
      </w:r>
      <w:r w:rsidR="003B4F8D" w:rsidRPr="00BF6F6A">
        <w:rPr>
          <w:shd w:val="clear" w:color="auto" w:fill="FFFFFF"/>
        </w:rPr>
        <w:t>s</w:t>
      </w:r>
      <w:r w:rsidR="00132DB4" w:rsidRPr="00BF6F6A">
        <w:rPr>
          <w:shd w:val="clear" w:color="auto" w:fill="FFFFFF"/>
        </w:rPr>
        <w:t xml:space="preserve"> </w:t>
      </w:r>
      <w:r w:rsidRPr="00BF6F6A">
        <w:rPr>
          <w:shd w:val="clear" w:color="auto" w:fill="FFFFFF"/>
        </w:rPr>
        <w:t>compared GRES</w:t>
      </w:r>
      <w:r w:rsidR="0056505B" w:rsidRPr="00BF6F6A">
        <w:rPr>
          <w:shd w:val="clear" w:color="auto" w:fill="FFFFFF"/>
        </w:rPr>
        <w:t>B</w:t>
      </w:r>
      <w:r w:rsidRPr="00BF6F6A">
        <w:rPr>
          <w:shd w:val="clear" w:color="auto" w:fill="FFFFFF"/>
        </w:rPr>
        <w:t xml:space="preserve"> to</w:t>
      </w:r>
      <w:r w:rsidR="00132DB4" w:rsidRPr="00BF6F6A">
        <w:rPr>
          <w:shd w:val="clear" w:color="auto" w:fill="FFFFFF"/>
        </w:rPr>
        <w:t xml:space="preserve"> green building certification</w:t>
      </w:r>
      <w:r w:rsidR="00EE42DC">
        <w:rPr>
          <w:shd w:val="clear" w:color="auto" w:fill="FFFFFF"/>
        </w:rPr>
        <w:t>. P5 ironically summarised that:</w:t>
      </w:r>
      <w:r w:rsidR="00132DB4" w:rsidRPr="00BF6F6A">
        <w:rPr>
          <w:shd w:val="clear" w:color="auto" w:fill="FFFFFF"/>
        </w:rPr>
        <w:t xml:space="preserve"> </w:t>
      </w:r>
      <w:r w:rsidR="00132DB4" w:rsidRPr="00BF6F6A">
        <w:rPr>
          <w:i/>
          <w:iCs/>
          <w:shd w:val="clear" w:color="auto" w:fill="FFFFFF"/>
        </w:rPr>
        <w:t>“</w:t>
      </w:r>
      <w:r w:rsidR="00E53A06" w:rsidRPr="00BF6F6A">
        <w:rPr>
          <w:i/>
          <w:iCs/>
          <w:shd w:val="clear" w:color="auto" w:fill="FFFFFF"/>
        </w:rPr>
        <w:t>W</w:t>
      </w:r>
      <w:r w:rsidR="00132DB4" w:rsidRPr="00BF6F6A">
        <w:rPr>
          <w:i/>
          <w:iCs/>
          <w:shd w:val="clear" w:color="auto" w:fill="FFFFFF"/>
        </w:rPr>
        <w:t>e consider GRESB to be the portfolio version of green building certifications like BREEAM, LEED, WELL, which is just basically a very easy stamp to say this building is more sustainable than the average building. We use GRESB in a similar way to put that stamp to say this portfolio is this much better than our peers, or much better than our other funds etc</w:t>
      </w:r>
      <w:r w:rsidR="00B92DC5">
        <w:rPr>
          <w:i/>
          <w:iCs/>
          <w:shd w:val="clear" w:color="auto" w:fill="FFFFFF"/>
        </w:rPr>
        <w:t>.</w:t>
      </w:r>
      <w:r w:rsidR="00132DB4" w:rsidRPr="00BF6F6A">
        <w:rPr>
          <w:i/>
          <w:iCs/>
          <w:shd w:val="clear" w:color="auto" w:fill="FFFFFF"/>
        </w:rPr>
        <w:t>”</w:t>
      </w:r>
    </w:p>
    <w:p w14:paraId="7335E04A" w14:textId="104BDC44" w:rsidR="00935ED7" w:rsidRPr="00BF6F6A" w:rsidRDefault="0070349C" w:rsidP="00252A44">
      <w:pPr>
        <w:ind w:firstLine="720"/>
        <w:jc w:val="both"/>
        <w:rPr>
          <w:shd w:val="clear" w:color="auto" w:fill="FFFFFF"/>
        </w:rPr>
      </w:pPr>
      <w:r w:rsidRPr="00BF6F6A">
        <w:rPr>
          <w:shd w:val="clear" w:color="auto" w:fill="FFFFFF"/>
        </w:rPr>
        <w:t xml:space="preserve">All </w:t>
      </w:r>
      <w:r w:rsidR="004A481C" w:rsidRPr="00BF6F6A">
        <w:rPr>
          <w:shd w:val="clear" w:color="auto" w:fill="FFFFFF"/>
        </w:rPr>
        <w:t>participants</w:t>
      </w:r>
      <w:r w:rsidRPr="00BF6F6A">
        <w:rPr>
          <w:shd w:val="clear" w:color="auto" w:fill="FFFFFF"/>
        </w:rPr>
        <w:t xml:space="preserve"> </w:t>
      </w:r>
      <w:r w:rsidR="00EB1C57">
        <w:rPr>
          <w:shd w:val="clear" w:color="auto" w:fill="FFFFFF"/>
        </w:rPr>
        <w:t>felt</w:t>
      </w:r>
      <w:r w:rsidRPr="00BF6F6A">
        <w:rPr>
          <w:shd w:val="clear" w:color="auto" w:fill="FFFFFF"/>
        </w:rPr>
        <w:t xml:space="preserve"> that the overriding benefit from participating in GRESB </w:t>
      </w:r>
      <w:r w:rsidR="00EB1C57">
        <w:rPr>
          <w:shd w:val="clear" w:color="auto" w:fill="FFFFFF"/>
        </w:rPr>
        <w:t>was</w:t>
      </w:r>
      <w:r w:rsidRPr="00BF6F6A">
        <w:rPr>
          <w:shd w:val="clear" w:color="auto" w:fill="FFFFFF"/>
        </w:rPr>
        <w:t xml:space="preserve"> the ability to </w:t>
      </w:r>
      <w:r w:rsidR="00D73ECD" w:rsidRPr="00BF6F6A">
        <w:rPr>
          <w:shd w:val="clear" w:color="auto" w:fill="FFFFFF"/>
        </w:rPr>
        <w:t xml:space="preserve">benchmark their performance against their peers and </w:t>
      </w:r>
      <w:r w:rsidR="00D73ECD" w:rsidRPr="00BF6F6A">
        <w:rPr>
          <w:i/>
          <w:iCs/>
          <w:shd w:val="clear" w:color="auto" w:fill="FFFFFF"/>
        </w:rPr>
        <w:t>“it's been nice to have some insight as to how you're performing at a portfolio level compared to others around the globe”</w:t>
      </w:r>
      <w:r w:rsidR="00D73ECD" w:rsidRPr="00BF6F6A">
        <w:rPr>
          <w:shd w:val="clear" w:color="auto" w:fill="FFFFFF"/>
        </w:rPr>
        <w:t xml:space="preserve"> </w:t>
      </w:r>
      <w:r w:rsidR="005E0CFB" w:rsidRPr="00BF6F6A">
        <w:rPr>
          <w:shd w:val="clear" w:color="auto" w:fill="FFFFFF"/>
        </w:rPr>
        <w:t xml:space="preserve">(P1). </w:t>
      </w:r>
      <w:r w:rsidR="00D70E08" w:rsidRPr="00BF6F6A">
        <w:rPr>
          <w:shd w:val="clear" w:color="auto" w:fill="FFFFFF"/>
        </w:rPr>
        <w:t>T</w:t>
      </w:r>
      <w:r w:rsidR="004A481C" w:rsidRPr="00BF6F6A">
        <w:rPr>
          <w:shd w:val="clear" w:color="auto" w:fill="FFFFFF"/>
        </w:rPr>
        <w:t>hese</w:t>
      </w:r>
      <w:r w:rsidR="00D73ECD" w:rsidRPr="00BF6F6A">
        <w:rPr>
          <w:shd w:val="clear" w:color="auto" w:fill="FFFFFF"/>
        </w:rPr>
        <w:t xml:space="preserve"> benefits</w:t>
      </w:r>
      <w:r w:rsidR="00D70E08" w:rsidRPr="00BF6F6A">
        <w:rPr>
          <w:shd w:val="clear" w:color="auto" w:fill="FFFFFF"/>
        </w:rPr>
        <w:t xml:space="preserve">, however, </w:t>
      </w:r>
      <w:r w:rsidR="004A481C" w:rsidRPr="00BF6F6A">
        <w:rPr>
          <w:shd w:val="clear" w:color="auto" w:fill="FFFFFF"/>
        </w:rPr>
        <w:t>are declining</w:t>
      </w:r>
      <w:r w:rsidR="003B4F8D" w:rsidRPr="00BF6F6A">
        <w:rPr>
          <w:shd w:val="clear" w:color="auto" w:fill="FFFFFF"/>
        </w:rPr>
        <w:t xml:space="preserve"> as participants observed that</w:t>
      </w:r>
      <w:r w:rsidR="00052234" w:rsidRPr="00BF6F6A">
        <w:rPr>
          <w:shd w:val="clear" w:color="auto" w:fill="FFFFFF"/>
        </w:rPr>
        <w:t xml:space="preserve"> </w:t>
      </w:r>
      <w:r w:rsidR="00EB1C57">
        <w:rPr>
          <w:shd w:val="clear" w:color="auto" w:fill="FFFFFF"/>
        </w:rPr>
        <w:t xml:space="preserve">they </w:t>
      </w:r>
      <w:r w:rsidR="00EB1C57">
        <w:rPr>
          <w:i/>
          <w:iCs/>
          <w:shd w:val="clear" w:color="auto" w:fill="FFFFFF"/>
        </w:rPr>
        <w:t>“</w:t>
      </w:r>
      <w:r w:rsidR="003B4F8D" w:rsidRPr="00BF6F6A">
        <w:rPr>
          <w:i/>
          <w:iCs/>
          <w:shd w:val="clear" w:color="auto" w:fill="FFFFFF"/>
        </w:rPr>
        <w:t>ha</w:t>
      </w:r>
      <w:r w:rsidR="00D73ECD" w:rsidRPr="00BF6F6A">
        <w:rPr>
          <w:i/>
          <w:iCs/>
          <w:shd w:val="clear" w:color="auto" w:fill="FFFFFF"/>
        </w:rPr>
        <w:t xml:space="preserve">ve moved towards the benefits not </w:t>
      </w:r>
      <w:r w:rsidR="005E506D" w:rsidRPr="00BF6F6A">
        <w:rPr>
          <w:i/>
          <w:iCs/>
          <w:shd w:val="clear" w:color="auto" w:fill="FFFFFF"/>
        </w:rPr>
        <w:t xml:space="preserve">being </w:t>
      </w:r>
      <w:r w:rsidR="00D73ECD" w:rsidRPr="00BF6F6A">
        <w:rPr>
          <w:i/>
          <w:iCs/>
          <w:shd w:val="clear" w:color="auto" w:fill="FFFFFF"/>
        </w:rPr>
        <w:t>as high as they need to be to justify all the work that is behind the participation”</w:t>
      </w:r>
      <w:r w:rsidR="00725BA1" w:rsidRPr="00BF6F6A">
        <w:rPr>
          <w:shd w:val="clear" w:color="auto" w:fill="FFFFFF"/>
        </w:rPr>
        <w:t xml:space="preserve"> </w:t>
      </w:r>
      <w:r w:rsidR="005E0CFB" w:rsidRPr="00BF6F6A">
        <w:rPr>
          <w:shd w:val="clear" w:color="auto" w:fill="FFFFFF"/>
        </w:rPr>
        <w:t xml:space="preserve">(P2). </w:t>
      </w:r>
    </w:p>
    <w:p w14:paraId="3EACD834" w14:textId="47CB36CF" w:rsidR="00333FFC" w:rsidRPr="00BF6F6A" w:rsidRDefault="004873AF" w:rsidP="00935ED7">
      <w:pPr>
        <w:ind w:firstLine="720"/>
        <w:jc w:val="both"/>
        <w:rPr>
          <w:shd w:val="clear" w:color="auto" w:fill="FFFFFF"/>
        </w:rPr>
      </w:pPr>
      <w:r w:rsidRPr="00BF6F6A">
        <w:rPr>
          <w:shd w:val="clear" w:color="auto" w:fill="FFFFFF"/>
        </w:rPr>
        <w:t>A further</w:t>
      </w:r>
      <w:r w:rsidR="00725BA1" w:rsidRPr="00BF6F6A">
        <w:rPr>
          <w:shd w:val="clear" w:color="auto" w:fill="FFFFFF"/>
        </w:rPr>
        <w:t xml:space="preserve"> key benefit identified by </w:t>
      </w:r>
      <w:r w:rsidR="003B4F8D" w:rsidRPr="00BF6F6A">
        <w:rPr>
          <w:shd w:val="clear" w:color="auto" w:fill="FFFFFF"/>
        </w:rPr>
        <w:t>most</w:t>
      </w:r>
      <w:r w:rsidR="00725BA1" w:rsidRPr="00BF6F6A">
        <w:rPr>
          <w:shd w:val="clear" w:color="auto" w:fill="FFFFFF"/>
        </w:rPr>
        <w:t xml:space="preserve"> participants </w:t>
      </w:r>
      <w:r w:rsidR="005B2A73" w:rsidRPr="00BF6F6A">
        <w:rPr>
          <w:shd w:val="clear" w:color="auto" w:fill="FFFFFF"/>
        </w:rPr>
        <w:t>has been their performance analysis</w:t>
      </w:r>
      <w:r w:rsidR="00253ACF" w:rsidRPr="00BF6F6A">
        <w:rPr>
          <w:shd w:val="clear" w:color="auto" w:fill="FFFFFF"/>
        </w:rPr>
        <w:t xml:space="preserve"> as a </w:t>
      </w:r>
      <w:r w:rsidR="00253ACF" w:rsidRPr="00BF6F6A">
        <w:rPr>
          <w:i/>
          <w:iCs/>
          <w:shd w:val="clear" w:color="auto" w:fill="FFFFFF"/>
        </w:rPr>
        <w:t>“useful measure of assets, database performance, and the sustainability performance of our portfolio”</w:t>
      </w:r>
      <w:r w:rsidR="003B4F8D" w:rsidRPr="00BF6F6A">
        <w:rPr>
          <w:i/>
          <w:iCs/>
          <w:shd w:val="clear" w:color="auto" w:fill="FFFFFF"/>
        </w:rPr>
        <w:t xml:space="preserve"> </w:t>
      </w:r>
      <w:r w:rsidR="003B4F8D" w:rsidRPr="00BF6F6A">
        <w:rPr>
          <w:shd w:val="clear" w:color="auto" w:fill="FFFFFF"/>
        </w:rPr>
        <w:t xml:space="preserve">and </w:t>
      </w:r>
      <w:r w:rsidR="00253ACF" w:rsidRPr="00BF6F6A">
        <w:rPr>
          <w:i/>
          <w:iCs/>
          <w:shd w:val="clear" w:color="auto" w:fill="FFFFFF"/>
        </w:rPr>
        <w:t>“</w:t>
      </w:r>
      <w:r w:rsidR="005B2A73" w:rsidRPr="00BF6F6A">
        <w:rPr>
          <w:i/>
          <w:iCs/>
          <w:shd w:val="clear" w:color="auto" w:fill="FFFFFF"/>
        </w:rPr>
        <w:t xml:space="preserve">a really clear analysis of what </w:t>
      </w:r>
      <w:r w:rsidR="003B4F8D" w:rsidRPr="00BF6F6A">
        <w:rPr>
          <w:i/>
          <w:iCs/>
          <w:shd w:val="clear" w:color="auto" w:fill="FFFFFF"/>
        </w:rPr>
        <w:t>[they were]</w:t>
      </w:r>
      <w:r w:rsidR="005B2A73" w:rsidRPr="00BF6F6A">
        <w:rPr>
          <w:i/>
          <w:iCs/>
          <w:shd w:val="clear" w:color="auto" w:fill="FFFFFF"/>
        </w:rPr>
        <w:t xml:space="preserve"> doing well, what </w:t>
      </w:r>
      <w:r w:rsidR="003B4F8D" w:rsidRPr="00BF6F6A">
        <w:rPr>
          <w:i/>
          <w:iCs/>
          <w:shd w:val="clear" w:color="auto" w:fill="FFFFFF"/>
        </w:rPr>
        <w:t>[they were]</w:t>
      </w:r>
      <w:r w:rsidR="005B2A73" w:rsidRPr="00BF6F6A">
        <w:rPr>
          <w:i/>
          <w:iCs/>
          <w:shd w:val="clear" w:color="auto" w:fill="FFFFFF"/>
        </w:rPr>
        <w:t xml:space="preserve"> not doing well and how </w:t>
      </w:r>
      <w:r w:rsidR="003B4F8D" w:rsidRPr="00BF6F6A">
        <w:rPr>
          <w:i/>
          <w:iCs/>
          <w:shd w:val="clear" w:color="auto" w:fill="FFFFFF"/>
        </w:rPr>
        <w:t>[they]</w:t>
      </w:r>
      <w:r w:rsidR="005B2A73" w:rsidRPr="00BF6F6A">
        <w:rPr>
          <w:i/>
          <w:iCs/>
          <w:shd w:val="clear" w:color="auto" w:fill="FFFFFF"/>
        </w:rPr>
        <w:t xml:space="preserve"> can improve”</w:t>
      </w:r>
      <w:r w:rsidR="007842C8" w:rsidRPr="00BF6F6A">
        <w:rPr>
          <w:shd w:val="clear" w:color="auto" w:fill="FFFFFF"/>
        </w:rPr>
        <w:t xml:space="preserve"> </w:t>
      </w:r>
      <w:r w:rsidR="005E0CFB" w:rsidRPr="00BF6F6A">
        <w:rPr>
          <w:shd w:val="clear" w:color="auto" w:fill="FFFFFF"/>
        </w:rPr>
        <w:t xml:space="preserve">(P7). </w:t>
      </w:r>
      <w:r w:rsidR="003B4F8D" w:rsidRPr="00BF6F6A">
        <w:rPr>
          <w:shd w:val="clear" w:color="auto" w:fill="FFFFFF"/>
        </w:rPr>
        <w:t>P</w:t>
      </w:r>
      <w:r w:rsidR="00A739D5" w:rsidRPr="00BF6F6A">
        <w:rPr>
          <w:shd w:val="clear" w:color="auto" w:fill="FFFFFF"/>
        </w:rPr>
        <w:t xml:space="preserve">articipants </w:t>
      </w:r>
      <w:r w:rsidR="003B4F8D" w:rsidRPr="00BF6F6A">
        <w:rPr>
          <w:shd w:val="clear" w:color="auto" w:fill="FFFFFF"/>
        </w:rPr>
        <w:t xml:space="preserve">also </w:t>
      </w:r>
      <w:r w:rsidR="00253ACF" w:rsidRPr="00BF6F6A">
        <w:rPr>
          <w:shd w:val="clear" w:color="auto" w:fill="FFFFFF"/>
        </w:rPr>
        <w:t>appreciated GRES</w:t>
      </w:r>
      <w:r w:rsidR="0056505B" w:rsidRPr="00BF6F6A">
        <w:rPr>
          <w:shd w:val="clear" w:color="auto" w:fill="FFFFFF"/>
        </w:rPr>
        <w:t>B</w:t>
      </w:r>
      <w:r w:rsidR="00253ACF" w:rsidRPr="00BF6F6A">
        <w:rPr>
          <w:shd w:val="clear" w:color="auto" w:fill="FFFFFF"/>
        </w:rPr>
        <w:t xml:space="preserve"> for improving </w:t>
      </w:r>
      <w:r w:rsidR="00A739D5" w:rsidRPr="00BF6F6A">
        <w:rPr>
          <w:shd w:val="clear" w:color="auto" w:fill="FFFFFF"/>
        </w:rPr>
        <w:t>communication and internal policies</w:t>
      </w:r>
      <w:r w:rsidR="003B4F8D" w:rsidRPr="00BF6F6A">
        <w:rPr>
          <w:shd w:val="clear" w:color="auto" w:fill="FFFFFF"/>
        </w:rPr>
        <w:t xml:space="preserve"> </w:t>
      </w:r>
      <w:r w:rsidR="00AB6CCD">
        <w:rPr>
          <w:shd w:val="clear" w:color="auto" w:fill="FFFFFF"/>
        </w:rPr>
        <w:t xml:space="preserve">and </w:t>
      </w:r>
      <w:r w:rsidR="00EE42DC">
        <w:rPr>
          <w:shd w:val="clear" w:color="auto" w:fill="FFFFFF"/>
        </w:rPr>
        <w:t xml:space="preserve">confidently </w:t>
      </w:r>
      <w:r w:rsidR="003B4F8D" w:rsidRPr="00BF6F6A">
        <w:rPr>
          <w:shd w:val="clear" w:color="auto" w:fill="FFFFFF"/>
        </w:rPr>
        <w:t>confirm</w:t>
      </w:r>
      <w:r w:rsidR="00AB6CCD">
        <w:rPr>
          <w:shd w:val="clear" w:color="auto" w:fill="FFFFFF"/>
        </w:rPr>
        <w:t>ed</w:t>
      </w:r>
      <w:r w:rsidR="003B4F8D" w:rsidRPr="00BF6F6A">
        <w:rPr>
          <w:shd w:val="clear" w:color="auto" w:fill="FFFFFF"/>
        </w:rPr>
        <w:t xml:space="preserve"> that they </w:t>
      </w:r>
      <w:r w:rsidR="00A739D5" w:rsidRPr="00BF6F6A">
        <w:rPr>
          <w:i/>
          <w:iCs/>
          <w:shd w:val="clear" w:color="auto" w:fill="FFFFFF"/>
        </w:rPr>
        <w:t xml:space="preserve">“did use GRESB to try to improve </w:t>
      </w:r>
      <w:r w:rsidR="003B4F8D" w:rsidRPr="00BF6F6A">
        <w:rPr>
          <w:i/>
          <w:iCs/>
          <w:shd w:val="clear" w:color="auto" w:fill="FFFFFF"/>
        </w:rPr>
        <w:t>[their]</w:t>
      </w:r>
      <w:r w:rsidR="00A739D5" w:rsidRPr="00BF6F6A">
        <w:rPr>
          <w:i/>
          <w:iCs/>
          <w:shd w:val="clear" w:color="auto" w:fill="FFFFFF"/>
        </w:rPr>
        <w:t xml:space="preserve"> internal polic</w:t>
      </w:r>
      <w:r w:rsidR="0004561D" w:rsidRPr="00BF6F6A">
        <w:rPr>
          <w:i/>
          <w:iCs/>
          <w:shd w:val="clear" w:color="auto" w:fill="FFFFFF"/>
        </w:rPr>
        <w:t>ies</w:t>
      </w:r>
      <w:r w:rsidR="00A739D5" w:rsidRPr="00BF6F6A">
        <w:rPr>
          <w:i/>
          <w:iCs/>
          <w:shd w:val="clear" w:color="auto" w:fill="FFFFFF"/>
        </w:rPr>
        <w:t xml:space="preserve"> and open </w:t>
      </w:r>
      <w:r w:rsidR="003B4F8D" w:rsidRPr="00BF6F6A">
        <w:rPr>
          <w:i/>
          <w:iCs/>
          <w:shd w:val="clear" w:color="auto" w:fill="FFFFFF"/>
        </w:rPr>
        <w:t>[their]</w:t>
      </w:r>
      <w:r w:rsidR="00A739D5" w:rsidRPr="00BF6F6A">
        <w:rPr>
          <w:i/>
          <w:iCs/>
          <w:shd w:val="clear" w:color="auto" w:fill="FFFFFF"/>
        </w:rPr>
        <w:t xml:space="preserve"> mind to further improvement </w:t>
      </w:r>
      <w:r w:rsidR="003B4F8D" w:rsidRPr="00BF6F6A">
        <w:rPr>
          <w:i/>
          <w:iCs/>
          <w:shd w:val="clear" w:color="auto" w:fill="FFFFFF"/>
        </w:rPr>
        <w:t>[they]</w:t>
      </w:r>
      <w:r w:rsidR="00A739D5" w:rsidRPr="00BF6F6A">
        <w:rPr>
          <w:i/>
          <w:iCs/>
          <w:shd w:val="clear" w:color="auto" w:fill="FFFFFF"/>
        </w:rPr>
        <w:t xml:space="preserve"> could make”</w:t>
      </w:r>
      <w:r w:rsidR="001D23D3" w:rsidRPr="00BF6F6A">
        <w:rPr>
          <w:shd w:val="clear" w:color="auto" w:fill="FFFFFF"/>
        </w:rPr>
        <w:t xml:space="preserve"> </w:t>
      </w:r>
      <w:r w:rsidR="005E0CFB" w:rsidRPr="00BF6F6A">
        <w:rPr>
          <w:shd w:val="clear" w:color="auto" w:fill="FFFFFF"/>
        </w:rPr>
        <w:t xml:space="preserve">(P6). </w:t>
      </w:r>
      <w:r w:rsidR="001D23D3" w:rsidRPr="00BF6F6A">
        <w:rPr>
          <w:shd w:val="clear" w:color="auto" w:fill="FFFFFF"/>
        </w:rPr>
        <w:t xml:space="preserve">Another benefit </w:t>
      </w:r>
      <w:r w:rsidR="00EB1C57">
        <w:rPr>
          <w:shd w:val="clear" w:color="auto" w:fill="FFFFFF"/>
        </w:rPr>
        <w:t>was</w:t>
      </w:r>
      <w:r w:rsidR="003B4F8D" w:rsidRPr="00BF6F6A">
        <w:rPr>
          <w:shd w:val="clear" w:color="auto" w:fill="FFFFFF"/>
        </w:rPr>
        <w:t xml:space="preserve"> that GRESB can </w:t>
      </w:r>
      <w:r w:rsidR="00BE553E" w:rsidRPr="00BF6F6A">
        <w:rPr>
          <w:shd w:val="clear" w:color="auto" w:fill="FFFFFF"/>
        </w:rPr>
        <w:t>spot market trends</w:t>
      </w:r>
      <w:r w:rsidR="003B4F8D" w:rsidRPr="00BF6F6A">
        <w:rPr>
          <w:shd w:val="clear" w:color="auto" w:fill="FFFFFF"/>
        </w:rPr>
        <w:t xml:space="preserve"> and</w:t>
      </w:r>
      <w:r w:rsidR="00D6253A" w:rsidRPr="00BF6F6A">
        <w:rPr>
          <w:i/>
          <w:iCs/>
          <w:shd w:val="clear" w:color="auto" w:fill="FFFFFF"/>
        </w:rPr>
        <w:t xml:space="preserve"> “if GRESB </w:t>
      </w:r>
      <w:r w:rsidR="003B4F8D" w:rsidRPr="00BF6F6A">
        <w:rPr>
          <w:i/>
          <w:iCs/>
          <w:shd w:val="clear" w:color="auto" w:fill="FFFFFF"/>
        </w:rPr>
        <w:t>[</w:t>
      </w:r>
      <w:r w:rsidR="00D6253A" w:rsidRPr="00BF6F6A">
        <w:rPr>
          <w:i/>
          <w:iCs/>
          <w:shd w:val="clear" w:color="auto" w:fill="FFFFFF"/>
        </w:rPr>
        <w:t>start</w:t>
      </w:r>
      <w:r w:rsidR="003B4F8D" w:rsidRPr="00BF6F6A">
        <w:rPr>
          <w:i/>
          <w:iCs/>
          <w:shd w:val="clear" w:color="auto" w:fill="FFFFFF"/>
        </w:rPr>
        <w:t>s]</w:t>
      </w:r>
      <w:r w:rsidR="005E0CFB" w:rsidRPr="00BF6F6A">
        <w:rPr>
          <w:i/>
          <w:iCs/>
          <w:shd w:val="clear" w:color="auto" w:fill="FFFFFF"/>
        </w:rPr>
        <w:t xml:space="preserve"> </w:t>
      </w:r>
      <w:r w:rsidR="00D6253A" w:rsidRPr="00BF6F6A">
        <w:rPr>
          <w:i/>
          <w:iCs/>
          <w:shd w:val="clear" w:color="auto" w:fill="FFFFFF"/>
        </w:rPr>
        <w:t>to talk about it</w:t>
      </w:r>
      <w:r w:rsidR="003B4F8D" w:rsidRPr="00BF6F6A">
        <w:rPr>
          <w:i/>
          <w:iCs/>
          <w:shd w:val="clear" w:color="auto" w:fill="FFFFFF"/>
        </w:rPr>
        <w:t xml:space="preserve"> and </w:t>
      </w:r>
      <w:r w:rsidR="00D6253A" w:rsidRPr="00BF6F6A">
        <w:rPr>
          <w:i/>
          <w:iCs/>
          <w:shd w:val="clear" w:color="auto" w:fill="FFFFFF"/>
        </w:rPr>
        <w:t>integrate it</w:t>
      </w:r>
      <w:r w:rsidR="00064896" w:rsidRPr="00BF6F6A">
        <w:rPr>
          <w:i/>
          <w:iCs/>
          <w:shd w:val="clear" w:color="auto" w:fill="FFFFFF"/>
        </w:rPr>
        <w:t>, then</w:t>
      </w:r>
      <w:r w:rsidR="00D6253A" w:rsidRPr="00BF6F6A">
        <w:rPr>
          <w:i/>
          <w:iCs/>
          <w:shd w:val="clear" w:color="auto" w:fill="FFFFFF"/>
        </w:rPr>
        <w:t xml:space="preserve"> </w:t>
      </w:r>
      <w:r w:rsidR="003B4F8D" w:rsidRPr="00BF6F6A">
        <w:rPr>
          <w:i/>
          <w:iCs/>
          <w:shd w:val="clear" w:color="auto" w:fill="FFFFFF"/>
        </w:rPr>
        <w:t>[it will become]</w:t>
      </w:r>
      <w:r w:rsidR="00D6253A" w:rsidRPr="00BF6F6A">
        <w:rPr>
          <w:i/>
          <w:iCs/>
          <w:shd w:val="clear" w:color="auto" w:fill="FFFFFF"/>
        </w:rPr>
        <w:t xml:space="preserve"> important to the investors”</w:t>
      </w:r>
      <w:r w:rsidR="005E0CFB" w:rsidRPr="00BF6F6A">
        <w:rPr>
          <w:shd w:val="clear" w:color="auto" w:fill="FFFFFF"/>
        </w:rPr>
        <w:t xml:space="preserve"> (P3).</w:t>
      </w:r>
    </w:p>
    <w:p w14:paraId="51D5A384" w14:textId="4E2C691F" w:rsidR="00802D5F" w:rsidRPr="00BF6F6A" w:rsidRDefault="003B4F8D" w:rsidP="00945055">
      <w:pPr>
        <w:ind w:firstLine="720"/>
        <w:jc w:val="both"/>
        <w:rPr>
          <w:i/>
          <w:iCs/>
          <w:shd w:val="clear" w:color="auto" w:fill="FFFFFF"/>
        </w:rPr>
      </w:pPr>
      <w:r w:rsidRPr="00BF6F6A">
        <w:rPr>
          <w:shd w:val="clear" w:color="auto" w:fill="FFFFFF"/>
        </w:rPr>
        <w:t>Most p</w:t>
      </w:r>
      <w:r w:rsidR="007842C8" w:rsidRPr="00BF6F6A">
        <w:rPr>
          <w:shd w:val="clear" w:color="auto" w:fill="FFFFFF"/>
        </w:rPr>
        <w:t>articipants agreed</w:t>
      </w:r>
      <w:r w:rsidR="00846AD6" w:rsidRPr="00BF6F6A">
        <w:rPr>
          <w:shd w:val="clear" w:color="auto" w:fill="FFFFFF"/>
        </w:rPr>
        <w:t xml:space="preserve"> that </w:t>
      </w:r>
      <w:r w:rsidR="00C86FF9" w:rsidRPr="00BF6F6A">
        <w:rPr>
          <w:shd w:val="clear" w:color="auto" w:fill="FFFFFF"/>
        </w:rPr>
        <w:t xml:space="preserve">GRESB has become </w:t>
      </w:r>
      <w:r w:rsidR="007842C8" w:rsidRPr="00BF6F6A">
        <w:rPr>
          <w:shd w:val="clear" w:color="auto" w:fill="FFFFFF"/>
        </w:rPr>
        <w:t xml:space="preserve">a global </w:t>
      </w:r>
      <w:r w:rsidR="00C86FF9" w:rsidRPr="00BF6F6A">
        <w:rPr>
          <w:shd w:val="clear" w:color="auto" w:fill="FFFFFF"/>
        </w:rPr>
        <w:t>real asset industry standard for ESG reporting</w:t>
      </w:r>
      <w:r w:rsidR="007842C8" w:rsidRPr="00BF6F6A">
        <w:rPr>
          <w:shd w:val="clear" w:color="auto" w:fill="FFFFFF"/>
        </w:rPr>
        <w:t xml:space="preserve"> as </w:t>
      </w:r>
      <w:r w:rsidRPr="00BF6F6A">
        <w:rPr>
          <w:shd w:val="clear" w:color="auto" w:fill="FFFFFF"/>
        </w:rPr>
        <w:t>it</w:t>
      </w:r>
      <w:r w:rsidR="00D70E08" w:rsidRPr="00BF6F6A">
        <w:rPr>
          <w:shd w:val="clear" w:color="auto" w:fill="FFFFFF"/>
        </w:rPr>
        <w:t xml:space="preserve"> has</w:t>
      </w:r>
      <w:r w:rsidRPr="00BF6F6A">
        <w:rPr>
          <w:i/>
          <w:iCs/>
          <w:shd w:val="clear" w:color="auto" w:fill="FFFFFF"/>
        </w:rPr>
        <w:t xml:space="preserve"> “helped</w:t>
      </w:r>
      <w:r w:rsidR="00C86FF9" w:rsidRPr="00BF6F6A">
        <w:rPr>
          <w:i/>
          <w:iCs/>
          <w:shd w:val="clear" w:color="auto" w:fill="FFFFFF"/>
        </w:rPr>
        <w:t xml:space="preserve"> move the industry towards being more sustainable”</w:t>
      </w:r>
      <w:r w:rsidR="007842C8" w:rsidRPr="00BF6F6A">
        <w:rPr>
          <w:shd w:val="clear" w:color="auto" w:fill="FFFFFF"/>
        </w:rPr>
        <w:t xml:space="preserve"> </w:t>
      </w:r>
      <w:r w:rsidR="005E0CFB" w:rsidRPr="00BF6F6A">
        <w:rPr>
          <w:shd w:val="clear" w:color="auto" w:fill="FFFFFF"/>
        </w:rPr>
        <w:t xml:space="preserve">(P2) </w:t>
      </w:r>
      <w:r w:rsidR="00EB1C57">
        <w:rPr>
          <w:shd w:val="clear" w:color="auto" w:fill="FFFFFF"/>
        </w:rPr>
        <w:t xml:space="preserve">because of </w:t>
      </w:r>
      <w:r w:rsidR="007842C8" w:rsidRPr="00BF6F6A">
        <w:rPr>
          <w:shd w:val="clear" w:color="auto" w:fill="FFFFFF"/>
        </w:rPr>
        <w:t xml:space="preserve">its </w:t>
      </w:r>
      <w:r w:rsidR="007842C8" w:rsidRPr="00BF6F6A">
        <w:rPr>
          <w:i/>
          <w:iCs/>
          <w:shd w:val="clear" w:color="auto" w:fill="FFFFFF"/>
        </w:rPr>
        <w:t>“market recognition, longevity and being consistent”</w:t>
      </w:r>
      <w:r w:rsidR="00C86FF9" w:rsidRPr="00BF6F6A">
        <w:rPr>
          <w:shd w:val="clear" w:color="auto" w:fill="FFFFFF"/>
        </w:rPr>
        <w:t xml:space="preserve"> </w:t>
      </w:r>
      <w:r w:rsidR="005E0CFB" w:rsidRPr="00BF6F6A">
        <w:rPr>
          <w:shd w:val="clear" w:color="auto" w:fill="FFFFFF"/>
        </w:rPr>
        <w:t xml:space="preserve">(P7). </w:t>
      </w:r>
      <w:r w:rsidR="007842C8" w:rsidRPr="00BF6F6A">
        <w:rPr>
          <w:shd w:val="clear" w:color="auto" w:fill="FFFFFF"/>
        </w:rPr>
        <w:t>Ultimately, t</w:t>
      </w:r>
      <w:r w:rsidR="0071790E" w:rsidRPr="00BF6F6A">
        <w:rPr>
          <w:shd w:val="clear" w:color="auto" w:fill="FFFFFF"/>
        </w:rPr>
        <w:t xml:space="preserve">he </w:t>
      </w:r>
      <w:r w:rsidR="00846AD6" w:rsidRPr="00BF6F6A">
        <w:rPr>
          <w:shd w:val="clear" w:color="auto" w:fill="FFFFFF"/>
        </w:rPr>
        <w:t xml:space="preserve">high </w:t>
      </w:r>
      <w:r w:rsidR="0071790E" w:rsidRPr="00BF6F6A">
        <w:rPr>
          <w:shd w:val="clear" w:color="auto" w:fill="FFFFFF"/>
        </w:rPr>
        <w:t>number</w:t>
      </w:r>
      <w:r w:rsidR="001B683E" w:rsidRPr="00BF6F6A">
        <w:rPr>
          <w:shd w:val="clear" w:color="auto" w:fill="FFFFFF"/>
        </w:rPr>
        <w:t xml:space="preserve"> of participants</w:t>
      </w:r>
      <w:r w:rsidR="001B683E" w:rsidRPr="00BF6F6A">
        <w:rPr>
          <w:i/>
          <w:iCs/>
          <w:shd w:val="clear" w:color="auto" w:fill="FFFFFF"/>
        </w:rPr>
        <w:t xml:space="preserve"> </w:t>
      </w:r>
      <w:r w:rsidR="0071790E" w:rsidRPr="00BF6F6A">
        <w:rPr>
          <w:i/>
          <w:iCs/>
          <w:shd w:val="clear" w:color="auto" w:fill="FFFFFF"/>
        </w:rPr>
        <w:t>“</w:t>
      </w:r>
      <w:r w:rsidR="001B683E" w:rsidRPr="00BF6F6A">
        <w:rPr>
          <w:i/>
          <w:iCs/>
          <w:shd w:val="clear" w:color="auto" w:fill="FFFFFF"/>
        </w:rPr>
        <w:t>makes it a worthwhile</w:t>
      </w:r>
      <w:r w:rsidR="0071790E" w:rsidRPr="00BF6F6A">
        <w:rPr>
          <w:i/>
          <w:iCs/>
          <w:shd w:val="clear" w:color="auto" w:fill="FFFFFF"/>
        </w:rPr>
        <w:t xml:space="preserve"> benchmark</w:t>
      </w:r>
      <w:r w:rsidR="001B683E" w:rsidRPr="00BF6F6A">
        <w:rPr>
          <w:i/>
          <w:iCs/>
          <w:shd w:val="clear" w:color="auto" w:fill="FFFFFF"/>
        </w:rPr>
        <w:t xml:space="preserve"> because it is easier to compare against peers”</w:t>
      </w:r>
      <w:r w:rsidR="007264B7" w:rsidRPr="00BF6F6A">
        <w:rPr>
          <w:shd w:val="clear" w:color="auto" w:fill="FFFFFF"/>
        </w:rPr>
        <w:t xml:space="preserve"> </w:t>
      </w:r>
      <w:r w:rsidR="005E0CFB" w:rsidRPr="00BF6F6A">
        <w:rPr>
          <w:shd w:val="clear" w:color="auto" w:fill="FFFFFF"/>
        </w:rPr>
        <w:t xml:space="preserve">(P6). </w:t>
      </w:r>
      <w:r w:rsidRPr="00BF6F6A">
        <w:rPr>
          <w:shd w:val="clear" w:color="auto" w:fill="FFFFFF"/>
        </w:rPr>
        <w:t xml:space="preserve">Another key observation was that </w:t>
      </w:r>
      <w:r w:rsidR="00AB2C30" w:rsidRPr="00BF6F6A">
        <w:rPr>
          <w:shd w:val="clear" w:color="auto" w:fill="FFFFFF"/>
        </w:rPr>
        <w:t xml:space="preserve">GRESB successfully brings together </w:t>
      </w:r>
      <w:r w:rsidR="006339D5" w:rsidRPr="00BF6F6A">
        <w:rPr>
          <w:shd w:val="clear" w:color="auto" w:fill="FFFFFF"/>
        </w:rPr>
        <w:t>ESG</w:t>
      </w:r>
      <w:r w:rsidR="00AB2C30" w:rsidRPr="00BF6F6A">
        <w:rPr>
          <w:shd w:val="clear" w:color="auto" w:fill="FFFFFF"/>
        </w:rPr>
        <w:t xml:space="preserve"> components under one benchmark covering a </w:t>
      </w:r>
      <w:r w:rsidR="00AB2C30" w:rsidRPr="00BF6F6A">
        <w:rPr>
          <w:shd w:val="clear" w:color="auto" w:fill="FFFFFF"/>
        </w:rPr>
        <w:lastRenderedPageBreak/>
        <w:t xml:space="preserve">wide range of ESG matters. </w:t>
      </w:r>
      <w:r w:rsidRPr="00BF6F6A">
        <w:rPr>
          <w:shd w:val="clear" w:color="auto" w:fill="FFFFFF"/>
        </w:rPr>
        <w:t>Participants also</w:t>
      </w:r>
      <w:r w:rsidR="00AB2C30" w:rsidRPr="00BF6F6A">
        <w:rPr>
          <w:shd w:val="clear" w:color="auto" w:fill="FFFFFF"/>
        </w:rPr>
        <w:t xml:space="preserve"> </w:t>
      </w:r>
      <w:r w:rsidR="00DE20BC" w:rsidRPr="00BF6F6A">
        <w:rPr>
          <w:shd w:val="clear" w:color="auto" w:fill="FFFFFF"/>
        </w:rPr>
        <w:t xml:space="preserve">felt that performance analysis </w:t>
      </w:r>
      <w:r w:rsidR="007842C8" w:rsidRPr="00BF6F6A">
        <w:rPr>
          <w:shd w:val="clear" w:color="auto" w:fill="FFFFFF"/>
        </w:rPr>
        <w:t xml:space="preserve">while </w:t>
      </w:r>
      <w:r w:rsidR="00DE20BC" w:rsidRPr="00BF6F6A">
        <w:rPr>
          <w:shd w:val="clear" w:color="auto" w:fill="FFFFFF"/>
        </w:rPr>
        <w:t>evolving</w:t>
      </w:r>
      <w:r w:rsidR="007842C8" w:rsidRPr="00BF6F6A">
        <w:rPr>
          <w:shd w:val="clear" w:color="auto" w:fill="FFFFFF"/>
        </w:rPr>
        <w:t>,</w:t>
      </w:r>
      <w:r w:rsidR="00DE20BC" w:rsidRPr="00BF6F6A">
        <w:rPr>
          <w:shd w:val="clear" w:color="auto" w:fill="FFFFFF"/>
        </w:rPr>
        <w:t xml:space="preserve"> </w:t>
      </w:r>
      <w:r w:rsidRPr="00BF6F6A">
        <w:rPr>
          <w:shd w:val="clear" w:color="auto" w:fill="FFFFFF"/>
        </w:rPr>
        <w:t xml:space="preserve">has been </w:t>
      </w:r>
      <w:r w:rsidR="00DE20BC" w:rsidRPr="00BF6F6A">
        <w:rPr>
          <w:shd w:val="clear" w:color="auto" w:fill="FFFFFF"/>
        </w:rPr>
        <w:t>very useful</w:t>
      </w:r>
      <w:r w:rsidRPr="00BF6F6A">
        <w:rPr>
          <w:shd w:val="clear" w:color="auto" w:fill="FFFFFF"/>
        </w:rPr>
        <w:t xml:space="preserve"> even though</w:t>
      </w:r>
      <w:r w:rsidRPr="00BF6F6A">
        <w:rPr>
          <w:i/>
          <w:iCs/>
          <w:shd w:val="clear" w:color="auto" w:fill="FFFFFF"/>
        </w:rPr>
        <w:t xml:space="preserve"> GRESB “</w:t>
      </w:r>
      <w:r w:rsidR="00DE20BC" w:rsidRPr="00BF6F6A">
        <w:rPr>
          <w:i/>
          <w:iCs/>
          <w:shd w:val="clear" w:color="auto" w:fill="FFFFFF"/>
        </w:rPr>
        <w:t xml:space="preserve">just </w:t>
      </w:r>
      <w:bookmarkStart w:id="31" w:name="_Hlk171011675"/>
      <w:r w:rsidR="00DE20BC" w:rsidRPr="00BF6F6A">
        <w:rPr>
          <w:i/>
          <w:iCs/>
          <w:shd w:val="clear" w:color="auto" w:fill="FFFFFF"/>
        </w:rPr>
        <w:t xml:space="preserve">brought in asset </w:t>
      </w:r>
      <w:bookmarkEnd w:id="31"/>
      <w:r w:rsidR="00DE20BC" w:rsidRPr="00BF6F6A">
        <w:rPr>
          <w:i/>
          <w:iCs/>
          <w:shd w:val="clear" w:color="auto" w:fill="FFFFFF"/>
        </w:rPr>
        <w:t>level performance data in the last couple of years, previously it was just portfolio level”</w:t>
      </w:r>
      <w:r w:rsidR="005E0CFB" w:rsidRPr="00BF6F6A">
        <w:rPr>
          <w:shd w:val="clear" w:color="auto" w:fill="FFFFFF"/>
        </w:rPr>
        <w:t xml:space="preserve"> (P4).</w:t>
      </w:r>
      <w:r w:rsidR="003C543E" w:rsidRPr="00BF6F6A">
        <w:rPr>
          <w:i/>
          <w:iCs/>
          <w:shd w:val="clear" w:color="auto" w:fill="FFFFFF"/>
        </w:rPr>
        <w:t xml:space="preserve"> </w:t>
      </w:r>
      <w:r w:rsidR="003C543E" w:rsidRPr="00BF6F6A">
        <w:rPr>
          <w:shd w:val="clear" w:color="auto" w:fill="FFFFFF"/>
        </w:rPr>
        <w:t>Finally, participant</w:t>
      </w:r>
      <w:r w:rsidRPr="00BF6F6A">
        <w:rPr>
          <w:shd w:val="clear" w:color="auto" w:fill="FFFFFF"/>
        </w:rPr>
        <w:t>s</w:t>
      </w:r>
      <w:r w:rsidR="003C543E" w:rsidRPr="00BF6F6A">
        <w:rPr>
          <w:shd w:val="clear" w:color="auto" w:fill="FFFFFF"/>
        </w:rPr>
        <w:t xml:space="preserve"> </w:t>
      </w:r>
      <w:r w:rsidR="00EB1C57">
        <w:rPr>
          <w:shd w:val="clear" w:color="auto" w:fill="FFFFFF"/>
        </w:rPr>
        <w:t>felt</w:t>
      </w:r>
      <w:r w:rsidRPr="00BF6F6A">
        <w:rPr>
          <w:shd w:val="clear" w:color="auto" w:fill="FFFFFF"/>
        </w:rPr>
        <w:t xml:space="preserve"> that</w:t>
      </w:r>
      <w:r w:rsidR="003C543E" w:rsidRPr="00BF6F6A">
        <w:rPr>
          <w:shd w:val="clear" w:color="auto" w:fill="FFFFFF"/>
        </w:rPr>
        <w:t xml:space="preserve"> </w:t>
      </w:r>
      <w:r w:rsidR="005E0CFB" w:rsidRPr="00BF6F6A">
        <w:rPr>
          <w:i/>
          <w:iCs/>
          <w:shd w:val="clear" w:color="auto" w:fill="FFFFFF"/>
        </w:rPr>
        <w:t>“</w:t>
      </w:r>
      <w:r w:rsidRPr="00BF6F6A">
        <w:rPr>
          <w:i/>
          <w:iCs/>
          <w:shd w:val="clear" w:color="auto" w:fill="FFFFFF"/>
        </w:rPr>
        <w:t>GRES</w:t>
      </w:r>
      <w:r w:rsidR="005F6619">
        <w:rPr>
          <w:i/>
          <w:iCs/>
          <w:shd w:val="clear" w:color="auto" w:fill="FFFFFF"/>
        </w:rPr>
        <w:t>B</w:t>
      </w:r>
      <w:r w:rsidR="003C543E" w:rsidRPr="00BF6F6A">
        <w:rPr>
          <w:i/>
          <w:iCs/>
          <w:shd w:val="clear" w:color="auto" w:fill="FFFFFF"/>
        </w:rPr>
        <w:t xml:space="preserve"> customer service help</w:t>
      </w:r>
      <w:r w:rsidRPr="00BF6F6A">
        <w:rPr>
          <w:i/>
          <w:iCs/>
          <w:shd w:val="clear" w:color="auto" w:fill="FFFFFF"/>
        </w:rPr>
        <w:t>ed them</w:t>
      </w:r>
      <w:r w:rsidR="003C543E" w:rsidRPr="00BF6F6A">
        <w:rPr>
          <w:i/>
          <w:iCs/>
          <w:shd w:val="clear" w:color="auto" w:fill="FFFFFF"/>
        </w:rPr>
        <w:t xml:space="preserve"> get to the point of submission</w:t>
      </w:r>
      <w:r w:rsidRPr="00BF6F6A">
        <w:rPr>
          <w:i/>
          <w:iCs/>
          <w:shd w:val="clear" w:color="auto" w:fill="FFFFFF"/>
        </w:rPr>
        <w:t xml:space="preserve"> </w:t>
      </w:r>
      <w:r w:rsidR="00E36F51">
        <w:rPr>
          <w:i/>
          <w:iCs/>
          <w:shd w:val="clear" w:color="auto" w:fill="FFFFFF"/>
        </w:rPr>
        <w:t xml:space="preserve">and </w:t>
      </w:r>
      <w:r w:rsidR="00E36F51" w:rsidRPr="00BF6F6A">
        <w:rPr>
          <w:i/>
          <w:iCs/>
          <w:shd w:val="clear" w:color="auto" w:fill="FFFFFF"/>
        </w:rPr>
        <w:t>has</w:t>
      </w:r>
      <w:r w:rsidRPr="00BF6F6A">
        <w:rPr>
          <w:i/>
          <w:iCs/>
          <w:shd w:val="clear" w:color="auto" w:fill="FFFFFF"/>
        </w:rPr>
        <w:t xml:space="preserve"> </w:t>
      </w:r>
      <w:r w:rsidR="005C7EDC" w:rsidRPr="00BF6F6A">
        <w:rPr>
          <w:i/>
          <w:iCs/>
          <w:shd w:val="clear" w:color="auto" w:fill="FFFFFF"/>
        </w:rPr>
        <w:t>been</w:t>
      </w:r>
      <w:r w:rsidR="003C543E" w:rsidRPr="00BF6F6A">
        <w:rPr>
          <w:i/>
          <w:iCs/>
          <w:shd w:val="clear" w:color="auto" w:fill="FFFFFF"/>
        </w:rPr>
        <w:t xml:space="preserve"> helpful when</w:t>
      </w:r>
      <w:r w:rsidRPr="00BF6F6A">
        <w:rPr>
          <w:i/>
          <w:iCs/>
          <w:shd w:val="clear" w:color="auto" w:fill="FFFFFF"/>
        </w:rPr>
        <w:t xml:space="preserve"> [they </w:t>
      </w:r>
      <w:r w:rsidR="003C543E" w:rsidRPr="00BF6F6A">
        <w:rPr>
          <w:i/>
          <w:iCs/>
          <w:shd w:val="clear" w:color="auto" w:fill="FFFFFF"/>
        </w:rPr>
        <w:t>ha</w:t>
      </w:r>
      <w:r w:rsidRPr="00BF6F6A">
        <w:rPr>
          <w:i/>
          <w:iCs/>
          <w:shd w:val="clear" w:color="auto" w:fill="FFFFFF"/>
        </w:rPr>
        <w:t>d]</w:t>
      </w:r>
      <w:r w:rsidR="003C543E" w:rsidRPr="00BF6F6A">
        <w:rPr>
          <w:i/>
          <w:iCs/>
          <w:shd w:val="clear" w:color="auto" w:fill="FFFFFF"/>
        </w:rPr>
        <w:t xml:space="preserve"> questions</w:t>
      </w:r>
      <w:r w:rsidR="005E0CFB" w:rsidRPr="00BF6F6A">
        <w:rPr>
          <w:i/>
          <w:iCs/>
          <w:shd w:val="clear" w:color="auto" w:fill="FFFFFF"/>
        </w:rPr>
        <w:t xml:space="preserve">” </w:t>
      </w:r>
      <w:r w:rsidR="005E0CFB" w:rsidRPr="00BF6F6A">
        <w:rPr>
          <w:shd w:val="clear" w:color="auto" w:fill="FFFFFF"/>
        </w:rPr>
        <w:t>(P5)</w:t>
      </w:r>
      <w:r w:rsidR="003C543E" w:rsidRPr="00BF6F6A">
        <w:rPr>
          <w:i/>
          <w:iCs/>
          <w:shd w:val="clear" w:color="auto" w:fill="FFFFFF"/>
        </w:rPr>
        <w:t>.</w:t>
      </w:r>
    </w:p>
    <w:p w14:paraId="4E25420A" w14:textId="77777777" w:rsidR="00420ACC" w:rsidRPr="00BF6F6A" w:rsidRDefault="00420ACC" w:rsidP="003B4F8D">
      <w:pPr>
        <w:jc w:val="both"/>
        <w:rPr>
          <w:shd w:val="clear" w:color="auto" w:fill="FFFFFF"/>
        </w:rPr>
      </w:pPr>
    </w:p>
    <w:p w14:paraId="76FB203E" w14:textId="3D560211" w:rsidR="00741228" w:rsidRPr="00BF6F6A" w:rsidRDefault="00154A44" w:rsidP="003B4F8D">
      <w:pPr>
        <w:pStyle w:val="Heading3"/>
        <w:numPr>
          <w:ilvl w:val="0"/>
          <w:numId w:val="0"/>
        </w:numPr>
        <w:spacing w:before="0" w:after="0"/>
        <w:rPr>
          <w:rFonts w:cs="Times New Roman"/>
          <w:u w:val="none"/>
          <w:shd w:val="clear" w:color="auto" w:fill="FFFFFF"/>
        </w:rPr>
      </w:pPr>
      <w:bookmarkStart w:id="32" w:name="_Toc99882249"/>
      <w:r w:rsidRPr="00BF6F6A">
        <w:rPr>
          <w:rFonts w:cs="Times New Roman"/>
          <w:u w:val="none"/>
          <w:shd w:val="clear" w:color="auto" w:fill="FFFFFF"/>
        </w:rPr>
        <w:t xml:space="preserve">GRESB </w:t>
      </w:r>
      <w:r w:rsidR="00FE48E5" w:rsidRPr="00BF6F6A">
        <w:rPr>
          <w:rFonts w:cs="Times New Roman"/>
          <w:u w:val="none"/>
          <w:shd w:val="clear" w:color="auto" w:fill="FFFFFF"/>
        </w:rPr>
        <w:t>c</w:t>
      </w:r>
      <w:r w:rsidR="00776303" w:rsidRPr="00BF6F6A">
        <w:rPr>
          <w:rFonts w:cs="Times New Roman"/>
          <w:u w:val="none"/>
          <w:shd w:val="clear" w:color="auto" w:fill="FFFFFF"/>
        </w:rPr>
        <w:t>hallenges</w:t>
      </w:r>
      <w:bookmarkEnd w:id="32"/>
    </w:p>
    <w:p w14:paraId="0753CEA2" w14:textId="17605BC8" w:rsidR="00935ED7" w:rsidRPr="00BF6F6A" w:rsidRDefault="0006407A" w:rsidP="003B4F8D">
      <w:pPr>
        <w:jc w:val="both"/>
        <w:rPr>
          <w:shd w:val="clear" w:color="auto" w:fill="FFFFFF"/>
        </w:rPr>
      </w:pPr>
      <w:r w:rsidRPr="00BF6F6A">
        <w:rPr>
          <w:shd w:val="clear" w:color="auto" w:fill="FFFFFF"/>
        </w:rPr>
        <w:t xml:space="preserve">The main challenges to </w:t>
      </w:r>
      <w:r w:rsidR="00CA73F4" w:rsidRPr="00BF6F6A">
        <w:rPr>
          <w:shd w:val="clear" w:color="auto" w:fill="FFFFFF"/>
        </w:rPr>
        <w:t>GRESB’s</w:t>
      </w:r>
      <w:r w:rsidR="00E4340F" w:rsidRPr="00BF6F6A">
        <w:rPr>
          <w:shd w:val="clear" w:color="auto" w:fill="FFFFFF"/>
        </w:rPr>
        <w:t xml:space="preserve"> </w:t>
      </w:r>
      <w:r w:rsidRPr="00BF6F6A">
        <w:rPr>
          <w:shd w:val="clear" w:color="auto" w:fill="FFFFFF"/>
        </w:rPr>
        <w:t>implementation include</w:t>
      </w:r>
      <w:r w:rsidR="00364979" w:rsidRPr="00BF6F6A">
        <w:rPr>
          <w:shd w:val="clear" w:color="auto" w:fill="FFFFFF"/>
        </w:rPr>
        <w:t>:</w:t>
      </w:r>
      <w:r w:rsidRPr="00BF6F6A">
        <w:rPr>
          <w:shd w:val="clear" w:color="auto" w:fill="FFFFFF"/>
        </w:rPr>
        <w:t xml:space="preserve"> (1) d</w:t>
      </w:r>
      <w:r w:rsidR="00B2275D" w:rsidRPr="00BF6F6A">
        <w:rPr>
          <w:shd w:val="clear" w:color="auto" w:fill="FFFFFF"/>
        </w:rPr>
        <w:t xml:space="preserve">ata </w:t>
      </w:r>
      <w:r w:rsidRPr="00BF6F6A">
        <w:rPr>
          <w:shd w:val="clear" w:color="auto" w:fill="FFFFFF"/>
        </w:rPr>
        <w:t>c</w:t>
      </w:r>
      <w:r w:rsidR="00B2275D" w:rsidRPr="00BF6F6A">
        <w:rPr>
          <w:shd w:val="clear" w:color="auto" w:fill="FFFFFF"/>
        </w:rPr>
        <w:t>ollection</w:t>
      </w:r>
      <w:r w:rsidRPr="00BF6F6A">
        <w:rPr>
          <w:shd w:val="clear" w:color="auto" w:fill="FFFFFF"/>
        </w:rPr>
        <w:t>; (2) effort (labour</w:t>
      </w:r>
      <w:r w:rsidR="00CA73F4" w:rsidRPr="00BF6F6A">
        <w:rPr>
          <w:shd w:val="clear" w:color="auto" w:fill="FFFFFF"/>
        </w:rPr>
        <w:t xml:space="preserve"> </w:t>
      </w:r>
      <w:r w:rsidRPr="00BF6F6A">
        <w:rPr>
          <w:shd w:val="clear" w:color="auto" w:fill="FFFFFF"/>
        </w:rPr>
        <w:t>intensity and time</w:t>
      </w:r>
      <w:r w:rsidR="00B644FF" w:rsidRPr="00BF6F6A">
        <w:rPr>
          <w:shd w:val="clear" w:color="auto" w:fill="FFFFFF"/>
        </w:rPr>
        <w:t>)</w:t>
      </w:r>
      <w:r w:rsidRPr="00BF6F6A">
        <w:rPr>
          <w:shd w:val="clear" w:color="auto" w:fill="FFFFFF"/>
        </w:rPr>
        <w:t>; (3) peer grouping and peer comparison; and (4) translation of documentation.</w:t>
      </w:r>
      <w:r w:rsidR="00E4340F" w:rsidRPr="00BF6F6A">
        <w:rPr>
          <w:shd w:val="clear" w:color="auto" w:fill="FFFFFF"/>
        </w:rPr>
        <w:t xml:space="preserve"> </w:t>
      </w:r>
      <w:r w:rsidR="004873AF" w:rsidRPr="00BF6F6A">
        <w:rPr>
          <w:shd w:val="clear" w:color="auto" w:fill="FFFFFF"/>
        </w:rPr>
        <w:t xml:space="preserve">Four participants </w:t>
      </w:r>
      <w:r w:rsidR="007842C8" w:rsidRPr="00BF6F6A">
        <w:rPr>
          <w:shd w:val="clear" w:color="auto" w:fill="FFFFFF"/>
        </w:rPr>
        <w:t>saw</w:t>
      </w:r>
      <w:r w:rsidR="004873AF" w:rsidRPr="00BF6F6A">
        <w:rPr>
          <w:shd w:val="clear" w:color="auto" w:fill="FFFFFF"/>
        </w:rPr>
        <w:t xml:space="preserve"> </w:t>
      </w:r>
      <w:r w:rsidRPr="00BF6F6A">
        <w:rPr>
          <w:shd w:val="clear" w:color="auto" w:fill="FFFFFF"/>
        </w:rPr>
        <w:t xml:space="preserve">data collection </w:t>
      </w:r>
      <w:r w:rsidR="007842C8" w:rsidRPr="00BF6F6A">
        <w:rPr>
          <w:shd w:val="clear" w:color="auto" w:fill="FFFFFF"/>
        </w:rPr>
        <w:t>as</w:t>
      </w:r>
      <w:r w:rsidRPr="00BF6F6A">
        <w:rPr>
          <w:shd w:val="clear" w:color="auto" w:fill="FFFFFF"/>
        </w:rPr>
        <w:t xml:space="preserve"> </w:t>
      </w:r>
      <w:r w:rsidR="004873AF" w:rsidRPr="00BF6F6A">
        <w:rPr>
          <w:shd w:val="clear" w:color="auto" w:fill="FFFFFF"/>
        </w:rPr>
        <w:t xml:space="preserve">the biggest challenge </w:t>
      </w:r>
      <w:r w:rsidRPr="00BF6F6A">
        <w:rPr>
          <w:shd w:val="clear" w:color="auto" w:fill="FFFFFF"/>
        </w:rPr>
        <w:t>for GRESB implementation</w:t>
      </w:r>
      <w:r w:rsidR="007842C8" w:rsidRPr="00BF6F6A">
        <w:rPr>
          <w:shd w:val="clear" w:color="auto" w:fill="FFFFFF"/>
        </w:rPr>
        <w:t xml:space="preserve">. </w:t>
      </w:r>
      <w:r w:rsidRPr="00BF6F6A">
        <w:rPr>
          <w:shd w:val="clear" w:color="auto" w:fill="FFFFFF"/>
        </w:rPr>
        <w:t>Another issue is the access to data especially when buildings</w:t>
      </w:r>
      <w:r w:rsidR="00A9390F" w:rsidRPr="00BF6F6A">
        <w:rPr>
          <w:shd w:val="clear" w:color="auto" w:fill="FFFFFF"/>
        </w:rPr>
        <w:t xml:space="preserve"> </w:t>
      </w:r>
      <w:r w:rsidR="004873AF" w:rsidRPr="00BF6F6A">
        <w:rPr>
          <w:shd w:val="clear" w:color="auto" w:fill="FFFFFF"/>
        </w:rPr>
        <w:t>are managed by tenants or a separate entity</w:t>
      </w:r>
      <w:r w:rsidR="00B92DC5">
        <w:rPr>
          <w:shd w:val="clear" w:color="auto" w:fill="FFFFFF"/>
        </w:rPr>
        <w:t>,</w:t>
      </w:r>
      <w:r w:rsidR="003B4F8D" w:rsidRPr="00BF6F6A">
        <w:rPr>
          <w:shd w:val="clear" w:color="auto" w:fill="FFFFFF"/>
        </w:rPr>
        <w:t xml:space="preserve"> </w:t>
      </w:r>
      <w:r w:rsidR="00D70E08" w:rsidRPr="00BF6F6A">
        <w:rPr>
          <w:shd w:val="clear" w:color="auto" w:fill="FFFFFF"/>
        </w:rPr>
        <w:t>particularly in relation to the</w:t>
      </w:r>
      <w:r w:rsidR="00480B8B" w:rsidRPr="00BF6F6A">
        <w:rPr>
          <w:shd w:val="clear" w:color="auto" w:fill="FFFFFF"/>
        </w:rPr>
        <w:t xml:space="preserve"> </w:t>
      </w:r>
      <w:r w:rsidR="004873AF" w:rsidRPr="00BF6F6A">
        <w:rPr>
          <w:shd w:val="clear" w:color="auto" w:fill="FFFFFF"/>
        </w:rPr>
        <w:t>environmental management system of the building</w:t>
      </w:r>
      <w:r w:rsidR="004873AF" w:rsidRPr="00BF6F6A">
        <w:rPr>
          <w:i/>
          <w:iCs/>
          <w:shd w:val="clear" w:color="auto" w:fill="FFFFFF"/>
        </w:rPr>
        <w:t>.</w:t>
      </w:r>
      <w:r w:rsidR="00F32147" w:rsidRPr="00BF6F6A">
        <w:rPr>
          <w:shd w:val="clear" w:color="auto" w:fill="FFFFFF"/>
        </w:rPr>
        <w:t xml:space="preserve"> </w:t>
      </w:r>
      <w:r w:rsidR="003B4F8D" w:rsidRPr="00BF6F6A">
        <w:rPr>
          <w:shd w:val="clear" w:color="auto" w:fill="FFFFFF"/>
        </w:rPr>
        <w:t>Overall, p</w:t>
      </w:r>
      <w:r w:rsidR="00B644FF" w:rsidRPr="00BF6F6A">
        <w:rPr>
          <w:shd w:val="clear" w:color="auto" w:fill="FFFFFF"/>
        </w:rPr>
        <w:t>articipant</w:t>
      </w:r>
      <w:r w:rsidR="00080BB3" w:rsidRPr="00BF6F6A">
        <w:rPr>
          <w:shd w:val="clear" w:color="auto" w:fill="FFFFFF"/>
        </w:rPr>
        <w:t xml:space="preserve">s </w:t>
      </w:r>
      <w:r w:rsidR="003B4F8D" w:rsidRPr="00BF6F6A">
        <w:rPr>
          <w:shd w:val="clear" w:color="auto" w:fill="FFFFFF"/>
        </w:rPr>
        <w:t xml:space="preserve">agreed that </w:t>
      </w:r>
      <w:r w:rsidR="00080BB3" w:rsidRPr="00BF6F6A">
        <w:rPr>
          <w:shd w:val="clear" w:color="auto" w:fill="FFFFFF"/>
        </w:rPr>
        <w:t xml:space="preserve">the </w:t>
      </w:r>
      <w:r w:rsidR="00C54216" w:rsidRPr="00BF6F6A">
        <w:rPr>
          <w:shd w:val="clear" w:color="auto" w:fill="FFFFFF"/>
        </w:rPr>
        <w:t xml:space="preserve">whole process </w:t>
      </w:r>
      <w:r w:rsidR="007842C8" w:rsidRPr="00BF6F6A">
        <w:rPr>
          <w:shd w:val="clear" w:color="auto" w:fill="FFFFFF"/>
        </w:rPr>
        <w:t xml:space="preserve">was </w:t>
      </w:r>
      <w:r w:rsidR="00CA73F4" w:rsidRPr="00BF6F6A">
        <w:rPr>
          <w:shd w:val="clear" w:color="auto" w:fill="FFFFFF"/>
        </w:rPr>
        <w:t>time-consuming</w:t>
      </w:r>
      <w:r w:rsidR="00770C19" w:rsidRPr="00BF6F6A">
        <w:rPr>
          <w:shd w:val="clear" w:color="auto" w:fill="FFFFFF"/>
        </w:rPr>
        <w:t xml:space="preserve"> </w:t>
      </w:r>
      <w:r w:rsidR="00C54216" w:rsidRPr="00BF6F6A">
        <w:rPr>
          <w:shd w:val="clear" w:color="auto" w:fill="FFFFFF"/>
        </w:rPr>
        <w:t xml:space="preserve">and </w:t>
      </w:r>
      <w:r w:rsidR="00CA73F4" w:rsidRPr="00BF6F6A">
        <w:rPr>
          <w:shd w:val="clear" w:color="auto" w:fill="FFFFFF"/>
        </w:rPr>
        <w:t>labour-intensive</w:t>
      </w:r>
      <w:r w:rsidR="003B4F8D" w:rsidRPr="00BF6F6A">
        <w:rPr>
          <w:shd w:val="clear" w:color="auto" w:fill="FFFFFF"/>
        </w:rPr>
        <w:t xml:space="preserve"> to the extent that one of the</w:t>
      </w:r>
      <w:r w:rsidR="00C54216" w:rsidRPr="00BF6F6A">
        <w:rPr>
          <w:shd w:val="clear" w:color="auto" w:fill="FFFFFF"/>
        </w:rPr>
        <w:t xml:space="preserve"> participant</w:t>
      </w:r>
      <w:r w:rsidR="003B4F8D" w:rsidRPr="00BF6F6A">
        <w:rPr>
          <w:shd w:val="clear" w:color="auto" w:fill="FFFFFF"/>
        </w:rPr>
        <w:t>s</w:t>
      </w:r>
      <w:r w:rsidR="00C54216" w:rsidRPr="00BF6F6A">
        <w:rPr>
          <w:shd w:val="clear" w:color="auto" w:fill="FFFFFF"/>
        </w:rPr>
        <w:t xml:space="preserve"> </w:t>
      </w:r>
      <w:r w:rsidR="00EB1C57">
        <w:rPr>
          <w:shd w:val="clear" w:color="auto" w:fill="FFFFFF"/>
        </w:rPr>
        <w:t xml:space="preserve">felt that </w:t>
      </w:r>
      <w:r w:rsidR="003B4F8D" w:rsidRPr="00BF6F6A">
        <w:rPr>
          <w:shd w:val="clear" w:color="auto" w:fill="FFFFFF"/>
        </w:rPr>
        <w:t>they ha</w:t>
      </w:r>
      <w:r w:rsidR="00B92DC5">
        <w:rPr>
          <w:shd w:val="clear" w:color="auto" w:fill="FFFFFF"/>
        </w:rPr>
        <w:t>d</w:t>
      </w:r>
      <w:r w:rsidR="00C54216" w:rsidRPr="00BF6F6A">
        <w:rPr>
          <w:shd w:val="clear" w:color="auto" w:fill="FFFFFF"/>
        </w:rPr>
        <w:t xml:space="preserve"> </w:t>
      </w:r>
      <w:r w:rsidR="00C54216" w:rsidRPr="00BF6F6A">
        <w:rPr>
          <w:i/>
          <w:iCs/>
          <w:shd w:val="clear" w:color="auto" w:fill="FFFFFF"/>
        </w:rPr>
        <w:t xml:space="preserve">“become a little sceptical about participating in GRESB and </w:t>
      </w:r>
      <w:r w:rsidR="003B4F8D" w:rsidRPr="00BF6F6A">
        <w:rPr>
          <w:i/>
          <w:iCs/>
          <w:shd w:val="clear" w:color="auto" w:fill="FFFFFF"/>
        </w:rPr>
        <w:t>[they]</w:t>
      </w:r>
      <w:r w:rsidR="00C54216" w:rsidRPr="00BF6F6A">
        <w:rPr>
          <w:i/>
          <w:iCs/>
          <w:shd w:val="clear" w:color="auto" w:fill="FFFFFF"/>
        </w:rPr>
        <w:t xml:space="preserve"> had some discussions with investors maybe to quit because </w:t>
      </w:r>
      <w:r w:rsidR="003B4F8D" w:rsidRPr="00BF6F6A">
        <w:rPr>
          <w:i/>
          <w:iCs/>
          <w:shd w:val="clear" w:color="auto" w:fill="FFFFFF"/>
        </w:rPr>
        <w:t>[it was]</w:t>
      </w:r>
      <w:r w:rsidR="00C54216" w:rsidRPr="00BF6F6A">
        <w:rPr>
          <w:i/>
          <w:iCs/>
          <w:shd w:val="clear" w:color="auto" w:fill="FFFFFF"/>
        </w:rPr>
        <w:t xml:space="preserve"> maybe too time consuming in relation to the benefit it gives”</w:t>
      </w:r>
      <w:r w:rsidR="00C54216" w:rsidRPr="00BF6F6A">
        <w:rPr>
          <w:shd w:val="clear" w:color="auto" w:fill="FFFFFF"/>
        </w:rPr>
        <w:t xml:space="preserve"> </w:t>
      </w:r>
      <w:r w:rsidR="00AA3CA5" w:rsidRPr="00BF6F6A">
        <w:rPr>
          <w:shd w:val="clear" w:color="auto" w:fill="FFFFFF"/>
        </w:rPr>
        <w:t xml:space="preserve">(P2). </w:t>
      </w:r>
      <w:r w:rsidR="003B4F8D" w:rsidRPr="00BF6F6A">
        <w:rPr>
          <w:shd w:val="clear" w:color="auto" w:fill="FFFFFF"/>
        </w:rPr>
        <w:t>Parti</w:t>
      </w:r>
      <w:r w:rsidR="00B644FF" w:rsidRPr="00BF6F6A">
        <w:rPr>
          <w:shd w:val="clear" w:color="auto" w:fill="FFFFFF"/>
        </w:rPr>
        <w:t>cipant</w:t>
      </w:r>
      <w:r w:rsidR="003B4F8D" w:rsidRPr="00BF6F6A">
        <w:rPr>
          <w:shd w:val="clear" w:color="auto" w:fill="FFFFFF"/>
        </w:rPr>
        <w:t xml:space="preserve">s also </w:t>
      </w:r>
      <w:r w:rsidR="00460AEE">
        <w:rPr>
          <w:shd w:val="clear" w:color="auto" w:fill="FFFFFF"/>
        </w:rPr>
        <w:t xml:space="preserve">appeared to </w:t>
      </w:r>
      <w:r w:rsidR="00EB1C57">
        <w:rPr>
          <w:shd w:val="clear" w:color="auto" w:fill="FFFFFF"/>
        </w:rPr>
        <w:t>fe</w:t>
      </w:r>
      <w:r w:rsidR="00460AEE">
        <w:rPr>
          <w:shd w:val="clear" w:color="auto" w:fill="FFFFFF"/>
        </w:rPr>
        <w:t>el</w:t>
      </w:r>
      <w:r w:rsidR="003B4F8D" w:rsidRPr="00BF6F6A">
        <w:rPr>
          <w:shd w:val="clear" w:color="auto" w:fill="FFFFFF"/>
        </w:rPr>
        <w:t xml:space="preserve"> that the biggest challenge was in the </w:t>
      </w:r>
      <w:r w:rsidR="002C7BDF" w:rsidRPr="00BF6F6A">
        <w:rPr>
          <w:shd w:val="clear" w:color="auto" w:fill="FFFFFF"/>
        </w:rPr>
        <w:t>first year</w:t>
      </w:r>
      <w:r w:rsidR="004B3CE0" w:rsidRPr="00BF6F6A">
        <w:rPr>
          <w:shd w:val="clear" w:color="auto" w:fill="FFFFFF"/>
        </w:rPr>
        <w:t xml:space="preserve"> w</w:t>
      </w:r>
      <w:r w:rsidR="00EB1C57">
        <w:rPr>
          <w:shd w:val="clear" w:color="auto" w:fill="FFFFFF"/>
        </w:rPr>
        <w:t>hen</w:t>
      </w:r>
      <w:r w:rsidR="003B4F8D" w:rsidRPr="00BF6F6A">
        <w:rPr>
          <w:shd w:val="clear" w:color="auto" w:fill="FFFFFF"/>
        </w:rPr>
        <w:t xml:space="preserve"> they were asked about </w:t>
      </w:r>
      <w:r w:rsidR="002C7BDF" w:rsidRPr="00BF6F6A">
        <w:rPr>
          <w:shd w:val="clear" w:color="auto" w:fill="FFFFFF"/>
        </w:rPr>
        <w:t xml:space="preserve">indicators that </w:t>
      </w:r>
      <w:r w:rsidR="00EB1C57">
        <w:rPr>
          <w:shd w:val="clear" w:color="auto" w:fill="FFFFFF"/>
        </w:rPr>
        <w:t xml:space="preserve">they </w:t>
      </w:r>
      <w:r w:rsidR="003B4F8D" w:rsidRPr="00BF6F6A">
        <w:rPr>
          <w:shd w:val="clear" w:color="auto" w:fill="FFFFFF"/>
        </w:rPr>
        <w:t>would</w:t>
      </w:r>
      <w:r w:rsidR="00EB1C57">
        <w:rPr>
          <w:shd w:val="clear" w:color="auto" w:fill="FFFFFF"/>
        </w:rPr>
        <w:t xml:space="preserve"> not</w:t>
      </w:r>
      <w:r w:rsidR="003B4F8D" w:rsidRPr="00BF6F6A">
        <w:rPr>
          <w:shd w:val="clear" w:color="auto" w:fill="FFFFFF"/>
        </w:rPr>
        <w:t xml:space="preserve"> have</w:t>
      </w:r>
      <w:r w:rsidR="002C7BDF" w:rsidRPr="00BF6F6A">
        <w:rPr>
          <w:shd w:val="clear" w:color="auto" w:fill="FFFFFF"/>
        </w:rPr>
        <w:t xml:space="preserve"> follow</w:t>
      </w:r>
      <w:r w:rsidR="003B4F8D" w:rsidRPr="00BF6F6A">
        <w:rPr>
          <w:shd w:val="clear" w:color="auto" w:fill="FFFFFF"/>
        </w:rPr>
        <w:t>ed</w:t>
      </w:r>
      <w:r w:rsidR="00C54216" w:rsidRPr="00BF6F6A">
        <w:rPr>
          <w:shd w:val="clear" w:color="auto" w:fill="FFFFFF"/>
        </w:rPr>
        <w:t>.</w:t>
      </w:r>
      <w:r w:rsidR="00E4340F" w:rsidRPr="00BF6F6A">
        <w:rPr>
          <w:shd w:val="clear" w:color="auto" w:fill="FFFFFF"/>
        </w:rPr>
        <w:t xml:space="preserve"> </w:t>
      </w:r>
    </w:p>
    <w:p w14:paraId="04F1816C" w14:textId="26046624" w:rsidR="00FC3340" w:rsidRPr="00BF6F6A" w:rsidRDefault="00B644FF" w:rsidP="00935ED7">
      <w:pPr>
        <w:ind w:firstLine="720"/>
        <w:jc w:val="both"/>
        <w:rPr>
          <w:i/>
          <w:iCs/>
          <w:shd w:val="clear" w:color="auto" w:fill="FFFFFF"/>
        </w:rPr>
      </w:pPr>
      <w:r w:rsidRPr="00BF6F6A">
        <w:rPr>
          <w:shd w:val="clear" w:color="auto" w:fill="FFFFFF"/>
        </w:rPr>
        <w:t>P</w:t>
      </w:r>
      <w:r w:rsidR="00F32147" w:rsidRPr="00BF6F6A">
        <w:rPr>
          <w:shd w:val="clear" w:color="auto" w:fill="FFFFFF"/>
        </w:rPr>
        <w:t>eer group composition GRESB assign</w:t>
      </w:r>
      <w:r w:rsidR="003B4F8D" w:rsidRPr="00BF6F6A">
        <w:rPr>
          <w:shd w:val="clear" w:color="auto" w:fill="FFFFFF"/>
        </w:rPr>
        <w:t>ed</w:t>
      </w:r>
      <w:r w:rsidR="00F32147" w:rsidRPr="00BF6F6A">
        <w:rPr>
          <w:shd w:val="clear" w:color="auto" w:fill="FFFFFF"/>
        </w:rPr>
        <w:t xml:space="preserve"> to the participants</w:t>
      </w:r>
      <w:r w:rsidR="00EC0D65" w:rsidRPr="00BF6F6A">
        <w:rPr>
          <w:shd w:val="clear" w:color="auto" w:fill="FFFFFF"/>
        </w:rPr>
        <w:t xml:space="preserve"> </w:t>
      </w:r>
      <w:r w:rsidR="00276F49" w:rsidRPr="00BF6F6A">
        <w:rPr>
          <w:shd w:val="clear" w:color="auto" w:fill="FFFFFF"/>
        </w:rPr>
        <w:t xml:space="preserve">and </w:t>
      </w:r>
      <w:r w:rsidR="001A1AC0" w:rsidRPr="00BF6F6A">
        <w:rPr>
          <w:shd w:val="clear" w:color="auto" w:fill="FFFFFF"/>
        </w:rPr>
        <w:t>peer comparison</w:t>
      </w:r>
      <w:r w:rsidRPr="00BF6F6A">
        <w:rPr>
          <w:shd w:val="clear" w:color="auto" w:fill="FFFFFF"/>
        </w:rPr>
        <w:t xml:space="preserve"> </w:t>
      </w:r>
      <w:r w:rsidR="00EB1C57">
        <w:rPr>
          <w:shd w:val="clear" w:color="auto" w:fill="FFFFFF"/>
        </w:rPr>
        <w:t>were seen as</w:t>
      </w:r>
      <w:r w:rsidRPr="00BF6F6A">
        <w:rPr>
          <w:shd w:val="clear" w:color="auto" w:fill="FFFFFF"/>
        </w:rPr>
        <w:t xml:space="preserve"> problematic</w:t>
      </w:r>
      <w:r w:rsidR="003B4F8D" w:rsidRPr="00BF6F6A">
        <w:rPr>
          <w:shd w:val="clear" w:color="auto" w:fill="FFFFFF"/>
        </w:rPr>
        <w:t xml:space="preserve"> </w:t>
      </w:r>
      <w:r w:rsidR="00EB1C57">
        <w:rPr>
          <w:shd w:val="clear" w:color="auto" w:fill="FFFFFF"/>
        </w:rPr>
        <w:t>with participants feeling that it was</w:t>
      </w:r>
      <w:r w:rsidR="003B4F8D" w:rsidRPr="00BF6F6A">
        <w:rPr>
          <w:shd w:val="clear" w:color="auto" w:fill="FFFFFF"/>
        </w:rPr>
        <w:t xml:space="preserve"> </w:t>
      </w:r>
      <w:r w:rsidR="003B4F8D" w:rsidRPr="004F7B84">
        <w:rPr>
          <w:i/>
          <w:iCs/>
          <w:shd w:val="clear" w:color="auto" w:fill="FFFFFF"/>
        </w:rPr>
        <w:t>“</w:t>
      </w:r>
      <w:r w:rsidR="00EC0D65" w:rsidRPr="00BF6F6A">
        <w:rPr>
          <w:i/>
          <w:iCs/>
          <w:shd w:val="clear" w:color="auto" w:fill="FFFFFF"/>
        </w:rPr>
        <w:t xml:space="preserve">challenging </w:t>
      </w:r>
      <w:r w:rsidR="003B4F8D" w:rsidRPr="00BF6F6A">
        <w:rPr>
          <w:i/>
          <w:iCs/>
          <w:shd w:val="clear" w:color="auto" w:fill="FFFFFF"/>
        </w:rPr>
        <w:t>to</w:t>
      </w:r>
      <w:r w:rsidR="00276F49" w:rsidRPr="00BF6F6A">
        <w:rPr>
          <w:i/>
          <w:iCs/>
          <w:shd w:val="clear" w:color="auto" w:fill="FFFFFF"/>
        </w:rPr>
        <w:t xml:space="preserve"> understand how</w:t>
      </w:r>
      <w:r w:rsidR="00EC0D65" w:rsidRPr="00BF6F6A">
        <w:rPr>
          <w:i/>
          <w:iCs/>
          <w:shd w:val="clear" w:color="auto" w:fill="FFFFFF"/>
        </w:rPr>
        <w:t xml:space="preserve"> GRESB determines who </w:t>
      </w:r>
      <w:r w:rsidR="003B4F8D" w:rsidRPr="00BF6F6A">
        <w:rPr>
          <w:i/>
          <w:iCs/>
          <w:shd w:val="clear" w:color="auto" w:fill="FFFFFF"/>
        </w:rPr>
        <w:t>the</w:t>
      </w:r>
      <w:r w:rsidR="00EC0D65" w:rsidRPr="00BF6F6A">
        <w:rPr>
          <w:i/>
          <w:iCs/>
          <w:shd w:val="clear" w:color="auto" w:fill="FFFFFF"/>
        </w:rPr>
        <w:t xml:space="preserve"> peer group is, based on the size of </w:t>
      </w:r>
      <w:r w:rsidR="003B4F8D" w:rsidRPr="00BF6F6A">
        <w:rPr>
          <w:i/>
          <w:iCs/>
          <w:shd w:val="clear" w:color="auto" w:fill="FFFFFF"/>
        </w:rPr>
        <w:t>the</w:t>
      </w:r>
      <w:r w:rsidR="00EC0D65" w:rsidRPr="00BF6F6A">
        <w:rPr>
          <w:i/>
          <w:iCs/>
          <w:shd w:val="clear" w:color="auto" w:fill="FFFFFF"/>
        </w:rPr>
        <w:t xml:space="preserve"> portfolio </w:t>
      </w:r>
      <w:r w:rsidR="00276F49" w:rsidRPr="00BF6F6A">
        <w:rPr>
          <w:i/>
          <w:iCs/>
          <w:shd w:val="clear" w:color="auto" w:fill="FFFFFF"/>
        </w:rPr>
        <w:t>or</w:t>
      </w:r>
      <w:r w:rsidR="00EC0D65" w:rsidRPr="00BF6F6A">
        <w:rPr>
          <w:i/>
          <w:iCs/>
          <w:shd w:val="clear" w:color="auto" w:fill="FFFFFF"/>
        </w:rPr>
        <w:t xml:space="preserve"> the types of submitted</w:t>
      </w:r>
      <w:r w:rsidR="003B4F8D" w:rsidRPr="00BF6F6A">
        <w:rPr>
          <w:i/>
          <w:iCs/>
          <w:shd w:val="clear" w:color="auto" w:fill="FFFFFF"/>
        </w:rPr>
        <w:t xml:space="preserve"> assets</w:t>
      </w:r>
      <w:r w:rsidR="00EC0D65" w:rsidRPr="00BF6F6A">
        <w:rPr>
          <w:i/>
          <w:iCs/>
          <w:shd w:val="clear" w:color="auto" w:fill="FFFFFF"/>
        </w:rPr>
        <w:t>”</w:t>
      </w:r>
      <w:r w:rsidR="00EC0D65" w:rsidRPr="00BF6F6A">
        <w:rPr>
          <w:shd w:val="clear" w:color="auto" w:fill="FFFFFF"/>
        </w:rPr>
        <w:t xml:space="preserve"> </w:t>
      </w:r>
      <w:r w:rsidR="00AA3CA5" w:rsidRPr="00BF6F6A">
        <w:rPr>
          <w:shd w:val="clear" w:color="auto" w:fill="FFFFFF"/>
        </w:rPr>
        <w:t xml:space="preserve">(P1). </w:t>
      </w:r>
      <w:r w:rsidR="001A1AC0" w:rsidRPr="00BF6F6A">
        <w:rPr>
          <w:i/>
          <w:iCs/>
          <w:shd w:val="clear" w:color="auto" w:fill="FFFFFF"/>
        </w:rPr>
        <w:t>“</w:t>
      </w:r>
      <w:r w:rsidR="005151D2" w:rsidRPr="00BF6F6A">
        <w:rPr>
          <w:i/>
          <w:iCs/>
          <w:shd w:val="clear" w:color="auto" w:fill="FFFFFF"/>
        </w:rPr>
        <w:t xml:space="preserve">It also </w:t>
      </w:r>
      <w:r w:rsidR="00EB1C57">
        <w:rPr>
          <w:i/>
          <w:iCs/>
          <w:shd w:val="clear" w:color="auto" w:fill="FFFFFF"/>
        </w:rPr>
        <w:t xml:space="preserve">[is] </w:t>
      </w:r>
      <w:r w:rsidR="005151D2" w:rsidRPr="00BF6F6A">
        <w:rPr>
          <w:i/>
          <w:iCs/>
          <w:shd w:val="clear" w:color="auto" w:fill="FFFFFF"/>
        </w:rPr>
        <w:t>sometimes very tricky to benchmark such different assets</w:t>
      </w:r>
      <w:r w:rsidR="00EB1C57">
        <w:rPr>
          <w:i/>
          <w:iCs/>
          <w:shd w:val="clear" w:color="auto" w:fill="FFFFFF"/>
        </w:rPr>
        <w:t>. E</w:t>
      </w:r>
      <w:r w:rsidR="005151D2" w:rsidRPr="00BF6F6A">
        <w:rPr>
          <w:i/>
          <w:iCs/>
          <w:shd w:val="clear" w:color="auto" w:fill="FFFFFF"/>
        </w:rPr>
        <w:t>ven with peers</w:t>
      </w:r>
      <w:r w:rsidR="00EB1C57">
        <w:rPr>
          <w:i/>
          <w:iCs/>
          <w:shd w:val="clear" w:color="auto" w:fill="FFFFFF"/>
        </w:rPr>
        <w:t>,</w:t>
      </w:r>
      <w:r w:rsidR="005151D2" w:rsidRPr="00BF6F6A">
        <w:rPr>
          <w:i/>
          <w:iCs/>
          <w:shd w:val="clear" w:color="auto" w:fill="FFFFFF"/>
        </w:rPr>
        <w:t xml:space="preserve"> </w:t>
      </w:r>
      <w:r w:rsidR="00EB1C57">
        <w:rPr>
          <w:i/>
          <w:iCs/>
          <w:shd w:val="clear" w:color="auto" w:fill="FFFFFF"/>
        </w:rPr>
        <w:t>[portfolios]</w:t>
      </w:r>
      <w:r w:rsidR="005151D2" w:rsidRPr="00BF6F6A">
        <w:rPr>
          <w:i/>
          <w:iCs/>
          <w:shd w:val="clear" w:color="auto" w:fill="FFFFFF"/>
        </w:rPr>
        <w:t xml:space="preserve"> sometimes appear to be completely different</w:t>
      </w:r>
      <w:r w:rsidR="003B4F8D" w:rsidRPr="00BF6F6A">
        <w:rPr>
          <w:i/>
          <w:iCs/>
          <w:shd w:val="clear" w:color="auto" w:fill="FFFFFF"/>
        </w:rPr>
        <w:t xml:space="preserve"> </w:t>
      </w:r>
      <w:r w:rsidR="00EB1C57">
        <w:rPr>
          <w:i/>
          <w:iCs/>
          <w:shd w:val="clear" w:color="auto" w:fill="FFFFFF"/>
        </w:rPr>
        <w:t>[in terms of]</w:t>
      </w:r>
      <w:r w:rsidR="003B4F8D" w:rsidRPr="00BF6F6A">
        <w:rPr>
          <w:i/>
          <w:iCs/>
          <w:shd w:val="clear" w:color="auto" w:fill="FFFFFF"/>
        </w:rPr>
        <w:t xml:space="preserve"> </w:t>
      </w:r>
      <w:r w:rsidR="005151D2" w:rsidRPr="00BF6F6A">
        <w:rPr>
          <w:i/>
          <w:iCs/>
          <w:shd w:val="clear" w:color="auto" w:fill="FFFFFF"/>
        </w:rPr>
        <w:t>age</w:t>
      </w:r>
      <w:r w:rsidR="0027466A" w:rsidRPr="00BF6F6A">
        <w:rPr>
          <w:i/>
          <w:iCs/>
          <w:shd w:val="clear" w:color="auto" w:fill="FFFFFF"/>
        </w:rPr>
        <w:t xml:space="preserve">, </w:t>
      </w:r>
      <w:r w:rsidR="005151D2" w:rsidRPr="00BF6F6A">
        <w:rPr>
          <w:i/>
          <w:iCs/>
          <w:shd w:val="clear" w:color="auto" w:fill="FFFFFF"/>
        </w:rPr>
        <w:t>asset type</w:t>
      </w:r>
      <w:r w:rsidR="0027466A" w:rsidRPr="00BF6F6A">
        <w:rPr>
          <w:i/>
          <w:iCs/>
          <w:shd w:val="clear" w:color="auto" w:fill="FFFFFF"/>
        </w:rPr>
        <w:t>,</w:t>
      </w:r>
      <w:r w:rsidR="005151D2" w:rsidRPr="00BF6F6A">
        <w:rPr>
          <w:i/>
          <w:iCs/>
          <w:shd w:val="clear" w:color="auto" w:fill="FFFFFF"/>
        </w:rPr>
        <w:t xml:space="preserve"> or location</w:t>
      </w:r>
      <w:r w:rsidR="003B4F8D" w:rsidRPr="00BF6F6A">
        <w:rPr>
          <w:i/>
          <w:iCs/>
          <w:shd w:val="clear" w:color="auto" w:fill="FFFFFF"/>
        </w:rPr>
        <w:t>”</w:t>
      </w:r>
      <w:r w:rsidR="003B4F8D" w:rsidRPr="00BF6F6A">
        <w:rPr>
          <w:shd w:val="clear" w:color="auto" w:fill="FFFFFF"/>
        </w:rPr>
        <w:t xml:space="preserve"> </w:t>
      </w:r>
      <w:r w:rsidR="00AA3CA5" w:rsidRPr="00BF6F6A">
        <w:rPr>
          <w:shd w:val="clear" w:color="auto" w:fill="FFFFFF"/>
        </w:rPr>
        <w:t>(P3)</w:t>
      </w:r>
      <w:r w:rsidR="00B92DC5">
        <w:rPr>
          <w:shd w:val="clear" w:color="auto" w:fill="FFFFFF"/>
        </w:rPr>
        <w:t xml:space="preserve"> and</w:t>
      </w:r>
      <w:r w:rsidR="00AA3CA5" w:rsidRPr="00BF6F6A">
        <w:rPr>
          <w:shd w:val="clear" w:color="auto" w:fill="FFFFFF"/>
        </w:rPr>
        <w:t xml:space="preserve"> </w:t>
      </w:r>
      <w:r w:rsidR="00D70E08" w:rsidRPr="00BF6F6A">
        <w:rPr>
          <w:shd w:val="clear" w:color="auto" w:fill="FFFFFF"/>
        </w:rPr>
        <w:t xml:space="preserve">therefore </w:t>
      </w:r>
      <w:r w:rsidR="003B4F8D" w:rsidRPr="00BF6F6A">
        <w:rPr>
          <w:shd w:val="clear" w:color="auto" w:fill="FFFFFF"/>
        </w:rPr>
        <w:t>not easily comparable</w:t>
      </w:r>
      <w:r w:rsidR="005151D2" w:rsidRPr="00BF6F6A">
        <w:rPr>
          <w:shd w:val="clear" w:color="auto" w:fill="FFFFFF"/>
        </w:rPr>
        <w:t>.</w:t>
      </w:r>
      <w:r w:rsidR="00E4340F" w:rsidRPr="00BF6F6A">
        <w:rPr>
          <w:shd w:val="clear" w:color="auto" w:fill="FFFFFF"/>
        </w:rPr>
        <w:t xml:space="preserve"> </w:t>
      </w:r>
      <w:r w:rsidR="00521BC5" w:rsidRPr="00BF6F6A">
        <w:rPr>
          <w:shd w:val="clear" w:color="auto" w:fill="FFFFFF"/>
        </w:rPr>
        <w:t xml:space="preserve">Finally, </w:t>
      </w:r>
      <w:r w:rsidR="00E4340F" w:rsidRPr="00BF6F6A">
        <w:rPr>
          <w:shd w:val="clear" w:color="auto" w:fill="FFFFFF"/>
        </w:rPr>
        <w:t>for non-</w:t>
      </w:r>
      <w:r w:rsidR="00521BC5" w:rsidRPr="00BF6F6A">
        <w:rPr>
          <w:shd w:val="clear" w:color="auto" w:fill="FFFFFF"/>
        </w:rPr>
        <w:t>English</w:t>
      </w:r>
      <w:r w:rsidR="00E4340F" w:rsidRPr="00BF6F6A">
        <w:rPr>
          <w:shd w:val="clear" w:color="auto" w:fill="FFFFFF"/>
        </w:rPr>
        <w:t xml:space="preserve"> language organisation</w:t>
      </w:r>
      <w:r w:rsidR="003B4F8D" w:rsidRPr="00BF6F6A">
        <w:rPr>
          <w:shd w:val="clear" w:color="auto" w:fill="FFFFFF"/>
        </w:rPr>
        <w:t>s language is a challenge as companies</w:t>
      </w:r>
      <w:r w:rsidR="00521BC5" w:rsidRPr="00BF6F6A">
        <w:rPr>
          <w:i/>
          <w:iCs/>
          <w:shd w:val="clear" w:color="auto" w:fill="FFFFFF"/>
        </w:rPr>
        <w:t xml:space="preserve"> </w:t>
      </w:r>
      <w:r w:rsidR="003B4F8D" w:rsidRPr="00BF6F6A">
        <w:rPr>
          <w:i/>
          <w:iCs/>
          <w:shd w:val="clear" w:color="auto" w:fill="FFFFFF"/>
        </w:rPr>
        <w:t>“</w:t>
      </w:r>
      <w:r w:rsidR="00521BC5" w:rsidRPr="00BF6F6A">
        <w:rPr>
          <w:i/>
          <w:iCs/>
          <w:shd w:val="clear" w:color="auto" w:fill="FFFFFF"/>
        </w:rPr>
        <w:t>need to upload all the documentation in English</w:t>
      </w:r>
      <w:r w:rsidR="003B4F8D" w:rsidRPr="00BF6F6A">
        <w:rPr>
          <w:i/>
          <w:iCs/>
          <w:shd w:val="clear" w:color="auto" w:fill="FFFFFF"/>
        </w:rPr>
        <w:t>”</w:t>
      </w:r>
      <w:r w:rsidR="003B4F8D" w:rsidRPr="00BF6F6A">
        <w:rPr>
          <w:shd w:val="clear" w:color="auto" w:fill="FFFFFF"/>
        </w:rPr>
        <w:t xml:space="preserve"> </w:t>
      </w:r>
      <w:r w:rsidR="00AA3CA5" w:rsidRPr="00BF6F6A">
        <w:rPr>
          <w:shd w:val="clear" w:color="auto" w:fill="FFFFFF"/>
        </w:rPr>
        <w:t xml:space="preserve">(P2) </w:t>
      </w:r>
      <w:r w:rsidR="003B4F8D" w:rsidRPr="00BF6F6A">
        <w:rPr>
          <w:shd w:val="clear" w:color="auto" w:fill="FFFFFF"/>
        </w:rPr>
        <w:t>and that requires translation of lengthy documents.</w:t>
      </w:r>
    </w:p>
    <w:p w14:paraId="1AEC36A3" w14:textId="77777777" w:rsidR="00420ACC" w:rsidRPr="00BF6F6A" w:rsidRDefault="00420ACC" w:rsidP="003B4F8D">
      <w:pPr>
        <w:jc w:val="both"/>
        <w:rPr>
          <w:shd w:val="clear" w:color="auto" w:fill="FFFFFF"/>
        </w:rPr>
      </w:pPr>
    </w:p>
    <w:p w14:paraId="51DB8C81" w14:textId="78CE05C6" w:rsidR="00802D5F" w:rsidRPr="00BF6F6A" w:rsidRDefault="00154A44" w:rsidP="003B4F8D">
      <w:pPr>
        <w:pStyle w:val="Heading3"/>
        <w:numPr>
          <w:ilvl w:val="0"/>
          <w:numId w:val="0"/>
        </w:numPr>
        <w:spacing w:before="0" w:after="0"/>
        <w:rPr>
          <w:rFonts w:cs="Times New Roman"/>
          <w:u w:val="none"/>
          <w:shd w:val="clear" w:color="auto" w:fill="FFFFFF"/>
        </w:rPr>
      </w:pPr>
      <w:bookmarkStart w:id="33" w:name="_Toc99882250"/>
      <w:r w:rsidRPr="00BF6F6A">
        <w:rPr>
          <w:rFonts w:cs="Times New Roman"/>
          <w:u w:val="none"/>
          <w:shd w:val="clear" w:color="auto" w:fill="FFFFFF"/>
        </w:rPr>
        <w:t xml:space="preserve">GRESB </w:t>
      </w:r>
      <w:r w:rsidR="00FE48E5" w:rsidRPr="00BF6F6A">
        <w:rPr>
          <w:rFonts w:cs="Times New Roman"/>
          <w:u w:val="none"/>
          <w:shd w:val="clear" w:color="auto" w:fill="FFFFFF"/>
        </w:rPr>
        <w:t>w</w:t>
      </w:r>
      <w:r w:rsidR="00776303" w:rsidRPr="00BF6F6A">
        <w:rPr>
          <w:rFonts w:cs="Times New Roman"/>
          <w:u w:val="none"/>
          <w:shd w:val="clear" w:color="auto" w:fill="FFFFFF"/>
        </w:rPr>
        <w:t>eaknesses</w:t>
      </w:r>
      <w:bookmarkEnd w:id="33"/>
    </w:p>
    <w:p w14:paraId="4827BC43" w14:textId="665CED02" w:rsidR="00935ED7" w:rsidRPr="00BF6F6A" w:rsidRDefault="003B4F8D" w:rsidP="003B4F8D">
      <w:pPr>
        <w:jc w:val="both"/>
        <w:rPr>
          <w:shd w:val="clear" w:color="auto" w:fill="FFFFFF"/>
        </w:rPr>
      </w:pPr>
      <w:r w:rsidRPr="00BF6F6A">
        <w:rPr>
          <w:shd w:val="clear" w:color="auto" w:fill="FFFFFF"/>
        </w:rPr>
        <w:t>Most participants</w:t>
      </w:r>
      <w:r w:rsidR="009613DD" w:rsidRPr="00BF6F6A">
        <w:rPr>
          <w:shd w:val="clear" w:color="auto" w:fill="FFFFFF"/>
        </w:rPr>
        <w:t xml:space="preserve"> </w:t>
      </w:r>
      <w:r w:rsidR="00EB1C57">
        <w:rPr>
          <w:shd w:val="clear" w:color="auto" w:fill="FFFFFF"/>
        </w:rPr>
        <w:t>observed</w:t>
      </w:r>
      <w:r w:rsidR="000019BF" w:rsidRPr="00BF6F6A">
        <w:rPr>
          <w:shd w:val="clear" w:color="auto" w:fill="FFFFFF"/>
        </w:rPr>
        <w:t xml:space="preserve"> that the </w:t>
      </w:r>
      <w:r w:rsidR="003E6CB5" w:rsidRPr="00BF6F6A">
        <w:rPr>
          <w:shd w:val="clear" w:color="auto" w:fill="FFFFFF"/>
        </w:rPr>
        <w:t>social</w:t>
      </w:r>
      <w:r w:rsidR="000019BF" w:rsidRPr="00BF6F6A">
        <w:rPr>
          <w:shd w:val="clear" w:color="auto" w:fill="FFFFFF"/>
        </w:rPr>
        <w:t xml:space="preserve"> component </w:t>
      </w:r>
      <w:r w:rsidR="002C7BDF" w:rsidRPr="00BF6F6A">
        <w:rPr>
          <w:shd w:val="clear" w:color="auto" w:fill="FFFFFF"/>
        </w:rPr>
        <w:t>of the benchmark</w:t>
      </w:r>
      <w:r w:rsidR="000019BF" w:rsidRPr="00BF6F6A">
        <w:rPr>
          <w:shd w:val="clear" w:color="auto" w:fill="FFFFFF"/>
        </w:rPr>
        <w:t xml:space="preserve"> was underdeveloped and required </w:t>
      </w:r>
      <w:r w:rsidR="00E4340F" w:rsidRPr="00BF6F6A">
        <w:rPr>
          <w:shd w:val="clear" w:color="auto" w:fill="FFFFFF"/>
        </w:rPr>
        <w:t xml:space="preserve">more </w:t>
      </w:r>
      <w:r w:rsidR="000019BF" w:rsidRPr="00BF6F6A">
        <w:rPr>
          <w:shd w:val="clear" w:color="auto" w:fill="FFFFFF"/>
        </w:rPr>
        <w:t>focus</w:t>
      </w:r>
      <w:r w:rsidRPr="00BF6F6A">
        <w:rPr>
          <w:shd w:val="clear" w:color="auto" w:fill="FFFFFF"/>
        </w:rPr>
        <w:t xml:space="preserve"> </w:t>
      </w:r>
      <w:r w:rsidR="00E652AB" w:rsidRPr="00BF6F6A">
        <w:rPr>
          <w:shd w:val="clear" w:color="auto" w:fill="FFFFFF"/>
        </w:rPr>
        <w:t>noting</w:t>
      </w:r>
      <w:r w:rsidRPr="00BF6F6A">
        <w:rPr>
          <w:shd w:val="clear" w:color="auto" w:fill="FFFFFF"/>
        </w:rPr>
        <w:t xml:space="preserve"> that they have </w:t>
      </w:r>
      <w:r w:rsidR="003E6CB5" w:rsidRPr="00BF6F6A">
        <w:rPr>
          <w:i/>
          <w:iCs/>
          <w:shd w:val="clear" w:color="auto" w:fill="FFFFFF"/>
        </w:rPr>
        <w:t>“been doing a lot of work into inclusion and diversity, but there is very little of that within GRESB</w:t>
      </w:r>
      <w:r w:rsidRPr="00BF6F6A">
        <w:rPr>
          <w:i/>
          <w:iCs/>
          <w:shd w:val="clear" w:color="auto" w:fill="FFFFFF"/>
        </w:rPr>
        <w:t>. I</w:t>
      </w:r>
      <w:r w:rsidR="003E6CB5" w:rsidRPr="00BF6F6A">
        <w:rPr>
          <w:i/>
          <w:iCs/>
          <w:shd w:val="clear" w:color="auto" w:fill="FFFFFF"/>
        </w:rPr>
        <w:t>t will be really useful to have one benchmark that has a lot more E, S and G in one place”</w:t>
      </w:r>
      <w:r w:rsidR="00AA3CA5" w:rsidRPr="00BF6F6A">
        <w:rPr>
          <w:shd w:val="clear" w:color="auto" w:fill="FFFFFF"/>
        </w:rPr>
        <w:t xml:space="preserve"> (P3).</w:t>
      </w:r>
      <w:r w:rsidR="003E6CB5" w:rsidRPr="00BF6F6A">
        <w:rPr>
          <w:shd w:val="clear" w:color="auto" w:fill="FFFFFF"/>
        </w:rPr>
        <w:t xml:space="preserve"> </w:t>
      </w:r>
      <w:r w:rsidRPr="00BF6F6A">
        <w:rPr>
          <w:shd w:val="clear" w:color="auto" w:fill="FFFFFF"/>
        </w:rPr>
        <w:t xml:space="preserve">Participants also </w:t>
      </w:r>
      <w:r w:rsidR="002A0E8B">
        <w:rPr>
          <w:shd w:val="clear" w:color="auto" w:fill="FFFFFF"/>
        </w:rPr>
        <w:t>felt</w:t>
      </w:r>
      <w:r w:rsidR="003E6CB5" w:rsidRPr="00BF6F6A">
        <w:rPr>
          <w:shd w:val="clear" w:color="auto" w:fill="FFFFFF"/>
        </w:rPr>
        <w:t xml:space="preserve"> </w:t>
      </w:r>
      <w:r w:rsidR="00B96C47" w:rsidRPr="00BF6F6A">
        <w:rPr>
          <w:shd w:val="clear" w:color="auto" w:fill="FFFFFF"/>
        </w:rPr>
        <w:t>that</w:t>
      </w:r>
      <w:r w:rsidR="000A319E" w:rsidRPr="00BF6F6A">
        <w:rPr>
          <w:shd w:val="clear" w:color="auto" w:fill="FFFFFF"/>
        </w:rPr>
        <w:t xml:space="preserve"> the social aspect only contributes indirectly through the workers</w:t>
      </w:r>
      <w:r w:rsidR="00E4340F" w:rsidRPr="00BF6F6A">
        <w:rPr>
          <w:shd w:val="clear" w:color="auto" w:fill="FFFFFF"/>
        </w:rPr>
        <w:t>’</w:t>
      </w:r>
      <w:r w:rsidR="000A319E" w:rsidRPr="00BF6F6A">
        <w:rPr>
          <w:shd w:val="clear" w:color="auto" w:fill="FFFFFF"/>
        </w:rPr>
        <w:t xml:space="preserve"> satisfaction survey in the benchmark</w:t>
      </w:r>
      <w:r w:rsidRPr="00BF6F6A">
        <w:rPr>
          <w:shd w:val="clear" w:color="auto" w:fill="FFFFFF"/>
        </w:rPr>
        <w:t xml:space="preserve"> and that</w:t>
      </w:r>
      <w:r w:rsidR="004769F3" w:rsidRPr="00BF6F6A">
        <w:rPr>
          <w:shd w:val="clear" w:color="auto" w:fill="FFFFFF"/>
        </w:rPr>
        <w:t xml:space="preserve"> the social factors </w:t>
      </w:r>
      <w:r w:rsidR="00E4340F" w:rsidRPr="00BF6F6A">
        <w:rPr>
          <w:shd w:val="clear" w:color="auto" w:fill="FFFFFF"/>
        </w:rPr>
        <w:t xml:space="preserve">over-rely </w:t>
      </w:r>
      <w:r w:rsidR="004769F3" w:rsidRPr="00BF6F6A">
        <w:rPr>
          <w:shd w:val="clear" w:color="auto" w:fill="FFFFFF"/>
        </w:rPr>
        <w:t>on policies rather than actual outcome data</w:t>
      </w:r>
      <w:r w:rsidR="002A0E8B">
        <w:rPr>
          <w:shd w:val="clear" w:color="auto" w:fill="FFFFFF"/>
        </w:rPr>
        <w:t>. Thus, they</w:t>
      </w:r>
      <w:r w:rsidRPr="00BF6F6A">
        <w:rPr>
          <w:shd w:val="clear" w:color="auto" w:fill="FFFFFF"/>
        </w:rPr>
        <w:t xml:space="preserve"> recommended that </w:t>
      </w:r>
      <w:r w:rsidR="004769F3" w:rsidRPr="00BF6F6A">
        <w:rPr>
          <w:i/>
          <w:iCs/>
          <w:shd w:val="clear" w:color="auto" w:fill="FFFFFF"/>
        </w:rPr>
        <w:t xml:space="preserve">“factoring in a social value metric, or something similar would be helpful to </w:t>
      </w:r>
      <w:r w:rsidR="00137763" w:rsidRPr="00BF6F6A">
        <w:rPr>
          <w:i/>
          <w:iCs/>
          <w:shd w:val="clear" w:color="auto" w:fill="FFFFFF"/>
        </w:rPr>
        <w:t xml:space="preserve">have a more cohesive look at </w:t>
      </w:r>
      <w:r w:rsidRPr="00BF6F6A">
        <w:rPr>
          <w:i/>
          <w:iCs/>
          <w:shd w:val="clear" w:color="auto" w:fill="FFFFFF"/>
        </w:rPr>
        <w:t>the</w:t>
      </w:r>
      <w:r w:rsidR="00137763" w:rsidRPr="00BF6F6A">
        <w:rPr>
          <w:i/>
          <w:iCs/>
          <w:shd w:val="clear" w:color="auto" w:fill="FFFFFF"/>
        </w:rPr>
        <w:t xml:space="preserve"> ESG performance</w:t>
      </w:r>
      <w:r w:rsidR="004769F3" w:rsidRPr="00BF6F6A">
        <w:rPr>
          <w:i/>
          <w:iCs/>
          <w:shd w:val="clear" w:color="auto" w:fill="FFFFFF"/>
        </w:rPr>
        <w:t>”</w:t>
      </w:r>
      <w:r w:rsidR="00AA3CA5" w:rsidRPr="00BF6F6A">
        <w:rPr>
          <w:shd w:val="clear" w:color="auto" w:fill="FFFFFF"/>
        </w:rPr>
        <w:t xml:space="preserve"> (P4).</w:t>
      </w:r>
      <w:r w:rsidR="00A353BD" w:rsidRPr="00BF6F6A">
        <w:rPr>
          <w:shd w:val="clear" w:color="auto" w:fill="FFFFFF"/>
        </w:rPr>
        <w:t xml:space="preserve"> </w:t>
      </w:r>
      <w:r w:rsidR="00D70E08" w:rsidRPr="00BF6F6A">
        <w:rPr>
          <w:shd w:val="clear" w:color="auto" w:fill="FFFFFF"/>
        </w:rPr>
        <w:t>That, however,</w:t>
      </w:r>
      <w:r w:rsidR="00E4340F" w:rsidRPr="00BF6F6A">
        <w:rPr>
          <w:shd w:val="clear" w:color="auto" w:fill="FFFFFF"/>
        </w:rPr>
        <w:t xml:space="preserve"> does not mean that GRES</w:t>
      </w:r>
      <w:r w:rsidR="0056505B" w:rsidRPr="00BF6F6A">
        <w:rPr>
          <w:shd w:val="clear" w:color="auto" w:fill="FFFFFF"/>
        </w:rPr>
        <w:t>B</w:t>
      </w:r>
      <w:r w:rsidR="00E4340F" w:rsidRPr="00BF6F6A">
        <w:rPr>
          <w:shd w:val="clear" w:color="auto" w:fill="FFFFFF"/>
        </w:rPr>
        <w:t xml:space="preserve"> </w:t>
      </w:r>
      <w:r w:rsidR="00E4340F" w:rsidRPr="00BF6F6A">
        <w:rPr>
          <w:i/>
          <w:iCs/>
          <w:shd w:val="clear" w:color="auto" w:fill="FFFFFF"/>
        </w:rPr>
        <w:t>“</w:t>
      </w:r>
      <w:r w:rsidR="00E431C8" w:rsidRPr="00BF6F6A">
        <w:rPr>
          <w:i/>
          <w:iCs/>
          <w:shd w:val="clear" w:color="auto" w:fill="FFFFFF"/>
        </w:rPr>
        <w:t>should start from scratch and try to build it themselves</w:t>
      </w:r>
      <w:r w:rsidR="003D6381" w:rsidRPr="00BF6F6A">
        <w:rPr>
          <w:i/>
          <w:iCs/>
          <w:shd w:val="clear" w:color="auto" w:fill="FFFFFF"/>
        </w:rPr>
        <w:t xml:space="preserve"> as</w:t>
      </w:r>
      <w:r w:rsidR="00E431C8" w:rsidRPr="00BF6F6A">
        <w:rPr>
          <w:i/>
          <w:iCs/>
          <w:shd w:val="clear" w:color="auto" w:fill="FFFFFF"/>
        </w:rPr>
        <w:t xml:space="preserve"> </w:t>
      </w:r>
      <w:r w:rsidR="003D6381" w:rsidRPr="00BF6F6A">
        <w:rPr>
          <w:i/>
          <w:iCs/>
          <w:shd w:val="clear" w:color="auto" w:fill="FFFFFF"/>
        </w:rPr>
        <w:t>t</w:t>
      </w:r>
      <w:r w:rsidR="00E431C8" w:rsidRPr="00BF6F6A">
        <w:rPr>
          <w:i/>
          <w:iCs/>
          <w:shd w:val="clear" w:color="auto" w:fill="FFFFFF"/>
        </w:rPr>
        <w:t>here's a lot of other standards out there that they can rely on and partner with”</w:t>
      </w:r>
      <w:r w:rsidR="00AA3CA5" w:rsidRPr="00BF6F6A">
        <w:rPr>
          <w:i/>
          <w:iCs/>
          <w:shd w:val="clear" w:color="auto" w:fill="FFFFFF"/>
        </w:rPr>
        <w:t xml:space="preserve"> </w:t>
      </w:r>
      <w:r w:rsidR="00AA3CA5" w:rsidRPr="00BF6F6A">
        <w:rPr>
          <w:shd w:val="clear" w:color="auto" w:fill="FFFFFF"/>
        </w:rPr>
        <w:t>(P5).</w:t>
      </w:r>
      <w:r w:rsidR="00A820DB" w:rsidRPr="00BF6F6A">
        <w:rPr>
          <w:shd w:val="clear" w:color="auto" w:fill="FFFFFF"/>
        </w:rPr>
        <w:t xml:space="preserve"> </w:t>
      </w:r>
      <w:r w:rsidR="00E4340F" w:rsidRPr="00BF6F6A">
        <w:rPr>
          <w:shd w:val="clear" w:color="auto" w:fill="FFFFFF"/>
        </w:rPr>
        <w:t>The above corroborates with</w:t>
      </w:r>
      <w:r w:rsidR="00FD2887" w:rsidRPr="00BF6F6A">
        <w:rPr>
          <w:shd w:val="clear" w:color="auto" w:fill="FFFFFF"/>
        </w:rPr>
        <w:t xml:space="preserve"> Kempeneer </w:t>
      </w:r>
      <w:r w:rsidR="00FD2887" w:rsidRPr="00BF6F6A">
        <w:rPr>
          <w:i/>
          <w:iCs/>
          <w:shd w:val="clear" w:color="auto" w:fill="FFFFFF"/>
        </w:rPr>
        <w:t>et al.</w:t>
      </w:r>
      <w:r w:rsidR="00FD2887" w:rsidRPr="00BF6F6A">
        <w:rPr>
          <w:shd w:val="clear" w:color="auto" w:fill="FFFFFF"/>
        </w:rPr>
        <w:t xml:space="preserve"> (2021) </w:t>
      </w:r>
      <w:r w:rsidR="00CC7C00" w:rsidRPr="00BF6F6A">
        <w:rPr>
          <w:shd w:val="clear" w:color="auto" w:fill="FFFFFF"/>
        </w:rPr>
        <w:t>conclusions</w:t>
      </w:r>
      <w:r w:rsidR="00FD2887" w:rsidRPr="00BF6F6A">
        <w:rPr>
          <w:shd w:val="clear" w:color="auto" w:fill="FFFFFF"/>
        </w:rPr>
        <w:t xml:space="preserve"> that the social dimension of ESG is under</w:t>
      </w:r>
      <w:r w:rsidR="002A0E8B">
        <w:rPr>
          <w:shd w:val="clear" w:color="auto" w:fill="FFFFFF"/>
        </w:rPr>
        <w:t>-</w:t>
      </w:r>
      <w:r w:rsidR="00FD2887" w:rsidRPr="00BF6F6A">
        <w:rPr>
          <w:shd w:val="clear" w:color="auto" w:fill="FFFFFF"/>
        </w:rPr>
        <w:t>conceptualised and should include elements of user well</w:t>
      </w:r>
      <w:r w:rsidR="00E4340F" w:rsidRPr="00BF6F6A">
        <w:rPr>
          <w:shd w:val="clear" w:color="auto" w:fill="FFFFFF"/>
        </w:rPr>
        <w:t>-</w:t>
      </w:r>
      <w:r w:rsidR="00FD2887" w:rsidRPr="00BF6F6A">
        <w:rPr>
          <w:shd w:val="clear" w:color="auto" w:fill="FFFFFF"/>
        </w:rPr>
        <w:t xml:space="preserve">being as </w:t>
      </w:r>
      <w:r w:rsidR="00E4340F" w:rsidRPr="00BF6F6A">
        <w:rPr>
          <w:shd w:val="clear" w:color="auto" w:fill="FFFFFF"/>
        </w:rPr>
        <w:t>critical for</w:t>
      </w:r>
      <w:r w:rsidR="00FD2887" w:rsidRPr="00BF6F6A">
        <w:rPr>
          <w:shd w:val="clear" w:color="auto" w:fill="FFFFFF"/>
        </w:rPr>
        <w:t xml:space="preserve"> user behaviour.</w:t>
      </w:r>
      <w:r w:rsidR="0056505B" w:rsidRPr="00BF6F6A">
        <w:rPr>
          <w:shd w:val="clear" w:color="auto" w:fill="FFFFFF"/>
        </w:rPr>
        <w:t xml:space="preserve"> </w:t>
      </w:r>
      <w:r w:rsidRPr="00BF6F6A">
        <w:rPr>
          <w:shd w:val="clear" w:color="auto" w:fill="FFFFFF"/>
        </w:rPr>
        <w:t>All p</w:t>
      </w:r>
      <w:r w:rsidR="0056505B" w:rsidRPr="00BF6F6A">
        <w:rPr>
          <w:shd w:val="clear" w:color="auto" w:fill="FFFFFF"/>
        </w:rPr>
        <w:t xml:space="preserve">articipants </w:t>
      </w:r>
      <w:r w:rsidR="00460AEE">
        <w:rPr>
          <w:shd w:val="clear" w:color="auto" w:fill="FFFFFF"/>
        </w:rPr>
        <w:t>seemed to feel</w:t>
      </w:r>
      <w:r w:rsidR="00EE42DC">
        <w:rPr>
          <w:shd w:val="clear" w:color="auto" w:fill="FFFFFF"/>
        </w:rPr>
        <w:t xml:space="preserve"> a bit lost and </w:t>
      </w:r>
      <w:r w:rsidR="001A1AC0" w:rsidRPr="00BF6F6A">
        <w:rPr>
          <w:shd w:val="clear" w:color="auto" w:fill="FFFFFF"/>
        </w:rPr>
        <w:t xml:space="preserve">would </w:t>
      </w:r>
      <w:r w:rsidR="0056505B" w:rsidRPr="00BF6F6A">
        <w:rPr>
          <w:shd w:val="clear" w:color="auto" w:fill="FFFFFF"/>
        </w:rPr>
        <w:t xml:space="preserve">welcome </w:t>
      </w:r>
      <w:r w:rsidR="001A1AC0" w:rsidRPr="00BF6F6A">
        <w:rPr>
          <w:shd w:val="clear" w:color="auto" w:fill="FFFFFF"/>
        </w:rPr>
        <w:t xml:space="preserve">more transparency </w:t>
      </w:r>
      <w:r w:rsidR="0056505B" w:rsidRPr="00BF6F6A">
        <w:rPr>
          <w:shd w:val="clear" w:color="auto" w:fill="FFFFFF"/>
        </w:rPr>
        <w:t>around the performance data</w:t>
      </w:r>
      <w:r w:rsidR="001A1AC0" w:rsidRPr="00BF6F6A">
        <w:rPr>
          <w:shd w:val="clear" w:color="auto" w:fill="FFFFFF"/>
        </w:rPr>
        <w:t>:</w:t>
      </w:r>
      <w:r w:rsidR="001A1AC0" w:rsidRPr="00BF6F6A">
        <w:rPr>
          <w:i/>
          <w:iCs/>
          <w:shd w:val="clear" w:color="auto" w:fill="FFFFFF"/>
        </w:rPr>
        <w:t xml:space="preserve"> “whether it's at portfolio level, or asset level, you're not sure what's going to come out in terms of score”</w:t>
      </w:r>
      <w:r w:rsidR="005151D2" w:rsidRPr="00BF6F6A">
        <w:rPr>
          <w:shd w:val="clear" w:color="auto" w:fill="FFFFFF"/>
        </w:rPr>
        <w:t xml:space="preserve"> </w:t>
      </w:r>
      <w:r w:rsidR="00612E5E" w:rsidRPr="00BF6F6A">
        <w:rPr>
          <w:shd w:val="clear" w:color="auto" w:fill="FFFFFF"/>
        </w:rPr>
        <w:t xml:space="preserve">(P1). </w:t>
      </w:r>
    </w:p>
    <w:p w14:paraId="5DCDACA7" w14:textId="255D994F" w:rsidR="00485790" w:rsidRPr="00BF6F6A" w:rsidRDefault="003B4F8D" w:rsidP="00935ED7">
      <w:pPr>
        <w:ind w:firstLine="720"/>
        <w:jc w:val="both"/>
        <w:rPr>
          <w:shd w:val="clear" w:color="auto" w:fill="FFFFFF"/>
        </w:rPr>
      </w:pPr>
      <w:r w:rsidRPr="00BF6F6A">
        <w:rPr>
          <w:shd w:val="clear" w:color="auto" w:fill="FFFFFF"/>
        </w:rPr>
        <w:t xml:space="preserve">Participants also </w:t>
      </w:r>
      <w:r w:rsidR="00460AEE">
        <w:rPr>
          <w:shd w:val="clear" w:color="auto" w:fill="FFFFFF"/>
        </w:rPr>
        <w:t>anxious</w:t>
      </w:r>
      <w:r w:rsidR="002A0E8B">
        <w:rPr>
          <w:shd w:val="clear" w:color="auto" w:fill="FFFFFF"/>
        </w:rPr>
        <w:t xml:space="preserve"> </w:t>
      </w:r>
      <w:r w:rsidRPr="00BF6F6A">
        <w:rPr>
          <w:shd w:val="clear" w:color="auto" w:fill="FFFFFF"/>
        </w:rPr>
        <w:t>that there is an</w:t>
      </w:r>
      <w:r w:rsidR="00485790" w:rsidRPr="00BF6F6A">
        <w:rPr>
          <w:shd w:val="clear" w:color="auto" w:fill="FFFFFF"/>
        </w:rPr>
        <w:t xml:space="preserve"> issue </w:t>
      </w:r>
      <w:r w:rsidRPr="00BF6F6A">
        <w:rPr>
          <w:shd w:val="clear" w:color="auto" w:fill="FFFFFF"/>
        </w:rPr>
        <w:t>of</w:t>
      </w:r>
      <w:r w:rsidR="00485790" w:rsidRPr="00BF6F6A">
        <w:rPr>
          <w:shd w:val="clear" w:color="auto" w:fill="FFFFFF"/>
        </w:rPr>
        <w:t xml:space="preserve"> overreliance on policies</w:t>
      </w:r>
      <w:r w:rsidR="00EE42DC">
        <w:rPr>
          <w:shd w:val="clear" w:color="auto" w:fill="FFFFFF"/>
        </w:rPr>
        <w:t xml:space="preserve">. P1 after a pause hesitantly </w:t>
      </w:r>
      <w:r w:rsidR="00CA73F4" w:rsidRPr="00BF6F6A">
        <w:rPr>
          <w:shd w:val="clear" w:color="auto" w:fill="FFFFFF"/>
        </w:rPr>
        <w:t>concluded</w:t>
      </w:r>
      <w:r w:rsidR="00485790" w:rsidRPr="00BF6F6A">
        <w:rPr>
          <w:shd w:val="clear" w:color="auto" w:fill="FFFFFF"/>
        </w:rPr>
        <w:t xml:space="preserve"> that </w:t>
      </w:r>
      <w:r w:rsidR="00485790" w:rsidRPr="00BF6F6A">
        <w:rPr>
          <w:i/>
          <w:iCs/>
          <w:shd w:val="clear" w:color="auto" w:fill="FFFFFF"/>
        </w:rPr>
        <w:t>“maybe having a weighting that's a little more performance heavy and less policy heavy would be preferable”</w:t>
      </w:r>
      <w:r w:rsidR="00107FD6">
        <w:rPr>
          <w:shd w:val="clear" w:color="auto" w:fill="FFFFFF"/>
        </w:rPr>
        <w:t xml:space="preserve">. However, </w:t>
      </w:r>
      <w:r w:rsidR="00612E5E" w:rsidRPr="00BF6F6A">
        <w:rPr>
          <w:shd w:val="clear" w:color="auto" w:fill="FFFFFF"/>
        </w:rPr>
        <w:t>P1</w:t>
      </w:r>
      <w:r w:rsidR="00107FD6">
        <w:rPr>
          <w:shd w:val="clear" w:color="auto" w:fill="FFFFFF"/>
        </w:rPr>
        <w:t xml:space="preserve"> was also </w:t>
      </w:r>
      <w:r w:rsidR="00CA73F4" w:rsidRPr="00BF6F6A">
        <w:rPr>
          <w:shd w:val="clear" w:color="auto" w:fill="FFFFFF"/>
        </w:rPr>
        <w:t>s</w:t>
      </w:r>
      <w:r w:rsidRPr="00BF6F6A">
        <w:rPr>
          <w:shd w:val="clear" w:color="auto" w:fill="FFFFFF"/>
        </w:rPr>
        <w:t>c</w:t>
      </w:r>
      <w:r w:rsidR="00CA73F4" w:rsidRPr="00BF6F6A">
        <w:rPr>
          <w:shd w:val="clear" w:color="auto" w:fill="FFFFFF"/>
        </w:rPr>
        <w:t>eptical</w:t>
      </w:r>
      <w:r w:rsidR="00485790" w:rsidRPr="00BF6F6A">
        <w:rPr>
          <w:shd w:val="clear" w:color="auto" w:fill="FFFFFF"/>
        </w:rPr>
        <w:t xml:space="preserve"> about v</w:t>
      </w:r>
      <w:r w:rsidR="00F862ED" w:rsidRPr="00BF6F6A">
        <w:rPr>
          <w:shd w:val="clear" w:color="auto" w:fill="FFFFFF"/>
        </w:rPr>
        <w:t>ery high</w:t>
      </w:r>
      <w:r w:rsidR="00A44D6B" w:rsidRPr="00BF6F6A">
        <w:rPr>
          <w:shd w:val="clear" w:color="auto" w:fill="FFFFFF"/>
        </w:rPr>
        <w:t xml:space="preserve"> scores which </w:t>
      </w:r>
      <w:r w:rsidR="00F862ED" w:rsidRPr="00BF6F6A">
        <w:rPr>
          <w:i/>
          <w:iCs/>
          <w:shd w:val="clear" w:color="auto" w:fill="FFFFFF"/>
        </w:rPr>
        <w:t xml:space="preserve">“sometimes </w:t>
      </w:r>
      <w:r w:rsidR="00A44D6B" w:rsidRPr="00BF6F6A">
        <w:rPr>
          <w:i/>
          <w:iCs/>
          <w:shd w:val="clear" w:color="auto" w:fill="FFFFFF"/>
        </w:rPr>
        <w:t>[…]</w:t>
      </w:r>
      <w:r w:rsidR="00F862ED" w:rsidRPr="00BF6F6A">
        <w:rPr>
          <w:i/>
          <w:iCs/>
          <w:shd w:val="clear" w:color="auto" w:fill="FFFFFF"/>
        </w:rPr>
        <w:t xml:space="preserve"> makes </w:t>
      </w:r>
      <w:r w:rsidRPr="00BF6F6A">
        <w:rPr>
          <w:i/>
          <w:iCs/>
          <w:shd w:val="clear" w:color="auto" w:fill="FFFFFF"/>
        </w:rPr>
        <w:t>one</w:t>
      </w:r>
      <w:r w:rsidR="00F862ED" w:rsidRPr="00BF6F6A">
        <w:rPr>
          <w:i/>
          <w:iCs/>
          <w:shd w:val="clear" w:color="auto" w:fill="FFFFFF"/>
        </w:rPr>
        <w:t xml:space="preserve"> wonder, how much </w:t>
      </w:r>
      <w:r w:rsidR="00F862ED" w:rsidRPr="00BF6F6A">
        <w:rPr>
          <w:i/>
          <w:iCs/>
          <w:shd w:val="clear" w:color="auto" w:fill="FFFFFF"/>
        </w:rPr>
        <w:lastRenderedPageBreak/>
        <w:t xml:space="preserve">digging </w:t>
      </w:r>
      <w:r w:rsidRPr="00BF6F6A">
        <w:rPr>
          <w:i/>
          <w:iCs/>
          <w:shd w:val="clear" w:color="auto" w:fill="FFFFFF"/>
        </w:rPr>
        <w:t xml:space="preserve">[has been done] </w:t>
      </w:r>
      <w:r w:rsidR="00F862ED" w:rsidRPr="00BF6F6A">
        <w:rPr>
          <w:i/>
          <w:iCs/>
          <w:shd w:val="clear" w:color="auto" w:fill="FFFFFF"/>
        </w:rPr>
        <w:t>into the actual implementation</w:t>
      </w:r>
      <w:r w:rsidR="00A43DC9" w:rsidRPr="00BF6F6A">
        <w:rPr>
          <w:i/>
          <w:iCs/>
          <w:shd w:val="clear" w:color="auto" w:fill="FFFFFF"/>
        </w:rPr>
        <w:t xml:space="preserve"> </w:t>
      </w:r>
      <w:r w:rsidR="00F862ED" w:rsidRPr="00BF6F6A">
        <w:rPr>
          <w:i/>
          <w:iCs/>
          <w:shd w:val="clear" w:color="auto" w:fill="FFFFFF"/>
        </w:rPr>
        <w:t>of these policies”</w:t>
      </w:r>
      <w:r w:rsidR="00107FD6">
        <w:rPr>
          <w:shd w:val="clear" w:color="auto" w:fill="FFFFFF"/>
        </w:rPr>
        <w:t>. P2 shrugging his arms with disappointment</w:t>
      </w:r>
      <w:r w:rsidR="00A44D6B" w:rsidRPr="00BF6F6A">
        <w:rPr>
          <w:shd w:val="clear" w:color="auto" w:fill="FFFFFF"/>
        </w:rPr>
        <w:t xml:space="preserve"> suggested that there </w:t>
      </w:r>
      <w:r w:rsidR="002A0E8B">
        <w:rPr>
          <w:shd w:val="clear" w:color="auto" w:fill="FFFFFF"/>
        </w:rPr>
        <w:t>are</w:t>
      </w:r>
      <w:r w:rsidR="00A44D6B" w:rsidRPr="00BF6F6A">
        <w:rPr>
          <w:shd w:val="clear" w:color="auto" w:fill="FFFFFF"/>
        </w:rPr>
        <w:t xml:space="preserve"> “</w:t>
      </w:r>
      <w:r w:rsidR="00F054A5" w:rsidRPr="00BF6F6A">
        <w:rPr>
          <w:i/>
          <w:iCs/>
          <w:shd w:val="clear" w:color="auto" w:fill="FFFFFF"/>
        </w:rPr>
        <w:t xml:space="preserve">a lot of questions, </w:t>
      </w:r>
      <w:r w:rsidRPr="00BF6F6A">
        <w:rPr>
          <w:i/>
          <w:iCs/>
          <w:shd w:val="clear" w:color="auto" w:fill="FFFFFF"/>
        </w:rPr>
        <w:t>[on</w:t>
      </w:r>
      <w:r w:rsidR="00C65601" w:rsidRPr="00BF6F6A">
        <w:rPr>
          <w:i/>
          <w:iCs/>
          <w:shd w:val="clear" w:color="auto" w:fill="FFFFFF"/>
        </w:rPr>
        <w:t>e</w:t>
      </w:r>
      <w:r w:rsidRPr="00BF6F6A">
        <w:rPr>
          <w:i/>
          <w:iCs/>
          <w:shd w:val="clear" w:color="auto" w:fill="FFFFFF"/>
        </w:rPr>
        <w:t>]</w:t>
      </w:r>
      <w:r w:rsidR="00F054A5" w:rsidRPr="00BF6F6A">
        <w:rPr>
          <w:i/>
          <w:iCs/>
          <w:shd w:val="clear" w:color="auto" w:fill="FFFFFF"/>
        </w:rPr>
        <w:t xml:space="preserve"> can upload almost anything</w:t>
      </w:r>
      <w:r w:rsidR="00A43DC9" w:rsidRPr="00BF6F6A">
        <w:rPr>
          <w:i/>
          <w:iCs/>
          <w:shd w:val="clear" w:color="auto" w:fill="FFFFFF"/>
        </w:rPr>
        <w:t>,</w:t>
      </w:r>
      <w:r w:rsidR="00F054A5" w:rsidRPr="00BF6F6A">
        <w:rPr>
          <w:i/>
          <w:iCs/>
          <w:shd w:val="clear" w:color="auto" w:fill="FFFFFF"/>
        </w:rPr>
        <w:t xml:space="preserve"> and as long as the policy itself covers the items or topics, </w:t>
      </w:r>
      <w:r w:rsidRPr="00BF6F6A">
        <w:rPr>
          <w:i/>
          <w:iCs/>
          <w:shd w:val="clear" w:color="auto" w:fill="FFFFFF"/>
        </w:rPr>
        <w:t>[the building is]</w:t>
      </w:r>
      <w:r w:rsidR="00F054A5" w:rsidRPr="00BF6F6A">
        <w:rPr>
          <w:i/>
          <w:iCs/>
          <w:shd w:val="clear" w:color="auto" w:fill="FFFFFF"/>
        </w:rPr>
        <w:t xml:space="preserve"> awarded full points”</w:t>
      </w:r>
      <w:r w:rsidR="00612E5E" w:rsidRPr="00BF6F6A">
        <w:rPr>
          <w:shd w:val="clear" w:color="auto" w:fill="FFFFFF"/>
        </w:rPr>
        <w:t xml:space="preserve"> (P2).</w:t>
      </w:r>
      <w:r w:rsidR="00F054A5" w:rsidRPr="00BF6F6A">
        <w:rPr>
          <w:i/>
          <w:iCs/>
          <w:shd w:val="clear" w:color="auto" w:fill="FFFFFF"/>
        </w:rPr>
        <w:t xml:space="preserve"> </w:t>
      </w:r>
      <w:r w:rsidR="00A44D6B" w:rsidRPr="00BF6F6A">
        <w:rPr>
          <w:shd w:val="clear" w:color="auto" w:fill="FFFFFF"/>
        </w:rPr>
        <w:t xml:space="preserve">Thus, participants </w:t>
      </w:r>
      <w:r w:rsidR="00107FD6">
        <w:rPr>
          <w:shd w:val="clear" w:color="auto" w:fill="FFFFFF"/>
        </w:rPr>
        <w:t>were clear</w:t>
      </w:r>
      <w:r w:rsidR="00A44D6B" w:rsidRPr="00BF6F6A">
        <w:rPr>
          <w:shd w:val="clear" w:color="auto" w:fill="FFFFFF"/>
        </w:rPr>
        <w:t xml:space="preserve"> that it should </w:t>
      </w:r>
      <w:r w:rsidR="00F054A5" w:rsidRPr="00BF6F6A">
        <w:rPr>
          <w:shd w:val="clear" w:color="auto" w:fill="FFFFFF"/>
        </w:rPr>
        <w:t xml:space="preserve">be GRESB’s responsibility </w:t>
      </w:r>
      <w:r w:rsidR="00A44D6B" w:rsidRPr="00BF6F6A">
        <w:rPr>
          <w:shd w:val="clear" w:color="auto" w:fill="FFFFFF"/>
        </w:rPr>
        <w:t xml:space="preserve">to check </w:t>
      </w:r>
      <w:r w:rsidR="002C1EDC" w:rsidRPr="00BF6F6A">
        <w:rPr>
          <w:shd w:val="clear" w:color="auto" w:fill="FFFFFF"/>
        </w:rPr>
        <w:t>claims</w:t>
      </w:r>
      <w:r w:rsidR="00A44D6B" w:rsidRPr="00BF6F6A">
        <w:rPr>
          <w:shd w:val="clear" w:color="auto" w:fill="FFFFFF"/>
        </w:rPr>
        <w:t xml:space="preserve"> (e.g. via other disclosures)</w:t>
      </w:r>
      <w:r w:rsidR="00107FD6">
        <w:rPr>
          <w:shd w:val="clear" w:color="auto" w:fill="FFFFFF"/>
        </w:rPr>
        <w:t xml:space="preserve"> but as P2 complained that</w:t>
      </w:r>
      <w:r w:rsidR="00F054A5" w:rsidRPr="00BF6F6A">
        <w:rPr>
          <w:i/>
          <w:iCs/>
          <w:shd w:val="clear" w:color="auto" w:fill="FFFFFF"/>
        </w:rPr>
        <w:t xml:space="preserve"> </w:t>
      </w:r>
      <w:r w:rsidR="002C1EDC" w:rsidRPr="00BF6F6A">
        <w:rPr>
          <w:i/>
          <w:iCs/>
          <w:shd w:val="clear" w:color="auto" w:fill="FFFFFF"/>
        </w:rPr>
        <w:t>“</w:t>
      </w:r>
      <w:r w:rsidR="00F054A5" w:rsidRPr="00BF6F6A">
        <w:rPr>
          <w:i/>
          <w:iCs/>
          <w:shd w:val="clear" w:color="auto" w:fill="FFFFFF"/>
        </w:rPr>
        <w:t xml:space="preserve">it seems like </w:t>
      </w:r>
      <w:r w:rsidR="00107FD6">
        <w:rPr>
          <w:i/>
          <w:iCs/>
          <w:shd w:val="clear" w:color="auto" w:fill="FFFFFF"/>
        </w:rPr>
        <w:t>[GRESB is]</w:t>
      </w:r>
      <w:r w:rsidR="00F054A5" w:rsidRPr="00BF6F6A">
        <w:rPr>
          <w:i/>
          <w:iCs/>
          <w:shd w:val="clear" w:color="auto" w:fill="FFFFFF"/>
        </w:rPr>
        <w:t xml:space="preserve"> not doing that analysis</w:t>
      </w:r>
      <w:r w:rsidR="002C1EDC" w:rsidRPr="00BF6F6A">
        <w:rPr>
          <w:i/>
          <w:iCs/>
          <w:shd w:val="clear" w:color="auto" w:fill="FFFFFF"/>
        </w:rPr>
        <w:t>”</w:t>
      </w:r>
      <w:r w:rsidR="00612E5E" w:rsidRPr="00BF6F6A">
        <w:rPr>
          <w:shd w:val="clear" w:color="auto" w:fill="FFFFFF"/>
        </w:rPr>
        <w:t>.</w:t>
      </w:r>
      <w:r w:rsidR="002C1EDC" w:rsidRPr="00BF6F6A">
        <w:rPr>
          <w:i/>
          <w:iCs/>
          <w:shd w:val="clear" w:color="auto" w:fill="FFFFFF"/>
        </w:rPr>
        <w:t xml:space="preserve"> </w:t>
      </w:r>
      <w:r w:rsidRPr="00BF6F6A">
        <w:rPr>
          <w:shd w:val="clear" w:color="auto" w:fill="FFFFFF"/>
        </w:rPr>
        <w:t>Moreover, p</w:t>
      </w:r>
      <w:r w:rsidR="002C1EDC" w:rsidRPr="00BF6F6A">
        <w:rPr>
          <w:shd w:val="clear" w:color="auto" w:fill="FFFFFF"/>
        </w:rPr>
        <w:t>articipant</w:t>
      </w:r>
      <w:r w:rsidRPr="00BF6F6A">
        <w:rPr>
          <w:shd w:val="clear" w:color="auto" w:fill="FFFFFF"/>
        </w:rPr>
        <w:t>s</w:t>
      </w:r>
      <w:r w:rsidR="002C1EDC" w:rsidRPr="00BF6F6A">
        <w:rPr>
          <w:shd w:val="clear" w:color="auto" w:fill="FFFFFF"/>
        </w:rPr>
        <w:t xml:space="preserve"> </w:t>
      </w:r>
      <w:r w:rsidR="002A0E8B">
        <w:rPr>
          <w:shd w:val="clear" w:color="auto" w:fill="FFFFFF"/>
        </w:rPr>
        <w:t xml:space="preserve">felt disappointed and </w:t>
      </w:r>
      <w:r w:rsidR="00A44D6B" w:rsidRPr="00BF6F6A">
        <w:rPr>
          <w:shd w:val="clear" w:color="auto" w:fill="FFFFFF"/>
        </w:rPr>
        <w:t xml:space="preserve">questioned </w:t>
      </w:r>
      <w:r w:rsidR="003D2FC7" w:rsidRPr="00BF6F6A">
        <w:rPr>
          <w:shd w:val="clear" w:color="auto" w:fill="FFFFFF"/>
        </w:rPr>
        <w:t xml:space="preserve">the </w:t>
      </w:r>
      <w:r w:rsidR="00650D2F" w:rsidRPr="00BF6F6A">
        <w:rPr>
          <w:shd w:val="clear" w:color="auto" w:fill="FFFFFF"/>
        </w:rPr>
        <w:t>rationale</w:t>
      </w:r>
      <w:r w:rsidR="003D2FC7" w:rsidRPr="00BF6F6A">
        <w:rPr>
          <w:shd w:val="clear" w:color="auto" w:fill="FFFFFF"/>
        </w:rPr>
        <w:t xml:space="preserve"> behind being able to score 100% in the management component year on year, raising </w:t>
      </w:r>
      <w:r w:rsidR="004C367E" w:rsidRPr="00BF6F6A">
        <w:rPr>
          <w:shd w:val="clear" w:color="auto" w:fill="FFFFFF"/>
        </w:rPr>
        <w:t>greenwashing concerns</w:t>
      </w:r>
      <w:r w:rsidRPr="00BF6F6A">
        <w:rPr>
          <w:shd w:val="clear" w:color="auto" w:fill="FFFFFF"/>
        </w:rPr>
        <w:t xml:space="preserve"> as</w:t>
      </w:r>
      <w:r w:rsidR="004C367E" w:rsidRPr="00BF6F6A">
        <w:rPr>
          <w:shd w:val="clear" w:color="auto" w:fill="FFFFFF"/>
        </w:rPr>
        <w:t xml:space="preserve"> </w:t>
      </w:r>
      <w:r w:rsidR="004C367E" w:rsidRPr="00BF6F6A">
        <w:rPr>
          <w:i/>
          <w:iCs/>
          <w:shd w:val="clear" w:color="auto" w:fill="FFFFFF"/>
        </w:rPr>
        <w:t>“there</w:t>
      </w:r>
      <w:r w:rsidRPr="00BF6F6A">
        <w:rPr>
          <w:i/>
          <w:iCs/>
          <w:shd w:val="clear" w:color="auto" w:fill="FFFFFF"/>
        </w:rPr>
        <w:t xml:space="preserve"> are</w:t>
      </w:r>
      <w:r w:rsidR="004C367E" w:rsidRPr="00BF6F6A">
        <w:rPr>
          <w:i/>
          <w:iCs/>
          <w:shd w:val="clear" w:color="auto" w:fill="FFFFFF"/>
        </w:rPr>
        <w:t xml:space="preserve"> a lot more ways to be greenwash</w:t>
      </w:r>
      <w:r w:rsidR="00A44D6B" w:rsidRPr="00BF6F6A">
        <w:rPr>
          <w:i/>
          <w:iCs/>
          <w:shd w:val="clear" w:color="auto" w:fill="FFFFFF"/>
        </w:rPr>
        <w:t>-</w:t>
      </w:r>
      <w:r w:rsidR="004C367E" w:rsidRPr="00BF6F6A">
        <w:rPr>
          <w:i/>
          <w:iCs/>
          <w:shd w:val="clear" w:color="auto" w:fill="FFFFFF"/>
        </w:rPr>
        <w:t xml:space="preserve">proof and put more weight on whether or not </w:t>
      </w:r>
      <w:r w:rsidRPr="00BF6F6A">
        <w:rPr>
          <w:i/>
          <w:iCs/>
          <w:shd w:val="clear" w:color="auto" w:fill="FFFFFF"/>
        </w:rPr>
        <w:t>one</w:t>
      </w:r>
      <w:r w:rsidR="004C367E" w:rsidRPr="00BF6F6A">
        <w:rPr>
          <w:i/>
          <w:iCs/>
          <w:shd w:val="clear" w:color="auto" w:fill="FFFFFF"/>
        </w:rPr>
        <w:t xml:space="preserve"> ha</w:t>
      </w:r>
      <w:r w:rsidRPr="00BF6F6A">
        <w:rPr>
          <w:i/>
          <w:iCs/>
          <w:shd w:val="clear" w:color="auto" w:fill="FFFFFF"/>
        </w:rPr>
        <w:t>s</w:t>
      </w:r>
      <w:r w:rsidR="004C367E" w:rsidRPr="00BF6F6A">
        <w:rPr>
          <w:i/>
          <w:iCs/>
          <w:shd w:val="clear" w:color="auto" w:fill="FFFFFF"/>
        </w:rPr>
        <w:t xml:space="preserve"> science-based targets</w:t>
      </w:r>
      <w:r w:rsidRPr="00BF6F6A">
        <w:rPr>
          <w:i/>
          <w:iCs/>
          <w:shd w:val="clear" w:color="auto" w:fill="FFFFFF"/>
        </w:rPr>
        <w:t xml:space="preserve">” </w:t>
      </w:r>
      <w:r w:rsidR="00612E5E" w:rsidRPr="00BF6F6A">
        <w:rPr>
          <w:shd w:val="clear" w:color="auto" w:fill="FFFFFF"/>
        </w:rPr>
        <w:t>(P5)</w:t>
      </w:r>
      <w:r w:rsidR="00612E5E" w:rsidRPr="00BF6F6A">
        <w:rPr>
          <w:i/>
          <w:iCs/>
          <w:shd w:val="clear" w:color="auto" w:fill="FFFFFF"/>
        </w:rPr>
        <w:t xml:space="preserve"> </w:t>
      </w:r>
      <w:r w:rsidRPr="00BF6F6A">
        <w:rPr>
          <w:shd w:val="clear" w:color="auto" w:fill="FFFFFF"/>
        </w:rPr>
        <w:t>and concluded that even though they</w:t>
      </w:r>
      <w:r w:rsidR="004C367E" w:rsidRPr="00BF6F6A">
        <w:rPr>
          <w:shd w:val="clear" w:color="auto" w:fill="FFFFFF"/>
        </w:rPr>
        <w:t xml:space="preserve"> d</w:t>
      </w:r>
      <w:r w:rsidRPr="00BF6F6A">
        <w:rPr>
          <w:shd w:val="clear" w:color="auto" w:fill="FFFFFF"/>
        </w:rPr>
        <w:t>id</w:t>
      </w:r>
      <w:r w:rsidR="004C367E" w:rsidRPr="00BF6F6A">
        <w:rPr>
          <w:shd w:val="clear" w:color="auto" w:fill="FFFFFF"/>
        </w:rPr>
        <w:t xml:space="preserve"> have a science-based target </w:t>
      </w:r>
      <w:r w:rsidRPr="00BF6F6A">
        <w:rPr>
          <w:shd w:val="clear" w:color="auto" w:fill="FFFFFF"/>
        </w:rPr>
        <w:t>they scored</w:t>
      </w:r>
      <w:r w:rsidR="004C367E" w:rsidRPr="00BF6F6A">
        <w:rPr>
          <w:shd w:val="clear" w:color="auto" w:fill="FFFFFF"/>
        </w:rPr>
        <w:t xml:space="preserve"> 100%.</w:t>
      </w:r>
      <w:r w:rsidR="00454D9A" w:rsidRPr="00BF6F6A">
        <w:rPr>
          <w:shd w:val="clear" w:color="auto" w:fill="FFFFFF"/>
        </w:rPr>
        <w:t xml:space="preserve"> </w:t>
      </w:r>
      <w:r w:rsidRPr="00BF6F6A">
        <w:rPr>
          <w:shd w:val="clear" w:color="auto" w:fill="FFFFFF"/>
        </w:rPr>
        <w:t>P</w:t>
      </w:r>
      <w:r w:rsidR="00454D9A" w:rsidRPr="00BF6F6A">
        <w:rPr>
          <w:shd w:val="clear" w:color="auto" w:fill="FFFFFF"/>
        </w:rPr>
        <w:t>articipant</w:t>
      </w:r>
      <w:r w:rsidRPr="00BF6F6A">
        <w:rPr>
          <w:shd w:val="clear" w:color="auto" w:fill="FFFFFF"/>
        </w:rPr>
        <w:t>s</w:t>
      </w:r>
      <w:r w:rsidR="005630D5" w:rsidRPr="00BF6F6A">
        <w:rPr>
          <w:shd w:val="clear" w:color="auto" w:fill="FFFFFF"/>
        </w:rPr>
        <w:t xml:space="preserve"> felt that </w:t>
      </w:r>
      <w:r w:rsidR="00454D9A" w:rsidRPr="00BF6F6A">
        <w:rPr>
          <w:shd w:val="clear" w:color="auto" w:fill="FFFFFF"/>
        </w:rPr>
        <w:t xml:space="preserve">GRESB </w:t>
      </w:r>
      <w:r w:rsidR="005630D5" w:rsidRPr="00BF6F6A">
        <w:rPr>
          <w:shd w:val="clear" w:color="auto" w:fill="FFFFFF"/>
        </w:rPr>
        <w:t xml:space="preserve">is more suited to companies with </w:t>
      </w:r>
      <w:r w:rsidR="00574799" w:rsidRPr="00BF6F6A">
        <w:rPr>
          <w:shd w:val="clear" w:color="auto" w:fill="FFFFFF"/>
        </w:rPr>
        <w:t>portfolios</w:t>
      </w:r>
      <w:r w:rsidR="005630D5" w:rsidRPr="00BF6F6A">
        <w:rPr>
          <w:shd w:val="clear" w:color="auto" w:fill="FFFFFF"/>
        </w:rPr>
        <w:t xml:space="preserve"> of larger buildings</w:t>
      </w:r>
      <w:r w:rsidR="00574799" w:rsidRPr="00BF6F6A">
        <w:rPr>
          <w:shd w:val="clear" w:color="auto" w:fill="FFFFFF"/>
        </w:rPr>
        <w:t xml:space="preserve">: </w:t>
      </w:r>
      <w:r w:rsidR="00574799" w:rsidRPr="00BF6F6A">
        <w:rPr>
          <w:i/>
          <w:iCs/>
          <w:shd w:val="clear" w:color="auto" w:fill="FFFFFF"/>
        </w:rPr>
        <w:t>“I think it just means it's a bit harder to collect, submit all the data and potentially lose points by not having particular plans, BMS building managers</w:t>
      </w:r>
      <w:r w:rsidR="004D06AB" w:rsidRPr="00BF6F6A">
        <w:rPr>
          <w:i/>
          <w:iCs/>
          <w:shd w:val="clear" w:color="auto" w:fill="FFFFFF"/>
        </w:rPr>
        <w:t>, for</w:t>
      </w:r>
      <w:r w:rsidR="00574799" w:rsidRPr="00BF6F6A">
        <w:rPr>
          <w:i/>
          <w:iCs/>
          <w:shd w:val="clear" w:color="auto" w:fill="FFFFFF"/>
        </w:rPr>
        <w:t xml:space="preserve"> the likes </w:t>
      </w:r>
      <w:r w:rsidR="004D06AB" w:rsidRPr="00BF6F6A">
        <w:rPr>
          <w:i/>
          <w:iCs/>
          <w:shd w:val="clear" w:color="auto" w:fill="FFFFFF"/>
        </w:rPr>
        <w:t>of</w:t>
      </w:r>
      <w:r w:rsidR="00574799" w:rsidRPr="00BF6F6A">
        <w:rPr>
          <w:i/>
          <w:iCs/>
          <w:shd w:val="clear" w:color="auto" w:fill="FFFFFF"/>
        </w:rPr>
        <w:t xml:space="preserve"> individual building versus doing at a corporate level and being difficult to report”</w:t>
      </w:r>
      <w:r w:rsidR="00025EEE" w:rsidRPr="00BF6F6A">
        <w:rPr>
          <w:i/>
          <w:iCs/>
          <w:shd w:val="clear" w:color="auto" w:fill="FFFFFF"/>
        </w:rPr>
        <w:t xml:space="preserve"> </w:t>
      </w:r>
      <w:r w:rsidR="00612E5E" w:rsidRPr="00BF6F6A">
        <w:rPr>
          <w:shd w:val="clear" w:color="auto" w:fill="FFFFFF"/>
        </w:rPr>
        <w:t>(P7)</w:t>
      </w:r>
      <w:r w:rsidR="00612E5E" w:rsidRPr="00BF6F6A">
        <w:rPr>
          <w:i/>
          <w:iCs/>
          <w:shd w:val="clear" w:color="auto" w:fill="FFFFFF"/>
        </w:rPr>
        <w:t>.</w:t>
      </w:r>
    </w:p>
    <w:p w14:paraId="60CC7A18" w14:textId="58CC8641" w:rsidR="00A47C38" w:rsidRDefault="00485790" w:rsidP="00945055">
      <w:pPr>
        <w:ind w:firstLine="720"/>
        <w:jc w:val="both"/>
        <w:rPr>
          <w:shd w:val="clear" w:color="auto" w:fill="FFFFFF"/>
        </w:rPr>
      </w:pPr>
      <w:r w:rsidRPr="00BF6F6A">
        <w:rPr>
          <w:shd w:val="clear" w:color="auto" w:fill="FFFFFF"/>
        </w:rPr>
        <w:t xml:space="preserve">With </w:t>
      </w:r>
      <w:r w:rsidR="0095776C" w:rsidRPr="00BF6F6A">
        <w:rPr>
          <w:shd w:val="clear" w:color="auto" w:fill="FFFFFF"/>
        </w:rPr>
        <w:t>respect</w:t>
      </w:r>
      <w:r w:rsidRPr="00BF6F6A">
        <w:rPr>
          <w:shd w:val="clear" w:color="auto" w:fill="FFFFFF"/>
        </w:rPr>
        <w:t xml:space="preserve"> to</w:t>
      </w:r>
      <w:r w:rsidR="00A47C38" w:rsidRPr="00BF6F6A">
        <w:rPr>
          <w:shd w:val="clear" w:color="auto" w:fill="FFFFFF"/>
        </w:rPr>
        <w:t xml:space="preserve"> experience with other sustainability benchmarks</w:t>
      </w:r>
      <w:r w:rsidRPr="00BF6F6A">
        <w:rPr>
          <w:shd w:val="clear" w:color="auto" w:fill="FFFFFF"/>
        </w:rPr>
        <w:t xml:space="preserve">, </w:t>
      </w:r>
      <w:r w:rsidR="003B4F8D" w:rsidRPr="00BF6F6A">
        <w:rPr>
          <w:shd w:val="clear" w:color="auto" w:fill="FFFFFF"/>
        </w:rPr>
        <w:t xml:space="preserve">most of the </w:t>
      </w:r>
      <w:r w:rsidRPr="00BF6F6A">
        <w:rPr>
          <w:shd w:val="clear" w:color="auto" w:fill="FFFFFF"/>
        </w:rPr>
        <w:t>participants confirmed that they we</w:t>
      </w:r>
      <w:r w:rsidR="00A47C38" w:rsidRPr="00BF6F6A">
        <w:rPr>
          <w:shd w:val="clear" w:color="auto" w:fill="FFFFFF"/>
        </w:rPr>
        <w:t xml:space="preserve">re working with sustainability benchmarks </w:t>
      </w:r>
      <w:r w:rsidRPr="00BF6F6A">
        <w:rPr>
          <w:shd w:val="clear" w:color="auto" w:fill="FFFFFF"/>
        </w:rPr>
        <w:t>such as</w:t>
      </w:r>
      <w:r w:rsidR="00A47C38" w:rsidRPr="00BF6F6A">
        <w:rPr>
          <w:shd w:val="clear" w:color="auto" w:fill="FFFFFF"/>
        </w:rPr>
        <w:t xml:space="preserve"> Sustainalytics, ISS ESG, CPD and Gaia Rating. The main difference</w:t>
      </w:r>
      <w:r w:rsidR="00A632FA" w:rsidRPr="00BF6F6A">
        <w:rPr>
          <w:shd w:val="clear" w:color="auto" w:fill="FFFFFF"/>
        </w:rPr>
        <w:t xml:space="preserve"> was that as opposed to GRESB, </w:t>
      </w:r>
      <w:r w:rsidR="00A47C38" w:rsidRPr="00BF6F6A">
        <w:rPr>
          <w:shd w:val="clear" w:color="auto" w:fill="FFFFFF"/>
        </w:rPr>
        <w:t xml:space="preserve">neither Sustainalytics nor ISS ESG were </w:t>
      </w:r>
      <w:r w:rsidR="00E36F51" w:rsidRPr="00BF6F6A">
        <w:rPr>
          <w:shd w:val="clear" w:color="auto" w:fill="FFFFFF"/>
        </w:rPr>
        <w:t>industry specific</w:t>
      </w:r>
      <w:r w:rsidRPr="00BF6F6A">
        <w:rPr>
          <w:shd w:val="clear" w:color="auto" w:fill="FFFFFF"/>
        </w:rPr>
        <w:t xml:space="preserve">. </w:t>
      </w:r>
      <w:r w:rsidR="00A47C38" w:rsidRPr="00BF6F6A">
        <w:rPr>
          <w:shd w:val="clear" w:color="auto" w:fill="FFFFFF"/>
        </w:rPr>
        <w:t xml:space="preserve">GRESB was </w:t>
      </w:r>
      <w:r w:rsidRPr="00BF6F6A">
        <w:rPr>
          <w:shd w:val="clear" w:color="auto" w:fill="FFFFFF"/>
        </w:rPr>
        <w:t>noted as</w:t>
      </w:r>
      <w:r w:rsidR="0095776C" w:rsidRPr="00BF6F6A">
        <w:rPr>
          <w:shd w:val="clear" w:color="auto" w:fill="FFFFFF"/>
        </w:rPr>
        <w:t xml:space="preserve"> </w:t>
      </w:r>
      <w:r w:rsidRPr="00BF6F6A">
        <w:rPr>
          <w:shd w:val="clear" w:color="auto" w:fill="FFFFFF"/>
        </w:rPr>
        <w:t xml:space="preserve">superior to CPD due to its </w:t>
      </w:r>
      <w:r w:rsidR="00A47C38" w:rsidRPr="00BF6F6A">
        <w:rPr>
          <w:shd w:val="clear" w:color="auto" w:fill="FFFFFF"/>
        </w:rPr>
        <w:t>benchmark</w:t>
      </w:r>
      <w:r w:rsidRPr="00BF6F6A">
        <w:rPr>
          <w:shd w:val="clear" w:color="auto" w:fill="FFFFFF"/>
        </w:rPr>
        <w:t>ing</w:t>
      </w:r>
      <w:r w:rsidR="00A47C38" w:rsidRPr="00BF6F6A">
        <w:rPr>
          <w:shd w:val="clear" w:color="auto" w:fill="FFFFFF"/>
        </w:rPr>
        <w:t xml:space="preserve"> for operational performance</w:t>
      </w:r>
      <w:r w:rsidR="00A47C38" w:rsidRPr="00BF6F6A">
        <w:rPr>
          <w:i/>
          <w:iCs/>
          <w:shd w:val="clear" w:color="auto" w:fill="FFFFFF"/>
        </w:rPr>
        <w:t xml:space="preserve">. </w:t>
      </w:r>
      <w:r w:rsidR="00A47C38" w:rsidRPr="00BF6F6A">
        <w:rPr>
          <w:shd w:val="clear" w:color="auto" w:fill="FFFFFF"/>
        </w:rPr>
        <w:t xml:space="preserve">On the other hand, </w:t>
      </w:r>
      <w:r w:rsidR="00107FD6">
        <w:rPr>
          <w:shd w:val="clear" w:color="auto" w:fill="FFFFFF"/>
        </w:rPr>
        <w:t xml:space="preserve">P6 confidently praised </w:t>
      </w:r>
      <w:r w:rsidR="00A47C38" w:rsidRPr="00BF6F6A">
        <w:rPr>
          <w:shd w:val="clear" w:color="auto" w:fill="FFFFFF"/>
        </w:rPr>
        <w:t xml:space="preserve">the Gaia rating </w:t>
      </w:r>
      <w:r w:rsidR="00107FD6">
        <w:rPr>
          <w:shd w:val="clear" w:color="auto" w:fill="FFFFFF"/>
        </w:rPr>
        <w:t xml:space="preserve">for being </w:t>
      </w:r>
      <w:r w:rsidR="00A47C38" w:rsidRPr="00BF6F6A">
        <w:rPr>
          <w:i/>
          <w:iCs/>
          <w:shd w:val="clear" w:color="auto" w:fill="FFFFFF"/>
        </w:rPr>
        <w:t>“much less complicated</w:t>
      </w:r>
      <w:r w:rsidR="000F5540" w:rsidRPr="00BF6F6A">
        <w:rPr>
          <w:i/>
          <w:iCs/>
          <w:shd w:val="clear" w:color="auto" w:fill="FFFFFF"/>
        </w:rPr>
        <w:t xml:space="preserve"> [as it]</w:t>
      </w:r>
      <w:r w:rsidR="00A47C38" w:rsidRPr="00BF6F6A">
        <w:rPr>
          <w:i/>
          <w:iCs/>
          <w:shd w:val="clear" w:color="auto" w:fill="FFFFFF"/>
        </w:rPr>
        <w:t xml:space="preserve"> has less questions and the process is less heavy to handle”</w:t>
      </w:r>
      <w:r w:rsidR="00612E5E" w:rsidRPr="00BF6F6A">
        <w:rPr>
          <w:shd w:val="clear" w:color="auto" w:fill="FFFFFF"/>
        </w:rPr>
        <w:t>.</w:t>
      </w:r>
    </w:p>
    <w:p w14:paraId="3BCB4BF7" w14:textId="77777777" w:rsidR="00FD0D5D" w:rsidRDefault="00FD0D5D" w:rsidP="00FD0D5D">
      <w:pPr>
        <w:jc w:val="both"/>
        <w:rPr>
          <w:shd w:val="clear" w:color="auto" w:fill="FFFFFF"/>
        </w:rPr>
      </w:pPr>
    </w:p>
    <w:p w14:paraId="4E9C619E" w14:textId="0554FBEF" w:rsidR="00FD0D5D" w:rsidRPr="000307F8" w:rsidRDefault="00FD0D5D" w:rsidP="004F7B84">
      <w:pPr>
        <w:pStyle w:val="Heading3"/>
        <w:numPr>
          <w:ilvl w:val="0"/>
          <w:numId w:val="0"/>
        </w:numPr>
        <w:spacing w:before="0" w:after="0"/>
        <w:rPr>
          <w:shd w:val="clear" w:color="auto" w:fill="FFFFFF"/>
        </w:rPr>
      </w:pPr>
      <w:r w:rsidRPr="004F7B84">
        <w:rPr>
          <w:rFonts w:cs="Times New Roman"/>
          <w:u w:val="none"/>
          <w:shd w:val="clear" w:color="auto" w:fill="FFFFFF"/>
        </w:rPr>
        <w:t>Overall reflection on GRESB</w:t>
      </w:r>
    </w:p>
    <w:p w14:paraId="4E341D0A" w14:textId="39474DFF" w:rsidR="00FD0D5D" w:rsidRPr="00C34B43" w:rsidRDefault="00FD0D5D" w:rsidP="00C34B43">
      <w:pPr>
        <w:jc w:val="both"/>
        <w:rPr>
          <w:shd w:val="clear" w:color="auto" w:fill="FFFFFF"/>
        </w:rPr>
      </w:pPr>
      <w:r>
        <w:rPr>
          <w:shd w:val="clear" w:color="auto" w:fill="FFFFFF"/>
        </w:rPr>
        <w:t xml:space="preserve">While explicit questions regarding </w:t>
      </w:r>
      <w:r w:rsidR="005A230A">
        <w:rPr>
          <w:shd w:val="clear" w:color="auto" w:fill="FFFFFF"/>
        </w:rPr>
        <w:t xml:space="preserve">participant’s </w:t>
      </w:r>
      <w:r>
        <w:rPr>
          <w:shd w:val="clear" w:color="auto" w:fill="FFFFFF"/>
        </w:rPr>
        <w:t xml:space="preserve">overall reflections on the use </w:t>
      </w:r>
      <w:r w:rsidR="000F21BC">
        <w:rPr>
          <w:shd w:val="clear" w:color="auto" w:fill="FFFFFF"/>
        </w:rPr>
        <w:t xml:space="preserve">of </w:t>
      </w:r>
      <w:r>
        <w:rPr>
          <w:shd w:val="clear" w:color="auto" w:fill="FFFFFF"/>
        </w:rPr>
        <w:t>GRES</w:t>
      </w:r>
      <w:r w:rsidR="000F21BC">
        <w:rPr>
          <w:shd w:val="clear" w:color="auto" w:fill="FFFFFF"/>
        </w:rPr>
        <w:t>B</w:t>
      </w:r>
      <w:r>
        <w:rPr>
          <w:shd w:val="clear" w:color="auto" w:fill="FFFFFF"/>
        </w:rPr>
        <w:t xml:space="preserve"> were not asked,</w:t>
      </w:r>
      <w:r w:rsidR="000F21BC">
        <w:rPr>
          <w:shd w:val="clear" w:color="auto" w:fill="FFFFFF"/>
        </w:rPr>
        <w:t xml:space="preserve"> in general</w:t>
      </w:r>
      <w:r w:rsidR="005A230A">
        <w:rPr>
          <w:shd w:val="clear" w:color="auto" w:fill="FFFFFF"/>
        </w:rPr>
        <w:t>, p</w:t>
      </w:r>
      <w:r w:rsidR="000F21BC">
        <w:rPr>
          <w:shd w:val="clear" w:color="auto" w:fill="FFFFFF"/>
        </w:rPr>
        <w:t xml:space="preserve">articipants were </w:t>
      </w:r>
      <w:r w:rsidR="005A230A">
        <w:rPr>
          <w:shd w:val="clear" w:color="auto" w:fill="FFFFFF"/>
        </w:rPr>
        <w:t xml:space="preserve">upbeat and </w:t>
      </w:r>
      <w:r w:rsidR="000F21BC" w:rsidRPr="00C34B43">
        <w:rPr>
          <w:shd w:val="clear" w:color="auto" w:fill="FFFFFF"/>
        </w:rPr>
        <w:t>positive about the use of GRESB</w:t>
      </w:r>
      <w:r w:rsidR="00C34B43" w:rsidRPr="00C34B43">
        <w:rPr>
          <w:shd w:val="clear" w:color="auto" w:fill="FFFFFF"/>
        </w:rPr>
        <w:t xml:space="preserve"> and saw it as a remedy for </w:t>
      </w:r>
      <w:r w:rsidR="00C34B43" w:rsidRPr="004F7B84">
        <w:rPr>
          <w:i/>
          <w:iCs/>
          <w:shd w:val="clear" w:color="auto" w:fill="FFFFFF"/>
        </w:rPr>
        <w:t>“fluffy sustainability reports”</w:t>
      </w:r>
      <w:r w:rsidR="00C34B43" w:rsidRPr="004F7B84">
        <w:rPr>
          <w:shd w:val="clear" w:color="auto" w:fill="FFFFFF"/>
        </w:rPr>
        <w:t xml:space="preserve"> (P2)</w:t>
      </w:r>
      <w:r w:rsidR="00C34B43" w:rsidRPr="00C34B43">
        <w:rPr>
          <w:shd w:val="clear" w:color="auto" w:fill="FFFFFF"/>
        </w:rPr>
        <w:t xml:space="preserve">. As one of the participants noted: </w:t>
      </w:r>
      <w:r w:rsidR="00C34B43" w:rsidRPr="004F7B84">
        <w:rPr>
          <w:i/>
          <w:iCs/>
          <w:shd w:val="clear" w:color="auto" w:fill="FFFFFF"/>
        </w:rPr>
        <w:t>“</w:t>
      </w:r>
      <w:r w:rsidR="00C34B43" w:rsidRPr="004F7B84">
        <w:rPr>
          <w:i/>
          <w:iCs/>
          <w:lang w:val="en-US"/>
        </w:rPr>
        <w:t xml:space="preserve">To us as an organization [GRESB is] both challenging and inspiring. […]. I think it has helped us maybe move faster than we would have done otherwise because [of] the competition element” </w:t>
      </w:r>
      <w:r w:rsidR="00C34B43" w:rsidRPr="00C34B43">
        <w:rPr>
          <w:lang w:val="en-US"/>
        </w:rPr>
        <w:t xml:space="preserve">(P2). Further, participants </w:t>
      </w:r>
      <w:r w:rsidR="002902E2">
        <w:rPr>
          <w:lang w:val="en-US"/>
        </w:rPr>
        <w:t>felt</w:t>
      </w:r>
      <w:r w:rsidR="00C34B43" w:rsidRPr="00C34B43">
        <w:rPr>
          <w:lang w:val="en-US"/>
        </w:rPr>
        <w:t xml:space="preserve"> that “</w:t>
      </w:r>
      <w:r w:rsidR="00C34B43" w:rsidRPr="004F7B84">
        <w:rPr>
          <w:i/>
          <w:iCs/>
          <w:lang w:val="en-US"/>
        </w:rPr>
        <w:t>whatever they're doing to permeate the industry it seems to be working”</w:t>
      </w:r>
      <w:r w:rsidR="00C34B43" w:rsidRPr="004F7B84">
        <w:rPr>
          <w:lang w:val="en-US"/>
        </w:rPr>
        <w:t xml:space="preserve"> (P1) and that it is </w:t>
      </w:r>
      <w:r w:rsidR="00C34B43" w:rsidRPr="004F7B84">
        <w:rPr>
          <w:i/>
          <w:iCs/>
          <w:lang w:val="en-US"/>
        </w:rPr>
        <w:t>“handy knowing that many of our peers are all on board with the same ESG benchmark”</w:t>
      </w:r>
      <w:r w:rsidR="00C34B43" w:rsidRPr="004F7B84">
        <w:rPr>
          <w:lang w:val="en-US"/>
        </w:rPr>
        <w:t xml:space="preserve"> (P1). This explains why </w:t>
      </w:r>
      <w:r w:rsidR="005F6619">
        <w:rPr>
          <w:lang w:val="en-US"/>
        </w:rPr>
        <w:t xml:space="preserve">despite GRESB weaknesses, </w:t>
      </w:r>
      <w:r w:rsidR="00C34B43" w:rsidRPr="00C34B43">
        <w:rPr>
          <w:shd w:val="clear" w:color="auto" w:fill="FFFFFF"/>
        </w:rPr>
        <w:t xml:space="preserve">the participants </w:t>
      </w:r>
      <w:r w:rsidR="005F6619">
        <w:rPr>
          <w:shd w:val="clear" w:color="auto" w:fill="FFFFFF"/>
        </w:rPr>
        <w:t xml:space="preserve">have not suggested alternatives to GRESB and instead </w:t>
      </w:r>
      <w:r w:rsidR="00C34B43" w:rsidRPr="00C34B43">
        <w:rPr>
          <w:shd w:val="clear" w:color="auto" w:fill="FFFFFF"/>
        </w:rPr>
        <w:t xml:space="preserve">were </w:t>
      </w:r>
      <w:r w:rsidR="000F21BC" w:rsidRPr="00C34B43">
        <w:rPr>
          <w:shd w:val="clear" w:color="auto" w:fill="FFFFFF"/>
        </w:rPr>
        <w:t xml:space="preserve">somewhat forgiving expecting that desired changes can be </w:t>
      </w:r>
      <w:r w:rsidR="005F6619">
        <w:rPr>
          <w:shd w:val="clear" w:color="auto" w:fill="FFFFFF"/>
        </w:rPr>
        <w:t xml:space="preserve">easily </w:t>
      </w:r>
      <w:r w:rsidR="000F21BC" w:rsidRPr="00C34B43">
        <w:rPr>
          <w:shd w:val="clear" w:color="auto" w:fill="FFFFFF"/>
        </w:rPr>
        <w:t xml:space="preserve">made to ensure </w:t>
      </w:r>
      <w:r w:rsidR="00C34B43">
        <w:rPr>
          <w:shd w:val="clear" w:color="auto" w:fill="FFFFFF"/>
        </w:rPr>
        <w:t xml:space="preserve">that </w:t>
      </w:r>
      <w:r w:rsidR="000F21BC" w:rsidRPr="00C34B43">
        <w:rPr>
          <w:shd w:val="clear" w:color="auto" w:fill="FFFFFF"/>
        </w:rPr>
        <w:t xml:space="preserve">this benchmark is fit for purpose and worth the effort. </w:t>
      </w:r>
    </w:p>
    <w:p w14:paraId="5CA8170B" w14:textId="77777777" w:rsidR="00420ACC" w:rsidRPr="00BF6F6A" w:rsidRDefault="00420ACC" w:rsidP="003B4F8D">
      <w:pPr>
        <w:jc w:val="both"/>
        <w:rPr>
          <w:shd w:val="clear" w:color="auto" w:fill="FFFFFF"/>
        </w:rPr>
      </w:pPr>
    </w:p>
    <w:p w14:paraId="7F54E65E" w14:textId="7A9B3F24" w:rsidR="00C743AB" w:rsidRPr="00BF6F6A" w:rsidRDefault="00364979" w:rsidP="003B4F8D">
      <w:pPr>
        <w:pStyle w:val="Heading2"/>
        <w:spacing w:before="0" w:after="0"/>
        <w:rPr>
          <w:rFonts w:eastAsia="Calibri" w:cs="Times New Roman"/>
          <w:b w:val="0"/>
          <w:sz w:val="29"/>
          <w:szCs w:val="22"/>
        </w:rPr>
      </w:pPr>
      <w:r w:rsidRPr="00BF6F6A">
        <w:rPr>
          <w:rFonts w:eastAsia="Calibri" w:cs="Times New Roman"/>
          <w:b w:val="0"/>
          <w:sz w:val="29"/>
          <w:szCs w:val="22"/>
        </w:rPr>
        <w:t>4.3</w:t>
      </w:r>
      <w:r w:rsidR="00DB5577" w:rsidRPr="00BF6F6A">
        <w:rPr>
          <w:rFonts w:eastAsia="Calibri" w:cs="Times New Roman"/>
          <w:b w:val="0"/>
          <w:sz w:val="29"/>
          <w:szCs w:val="22"/>
        </w:rPr>
        <w:t xml:space="preserve"> </w:t>
      </w:r>
      <w:bookmarkStart w:id="34" w:name="_Toc99882251"/>
      <w:r w:rsidRPr="00BF6F6A">
        <w:rPr>
          <w:rFonts w:eastAsia="Calibri" w:cs="Times New Roman"/>
          <w:b w:val="0"/>
          <w:sz w:val="29"/>
          <w:szCs w:val="22"/>
        </w:rPr>
        <w:t xml:space="preserve">Verification of the </w:t>
      </w:r>
      <w:r w:rsidR="00FC0B3A" w:rsidRPr="00BF6F6A">
        <w:rPr>
          <w:rFonts w:eastAsia="Calibri" w:cs="Times New Roman"/>
          <w:b w:val="0"/>
          <w:sz w:val="29"/>
          <w:szCs w:val="22"/>
        </w:rPr>
        <w:t xml:space="preserve">GRESB </w:t>
      </w:r>
      <w:r w:rsidR="00FE48E5" w:rsidRPr="00BF6F6A">
        <w:rPr>
          <w:rFonts w:eastAsia="Calibri" w:cs="Times New Roman"/>
          <w:b w:val="0"/>
          <w:sz w:val="29"/>
          <w:szCs w:val="22"/>
        </w:rPr>
        <w:t>f</w:t>
      </w:r>
      <w:r w:rsidRPr="00BF6F6A">
        <w:rPr>
          <w:rFonts w:eastAsia="Calibri" w:cs="Times New Roman"/>
          <w:b w:val="0"/>
          <w:sz w:val="29"/>
          <w:szCs w:val="22"/>
        </w:rPr>
        <w:t>indings</w:t>
      </w:r>
      <w:bookmarkStart w:id="35" w:name="_Hlk98852698"/>
      <w:bookmarkEnd w:id="34"/>
    </w:p>
    <w:p w14:paraId="4F6A4B39" w14:textId="7F87F611" w:rsidR="00935ED7" w:rsidRPr="00BF6F6A" w:rsidRDefault="00D52388" w:rsidP="003B4F8D">
      <w:pPr>
        <w:jc w:val="both"/>
      </w:pPr>
      <w:r w:rsidRPr="00BF6F6A">
        <w:t xml:space="preserve">To validate the above observations, a </w:t>
      </w:r>
      <w:r w:rsidR="00090944" w:rsidRPr="00BF6F6A">
        <w:t xml:space="preserve">GRESB </w:t>
      </w:r>
      <w:r w:rsidRPr="00BF6F6A">
        <w:t>representative in a</w:t>
      </w:r>
      <w:r w:rsidR="00090944" w:rsidRPr="00BF6F6A">
        <w:t xml:space="preserve"> </w:t>
      </w:r>
      <w:r w:rsidR="0095776C" w:rsidRPr="00BF6F6A">
        <w:t>follow-up</w:t>
      </w:r>
      <w:r w:rsidR="00090944" w:rsidRPr="00BF6F6A">
        <w:t xml:space="preserve"> exploratory conversation provid</w:t>
      </w:r>
      <w:r w:rsidRPr="00BF6F6A">
        <w:t>ed</w:t>
      </w:r>
      <w:r w:rsidR="00090944" w:rsidRPr="00BF6F6A">
        <w:t xml:space="preserve"> insight</w:t>
      </w:r>
      <w:r w:rsidRPr="00BF6F6A">
        <w:t>s</w:t>
      </w:r>
      <w:r w:rsidR="00090944" w:rsidRPr="00BF6F6A">
        <w:t xml:space="preserve"> on the main challenges and weaknesses identified by the study participants</w:t>
      </w:r>
      <w:r w:rsidR="00F5668F" w:rsidRPr="00BF6F6A">
        <w:t xml:space="preserve"> to highlight potential areas for improvement</w:t>
      </w:r>
      <w:r w:rsidR="00601643" w:rsidRPr="00BF6F6A">
        <w:t>s</w:t>
      </w:r>
      <w:r w:rsidRPr="00BF6F6A">
        <w:t>.</w:t>
      </w:r>
      <w:r w:rsidR="004C0684" w:rsidRPr="00BF6F6A">
        <w:t xml:space="preserve"> </w:t>
      </w:r>
      <w:r w:rsidR="00911A78" w:rsidRPr="00BF6F6A">
        <w:t xml:space="preserve">Participants </w:t>
      </w:r>
      <w:r w:rsidR="00DD5AA3" w:rsidRPr="00BF6F6A">
        <w:t xml:space="preserve">were </w:t>
      </w:r>
      <w:r w:rsidR="00FC19B9" w:rsidRPr="00BF6F6A">
        <w:t>concerned</w:t>
      </w:r>
      <w:r w:rsidR="00FB5F2A" w:rsidRPr="00BF6F6A">
        <w:t xml:space="preserve"> </w:t>
      </w:r>
      <w:r w:rsidR="00DD5AA3" w:rsidRPr="00BF6F6A">
        <w:t xml:space="preserve">about </w:t>
      </w:r>
      <w:r w:rsidR="00FB5F2A" w:rsidRPr="00BF6F6A">
        <w:t xml:space="preserve">the perceived greenwashing </w:t>
      </w:r>
      <w:r w:rsidR="0095776C" w:rsidRPr="00BF6F6A">
        <w:t>that affects</w:t>
      </w:r>
      <w:r w:rsidR="00FB5F2A" w:rsidRPr="00BF6F6A">
        <w:t xml:space="preserve"> investor behaviour</w:t>
      </w:r>
      <w:r w:rsidR="0095776C" w:rsidRPr="00BF6F6A">
        <w:t xml:space="preserve">, to which </w:t>
      </w:r>
      <w:r w:rsidR="00267FF1" w:rsidRPr="00BF6F6A">
        <w:t>GRESB</w:t>
      </w:r>
      <w:r w:rsidR="00DD5AA3" w:rsidRPr="00BF6F6A">
        <w:t>’s</w:t>
      </w:r>
      <w:r w:rsidR="00267FF1" w:rsidRPr="00BF6F6A">
        <w:t xml:space="preserve"> response centre</w:t>
      </w:r>
      <w:r w:rsidR="0095776C" w:rsidRPr="00BF6F6A">
        <w:t>d</w:t>
      </w:r>
      <w:r w:rsidR="00267FF1" w:rsidRPr="00BF6F6A">
        <w:t xml:space="preserve"> around</w:t>
      </w:r>
      <w:r w:rsidR="00C71A49" w:rsidRPr="00BF6F6A">
        <w:t xml:space="preserve"> the integrity of the participants and</w:t>
      </w:r>
      <w:r w:rsidR="00267FF1" w:rsidRPr="00BF6F6A">
        <w:t xml:space="preserve"> </w:t>
      </w:r>
      <w:r w:rsidR="00C71A49" w:rsidRPr="00BF6F6A">
        <w:t>the granularity</w:t>
      </w:r>
      <w:r w:rsidR="00EF3601" w:rsidRPr="00BF6F6A">
        <w:t xml:space="preserve"> </w:t>
      </w:r>
      <w:r w:rsidR="00C71A49" w:rsidRPr="00BF6F6A">
        <w:t xml:space="preserve">of the questions </w:t>
      </w:r>
      <w:r w:rsidR="00DD5AA3" w:rsidRPr="00BF6F6A">
        <w:t>and evidence to responses</w:t>
      </w:r>
      <w:r w:rsidR="00C71A49" w:rsidRPr="00BF6F6A">
        <w:t xml:space="preserve">: </w:t>
      </w:r>
      <w:r w:rsidR="00C71A49" w:rsidRPr="00BF6F6A">
        <w:rPr>
          <w:i/>
          <w:iCs/>
        </w:rPr>
        <w:t>“We don't just ask do you have ESG policies in place, if so, who is responsible for them? How do you reward policies relating to our targets? What are the metrics you use? So, for most of these questions we ask for further evidence and this does prevent a lot of participants that would try to engage in this type of behaviour</w:t>
      </w:r>
      <w:r w:rsidR="00FC19B9" w:rsidRPr="00BF6F6A">
        <w:rPr>
          <w:i/>
          <w:iCs/>
        </w:rPr>
        <w:t>”</w:t>
      </w:r>
      <w:r w:rsidR="00612E5E" w:rsidRPr="00BF6F6A">
        <w:rPr>
          <w:i/>
          <w:iCs/>
        </w:rPr>
        <w:t xml:space="preserve"> </w:t>
      </w:r>
      <w:r w:rsidR="00612E5E" w:rsidRPr="00BF6F6A">
        <w:t>(P8)</w:t>
      </w:r>
      <w:r w:rsidR="00E652AB" w:rsidRPr="00BF6F6A">
        <w:t>.</w:t>
      </w:r>
      <w:r w:rsidR="00C71A49" w:rsidRPr="00BF6F6A">
        <w:t xml:space="preserve"> </w:t>
      </w:r>
      <w:r w:rsidR="00B92DC5">
        <w:t>With</w:t>
      </w:r>
      <w:r w:rsidR="00E652AB" w:rsidRPr="00BF6F6A">
        <w:t xml:space="preserve"> </w:t>
      </w:r>
      <w:r w:rsidR="0095776C" w:rsidRPr="00BF6F6A">
        <w:t xml:space="preserve">respect </w:t>
      </w:r>
      <w:r w:rsidR="00E652AB" w:rsidRPr="00BF6F6A">
        <w:t xml:space="preserve">to the </w:t>
      </w:r>
      <w:r w:rsidR="00EF3601" w:rsidRPr="00BF6F6A">
        <w:t xml:space="preserve">transparency </w:t>
      </w:r>
      <w:r w:rsidR="00AE2073" w:rsidRPr="00BF6F6A">
        <w:t>of</w:t>
      </w:r>
      <w:r w:rsidR="00EF3601" w:rsidRPr="00BF6F6A">
        <w:t xml:space="preserve"> the benchmarking process</w:t>
      </w:r>
      <w:r w:rsidR="0095776C" w:rsidRPr="00BF6F6A">
        <w:t xml:space="preserve"> and </w:t>
      </w:r>
      <w:r w:rsidR="00EF3601" w:rsidRPr="00BF6F6A">
        <w:t>performance</w:t>
      </w:r>
      <w:r w:rsidR="00032A52" w:rsidRPr="00BF6F6A">
        <w:t xml:space="preserve"> and management scoring</w:t>
      </w:r>
      <w:r w:rsidR="0095776C" w:rsidRPr="00BF6F6A">
        <w:t>,</w:t>
      </w:r>
      <w:r w:rsidR="00032A52" w:rsidRPr="00BF6F6A">
        <w:t xml:space="preserve"> </w:t>
      </w:r>
      <w:r w:rsidR="00C27143" w:rsidRPr="00BF6F6A">
        <w:t xml:space="preserve">GRESB </w:t>
      </w:r>
      <w:r w:rsidR="0095776C" w:rsidRPr="00BF6F6A">
        <w:t xml:space="preserve">confirmed that </w:t>
      </w:r>
      <w:r w:rsidR="00032A52" w:rsidRPr="00BF6F6A">
        <w:t xml:space="preserve">this is problematic </w:t>
      </w:r>
      <w:r w:rsidR="0095776C" w:rsidRPr="00BF6F6A">
        <w:t xml:space="preserve">as </w:t>
      </w:r>
      <w:r w:rsidR="00C27143" w:rsidRPr="00BF6F6A">
        <w:t>it is easier to achieve higher scores in the management section</w:t>
      </w:r>
      <w:r w:rsidR="0095776C" w:rsidRPr="00BF6F6A">
        <w:t xml:space="preserve"> and stressed</w:t>
      </w:r>
      <w:r w:rsidR="00032A52" w:rsidRPr="00BF6F6A">
        <w:t xml:space="preserve"> that</w:t>
      </w:r>
      <w:r w:rsidR="00C27143" w:rsidRPr="00BF6F6A">
        <w:t xml:space="preserve"> </w:t>
      </w:r>
      <w:r w:rsidR="00C27143" w:rsidRPr="00BF6F6A">
        <w:rPr>
          <w:i/>
          <w:iCs/>
        </w:rPr>
        <w:t>“</w:t>
      </w:r>
      <w:r w:rsidR="00423F2B" w:rsidRPr="00BF6F6A">
        <w:rPr>
          <w:i/>
          <w:iCs/>
        </w:rPr>
        <w:t xml:space="preserve">GRESB tries </w:t>
      </w:r>
      <w:r w:rsidR="00423F2B" w:rsidRPr="00BF6F6A">
        <w:rPr>
          <w:i/>
          <w:iCs/>
        </w:rPr>
        <w:lastRenderedPageBreak/>
        <w:t xml:space="preserve">to measure </w:t>
      </w:r>
      <w:r w:rsidR="00032A52" w:rsidRPr="00BF6F6A">
        <w:rPr>
          <w:i/>
          <w:iCs/>
        </w:rPr>
        <w:t xml:space="preserve">[…] </w:t>
      </w:r>
      <w:r w:rsidR="00423F2B" w:rsidRPr="00BF6F6A">
        <w:rPr>
          <w:i/>
          <w:iCs/>
        </w:rPr>
        <w:t xml:space="preserve">not just </w:t>
      </w:r>
      <w:r w:rsidR="00032A52" w:rsidRPr="00BF6F6A">
        <w:rPr>
          <w:i/>
          <w:iCs/>
        </w:rPr>
        <w:t xml:space="preserve">[the] </w:t>
      </w:r>
      <w:r w:rsidR="00423F2B" w:rsidRPr="00BF6F6A">
        <w:rPr>
          <w:i/>
          <w:iCs/>
        </w:rPr>
        <w:t>policy, but also what kind of impact does this entity have on its community</w:t>
      </w:r>
      <w:r w:rsidR="00C27143" w:rsidRPr="00BF6F6A">
        <w:rPr>
          <w:i/>
          <w:iCs/>
        </w:rPr>
        <w:t>”</w:t>
      </w:r>
      <w:r w:rsidR="00423F2B" w:rsidRPr="00BF6F6A">
        <w:t xml:space="preserve"> </w:t>
      </w:r>
      <w:r w:rsidR="00612E5E" w:rsidRPr="00BF6F6A">
        <w:t xml:space="preserve">(P8). </w:t>
      </w:r>
    </w:p>
    <w:p w14:paraId="43E2376E" w14:textId="0B2CDD57" w:rsidR="00935ED7" w:rsidRPr="00BF6F6A" w:rsidRDefault="0095776C" w:rsidP="00935ED7">
      <w:pPr>
        <w:ind w:firstLine="720"/>
        <w:jc w:val="both"/>
        <w:rPr>
          <w:shd w:val="clear" w:color="auto" w:fill="FFFFFF"/>
        </w:rPr>
      </w:pPr>
      <w:r w:rsidRPr="00BF6F6A">
        <w:t>P</w:t>
      </w:r>
      <w:r w:rsidR="00423F2B" w:rsidRPr="00BF6F6A">
        <w:t>eer grouping</w:t>
      </w:r>
      <w:r w:rsidR="004B39B0" w:rsidRPr="00BF6F6A">
        <w:t>s</w:t>
      </w:r>
      <w:r w:rsidR="00EB02BA" w:rsidRPr="00BF6F6A">
        <w:t xml:space="preserve"> </w:t>
      </w:r>
      <w:r w:rsidR="00423F2B" w:rsidRPr="00BF6F6A">
        <w:t>and</w:t>
      </w:r>
      <w:r w:rsidR="00EB02BA" w:rsidRPr="00BF6F6A">
        <w:t xml:space="preserve"> </w:t>
      </w:r>
      <w:r w:rsidR="00423F2B" w:rsidRPr="00BF6F6A">
        <w:t>comparison</w:t>
      </w:r>
      <w:r w:rsidR="004B39B0" w:rsidRPr="00BF6F6A">
        <w:t>s</w:t>
      </w:r>
      <w:r w:rsidR="00F26E4B" w:rsidRPr="00BF6F6A">
        <w:t xml:space="preserve"> </w:t>
      </w:r>
      <w:r w:rsidR="00E95D24" w:rsidRPr="00BF6F6A">
        <w:t xml:space="preserve">have been observed to be problematic especially </w:t>
      </w:r>
      <w:r w:rsidR="000F1FDE" w:rsidRPr="00BF6F6A">
        <w:t>in terms of</w:t>
      </w:r>
      <w:r w:rsidR="00E95D24" w:rsidRPr="00BF6F6A">
        <w:t xml:space="preserve"> international or</w:t>
      </w:r>
      <w:r w:rsidR="00423F2B" w:rsidRPr="00BF6F6A">
        <w:t xml:space="preserve"> subsidiar</w:t>
      </w:r>
      <w:r w:rsidR="00E95D24" w:rsidRPr="00BF6F6A">
        <w:t xml:space="preserve">y </w:t>
      </w:r>
      <w:r w:rsidR="000F1FDE" w:rsidRPr="00BF6F6A">
        <w:t>comparisons</w:t>
      </w:r>
      <w:r w:rsidR="00E95D24" w:rsidRPr="00BF6F6A">
        <w:t xml:space="preserve">. As peer-grouping is based </w:t>
      </w:r>
      <w:r w:rsidR="00EE44A9" w:rsidRPr="00BF6F6A">
        <w:t>on location, property subtype, investment style</w:t>
      </w:r>
      <w:r w:rsidR="00E95D24" w:rsidRPr="00BF6F6A">
        <w:t xml:space="preserve"> </w:t>
      </w:r>
      <w:r w:rsidR="00F1327F" w:rsidRPr="00BF6F6A">
        <w:t>and</w:t>
      </w:r>
      <w:r w:rsidR="00E95D24" w:rsidRPr="00BF6F6A">
        <w:t xml:space="preserve"> depending on the location,</w:t>
      </w:r>
      <w:r w:rsidR="00E95D24" w:rsidRPr="00BF6F6A">
        <w:rPr>
          <w:i/>
          <w:iCs/>
        </w:rPr>
        <w:t xml:space="preserve"> “</w:t>
      </w:r>
      <w:r w:rsidR="00EE44A9" w:rsidRPr="00BF6F6A">
        <w:rPr>
          <w:i/>
          <w:iCs/>
        </w:rPr>
        <w:t xml:space="preserve">a company can have two different submissions </w:t>
      </w:r>
      <w:r w:rsidR="00E95D24" w:rsidRPr="00BF6F6A">
        <w:rPr>
          <w:i/>
          <w:iCs/>
        </w:rPr>
        <w:t>[…]</w:t>
      </w:r>
      <w:r w:rsidR="00EE44A9" w:rsidRPr="00BF6F6A">
        <w:rPr>
          <w:i/>
          <w:iCs/>
        </w:rPr>
        <w:t xml:space="preserve">. So even if you are in the same company, we will compare you </w:t>
      </w:r>
      <w:r w:rsidR="00E95D24" w:rsidRPr="00BF6F6A">
        <w:rPr>
          <w:i/>
          <w:iCs/>
        </w:rPr>
        <w:t xml:space="preserve">[to] </w:t>
      </w:r>
      <w:r w:rsidR="00EE44A9" w:rsidRPr="00BF6F6A">
        <w:rPr>
          <w:i/>
          <w:iCs/>
        </w:rPr>
        <w:t xml:space="preserve">where you are </w:t>
      </w:r>
      <w:r w:rsidR="00707BA2" w:rsidRPr="00BF6F6A">
        <w:rPr>
          <w:i/>
          <w:iCs/>
        </w:rPr>
        <w:t>located,</w:t>
      </w:r>
      <w:r w:rsidR="00EE44A9" w:rsidRPr="00BF6F6A">
        <w:rPr>
          <w:i/>
          <w:iCs/>
        </w:rPr>
        <w:t xml:space="preserve"> and we try to make the peer group as close as possible to the entity that is being scored”</w:t>
      </w:r>
      <w:r w:rsidR="00460355" w:rsidRPr="00BF6F6A">
        <w:t xml:space="preserve"> </w:t>
      </w:r>
      <w:r w:rsidR="00612E5E" w:rsidRPr="00BF6F6A">
        <w:t xml:space="preserve">(P8). </w:t>
      </w:r>
      <w:r w:rsidR="00E95D24" w:rsidRPr="00BF6F6A">
        <w:rPr>
          <w:shd w:val="clear" w:color="auto" w:fill="FFFFFF"/>
        </w:rPr>
        <w:t>T</w:t>
      </w:r>
      <w:r w:rsidR="00CF6775" w:rsidRPr="00BF6F6A">
        <w:rPr>
          <w:shd w:val="clear" w:color="auto" w:fill="FFFFFF"/>
        </w:rPr>
        <w:t xml:space="preserve">he </w:t>
      </w:r>
      <w:r w:rsidR="00C80AB6" w:rsidRPr="00BF6F6A">
        <w:rPr>
          <w:shd w:val="clear" w:color="auto" w:fill="FFFFFF"/>
        </w:rPr>
        <w:t>social</w:t>
      </w:r>
      <w:r w:rsidR="00CF6775" w:rsidRPr="00BF6F6A">
        <w:rPr>
          <w:shd w:val="clear" w:color="auto" w:fill="FFFFFF"/>
        </w:rPr>
        <w:t xml:space="preserve"> aspect of </w:t>
      </w:r>
      <w:r w:rsidR="00C80AB6" w:rsidRPr="00BF6F6A">
        <w:rPr>
          <w:shd w:val="clear" w:color="auto" w:fill="FFFFFF"/>
        </w:rPr>
        <w:t xml:space="preserve">ESG </w:t>
      </w:r>
      <w:r w:rsidR="004A1C99" w:rsidRPr="00BF6F6A">
        <w:rPr>
          <w:shd w:val="clear" w:color="auto" w:fill="FFFFFF"/>
        </w:rPr>
        <w:t>requires</w:t>
      </w:r>
      <w:r w:rsidR="00CF6775" w:rsidRPr="00BF6F6A">
        <w:rPr>
          <w:shd w:val="clear" w:color="auto" w:fill="FFFFFF"/>
        </w:rPr>
        <w:t xml:space="preserve"> more focus, in particular regarding health and wellbeing, </w:t>
      </w:r>
      <w:r w:rsidR="00BB3F9E" w:rsidRPr="00BF6F6A">
        <w:rPr>
          <w:shd w:val="clear" w:color="auto" w:fill="FFFFFF"/>
        </w:rPr>
        <w:t>diversity</w:t>
      </w:r>
      <w:r w:rsidR="00CF6775" w:rsidRPr="00BF6F6A">
        <w:rPr>
          <w:shd w:val="clear" w:color="auto" w:fill="FFFFFF"/>
        </w:rPr>
        <w:t xml:space="preserve"> and inclusion</w:t>
      </w:r>
      <w:r w:rsidR="00C80AB6" w:rsidRPr="00BF6F6A">
        <w:rPr>
          <w:shd w:val="clear" w:color="auto" w:fill="FFFFFF"/>
        </w:rPr>
        <w:t>,</w:t>
      </w:r>
      <w:r w:rsidR="00CF6775" w:rsidRPr="00BF6F6A">
        <w:rPr>
          <w:shd w:val="clear" w:color="auto" w:fill="FFFFFF"/>
        </w:rPr>
        <w:t xml:space="preserve"> </w:t>
      </w:r>
      <w:r w:rsidR="00C80AB6" w:rsidRPr="00BF6F6A">
        <w:rPr>
          <w:shd w:val="clear" w:color="auto" w:fill="FFFFFF"/>
        </w:rPr>
        <w:t>and</w:t>
      </w:r>
      <w:r w:rsidR="005555C1" w:rsidRPr="00BF6F6A">
        <w:rPr>
          <w:shd w:val="clear" w:color="auto" w:fill="FFFFFF"/>
        </w:rPr>
        <w:t xml:space="preserve"> </w:t>
      </w:r>
      <w:r w:rsidR="00CF6775" w:rsidRPr="00BF6F6A">
        <w:rPr>
          <w:shd w:val="clear" w:color="auto" w:fill="FFFFFF"/>
        </w:rPr>
        <w:t xml:space="preserve">other sustainability benchmarks </w:t>
      </w:r>
      <w:r w:rsidR="00E95D24" w:rsidRPr="00BF6F6A">
        <w:rPr>
          <w:shd w:val="clear" w:color="auto" w:fill="FFFFFF"/>
        </w:rPr>
        <w:t>focusing on</w:t>
      </w:r>
      <w:r w:rsidR="00CF6775" w:rsidRPr="00BF6F6A">
        <w:rPr>
          <w:shd w:val="clear" w:color="auto" w:fill="FFFFFF"/>
        </w:rPr>
        <w:t xml:space="preserve"> the social and governance </w:t>
      </w:r>
      <w:r w:rsidR="00E95D24" w:rsidRPr="00BF6F6A">
        <w:rPr>
          <w:shd w:val="clear" w:color="auto" w:fill="FFFFFF"/>
        </w:rPr>
        <w:t>characteristics</w:t>
      </w:r>
      <w:r w:rsidR="004A1C99" w:rsidRPr="00BF6F6A">
        <w:rPr>
          <w:shd w:val="clear" w:color="auto" w:fill="FFFFFF"/>
        </w:rPr>
        <w:t>, which</w:t>
      </w:r>
      <w:r w:rsidR="005555C1" w:rsidRPr="00BF6F6A">
        <w:rPr>
          <w:shd w:val="clear" w:color="auto" w:fill="FFFFFF"/>
        </w:rPr>
        <w:t xml:space="preserve"> </w:t>
      </w:r>
      <w:r w:rsidR="00C80AB6" w:rsidRPr="00BF6F6A">
        <w:rPr>
          <w:shd w:val="clear" w:color="auto" w:fill="FFFFFF"/>
        </w:rPr>
        <w:t xml:space="preserve">GRESB acknowledged </w:t>
      </w:r>
      <w:r w:rsidR="004A1C99" w:rsidRPr="00BF6F6A">
        <w:rPr>
          <w:shd w:val="clear" w:color="auto" w:fill="FFFFFF"/>
        </w:rPr>
        <w:t>as one of their priority areas.</w:t>
      </w:r>
      <w:r w:rsidR="000F1FDE" w:rsidRPr="00BF6F6A">
        <w:rPr>
          <w:shd w:val="clear" w:color="auto" w:fill="FFFFFF"/>
        </w:rPr>
        <w:t xml:space="preserve"> </w:t>
      </w:r>
    </w:p>
    <w:p w14:paraId="435B3D0B" w14:textId="1DF7E07D" w:rsidR="00FA53E2" w:rsidRPr="00BF6F6A" w:rsidRDefault="00E36EBA" w:rsidP="00935ED7">
      <w:pPr>
        <w:ind w:firstLine="720"/>
        <w:jc w:val="both"/>
        <w:rPr>
          <w:shd w:val="clear" w:color="auto" w:fill="FFFFFF"/>
        </w:rPr>
      </w:pPr>
      <w:r w:rsidRPr="00BF6F6A">
        <w:rPr>
          <w:shd w:val="clear" w:color="auto" w:fill="FFFFFF"/>
        </w:rPr>
        <w:t>The time</w:t>
      </w:r>
      <w:r w:rsidR="004C0684" w:rsidRPr="00BF6F6A">
        <w:rPr>
          <w:shd w:val="clear" w:color="auto" w:fill="FFFFFF"/>
        </w:rPr>
        <w:t>-</w:t>
      </w:r>
      <w:r w:rsidRPr="00BF6F6A">
        <w:rPr>
          <w:shd w:val="clear" w:color="auto" w:fill="FFFFFF"/>
        </w:rPr>
        <w:t xml:space="preserve">consuming </w:t>
      </w:r>
      <w:r w:rsidR="00CA0974" w:rsidRPr="00BF6F6A">
        <w:rPr>
          <w:shd w:val="clear" w:color="auto" w:fill="FFFFFF"/>
        </w:rPr>
        <w:t>a</w:t>
      </w:r>
      <w:r w:rsidR="004C0684" w:rsidRPr="00BF6F6A">
        <w:rPr>
          <w:shd w:val="clear" w:color="auto" w:fill="FFFFFF"/>
        </w:rPr>
        <w:t xml:space="preserve">nd labour-intensive </w:t>
      </w:r>
      <w:r w:rsidRPr="00BF6F6A">
        <w:rPr>
          <w:shd w:val="clear" w:color="auto" w:fill="FFFFFF"/>
        </w:rPr>
        <w:t xml:space="preserve">process was seen as </w:t>
      </w:r>
      <w:r w:rsidR="00333579" w:rsidRPr="00BF6F6A">
        <w:rPr>
          <w:shd w:val="clear" w:color="auto" w:fill="FFFFFF"/>
        </w:rPr>
        <w:t xml:space="preserve">giving the impression that </w:t>
      </w:r>
      <w:r w:rsidR="004C0684" w:rsidRPr="00BF6F6A">
        <w:rPr>
          <w:shd w:val="clear" w:color="auto" w:fill="FFFFFF"/>
        </w:rPr>
        <w:t xml:space="preserve">GRESB would be </w:t>
      </w:r>
      <w:r w:rsidR="003B4F8D" w:rsidRPr="00BF6F6A">
        <w:rPr>
          <w:shd w:val="clear" w:color="auto" w:fill="FFFFFF"/>
        </w:rPr>
        <w:t>targeting</w:t>
      </w:r>
      <w:r w:rsidR="00333579" w:rsidRPr="00BF6F6A">
        <w:rPr>
          <w:shd w:val="clear" w:color="auto" w:fill="FFFFFF"/>
        </w:rPr>
        <w:t xml:space="preserve"> larger companies with more time and resources</w:t>
      </w:r>
      <w:r w:rsidR="004C0684" w:rsidRPr="00BF6F6A">
        <w:rPr>
          <w:shd w:val="clear" w:color="auto" w:fill="FFFFFF"/>
        </w:rPr>
        <w:t xml:space="preserve">, which was acknowledged by </w:t>
      </w:r>
      <w:r w:rsidR="00333579" w:rsidRPr="00BF6F6A">
        <w:rPr>
          <w:shd w:val="clear" w:color="auto" w:fill="FFFFFF"/>
        </w:rPr>
        <w:t>GRESB</w:t>
      </w:r>
      <w:r w:rsidR="004C0684" w:rsidRPr="00BF6F6A">
        <w:rPr>
          <w:shd w:val="clear" w:color="auto" w:fill="FFFFFF"/>
        </w:rPr>
        <w:t>. GRESB also noted that p</w:t>
      </w:r>
      <w:r w:rsidR="00127B2C" w:rsidRPr="00BF6F6A">
        <w:rPr>
          <w:shd w:val="clear" w:color="auto" w:fill="FFFFFF"/>
        </w:rPr>
        <w:t>articipants are allowed to outsource submission</w:t>
      </w:r>
      <w:r w:rsidR="004C0684" w:rsidRPr="00BF6F6A">
        <w:rPr>
          <w:shd w:val="clear" w:color="auto" w:fill="FFFFFF"/>
        </w:rPr>
        <w:t xml:space="preserve"> preparation </w:t>
      </w:r>
      <w:r w:rsidR="00127B2C" w:rsidRPr="00BF6F6A">
        <w:rPr>
          <w:shd w:val="clear" w:color="auto" w:fill="FFFFFF"/>
        </w:rPr>
        <w:t xml:space="preserve">and </w:t>
      </w:r>
      <w:r w:rsidR="004C0684" w:rsidRPr="00BF6F6A">
        <w:rPr>
          <w:shd w:val="clear" w:color="auto" w:fill="FFFFFF"/>
        </w:rPr>
        <w:t xml:space="preserve">that </w:t>
      </w:r>
      <w:r w:rsidR="00127B2C" w:rsidRPr="00BF6F6A">
        <w:rPr>
          <w:shd w:val="clear" w:color="auto" w:fill="FFFFFF"/>
        </w:rPr>
        <w:t xml:space="preserve">the following year </w:t>
      </w:r>
      <w:r w:rsidR="00127B2C" w:rsidRPr="00BF6F6A">
        <w:rPr>
          <w:i/>
          <w:iCs/>
          <w:shd w:val="clear" w:color="auto" w:fill="FFFFFF"/>
        </w:rPr>
        <w:t>“existing data entered is prefilled and recycled automatically and can be adjusted manually, on an ad-hoc basis</w:t>
      </w:r>
      <w:r w:rsidR="004C0684" w:rsidRPr="00BF6F6A">
        <w:rPr>
          <w:i/>
          <w:iCs/>
          <w:shd w:val="clear" w:color="auto" w:fill="FFFFFF"/>
        </w:rPr>
        <w:t xml:space="preserve"> [which]</w:t>
      </w:r>
      <w:r w:rsidR="00127B2C" w:rsidRPr="00BF6F6A">
        <w:rPr>
          <w:i/>
          <w:iCs/>
          <w:shd w:val="clear" w:color="auto" w:fill="FFFFFF"/>
        </w:rPr>
        <w:t xml:space="preserve"> drops the reporting burden significantly</w:t>
      </w:r>
      <w:r w:rsidR="004C0684" w:rsidRPr="00BF6F6A">
        <w:rPr>
          <w:i/>
          <w:iCs/>
          <w:shd w:val="clear" w:color="auto" w:fill="FFFFFF"/>
        </w:rPr>
        <w:t xml:space="preserve"> [and] </w:t>
      </w:r>
      <w:r w:rsidR="00FA53E2" w:rsidRPr="00BF6F6A">
        <w:rPr>
          <w:i/>
          <w:iCs/>
          <w:shd w:val="clear" w:color="auto" w:fill="FFFFFF"/>
        </w:rPr>
        <w:t xml:space="preserve">our guidance is very clear. </w:t>
      </w:r>
      <w:r w:rsidR="00107FD6" w:rsidRPr="004F7B84">
        <w:rPr>
          <w:shd w:val="clear" w:color="auto" w:fill="FFFFFF"/>
        </w:rPr>
        <w:t xml:space="preserve">They then proudly and confidently confirmed that they </w:t>
      </w:r>
      <w:r w:rsidR="00107FD6">
        <w:rPr>
          <w:i/>
          <w:iCs/>
          <w:shd w:val="clear" w:color="auto" w:fill="FFFFFF"/>
        </w:rPr>
        <w:t>“</w:t>
      </w:r>
      <w:r w:rsidR="00FA53E2" w:rsidRPr="00BF6F6A">
        <w:rPr>
          <w:i/>
          <w:iCs/>
          <w:shd w:val="clear" w:color="auto" w:fill="FFFFFF"/>
        </w:rPr>
        <w:t xml:space="preserve">always encourage our participants to read the instructions, everything is there, and we try to make the portal very </w:t>
      </w:r>
      <w:r w:rsidR="004C0684" w:rsidRPr="00BF6F6A">
        <w:rPr>
          <w:i/>
          <w:iCs/>
          <w:shd w:val="clear" w:color="auto" w:fill="FFFFFF"/>
        </w:rPr>
        <w:t>user-friendly</w:t>
      </w:r>
      <w:r w:rsidR="00127B2C" w:rsidRPr="00BF6F6A">
        <w:rPr>
          <w:i/>
          <w:iCs/>
          <w:shd w:val="clear" w:color="auto" w:fill="FFFFFF"/>
        </w:rPr>
        <w:t>”</w:t>
      </w:r>
      <w:r w:rsidR="004C0684" w:rsidRPr="00BF6F6A">
        <w:rPr>
          <w:shd w:val="clear" w:color="auto" w:fill="FFFFFF"/>
        </w:rPr>
        <w:t xml:space="preserve"> </w:t>
      </w:r>
      <w:r w:rsidR="00612E5E" w:rsidRPr="00BF6F6A">
        <w:rPr>
          <w:shd w:val="clear" w:color="auto" w:fill="FFFFFF"/>
        </w:rPr>
        <w:t xml:space="preserve">(P8). </w:t>
      </w:r>
      <w:r w:rsidR="00CA5B79" w:rsidRPr="00BF6F6A">
        <w:rPr>
          <w:shd w:val="clear" w:color="auto" w:fill="FFFFFF"/>
        </w:rPr>
        <w:t>A</w:t>
      </w:r>
      <w:r w:rsidR="00FA53E2" w:rsidRPr="00BF6F6A">
        <w:rPr>
          <w:shd w:val="clear" w:color="auto" w:fill="FFFFFF"/>
        </w:rPr>
        <w:t xml:space="preserve">n additional challenge </w:t>
      </w:r>
      <w:r w:rsidR="000F1FDE" w:rsidRPr="00BF6F6A">
        <w:rPr>
          <w:shd w:val="clear" w:color="auto" w:fill="FFFFFF"/>
        </w:rPr>
        <w:t>was non-English language documentation</w:t>
      </w:r>
      <w:r w:rsidR="00CA0974" w:rsidRPr="00BF6F6A">
        <w:rPr>
          <w:shd w:val="clear" w:color="auto" w:fill="FFFFFF"/>
        </w:rPr>
        <w:t>.</w:t>
      </w:r>
      <w:r w:rsidR="000F1FDE" w:rsidRPr="00BF6F6A">
        <w:rPr>
          <w:shd w:val="clear" w:color="auto" w:fill="FFFFFF"/>
        </w:rPr>
        <w:t xml:space="preserve"> </w:t>
      </w:r>
      <w:r w:rsidR="00CA0974" w:rsidRPr="00BF6F6A">
        <w:rPr>
          <w:shd w:val="clear" w:color="auto" w:fill="FFFFFF"/>
        </w:rPr>
        <w:t>T</w:t>
      </w:r>
      <w:r w:rsidR="004C0684" w:rsidRPr="00BF6F6A">
        <w:rPr>
          <w:shd w:val="clear" w:color="auto" w:fill="FFFFFF"/>
        </w:rPr>
        <w:t xml:space="preserve">o which </w:t>
      </w:r>
      <w:r w:rsidR="00684D3C" w:rsidRPr="00BF6F6A">
        <w:rPr>
          <w:shd w:val="clear" w:color="auto" w:fill="FFFFFF"/>
        </w:rPr>
        <w:t xml:space="preserve">GRESB </w:t>
      </w:r>
      <w:r w:rsidR="00107FD6">
        <w:rPr>
          <w:shd w:val="clear" w:color="auto" w:fill="FFFFFF"/>
        </w:rPr>
        <w:t xml:space="preserve">with surprise </w:t>
      </w:r>
      <w:r w:rsidR="00684D3C" w:rsidRPr="00BF6F6A">
        <w:rPr>
          <w:shd w:val="clear" w:color="auto" w:fill="FFFFFF"/>
        </w:rPr>
        <w:t>clarifie</w:t>
      </w:r>
      <w:r w:rsidR="004C0684" w:rsidRPr="00BF6F6A">
        <w:rPr>
          <w:shd w:val="clear" w:color="auto" w:fill="FFFFFF"/>
        </w:rPr>
        <w:t>d that</w:t>
      </w:r>
      <w:r w:rsidR="00CF090E" w:rsidRPr="00BF6F6A">
        <w:rPr>
          <w:shd w:val="clear" w:color="auto" w:fill="FFFFFF"/>
        </w:rPr>
        <w:t xml:space="preserve"> complete translation </w:t>
      </w:r>
      <w:r w:rsidR="004C0684" w:rsidRPr="00BF6F6A">
        <w:rPr>
          <w:shd w:val="clear" w:color="auto" w:fill="FFFFFF"/>
        </w:rPr>
        <w:t>was no</w:t>
      </w:r>
      <w:r w:rsidR="00CF090E" w:rsidRPr="00BF6F6A">
        <w:rPr>
          <w:shd w:val="clear" w:color="auto" w:fill="FFFFFF"/>
        </w:rPr>
        <w:t>t required</w:t>
      </w:r>
      <w:r w:rsidR="008179A3" w:rsidRPr="00BF6F6A">
        <w:rPr>
          <w:shd w:val="clear" w:color="auto" w:fill="FFFFFF"/>
        </w:rPr>
        <w:t xml:space="preserve"> </w:t>
      </w:r>
      <w:r w:rsidR="004C0684" w:rsidRPr="00BF6F6A">
        <w:rPr>
          <w:shd w:val="clear" w:color="auto" w:fill="FFFFFF"/>
        </w:rPr>
        <w:t>as</w:t>
      </w:r>
      <w:r w:rsidR="008179A3" w:rsidRPr="00BF6F6A">
        <w:rPr>
          <w:shd w:val="clear" w:color="auto" w:fill="FFFFFF"/>
        </w:rPr>
        <w:t xml:space="preserve"> </w:t>
      </w:r>
      <w:r w:rsidR="00CF090E" w:rsidRPr="00BF6F6A">
        <w:rPr>
          <w:i/>
          <w:iCs/>
          <w:shd w:val="clear" w:color="auto" w:fill="FFFFFF"/>
        </w:rPr>
        <w:t>“the evidence can be in a different language, but you need to write in a text box in English an explanation on which page you can find the relevant data and translate some relevant sentences”</w:t>
      </w:r>
      <w:r w:rsidR="00CF090E" w:rsidRPr="00BF6F6A">
        <w:rPr>
          <w:shd w:val="clear" w:color="auto" w:fill="FFFFFF"/>
        </w:rPr>
        <w:t xml:space="preserve"> </w:t>
      </w:r>
      <w:r w:rsidR="00612E5E" w:rsidRPr="00BF6F6A">
        <w:rPr>
          <w:shd w:val="clear" w:color="auto" w:fill="FFFFFF"/>
        </w:rPr>
        <w:t>(P8).</w:t>
      </w:r>
    </w:p>
    <w:p w14:paraId="45AD98EB" w14:textId="77777777" w:rsidR="00420ACC" w:rsidRPr="00BF6F6A" w:rsidRDefault="00420ACC" w:rsidP="003B4F8D">
      <w:pPr>
        <w:jc w:val="both"/>
      </w:pPr>
    </w:p>
    <w:p w14:paraId="6DDB52AE" w14:textId="6A17CF82" w:rsidR="004C0684" w:rsidRPr="00BF6F6A" w:rsidRDefault="003B4F8D" w:rsidP="003B4F8D">
      <w:pPr>
        <w:pStyle w:val="Heading1"/>
        <w:tabs>
          <w:tab w:val="center" w:pos="1451"/>
        </w:tabs>
        <w:spacing w:before="0" w:after="0"/>
        <w:ind w:left="360"/>
        <w:rPr>
          <w:rFonts w:eastAsia="Calibri" w:cs="Times New Roman"/>
          <w:b w:val="0"/>
          <w:sz w:val="34"/>
          <w:szCs w:val="22"/>
          <w:u w:val="none"/>
        </w:rPr>
      </w:pPr>
      <w:bookmarkStart w:id="36" w:name="_Toc99882252"/>
      <w:bookmarkEnd w:id="35"/>
      <w:r w:rsidRPr="00BF6F6A">
        <w:rPr>
          <w:rFonts w:eastAsia="Calibri" w:cs="Times New Roman"/>
          <w:b w:val="0"/>
          <w:sz w:val="34"/>
          <w:szCs w:val="22"/>
          <w:u w:val="none"/>
        </w:rPr>
        <w:t xml:space="preserve">5. </w:t>
      </w:r>
      <w:r w:rsidR="00A82E53" w:rsidRPr="00BF6F6A">
        <w:rPr>
          <w:rFonts w:eastAsia="Calibri" w:cs="Times New Roman"/>
          <w:b w:val="0"/>
          <w:sz w:val="34"/>
          <w:szCs w:val="22"/>
          <w:u w:val="none"/>
        </w:rPr>
        <w:t>Conclusion</w:t>
      </w:r>
      <w:bookmarkEnd w:id="36"/>
      <w:r w:rsidR="005B0495" w:rsidRPr="00BF6F6A">
        <w:rPr>
          <w:rFonts w:eastAsia="Calibri" w:cs="Times New Roman"/>
          <w:b w:val="0"/>
          <w:sz w:val="34"/>
          <w:szCs w:val="22"/>
          <w:u w:val="none"/>
        </w:rPr>
        <w:t xml:space="preserve"> </w:t>
      </w:r>
    </w:p>
    <w:p w14:paraId="6316AE91" w14:textId="1E754180" w:rsidR="005D7885" w:rsidRDefault="004C0684" w:rsidP="00420ACC">
      <w:pPr>
        <w:jc w:val="both"/>
      </w:pPr>
      <w:r w:rsidRPr="00BF6F6A">
        <w:t>T</w:t>
      </w:r>
      <w:r w:rsidR="005D5DA1" w:rsidRPr="00BF6F6A">
        <w:t xml:space="preserve">his </w:t>
      </w:r>
      <w:r w:rsidR="00420ACC" w:rsidRPr="00BF6F6A">
        <w:t xml:space="preserve">study </w:t>
      </w:r>
      <w:r w:rsidRPr="00BF6F6A">
        <w:t>aime</w:t>
      </w:r>
      <w:r w:rsidR="000F7920" w:rsidRPr="00BF6F6A">
        <w:t>d</w:t>
      </w:r>
      <w:r w:rsidR="005D5DA1" w:rsidRPr="00BF6F6A">
        <w:t xml:space="preserve"> to </w:t>
      </w:r>
      <w:r w:rsidR="00364979" w:rsidRPr="00BF6F6A">
        <w:t>gather the lived</w:t>
      </w:r>
      <w:r w:rsidR="00B92DC5">
        <w:t xml:space="preserve"> </w:t>
      </w:r>
      <w:r w:rsidR="00364979" w:rsidRPr="00BF6F6A">
        <w:t>experiences</w:t>
      </w:r>
      <w:r w:rsidR="005D5DA1" w:rsidRPr="00BF6F6A">
        <w:t xml:space="preserve"> of real estate </w:t>
      </w:r>
      <w:r w:rsidR="00364979" w:rsidRPr="00BF6F6A">
        <w:t>professionals involved in the</w:t>
      </w:r>
      <w:r w:rsidR="005D5DA1" w:rsidRPr="00BF6F6A">
        <w:t xml:space="preserve"> use of GRESB as an ESG tool</w:t>
      </w:r>
      <w:r w:rsidRPr="00BF6F6A">
        <w:t xml:space="preserve">. </w:t>
      </w:r>
      <w:r w:rsidR="005D7885">
        <w:t>T</w:t>
      </w:r>
      <w:r w:rsidR="00D81DEE" w:rsidRPr="00BF6F6A">
        <w:t>he</w:t>
      </w:r>
      <w:r w:rsidR="00704C1F" w:rsidRPr="00BF6F6A">
        <w:t xml:space="preserve"> primary reason</w:t>
      </w:r>
      <w:r w:rsidR="00491058" w:rsidRPr="00BF6F6A">
        <w:t>s</w:t>
      </w:r>
      <w:r w:rsidR="00704C1F" w:rsidRPr="00BF6F6A">
        <w:t xml:space="preserve"> </w:t>
      </w:r>
      <w:r w:rsidR="00D81DEE" w:rsidRPr="00BF6F6A">
        <w:t xml:space="preserve">for engaging with ESG </w:t>
      </w:r>
      <w:r w:rsidR="004A0180" w:rsidRPr="00BF6F6A">
        <w:t>are</w:t>
      </w:r>
      <w:r w:rsidR="00704C1F" w:rsidRPr="00BF6F6A">
        <w:t xml:space="preserve"> </w:t>
      </w:r>
      <w:r w:rsidR="0025219C">
        <w:t xml:space="preserve">financial considerations; internal compliance and </w:t>
      </w:r>
      <w:r w:rsidR="00704C1F" w:rsidRPr="00BF6F6A">
        <w:t>risk management</w:t>
      </w:r>
      <w:r w:rsidRPr="00BF6F6A">
        <w:t xml:space="preserve"> </w:t>
      </w:r>
      <w:r w:rsidR="0025219C">
        <w:t>(</w:t>
      </w:r>
      <w:r w:rsidRPr="00BF6F6A">
        <w:t xml:space="preserve">in particular </w:t>
      </w:r>
      <w:r w:rsidR="00704C1F" w:rsidRPr="00BF6F6A">
        <w:t xml:space="preserve">reputational </w:t>
      </w:r>
      <w:r w:rsidR="00C6088A" w:rsidRPr="00BF6F6A">
        <w:t xml:space="preserve">risk </w:t>
      </w:r>
      <w:r w:rsidR="00376097" w:rsidRPr="00BF6F6A">
        <w:t>of</w:t>
      </w:r>
      <w:r w:rsidR="00720A3D" w:rsidRPr="00BF6F6A">
        <w:t xml:space="preserve"> the corporate brand</w:t>
      </w:r>
      <w:r w:rsidR="0025219C">
        <w:t>)</w:t>
      </w:r>
      <w:r w:rsidR="00837063" w:rsidRPr="00BF6F6A">
        <w:t xml:space="preserve">; </w:t>
      </w:r>
      <w:r w:rsidR="0025219C">
        <w:t>investors’ expecta</w:t>
      </w:r>
      <w:r w:rsidR="002A6D00" w:rsidRPr="00BF6F6A">
        <w:t>tions</w:t>
      </w:r>
      <w:r w:rsidR="00340D39" w:rsidRPr="00BF6F6A">
        <w:t xml:space="preserve"> and preserving </w:t>
      </w:r>
      <w:r w:rsidR="00837063" w:rsidRPr="00BF6F6A">
        <w:t xml:space="preserve">long-term </w:t>
      </w:r>
      <w:r w:rsidR="00340D39" w:rsidRPr="00BF6F6A">
        <w:t>value</w:t>
      </w:r>
      <w:r w:rsidR="00837063" w:rsidRPr="00BF6F6A">
        <w:t>; and</w:t>
      </w:r>
      <w:r w:rsidR="008D74FC" w:rsidRPr="00BF6F6A">
        <w:t>,</w:t>
      </w:r>
      <w:r w:rsidR="00837063" w:rsidRPr="00BF6F6A">
        <w:t xml:space="preserve"> particularly in Europe, </w:t>
      </w:r>
      <w:r w:rsidR="00CD7071" w:rsidRPr="00BF6F6A">
        <w:t xml:space="preserve">the </w:t>
      </w:r>
      <w:r w:rsidR="00837063" w:rsidRPr="00BF6F6A">
        <w:t xml:space="preserve">tightening </w:t>
      </w:r>
      <w:r w:rsidR="006C7BB6" w:rsidRPr="00BF6F6A">
        <w:t>legislation and regulation</w:t>
      </w:r>
      <w:r w:rsidR="00837063" w:rsidRPr="00BF6F6A">
        <w:t>s</w:t>
      </w:r>
      <w:r w:rsidR="006C7BB6" w:rsidRPr="00BF6F6A">
        <w:t xml:space="preserve"> governing ESG reporting. </w:t>
      </w:r>
    </w:p>
    <w:p w14:paraId="3B3CFCA6" w14:textId="135E8725" w:rsidR="007F2F3E" w:rsidRDefault="0025219C" w:rsidP="004F7B84">
      <w:pPr>
        <w:ind w:firstLine="720"/>
        <w:jc w:val="both"/>
      </w:pPr>
      <w:r>
        <w:t xml:space="preserve">When it comes to </w:t>
      </w:r>
      <w:r w:rsidR="007C4DA2">
        <w:t xml:space="preserve">ESG </w:t>
      </w:r>
      <w:r>
        <w:t>disclosures</w:t>
      </w:r>
      <w:r w:rsidR="007C4DA2">
        <w:t>,</w:t>
      </w:r>
      <w:r>
        <w:t xml:space="preserve"> research participants were clear about the critical role legislation and regulations play in ensuring that consistent and reliable data is published. In this sense, they raised concerns about the current scale of greenwashing and the need to promote or </w:t>
      </w:r>
      <w:r w:rsidR="00E36F51">
        <w:t>incentivise</w:t>
      </w:r>
      <w:r>
        <w:t xml:space="preserve"> disclosures that are easily interpretable.</w:t>
      </w:r>
    </w:p>
    <w:p w14:paraId="76924E4F" w14:textId="221367B1" w:rsidR="001113CB" w:rsidRPr="00BF6F6A" w:rsidRDefault="000F7920" w:rsidP="004F7B84">
      <w:pPr>
        <w:ind w:firstLine="720"/>
        <w:jc w:val="both"/>
      </w:pPr>
      <w:r w:rsidRPr="00BF6F6A">
        <w:t>For</w:t>
      </w:r>
      <w:r w:rsidR="002514E7" w:rsidRPr="00BF6F6A">
        <w:t xml:space="preserve"> GRESB</w:t>
      </w:r>
      <w:r w:rsidRPr="00BF6F6A">
        <w:t>’s uptake</w:t>
      </w:r>
      <w:r w:rsidR="00B92DC5">
        <w:t>,</w:t>
      </w:r>
      <w:r w:rsidRPr="00BF6F6A">
        <w:t xml:space="preserve"> </w:t>
      </w:r>
      <w:r w:rsidR="00491058" w:rsidRPr="00BF6F6A">
        <w:t xml:space="preserve">the </w:t>
      </w:r>
      <w:r w:rsidRPr="00BF6F6A">
        <w:t>major reasons include</w:t>
      </w:r>
      <w:r w:rsidR="00067B06" w:rsidRPr="00BF6F6A">
        <w:t xml:space="preserve"> investor expectations</w:t>
      </w:r>
      <w:r w:rsidRPr="00BF6F6A">
        <w:t xml:space="preserve"> and</w:t>
      </w:r>
      <w:r w:rsidR="00067B06" w:rsidRPr="00BF6F6A">
        <w:t xml:space="preserve"> </w:t>
      </w:r>
      <w:r w:rsidR="00480B8B" w:rsidRPr="00BF6F6A">
        <w:t>credentialing</w:t>
      </w:r>
      <w:r w:rsidRPr="00BF6F6A">
        <w:t xml:space="preserve"> </w:t>
      </w:r>
      <w:r w:rsidR="00067B06" w:rsidRPr="00BF6F6A">
        <w:t>a competitive advantage</w:t>
      </w:r>
      <w:r w:rsidR="006339D5" w:rsidRPr="00BF6F6A">
        <w:t>,</w:t>
      </w:r>
      <w:r w:rsidR="00491058" w:rsidRPr="00BF6F6A">
        <w:t xml:space="preserve"> </w:t>
      </w:r>
      <w:r w:rsidR="00067B06" w:rsidRPr="00BF6F6A">
        <w:t xml:space="preserve">peer </w:t>
      </w:r>
      <w:r w:rsidR="000B14BD" w:rsidRPr="00BF6F6A">
        <w:t>benchmarking</w:t>
      </w:r>
      <w:r w:rsidR="00067B06" w:rsidRPr="00BF6F6A">
        <w:t xml:space="preserve"> and performance analysis</w:t>
      </w:r>
      <w:r w:rsidR="006339D5" w:rsidRPr="00BF6F6A">
        <w:t>,</w:t>
      </w:r>
      <w:r w:rsidR="008D74FC" w:rsidRPr="00BF6F6A">
        <w:t xml:space="preserve"> and</w:t>
      </w:r>
      <w:r w:rsidR="000B14BD" w:rsidRPr="00BF6F6A">
        <w:t xml:space="preserve"> improved internal policies.</w:t>
      </w:r>
      <w:r w:rsidR="005A230A">
        <w:t xml:space="preserve"> </w:t>
      </w:r>
      <w:r w:rsidR="002514E7" w:rsidRPr="00BF6F6A">
        <w:t>GRESB</w:t>
      </w:r>
      <w:r w:rsidR="00CD7071" w:rsidRPr="00BF6F6A">
        <w:t>, however,</w:t>
      </w:r>
      <w:r w:rsidR="002514E7" w:rsidRPr="00BF6F6A">
        <w:t xml:space="preserve"> </w:t>
      </w:r>
      <w:r w:rsidR="00491058" w:rsidRPr="00BF6F6A">
        <w:t>does not come without challenges such as</w:t>
      </w:r>
      <w:r w:rsidR="000B14BD" w:rsidRPr="00BF6F6A">
        <w:t xml:space="preserve"> data</w:t>
      </w:r>
      <w:r w:rsidR="00491058" w:rsidRPr="00BF6F6A">
        <w:t xml:space="preserve"> integrity and</w:t>
      </w:r>
      <w:r w:rsidR="000B14BD" w:rsidRPr="00BF6F6A">
        <w:t xml:space="preserve"> collection</w:t>
      </w:r>
      <w:r w:rsidR="00491058" w:rsidRPr="00BF6F6A">
        <w:t>;</w:t>
      </w:r>
      <w:r w:rsidR="008D74FC" w:rsidRPr="00BF6F6A">
        <w:t xml:space="preserve"> </w:t>
      </w:r>
      <w:r w:rsidR="00491058" w:rsidRPr="00BF6F6A">
        <w:t xml:space="preserve">unclear </w:t>
      </w:r>
      <w:r w:rsidR="000B14BD" w:rsidRPr="00BF6F6A">
        <w:t>peer grouping and comparison</w:t>
      </w:r>
      <w:r w:rsidR="006339D5" w:rsidRPr="00BF6F6A">
        <w:t>,</w:t>
      </w:r>
      <w:r w:rsidR="00491058" w:rsidRPr="00BF6F6A">
        <w:t xml:space="preserve"> </w:t>
      </w:r>
      <w:r w:rsidR="003B4F8D" w:rsidRPr="00BF6F6A">
        <w:t>labour-intensive</w:t>
      </w:r>
      <w:r w:rsidR="000B14BD" w:rsidRPr="00BF6F6A">
        <w:t xml:space="preserve"> and time-consuming</w:t>
      </w:r>
      <w:r w:rsidR="00491058" w:rsidRPr="00BF6F6A">
        <w:t xml:space="preserve"> process</w:t>
      </w:r>
      <w:r w:rsidR="00CD7071" w:rsidRPr="00BF6F6A">
        <w:t xml:space="preserve"> </w:t>
      </w:r>
      <w:r w:rsidR="00B92DC5">
        <w:t>that</w:t>
      </w:r>
      <w:r w:rsidR="00B92DC5" w:rsidRPr="00BF6F6A">
        <w:t xml:space="preserve"> </w:t>
      </w:r>
      <w:r w:rsidR="008D74FC" w:rsidRPr="00BF6F6A">
        <w:t xml:space="preserve">effectively </w:t>
      </w:r>
      <w:r w:rsidR="00CD7071" w:rsidRPr="00BF6F6A">
        <w:t>privilege</w:t>
      </w:r>
      <w:r w:rsidR="00B92DC5">
        <w:t>s</w:t>
      </w:r>
      <w:r w:rsidR="00CD7071" w:rsidRPr="00BF6F6A">
        <w:t xml:space="preserve"> </w:t>
      </w:r>
      <w:r w:rsidR="008D74FC" w:rsidRPr="00BF6F6A">
        <w:t>larger companies</w:t>
      </w:r>
      <w:r w:rsidR="006339D5" w:rsidRPr="00BF6F6A">
        <w:t>,</w:t>
      </w:r>
      <w:r w:rsidR="00491058" w:rsidRPr="00BF6F6A">
        <w:t xml:space="preserve"> </w:t>
      </w:r>
      <w:r w:rsidR="004C2C7E" w:rsidRPr="00BF6F6A">
        <w:t>underdeveloped</w:t>
      </w:r>
      <w:r w:rsidR="00491058" w:rsidRPr="00BF6F6A">
        <w:t xml:space="preserve"> social component</w:t>
      </w:r>
      <w:r w:rsidR="00256529" w:rsidRPr="00BF6F6A">
        <w:t xml:space="preserve"> (insufficiently addressing inclusion and diversity)</w:t>
      </w:r>
      <w:r w:rsidR="006339D5" w:rsidRPr="00BF6F6A">
        <w:t>,</w:t>
      </w:r>
      <w:r w:rsidR="00491058" w:rsidRPr="00BF6F6A">
        <w:t xml:space="preserve"> overreliance on policies over </w:t>
      </w:r>
      <w:r w:rsidR="004C2C7E" w:rsidRPr="00BF6F6A">
        <w:t>performance</w:t>
      </w:r>
      <w:r w:rsidR="006339D5" w:rsidRPr="00BF6F6A">
        <w:t>,</w:t>
      </w:r>
      <w:r w:rsidR="00491058" w:rsidRPr="00BF6F6A">
        <w:t xml:space="preserve"> and</w:t>
      </w:r>
      <w:r w:rsidR="004C2C7E" w:rsidRPr="00BF6F6A">
        <w:t xml:space="preserve"> </w:t>
      </w:r>
      <w:r w:rsidR="00E36F51">
        <w:t>limited</w:t>
      </w:r>
      <w:r w:rsidR="007C4DA2">
        <w:t xml:space="preserve"> </w:t>
      </w:r>
      <w:r w:rsidR="00491058" w:rsidRPr="00BF6F6A">
        <w:t>benchmark transparency</w:t>
      </w:r>
      <w:r w:rsidR="008D74FC" w:rsidRPr="00BF6F6A">
        <w:t>. Thus</w:t>
      </w:r>
      <w:r w:rsidR="001113CB" w:rsidRPr="00BF6F6A">
        <w:t>,</w:t>
      </w:r>
      <w:r w:rsidR="008D74FC" w:rsidRPr="00BF6F6A">
        <w:t xml:space="preserve"> </w:t>
      </w:r>
      <w:r w:rsidR="007C4DA2">
        <w:t xml:space="preserve">even GRESB </w:t>
      </w:r>
      <w:r w:rsidR="008D74FC" w:rsidRPr="00BF6F6A">
        <w:t xml:space="preserve">leaves users </w:t>
      </w:r>
      <w:r w:rsidR="00FD0D5D">
        <w:t>worried about</w:t>
      </w:r>
      <w:r w:rsidR="009002DC" w:rsidRPr="00BF6F6A">
        <w:t xml:space="preserve"> </w:t>
      </w:r>
      <w:r w:rsidR="006339D5" w:rsidRPr="00BF6F6A">
        <w:t xml:space="preserve">the </w:t>
      </w:r>
      <w:r w:rsidR="008D74FC" w:rsidRPr="00BF6F6A">
        <w:t xml:space="preserve">ease at which </w:t>
      </w:r>
      <w:r w:rsidR="00C5117A" w:rsidRPr="00BF6F6A">
        <w:t>greenwashing</w:t>
      </w:r>
      <w:r w:rsidR="008D74FC" w:rsidRPr="00BF6F6A">
        <w:t xml:space="preserve"> can occur</w:t>
      </w:r>
      <w:r w:rsidR="00C5117A" w:rsidRPr="00BF6F6A">
        <w:t>.</w:t>
      </w:r>
      <w:r w:rsidR="008333A3" w:rsidRPr="00BF6F6A">
        <w:t xml:space="preserve"> </w:t>
      </w:r>
    </w:p>
    <w:p w14:paraId="7014A696" w14:textId="6BBA2FC0" w:rsidR="00256529" w:rsidRPr="00BF6F6A" w:rsidRDefault="00BF5E3E" w:rsidP="003B4F8D">
      <w:pPr>
        <w:ind w:firstLine="720"/>
        <w:jc w:val="both"/>
      </w:pPr>
      <w:r w:rsidRPr="00BF6F6A">
        <w:t xml:space="preserve">Overall, while ESG data reliability remains a large obstacle due to the absence of global reporting standards, </w:t>
      </w:r>
      <w:r w:rsidR="00BF1054" w:rsidRPr="00BF6F6A">
        <w:t xml:space="preserve">in the sustainability reporting landscape, </w:t>
      </w:r>
      <w:r w:rsidRPr="00BF6F6A">
        <w:t xml:space="preserve">significant improvements have been made over the last fifteen years, </w:t>
      </w:r>
      <w:r w:rsidR="00BF1054" w:rsidRPr="00BF6F6A">
        <w:t xml:space="preserve">particularly with </w:t>
      </w:r>
      <w:r w:rsidR="008D74FC" w:rsidRPr="00BF6F6A">
        <w:t>improved</w:t>
      </w:r>
      <w:r w:rsidRPr="00BF6F6A">
        <w:t xml:space="preserve"> regulation</w:t>
      </w:r>
      <w:r w:rsidR="008D74FC" w:rsidRPr="00BF6F6A">
        <w:t>s</w:t>
      </w:r>
      <w:r w:rsidRPr="00BF6F6A">
        <w:t>.</w:t>
      </w:r>
      <w:r w:rsidR="00E82FEB" w:rsidRPr="00BF6F6A">
        <w:t xml:space="preserve"> </w:t>
      </w:r>
      <w:r w:rsidR="00CD7071" w:rsidRPr="00BF6F6A">
        <w:t>I</w:t>
      </w:r>
      <w:r w:rsidR="008D74FC" w:rsidRPr="00BF6F6A">
        <w:t>t is still</w:t>
      </w:r>
      <w:r w:rsidR="00CD7071" w:rsidRPr="00BF6F6A">
        <w:t xml:space="preserve">, however, </w:t>
      </w:r>
      <w:r w:rsidR="008D74FC" w:rsidRPr="00BF6F6A">
        <w:t xml:space="preserve">critically important </w:t>
      </w:r>
      <w:r w:rsidR="004C3639" w:rsidRPr="00BF6F6A">
        <w:t xml:space="preserve">for </w:t>
      </w:r>
      <w:r w:rsidR="00256529" w:rsidRPr="00BF6F6A">
        <w:t>policymakers</w:t>
      </w:r>
      <w:r w:rsidR="004C3639" w:rsidRPr="00BF6F6A">
        <w:t xml:space="preserve"> to</w:t>
      </w:r>
      <w:r w:rsidR="00140480" w:rsidRPr="00BF6F6A">
        <w:t xml:space="preserve"> develop globally recognized reporting standards to increase the quality, accuracy, and comparability of ESG information</w:t>
      </w:r>
      <w:r w:rsidR="005610AE" w:rsidRPr="00BF6F6A">
        <w:t>.</w:t>
      </w:r>
      <w:r w:rsidR="0024328F" w:rsidRPr="00BF6F6A">
        <w:t xml:space="preserve"> </w:t>
      </w:r>
      <w:r w:rsidR="008D74FC" w:rsidRPr="00BF6F6A">
        <w:t>A</w:t>
      </w:r>
      <w:r w:rsidR="00980C99" w:rsidRPr="00BF6F6A">
        <w:t xml:space="preserve">s other sustainability </w:t>
      </w:r>
      <w:r w:rsidR="0024328F" w:rsidRPr="00BF6F6A">
        <w:t xml:space="preserve">benchmarks used in the real estate sector </w:t>
      </w:r>
      <w:r w:rsidR="008D74FC" w:rsidRPr="00BF6F6A">
        <w:t>are not</w:t>
      </w:r>
      <w:r w:rsidR="0024328F" w:rsidRPr="00BF6F6A">
        <w:t xml:space="preserve"> </w:t>
      </w:r>
      <w:r w:rsidR="008D74FC" w:rsidRPr="00BF6F6A">
        <w:lastRenderedPageBreak/>
        <w:t>industry-specific</w:t>
      </w:r>
      <w:r w:rsidR="00256529" w:rsidRPr="00BF6F6A">
        <w:t xml:space="preserve"> and the wider ESG reporting scene is fragmented</w:t>
      </w:r>
      <w:r w:rsidR="008D74FC" w:rsidRPr="00BF6F6A">
        <w:t xml:space="preserve">, GRESB has the potential to become </w:t>
      </w:r>
      <w:r w:rsidR="00256529" w:rsidRPr="00BF6F6A">
        <w:t xml:space="preserve">the </w:t>
      </w:r>
      <w:r w:rsidR="00256529" w:rsidRPr="00BF6F6A">
        <w:rPr>
          <w:i/>
          <w:iCs/>
        </w:rPr>
        <w:t>“standard”</w:t>
      </w:r>
      <w:r w:rsidR="00256529" w:rsidRPr="00BF6F6A">
        <w:t xml:space="preserve"> tool</w:t>
      </w:r>
      <w:r w:rsidR="008D74FC" w:rsidRPr="00BF6F6A">
        <w:t xml:space="preserve"> but for that</w:t>
      </w:r>
      <w:r w:rsidR="00CD7071" w:rsidRPr="00BF6F6A">
        <w:t xml:space="preserve"> to happen</w:t>
      </w:r>
      <w:r w:rsidR="008D74FC" w:rsidRPr="00BF6F6A">
        <w:t>, it needs to address th</w:t>
      </w:r>
      <w:r w:rsidR="00256529" w:rsidRPr="00BF6F6A">
        <w:t>e above</w:t>
      </w:r>
      <w:r w:rsidR="008D74FC" w:rsidRPr="00BF6F6A">
        <w:t xml:space="preserve"> challenges a</w:t>
      </w:r>
      <w:r w:rsidR="00256529" w:rsidRPr="00BF6F6A">
        <w:t>nd</w:t>
      </w:r>
      <w:r w:rsidR="008D74FC" w:rsidRPr="00BF6F6A">
        <w:t xml:space="preserve"> prove that they have delivered their roadmap (GRESB, 2023). </w:t>
      </w:r>
      <w:r w:rsidR="00851B08">
        <w:t xml:space="preserve">Irrespective of this, there may be potential for greater collaboration between GRESB and other institutions that </w:t>
      </w:r>
      <w:r w:rsidR="008425BE">
        <w:t xml:space="preserve">use or promote different ESG benchmarks. Consequently, as predicted by </w:t>
      </w:r>
      <w:r w:rsidR="008425BE" w:rsidRPr="00BF6F6A">
        <w:rPr>
          <w:shd w:val="clear" w:color="auto" w:fill="FFFFFF"/>
        </w:rPr>
        <w:t>Deloitte</w:t>
      </w:r>
      <w:r w:rsidR="008425BE">
        <w:rPr>
          <w:shd w:val="clear" w:color="auto" w:fill="FFFFFF"/>
        </w:rPr>
        <w:t xml:space="preserve"> (</w:t>
      </w:r>
      <w:r w:rsidR="008425BE" w:rsidRPr="00BF6F6A">
        <w:rPr>
          <w:shd w:val="clear" w:color="auto" w:fill="FFFFFF"/>
        </w:rPr>
        <w:t>2021</w:t>
      </w:r>
      <w:r w:rsidR="008425BE">
        <w:rPr>
          <w:shd w:val="clear" w:color="auto" w:fill="FFFFFF"/>
        </w:rPr>
        <w:t>)</w:t>
      </w:r>
      <w:r w:rsidR="008425BE">
        <w:t xml:space="preserve">, this may result in market consolidation for ESG benchmarking. </w:t>
      </w:r>
      <w:r w:rsidR="00256529" w:rsidRPr="00BF6F6A">
        <w:t xml:space="preserve">Finally, </w:t>
      </w:r>
      <w:r w:rsidR="006339D5" w:rsidRPr="00BF6F6A">
        <w:t>regardless</w:t>
      </w:r>
      <w:r w:rsidR="00256529" w:rsidRPr="00BF6F6A">
        <w:t xml:space="preserve"> of making </w:t>
      </w:r>
      <w:r w:rsidR="00CD7071" w:rsidRPr="00BF6F6A">
        <w:t xml:space="preserve">any </w:t>
      </w:r>
      <w:r w:rsidR="00256529" w:rsidRPr="00BF6F6A">
        <w:t xml:space="preserve">recommended </w:t>
      </w:r>
      <w:r w:rsidR="006339D5" w:rsidRPr="00BF6F6A">
        <w:t>changes</w:t>
      </w:r>
      <w:r w:rsidR="00256529" w:rsidRPr="00BF6F6A">
        <w:t xml:space="preserve">, </w:t>
      </w:r>
      <w:r w:rsidR="008333A3" w:rsidRPr="00BF6F6A">
        <w:t xml:space="preserve">GRESB </w:t>
      </w:r>
      <w:r w:rsidR="00256529" w:rsidRPr="00BF6F6A">
        <w:t>sh</w:t>
      </w:r>
      <w:r w:rsidR="008333A3" w:rsidRPr="00BF6F6A">
        <w:t xml:space="preserve">ould provide better guidance to their participants </w:t>
      </w:r>
      <w:r w:rsidR="00256529" w:rsidRPr="00BF6F6A">
        <w:t>s</w:t>
      </w:r>
      <w:r w:rsidR="006339D5" w:rsidRPr="00BF6F6A">
        <w:t>t</w:t>
      </w:r>
      <w:r w:rsidR="00256529" w:rsidRPr="00BF6F6A">
        <w:t>ruggl</w:t>
      </w:r>
      <w:r w:rsidR="006339D5" w:rsidRPr="00BF6F6A">
        <w:t>ing</w:t>
      </w:r>
      <w:r w:rsidR="00256529" w:rsidRPr="00BF6F6A">
        <w:t xml:space="preserve"> to cope with </w:t>
      </w:r>
      <w:r w:rsidR="006339D5" w:rsidRPr="00BF6F6A">
        <w:t xml:space="preserve">rating </w:t>
      </w:r>
      <w:r w:rsidR="00256529" w:rsidRPr="00BF6F6A">
        <w:t>preparations</w:t>
      </w:r>
      <w:r w:rsidR="008333A3" w:rsidRPr="00BF6F6A">
        <w:t>.</w:t>
      </w:r>
    </w:p>
    <w:p w14:paraId="3E2BB7D4" w14:textId="27AF65DE" w:rsidR="001043E5" w:rsidRPr="00BF6F6A" w:rsidRDefault="003C3368" w:rsidP="003B4F8D">
      <w:pPr>
        <w:ind w:firstLine="720"/>
        <w:jc w:val="both"/>
      </w:pPr>
      <w:r w:rsidRPr="00BF6F6A">
        <w:rPr>
          <w:shd w:val="clear" w:color="auto" w:fill="FFFFFF"/>
        </w:rPr>
        <w:t xml:space="preserve">The approach adopted in this </w:t>
      </w:r>
      <w:r w:rsidR="00603A0A" w:rsidRPr="00BF6F6A">
        <w:rPr>
          <w:shd w:val="clear" w:color="auto" w:fill="FFFFFF"/>
        </w:rPr>
        <w:t>study</w:t>
      </w:r>
      <w:r w:rsidR="00D81DEE" w:rsidRPr="00BF6F6A">
        <w:rPr>
          <w:shd w:val="clear" w:color="auto" w:fill="FFFFFF"/>
        </w:rPr>
        <w:t xml:space="preserve"> means that the findings cannot be generalised to the wider GRESB participant community</w:t>
      </w:r>
      <w:r w:rsidR="00851B08">
        <w:rPr>
          <w:shd w:val="clear" w:color="auto" w:fill="FFFFFF"/>
        </w:rPr>
        <w:t>. I</w:t>
      </w:r>
      <w:r w:rsidR="00D81DEE" w:rsidRPr="00BF6F6A">
        <w:rPr>
          <w:shd w:val="clear" w:color="auto" w:fill="FFFFFF"/>
        </w:rPr>
        <w:t>nstead</w:t>
      </w:r>
      <w:r w:rsidR="005A230A">
        <w:rPr>
          <w:shd w:val="clear" w:color="auto" w:fill="FFFFFF"/>
        </w:rPr>
        <w:t>,</w:t>
      </w:r>
      <w:r w:rsidR="00D81DEE" w:rsidRPr="00BF6F6A">
        <w:rPr>
          <w:shd w:val="clear" w:color="auto" w:fill="FFFFFF"/>
        </w:rPr>
        <w:t xml:space="preserve"> </w:t>
      </w:r>
      <w:r w:rsidR="00851B08">
        <w:rPr>
          <w:shd w:val="clear" w:color="auto" w:fill="FFFFFF"/>
        </w:rPr>
        <w:t xml:space="preserve">these results </w:t>
      </w:r>
      <w:r w:rsidR="00D81DEE" w:rsidRPr="00BF6F6A">
        <w:rPr>
          <w:shd w:val="clear" w:color="auto" w:fill="FFFFFF"/>
        </w:rPr>
        <w:t>should be used to contribute to further research on GRESB</w:t>
      </w:r>
      <w:r w:rsidR="00851B08">
        <w:rPr>
          <w:shd w:val="clear" w:color="auto" w:fill="FFFFFF"/>
        </w:rPr>
        <w:t xml:space="preserve"> using larger samples of participants engaged in international real estate investments and dealing with building adaptations </w:t>
      </w:r>
      <w:r w:rsidR="005A230A">
        <w:rPr>
          <w:shd w:val="clear" w:color="auto" w:fill="FFFFFF"/>
        </w:rPr>
        <w:t xml:space="preserve">that </w:t>
      </w:r>
      <w:r w:rsidR="00851B08">
        <w:rPr>
          <w:shd w:val="clear" w:color="auto" w:fill="FFFFFF"/>
        </w:rPr>
        <w:t>address current sustainability issues</w:t>
      </w:r>
      <w:r w:rsidR="00D81DEE" w:rsidRPr="00BF6F6A">
        <w:rPr>
          <w:shd w:val="clear" w:color="auto" w:fill="FFFFFF"/>
        </w:rPr>
        <w:t>.</w:t>
      </w:r>
      <w:r w:rsidR="00D81DEE" w:rsidRPr="00BF6F6A">
        <w:rPr>
          <w:color w:val="4472C4" w:themeColor="accent1"/>
        </w:rPr>
        <w:t xml:space="preserve"> </w:t>
      </w:r>
      <w:r w:rsidR="006339D5" w:rsidRPr="00BF6F6A">
        <w:t>Moreover, f</w:t>
      </w:r>
      <w:r w:rsidR="00D81DEE" w:rsidRPr="00BF6F6A">
        <w:t xml:space="preserve">uture research </w:t>
      </w:r>
      <w:r w:rsidR="008922FF" w:rsidRPr="00BF6F6A">
        <w:t xml:space="preserve">should explore </w:t>
      </w:r>
      <w:r w:rsidR="00594C49" w:rsidRPr="00BF6F6A">
        <w:t>to what extent</w:t>
      </w:r>
      <w:r w:rsidR="0059100C" w:rsidRPr="00BF6F6A">
        <w:t xml:space="preserve"> other sustainability benchmarks are</w:t>
      </w:r>
      <w:r w:rsidR="00851B08">
        <w:t xml:space="preserve">, should or could </w:t>
      </w:r>
      <w:r w:rsidR="0059100C" w:rsidRPr="00BF6F6A">
        <w:t xml:space="preserve">adopt science-based </w:t>
      </w:r>
      <w:r w:rsidR="00594C49" w:rsidRPr="00BF6F6A">
        <w:t>target</w:t>
      </w:r>
      <w:r w:rsidR="008922FF" w:rsidRPr="00BF6F6A">
        <w:t>s</w:t>
      </w:r>
      <w:r w:rsidR="00594C49" w:rsidRPr="00BF6F6A">
        <w:t xml:space="preserve"> </w:t>
      </w:r>
      <w:r w:rsidR="0059100C" w:rsidRPr="00BF6F6A">
        <w:t xml:space="preserve">over </w:t>
      </w:r>
      <w:r w:rsidR="00862730" w:rsidRPr="00BF6F6A">
        <w:t>policy-based</w:t>
      </w:r>
      <w:r w:rsidR="0059100C" w:rsidRPr="00BF6F6A">
        <w:t xml:space="preserve"> approach</w:t>
      </w:r>
      <w:r w:rsidR="00420ACC" w:rsidRPr="00BF6F6A">
        <w:t>es</w:t>
      </w:r>
      <w:r w:rsidR="00594C49" w:rsidRPr="00BF6F6A">
        <w:t xml:space="preserve"> for each E</w:t>
      </w:r>
      <w:r w:rsidR="006339D5" w:rsidRPr="00BF6F6A">
        <w:t>S</w:t>
      </w:r>
      <w:r w:rsidR="00594C49" w:rsidRPr="00BF6F6A">
        <w:t>G component,</w:t>
      </w:r>
      <w:r w:rsidR="0059100C" w:rsidRPr="00BF6F6A">
        <w:t xml:space="preserve"> </w:t>
      </w:r>
      <w:r w:rsidR="00594C49" w:rsidRPr="00BF6F6A">
        <w:t xml:space="preserve">and </w:t>
      </w:r>
      <w:r w:rsidR="00D81DEE" w:rsidRPr="00BF6F6A">
        <w:t xml:space="preserve">suggest changes to the current </w:t>
      </w:r>
      <w:r w:rsidR="00851B08">
        <w:t xml:space="preserve">benchmarking and its </w:t>
      </w:r>
      <w:r w:rsidR="00D81DEE" w:rsidRPr="00BF6F6A">
        <w:t>reporting</w:t>
      </w:r>
      <w:r w:rsidR="00AF72AF" w:rsidRPr="00BF6F6A">
        <w:t>.</w:t>
      </w:r>
    </w:p>
    <w:p w14:paraId="5E78F7DF" w14:textId="77777777" w:rsidR="00E70307" w:rsidRPr="00BF6F6A" w:rsidRDefault="00E70307" w:rsidP="003B4F8D">
      <w:pPr>
        <w:jc w:val="both"/>
        <w:rPr>
          <w:highlight w:val="yellow"/>
        </w:rPr>
      </w:pPr>
    </w:p>
    <w:p w14:paraId="3B1B4E7A" w14:textId="2B5A6E83" w:rsidR="000E6ECF" w:rsidRPr="00BF6F6A" w:rsidRDefault="00A82E53" w:rsidP="003B4F8D">
      <w:pPr>
        <w:pStyle w:val="Heading1"/>
        <w:tabs>
          <w:tab w:val="center" w:pos="1451"/>
        </w:tabs>
        <w:spacing w:before="0" w:after="0"/>
        <w:rPr>
          <w:rFonts w:eastAsia="Calibri" w:cs="Times New Roman"/>
          <w:b w:val="0"/>
          <w:sz w:val="34"/>
          <w:szCs w:val="22"/>
          <w:u w:val="none"/>
        </w:rPr>
      </w:pPr>
      <w:bookmarkStart w:id="37" w:name="_Toc99882259"/>
      <w:bookmarkEnd w:id="1"/>
      <w:r w:rsidRPr="00BF6F6A">
        <w:rPr>
          <w:rFonts w:eastAsia="Calibri" w:cs="Times New Roman"/>
          <w:b w:val="0"/>
          <w:sz w:val="34"/>
          <w:szCs w:val="22"/>
          <w:u w:val="none"/>
        </w:rPr>
        <w:t>References</w:t>
      </w:r>
      <w:bookmarkEnd w:id="37"/>
    </w:p>
    <w:p w14:paraId="4C9AA7DD" w14:textId="556447A8" w:rsidR="00F64296" w:rsidRPr="00BF6F6A" w:rsidRDefault="00F64296" w:rsidP="003B4F8D">
      <w:pPr>
        <w:ind w:left="715" w:right="51" w:hanging="730"/>
        <w:jc w:val="both"/>
        <w:rPr>
          <w:rFonts w:eastAsia="Calibri"/>
          <w:szCs w:val="22"/>
        </w:rPr>
      </w:pPr>
      <w:bookmarkStart w:id="38" w:name="_Hlk170301456"/>
      <w:r w:rsidRPr="00BF6F6A">
        <w:rPr>
          <w:rFonts w:eastAsia="Calibri"/>
          <w:szCs w:val="22"/>
        </w:rPr>
        <w:t>Alareeni, B. A. and Hamdan, A. (2020), “ESG impact on performance of US S&amp;P 500-listed firms”,</w:t>
      </w:r>
      <w:r w:rsidRPr="00BF6F6A">
        <w:rPr>
          <w:rFonts w:eastAsia="Calibri"/>
          <w:i/>
          <w:iCs/>
          <w:szCs w:val="22"/>
        </w:rPr>
        <w:t xml:space="preserve"> Corporate Governance</w:t>
      </w:r>
      <w:r w:rsidRPr="00BF6F6A">
        <w:rPr>
          <w:rFonts w:eastAsia="Calibri"/>
          <w:szCs w:val="22"/>
        </w:rPr>
        <w:t>, Vol. 20, No. 7, pp. 1409</w:t>
      </w:r>
      <w:r w:rsidR="00463465">
        <w:rPr>
          <w:rFonts w:eastAsia="Calibri"/>
          <w:szCs w:val="22"/>
        </w:rPr>
        <w:t>-</w:t>
      </w:r>
      <w:r w:rsidRPr="00BF6F6A">
        <w:rPr>
          <w:rFonts w:eastAsia="Calibri"/>
          <w:szCs w:val="22"/>
        </w:rPr>
        <w:t xml:space="preserve">1428. </w:t>
      </w:r>
      <w:hyperlink r:id="rId13" w:history="1">
        <w:r w:rsidRPr="00BF6F6A">
          <w:rPr>
            <w:rStyle w:val="Hyperlink"/>
            <w:rFonts w:eastAsia="Calibri"/>
            <w:szCs w:val="22"/>
          </w:rPr>
          <w:t>https://doi.org/10.1108/CG-06-2020-0258</w:t>
        </w:r>
      </w:hyperlink>
      <w:r w:rsidRPr="00BF6F6A">
        <w:rPr>
          <w:rFonts w:eastAsia="Calibri"/>
          <w:szCs w:val="22"/>
        </w:rPr>
        <w:t xml:space="preserve"> </w:t>
      </w:r>
    </w:p>
    <w:p w14:paraId="43F8B5D6" w14:textId="031DE954" w:rsidR="003B4F8D" w:rsidRPr="00BF6F6A" w:rsidRDefault="00F64296" w:rsidP="003B4F8D">
      <w:pPr>
        <w:tabs>
          <w:tab w:val="left" w:pos="2127"/>
        </w:tabs>
        <w:ind w:left="715" w:right="51" w:hanging="730"/>
        <w:jc w:val="both"/>
        <w:rPr>
          <w:rStyle w:val="Hyperlink"/>
        </w:rPr>
      </w:pPr>
      <w:r w:rsidRPr="00BF6F6A">
        <w:rPr>
          <w:color w:val="000000"/>
        </w:rPr>
        <w:t>Auer, B. R. and Schuhmacher, F. (2016), “Do socially (ir)responsible investments pay? New evidence from international ESG data”,</w:t>
      </w:r>
      <w:r w:rsidRPr="00BF6F6A">
        <w:rPr>
          <w:i/>
          <w:iCs/>
          <w:color w:val="000000"/>
        </w:rPr>
        <w:t xml:space="preserve"> The Quarterly Review of Economics and Finance</w:t>
      </w:r>
      <w:r w:rsidRPr="00BF6F6A">
        <w:rPr>
          <w:color w:val="000000"/>
        </w:rPr>
        <w:t>, Vol. 59, pp. 51</w:t>
      </w:r>
      <w:r w:rsidR="00463465">
        <w:rPr>
          <w:color w:val="000000"/>
        </w:rPr>
        <w:t>-</w:t>
      </w:r>
      <w:r w:rsidRPr="00BF6F6A">
        <w:rPr>
          <w:color w:val="000000"/>
        </w:rPr>
        <w:t xml:space="preserve">62. </w:t>
      </w:r>
      <w:hyperlink r:id="rId14" w:history="1">
        <w:r w:rsidRPr="00BF6F6A">
          <w:rPr>
            <w:rStyle w:val="Hyperlink"/>
          </w:rPr>
          <w:t>https://doi.org/10.1016/j.qref.2015.07.002</w:t>
        </w:r>
      </w:hyperlink>
    </w:p>
    <w:p w14:paraId="20EC00E2" w14:textId="52EC07EB" w:rsidR="003B4F8D" w:rsidRPr="00BF6F6A" w:rsidRDefault="003B4F8D" w:rsidP="003B4F8D">
      <w:pPr>
        <w:tabs>
          <w:tab w:val="left" w:pos="2127"/>
        </w:tabs>
        <w:ind w:left="715" w:right="51" w:hanging="730"/>
        <w:jc w:val="both"/>
        <w:rPr>
          <w:color w:val="000000"/>
        </w:rPr>
      </w:pPr>
      <w:r w:rsidRPr="00BF6F6A">
        <w:rPr>
          <w:color w:val="000000"/>
        </w:rPr>
        <w:t xml:space="preserve">Ball, S., Booth, C.A., Mahamadu, A. and Glass, J. (2023), “Implementing responsible sourcing (BES6001) in the architecture, engineering and construction (AEC) sectors”, </w:t>
      </w:r>
      <w:r w:rsidRPr="00BF6F6A">
        <w:rPr>
          <w:i/>
          <w:iCs/>
          <w:color w:val="000000"/>
        </w:rPr>
        <w:t>Proceedings of the Institution of Civil Engineers – Engineering Sustainability</w:t>
      </w:r>
      <w:r w:rsidRPr="00BF6F6A">
        <w:rPr>
          <w:color w:val="000000"/>
        </w:rPr>
        <w:t xml:space="preserve">, (ahead of print). </w:t>
      </w:r>
      <w:hyperlink r:id="rId15" w:history="1">
        <w:r w:rsidRPr="00BF6F6A">
          <w:rPr>
            <w:rStyle w:val="Hyperlink"/>
          </w:rPr>
          <w:t>https://doi.org/10.1680/jensu.23.00042</w:t>
        </w:r>
      </w:hyperlink>
    </w:p>
    <w:p w14:paraId="6551F437" w14:textId="2D8CE135" w:rsidR="00F64296" w:rsidRPr="00BF6F6A" w:rsidRDefault="00F64296" w:rsidP="003B4F8D">
      <w:pPr>
        <w:tabs>
          <w:tab w:val="left" w:pos="2127"/>
        </w:tabs>
        <w:ind w:left="715" w:right="51" w:hanging="730"/>
        <w:jc w:val="both"/>
        <w:rPr>
          <w:color w:val="000000"/>
        </w:rPr>
      </w:pPr>
      <w:r w:rsidRPr="00BF6F6A">
        <w:rPr>
          <w:color w:val="000000"/>
        </w:rPr>
        <w:t xml:space="preserve">Barman, E. (2018), “Doing Well by Doing Good: A Comparative Analysis of ESG Standards for Responsible Investment”, </w:t>
      </w:r>
      <w:r w:rsidRPr="00BF6F6A">
        <w:rPr>
          <w:i/>
          <w:iCs/>
          <w:color w:val="000000"/>
        </w:rPr>
        <w:t>Advances in Strategic Management</w:t>
      </w:r>
      <w:r w:rsidRPr="00BF6F6A">
        <w:rPr>
          <w:color w:val="000000"/>
        </w:rPr>
        <w:t>,</w:t>
      </w:r>
      <w:r w:rsidRPr="00BF6F6A">
        <w:rPr>
          <w:i/>
          <w:iCs/>
          <w:color w:val="000000"/>
        </w:rPr>
        <w:t xml:space="preserve"> </w:t>
      </w:r>
      <w:r w:rsidRPr="00BF6F6A">
        <w:rPr>
          <w:color w:val="000000"/>
        </w:rPr>
        <w:t>Vol. 38, pp. 289</w:t>
      </w:r>
      <w:r w:rsidR="00463465">
        <w:rPr>
          <w:color w:val="000000"/>
        </w:rPr>
        <w:t>-</w:t>
      </w:r>
      <w:r w:rsidRPr="00BF6F6A">
        <w:rPr>
          <w:color w:val="000000"/>
        </w:rPr>
        <w:t xml:space="preserve">311. </w:t>
      </w:r>
      <w:hyperlink r:id="rId16" w:history="1">
        <w:r w:rsidRPr="00BF6F6A">
          <w:rPr>
            <w:rStyle w:val="Hyperlink"/>
          </w:rPr>
          <w:t>https://doi.org/10.1108/S0742-332220180000038016</w:t>
        </w:r>
      </w:hyperlink>
      <w:r w:rsidRPr="00BF6F6A">
        <w:rPr>
          <w:color w:val="000000"/>
        </w:rPr>
        <w:t xml:space="preserve"> </w:t>
      </w:r>
    </w:p>
    <w:p w14:paraId="2562E5EA" w14:textId="717934FF" w:rsidR="001E0830" w:rsidRPr="00BF6F6A" w:rsidRDefault="001E0830" w:rsidP="003B4F8D">
      <w:pPr>
        <w:tabs>
          <w:tab w:val="left" w:pos="2127"/>
        </w:tabs>
        <w:ind w:left="715" w:right="51" w:hanging="730"/>
        <w:jc w:val="both"/>
        <w:rPr>
          <w:color w:val="000000"/>
        </w:rPr>
      </w:pPr>
      <w:r w:rsidRPr="00BF6F6A">
        <w:rPr>
          <w:color w:val="000000"/>
        </w:rPr>
        <w:t xml:space="preserve">Bernardi, E., Carlucci, S., Cornaro, C. and Bohne, R.A. (2017), "An Analysis of the Most Adopted Rating Systems for Assessing the Environmental Impact of Buildings", </w:t>
      </w:r>
      <w:r w:rsidRPr="00BF6F6A">
        <w:rPr>
          <w:i/>
          <w:iCs/>
          <w:color w:val="000000"/>
        </w:rPr>
        <w:t>Sustainability</w:t>
      </w:r>
      <w:r w:rsidRPr="00BF6F6A">
        <w:rPr>
          <w:color w:val="000000"/>
        </w:rPr>
        <w:t xml:space="preserve">, Vol. 9, No. 7, </w:t>
      </w:r>
      <w:hyperlink r:id="rId17" w:history="1">
        <w:r w:rsidRPr="00BF6F6A">
          <w:rPr>
            <w:rStyle w:val="Hyperlink"/>
          </w:rPr>
          <w:t>https://doi.org/10.3390/su9071226</w:t>
        </w:r>
      </w:hyperlink>
      <w:r w:rsidR="00480B8B" w:rsidRPr="00BF6F6A">
        <w:rPr>
          <w:color w:val="000000"/>
        </w:rPr>
        <w:t xml:space="preserve"> </w:t>
      </w:r>
    </w:p>
    <w:p w14:paraId="1412BDD8" w14:textId="282B6F8B" w:rsidR="00F64296" w:rsidRPr="00BF6F6A" w:rsidRDefault="00F64296" w:rsidP="003B4F8D">
      <w:pPr>
        <w:tabs>
          <w:tab w:val="left" w:pos="2127"/>
        </w:tabs>
        <w:ind w:left="715" w:right="51" w:hanging="730"/>
        <w:jc w:val="both"/>
        <w:rPr>
          <w:rFonts w:eastAsia="Calibri"/>
          <w:szCs w:val="22"/>
        </w:rPr>
      </w:pPr>
      <w:r w:rsidRPr="00BF6F6A">
        <w:rPr>
          <w:color w:val="000000"/>
        </w:rPr>
        <w:t xml:space="preserve">Bhaskaran, R.K., Ting, I.W.K., Sukumaran, S.K. and Sumod, S.D. (2020), </w:t>
      </w:r>
      <w:r w:rsidR="00523059" w:rsidRPr="00BF6F6A">
        <w:rPr>
          <w:color w:val="000000"/>
        </w:rPr>
        <w:t>“</w:t>
      </w:r>
      <w:r w:rsidRPr="00BF6F6A">
        <w:rPr>
          <w:color w:val="000000"/>
        </w:rPr>
        <w:t>Environmental, social and governance initiatives and wealth creation for firms: An empirical examination</w:t>
      </w:r>
      <w:r w:rsidR="00523059" w:rsidRPr="00BF6F6A">
        <w:rPr>
          <w:color w:val="000000"/>
        </w:rPr>
        <w:t>”</w:t>
      </w:r>
      <w:r w:rsidRPr="00BF6F6A">
        <w:rPr>
          <w:color w:val="000000"/>
        </w:rPr>
        <w:t>,</w:t>
      </w:r>
      <w:r w:rsidR="00523059" w:rsidRPr="00BF6F6A">
        <w:rPr>
          <w:color w:val="000000"/>
        </w:rPr>
        <w:t xml:space="preserve"> </w:t>
      </w:r>
      <w:r w:rsidRPr="00BF6F6A">
        <w:rPr>
          <w:i/>
          <w:iCs/>
          <w:color w:val="000000"/>
        </w:rPr>
        <w:t>Managerial and Decision Economics,</w:t>
      </w:r>
      <w:r w:rsidR="00523059" w:rsidRPr="00BF6F6A">
        <w:rPr>
          <w:i/>
          <w:iCs/>
          <w:color w:val="000000"/>
        </w:rPr>
        <w:t xml:space="preserve"> </w:t>
      </w:r>
      <w:r w:rsidRPr="00BF6F6A">
        <w:rPr>
          <w:color w:val="000000"/>
        </w:rPr>
        <w:t xml:space="preserve">Vol. 41, No. 5, pp. 710-729. </w:t>
      </w:r>
      <w:hyperlink r:id="rId18" w:history="1">
        <w:r w:rsidRPr="00BF6F6A">
          <w:rPr>
            <w:rStyle w:val="Hyperlink"/>
          </w:rPr>
          <w:t>https://doi.org/10.1002/mde.3131</w:t>
        </w:r>
      </w:hyperlink>
      <w:r w:rsidRPr="00BF6F6A">
        <w:rPr>
          <w:color w:val="000000"/>
        </w:rPr>
        <w:t xml:space="preserve"> </w:t>
      </w:r>
    </w:p>
    <w:p w14:paraId="2E09D578" w14:textId="10A86FBF" w:rsidR="00F64296" w:rsidRPr="00BF6F6A" w:rsidRDefault="00F64296" w:rsidP="003B4F8D">
      <w:pPr>
        <w:tabs>
          <w:tab w:val="left" w:pos="2127"/>
        </w:tabs>
        <w:ind w:left="715" w:right="51" w:hanging="730"/>
        <w:jc w:val="both"/>
        <w:rPr>
          <w:rFonts w:eastAsia="Calibri"/>
          <w:szCs w:val="22"/>
        </w:rPr>
      </w:pPr>
      <w:r w:rsidRPr="00BF6F6A">
        <w:t xml:space="preserve">Billio, M., Costola, M., Hristova, I., Latino, C., and Pelizzon, L. (2021), “Inside the ESG ratings: (Dis)agreement and performance”, </w:t>
      </w:r>
      <w:r w:rsidRPr="00BF6F6A">
        <w:rPr>
          <w:i/>
          <w:iCs/>
        </w:rPr>
        <w:t>Corporate Social-Responsibility and Environmental Management</w:t>
      </w:r>
      <w:r w:rsidRPr="00BF6F6A">
        <w:t>, Vol. 28, No. 5, pp. 1426</w:t>
      </w:r>
      <w:r w:rsidR="00463465">
        <w:t>-</w:t>
      </w:r>
      <w:r w:rsidRPr="00BF6F6A">
        <w:t xml:space="preserve">1445. </w:t>
      </w:r>
      <w:hyperlink r:id="rId19" w:history="1">
        <w:r w:rsidRPr="00BF6F6A">
          <w:rPr>
            <w:rStyle w:val="Hyperlink"/>
          </w:rPr>
          <w:t>https://doi.org/10.1002/csr.2177</w:t>
        </w:r>
      </w:hyperlink>
    </w:p>
    <w:p w14:paraId="0C740DEE" w14:textId="1DE7DEA4" w:rsidR="003B4F8D" w:rsidRPr="00BF6F6A" w:rsidRDefault="003B4F8D" w:rsidP="001113CB">
      <w:pPr>
        <w:tabs>
          <w:tab w:val="left" w:pos="2127"/>
        </w:tabs>
        <w:ind w:left="715" w:right="51" w:hanging="730"/>
        <w:jc w:val="both"/>
        <w:rPr>
          <w:color w:val="000000"/>
        </w:rPr>
      </w:pPr>
      <w:r w:rsidRPr="00BF6F6A">
        <w:rPr>
          <w:color w:val="000000"/>
        </w:rPr>
        <w:t xml:space="preserve">Booth, C. A., Rasheed, S., Mahamadu, A., Horry, R., Abbey, S., Manu, P., Kwasi, A.B.A., Aboagye-Nimo, E., Panagiotis, G. and Prabhakaran, A. (2023), “A phenomenological inquiry of building and living in European Earthship homes”, </w:t>
      </w:r>
      <w:r w:rsidRPr="00BF6F6A">
        <w:rPr>
          <w:i/>
          <w:iCs/>
          <w:color w:val="000000"/>
        </w:rPr>
        <w:t>Infrastructure Asset Management</w:t>
      </w:r>
      <w:r w:rsidRPr="00BF6F6A">
        <w:rPr>
          <w:color w:val="000000"/>
        </w:rPr>
        <w:t xml:space="preserve">, (ahead of print). </w:t>
      </w:r>
      <w:hyperlink r:id="rId20" w:history="1">
        <w:r w:rsidRPr="00BF6F6A">
          <w:rPr>
            <w:rStyle w:val="Hyperlink"/>
          </w:rPr>
          <w:t>https://doi.org/10.1680/jinam.23.00028</w:t>
        </w:r>
      </w:hyperlink>
      <w:r w:rsidRPr="00BF6F6A">
        <w:rPr>
          <w:color w:val="000000"/>
        </w:rPr>
        <w:t xml:space="preserve"> </w:t>
      </w:r>
    </w:p>
    <w:p w14:paraId="5C696C2D" w14:textId="2CD10F39" w:rsidR="00F64296" w:rsidRPr="00BF6F6A" w:rsidRDefault="00F64296" w:rsidP="003B4F8D">
      <w:pPr>
        <w:tabs>
          <w:tab w:val="left" w:pos="2127"/>
        </w:tabs>
        <w:ind w:left="715" w:right="51" w:hanging="730"/>
        <w:jc w:val="both"/>
        <w:rPr>
          <w:rFonts w:eastAsia="Calibri"/>
          <w:szCs w:val="22"/>
        </w:rPr>
      </w:pPr>
      <w:r w:rsidRPr="00BF6F6A">
        <w:rPr>
          <w:color w:val="000000"/>
        </w:rPr>
        <w:t xml:space="preserve">Brandstetter, L. and Lehner, O.M. (2015), </w:t>
      </w:r>
      <w:r w:rsidR="00523059" w:rsidRPr="00BF6F6A">
        <w:rPr>
          <w:color w:val="000000"/>
        </w:rPr>
        <w:t>“</w:t>
      </w:r>
      <w:r w:rsidRPr="00BF6F6A">
        <w:rPr>
          <w:color w:val="000000"/>
        </w:rPr>
        <w:t>Opening the market for impact investments: The need for adapted portfolio tools</w:t>
      </w:r>
      <w:r w:rsidR="00523059" w:rsidRPr="00BF6F6A">
        <w:rPr>
          <w:color w:val="000000"/>
        </w:rPr>
        <w:t>”</w:t>
      </w:r>
      <w:r w:rsidRPr="00BF6F6A">
        <w:rPr>
          <w:color w:val="000000"/>
        </w:rPr>
        <w:t xml:space="preserve">, </w:t>
      </w:r>
      <w:r w:rsidRPr="00BF6F6A">
        <w:rPr>
          <w:i/>
          <w:iCs/>
          <w:color w:val="000000"/>
        </w:rPr>
        <w:t xml:space="preserve">Entrepreneurship Research Journal, </w:t>
      </w:r>
      <w:r w:rsidRPr="00BF6F6A">
        <w:rPr>
          <w:color w:val="000000"/>
        </w:rPr>
        <w:t xml:space="preserve">Vol. 5, No. 2, pp. 87-107. </w:t>
      </w:r>
      <w:hyperlink r:id="rId21" w:history="1">
        <w:r w:rsidRPr="00BF6F6A">
          <w:rPr>
            <w:rStyle w:val="Hyperlink"/>
          </w:rPr>
          <w:t>https://doi.org/10.1515/erj-2015-0003</w:t>
        </w:r>
      </w:hyperlink>
      <w:r w:rsidRPr="00BF6F6A">
        <w:rPr>
          <w:color w:val="000000"/>
        </w:rPr>
        <w:t xml:space="preserve"> </w:t>
      </w:r>
    </w:p>
    <w:p w14:paraId="5367DA1B" w14:textId="28D3B36D" w:rsidR="00F64296" w:rsidRPr="00BF6F6A" w:rsidRDefault="00F64296" w:rsidP="003B4F8D">
      <w:pPr>
        <w:tabs>
          <w:tab w:val="left" w:pos="2127"/>
        </w:tabs>
        <w:ind w:left="715" w:right="51" w:hanging="730"/>
        <w:jc w:val="both"/>
        <w:rPr>
          <w:rFonts w:eastAsia="Calibri"/>
          <w:szCs w:val="22"/>
        </w:rPr>
      </w:pPr>
      <w:r w:rsidRPr="00BF6F6A">
        <w:lastRenderedPageBreak/>
        <w:t xml:space="preserve">Brinkmann, S. and Kvale, S. (2005), “Confronting the ethics of qualitative research”, </w:t>
      </w:r>
      <w:r w:rsidRPr="00BF6F6A">
        <w:rPr>
          <w:i/>
          <w:iCs/>
        </w:rPr>
        <w:t>Journal of Constructivist Psychology</w:t>
      </w:r>
      <w:r w:rsidRPr="00BF6F6A">
        <w:t>, Vol. 18, No. 2, pp. 157</w:t>
      </w:r>
      <w:r w:rsidR="00463465">
        <w:t>-</w:t>
      </w:r>
      <w:r w:rsidRPr="00BF6F6A">
        <w:t xml:space="preserve">181. </w:t>
      </w:r>
      <w:hyperlink r:id="rId22" w:history="1">
        <w:r w:rsidRPr="00BF6F6A">
          <w:rPr>
            <w:rStyle w:val="Hyperlink"/>
          </w:rPr>
          <w:t>https://doi.org/10.1080/10720530590914789</w:t>
        </w:r>
      </w:hyperlink>
      <w:r w:rsidRPr="00BF6F6A">
        <w:t xml:space="preserve"> </w:t>
      </w:r>
    </w:p>
    <w:p w14:paraId="52271CE4" w14:textId="5D9D3F0F" w:rsidR="00F64296" w:rsidRPr="00BF6F6A" w:rsidRDefault="00F64296" w:rsidP="003B4F8D">
      <w:pPr>
        <w:tabs>
          <w:tab w:val="left" w:pos="2127"/>
        </w:tabs>
        <w:ind w:left="715" w:right="51" w:hanging="730"/>
        <w:jc w:val="both"/>
        <w:rPr>
          <w:rFonts w:eastAsia="Calibri"/>
          <w:szCs w:val="22"/>
        </w:rPr>
      </w:pPr>
      <w:r w:rsidRPr="00BF6F6A">
        <w:rPr>
          <w:color w:val="000000"/>
        </w:rPr>
        <w:t xml:space="preserve">Brounen, D., Marcato, G. and Op’t Veld, H. (2021), </w:t>
      </w:r>
      <w:r w:rsidR="008969CE" w:rsidRPr="00BF6F6A">
        <w:rPr>
          <w:color w:val="000000"/>
        </w:rPr>
        <w:t>“</w:t>
      </w:r>
      <w:r w:rsidRPr="00BF6F6A">
        <w:rPr>
          <w:color w:val="000000"/>
        </w:rPr>
        <w:t>Pricing ESG equity ratings and underlying data in listed real estate securities</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Sustainability (Switzerland)</w:t>
      </w:r>
      <w:r w:rsidRPr="00BF6F6A">
        <w:rPr>
          <w:color w:val="000000"/>
        </w:rPr>
        <w:t xml:space="preserve">, Vol. 3, No. 4, 2037-. </w:t>
      </w:r>
      <w:hyperlink r:id="rId23" w:history="1">
        <w:r w:rsidRPr="00BF6F6A">
          <w:rPr>
            <w:rStyle w:val="Hyperlink"/>
          </w:rPr>
          <w:t>https://doi.org/10.3390/su13042037</w:t>
        </w:r>
      </w:hyperlink>
      <w:r w:rsidRPr="00BF6F6A">
        <w:rPr>
          <w:color w:val="000000"/>
        </w:rPr>
        <w:t xml:space="preserve"> </w:t>
      </w:r>
    </w:p>
    <w:p w14:paraId="418C43ED" w14:textId="23C907FF" w:rsidR="00F64296" w:rsidRPr="00BF6F6A" w:rsidRDefault="00F64296" w:rsidP="003B4F8D">
      <w:pPr>
        <w:tabs>
          <w:tab w:val="left" w:pos="2127"/>
        </w:tabs>
        <w:ind w:left="715" w:right="51" w:hanging="730"/>
        <w:jc w:val="both"/>
        <w:rPr>
          <w:rFonts w:eastAsia="Calibri"/>
          <w:szCs w:val="22"/>
        </w:rPr>
      </w:pPr>
      <w:r w:rsidRPr="00BF6F6A">
        <w:rPr>
          <w:color w:val="000000"/>
        </w:rPr>
        <w:t xml:space="preserve">Busch, T., Bauer, R. and Orlitzky, M. (2016), </w:t>
      </w:r>
      <w:r w:rsidR="008969CE" w:rsidRPr="00BF6F6A">
        <w:rPr>
          <w:color w:val="000000"/>
        </w:rPr>
        <w:t>“</w:t>
      </w:r>
      <w:r w:rsidRPr="00BF6F6A">
        <w:rPr>
          <w:color w:val="000000"/>
        </w:rPr>
        <w:t>Sustainable Development and Financial Markets: Old Paths and New Avenues</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Business and Society,</w:t>
      </w:r>
      <w:r w:rsidR="008969CE" w:rsidRPr="00BF6F6A">
        <w:rPr>
          <w:i/>
          <w:iCs/>
          <w:color w:val="000000"/>
        </w:rPr>
        <w:t xml:space="preserve"> </w:t>
      </w:r>
      <w:r w:rsidRPr="00BF6F6A">
        <w:rPr>
          <w:color w:val="000000"/>
        </w:rPr>
        <w:t xml:space="preserve">Vol. 55, No. 3, pp. 303-329. </w:t>
      </w:r>
      <w:hyperlink r:id="rId24" w:history="1">
        <w:r w:rsidRPr="00BF6F6A">
          <w:rPr>
            <w:rStyle w:val="Hyperlink"/>
          </w:rPr>
          <w:t>https://doi.org/10.1177/0007650315570701</w:t>
        </w:r>
      </w:hyperlink>
      <w:r w:rsidRPr="00BF6F6A">
        <w:rPr>
          <w:color w:val="000000"/>
        </w:rPr>
        <w:t xml:space="preserve"> </w:t>
      </w:r>
    </w:p>
    <w:p w14:paraId="3D16A08F" w14:textId="0A252502" w:rsidR="00F64296" w:rsidRPr="00BF6F6A" w:rsidRDefault="00F64296" w:rsidP="003B4F8D">
      <w:pPr>
        <w:tabs>
          <w:tab w:val="left" w:pos="2127"/>
        </w:tabs>
        <w:ind w:left="715" w:right="51" w:hanging="730"/>
        <w:jc w:val="both"/>
        <w:rPr>
          <w:rFonts w:eastAsia="Calibri"/>
          <w:szCs w:val="22"/>
        </w:rPr>
      </w:pPr>
      <w:r w:rsidRPr="00BF6F6A">
        <w:rPr>
          <w:color w:val="000000"/>
        </w:rPr>
        <w:t xml:space="preserve">Cajias, M., Fuerst, F., McAllister, P. and Nanda, A. (2014), </w:t>
      </w:r>
      <w:r w:rsidR="008969CE" w:rsidRPr="00BF6F6A">
        <w:rPr>
          <w:color w:val="000000"/>
        </w:rPr>
        <w:t>“</w:t>
      </w:r>
      <w:r w:rsidRPr="00BF6F6A">
        <w:rPr>
          <w:color w:val="000000"/>
        </w:rPr>
        <w:t>Do responsible real estate companies outperform their peers?</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International Journal of Strategic Property Management,</w:t>
      </w:r>
      <w:r w:rsidR="008969CE" w:rsidRPr="00BF6F6A">
        <w:rPr>
          <w:i/>
          <w:iCs/>
          <w:color w:val="000000"/>
        </w:rPr>
        <w:t xml:space="preserve"> </w:t>
      </w:r>
      <w:r w:rsidRPr="00BF6F6A">
        <w:rPr>
          <w:color w:val="000000"/>
        </w:rPr>
        <w:t xml:space="preserve">Vol. 18, No. 1, pp. 11-27. </w:t>
      </w:r>
      <w:hyperlink r:id="rId25" w:history="1">
        <w:r w:rsidRPr="00BF6F6A">
          <w:rPr>
            <w:rStyle w:val="Hyperlink"/>
          </w:rPr>
          <w:t>https://doi.org/10.3846/1648715X.2013.866601</w:t>
        </w:r>
      </w:hyperlink>
      <w:r w:rsidRPr="00BF6F6A">
        <w:rPr>
          <w:color w:val="000000"/>
        </w:rPr>
        <w:t xml:space="preserve"> </w:t>
      </w:r>
    </w:p>
    <w:p w14:paraId="281A500A" w14:textId="64A6001B" w:rsidR="00F64296" w:rsidRPr="00BF6F6A" w:rsidRDefault="00F64296" w:rsidP="003B4F8D">
      <w:pPr>
        <w:tabs>
          <w:tab w:val="left" w:pos="2127"/>
        </w:tabs>
        <w:ind w:left="715" w:right="51" w:hanging="730"/>
        <w:jc w:val="both"/>
        <w:rPr>
          <w:rFonts w:eastAsia="Calibri"/>
          <w:szCs w:val="22"/>
        </w:rPr>
      </w:pPr>
      <w:r w:rsidRPr="00BF6F6A">
        <w:rPr>
          <w:color w:val="000000"/>
        </w:rPr>
        <w:t xml:space="preserve">Camilleri, M.A. (2020), </w:t>
      </w:r>
      <w:r w:rsidR="008969CE" w:rsidRPr="00BF6F6A">
        <w:rPr>
          <w:color w:val="000000"/>
        </w:rPr>
        <w:t>“</w:t>
      </w:r>
      <w:r w:rsidRPr="00BF6F6A">
        <w:rPr>
          <w:color w:val="000000"/>
        </w:rPr>
        <w:t>The market for socially responsible investing: a review of the developments</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Social Responsibility Journal,</w:t>
      </w:r>
      <w:r w:rsidR="008969CE" w:rsidRPr="00BF6F6A">
        <w:rPr>
          <w:i/>
          <w:iCs/>
          <w:color w:val="000000"/>
        </w:rPr>
        <w:t xml:space="preserve"> </w:t>
      </w:r>
      <w:r w:rsidRPr="00BF6F6A">
        <w:rPr>
          <w:color w:val="000000"/>
        </w:rPr>
        <w:t xml:space="preserve">Vol. 17, No. 3, pp. 412-428. </w:t>
      </w:r>
      <w:hyperlink r:id="rId26" w:history="1">
        <w:r w:rsidRPr="00BF6F6A">
          <w:rPr>
            <w:rStyle w:val="Hyperlink"/>
          </w:rPr>
          <w:t>https://doi.org/10.1108/SRJ-06-2019-0194</w:t>
        </w:r>
      </w:hyperlink>
      <w:r w:rsidRPr="00BF6F6A">
        <w:rPr>
          <w:color w:val="000000"/>
        </w:rPr>
        <w:t xml:space="preserve"> </w:t>
      </w:r>
    </w:p>
    <w:p w14:paraId="147D4B0E" w14:textId="77777777" w:rsidR="00F64296" w:rsidRPr="00BF6F6A" w:rsidRDefault="00F64296" w:rsidP="003B4F8D">
      <w:pPr>
        <w:tabs>
          <w:tab w:val="left" w:pos="2127"/>
        </w:tabs>
        <w:ind w:left="715" w:right="51" w:hanging="730"/>
        <w:jc w:val="both"/>
        <w:rPr>
          <w:rFonts w:eastAsia="Calibri"/>
          <w:szCs w:val="22"/>
        </w:rPr>
      </w:pPr>
      <w:r w:rsidRPr="00BF6F6A">
        <w:t xml:space="preserve">Chacon, R.G., Feng, Z. and Wu, Z. (2024), “Does Investing in ESG Pay Off? Evidence from REITs”, </w:t>
      </w:r>
      <w:r w:rsidRPr="00BF6F6A">
        <w:rPr>
          <w:i/>
          <w:iCs/>
        </w:rPr>
        <w:t>Journal of Real Estate Finance and Economics</w:t>
      </w:r>
      <w:r w:rsidRPr="00BF6F6A">
        <w:t xml:space="preserve">. </w:t>
      </w:r>
      <w:hyperlink r:id="rId27" w:history="1">
        <w:r w:rsidRPr="00BF6F6A">
          <w:rPr>
            <w:rStyle w:val="Hyperlink"/>
          </w:rPr>
          <w:t>https://doi.org/10.1007/s11146-024-09979-y</w:t>
        </w:r>
      </w:hyperlink>
    </w:p>
    <w:p w14:paraId="25B50D23" w14:textId="641C6092" w:rsidR="00F64296" w:rsidRPr="00BF6F6A" w:rsidRDefault="00F64296" w:rsidP="003B4F8D">
      <w:pPr>
        <w:tabs>
          <w:tab w:val="left" w:pos="2127"/>
        </w:tabs>
        <w:ind w:left="715" w:right="51" w:hanging="730"/>
        <w:jc w:val="both"/>
        <w:rPr>
          <w:rFonts w:eastAsia="Calibri"/>
          <w:szCs w:val="22"/>
        </w:rPr>
      </w:pPr>
      <w:r w:rsidRPr="00BF6F6A">
        <w:rPr>
          <w:color w:val="000000"/>
        </w:rPr>
        <w:t xml:space="preserve">Chambers, D., Dimson, E. and Ilmanen, A. (2021), </w:t>
      </w:r>
      <w:r w:rsidR="008969CE" w:rsidRPr="00BF6F6A">
        <w:rPr>
          <w:color w:val="000000"/>
        </w:rPr>
        <w:t>“</w:t>
      </w:r>
      <w:r w:rsidRPr="00BF6F6A">
        <w:rPr>
          <w:color w:val="000000"/>
        </w:rPr>
        <w:t>The Norway model in perspective</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Journal of Portfolio Management</w:t>
      </w:r>
      <w:r w:rsidRPr="00BF6F6A">
        <w:rPr>
          <w:color w:val="000000"/>
        </w:rPr>
        <w:t>,</w:t>
      </w:r>
      <w:r w:rsidR="008969CE" w:rsidRPr="00BF6F6A">
        <w:rPr>
          <w:color w:val="000000"/>
        </w:rPr>
        <w:t xml:space="preserve"> </w:t>
      </w:r>
      <w:r w:rsidRPr="00BF6F6A">
        <w:rPr>
          <w:color w:val="000000"/>
        </w:rPr>
        <w:t xml:space="preserve">Vol. 47, No. 5, pp. 178-187. </w:t>
      </w:r>
      <w:hyperlink r:id="rId28" w:history="1">
        <w:r w:rsidRPr="00BF6F6A">
          <w:rPr>
            <w:rStyle w:val="Hyperlink"/>
          </w:rPr>
          <w:t>https://doi.org/10.17863/CAM.64204</w:t>
        </w:r>
      </w:hyperlink>
      <w:r w:rsidRPr="00BF6F6A">
        <w:rPr>
          <w:color w:val="000000"/>
        </w:rPr>
        <w:t xml:space="preserve"> </w:t>
      </w:r>
    </w:p>
    <w:p w14:paraId="2DC5C245" w14:textId="55693753" w:rsidR="00F64296" w:rsidRPr="00BF6F6A" w:rsidRDefault="00F64296" w:rsidP="003B4F8D">
      <w:pPr>
        <w:tabs>
          <w:tab w:val="left" w:pos="2127"/>
        </w:tabs>
        <w:ind w:left="715" w:right="51" w:hanging="730"/>
        <w:jc w:val="both"/>
        <w:rPr>
          <w:rFonts w:eastAsia="Calibri"/>
          <w:szCs w:val="22"/>
        </w:rPr>
      </w:pPr>
      <w:r w:rsidRPr="00BF6F6A">
        <w:rPr>
          <w:color w:val="000000"/>
        </w:rPr>
        <w:t xml:space="preserve">Cho, C.H., Bohr, K., Choi, T.J., Partridge, K., Shah, J.M. and Swierszcz, A. (2020), </w:t>
      </w:r>
      <w:r w:rsidR="008969CE" w:rsidRPr="00BF6F6A">
        <w:rPr>
          <w:color w:val="000000"/>
        </w:rPr>
        <w:t>“</w:t>
      </w:r>
      <w:r w:rsidRPr="00BF6F6A">
        <w:rPr>
          <w:color w:val="000000"/>
        </w:rPr>
        <w:t>Advancing Sustainability Reporting in Canada: 2019 Report on Progress</w:t>
      </w:r>
      <w:r w:rsidR="008969CE" w:rsidRPr="00BF6F6A">
        <w:rPr>
          <w:color w:val="000000"/>
        </w:rPr>
        <w:t>”</w:t>
      </w:r>
      <w:r w:rsidRPr="00BF6F6A">
        <w:rPr>
          <w:color w:val="000000"/>
        </w:rPr>
        <w:t xml:space="preserve">, </w:t>
      </w:r>
      <w:r w:rsidRPr="00BF6F6A">
        <w:rPr>
          <w:i/>
          <w:iCs/>
          <w:color w:val="000000"/>
        </w:rPr>
        <w:t xml:space="preserve">Accounting Perspectives, </w:t>
      </w:r>
      <w:r w:rsidRPr="00BF6F6A">
        <w:rPr>
          <w:color w:val="000000"/>
        </w:rPr>
        <w:t xml:space="preserve">Vol. 19, No. 3, pp. 181-204. </w:t>
      </w:r>
      <w:hyperlink r:id="rId29" w:history="1">
        <w:r w:rsidRPr="00BF6F6A">
          <w:rPr>
            <w:rStyle w:val="Hyperlink"/>
          </w:rPr>
          <w:t>https://doi.org/10.1111/1911-3838.12232</w:t>
        </w:r>
      </w:hyperlink>
      <w:r w:rsidRPr="00BF6F6A">
        <w:rPr>
          <w:color w:val="000000"/>
        </w:rPr>
        <w:t xml:space="preserve"> </w:t>
      </w:r>
    </w:p>
    <w:p w14:paraId="16BAA0A5" w14:textId="4FA037F3" w:rsidR="00F64296" w:rsidRPr="00BF6F6A" w:rsidRDefault="00F64296" w:rsidP="003B4F8D">
      <w:pPr>
        <w:tabs>
          <w:tab w:val="left" w:pos="2127"/>
        </w:tabs>
        <w:ind w:left="715" w:right="51" w:hanging="730"/>
        <w:jc w:val="both"/>
        <w:rPr>
          <w:rFonts w:eastAsia="Calibri"/>
          <w:szCs w:val="22"/>
        </w:rPr>
      </w:pPr>
      <w:r w:rsidRPr="00BF6F6A">
        <w:rPr>
          <w:color w:val="000000"/>
        </w:rPr>
        <w:t xml:space="preserve">Christensen, P.H., Robinson, S.J. and Simons, R.A. (2018), </w:t>
      </w:r>
      <w:r w:rsidR="008969CE" w:rsidRPr="00BF6F6A">
        <w:rPr>
          <w:color w:val="000000"/>
        </w:rPr>
        <w:t>“</w:t>
      </w:r>
      <w:r w:rsidRPr="00BF6F6A">
        <w:rPr>
          <w:color w:val="000000"/>
        </w:rPr>
        <w:t>The influence of energy considerations on decision making by institutional real estate owners in the U.S</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Renewable and Sustainable Energy Reviews,</w:t>
      </w:r>
      <w:r w:rsidR="008969CE" w:rsidRPr="00BF6F6A">
        <w:rPr>
          <w:i/>
          <w:iCs/>
          <w:color w:val="000000"/>
        </w:rPr>
        <w:t xml:space="preserve"> </w:t>
      </w:r>
      <w:r w:rsidRPr="00BF6F6A">
        <w:rPr>
          <w:color w:val="000000"/>
        </w:rPr>
        <w:t xml:space="preserve">No. 94, pp. 275-284. </w:t>
      </w:r>
      <w:hyperlink r:id="rId30" w:history="1">
        <w:r w:rsidRPr="00BF6F6A">
          <w:rPr>
            <w:rStyle w:val="Hyperlink"/>
          </w:rPr>
          <w:t>https://doi.org/10.1016/j.rser.2018.05.061</w:t>
        </w:r>
      </w:hyperlink>
      <w:r w:rsidRPr="00BF6F6A">
        <w:rPr>
          <w:color w:val="000000"/>
        </w:rPr>
        <w:t xml:space="preserve"> </w:t>
      </w:r>
    </w:p>
    <w:p w14:paraId="0CE099D4" w14:textId="726B691D" w:rsidR="000E2276" w:rsidRPr="00BF6F6A" w:rsidRDefault="000E2276" w:rsidP="003B4F8D">
      <w:pPr>
        <w:tabs>
          <w:tab w:val="left" w:pos="2127"/>
        </w:tabs>
        <w:ind w:left="715" w:right="51" w:hanging="730"/>
        <w:jc w:val="both"/>
        <w:rPr>
          <w:color w:val="000000"/>
        </w:rPr>
      </w:pPr>
      <w:r w:rsidRPr="00BF6F6A">
        <w:rPr>
          <w:color w:val="000000"/>
        </w:rPr>
        <w:t xml:space="preserve">Clément, A., Robinot, É. and Trespeuch, L. (2023), “The use of ESG scores in academic literature: a systematic literature review”, </w:t>
      </w:r>
      <w:r w:rsidRPr="00BF6F6A">
        <w:rPr>
          <w:i/>
          <w:iCs/>
          <w:color w:val="000000"/>
        </w:rPr>
        <w:t>Journal of Enterprising Communities</w:t>
      </w:r>
      <w:r w:rsidRPr="00BF6F6A">
        <w:rPr>
          <w:color w:val="000000"/>
        </w:rPr>
        <w:t xml:space="preserve">. </w:t>
      </w:r>
      <w:hyperlink r:id="rId31" w:history="1">
        <w:r w:rsidRPr="00BF6F6A">
          <w:rPr>
            <w:rStyle w:val="Hyperlink"/>
          </w:rPr>
          <w:t>https://doi.org/10.1108/JEC-10-2022-0147</w:t>
        </w:r>
      </w:hyperlink>
      <w:r w:rsidR="00480B8B" w:rsidRPr="00BF6F6A">
        <w:rPr>
          <w:color w:val="000000"/>
        </w:rPr>
        <w:t xml:space="preserve"> </w:t>
      </w:r>
    </w:p>
    <w:p w14:paraId="10B189AD" w14:textId="5C97298C" w:rsidR="00F64296" w:rsidRPr="00BF6F6A" w:rsidRDefault="00F64296" w:rsidP="003B4F8D">
      <w:pPr>
        <w:tabs>
          <w:tab w:val="left" w:pos="2127"/>
        </w:tabs>
        <w:ind w:left="715" w:right="51" w:hanging="730"/>
        <w:jc w:val="both"/>
        <w:rPr>
          <w:rFonts w:eastAsia="Calibri"/>
          <w:szCs w:val="22"/>
        </w:rPr>
      </w:pPr>
      <w:r w:rsidRPr="00BF6F6A">
        <w:rPr>
          <w:color w:val="000000"/>
        </w:rPr>
        <w:t xml:space="preserve">De Castro, A.V., Pacheco, G.R. and Gonzalez, J.N. (2020), “Holistic Approach to the Sustainable Commercial Property Business: Analysis of the Main Existing Sustainability Certifications”, </w:t>
      </w:r>
      <w:r w:rsidRPr="00BF6F6A">
        <w:rPr>
          <w:i/>
          <w:iCs/>
          <w:color w:val="000000"/>
        </w:rPr>
        <w:t>International Journal of Strategic Property Management</w:t>
      </w:r>
      <w:r w:rsidRPr="00BF6F6A">
        <w:rPr>
          <w:color w:val="000000"/>
        </w:rPr>
        <w:t>, Vol. 24, No. 4, pp. 251</w:t>
      </w:r>
      <w:r w:rsidR="00463465">
        <w:rPr>
          <w:color w:val="000000"/>
        </w:rPr>
        <w:t>-</w:t>
      </w:r>
      <w:r w:rsidRPr="00BF6F6A">
        <w:rPr>
          <w:color w:val="000000"/>
        </w:rPr>
        <w:t xml:space="preserve">268. </w:t>
      </w:r>
      <w:hyperlink r:id="rId32" w:history="1">
        <w:r w:rsidRPr="00BF6F6A">
          <w:rPr>
            <w:rStyle w:val="Hyperlink"/>
          </w:rPr>
          <w:t>https://doi.org/10.3846/ijspm.2020.12174</w:t>
        </w:r>
      </w:hyperlink>
    </w:p>
    <w:p w14:paraId="05FB5A03" w14:textId="2E21CE9B" w:rsidR="00F64296" w:rsidRPr="00BF6F6A" w:rsidRDefault="00F64296" w:rsidP="003B4F8D">
      <w:pPr>
        <w:tabs>
          <w:tab w:val="left" w:pos="2127"/>
        </w:tabs>
        <w:ind w:left="715" w:right="51" w:hanging="730"/>
        <w:jc w:val="both"/>
        <w:rPr>
          <w:rFonts w:eastAsia="Calibri"/>
          <w:szCs w:val="22"/>
        </w:rPr>
      </w:pPr>
      <w:r w:rsidRPr="00BF6F6A">
        <w:t xml:space="preserve">Devine, A., Sanderford, A. and Wang, C. (2024), “Sustainability and Private Equity Real Estate Returns”, </w:t>
      </w:r>
      <w:r w:rsidRPr="00BF6F6A">
        <w:rPr>
          <w:i/>
          <w:iCs/>
        </w:rPr>
        <w:t>Journal of Real Estate Finance and Economics,</w:t>
      </w:r>
      <w:r w:rsidRPr="00BF6F6A">
        <w:t xml:space="preserve"> Vol. 68, pp. 161</w:t>
      </w:r>
      <w:r w:rsidR="00463465">
        <w:t>-</w:t>
      </w:r>
      <w:r w:rsidRPr="00BF6F6A">
        <w:t xml:space="preserve">187. </w:t>
      </w:r>
      <w:hyperlink r:id="rId33" w:history="1">
        <w:r w:rsidRPr="00BF6F6A">
          <w:rPr>
            <w:rStyle w:val="Hyperlink"/>
          </w:rPr>
          <w:t>https://doi.org/10.1007/s11146-022-09914-z</w:t>
        </w:r>
      </w:hyperlink>
      <w:r w:rsidRPr="00BF6F6A">
        <w:t xml:space="preserve"> </w:t>
      </w:r>
    </w:p>
    <w:p w14:paraId="16B8E65B" w14:textId="08347250" w:rsidR="00F64296" w:rsidRPr="00BF6F6A" w:rsidRDefault="00F64296" w:rsidP="003B4F8D">
      <w:pPr>
        <w:tabs>
          <w:tab w:val="left" w:pos="2127"/>
        </w:tabs>
        <w:ind w:left="715" w:right="51" w:hanging="730"/>
        <w:jc w:val="both"/>
        <w:rPr>
          <w:rFonts w:eastAsia="Calibri"/>
          <w:szCs w:val="22"/>
        </w:rPr>
      </w:pPr>
      <w:r w:rsidRPr="00BF6F6A">
        <w:rPr>
          <w:color w:val="000000"/>
        </w:rPr>
        <w:t xml:space="preserve">Diouf, D., Hebb, T. and Touré, E.H. (2016), </w:t>
      </w:r>
      <w:r w:rsidR="008969CE" w:rsidRPr="00BF6F6A">
        <w:rPr>
          <w:color w:val="000000"/>
        </w:rPr>
        <w:t>“</w:t>
      </w:r>
      <w:r w:rsidRPr="00BF6F6A">
        <w:rPr>
          <w:color w:val="000000"/>
        </w:rPr>
        <w:t>Exploring Factors that Influence Social Retail Investors’ Decisions: Evidence from Desjardins Fund</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Journal of Business Ethics,</w:t>
      </w:r>
      <w:r w:rsidR="000F5540" w:rsidRPr="00BF6F6A">
        <w:rPr>
          <w:i/>
          <w:iCs/>
          <w:color w:val="000000"/>
        </w:rPr>
        <w:t xml:space="preserve"> </w:t>
      </w:r>
      <w:r w:rsidRPr="00BF6F6A">
        <w:rPr>
          <w:color w:val="000000"/>
        </w:rPr>
        <w:t xml:space="preserve">Vol. 134, No. 1, pp. 45-67. </w:t>
      </w:r>
      <w:hyperlink r:id="rId34" w:history="1">
        <w:r w:rsidRPr="00BF6F6A">
          <w:rPr>
            <w:rStyle w:val="Hyperlink"/>
          </w:rPr>
          <w:t>https://doi.org/10.1007/s10551-014-2307-4</w:t>
        </w:r>
      </w:hyperlink>
      <w:r w:rsidRPr="00BF6F6A">
        <w:rPr>
          <w:color w:val="000000"/>
        </w:rPr>
        <w:t xml:space="preserve"> </w:t>
      </w:r>
    </w:p>
    <w:p w14:paraId="4E69EC8D" w14:textId="5F120961" w:rsidR="00F64296" w:rsidRPr="00BF6F6A" w:rsidRDefault="00F64296" w:rsidP="003B4F8D">
      <w:pPr>
        <w:tabs>
          <w:tab w:val="left" w:pos="2127"/>
        </w:tabs>
        <w:ind w:left="715" w:right="51" w:hanging="730"/>
        <w:jc w:val="both"/>
        <w:rPr>
          <w:rFonts w:eastAsia="Calibri"/>
          <w:szCs w:val="22"/>
        </w:rPr>
      </w:pPr>
      <w:r w:rsidRPr="00BF6F6A">
        <w:rPr>
          <w:color w:val="000000"/>
        </w:rPr>
        <w:t xml:space="preserve">Dopierała, Ł., Mosionek-Schweda, M. and Ilczuk, D. (2020), </w:t>
      </w:r>
      <w:r w:rsidR="008969CE" w:rsidRPr="00BF6F6A">
        <w:rPr>
          <w:color w:val="000000"/>
        </w:rPr>
        <w:t>“</w:t>
      </w:r>
      <w:r w:rsidRPr="00BF6F6A">
        <w:rPr>
          <w:color w:val="000000"/>
        </w:rPr>
        <w:t>Does the asset allocation policy affect the performance of climate-themed funds? Empirical evidence from the Scandinavian mutual funds market</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Sustainability (Switzerland),</w:t>
      </w:r>
      <w:r w:rsidR="000F5540" w:rsidRPr="00BF6F6A">
        <w:rPr>
          <w:i/>
          <w:iCs/>
          <w:color w:val="000000"/>
        </w:rPr>
        <w:t xml:space="preserve"> </w:t>
      </w:r>
      <w:r w:rsidRPr="00BF6F6A">
        <w:rPr>
          <w:color w:val="000000"/>
        </w:rPr>
        <w:t xml:space="preserve">Vol. 12, No. 2, p. 654. </w:t>
      </w:r>
      <w:hyperlink r:id="rId35" w:history="1">
        <w:r w:rsidRPr="00BF6F6A">
          <w:rPr>
            <w:rStyle w:val="Hyperlink"/>
          </w:rPr>
          <w:t>https://doi.org/10.3390/su12020654</w:t>
        </w:r>
      </w:hyperlink>
      <w:r w:rsidRPr="00BF6F6A">
        <w:rPr>
          <w:color w:val="000000"/>
        </w:rPr>
        <w:t xml:space="preserve"> </w:t>
      </w:r>
    </w:p>
    <w:p w14:paraId="70AF59A5" w14:textId="77777777" w:rsidR="008E678D" w:rsidRPr="00BF6F6A" w:rsidRDefault="008E678D" w:rsidP="008E678D">
      <w:pPr>
        <w:tabs>
          <w:tab w:val="left" w:pos="2127"/>
        </w:tabs>
        <w:ind w:left="715" w:right="51" w:hanging="730"/>
        <w:jc w:val="both"/>
        <w:rPr>
          <w:rFonts w:eastAsia="Calibri"/>
          <w:szCs w:val="22"/>
        </w:rPr>
      </w:pPr>
      <w:r w:rsidRPr="00BF6F6A">
        <w:rPr>
          <w:color w:val="000000"/>
        </w:rPr>
        <w:lastRenderedPageBreak/>
        <w:t xml:space="preserve">Eichholtz, P., Holtermans, R., Kok, N. and Yönder, E. (2019a), “Environmental performance and the cost of debt: Evidence from commercial mortgages and REIT bonds”, </w:t>
      </w:r>
      <w:r w:rsidRPr="00BF6F6A">
        <w:rPr>
          <w:i/>
          <w:iCs/>
          <w:color w:val="000000"/>
        </w:rPr>
        <w:t xml:space="preserve">Journal of Banking and Finance, </w:t>
      </w:r>
      <w:r w:rsidRPr="00BF6F6A">
        <w:rPr>
          <w:color w:val="000000"/>
        </w:rPr>
        <w:t xml:space="preserve">Vol. 102, pp. 19-32. </w:t>
      </w:r>
      <w:hyperlink r:id="rId36" w:history="1">
        <w:r w:rsidRPr="00BF6F6A">
          <w:rPr>
            <w:rStyle w:val="Hyperlink"/>
          </w:rPr>
          <w:t>https://doi.org/10.1016/j.jbankfin.2019.02.015</w:t>
        </w:r>
      </w:hyperlink>
      <w:r w:rsidRPr="00BF6F6A">
        <w:rPr>
          <w:color w:val="000000"/>
        </w:rPr>
        <w:t xml:space="preserve"> </w:t>
      </w:r>
    </w:p>
    <w:p w14:paraId="50A4BF9A" w14:textId="53B0FABF" w:rsidR="00F64296" w:rsidRPr="00BF6F6A" w:rsidRDefault="00F64296" w:rsidP="003B4F8D">
      <w:pPr>
        <w:tabs>
          <w:tab w:val="left" w:pos="2127"/>
        </w:tabs>
        <w:ind w:left="715" w:right="51" w:hanging="730"/>
        <w:jc w:val="both"/>
        <w:rPr>
          <w:rFonts w:eastAsia="Calibri"/>
          <w:szCs w:val="22"/>
        </w:rPr>
      </w:pPr>
      <w:r w:rsidRPr="00BF6F6A">
        <w:rPr>
          <w:color w:val="000000"/>
        </w:rPr>
        <w:t>Eichholtz, P., Holtermans, R. and Kok, N. (2019</w:t>
      </w:r>
      <w:r w:rsidR="008E678D" w:rsidRPr="00BF6F6A">
        <w:rPr>
          <w:color w:val="000000"/>
        </w:rPr>
        <w:t>b</w:t>
      </w:r>
      <w:r w:rsidRPr="00BF6F6A">
        <w:rPr>
          <w:color w:val="000000"/>
        </w:rPr>
        <w:t xml:space="preserve">), </w:t>
      </w:r>
      <w:r w:rsidR="008969CE" w:rsidRPr="00BF6F6A">
        <w:rPr>
          <w:color w:val="000000"/>
        </w:rPr>
        <w:t>“</w:t>
      </w:r>
      <w:r w:rsidRPr="00BF6F6A">
        <w:rPr>
          <w:color w:val="000000"/>
        </w:rPr>
        <w:t>Environmental Performance of Commercial Real Estate: New Insights into Energy Efficiency Improvements</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Journal of Portfolio Management,</w:t>
      </w:r>
      <w:r w:rsidR="008969CE" w:rsidRPr="00BF6F6A">
        <w:rPr>
          <w:i/>
          <w:iCs/>
          <w:color w:val="000000"/>
        </w:rPr>
        <w:t xml:space="preserve"> </w:t>
      </w:r>
      <w:r w:rsidRPr="00BF6F6A">
        <w:rPr>
          <w:color w:val="000000"/>
        </w:rPr>
        <w:t xml:space="preserve">Vol. 45, No. 7, pp. 113-129. </w:t>
      </w:r>
      <w:hyperlink r:id="rId37" w:history="1">
        <w:r w:rsidRPr="00BF6F6A">
          <w:rPr>
            <w:rStyle w:val="Hyperlink"/>
          </w:rPr>
          <w:t>https://doi.org/10.3905/jpm.2019.1.099</w:t>
        </w:r>
      </w:hyperlink>
      <w:r w:rsidRPr="00BF6F6A">
        <w:rPr>
          <w:color w:val="000000"/>
        </w:rPr>
        <w:t xml:space="preserve"> </w:t>
      </w:r>
    </w:p>
    <w:p w14:paraId="32950607" w14:textId="77777777" w:rsidR="00F64296" w:rsidRPr="00BF6F6A" w:rsidRDefault="00F64296" w:rsidP="003B4F8D">
      <w:pPr>
        <w:tabs>
          <w:tab w:val="left" w:pos="2127"/>
        </w:tabs>
        <w:ind w:left="715" w:right="51" w:hanging="730"/>
        <w:jc w:val="both"/>
        <w:rPr>
          <w:rFonts w:eastAsia="Calibri"/>
          <w:szCs w:val="22"/>
        </w:rPr>
      </w:pPr>
      <w:r w:rsidRPr="00BF6F6A">
        <w:t xml:space="preserve">ERM (2023), “Rate the Raters 2023 – ESG Ratings at a Crossroads”, available at: </w:t>
      </w:r>
      <w:hyperlink r:id="rId38" w:history="1">
        <w:r w:rsidRPr="00BF6F6A">
          <w:rPr>
            <w:rStyle w:val="Hyperlink"/>
          </w:rPr>
          <w:t>https://www.sustainability.com/globalassets/sustainability.com/thinking/pdfs/2023/rate-the-raters-report-april-2023.pdf</w:t>
        </w:r>
      </w:hyperlink>
      <w:r w:rsidRPr="00BF6F6A">
        <w:t xml:space="preserve"> </w:t>
      </w:r>
    </w:p>
    <w:p w14:paraId="1A151AD4" w14:textId="5DDDBB17" w:rsidR="00F64296" w:rsidRPr="00BF6F6A" w:rsidRDefault="00F64296" w:rsidP="003B4F8D">
      <w:pPr>
        <w:tabs>
          <w:tab w:val="left" w:pos="2127"/>
        </w:tabs>
        <w:ind w:left="715" w:right="51" w:hanging="730"/>
        <w:jc w:val="both"/>
        <w:rPr>
          <w:rFonts w:eastAsia="Calibri"/>
          <w:szCs w:val="22"/>
        </w:rPr>
      </w:pPr>
      <w:r w:rsidRPr="00BF6F6A">
        <w:rPr>
          <w:color w:val="000000"/>
        </w:rPr>
        <w:t xml:space="preserve">Espahbodi, L., Espahbodi, R., Juma, N. and Westbrook, A. (2019), </w:t>
      </w:r>
      <w:r w:rsidR="008969CE" w:rsidRPr="00BF6F6A">
        <w:rPr>
          <w:color w:val="000000"/>
        </w:rPr>
        <w:t>“</w:t>
      </w:r>
      <w:r w:rsidRPr="00BF6F6A">
        <w:rPr>
          <w:color w:val="000000"/>
        </w:rPr>
        <w:t>Sustainability priorities, corporate strategy, and investor behavior</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Review of Financial Economics,</w:t>
      </w:r>
      <w:r w:rsidR="008969CE" w:rsidRPr="00BF6F6A">
        <w:rPr>
          <w:i/>
          <w:iCs/>
          <w:color w:val="000000"/>
        </w:rPr>
        <w:t xml:space="preserve"> </w:t>
      </w:r>
      <w:r w:rsidRPr="00BF6F6A">
        <w:rPr>
          <w:color w:val="000000"/>
        </w:rPr>
        <w:t xml:space="preserve">Vol. 37, No. 1., pp. 149-167. </w:t>
      </w:r>
      <w:hyperlink r:id="rId39" w:history="1">
        <w:r w:rsidRPr="00BF6F6A">
          <w:rPr>
            <w:rStyle w:val="Hyperlink"/>
          </w:rPr>
          <w:t>https://doi.org/10.1002/rfe.1052</w:t>
        </w:r>
      </w:hyperlink>
      <w:r w:rsidRPr="00BF6F6A">
        <w:rPr>
          <w:color w:val="000000"/>
        </w:rPr>
        <w:t xml:space="preserve"> </w:t>
      </w:r>
    </w:p>
    <w:p w14:paraId="36B2FA27" w14:textId="6445DB5A" w:rsidR="00F64296" w:rsidRPr="00BF6F6A" w:rsidRDefault="00F64296" w:rsidP="003B4F8D">
      <w:pPr>
        <w:tabs>
          <w:tab w:val="left" w:pos="2127"/>
        </w:tabs>
        <w:ind w:left="715" w:right="51" w:hanging="730"/>
        <w:jc w:val="both"/>
        <w:rPr>
          <w:rFonts w:eastAsia="Calibri"/>
          <w:szCs w:val="22"/>
        </w:rPr>
      </w:pPr>
      <w:r w:rsidRPr="00BF6F6A">
        <w:t xml:space="preserve">Euromoney (2020), “ESG ratings… it’s a bit of a zoo”, available at: </w:t>
      </w:r>
      <w:hyperlink r:id="rId40" w:history="1">
        <w:r w:rsidRPr="00BF6F6A">
          <w:rPr>
            <w:rStyle w:val="Hyperlink"/>
          </w:rPr>
          <w:t>https://www.euromoney.com/podcasts/treasury-and-turbulence</w:t>
        </w:r>
      </w:hyperlink>
    </w:p>
    <w:p w14:paraId="0B337A6B" w14:textId="61FFD59E" w:rsidR="00F64296" w:rsidRPr="00BF6F6A" w:rsidRDefault="00F64296" w:rsidP="003B4F8D">
      <w:pPr>
        <w:tabs>
          <w:tab w:val="left" w:pos="2127"/>
        </w:tabs>
        <w:ind w:left="715" w:right="51" w:hanging="730"/>
        <w:jc w:val="both"/>
        <w:rPr>
          <w:rFonts w:eastAsia="Calibri"/>
          <w:szCs w:val="22"/>
        </w:rPr>
      </w:pPr>
      <w:r w:rsidRPr="00BF6F6A">
        <w:t xml:space="preserve">Feng, Z. and Wu, Z. (2023), “ESG Disclosure, REIT Debt Financing and Firm Value”, </w:t>
      </w:r>
      <w:r w:rsidRPr="00BF6F6A">
        <w:rPr>
          <w:i/>
          <w:iCs/>
        </w:rPr>
        <w:t>Journal of Real Estate Finance and Economics</w:t>
      </w:r>
      <w:r w:rsidRPr="00BF6F6A">
        <w:t>, Vol. 67, No. 3, pp. 388</w:t>
      </w:r>
      <w:r w:rsidR="00463465">
        <w:t>-</w:t>
      </w:r>
      <w:r w:rsidRPr="00BF6F6A">
        <w:t xml:space="preserve">422. </w:t>
      </w:r>
      <w:hyperlink r:id="rId41" w:history="1">
        <w:r w:rsidRPr="00BF6F6A">
          <w:rPr>
            <w:rStyle w:val="Hyperlink"/>
          </w:rPr>
          <w:t>https://doi.org/10.1007/s11146-021-09857-x</w:t>
        </w:r>
      </w:hyperlink>
      <w:r w:rsidRPr="00BF6F6A">
        <w:t xml:space="preserve"> </w:t>
      </w:r>
    </w:p>
    <w:p w14:paraId="50EC22F4" w14:textId="145953AF" w:rsidR="00F64296" w:rsidRPr="00BF6F6A" w:rsidRDefault="00F64296" w:rsidP="003B4F8D">
      <w:pPr>
        <w:tabs>
          <w:tab w:val="left" w:pos="2127"/>
        </w:tabs>
        <w:ind w:left="715" w:right="51" w:hanging="730"/>
        <w:jc w:val="both"/>
        <w:rPr>
          <w:rFonts w:eastAsia="Calibri"/>
          <w:szCs w:val="22"/>
        </w:rPr>
      </w:pPr>
      <w:r w:rsidRPr="00BF6F6A">
        <w:rPr>
          <w:color w:val="000000"/>
        </w:rPr>
        <w:t xml:space="preserve">Friede, G., Busch, T. and Bassen, A. (2015), </w:t>
      </w:r>
      <w:r w:rsidR="008969CE" w:rsidRPr="00BF6F6A">
        <w:rPr>
          <w:color w:val="000000"/>
        </w:rPr>
        <w:t>“</w:t>
      </w:r>
      <w:r w:rsidRPr="00BF6F6A">
        <w:rPr>
          <w:color w:val="000000"/>
        </w:rPr>
        <w:t>ESG and financial performance: aggregated evidence from more than 2000 empirical studies</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Journal of Sustainable Finance &amp; Investment,</w:t>
      </w:r>
      <w:r w:rsidR="008969CE" w:rsidRPr="00BF6F6A">
        <w:rPr>
          <w:i/>
          <w:iCs/>
          <w:color w:val="000000"/>
        </w:rPr>
        <w:t xml:space="preserve"> </w:t>
      </w:r>
      <w:r w:rsidRPr="00BF6F6A">
        <w:rPr>
          <w:color w:val="000000"/>
        </w:rPr>
        <w:t xml:space="preserve">Vol. 5, No. 4, pp. 210-233. </w:t>
      </w:r>
      <w:hyperlink r:id="rId42" w:history="1">
        <w:r w:rsidRPr="00BF6F6A">
          <w:rPr>
            <w:rStyle w:val="Hyperlink"/>
          </w:rPr>
          <w:t>https://doi.org/10.1080/20430795.2015.1118917</w:t>
        </w:r>
      </w:hyperlink>
      <w:r w:rsidRPr="00BF6F6A">
        <w:rPr>
          <w:color w:val="000000"/>
        </w:rPr>
        <w:t xml:space="preserve"> </w:t>
      </w:r>
    </w:p>
    <w:p w14:paraId="0E05BA71" w14:textId="77777777" w:rsidR="00F64296" w:rsidRPr="00BF6F6A" w:rsidRDefault="00F64296" w:rsidP="003B4F8D">
      <w:pPr>
        <w:tabs>
          <w:tab w:val="left" w:pos="2127"/>
        </w:tabs>
        <w:ind w:left="715" w:right="51" w:hanging="730"/>
        <w:jc w:val="both"/>
        <w:rPr>
          <w:rFonts w:eastAsia="Calibri"/>
          <w:szCs w:val="22"/>
        </w:rPr>
      </w:pPr>
      <w:r w:rsidRPr="00BF6F6A">
        <w:rPr>
          <w:color w:val="000000"/>
        </w:rPr>
        <w:t xml:space="preserve">Fyodorova, E., Sayakhov, R., Demin, I. and Afanasyev, D. (2019), “The influence of conference calls’ semantic characteristics on the company market performance: Text analysis”, </w:t>
      </w:r>
      <w:r w:rsidRPr="00BF6F6A">
        <w:rPr>
          <w:i/>
          <w:iCs/>
          <w:color w:val="000000"/>
        </w:rPr>
        <w:t>Russian Journal of Economics</w:t>
      </w:r>
      <w:r w:rsidRPr="00BF6F6A">
        <w:rPr>
          <w:color w:val="000000"/>
        </w:rPr>
        <w:t xml:space="preserve">, Vol. 5, No. 3, pp. 297-320. </w:t>
      </w:r>
      <w:hyperlink r:id="rId43" w:history="1">
        <w:r w:rsidRPr="00BF6F6A">
          <w:rPr>
            <w:rStyle w:val="Hyperlink"/>
          </w:rPr>
          <w:t>https://doi.org/10.32609/j.ruje.5.47422</w:t>
        </w:r>
      </w:hyperlink>
      <w:r w:rsidRPr="00BF6F6A">
        <w:rPr>
          <w:color w:val="000000"/>
        </w:rPr>
        <w:t xml:space="preserve"> </w:t>
      </w:r>
    </w:p>
    <w:p w14:paraId="0CCE45B0" w14:textId="77777777" w:rsidR="00F64296" w:rsidRPr="00BF6F6A" w:rsidRDefault="00F64296" w:rsidP="003B4F8D">
      <w:pPr>
        <w:tabs>
          <w:tab w:val="left" w:pos="2127"/>
        </w:tabs>
        <w:ind w:left="715" w:right="51" w:hanging="730"/>
        <w:jc w:val="both"/>
        <w:rPr>
          <w:rFonts w:eastAsia="Calibri"/>
          <w:szCs w:val="22"/>
        </w:rPr>
      </w:pPr>
      <w:r w:rsidRPr="00BF6F6A">
        <w:rPr>
          <w:color w:val="000000"/>
        </w:rPr>
        <w:t xml:space="preserve">Garcia, A.S., Mendes-Da-Silva, W. and Orsato, R.J. (2019), Corporate Sustainability, Capital Markets, and ESG Performance. In: Mendes-Da-Silva, W. (eds) </w:t>
      </w:r>
      <w:r w:rsidRPr="00BF6F6A">
        <w:rPr>
          <w:i/>
          <w:iCs/>
          <w:color w:val="000000"/>
        </w:rPr>
        <w:t>Individual Behaviors and Technologies for Financial Innovations</w:t>
      </w:r>
      <w:r w:rsidRPr="00BF6F6A">
        <w:rPr>
          <w:color w:val="000000"/>
        </w:rPr>
        <w:t xml:space="preserve">. Springer, Cham. </w:t>
      </w:r>
      <w:hyperlink r:id="rId44" w:history="1">
        <w:r w:rsidRPr="00BF6F6A">
          <w:rPr>
            <w:rStyle w:val="Hyperlink"/>
          </w:rPr>
          <w:t>https://doi.org/10.1007/978-3-319-91911-9_13</w:t>
        </w:r>
      </w:hyperlink>
      <w:r w:rsidRPr="00BF6F6A">
        <w:rPr>
          <w:color w:val="000000"/>
        </w:rPr>
        <w:t xml:space="preserve"> </w:t>
      </w:r>
    </w:p>
    <w:p w14:paraId="1A32F9BF" w14:textId="2EB2E8EA" w:rsidR="003B4F8D" w:rsidRPr="00BF6F6A" w:rsidRDefault="003B4F8D" w:rsidP="003B4F8D">
      <w:pPr>
        <w:tabs>
          <w:tab w:val="left" w:pos="2127"/>
        </w:tabs>
        <w:ind w:left="715" w:right="51" w:hanging="730"/>
        <w:jc w:val="both"/>
        <w:rPr>
          <w:color w:val="000000"/>
        </w:rPr>
      </w:pPr>
      <w:r w:rsidRPr="00BF6F6A">
        <w:rPr>
          <w:color w:val="000000"/>
        </w:rPr>
        <w:t xml:space="preserve">Gauntlett, L., Bickle, E., Thomas, G., Collins, B., Heaslip, V. and Eccles, S. (2017), “Interpretative phenomenological analysis: A means of exploring aspiration and resilience amongst widening participation students”, </w:t>
      </w:r>
      <w:r w:rsidRPr="00BF6F6A">
        <w:rPr>
          <w:i/>
          <w:iCs/>
          <w:color w:val="000000"/>
        </w:rPr>
        <w:t>Widening Participation and Lifelong Learning</w:t>
      </w:r>
      <w:r w:rsidRPr="00BF6F6A">
        <w:rPr>
          <w:color w:val="000000"/>
        </w:rPr>
        <w:t>, Vol. 19, No. 2, pp. 63</w:t>
      </w:r>
      <w:r w:rsidR="00463465">
        <w:rPr>
          <w:color w:val="000000"/>
        </w:rPr>
        <w:t>-</w:t>
      </w:r>
      <w:r w:rsidRPr="00BF6F6A">
        <w:rPr>
          <w:color w:val="000000"/>
        </w:rPr>
        <w:t xml:space="preserve">86. </w:t>
      </w:r>
      <w:hyperlink r:id="rId45" w:history="1">
        <w:r w:rsidRPr="00BF6F6A">
          <w:rPr>
            <w:rStyle w:val="Hyperlink"/>
          </w:rPr>
          <w:t>https://doi.org/10.5456/WPLL.19.2.63</w:t>
        </w:r>
      </w:hyperlink>
      <w:r w:rsidRPr="00BF6F6A">
        <w:rPr>
          <w:color w:val="000000"/>
        </w:rPr>
        <w:t xml:space="preserve"> </w:t>
      </w:r>
    </w:p>
    <w:p w14:paraId="19392ED6" w14:textId="209E1CAC" w:rsidR="00F64296" w:rsidRPr="00BF6F6A" w:rsidRDefault="00F64296" w:rsidP="003B4F8D">
      <w:pPr>
        <w:tabs>
          <w:tab w:val="left" w:pos="2127"/>
        </w:tabs>
        <w:ind w:left="715" w:right="51" w:hanging="730"/>
        <w:jc w:val="both"/>
        <w:rPr>
          <w:rFonts w:eastAsia="Calibri"/>
          <w:szCs w:val="22"/>
        </w:rPr>
      </w:pPr>
      <w:r w:rsidRPr="00BF6F6A">
        <w:t xml:space="preserve">Goubran, S., Walker, T., Cucuzzella, C. and Schwartz, T. (2023), “Green building standards and the United Nations’ Sustainable Development Goals”, </w:t>
      </w:r>
      <w:r w:rsidRPr="00BF6F6A">
        <w:rPr>
          <w:i/>
          <w:iCs/>
        </w:rPr>
        <w:t>Journal of Environmental Management</w:t>
      </w:r>
      <w:r w:rsidRPr="00BF6F6A">
        <w:t>, Vol. 326, pp. 116552</w:t>
      </w:r>
      <w:r w:rsidR="00463465">
        <w:t>-</w:t>
      </w:r>
      <w:r w:rsidRPr="00BF6F6A">
        <w:t xml:space="preserve">116552. </w:t>
      </w:r>
      <w:hyperlink r:id="rId46" w:history="1">
        <w:r w:rsidRPr="00BF6F6A">
          <w:rPr>
            <w:rStyle w:val="Hyperlink"/>
          </w:rPr>
          <w:t>https://doi.org/10.1016/j.jenvman.2022.116552</w:t>
        </w:r>
      </w:hyperlink>
    </w:p>
    <w:p w14:paraId="414B59F7" w14:textId="77777777" w:rsidR="008E678D" w:rsidRPr="00BF6F6A" w:rsidRDefault="008E678D" w:rsidP="008E678D">
      <w:pPr>
        <w:tabs>
          <w:tab w:val="left" w:pos="2127"/>
        </w:tabs>
        <w:ind w:left="715" w:right="51" w:hanging="730"/>
        <w:jc w:val="both"/>
        <w:rPr>
          <w:rFonts w:eastAsia="Calibri"/>
          <w:szCs w:val="22"/>
        </w:rPr>
      </w:pPr>
      <w:r w:rsidRPr="00BF6F6A">
        <w:rPr>
          <w:color w:val="000000"/>
        </w:rPr>
        <w:t xml:space="preserve">GRESB (2022a), “GRESB Real Estate Assessment”, available at: </w:t>
      </w:r>
      <w:hyperlink r:id="rId47" w:history="1">
        <w:r w:rsidRPr="00BF6F6A">
          <w:rPr>
            <w:rStyle w:val="Hyperlink"/>
          </w:rPr>
          <w:t>https://gresb.com/nl-en/real-estate-assessment/</w:t>
        </w:r>
      </w:hyperlink>
      <w:r w:rsidRPr="00BF6F6A">
        <w:rPr>
          <w:color w:val="000000"/>
        </w:rPr>
        <w:t xml:space="preserve"> </w:t>
      </w:r>
    </w:p>
    <w:p w14:paraId="41C678AC" w14:textId="1369AEC5" w:rsidR="00F64296" w:rsidRPr="00BF6F6A" w:rsidRDefault="00F64296" w:rsidP="003B4F8D">
      <w:pPr>
        <w:tabs>
          <w:tab w:val="left" w:pos="2127"/>
        </w:tabs>
        <w:ind w:left="715" w:right="51" w:hanging="730"/>
        <w:jc w:val="both"/>
        <w:rPr>
          <w:rFonts w:eastAsia="Calibri"/>
          <w:szCs w:val="22"/>
        </w:rPr>
      </w:pPr>
      <w:r w:rsidRPr="00BF6F6A">
        <w:rPr>
          <w:color w:val="000000"/>
        </w:rPr>
        <w:t>GRESB (2022</w:t>
      </w:r>
      <w:r w:rsidR="008E678D" w:rsidRPr="00BF6F6A">
        <w:rPr>
          <w:color w:val="000000"/>
        </w:rPr>
        <w:t>b</w:t>
      </w:r>
      <w:r w:rsidRPr="00BF6F6A">
        <w:rPr>
          <w:color w:val="000000"/>
        </w:rPr>
        <w:t>), “</w:t>
      </w:r>
      <w:r w:rsidR="004A0180" w:rsidRPr="00BF6F6A">
        <w:rPr>
          <w:color w:val="000000"/>
        </w:rPr>
        <w:t>O</w:t>
      </w:r>
      <w:r w:rsidRPr="00BF6F6A">
        <w:rPr>
          <w:color w:val="000000"/>
        </w:rPr>
        <w:t xml:space="preserve">ur Participant Members”, available at: </w:t>
      </w:r>
      <w:hyperlink r:id="rId48" w:history="1">
        <w:r w:rsidRPr="00BF6F6A">
          <w:rPr>
            <w:rStyle w:val="Hyperlink"/>
          </w:rPr>
          <w:t>https://www.gresb.com/nl-en/gresb-participant-members/</w:t>
        </w:r>
      </w:hyperlink>
      <w:r w:rsidRPr="00BF6F6A">
        <w:t xml:space="preserve"> </w:t>
      </w:r>
    </w:p>
    <w:p w14:paraId="09A0954D" w14:textId="678C30DA" w:rsidR="008D74FC" w:rsidRPr="00BF6F6A" w:rsidRDefault="008D74FC" w:rsidP="003B4F8D">
      <w:pPr>
        <w:tabs>
          <w:tab w:val="left" w:pos="2127"/>
        </w:tabs>
        <w:ind w:left="715" w:right="51" w:hanging="730"/>
        <w:jc w:val="both"/>
        <w:rPr>
          <w:color w:val="000000"/>
        </w:rPr>
      </w:pPr>
      <w:r w:rsidRPr="00BF6F6A">
        <w:rPr>
          <w:color w:val="000000"/>
        </w:rPr>
        <w:t xml:space="preserve">GRESB (2023), “Driving Sustainable Value - The GRESB Foundation 2024 Roadmap”, available at: </w:t>
      </w:r>
      <w:hyperlink r:id="rId49" w:history="1">
        <w:r w:rsidRPr="00BF6F6A">
          <w:rPr>
            <w:rStyle w:val="Hyperlink"/>
          </w:rPr>
          <w:t>https://gresb-prd-public.s3.amazonaws.com/2023/Foundation/GRESB_Foundation_2024_Roadmap.pdf</w:t>
        </w:r>
      </w:hyperlink>
      <w:r w:rsidRPr="00BF6F6A">
        <w:rPr>
          <w:color w:val="000000"/>
        </w:rPr>
        <w:t xml:space="preserve"> </w:t>
      </w:r>
    </w:p>
    <w:p w14:paraId="6511938F" w14:textId="221B3A84" w:rsidR="00F64296" w:rsidRPr="00BF6F6A" w:rsidRDefault="00F64296" w:rsidP="003B4F8D">
      <w:pPr>
        <w:tabs>
          <w:tab w:val="left" w:pos="2127"/>
        </w:tabs>
        <w:ind w:left="715" w:right="51" w:hanging="730"/>
        <w:jc w:val="both"/>
        <w:rPr>
          <w:rFonts w:eastAsia="Calibri"/>
          <w:szCs w:val="22"/>
        </w:rPr>
      </w:pPr>
      <w:r w:rsidRPr="00BF6F6A">
        <w:rPr>
          <w:color w:val="000000"/>
        </w:rPr>
        <w:t xml:space="preserve">GRESB (2024), “2023 Real Estate Assessment Results”, available at: </w:t>
      </w:r>
      <w:hyperlink r:id="rId50" w:history="1">
        <w:r w:rsidRPr="00BF6F6A">
          <w:rPr>
            <w:rStyle w:val="Hyperlink"/>
          </w:rPr>
          <w:t>https://www.gresb.com/nl-en/2023-real-estate-assessment-results/</w:t>
        </w:r>
      </w:hyperlink>
      <w:r w:rsidRPr="00BF6F6A">
        <w:rPr>
          <w:color w:val="000000"/>
        </w:rPr>
        <w:t xml:space="preserve"> </w:t>
      </w:r>
    </w:p>
    <w:p w14:paraId="6E56BCDF" w14:textId="64DCDAE4" w:rsidR="00F64296" w:rsidRPr="00BF6F6A" w:rsidRDefault="00F64296" w:rsidP="003B4F8D">
      <w:pPr>
        <w:tabs>
          <w:tab w:val="left" w:pos="2127"/>
        </w:tabs>
        <w:ind w:left="715" w:right="51" w:hanging="730"/>
        <w:jc w:val="both"/>
        <w:rPr>
          <w:rFonts w:eastAsia="Calibri"/>
          <w:szCs w:val="22"/>
        </w:rPr>
      </w:pPr>
      <w:r w:rsidRPr="00BF6F6A">
        <w:rPr>
          <w:color w:val="000000"/>
        </w:rPr>
        <w:lastRenderedPageBreak/>
        <w:t>Hebb, T., Hamilton, A. and Hachigian, H. (2010), “Responsible property investing in Canada: Factoring both environmental and social impacts in the Canadian real estate market</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Journal of Business Ethics,</w:t>
      </w:r>
      <w:r w:rsidR="008969CE" w:rsidRPr="00BF6F6A">
        <w:rPr>
          <w:i/>
          <w:iCs/>
          <w:color w:val="000000"/>
        </w:rPr>
        <w:t xml:space="preserve"> </w:t>
      </w:r>
      <w:r w:rsidRPr="00BF6F6A">
        <w:rPr>
          <w:color w:val="000000"/>
        </w:rPr>
        <w:t xml:space="preserve">Vol. 92, No. 1, pp. 99-115. </w:t>
      </w:r>
      <w:hyperlink r:id="rId51" w:history="1">
        <w:r w:rsidRPr="00BF6F6A">
          <w:rPr>
            <w:rStyle w:val="Hyperlink"/>
          </w:rPr>
          <w:t>https://doi.org/10.1007/s10551-010-0636-5</w:t>
        </w:r>
      </w:hyperlink>
      <w:r w:rsidRPr="00BF6F6A">
        <w:rPr>
          <w:color w:val="000000"/>
        </w:rPr>
        <w:t xml:space="preserve"> </w:t>
      </w:r>
    </w:p>
    <w:p w14:paraId="4D5AAF12" w14:textId="6CBEA6C8" w:rsidR="00F64296" w:rsidRPr="00BF6F6A" w:rsidRDefault="00F64296" w:rsidP="003B4F8D">
      <w:pPr>
        <w:tabs>
          <w:tab w:val="left" w:pos="2127"/>
        </w:tabs>
        <w:ind w:left="715" w:right="51" w:hanging="730"/>
        <w:jc w:val="both"/>
        <w:rPr>
          <w:rFonts w:eastAsia="Calibri"/>
          <w:szCs w:val="22"/>
        </w:rPr>
      </w:pPr>
      <w:r w:rsidRPr="00BF6F6A">
        <w:t xml:space="preserve">Hodges, P., Ren, H., Schwaiger, K. and Ang, A. (2022), “Net-Zero Investing for Multi-Asset Portfolios Seeking to Satisfy Paris-Aligned Benchmark Requirements with Climate Alpha Signals”, </w:t>
      </w:r>
      <w:r w:rsidRPr="00BF6F6A">
        <w:rPr>
          <w:i/>
          <w:iCs/>
        </w:rPr>
        <w:t>Journal of Portfolio Management</w:t>
      </w:r>
      <w:r w:rsidRPr="00BF6F6A">
        <w:t>, Vol. 48, No. 4, pp. 33</w:t>
      </w:r>
      <w:r w:rsidR="00463465">
        <w:t>-</w:t>
      </w:r>
      <w:r w:rsidRPr="00BF6F6A">
        <w:t xml:space="preserve">58. </w:t>
      </w:r>
      <w:hyperlink r:id="rId52" w:history="1">
        <w:r w:rsidRPr="00BF6F6A">
          <w:rPr>
            <w:rStyle w:val="Hyperlink"/>
          </w:rPr>
          <w:t>https://doi.org/10.3905/jpm.2022.1.334</w:t>
        </w:r>
      </w:hyperlink>
      <w:r w:rsidRPr="00BF6F6A">
        <w:t xml:space="preserve"> </w:t>
      </w:r>
    </w:p>
    <w:p w14:paraId="2AFB1B69" w14:textId="69113E9D" w:rsidR="00F64296" w:rsidRPr="00BF6F6A" w:rsidRDefault="00F64296" w:rsidP="003B4F8D">
      <w:pPr>
        <w:tabs>
          <w:tab w:val="left" w:pos="2127"/>
        </w:tabs>
        <w:ind w:left="715" w:right="51" w:hanging="730"/>
        <w:jc w:val="both"/>
        <w:rPr>
          <w:rFonts w:eastAsia="Calibri"/>
          <w:szCs w:val="22"/>
        </w:rPr>
      </w:pPr>
      <w:r w:rsidRPr="00BF6F6A">
        <w:t xml:space="preserve">Holtermans, R. and Kok, N. (2019), “On the Value of Environmental Certification in the Commercial Real Estate Market”, </w:t>
      </w:r>
      <w:r w:rsidRPr="00BF6F6A">
        <w:rPr>
          <w:i/>
          <w:iCs/>
        </w:rPr>
        <w:t>Real Estate Economics</w:t>
      </w:r>
      <w:r w:rsidRPr="00BF6F6A">
        <w:t>, Vol. 47, No. 3, pp. 685</w:t>
      </w:r>
      <w:r w:rsidR="00463465">
        <w:t>-</w:t>
      </w:r>
      <w:r w:rsidRPr="00BF6F6A">
        <w:t xml:space="preserve">722. </w:t>
      </w:r>
      <w:hyperlink r:id="rId53" w:history="1">
        <w:r w:rsidRPr="00BF6F6A">
          <w:rPr>
            <w:rStyle w:val="Hyperlink"/>
          </w:rPr>
          <w:t>https://doi.org/10.1111/1540-6229.12223</w:t>
        </w:r>
      </w:hyperlink>
    </w:p>
    <w:p w14:paraId="7E5744C3" w14:textId="77777777" w:rsidR="00F64296" w:rsidRPr="00BF6F6A" w:rsidRDefault="00F64296" w:rsidP="003B4F8D">
      <w:pPr>
        <w:tabs>
          <w:tab w:val="left" w:pos="2127"/>
        </w:tabs>
        <w:ind w:left="715" w:right="51" w:hanging="730"/>
        <w:jc w:val="both"/>
        <w:rPr>
          <w:rFonts w:eastAsia="Calibri"/>
          <w:szCs w:val="22"/>
        </w:rPr>
      </w:pPr>
      <w:r w:rsidRPr="00BF6F6A">
        <w:t xml:space="preserve">Horry, R., Booth, C.A. and Mahamadu, A. (2023), “Environmental management systems in the architecture, engineering and construction sectors”, </w:t>
      </w:r>
      <w:r w:rsidRPr="00BF6F6A">
        <w:rPr>
          <w:i/>
          <w:iCs/>
        </w:rPr>
        <w:t>Proceedings of the Institution of Civil Engineers – Engineering Sustainability</w:t>
      </w:r>
      <w:r w:rsidRPr="00BF6F6A">
        <w:t xml:space="preserve"> (ahead of print). </w:t>
      </w:r>
      <w:hyperlink r:id="rId54" w:history="1">
        <w:r w:rsidRPr="00BF6F6A">
          <w:rPr>
            <w:rStyle w:val="Hyperlink"/>
          </w:rPr>
          <w:t>https://doi.org/10.1680/jensu.23.00031</w:t>
        </w:r>
      </w:hyperlink>
    </w:p>
    <w:p w14:paraId="74F5E0D3" w14:textId="50D67695" w:rsidR="00F64296" w:rsidRPr="00BF6F6A" w:rsidRDefault="00F64296" w:rsidP="003B4F8D">
      <w:pPr>
        <w:tabs>
          <w:tab w:val="left" w:pos="2127"/>
        </w:tabs>
        <w:ind w:left="715" w:right="51" w:hanging="730"/>
        <w:jc w:val="both"/>
        <w:rPr>
          <w:rFonts w:eastAsia="Calibri"/>
          <w:szCs w:val="22"/>
        </w:rPr>
      </w:pPr>
      <w:r w:rsidRPr="00BF6F6A">
        <w:rPr>
          <w:color w:val="000000"/>
        </w:rPr>
        <w:t xml:space="preserve">Husted, B.W. and Sousa-Filho, J.M.D. (2017), </w:t>
      </w:r>
      <w:r w:rsidR="008969CE" w:rsidRPr="00BF6F6A">
        <w:rPr>
          <w:color w:val="000000"/>
        </w:rPr>
        <w:t>“</w:t>
      </w:r>
      <w:r w:rsidRPr="00BF6F6A">
        <w:rPr>
          <w:color w:val="000000"/>
        </w:rPr>
        <w:t>The impact of sustainability governance, country stakeholder orientation, and country risk on environmental, social, and governance performance</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Journal of Cleaner Production,</w:t>
      </w:r>
      <w:r w:rsidR="008969CE" w:rsidRPr="00BF6F6A">
        <w:rPr>
          <w:i/>
          <w:iCs/>
          <w:color w:val="000000"/>
        </w:rPr>
        <w:t xml:space="preserve"> </w:t>
      </w:r>
      <w:r w:rsidRPr="00BF6F6A">
        <w:rPr>
          <w:color w:val="000000"/>
        </w:rPr>
        <w:t xml:space="preserve">Vol. 155, pp. 93-102. </w:t>
      </w:r>
      <w:hyperlink r:id="rId55" w:history="1">
        <w:r w:rsidRPr="00BF6F6A">
          <w:rPr>
            <w:rStyle w:val="Hyperlink"/>
          </w:rPr>
          <w:t>https://doi.org/10.1016/j.jclepro.2016.10.025</w:t>
        </w:r>
      </w:hyperlink>
      <w:r w:rsidRPr="00BF6F6A">
        <w:rPr>
          <w:color w:val="000000"/>
        </w:rPr>
        <w:t xml:space="preserve"> </w:t>
      </w:r>
    </w:p>
    <w:p w14:paraId="5465B506" w14:textId="7C0A7CB8" w:rsidR="00BE3934" w:rsidRPr="00BF6F6A" w:rsidRDefault="00BE3934" w:rsidP="00BE3934">
      <w:pPr>
        <w:tabs>
          <w:tab w:val="left" w:pos="2127"/>
        </w:tabs>
        <w:ind w:left="715" w:right="51" w:hanging="730"/>
        <w:jc w:val="both"/>
        <w:rPr>
          <w:color w:val="000000"/>
        </w:rPr>
      </w:pPr>
      <w:r w:rsidRPr="00BF6F6A">
        <w:rPr>
          <w:color w:val="000000"/>
        </w:rPr>
        <w:t xml:space="preserve">IFRS (2023), “IFRS S1 Sustainability Disclosure Standard - General Requirements for Disclosure of Sustainability-related Financial Information”, available at: </w:t>
      </w:r>
      <w:hyperlink r:id="rId56" w:history="1">
        <w:r w:rsidRPr="00BF6F6A">
          <w:rPr>
            <w:rStyle w:val="Hyperlink"/>
          </w:rPr>
          <w:t>https://www.ifrs.org/issued-standards/ifrs-sustainability-standards-navigator/ifrs-s1-general-requirements/</w:t>
        </w:r>
      </w:hyperlink>
      <w:r w:rsidR="00480B8B" w:rsidRPr="00BF6F6A">
        <w:rPr>
          <w:color w:val="000000"/>
        </w:rPr>
        <w:t xml:space="preserve"> </w:t>
      </w:r>
    </w:p>
    <w:p w14:paraId="17BF05C0" w14:textId="559C05E5" w:rsidR="00F64296" w:rsidRPr="00BF6F6A" w:rsidRDefault="00F64296" w:rsidP="003B4F8D">
      <w:pPr>
        <w:tabs>
          <w:tab w:val="left" w:pos="2127"/>
        </w:tabs>
        <w:ind w:left="715" w:right="51" w:hanging="730"/>
        <w:jc w:val="both"/>
        <w:rPr>
          <w:rFonts w:eastAsia="Calibri"/>
          <w:szCs w:val="22"/>
        </w:rPr>
      </w:pPr>
      <w:r w:rsidRPr="00BF6F6A">
        <w:rPr>
          <w:color w:val="000000"/>
        </w:rPr>
        <w:t xml:space="preserve">Jadevicius, A. (2020), “Exchange-traded fund investing as European open-end diversified core equity real-estate funds’ cash substitute”, </w:t>
      </w:r>
      <w:r w:rsidRPr="00BF6F6A">
        <w:rPr>
          <w:i/>
          <w:iCs/>
          <w:color w:val="000000"/>
        </w:rPr>
        <w:t>Journal of Property Investment &amp; Finance</w:t>
      </w:r>
      <w:r w:rsidRPr="00BF6F6A">
        <w:rPr>
          <w:color w:val="000000"/>
        </w:rPr>
        <w:t>, Vol. 38, No. 2, pp. 156</w:t>
      </w:r>
      <w:r w:rsidR="00463465">
        <w:rPr>
          <w:color w:val="000000"/>
        </w:rPr>
        <w:t>-</w:t>
      </w:r>
      <w:r w:rsidRPr="00BF6F6A">
        <w:rPr>
          <w:color w:val="000000"/>
        </w:rPr>
        <w:t xml:space="preserve">160. </w:t>
      </w:r>
      <w:hyperlink r:id="rId57" w:history="1">
        <w:r w:rsidRPr="00BF6F6A">
          <w:rPr>
            <w:rStyle w:val="Hyperlink"/>
          </w:rPr>
          <w:t>https://doi.org/10.1108/JPIF-12-2019-0147</w:t>
        </w:r>
      </w:hyperlink>
    </w:p>
    <w:p w14:paraId="164C5D69" w14:textId="74394784" w:rsidR="00F64296" w:rsidRPr="00BF6F6A" w:rsidRDefault="00F64296" w:rsidP="003B4F8D">
      <w:pPr>
        <w:tabs>
          <w:tab w:val="left" w:pos="2127"/>
        </w:tabs>
        <w:ind w:left="715" w:right="51" w:hanging="730"/>
        <w:jc w:val="both"/>
        <w:rPr>
          <w:rFonts w:eastAsia="Calibri"/>
          <w:szCs w:val="22"/>
        </w:rPr>
      </w:pPr>
      <w:r w:rsidRPr="00BF6F6A">
        <w:rPr>
          <w:color w:val="000000"/>
        </w:rPr>
        <w:t>Kanuri, S. (2020), "Risk and return characteristics of environmental, social, and governance (ESG) Equity ETFs</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Journal of Index Investing,</w:t>
      </w:r>
      <w:r w:rsidR="008969CE" w:rsidRPr="00BF6F6A">
        <w:rPr>
          <w:i/>
          <w:iCs/>
          <w:color w:val="000000"/>
        </w:rPr>
        <w:t xml:space="preserve"> </w:t>
      </w:r>
      <w:r w:rsidRPr="00BF6F6A">
        <w:rPr>
          <w:color w:val="000000"/>
        </w:rPr>
        <w:t xml:space="preserve">Vol. 11, No. 2, pp. 66-75. </w:t>
      </w:r>
      <w:hyperlink r:id="rId58" w:history="1">
        <w:r w:rsidRPr="00BF6F6A">
          <w:rPr>
            <w:rStyle w:val="Hyperlink"/>
          </w:rPr>
          <w:t>https://doi.org/10.3905/jii.2020.1.092</w:t>
        </w:r>
      </w:hyperlink>
      <w:r w:rsidRPr="00BF6F6A">
        <w:rPr>
          <w:color w:val="000000"/>
        </w:rPr>
        <w:t xml:space="preserve"> </w:t>
      </w:r>
    </w:p>
    <w:p w14:paraId="0AA843A3" w14:textId="5D9AFB81" w:rsidR="00F64296" w:rsidRPr="00BF6F6A" w:rsidRDefault="00F64296" w:rsidP="003B4F8D">
      <w:pPr>
        <w:tabs>
          <w:tab w:val="left" w:pos="2127"/>
        </w:tabs>
        <w:ind w:left="715" w:right="51" w:hanging="730"/>
        <w:jc w:val="both"/>
        <w:rPr>
          <w:rFonts w:eastAsia="Calibri"/>
          <w:szCs w:val="22"/>
        </w:rPr>
      </w:pPr>
      <w:r w:rsidRPr="00BF6F6A">
        <w:rPr>
          <w:color w:val="000000"/>
        </w:rPr>
        <w:t xml:space="preserve">Karim, A.E., Albitar, K. and Elmarzouky, M. (2021), “A novel measure of corporate carbon emission disclosure, the effect of capital expenditures and corporate governance”, </w:t>
      </w:r>
      <w:r w:rsidRPr="00BF6F6A">
        <w:rPr>
          <w:i/>
          <w:iCs/>
          <w:color w:val="000000"/>
        </w:rPr>
        <w:t>Journal of Environmental Management</w:t>
      </w:r>
      <w:r w:rsidRPr="00BF6F6A">
        <w:rPr>
          <w:color w:val="000000"/>
        </w:rPr>
        <w:t>, Vol. 290, pp. 112581</w:t>
      </w:r>
      <w:r w:rsidR="00463465">
        <w:rPr>
          <w:color w:val="000000"/>
        </w:rPr>
        <w:t>-</w:t>
      </w:r>
      <w:r w:rsidRPr="00BF6F6A">
        <w:rPr>
          <w:color w:val="000000"/>
        </w:rPr>
        <w:t xml:space="preserve">112581. </w:t>
      </w:r>
      <w:hyperlink r:id="rId59" w:history="1">
        <w:r w:rsidRPr="00BF6F6A">
          <w:rPr>
            <w:rStyle w:val="Hyperlink"/>
          </w:rPr>
          <w:t>https://doi.org/10.1016/j.jenvman.2021.112581</w:t>
        </w:r>
      </w:hyperlink>
    </w:p>
    <w:p w14:paraId="74378A6B" w14:textId="447865A9" w:rsidR="00F64296" w:rsidRPr="00BF6F6A" w:rsidRDefault="00F64296" w:rsidP="003B4F8D">
      <w:pPr>
        <w:tabs>
          <w:tab w:val="left" w:pos="2127"/>
        </w:tabs>
        <w:ind w:left="715" w:right="51" w:hanging="730"/>
        <w:jc w:val="both"/>
        <w:rPr>
          <w:rFonts w:eastAsia="Calibri"/>
          <w:szCs w:val="22"/>
        </w:rPr>
      </w:pPr>
      <w:r w:rsidRPr="00BF6F6A">
        <w:rPr>
          <w:color w:val="000000"/>
        </w:rPr>
        <w:t xml:space="preserve">Kempeneer, S., Peeters, M. and Compernolle, T. (2021), </w:t>
      </w:r>
      <w:r w:rsidR="008969CE" w:rsidRPr="00BF6F6A">
        <w:rPr>
          <w:color w:val="000000"/>
        </w:rPr>
        <w:t>“</w:t>
      </w:r>
      <w:r w:rsidRPr="00BF6F6A">
        <w:rPr>
          <w:color w:val="000000"/>
        </w:rPr>
        <w:t>Bringing the user back in the building: An analysis of ESG in real estate and a behavioural framework to guide future research</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 xml:space="preserve">Sustainability (Switzerland), </w:t>
      </w:r>
      <w:r w:rsidRPr="00BF6F6A">
        <w:rPr>
          <w:color w:val="000000"/>
        </w:rPr>
        <w:t xml:space="preserve">Vol. 13, No. 6, p. 3239. </w:t>
      </w:r>
      <w:hyperlink r:id="rId60" w:history="1">
        <w:r w:rsidRPr="00BF6F6A">
          <w:rPr>
            <w:rStyle w:val="Hyperlink"/>
          </w:rPr>
          <w:t>https://doi.org/10.3390/su13063239</w:t>
        </w:r>
      </w:hyperlink>
      <w:r w:rsidRPr="00BF6F6A">
        <w:rPr>
          <w:color w:val="000000"/>
        </w:rPr>
        <w:t xml:space="preserve"> </w:t>
      </w:r>
    </w:p>
    <w:p w14:paraId="11C632A5" w14:textId="4B7C0D1B" w:rsidR="00F64296" w:rsidRPr="00BF6F6A" w:rsidRDefault="00F64296" w:rsidP="003B4F8D">
      <w:pPr>
        <w:tabs>
          <w:tab w:val="left" w:pos="2127"/>
        </w:tabs>
        <w:ind w:left="715" w:right="51" w:hanging="730"/>
        <w:jc w:val="both"/>
        <w:rPr>
          <w:rFonts w:eastAsia="Calibri"/>
          <w:szCs w:val="22"/>
        </w:rPr>
      </w:pPr>
      <w:r w:rsidRPr="00BF6F6A">
        <w:rPr>
          <w:color w:val="000000"/>
        </w:rPr>
        <w:t xml:space="preserve">Khemir, S., Baccouche, C. and Ayadi, S.D. (2019), </w:t>
      </w:r>
      <w:r w:rsidR="008969CE" w:rsidRPr="00BF6F6A">
        <w:rPr>
          <w:color w:val="000000"/>
        </w:rPr>
        <w:t>“</w:t>
      </w:r>
      <w:r w:rsidRPr="00BF6F6A">
        <w:rPr>
          <w:color w:val="000000"/>
        </w:rPr>
        <w:t>The influence of ESG information on investment allocation decisions: An experimental study in an emerging country</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Journal of Applied Accounting Research,</w:t>
      </w:r>
      <w:r w:rsidR="008969CE" w:rsidRPr="00BF6F6A">
        <w:rPr>
          <w:i/>
          <w:iCs/>
          <w:color w:val="000000"/>
        </w:rPr>
        <w:t xml:space="preserve"> </w:t>
      </w:r>
      <w:r w:rsidRPr="00BF6F6A">
        <w:rPr>
          <w:color w:val="000000"/>
        </w:rPr>
        <w:t xml:space="preserve">Vol. 20, No. 4, pp. 458-480. </w:t>
      </w:r>
      <w:hyperlink r:id="rId61" w:history="1">
        <w:r w:rsidRPr="00BF6F6A">
          <w:rPr>
            <w:rStyle w:val="Hyperlink"/>
          </w:rPr>
          <w:t>https://doi.org/10.1108/JAAR-12-2017-0141</w:t>
        </w:r>
      </w:hyperlink>
      <w:r w:rsidRPr="00BF6F6A">
        <w:rPr>
          <w:color w:val="000000"/>
        </w:rPr>
        <w:t xml:space="preserve"> </w:t>
      </w:r>
    </w:p>
    <w:p w14:paraId="21165F41" w14:textId="4F617F24" w:rsidR="00C67C80" w:rsidRPr="00BF6F6A" w:rsidRDefault="00F64296" w:rsidP="00252A44">
      <w:pPr>
        <w:tabs>
          <w:tab w:val="left" w:pos="2127"/>
        </w:tabs>
        <w:ind w:left="715" w:right="51" w:hanging="730"/>
        <w:jc w:val="both"/>
        <w:rPr>
          <w:rFonts w:eastAsia="Calibri"/>
          <w:szCs w:val="22"/>
        </w:rPr>
      </w:pPr>
      <w:r w:rsidRPr="00BF6F6A">
        <w:rPr>
          <w:color w:val="000000"/>
        </w:rPr>
        <w:t xml:space="preserve">Krueger, P., Sautner, Z. and Starks, L.T. (2020), </w:t>
      </w:r>
      <w:r w:rsidR="008969CE" w:rsidRPr="00BF6F6A">
        <w:rPr>
          <w:color w:val="000000"/>
        </w:rPr>
        <w:t>“</w:t>
      </w:r>
      <w:r w:rsidRPr="00BF6F6A">
        <w:rPr>
          <w:color w:val="000000"/>
        </w:rPr>
        <w:t>The importance of climate risks for institutional investors</w:t>
      </w:r>
      <w:r w:rsidR="008969CE" w:rsidRPr="00BF6F6A">
        <w:rPr>
          <w:color w:val="000000"/>
        </w:rPr>
        <w:t>”</w:t>
      </w:r>
      <w:r w:rsidRPr="00BF6F6A">
        <w:rPr>
          <w:color w:val="000000"/>
        </w:rPr>
        <w:t>,</w:t>
      </w:r>
      <w:r w:rsidR="008969CE" w:rsidRPr="00BF6F6A">
        <w:rPr>
          <w:color w:val="000000"/>
        </w:rPr>
        <w:t xml:space="preserve"> </w:t>
      </w:r>
      <w:r w:rsidRPr="00BF6F6A">
        <w:rPr>
          <w:i/>
          <w:iCs/>
          <w:color w:val="000000"/>
        </w:rPr>
        <w:t>Review of Financial Studies,</w:t>
      </w:r>
      <w:r w:rsidR="008969CE" w:rsidRPr="00BF6F6A">
        <w:rPr>
          <w:i/>
          <w:iCs/>
          <w:color w:val="000000"/>
        </w:rPr>
        <w:t xml:space="preserve"> </w:t>
      </w:r>
      <w:r w:rsidRPr="00BF6F6A">
        <w:rPr>
          <w:color w:val="000000"/>
        </w:rPr>
        <w:t xml:space="preserve">Vol. 33, No. 3, pp. 1067-1111. </w:t>
      </w:r>
      <w:hyperlink r:id="rId62" w:history="1">
        <w:r w:rsidRPr="00BF6F6A">
          <w:rPr>
            <w:rStyle w:val="Hyperlink"/>
          </w:rPr>
          <w:t>https://doi.org/10.1093/rfs/hhz137</w:t>
        </w:r>
      </w:hyperlink>
      <w:r w:rsidRPr="00BF6F6A">
        <w:rPr>
          <w:color w:val="000000"/>
        </w:rPr>
        <w:t xml:space="preserve"> </w:t>
      </w:r>
    </w:p>
    <w:p w14:paraId="1C2E2CC0" w14:textId="1DAF717C" w:rsidR="00F64296" w:rsidRPr="00BF6F6A" w:rsidRDefault="00F64296" w:rsidP="003B4F8D">
      <w:pPr>
        <w:tabs>
          <w:tab w:val="left" w:pos="2127"/>
        </w:tabs>
        <w:ind w:left="715" w:right="51" w:hanging="730"/>
        <w:jc w:val="both"/>
        <w:rPr>
          <w:rFonts w:eastAsia="Calibri"/>
          <w:szCs w:val="22"/>
        </w:rPr>
      </w:pPr>
      <w:r w:rsidRPr="00BF6F6A">
        <w:rPr>
          <w:color w:val="000000"/>
        </w:rPr>
        <w:t xml:space="preserve">Marzuki, M.J. and Newell, G. (2019), “The evolution of Belgium REITs”, </w:t>
      </w:r>
      <w:r w:rsidRPr="00BF6F6A">
        <w:rPr>
          <w:i/>
          <w:iCs/>
          <w:color w:val="000000"/>
        </w:rPr>
        <w:t>Journal of Property Investment &amp; Finance</w:t>
      </w:r>
      <w:r w:rsidRPr="00BF6F6A">
        <w:rPr>
          <w:color w:val="000000"/>
        </w:rPr>
        <w:t>, Vol. 37, No. 4, pp. 345</w:t>
      </w:r>
      <w:r w:rsidR="00463465">
        <w:rPr>
          <w:color w:val="000000"/>
        </w:rPr>
        <w:t>-</w:t>
      </w:r>
      <w:r w:rsidRPr="00BF6F6A">
        <w:rPr>
          <w:color w:val="000000"/>
        </w:rPr>
        <w:t xml:space="preserve">362. </w:t>
      </w:r>
      <w:hyperlink r:id="rId63" w:history="1">
        <w:r w:rsidRPr="00BF6F6A">
          <w:rPr>
            <w:rStyle w:val="Hyperlink"/>
          </w:rPr>
          <w:t>https://doi.org/10.1108/JPIF-03-2019-0029</w:t>
        </w:r>
      </w:hyperlink>
    </w:p>
    <w:p w14:paraId="32778F9A" w14:textId="6EA171EB" w:rsidR="00F64296" w:rsidRPr="00BF6F6A" w:rsidRDefault="00F64296" w:rsidP="003B4F8D">
      <w:pPr>
        <w:tabs>
          <w:tab w:val="left" w:pos="2127"/>
        </w:tabs>
        <w:ind w:left="715" w:right="51" w:hanging="730"/>
        <w:jc w:val="both"/>
      </w:pPr>
      <w:r w:rsidRPr="00BF6F6A">
        <w:t xml:space="preserve">Mattoni, B., Guattari, C., Evangelisti, L., Bisegna, F., Gori, P. and Asdrubali, F. (2018), “Critical review and methodological approach to evaluate the differences among </w:t>
      </w:r>
      <w:r w:rsidRPr="00BF6F6A">
        <w:lastRenderedPageBreak/>
        <w:t xml:space="preserve">international green building rating tools”, </w:t>
      </w:r>
      <w:r w:rsidRPr="00BF6F6A">
        <w:rPr>
          <w:i/>
          <w:iCs/>
        </w:rPr>
        <w:t>Renewable and Sustainable Energy Reviews</w:t>
      </w:r>
      <w:r w:rsidRPr="00BF6F6A">
        <w:t>, Vol. 82, pp. 950</w:t>
      </w:r>
      <w:r w:rsidR="00463465">
        <w:t>-</w:t>
      </w:r>
      <w:r w:rsidRPr="00BF6F6A">
        <w:t xml:space="preserve">960. </w:t>
      </w:r>
      <w:hyperlink r:id="rId64" w:history="1">
        <w:r w:rsidRPr="00BF6F6A">
          <w:rPr>
            <w:rStyle w:val="Hyperlink"/>
          </w:rPr>
          <w:t>https://doi.org/10.1016/j.rser.2017.09.105</w:t>
        </w:r>
      </w:hyperlink>
      <w:r w:rsidRPr="00BF6F6A">
        <w:t xml:space="preserve"> </w:t>
      </w:r>
    </w:p>
    <w:p w14:paraId="2FCCD639" w14:textId="429C3656" w:rsidR="00F64296" w:rsidRPr="00BF6F6A" w:rsidRDefault="00F64296" w:rsidP="003B4F8D">
      <w:pPr>
        <w:tabs>
          <w:tab w:val="left" w:pos="2127"/>
        </w:tabs>
        <w:ind w:left="715" w:right="51" w:hanging="730"/>
        <w:jc w:val="both"/>
        <w:rPr>
          <w:rFonts w:eastAsia="Calibri"/>
          <w:szCs w:val="22"/>
        </w:rPr>
      </w:pPr>
      <w:r w:rsidRPr="00BF6F6A">
        <w:rPr>
          <w:color w:val="17313B"/>
        </w:rPr>
        <w:t xml:space="preserve">Morphett, A., Lau, J., Gabig, N., Bensusan, I., Scura, E., El Nahas, A., Grainger, A. and McDonough, R. (2023), “Incorporating ESG in Structured Finance”, </w:t>
      </w:r>
      <w:r w:rsidRPr="00BF6F6A">
        <w:rPr>
          <w:i/>
          <w:iCs/>
          <w:color w:val="17313B"/>
        </w:rPr>
        <w:t>The Journal of Structured Finance</w:t>
      </w:r>
      <w:r w:rsidRPr="00BF6F6A">
        <w:rPr>
          <w:color w:val="17313B"/>
        </w:rPr>
        <w:t>, Vol. 29, No. 1, pp. 65</w:t>
      </w:r>
      <w:r w:rsidR="00463465">
        <w:rPr>
          <w:color w:val="17313B"/>
        </w:rPr>
        <w:t>-</w:t>
      </w:r>
      <w:r w:rsidRPr="00BF6F6A">
        <w:rPr>
          <w:color w:val="17313B"/>
        </w:rPr>
        <w:t xml:space="preserve">76. </w:t>
      </w:r>
      <w:hyperlink r:id="rId65" w:history="1">
        <w:r w:rsidRPr="00BF6F6A">
          <w:rPr>
            <w:rStyle w:val="Hyperlink"/>
          </w:rPr>
          <w:t>https://doi.org/10.3905/jsf.2023.1.154</w:t>
        </w:r>
      </w:hyperlink>
    </w:p>
    <w:p w14:paraId="604302ED" w14:textId="7A118CEA" w:rsidR="00F64296" w:rsidRPr="00BF6F6A" w:rsidRDefault="00F64296" w:rsidP="003B4F8D">
      <w:pPr>
        <w:tabs>
          <w:tab w:val="left" w:pos="2127"/>
        </w:tabs>
        <w:ind w:left="715" w:right="51" w:hanging="730"/>
        <w:jc w:val="both"/>
        <w:rPr>
          <w:rFonts w:eastAsia="Calibri"/>
          <w:szCs w:val="22"/>
        </w:rPr>
      </w:pPr>
      <w:r w:rsidRPr="00BF6F6A">
        <w:rPr>
          <w:color w:val="000000"/>
        </w:rPr>
        <w:t xml:space="preserve">Morri, G., Anconetani, R. and Benfari, L. (2020), </w:t>
      </w:r>
      <w:r w:rsidR="001B6A02" w:rsidRPr="00BF6F6A">
        <w:rPr>
          <w:color w:val="000000"/>
        </w:rPr>
        <w:t>“</w:t>
      </w:r>
      <w:r w:rsidRPr="00BF6F6A">
        <w:rPr>
          <w:color w:val="000000"/>
        </w:rPr>
        <w:t>Greenness and financial performance of European REITs</w:t>
      </w:r>
      <w:r w:rsidR="001B6A02" w:rsidRPr="00BF6F6A">
        <w:rPr>
          <w:color w:val="000000"/>
        </w:rPr>
        <w:t>”</w:t>
      </w:r>
      <w:r w:rsidRPr="00BF6F6A">
        <w:rPr>
          <w:color w:val="000000"/>
        </w:rPr>
        <w:t>,</w:t>
      </w:r>
      <w:r w:rsidR="001B6A02" w:rsidRPr="00BF6F6A">
        <w:rPr>
          <w:color w:val="000000"/>
        </w:rPr>
        <w:t xml:space="preserve"> </w:t>
      </w:r>
      <w:r w:rsidRPr="00BF6F6A">
        <w:rPr>
          <w:i/>
          <w:iCs/>
          <w:color w:val="000000"/>
        </w:rPr>
        <w:t>Journal of European Real Estate Research</w:t>
      </w:r>
      <w:r w:rsidRPr="00BF6F6A">
        <w:rPr>
          <w:color w:val="000000"/>
        </w:rPr>
        <w:t xml:space="preserve">, Vol. 14, No. 1, pp. 40-60. </w:t>
      </w:r>
      <w:hyperlink r:id="rId66" w:history="1">
        <w:r w:rsidRPr="00BF6F6A">
          <w:rPr>
            <w:rStyle w:val="Hyperlink"/>
          </w:rPr>
          <w:t>https://doi.org/10.1108/JERER-05-2020-0030</w:t>
        </w:r>
      </w:hyperlink>
      <w:r w:rsidRPr="00BF6F6A">
        <w:rPr>
          <w:color w:val="000000"/>
        </w:rPr>
        <w:t xml:space="preserve"> </w:t>
      </w:r>
    </w:p>
    <w:p w14:paraId="05D41D1C" w14:textId="7DDD65B8" w:rsidR="00F64296" w:rsidRPr="00BF6F6A" w:rsidRDefault="00F64296" w:rsidP="003B4F8D">
      <w:pPr>
        <w:tabs>
          <w:tab w:val="left" w:pos="2127"/>
        </w:tabs>
        <w:ind w:left="715" w:right="51" w:hanging="730"/>
        <w:jc w:val="both"/>
        <w:rPr>
          <w:rFonts w:eastAsia="Calibri"/>
          <w:szCs w:val="22"/>
        </w:rPr>
      </w:pPr>
      <w:r w:rsidRPr="00BF6F6A">
        <w:t xml:space="preserve">Newell, G., Nanda, A. and Moss, A. (2023), “Improving the benchmarking of ESG in real estate investment”, </w:t>
      </w:r>
      <w:r w:rsidRPr="00BF6F6A">
        <w:rPr>
          <w:i/>
          <w:iCs/>
        </w:rPr>
        <w:t>Journal of Property Investment &amp; Finance</w:t>
      </w:r>
      <w:r w:rsidRPr="00BF6F6A">
        <w:t>, Vol. 41, No. 4, pp. 380</w:t>
      </w:r>
      <w:r w:rsidR="00463465">
        <w:t>-</w:t>
      </w:r>
      <w:r w:rsidRPr="00BF6F6A">
        <w:t xml:space="preserve">405. </w:t>
      </w:r>
      <w:hyperlink r:id="rId67" w:history="1">
        <w:r w:rsidRPr="00BF6F6A">
          <w:rPr>
            <w:rStyle w:val="Hyperlink"/>
          </w:rPr>
          <w:t>https://doi.org/10.1108/JPIF-10-2021-0084</w:t>
        </w:r>
      </w:hyperlink>
      <w:r w:rsidRPr="00BF6F6A">
        <w:t xml:space="preserve"> </w:t>
      </w:r>
    </w:p>
    <w:p w14:paraId="356D7AF0" w14:textId="319433F0" w:rsidR="00F64296" w:rsidRPr="00BF6F6A" w:rsidRDefault="00F64296" w:rsidP="003B4F8D">
      <w:pPr>
        <w:tabs>
          <w:tab w:val="left" w:pos="2127"/>
        </w:tabs>
        <w:ind w:left="715" w:right="51" w:hanging="730"/>
        <w:jc w:val="both"/>
        <w:rPr>
          <w:rFonts w:eastAsia="Calibri"/>
          <w:szCs w:val="22"/>
        </w:rPr>
      </w:pPr>
      <w:r w:rsidRPr="00BF6F6A">
        <w:rPr>
          <w:color w:val="000000"/>
        </w:rPr>
        <w:t xml:space="preserve">Nguyen, Q.-T., Diaz, J.F., Chen, J.-H. and Lee, M.-Y. (2019), </w:t>
      </w:r>
      <w:r w:rsidRPr="00BF6F6A">
        <w:t>“</w:t>
      </w:r>
      <w:r w:rsidRPr="00BF6F6A">
        <w:rPr>
          <w:color w:val="000000"/>
        </w:rPr>
        <w:t>Fractional Integration in Corporate Social Responsibility Indices: A FIGARCH and HYGARCH Approach</w:t>
      </w:r>
      <w:r w:rsidRPr="00BF6F6A">
        <w:t>”</w:t>
      </w:r>
      <w:r w:rsidRPr="00BF6F6A">
        <w:rPr>
          <w:color w:val="000000"/>
        </w:rPr>
        <w:t xml:space="preserve">, </w:t>
      </w:r>
      <w:r w:rsidRPr="00BF6F6A">
        <w:rPr>
          <w:i/>
          <w:iCs/>
          <w:color w:val="000000"/>
        </w:rPr>
        <w:t>Asian Economic and Financial Review</w:t>
      </w:r>
      <w:r w:rsidRPr="00BF6F6A">
        <w:rPr>
          <w:color w:val="000000"/>
        </w:rPr>
        <w:t>, Vol. 9, No. 7, pp. 836</w:t>
      </w:r>
      <w:r w:rsidR="00463465">
        <w:rPr>
          <w:color w:val="000000"/>
        </w:rPr>
        <w:t>-</w:t>
      </w:r>
      <w:r w:rsidRPr="00BF6F6A">
        <w:rPr>
          <w:color w:val="000000"/>
        </w:rPr>
        <w:t xml:space="preserve">850. </w:t>
      </w:r>
      <w:hyperlink r:id="rId68" w:history="1">
        <w:r w:rsidRPr="00BF6F6A">
          <w:rPr>
            <w:rStyle w:val="Hyperlink"/>
          </w:rPr>
          <w:t>https://doi.org/10.18488/journal.aefr.2019.97.836.850</w:t>
        </w:r>
      </w:hyperlink>
    </w:p>
    <w:p w14:paraId="0466D148" w14:textId="2540C0B2" w:rsidR="00F64296" w:rsidRPr="00BF6F6A" w:rsidRDefault="00F64296" w:rsidP="003B4F8D">
      <w:pPr>
        <w:tabs>
          <w:tab w:val="left" w:pos="2127"/>
        </w:tabs>
        <w:ind w:left="715" w:right="51" w:hanging="730"/>
        <w:jc w:val="both"/>
        <w:rPr>
          <w:rFonts w:eastAsia="Calibri"/>
          <w:szCs w:val="22"/>
        </w:rPr>
      </w:pPr>
      <w:r w:rsidRPr="00BF6F6A">
        <w:rPr>
          <w:color w:val="000000"/>
        </w:rPr>
        <w:t xml:space="preserve">Ochi, N. (2018), </w:t>
      </w:r>
      <w:r w:rsidR="001B6A02" w:rsidRPr="00BF6F6A">
        <w:rPr>
          <w:color w:val="000000"/>
        </w:rPr>
        <w:t>“</w:t>
      </w:r>
      <w:r w:rsidRPr="00BF6F6A">
        <w:rPr>
          <w:color w:val="000000"/>
        </w:rPr>
        <w:t>Reporting of real option value related to ESG: Including complementary systems for disclosure incentives</w:t>
      </w:r>
      <w:r w:rsidR="001B6A02" w:rsidRPr="00BF6F6A">
        <w:rPr>
          <w:color w:val="000000"/>
        </w:rPr>
        <w:t>”</w:t>
      </w:r>
      <w:r w:rsidRPr="00BF6F6A">
        <w:rPr>
          <w:color w:val="000000"/>
        </w:rPr>
        <w:t xml:space="preserve">, </w:t>
      </w:r>
      <w:r w:rsidRPr="00BF6F6A">
        <w:rPr>
          <w:i/>
          <w:iCs/>
          <w:color w:val="000000"/>
        </w:rPr>
        <w:t xml:space="preserve">International Journal of Financial Research, </w:t>
      </w:r>
      <w:r w:rsidRPr="00BF6F6A">
        <w:rPr>
          <w:color w:val="000000"/>
        </w:rPr>
        <w:t xml:space="preserve">Vol. 9, No. 4, pp. 19-34. </w:t>
      </w:r>
      <w:hyperlink r:id="rId69" w:history="1">
        <w:r w:rsidRPr="00BF6F6A">
          <w:rPr>
            <w:rStyle w:val="Hyperlink"/>
          </w:rPr>
          <w:t>https://doi.org/10.5430/ijfr.v9n4p19</w:t>
        </w:r>
      </w:hyperlink>
      <w:r w:rsidRPr="00BF6F6A">
        <w:rPr>
          <w:color w:val="000000"/>
        </w:rPr>
        <w:t xml:space="preserve"> </w:t>
      </w:r>
    </w:p>
    <w:p w14:paraId="77777618" w14:textId="77777777" w:rsidR="00F64296" w:rsidRPr="00BF6F6A" w:rsidRDefault="00F64296" w:rsidP="003B4F8D">
      <w:pPr>
        <w:tabs>
          <w:tab w:val="left" w:pos="2127"/>
        </w:tabs>
        <w:ind w:left="715" w:right="51" w:hanging="730"/>
        <w:jc w:val="both"/>
        <w:rPr>
          <w:rFonts w:eastAsia="Calibri"/>
          <w:szCs w:val="22"/>
        </w:rPr>
      </w:pPr>
      <w:r w:rsidRPr="00BF6F6A">
        <w:rPr>
          <w:color w:val="000000"/>
        </w:rPr>
        <w:t xml:space="preserve">OECD Data (2022), “Enterprises by business size”, available at: </w:t>
      </w:r>
      <w:hyperlink r:id="rId70" w:history="1">
        <w:r w:rsidRPr="00BF6F6A">
          <w:rPr>
            <w:rStyle w:val="Hyperlink"/>
          </w:rPr>
          <w:t>https://data.oecd.org/entrepreneur/enterprises-by-business-size.htm</w:t>
        </w:r>
      </w:hyperlink>
      <w:r w:rsidRPr="00BF6F6A">
        <w:rPr>
          <w:color w:val="000000"/>
        </w:rPr>
        <w:t xml:space="preserve"> </w:t>
      </w:r>
    </w:p>
    <w:p w14:paraId="6D44296A" w14:textId="6A5778C5" w:rsidR="00F64296" w:rsidRPr="00BF6F6A" w:rsidRDefault="00F64296" w:rsidP="00935ED7">
      <w:pPr>
        <w:tabs>
          <w:tab w:val="left" w:pos="2127"/>
        </w:tabs>
        <w:ind w:left="715" w:right="51" w:hanging="730"/>
        <w:jc w:val="both"/>
        <w:rPr>
          <w:rFonts w:eastAsia="Calibri"/>
          <w:szCs w:val="22"/>
        </w:rPr>
      </w:pPr>
      <w:r w:rsidRPr="00BF6F6A">
        <w:rPr>
          <w:color w:val="000000"/>
        </w:rPr>
        <w:t xml:space="preserve">Oprean-Stan, C., Oncioiu, I., Iuga, I.C. and Stan, S. (2020), </w:t>
      </w:r>
      <w:r w:rsidR="001B6A02" w:rsidRPr="00BF6F6A">
        <w:rPr>
          <w:color w:val="000000"/>
        </w:rPr>
        <w:t>“</w:t>
      </w:r>
      <w:r w:rsidRPr="00BF6F6A">
        <w:rPr>
          <w:color w:val="000000"/>
        </w:rPr>
        <w:t>Impact of sustainability reporting and inadequate management of ESG factors on corporate performance and sustainable growth</w:t>
      </w:r>
      <w:r w:rsidR="001B6A02" w:rsidRPr="00BF6F6A">
        <w:rPr>
          <w:color w:val="000000"/>
        </w:rPr>
        <w:t>”</w:t>
      </w:r>
      <w:r w:rsidRPr="00BF6F6A">
        <w:rPr>
          <w:color w:val="000000"/>
        </w:rPr>
        <w:t>,</w:t>
      </w:r>
      <w:r w:rsidR="001B6A02" w:rsidRPr="00BF6F6A">
        <w:rPr>
          <w:color w:val="000000"/>
        </w:rPr>
        <w:t xml:space="preserve"> </w:t>
      </w:r>
      <w:r w:rsidRPr="00BF6F6A">
        <w:rPr>
          <w:i/>
          <w:iCs/>
          <w:color w:val="000000"/>
        </w:rPr>
        <w:t>Sustainability (Switzerland),</w:t>
      </w:r>
      <w:r w:rsidR="001B6A02" w:rsidRPr="00BF6F6A">
        <w:rPr>
          <w:i/>
          <w:iCs/>
          <w:color w:val="000000"/>
        </w:rPr>
        <w:t xml:space="preserve"> </w:t>
      </w:r>
      <w:r w:rsidRPr="00BF6F6A">
        <w:rPr>
          <w:color w:val="000000"/>
        </w:rPr>
        <w:t xml:space="preserve">No. 12, Vol. 20, pp. 1-31. </w:t>
      </w:r>
      <w:hyperlink r:id="rId71" w:history="1">
        <w:r w:rsidRPr="00BF6F6A">
          <w:rPr>
            <w:rStyle w:val="Hyperlink"/>
          </w:rPr>
          <w:t>https://doi.org/10.3390/su12208536</w:t>
        </w:r>
      </w:hyperlink>
      <w:r w:rsidRPr="00BF6F6A">
        <w:rPr>
          <w:color w:val="000000"/>
        </w:rPr>
        <w:t xml:space="preserve"> </w:t>
      </w:r>
    </w:p>
    <w:p w14:paraId="6AF5AFA8" w14:textId="138D0E18" w:rsidR="00F64296" w:rsidRPr="00BF6F6A" w:rsidRDefault="00F64296" w:rsidP="003B4F8D">
      <w:pPr>
        <w:tabs>
          <w:tab w:val="left" w:pos="2127"/>
        </w:tabs>
        <w:ind w:left="715" w:right="51" w:hanging="730"/>
        <w:jc w:val="both"/>
        <w:rPr>
          <w:rStyle w:val="Hyperlink"/>
          <w:rFonts w:eastAsia="Calibri"/>
          <w:color w:val="auto"/>
          <w:szCs w:val="22"/>
          <w:u w:val="none"/>
        </w:rPr>
      </w:pPr>
      <w:r w:rsidRPr="00BF6F6A">
        <w:rPr>
          <w:color w:val="000000"/>
        </w:rPr>
        <w:t xml:space="preserve">Pivo, G. and </w:t>
      </w:r>
      <w:r w:rsidR="00C67C80" w:rsidRPr="00BF6F6A">
        <w:rPr>
          <w:shd w:val="clear" w:color="auto" w:fill="FFFFFF"/>
        </w:rPr>
        <w:t>Environment Programme Finance Initiative Property Working Group, U</w:t>
      </w:r>
      <w:r w:rsidRPr="00BF6F6A">
        <w:rPr>
          <w:color w:val="000000"/>
        </w:rPr>
        <w:t xml:space="preserve"> (2008), “Responsible property investing: what the leaders are doing”, </w:t>
      </w:r>
      <w:r w:rsidRPr="00BF6F6A">
        <w:rPr>
          <w:i/>
          <w:iCs/>
          <w:color w:val="000000"/>
        </w:rPr>
        <w:t>Journal of Property Investment &amp; Finance</w:t>
      </w:r>
      <w:r w:rsidRPr="00BF6F6A">
        <w:rPr>
          <w:color w:val="000000"/>
        </w:rPr>
        <w:t xml:space="preserve">, Vol. 26 No. 6, pp. 562-576. </w:t>
      </w:r>
      <w:hyperlink r:id="rId72" w:history="1">
        <w:r w:rsidR="00C67C80" w:rsidRPr="00BF6F6A">
          <w:rPr>
            <w:rStyle w:val="Hyperlink"/>
          </w:rPr>
          <w:t>https://doi.org/10.1108/14635780810908406</w:t>
        </w:r>
      </w:hyperlink>
    </w:p>
    <w:p w14:paraId="7214CFDF" w14:textId="23151050" w:rsidR="000A402B" w:rsidRPr="00BF6F6A" w:rsidRDefault="000A402B" w:rsidP="000A402B">
      <w:pPr>
        <w:tabs>
          <w:tab w:val="left" w:pos="2127"/>
        </w:tabs>
        <w:ind w:left="715" w:right="51" w:hanging="730"/>
        <w:jc w:val="both"/>
      </w:pPr>
      <w:r w:rsidRPr="00BF6F6A">
        <w:t xml:space="preserve">Ribando, J. and Bonne, G. (2010), “A new quality factor: finding alpha with ASSET4 ESG data”, available at: </w:t>
      </w:r>
      <w:hyperlink r:id="rId73" w:history="1">
        <w:r w:rsidRPr="00BF6F6A">
          <w:rPr>
            <w:rStyle w:val="Hyperlink"/>
          </w:rPr>
          <w:t>www.thomsonreuters.com/content/dam/openweb/documents/pdf/tr-com-financial/report/starmine-quant-research-note-on-asset4-data.pdf</w:t>
        </w:r>
      </w:hyperlink>
      <w:r w:rsidR="00480B8B" w:rsidRPr="00BF6F6A">
        <w:t xml:space="preserve"> </w:t>
      </w:r>
    </w:p>
    <w:p w14:paraId="0DC4B1B0" w14:textId="12917A7D" w:rsidR="00F64296" w:rsidRPr="00BF6F6A" w:rsidRDefault="00F64296" w:rsidP="000A402B">
      <w:pPr>
        <w:tabs>
          <w:tab w:val="left" w:pos="2127"/>
        </w:tabs>
        <w:ind w:left="715" w:right="51" w:hanging="730"/>
        <w:jc w:val="both"/>
      </w:pPr>
      <w:r w:rsidRPr="00BF6F6A">
        <w:t>Sewell, J. and Fraser, D., (2019), “A Study of the Effectiveness of BREEAM as an Assessment Tool for Sustainability by Interview of Practitioners”,</w:t>
      </w:r>
      <w:r w:rsidRPr="00BF6F6A">
        <w:rPr>
          <w:i/>
          <w:iCs/>
        </w:rPr>
        <w:t xml:space="preserve"> The Sheffield Hallam University Built Environment Research Transactions.</w:t>
      </w:r>
      <w:r w:rsidRPr="00BF6F6A">
        <w:t xml:space="preserve"> </w:t>
      </w:r>
      <w:hyperlink r:id="rId74" w:history="1">
        <w:r w:rsidRPr="00BF6F6A">
          <w:rPr>
            <w:rStyle w:val="Hyperlink"/>
          </w:rPr>
          <w:t>https://shura.shu.ac.uk/24550/</w:t>
        </w:r>
      </w:hyperlink>
      <w:r w:rsidRPr="00BF6F6A">
        <w:t xml:space="preserve"> </w:t>
      </w:r>
    </w:p>
    <w:p w14:paraId="4DE174CB" w14:textId="4B3E06BA" w:rsidR="00F64296" w:rsidRPr="00BF6F6A" w:rsidRDefault="00F64296" w:rsidP="003B4F8D">
      <w:pPr>
        <w:tabs>
          <w:tab w:val="left" w:pos="2127"/>
        </w:tabs>
        <w:ind w:left="715" w:right="51" w:hanging="730"/>
        <w:jc w:val="both"/>
        <w:rPr>
          <w:rFonts w:eastAsia="Calibri"/>
          <w:szCs w:val="22"/>
        </w:rPr>
      </w:pPr>
      <w:r w:rsidRPr="00BF6F6A">
        <w:rPr>
          <w:color w:val="000000"/>
        </w:rPr>
        <w:t xml:space="preserve">Shea, M.I. and Hutchin, J.W. (2013), </w:t>
      </w:r>
      <w:r w:rsidR="001B6A02" w:rsidRPr="00BF6F6A">
        <w:rPr>
          <w:color w:val="000000"/>
        </w:rPr>
        <w:t>“</w:t>
      </w:r>
      <w:r w:rsidRPr="00BF6F6A">
        <w:rPr>
          <w:color w:val="000000"/>
        </w:rPr>
        <w:t>The insurance industry must champion sustainability</w:t>
      </w:r>
      <w:r w:rsidR="001B6A02" w:rsidRPr="00BF6F6A">
        <w:rPr>
          <w:color w:val="000000"/>
        </w:rPr>
        <w:t>”</w:t>
      </w:r>
      <w:r w:rsidRPr="00BF6F6A">
        <w:rPr>
          <w:color w:val="000000"/>
        </w:rPr>
        <w:t>,</w:t>
      </w:r>
      <w:r w:rsidR="001B6A02" w:rsidRPr="00BF6F6A">
        <w:rPr>
          <w:color w:val="000000"/>
        </w:rPr>
        <w:t xml:space="preserve"> </w:t>
      </w:r>
      <w:r w:rsidRPr="00BF6F6A">
        <w:rPr>
          <w:i/>
          <w:iCs/>
          <w:color w:val="000000"/>
        </w:rPr>
        <w:t>Thunderbird International Business Review,</w:t>
      </w:r>
      <w:r w:rsidR="001B6A02" w:rsidRPr="00BF6F6A">
        <w:rPr>
          <w:i/>
          <w:iCs/>
          <w:color w:val="000000"/>
        </w:rPr>
        <w:t xml:space="preserve"> </w:t>
      </w:r>
      <w:r w:rsidRPr="00BF6F6A">
        <w:rPr>
          <w:color w:val="000000"/>
        </w:rPr>
        <w:t xml:space="preserve">Vol. 55, No. 6, pp. 659-672. </w:t>
      </w:r>
      <w:hyperlink r:id="rId75" w:history="1">
        <w:r w:rsidRPr="00BF6F6A">
          <w:rPr>
            <w:rStyle w:val="Hyperlink"/>
          </w:rPr>
          <w:t>https://doi.org/10.1002/tie.21582</w:t>
        </w:r>
      </w:hyperlink>
      <w:r w:rsidRPr="00BF6F6A">
        <w:rPr>
          <w:color w:val="000000"/>
        </w:rPr>
        <w:t xml:space="preserve"> </w:t>
      </w:r>
    </w:p>
    <w:p w14:paraId="5D4A7100" w14:textId="31A8A976" w:rsidR="00F64296" w:rsidRPr="00BF6F6A" w:rsidRDefault="00F64296" w:rsidP="003B4F8D">
      <w:pPr>
        <w:tabs>
          <w:tab w:val="left" w:pos="2127"/>
        </w:tabs>
        <w:ind w:left="715" w:right="51" w:hanging="730"/>
        <w:jc w:val="both"/>
        <w:rPr>
          <w:rFonts w:eastAsia="Calibri"/>
          <w:szCs w:val="22"/>
        </w:rPr>
      </w:pPr>
      <w:r w:rsidRPr="00BF6F6A">
        <w:rPr>
          <w:color w:val="000000"/>
        </w:rPr>
        <w:t xml:space="preserve">Siew, R.Y.J. (2015), </w:t>
      </w:r>
      <w:r w:rsidR="001B6A02" w:rsidRPr="00BF6F6A">
        <w:rPr>
          <w:color w:val="000000"/>
        </w:rPr>
        <w:t>“</w:t>
      </w:r>
      <w:r w:rsidRPr="00BF6F6A">
        <w:rPr>
          <w:color w:val="000000"/>
        </w:rPr>
        <w:t>Predicting the behaviour of Australian ESG REITs using Markov chain analysis</w:t>
      </w:r>
      <w:r w:rsidR="001B6A02" w:rsidRPr="00BF6F6A">
        <w:rPr>
          <w:color w:val="000000"/>
        </w:rPr>
        <w:t>”</w:t>
      </w:r>
      <w:r w:rsidRPr="00BF6F6A">
        <w:rPr>
          <w:color w:val="000000"/>
        </w:rPr>
        <w:t>,</w:t>
      </w:r>
      <w:r w:rsidR="001B6A02" w:rsidRPr="00BF6F6A">
        <w:rPr>
          <w:color w:val="000000"/>
        </w:rPr>
        <w:t xml:space="preserve"> </w:t>
      </w:r>
      <w:r w:rsidRPr="00BF6F6A">
        <w:rPr>
          <w:i/>
          <w:iCs/>
          <w:color w:val="000000"/>
        </w:rPr>
        <w:t>Journal of Financial Management of Property and Construction,</w:t>
      </w:r>
      <w:r w:rsidR="001B6A02" w:rsidRPr="00BF6F6A">
        <w:rPr>
          <w:i/>
          <w:iCs/>
          <w:color w:val="000000"/>
        </w:rPr>
        <w:t xml:space="preserve"> </w:t>
      </w:r>
      <w:r w:rsidRPr="00BF6F6A">
        <w:rPr>
          <w:color w:val="000000"/>
        </w:rPr>
        <w:t xml:space="preserve">Vol. 20, No. 3, pp. 252-267. </w:t>
      </w:r>
      <w:hyperlink r:id="rId76" w:history="1">
        <w:r w:rsidRPr="00BF6F6A">
          <w:rPr>
            <w:rStyle w:val="Hyperlink"/>
          </w:rPr>
          <w:t>https://doi.org/10.1108/JFMPC-03-2015-0009</w:t>
        </w:r>
      </w:hyperlink>
      <w:r w:rsidRPr="00BF6F6A">
        <w:rPr>
          <w:color w:val="000000"/>
        </w:rPr>
        <w:t xml:space="preserve"> </w:t>
      </w:r>
    </w:p>
    <w:p w14:paraId="0BDE045D" w14:textId="7328F34B" w:rsidR="00F64296" w:rsidRPr="00BF6F6A" w:rsidRDefault="00F64296" w:rsidP="003B4F8D">
      <w:pPr>
        <w:tabs>
          <w:tab w:val="left" w:pos="2127"/>
        </w:tabs>
        <w:ind w:left="715" w:right="51" w:hanging="730"/>
        <w:jc w:val="both"/>
        <w:rPr>
          <w:rFonts w:eastAsia="Calibri"/>
          <w:szCs w:val="22"/>
        </w:rPr>
      </w:pPr>
      <w:r w:rsidRPr="00BF6F6A">
        <w:rPr>
          <w:color w:val="000000"/>
        </w:rPr>
        <w:t xml:space="preserve">Siew, R.Y.J., Balatbat, M.C.A. and Carmichael, D.G. (2013), </w:t>
      </w:r>
      <w:r w:rsidR="001B6A02" w:rsidRPr="00BF6F6A">
        <w:rPr>
          <w:color w:val="000000"/>
        </w:rPr>
        <w:t>“</w:t>
      </w:r>
      <w:r w:rsidRPr="00BF6F6A">
        <w:rPr>
          <w:color w:val="000000"/>
        </w:rPr>
        <w:t>The relationship between sustainability practices and financial performance of construction companies</w:t>
      </w:r>
      <w:r w:rsidR="001B6A02" w:rsidRPr="00BF6F6A">
        <w:rPr>
          <w:color w:val="000000"/>
        </w:rPr>
        <w:t>”</w:t>
      </w:r>
      <w:r w:rsidRPr="00BF6F6A">
        <w:rPr>
          <w:color w:val="000000"/>
        </w:rPr>
        <w:t>,</w:t>
      </w:r>
      <w:r w:rsidR="001B6A02" w:rsidRPr="00BF6F6A">
        <w:rPr>
          <w:color w:val="000000"/>
        </w:rPr>
        <w:t xml:space="preserve"> </w:t>
      </w:r>
      <w:r w:rsidRPr="00BF6F6A">
        <w:rPr>
          <w:i/>
          <w:iCs/>
          <w:color w:val="000000"/>
        </w:rPr>
        <w:t xml:space="preserve">Smart and Sustainable Built Environment, </w:t>
      </w:r>
      <w:r w:rsidRPr="00BF6F6A">
        <w:rPr>
          <w:color w:val="000000"/>
        </w:rPr>
        <w:t xml:space="preserve">Vol. 2, No. 1, pp. 6-27. </w:t>
      </w:r>
      <w:hyperlink r:id="rId77" w:history="1">
        <w:r w:rsidRPr="00BF6F6A">
          <w:rPr>
            <w:rStyle w:val="Hyperlink"/>
          </w:rPr>
          <w:t>https://doi.org/10.1108/20466091311325827</w:t>
        </w:r>
      </w:hyperlink>
    </w:p>
    <w:p w14:paraId="5F5A24D2" w14:textId="282E0D53" w:rsidR="00F64296" w:rsidRPr="00BF6F6A" w:rsidRDefault="00F64296" w:rsidP="003B4F8D">
      <w:pPr>
        <w:tabs>
          <w:tab w:val="left" w:pos="2127"/>
        </w:tabs>
        <w:ind w:left="715" w:right="51" w:hanging="730"/>
        <w:jc w:val="both"/>
        <w:rPr>
          <w:rFonts w:eastAsia="Calibri"/>
          <w:szCs w:val="22"/>
        </w:rPr>
      </w:pPr>
      <w:r w:rsidRPr="00BF6F6A">
        <w:rPr>
          <w:color w:val="000000"/>
        </w:rPr>
        <w:lastRenderedPageBreak/>
        <w:t xml:space="preserve">Slapikaite, I. and Tamosiuniene, R. (2013), </w:t>
      </w:r>
      <w:r w:rsidR="001B6A02" w:rsidRPr="00BF6F6A">
        <w:rPr>
          <w:color w:val="000000"/>
        </w:rPr>
        <w:t>“</w:t>
      </w:r>
      <w:r w:rsidRPr="00BF6F6A">
        <w:rPr>
          <w:color w:val="000000"/>
        </w:rPr>
        <w:t xml:space="preserve">Socially responsible mutual funds - A profitable way of investing”, </w:t>
      </w:r>
      <w:r w:rsidRPr="00BF6F6A">
        <w:rPr>
          <w:i/>
          <w:iCs/>
          <w:color w:val="000000"/>
        </w:rPr>
        <w:t xml:space="preserve">Scientific Annals of the "Al. I. Cuza”, </w:t>
      </w:r>
      <w:r w:rsidRPr="00BF6F6A">
        <w:rPr>
          <w:color w:val="000000"/>
        </w:rPr>
        <w:t xml:space="preserve">Vol. 60, No. 1, pp. 199-212. </w:t>
      </w:r>
      <w:hyperlink r:id="rId78" w:history="1">
        <w:r w:rsidRPr="00BF6F6A">
          <w:rPr>
            <w:rStyle w:val="Hyperlink"/>
          </w:rPr>
          <w:t>http://saaic.feaa.uaic.ro/index.php/saaic/article/view/T16</w:t>
        </w:r>
      </w:hyperlink>
      <w:r w:rsidRPr="00BF6F6A">
        <w:rPr>
          <w:color w:val="000000"/>
        </w:rPr>
        <w:t xml:space="preserve"> </w:t>
      </w:r>
    </w:p>
    <w:p w14:paraId="20437F9B" w14:textId="77777777" w:rsidR="00F64296" w:rsidRPr="00BF6F6A" w:rsidRDefault="00F64296" w:rsidP="003B4F8D">
      <w:pPr>
        <w:tabs>
          <w:tab w:val="left" w:pos="2127"/>
        </w:tabs>
        <w:ind w:left="715" w:right="51" w:hanging="730"/>
        <w:jc w:val="both"/>
        <w:rPr>
          <w:rFonts w:eastAsia="Calibri"/>
          <w:szCs w:val="22"/>
        </w:rPr>
      </w:pPr>
      <w:r w:rsidRPr="00BF6F6A">
        <w:t xml:space="preserve">Smith, J.A., Flowers, P. and Larkin, M. (2022), </w:t>
      </w:r>
      <w:r w:rsidRPr="00BF6F6A">
        <w:rPr>
          <w:i/>
          <w:iCs/>
        </w:rPr>
        <w:t>Interpretive phenomenological analysis</w:t>
      </w:r>
      <w:r w:rsidRPr="00BF6F6A">
        <w:t>, 2nd ed., SAGE Publications Ltd., Thousand Oaks, US.</w:t>
      </w:r>
    </w:p>
    <w:p w14:paraId="123564B5" w14:textId="0C23C783" w:rsidR="003B4F8D" w:rsidRPr="00BF6F6A" w:rsidRDefault="003B4F8D">
      <w:pPr>
        <w:tabs>
          <w:tab w:val="left" w:pos="2127"/>
        </w:tabs>
        <w:ind w:left="715" w:right="51" w:hanging="730"/>
        <w:jc w:val="both"/>
        <w:rPr>
          <w:rFonts w:eastAsiaTheme="minorHAnsi"/>
          <w:lang w:eastAsia="en-US"/>
        </w:rPr>
      </w:pPr>
      <w:r w:rsidRPr="00BF6F6A">
        <w:rPr>
          <w:rFonts w:eastAsiaTheme="minorHAnsi"/>
          <w:lang w:eastAsia="en-US"/>
        </w:rPr>
        <w:t xml:space="preserve">Sudhakaran, G.M., Prabhakaran, A., Mahamadu, A.-M., Booth, C.A. and Wiejak-Roy, G. (2023), "Feeling the Earthship house: eliciting a perspective of posterity through immersive virtual reality", </w:t>
      </w:r>
      <w:r w:rsidRPr="00BF6F6A">
        <w:rPr>
          <w:rFonts w:eastAsiaTheme="minorHAnsi"/>
          <w:i/>
          <w:iCs/>
          <w:lang w:eastAsia="en-US"/>
        </w:rPr>
        <w:t>Smart and Sustainable Built Environment</w:t>
      </w:r>
      <w:r w:rsidRPr="00BF6F6A">
        <w:rPr>
          <w:rFonts w:eastAsiaTheme="minorHAnsi"/>
          <w:lang w:eastAsia="en-US"/>
        </w:rPr>
        <w:t xml:space="preserve">, Vol. ahead-of-print, No. ahead-of-print. </w:t>
      </w:r>
      <w:hyperlink r:id="rId79" w:history="1">
        <w:r w:rsidRPr="00BF6F6A">
          <w:rPr>
            <w:rStyle w:val="Hyperlink"/>
            <w:rFonts w:eastAsiaTheme="minorHAnsi"/>
            <w:lang w:eastAsia="en-US"/>
          </w:rPr>
          <w:t>https://doi.org/10.1108/SASBE-05-2023-0122</w:t>
        </w:r>
      </w:hyperlink>
    </w:p>
    <w:p w14:paraId="3A49BC9C" w14:textId="7A61BA4F" w:rsidR="00F64296" w:rsidRPr="00BF6F6A" w:rsidRDefault="00F64296" w:rsidP="003B4F8D">
      <w:pPr>
        <w:tabs>
          <w:tab w:val="left" w:pos="2127"/>
        </w:tabs>
        <w:ind w:left="715" w:right="51" w:hanging="730"/>
        <w:jc w:val="both"/>
        <w:rPr>
          <w:rFonts w:eastAsia="Calibri"/>
          <w:szCs w:val="22"/>
        </w:rPr>
      </w:pPr>
      <w:r w:rsidRPr="00BF6F6A">
        <w:rPr>
          <w:color w:val="000000"/>
        </w:rPr>
        <w:t xml:space="preserve">United Nations (2015), “Paris Agreement”, available at: </w:t>
      </w:r>
      <w:hyperlink r:id="rId80" w:history="1">
        <w:r w:rsidRPr="00BF6F6A">
          <w:rPr>
            <w:rStyle w:val="Hyperlink"/>
          </w:rPr>
          <w:t>https://unfccc.int/files/essential_background/convention/application/pdf/english_paris_agreement.pdf</w:t>
        </w:r>
      </w:hyperlink>
    </w:p>
    <w:p w14:paraId="1B848068" w14:textId="464BAF2D" w:rsidR="00A14B52" w:rsidRPr="00BF6F6A" w:rsidRDefault="00F64296" w:rsidP="003B4F8D">
      <w:pPr>
        <w:tabs>
          <w:tab w:val="left" w:pos="2127"/>
        </w:tabs>
        <w:ind w:left="715" w:right="51" w:hanging="730"/>
        <w:jc w:val="both"/>
        <w:rPr>
          <w:rFonts w:eastAsia="Calibri"/>
          <w:szCs w:val="22"/>
        </w:rPr>
      </w:pPr>
      <w:r w:rsidRPr="00BF6F6A">
        <w:rPr>
          <w:color w:val="000000"/>
        </w:rPr>
        <w:t xml:space="preserve">United Nations (2020), Net-Zero Emissions Must Be Met by 2050 or COVID-19 Impact on Global Economies Will Pale Beside Climate Crisis, Secretary-General Tells Finance Summit, available at: </w:t>
      </w:r>
      <w:hyperlink r:id="rId81" w:anchor=":~:text=The%20decisions%20we%20make%20now,reach%20the%201.5%20Celsius%20goal" w:history="1">
        <w:r w:rsidRPr="00BF6F6A">
          <w:rPr>
            <w:rStyle w:val="Hyperlink"/>
          </w:rPr>
          <w:t>https://press.un.org/en/2020/sgsm20411.doc.htm#:~:text=The%20decisions%20we%20make%20now,reach%20the%201.5%20Celsius%20goal</w:t>
        </w:r>
      </w:hyperlink>
    </w:p>
    <w:p w14:paraId="3C7BB207" w14:textId="77777777" w:rsidR="00A14B52" w:rsidRPr="00BF6F6A" w:rsidRDefault="00A14B52" w:rsidP="003B4F8D">
      <w:pPr>
        <w:tabs>
          <w:tab w:val="left" w:pos="2127"/>
        </w:tabs>
        <w:ind w:left="715" w:right="51" w:hanging="730"/>
        <w:jc w:val="both"/>
        <w:rPr>
          <w:color w:val="000000"/>
        </w:rPr>
      </w:pPr>
      <w:r w:rsidRPr="00BF6F6A">
        <w:rPr>
          <w:color w:val="000000"/>
        </w:rPr>
        <w:t xml:space="preserve">Universities UK (2019) </w:t>
      </w:r>
      <w:r w:rsidRPr="00BF6F6A">
        <w:rPr>
          <w:i/>
          <w:color w:val="000000"/>
        </w:rPr>
        <w:t>The Concordat to Support Research Integrity</w:t>
      </w:r>
      <w:r w:rsidRPr="00BF6F6A">
        <w:rPr>
          <w:color w:val="000000"/>
        </w:rPr>
        <w:t xml:space="preserve">. Universities UK: London, </w:t>
      </w:r>
      <w:r w:rsidRPr="00BF6F6A">
        <w:t>ISBN: 978-1-84036-436-1</w:t>
      </w:r>
    </w:p>
    <w:p w14:paraId="4FB00019" w14:textId="27B146BB" w:rsidR="00F64296" w:rsidRPr="00BF6F6A" w:rsidRDefault="00F64296" w:rsidP="003B4F8D">
      <w:pPr>
        <w:tabs>
          <w:tab w:val="left" w:pos="2127"/>
        </w:tabs>
        <w:ind w:left="715" w:right="51" w:hanging="730"/>
        <w:jc w:val="both"/>
        <w:rPr>
          <w:rFonts w:eastAsia="Calibri"/>
          <w:szCs w:val="22"/>
        </w:rPr>
      </w:pPr>
      <w:r w:rsidRPr="00BF6F6A">
        <w:rPr>
          <w:color w:val="000000"/>
        </w:rPr>
        <w:t xml:space="preserve">Varyash, I., Mikhaylov, A., Moiseev, N. and Aleshin, K. (2020), </w:t>
      </w:r>
      <w:r w:rsidR="00D23322" w:rsidRPr="00BF6F6A">
        <w:rPr>
          <w:color w:val="000000"/>
        </w:rPr>
        <w:t>“</w:t>
      </w:r>
      <w:r w:rsidRPr="00BF6F6A">
        <w:rPr>
          <w:color w:val="000000"/>
        </w:rPr>
        <w:t>Triple bottom line and corporate social responsibility performance indicators for Russian companies</w:t>
      </w:r>
      <w:r w:rsidR="00D23322" w:rsidRPr="00BF6F6A">
        <w:rPr>
          <w:color w:val="000000"/>
        </w:rPr>
        <w:t>”</w:t>
      </w:r>
      <w:r w:rsidRPr="00BF6F6A">
        <w:rPr>
          <w:color w:val="000000"/>
        </w:rPr>
        <w:t>,</w:t>
      </w:r>
      <w:r w:rsidR="00D23322" w:rsidRPr="00BF6F6A">
        <w:rPr>
          <w:color w:val="000000"/>
        </w:rPr>
        <w:t xml:space="preserve"> </w:t>
      </w:r>
      <w:r w:rsidRPr="00BF6F6A">
        <w:rPr>
          <w:i/>
          <w:iCs/>
          <w:color w:val="000000"/>
        </w:rPr>
        <w:t>Entrepreneurship and Sustainability Issues,</w:t>
      </w:r>
      <w:r w:rsidR="00D23322" w:rsidRPr="00BF6F6A">
        <w:rPr>
          <w:i/>
          <w:iCs/>
          <w:color w:val="000000"/>
        </w:rPr>
        <w:t xml:space="preserve"> </w:t>
      </w:r>
      <w:r w:rsidRPr="00BF6F6A">
        <w:rPr>
          <w:color w:val="000000"/>
        </w:rPr>
        <w:t xml:space="preserve">Vol. 8, No. 1, pp. 313-329. </w:t>
      </w:r>
      <w:hyperlink r:id="rId82" w:history="1">
        <w:r w:rsidRPr="00BF6F6A">
          <w:rPr>
            <w:rStyle w:val="Hyperlink"/>
          </w:rPr>
          <w:t>https://doi.org/10.9770/jesi.2020.8.1(22)</w:t>
        </w:r>
      </w:hyperlink>
      <w:r w:rsidRPr="00BF6F6A">
        <w:rPr>
          <w:color w:val="000000"/>
        </w:rPr>
        <w:t xml:space="preserve"> </w:t>
      </w:r>
    </w:p>
    <w:p w14:paraId="1D4C46AA" w14:textId="15719FF6" w:rsidR="000632EC" w:rsidRDefault="000632EC" w:rsidP="003B4F8D">
      <w:pPr>
        <w:tabs>
          <w:tab w:val="left" w:pos="2127"/>
        </w:tabs>
        <w:ind w:left="715" w:right="51" w:hanging="730"/>
        <w:jc w:val="both"/>
        <w:rPr>
          <w:color w:val="000000"/>
        </w:rPr>
      </w:pPr>
      <w:r>
        <w:rPr>
          <w:color w:val="000000"/>
        </w:rPr>
        <w:t>Weinfeld, S.,</w:t>
      </w:r>
      <w:r w:rsidRPr="000632EC">
        <w:t xml:space="preserve"> </w:t>
      </w:r>
      <w:r w:rsidRPr="000632EC">
        <w:rPr>
          <w:color w:val="000000"/>
        </w:rPr>
        <w:t>Wiejak-Roy, G. and Booth, C.A. (2023)</w:t>
      </w:r>
      <w:r w:rsidR="00463465">
        <w:rPr>
          <w:color w:val="000000"/>
        </w:rPr>
        <w:t>,</w:t>
      </w:r>
      <w:r w:rsidRPr="000632EC">
        <w:rPr>
          <w:color w:val="000000"/>
        </w:rPr>
        <w:t xml:space="preserve"> </w:t>
      </w:r>
      <w:r>
        <w:rPr>
          <w:color w:val="000000"/>
        </w:rPr>
        <w:t>“</w:t>
      </w:r>
      <w:r w:rsidRPr="000632EC">
        <w:rPr>
          <w:color w:val="000000"/>
        </w:rPr>
        <w:t>Embodied carbon reporting by German real estate institutional investors</w:t>
      </w:r>
      <w:r>
        <w:rPr>
          <w:color w:val="000000"/>
        </w:rPr>
        <w:t>”,</w:t>
      </w:r>
      <w:r w:rsidRPr="000632EC">
        <w:rPr>
          <w:color w:val="000000"/>
        </w:rPr>
        <w:t xml:space="preserve"> </w:t>
      </w:r>
      <w:r w:rsidRPr="004F7B84">
        <w:rPr>
          <w:i/>
          <w:iCs/>
          <w:color w:val="000000"/>
        </w:rPr>
        <w:t>Journal of Sustainability Research</w:t>
      </w:r>
      <w:r w:rsidRPr="000632EC">
        <w:rPr>
          <w:color w:val="000000"/>
        </w:rPr>
        <w:t xml:space="preserve">, </w:t>
      </w:r>
      <w:r>
        <w:rPr>
          <w:color w:val="000000"/>
        </w:rPr>
        <w:t xml:space="preserve">Vol. </w:t>
      </w:r>
      <w:r w:rsidRPr="000632EC">
        <w:rPr>
          <w:color w:val="000000"/>
        </w:rPr>
        <w:t>5</w:t>
      </w:r>
      <w:r>
        <w:rPr>
          <w:color w:val="000000"/>
        </w:rPr>
        <w:t xml:space="preserve">, No. </w:t>
      </w:r>
      <w:r w:rsidRPr="000632EC">
        <w:rPr>
          <w:color w:val="000000"/>
        </w:rPr>
        <w:t>1, e230003;</w:t>
      </w:r>
      <w:r w:rsidR="00A97910">
        <w:rPr>
          <w:color w:val="000000"/>
        </w:rPr>
        <w:t xml:space="preserve"> pp. 1-32.</w:t>
      </w:r>
      <w:r w:rsidRPr="000632EC">
        <w:rPr>
          <w:color w:val="000000"/>
        </w:rPr>
        <w:t xml:space="preserve"> </w:t>
      </w:r>
      <w:hyperlink r:id="rId83" w:history="1">
        <w:r w:rsidRPr="00B10F5B">
          <w:rPr>
            <w:rStyle w:val="Hyperlink"/>
          </w:rPr>
          <w:t>https://doi.org/10.20900/jsr20230003</w:t>
        </w:r>
      </w:hyperlink>
      <w:r>
        <w:rPr>
          <w:color w:val="000000"/>
        </w:rPr>
        <w:t xml:space="preserve"> </w:t>
      </w:r>
    </w:p>
    <w:p w14:paraId="681705FB" w14:textId="73BFB9EA" w:rsidR="00F64296" w:rsidRPr="00BF6F6A" w:rsidRDefault="00F64296" w:rsidP="003B4F8D">
      <w:pPr>
        <w:tabs>
          <w:tab w:val="left" w:pos="2127"/>
        </w:tabs>
        <w:ind w:left="715" w:right="51" w:hanging="730"/>
        <w:jc w:val="both"/>
        <w:rPr>
          <w:rFonts w:eastAsia="Calibri"/>
          <w:szCs w:val="22"/>
        </w:rPr>
      </w:pPr>
      <w:r w:rsidRPr="00BF6F6A">
        <w:rPr>
          <w:color w:val="000000"/>
        </w:rPr>
        <w:t xml:space="preserve">Wong, W. C., Batten, J. A., Ahmad, A. H., Mohamed-Arshad, S. B., Nordin, S. and Adzis, A.A. (2021), “Does ESG certification add firm value?”, </w:t>
      </w:r>
      <w:r w:rsidRPr="00BF6F6A">
        <w:rPr>
          <w:i/>
          <w:iCs/>
          <w:color w:val="000000"/>
        </w:rPr>
        <w:t>Finance Research Letters</w:t>
      </w:r>
      <w:r w:rsidRPr="00BF6F6A">
        <w:rPr>
          <w:color w:val="000000"/>
        </w:rPr>
        <w:t xml:space="preserve">, Vol. 39, 101593-. </w:t>
      </w:r>
      <w:hyperlink r:id="rId84" w:history="1">
        <w:r w:rsidRPr="00BF6F6A">
          <w:rPr>
            <w:rStyle w:val="Hyperlink"/>
          </w:rPr>
          <w:t>https://doi.org/10.1016/j.frl.2020.101593</w:t>
        </w:r>
      </w:hyperlink>
      <w:r w:rsidRPr="00BF6F6A">
        <w:rPr>
          <w:color w:val="000000"/>
        </w:rPr>
        <w:t xml:space="preserve"> </w:t>
      </w:r>
    </w:p>
    <w:bookmarkEnd w:id="38"/>
    <w:p w14:paraId="695AECB0" w14:textId="17A60703" w:rsidR="00C609CE" w:rsidRPr="00BF6F6A" w:rsidRDefault="00C609CE" w:rsidP="003B4F8D">
      <w:pPr>
        <w:tabs>
          <w:tab w:val="left" w:pos="2127"/>
        </w:tabs>
        <w:ind w:left="715" w:right="51" w:hanging="730"/>
        <w:jc w:val="both"/>
        <w:rPr>
          <w:rFonts w:eastAsia="Calibri"/>
          <w:szCs w:val="22"/>
        </w:rPr>
      </w:pPr>
    </w:p>
    <w:sectPr w:rsidR="00C609CE" w:rsidRPr="00BF6F6A" w:rsidSect="00387609">
      <w:footerReference w:type="default" r:id="rId85"/>
      <w:pgSz w:w="11906" w:h="16838"/>
      <w:pgMar w:top="1440" w:right="1700" w:bottom="1440"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452F8" w14:textId="77777777" w:rsidR="00DC3158" w:rsidRDefault="00DC3158" w:rsidP="00C2242D">
      <w:r>
        <w:separator/>
      </w:r>
    </w:p>
  </w:endnote>
  <w:endnote w:type="continuationSeparator" w:id="0">
    <w:p w14:paraId="1DCBAB6C" w14:textId="77777777" w:rsidR="00DC3158" w:rsidRDefault="00DC3158" w:rsidP="00C2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13401"/>
      <w:docPartObj>
        <w:docPartGallery w:val="Page Numbers (Bottom of Page)"/>
        <w:docPartUnique/>
      </w:docPartObj>
    </w:sdtPr>
    <w:sdtEndPr>
      <w:rPr>
        <w:noProof/>
      </w:rPr>
    </w:sdtEndPr>
    <w:sdtContent>
      <w:p w14:paraId="540FB389" w14:textId="10754B37" w:rsidR="004C6044" w:rsidRDefault="004C60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66B505" w14:textId="77777777" w:rsidR="004C6044" w:rsidRDefault="004C6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E580B" w14:textId="77777777" w:rsidR="00DC3158" w:rsidRDefault="00DC3158" w:rsidP="00C2242D">
      <w:r>
        <w:separator/>
      </w:r>
    </w:p>
  </w:footnote>
  <w:footnote w:type="continuationSeparator" w:id="0">
    <w:p w14:paraId="5F95E880" w14:textId="77777777" w:rsidR="00DC3158" w:rsidRDefault="00DC3158" w:rsidP="00C2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002A"/>
    <w:multiLevelType w:val="multilevel"/>
    <w:tmpl w:val="D380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231D1"/>
    <w:multiLevelType w:val="hybridMultilevel"/>
    <w:tmpl w:val="BD641E2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C247448"/>
    <w:multiLevelType w:val="multilevel"/>
    <w:tmpl w:val="67DA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305E7"/>
    <w:multiLevelType w:val="multilevel"/>
    <w:tmpl w:val="1F80B770"/>
    <w:lvl w:ilvl="0">
      <w:start w:val="1"/>
      <w:numFmt w:val="decimal"/>
      <w:lvlText w:val="%1."/>
      <w:lvlJc w:val="left"/>
      <w:pPr>
        <w:ind w:left="385" w:hanging="385"/>
      </w:pPr>
      <w:rPr>
        <w:rFonts w:hint="default"/>
      </w:rPr>
    </w:lvl>
    <w:lvl w:ilvl="1">
      <w:start w:val="1"/>
      <w:numFmt w:val="decimal"/>
      <w:lvlText w:val="%1.%2."/>
      <w:lvlJc w:val="left"/>
      <w:pPr>
        <w:ind w:left="385" w:hanging="3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355FB"/>
    <w:multiLevelType w:val="hybridMultilevel"/>
    <w:tmpl w:val="E3D4BDE4"/>
    <w:lvl w:ilvl="0" w:tplc="188E749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4E68EE"/>
    <w:multiLevelType w:val="hybridMultilevel"/>
    <w:tmpl w:val="A0B030E4"/>
    <w:lvl w:ilvl="0" w:tplc="AF668DA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935080"/>
    <w:multiLevelType w:val="multilevel"/>
    <w:tmpl w:val="0032F15E"/>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63212E"/>
    <w:multiLevelType w:val="hybridMultilevel"/>
    <w:tmpl w:val="0200207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D21890"/>
    <w:multiLevelType w:val="multilevel"/>
    <w:tmpl w:val="E2A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33CB8"/>
    <w:multiLevelType w:val="multilevel"/>
    <w:tmpl w:val="32AC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A0C68"/>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487DCA"/>
    <w:multiLevelType w:val="hybridMultilevel"/>
    <w:tmpl w:val="0200207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D490D46"/>
    <w:multiLevelType w:val="hybridMultilevel"/>
    <w:tmpl w:val="B9DE23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C42A9D"/>
    <w:multiLevelType w:val="multilevel"/>
    <w:tmpl w:val="EA66CECA"/>
    <w:lvl w:ilvl="0">
      <w:start w:val="4"/>
      <w:numFmt w:val="decimal"/>
      <w:lvlText w:val="%1"/>
      <w:lvlJc w:val="left"/>
      <w:pPr>
        <w:ind w:left="360" w:hanging="36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4" w15:restartNumberingAfterBreak="0">
    <w:nsid w:val="302C4653"/>
    <w:multiLevelType w:val="multilevel"/>
    <w:tmpl w:val="2830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62C64"/>
    <w:multiLevelType w:val="multilevel"/>
    <w:tmpl w:val="83ACC91C"/>
    <w:lvl w:ilvl="0">
      <w:start w:val="1"/>
      <w:numFmt w:val="decimal"/>
      <w:pStyle w:val="Header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7F15F7"/>
    <w:multiLevelType w:val="hybridMultilevel"/>
    <w:tmpl w:val="628C2080"/>
    <w:lvl w:ilvl="0" w:tplc="DA707424">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1A6649"/>
    <w:multiLevelType w:val="multilevel"/>
    <w:tmpl w:val="99CCB4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802DCF"/>
    <w:multiLevelType w:val="hybridMultilevel"/>
    <w:tmpl w:val="A0AA2A48"/>
    <w:lvl w:ilvl="0" w:tplc="DA707424">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973B10"/>
    <w:multiLevelType w:val="multilevel"/>
    <w:tmpl w:val="299A5C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47562"/>
    <w:multiLevelType w:val="multilevel"/>
    <w:tmpl w:val="6B88B838"/>
    <w:styleLink w:val="Headings"/>
    <w:lvl w:ilvl="0">
      <w:start w:val="1"/>
      <w:numFmt w:val="decimal"/>
      <w:lvlText w:val="Chapter %1:"/>
      <w:lvlJc w:val="left"/>
      <w:pPr>
        <w:ind w:left="1211" w:hanging="360"/>
      </w:pPr>
      <w:rPr>
        <w:rFonts w:ascii="Times New Roman" w:hAnsi="Times New Roman" w:hint="default"/>
        <w:b/>
        <w:i w:val="0"/>
        <w:sz w:val="32"/>
      </w:rPr>
    </w:lvl>
    <w:lvl w:ilvl="1">
      <w:start w:val="1"/>
      <w:numFmt w:val="decimal"/>
      <w:lvlText w:val="%1.%2"/>
      <w:lvlJc w:val="left"/>
      <w:pPr>
        <w:ind w:left="720" w:hanging="360"/>
      </w:pPr>
      <w:rPr>
        <w:rFonts w:ascii="Times New Roman" w:hAnsi="Times New Roman" w:hint="default"/>
        <w:b/>
        <w:i w:val="0"/>
        <w:sz w:val="28"/>
      </w:rPr>
    </w:lvl>
    <w:lvl w:ilvl="2">
      <w:start w:val="1"/>
      <w:numFmt w:val="decimal"/>
      <w:pStyle w:val="Heading3"/>
      <w:lvlText w:val="%1.%2.%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68C106C"/>
    <w:multiLevelType w:val="hybridMultilevel"/>
    <w:tmpl w:val="0200207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EB2A57"/>
    <w:multiLevelType w:val="hybridMultilevel"/>
    <w:tmpl w:val="7A520282"/>
    <w:lvl w:ilvl="0" w:tplc="88328240">
      <w:start w:val="1"/>
      <w:numFmt w:val="upperRoman"/>
      <w:lvlText w:val="%1."/>
      <w:lvlJc w:val="left"/>
      <w:pPr>
        <w:ind w:left="1080" w:hanging="72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2F812F6"/>
    <w:multiLevelType w:val="multilevel"/>
    <w:tmpl w:val="4D9EFB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9C908D1"/>
    <w:multiLevelType w:val="hybridMultilevel"/>
    <w:tmpl w:val="7298C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A053E9"/>
    <w:multiLevelType w:val="multilevel"/>
    <w:tmpl w:val="D840AD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362C3C"/>
    <w:multiLevelType w:val="hybridMultilevel"/>
    <w:tmpl w:val="0200207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6A2E7B"/>
    <w:multiLevelType w:val="hybridMultilevel"/>
    <w:tmpl w:val="0200207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E1775E"/>
    <w:multiLevelType w:val="hybridMultilevel"/>
    <w:tmpl w:val="20549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F9121D8"/>
    <w:multiLevelType w:val="multilevel"/>
    <w:tmpl w:val="204A27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8246841">
    <w:abstractNumId w:val="3"/>
  </w:num>
  <w:num w:numId="2" w16cid:durableId="143009469">
    <w:abstractNumId w:val="15"/>
  </w:num>
  <w:num w:numId="3" w16cid:durableId="5525974">
    <w:abstractNumId w:val="5"/>
  </w:num>
  <w:num w:numId="4" w16cid:durableId="644313632">
    <w:abstractNumId w:val="1"/>
  </w:num>
  <w:num w:numId="5" w16cid:durableId="104078946">
    <w:abstractNumId w:val="11"/>
  </w:num>
  <w:num w:numId="6" w16cid:durableId="503976755">
    <w:abstractNumId w:val="22"/>
  </w:num>
  <w:num w:numId="7" w16cid:durableId="970865725">
    <w:abstractNumId w:val="26"/>
  </w:num>
  <w:num w:numId="8" w16cid:durableId="833959006">
    <w:abstractNumId w:val="21"/>
  </w:num>
  <w:num w:numId="9" w16cid:durableId="708143240">
    <w:abstractNumId w:val="28"/>
  </w:num>
  <w:num w:numId="10" w16cid:durableId="1279141047">
    <w:abstractNumId w:val="4"/>
  </w:num>
  <w:num w:numId="11" w16cid:durableId="1366754562">
    <w:abstractNumId w:val="10"/>
  </w:num>
  <w:num w:numId="12" w16cid:durableId="446972757">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845440080">
    <w:abstractNumId w:val="27"/>
  </w:num>
  <w:num w:numId="14" w16cid:durableId="228005426">
    <w:abstractNumId w:val="7"/>
  </w:num>
  <w:num w:numId="15" w16cid:durableId="1140613351">
    <w:abstractNumId w:val="20"/>
  </w:num>
  <w:num w:numId="16" w16cid:durableId="1778525399">
    <w:abstractNumId w:val="20"/>
    <w:lvlOverride w:ilvl="0">
      <w:lvl w:ilvl="0">
        <w:start w:val="1"/>
        <w:numFmt w:val="decimal"/>
        <w:lvlText w:val="Chapter %1:"/>
        <w:lvlJc w:val="left"/>
        <w:pPr>
          <w:ind w:left="1211" w:hanging="360"/>
        </w:pPr>
        <w:rPr>
          <w:rFonts w:ascii="Times New Roman" w:hAnsi="Times New Roman" w:hint="default"/>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799809219">
    <w:abstractNumId w:val="24"/>
  </w:num>
  <w:num w:numId="18" w16cid:durableId="1238201044">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60294441">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938708954">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318773512">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843230560">
    <w:abstractNumId w:val="14"/>
  </w:num>
  <w:num w:numId="23" w16cid:durableId="1660117577">
    <w:abstractNumId w:val="25"/>
  </w:num>
  <w:num w:numId="24" w16cid:durableId="1530290016">
    <w:abstractNumId w:val="23"/>
  </w:num>
  <w:num w:numId="25" w16cid:durableId="1891501659">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094321368">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64958742">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305818780">
    <w:abstractNumId w:val="12"/>
  </w:num>
  <w:num w:numId="29" w16cid:durableId="1483040432">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1976446273">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579950504">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264460316">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2077508714">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37361755">
    <w:abstractNumId w:val="16"/>
  </w:num>
  <w:num w:numId="35" w16cid:durableId="174077703">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69764061">
    <w:abstractNumId w:val="18"/>
  </w:num>
  <w:num w:numId="37" w16cid:durableId="664088077">
    <w:abstractNumId w:val="15"/>
  </w:num>
  <w:num w:numId="38" w16cid:durableId="2045976565">
    <w:abstractNumId w:val="15"/>
  </w:num>
  <w:num w:numId="39" w16cid:durableId="365911496">
    <w:abstractNumId w:val="15"/>
  </w:num>
  <w:num w:numId="40" w16cid:durableId="44187181">
    <w:abstractNumId w:val="15"/>
  </w:num>
  <w:num w:numId="41" w16cid:durableId="904796352">
    <w:abstractNumId w:val="15"/>
  </w:num>
  <w:num w:numId="42" w16cid:durableId="984235243">
    <w:abstractNumId w:val="19"/>
  </w:num>
  <w:num w:numId="43" w16cid:durableId="2114473712">
    <w:abstractNumId w:val="6"/>
  </w:num>
  <w:num w:numId="44" w16cid:durableId="573050743">
    <w:abstractNumId w:val="17"/>
  </w:num>
  <w:num w:numId="45" w16cid:durableId="1920821153">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1081635241">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16cid:durableId="492918630">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16cid:durableId="556477958">
    <w:abstractNumId w:val="0"/>
  </w:num>
  <w:num w:numId="49" w16cid:durableId="1051421521">
    <w:abstractNumId w:val="8"/>
  </w:num>
  <w:num w:numId="50" w16cid:durableId="1016152916">
    <w:abstractNumId w:val="2"/>
  </w:num>
  <w:num w:numId="51" w16cid:durableId="1838887761">
    <w:abstractNumId w:val="9"/>
  </w:num>
  <w:num w:numId="52" w16cid:durableId="1908296486">
    <w:abstractNumId w:val="13"/>
  </w:num>
  <w:num w:numId="53" w16cid:durableId="838614088">
    <w:abstractNumId w:val="29"/>
  </w:num>
  <w:num w:numId="54" w16cid:durableId="1749881243">
    <w:abstractNumId w:val="20"/>
    <w:lvlOverride w:ilvl="0">
      <w:lvl w:ilvl="0">
        <w:start w:val="1"/>
        <w:numFmt w:val="decimal"/>
        <w:lvlText w:val="%1."/>
        <w:lvlJc w:val="left"/>
        <w:pPr>
          <w:ind w:left="1211" w:hanging="360"/>
        </w:pPr>
        <w:rPr>
          <w:rFonts w:ascii="Times New Roman" w:eastAsiaTheme="majorEastAsia" w:hAnsi="Times New Roman" w:cstheme="majorBidi"/>
          <w:b/>
          <w:i w:val="0"/>
          <w:color w:val="auto"/>
          <w:sz w:val="32"/>
        </w:rPr>
      </w:lvl>
    </w:lvlOverride>
    <w:lvlOverride w:ilvl="1">
      <w:lvl w:ilvl="1">
        <w:start w:val="1"/>
        <w:numFmt w:val="decimal"/>
        <w:lvlText w:val="%1.%2"/>
        <w:lvlJc w:val="left"/>
        <w:pPr>
          <w:ind w:left="720" w:hanging="360"/>
        </w:pPr>
        <w:rPr>
          <w:rFonts w:ascii="Times New Roman" w:hAnsi="Times New Roman" w:hint="default"/>
          <w:b/>
          <w:i w:val="0"/>
          <w:sz w:val="28"/>
        </w:rPr>
      </w:lvl>
    </w:lvlOverride>
    <w:lvlOverride w:ilvl="2">
      <w:lvl w:ilvl="2">
        <w:start w:val="1"/>
        <w:numFmt w:val="decimal"/>
        <w:pStyle w:val="Heading3"/>
        <w:lvlText w:val="%1.%2.%3"/>
        <w:lvlJc w:val="left"/>
        <w:pPr>
          <w:ind w:left="1080" w:hanging="360"/>
        </w:pPr>
        <w:rPr>
          <w:rFonts w:ascii="Times New Roman" w:hAnsi="Times New Roman" w:hint="default"/>
          <w:b/>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jc3NrAwNTQ0MrVU0lEKTi0uzszPAykwMq0FAL9lSZItAAAA"/>
  </w:docVars>
  <w:rsids>
    <w:rsidRoot w:val="00246EF9"/>
    <w:rsid w:val="000019BF"/>
    <w:rsid w:val="00003666"/>
    <w:rsid w:val="000039E0"/>
    <w:rsid w:val="00003D7B"/>
    <w:rsid w:val="0000455A"/>
    <w:rsid w:val="000060B7"/>
    <w:rsid w:val="000072B3"/>
    <w:rsid w:val="00010617"/>
    <w:rsid w:val="000106F0"/>
    <w:rsid w:val="000107FB"/>
    <w:rsid w:val="00010850"/>
    <w:rsid w:val="00010B43"/>
    <w:rsid w:val="00011144"/>
    <w:rsid w:val="0001174B"/>
    <w:rsid w:val="00013425"/>
    <w:rsid w:val="000139FA"/>
    <w:rsid w:val="00013B55"/>
    <w:rsid w:val="00014D2C"/>
    <w:rsid w:val="00014F35"/>
    <w:rsid w:val="000157A8"/>
    <w:rsid w:val="00015899"/>
    <w:rsid w:val="00015B3B"/>
    <w:rsid w:val="0001629C"/>
    <w:rsid w:val="00017F5D"/>
    <w:rsid w:val="0002035A"/>
    <w:rsid w:val="00020B97"/>
    <w:rsid w:val="00021DE3"/>
    <w:rsid w:val="000222B7"/>
    <w:rsid w:val="00022F54"/>
    <w:rsid w:val="000239C7"/>
    <w:rsid w:val="000240A9"/>
    <w:rsid w:val="00024C0B"/>
    <w:rsid w:val="00025EEE"/>
    <w:rsid w:val="000305A0"/>
    <w:rsid w:val="000307F8"/>
    <w:rsid w:val="0003173D"/>
    <w:rsid w:val="00031F18"/>
    <w:rsid w:val="00032A3A"/>
    <w:rsid w:val="00032A52"/>
    <w:rsid w:val="00032BFC"/>
    <w:rsid w:val="00034970"/>
    <w:rsid w:val="00034AF1"/>
    <w:rsid w:val="00034C20"/>
    <w:rsid w:val="0003723B"/>
    <w:rsid w:val="00037516"/>
    <w:rsid w:val="0003762A"/>
    <w:rsid w:val="00037E61"/>
    <w:rsid w:val="000403D5"/>
    <w:rsid w:val="00040F03"/>
    <w:rsid w:val="000416ED"/>
    <w:rsid w:val="00041CED"/>
    <w:rsid w:val="000425EB"/>
    <w:rsid w:val="00042F84"/>
    <w:rsid w:val="0004447D"/>
    <w:rsid w:val="00044D06"/>
    <w:rsid w:val="000454B0"/>
    <w:rsid w:val="000454C6"/>
    <w:rsid w:val="0004561D"/>
    <w:rsid w:val="00045E55"/>
    <w:rsid w:val="00045F83"/>
    <w:rsid w:val="000473CA"/>
    <w:rsid w:val="00051EAA"/>
    <w:rsid w:val="00052234"/>
    <w:rsid w:val="000522A0"/>
    <w:rsid w:val="000529B3"/>
    <w:rsid w:val="00053A38"/>
    <w:rsid w:val="000551F6"/>
    <w:rsid w:val="00055705"/>
    <w:rsid w:val="00055D62"/>
    <w:rsid w:val="000566C9"/>
    <w:rsid w:val="00056708"/>
    <w:rsid w:val="00056F47"/>
    <w:rsid w:val="000572DD"/>
    <w:rsid w:val="00057AD4"/>
    <w:rsid w:val="000601CE"/>
    <w:rsid w:val="000601D0"/>
    <w:rsid w:val="00060537"/>
    <w:rsid w:val="000608A3"/>
    <w:rsid w:val="00060987"/>
    <w:rsid w:val="000610E4"/>
    <w:rsid w:val="0006253E"/>
    <w:rsid w:val="0006255A"/>
    <w:rsid w:val="000632EC"/>
    <w:rsid w:val="0006407A"/>
    <w:rsid w:val="000642B5"/>
    <w:rsid w:val="0006474B"/>
    <w:rsid w:val="000647E9"/>
    <w:rsid w:val="000647F8"/>
    <w:rsid w:val="00064896"/>
    <w:rsid w:val="0006506F"/>
    <w:rsid w:val="0006569A"/>
    <w:rsid w:val="00065B5E"/>
    <w:rsid w:val="00066A11"/>
    <w:rsid w:val="00066DF4"/>
    <w:rsid w:val="00067289"/>
    <w:rsid w:val="00067357"/>
    <w:rsid w:val="00067B06"/>
    <w:rsid w:val="00067B9A"/>
    <w:rsid w:val="00067EBB"/>
    <w:rsid w:val="00071F70"/>
    <w:rsid w:val="00072985"/>
    <w:rsid w:val="00073065"/>
    <w:rsid w:val="000743AD"/>
    <w:rsid w:val="00074603"/>
    <w:rsid w:val="00074639"/>
    <w:rsid w:val="00074A22"/>
    <w:rsid w:val="00074BD4"/>
    <w:rsid w:val="00075988"/>
    <w:rsid w:val="000766DD"/>
    <w:rsid w:val="000772CB"/>
    <w:rsid w:val="00080BB3"/>
    <w:rsid w:val="000824DF"/>
    <w:rsid w:val="00083812"/>
    <w:rsid w:val="0008393D"/>
    <w:rsid w:val="00083FFB"/>
    <w:rsid w:val="000848CB"/>
    <w:rsid w:val="000849DC"/>
    <w:rsid w:val="00084E29"/>
    <w:rsid w:val="00085229"/>
    <w:rsid w:val="000853CA"/>
    <w:rsid w:val="00086017"/>
    <w:rsid w:val="00086051"/>
    <w:rsid w:val="00086908"/>
    <w:rsid w:val="00086BFC"/>
    <w:rsid w:val="00086CCE"/>
    <w:rsid w:val="0008706E"/>
    <w:rsid w:val="00087197"/>
    <w:rsid w:val="0008775F"/>
    <w:rsid w:val="00087DC7"/>
    <w:rsid w:val="000900C6"/>
    <w:rsid w:val="00090944"/>
    <w:rsid w:val="00092E10"/>
    <w:rsid w:val="0009361A"/>
    <w:rsid w:val="00094747"/>
    <w:rsid w:val="00094BD1"/>
    <w:rsid w:val="00095410"/>
    <w:rsid w:val="000955D1"/>
    <w:rsid w:val="0009596B"/>
    <w:rsid w:val="00095D5D"/>
    <w:rsid w:val="00095EEF"/>
    <w:rsid w:val="00095EF9"/>
    <w:rsid w:val="000969B7"/>
    <w:rsid w:val="00096F4B"/>
    <w:rsid w:val="00097AC7"/>
    <w:rsid w:val="00097C33"/>
    <w:rsid w:val="000A0520"/>
    <w:rsid w:val="000A0867"/>
    <w:rsid w:val="000A1ACD"/>
    <w:rsid w:val="000A2D3D"/>
    <w:rsid w:val="000A305B"/>
    <w:rsid w:val="000A319E"/>
    <w:rsid w:val="000A3FE2"/>
    <w:rsid w:val="000A402B"/>
    <w:rsid w:val="000A4EE0"/>
    <w:rsid w:val="000A5C57"/>
    <w:rsid w:val="000A665F"/>
    <w:rsid w:val="000A67D7"/>
    <w:rsid w:val="000A69F9"/>
    <w:rsid w:val="000A6A68"/>
    <w:rsid w:val="000A6CB2"/>
    <w:rsid w:val="000A73BE"/>
    <w:rsid w:val="000A7767"/>
    <w:rsid w:val="000B0195"/>
    <w:rsid w:val="000B0324"/>
    <w:rsid w:val="000B05FF"/>
    <w:rsid w:val="000B14BD"/>
    <w:rsid w:val="000B1CA3"/>
    <w:rsid w:val="000B2577"/>
    <w:rsid w:val="000B2EC5"/>
    <w:rsid w:val="000B3214"/>
    <w:rsid w:val="000B42EA"/>
    <w:rsid w:val="000B4F6F"/>
    <w:rsid w:val="000B5AEE"/>
    <w:rsid w:val="000B66FB"/>
    <w:rsid w:val="000B6E09"/>
    <w:rsid w:val="000B735E"/>
    <w:rsid w:val="000B796F"/>
    <w:rsid w:val="000B7D4D"/>
    <w:rsid w:val="000C02C0"/>
    <w:rsid w:val="000C105F"/>
    <w:rsid w:val="000C1ACF"/>
    <w:rsid w:val="000C1E23"/>
    <w:rsid w:val="000C1F75"/>
    <w:rsid w:val="000C2610"/>
    <w:rsid w:val="000C2A05"/>
    <w:rsid w:val="000C2A4F"/>
    <w:rsid w:val="000C2AB1"/>
    <w:rsid w:val="000C2C66"/>
    <w:rsid w:val="000C2CC7"/>
    <w:rsid w:val="000C3DDC"/>
    <w:rsid w:val="000C4677"/>
    <w:rsid w:val="000C4AE9"/>
    <w:rsid w:val="000C5A29"/>
    <w:rsid w:val="000C633E"/>
    <w:rsid w:val="000C66B8"/>
    <w:rsid w:val="000C706B"/>
    <w:rsid w:val="000C72EB"/>
    <w:rsid w:val="000C7332"/>
    <w:rsid w:val="000C73D9"/>
    <w:rsid w:val="000D0CA1"/>
    <w:rsid w:val="000D0F41"/>
    <w:rsid w:val="000D1E34"/>
    <w:rsid w:val="000D2455"/>
    <w:rsid w:val="000D287C"/>
    <w:rsid w:val="000D2A0A"/>
    <w:rsid w:val="000D2C7F"/>
    <w:rsid w:val="000D5120"/>
    <w:rsid w:val="000D5ADF"/>
    <w:rsid w:val="000D5E61"/>
    <w:rsid w:val="000D603F"/>
    <w:rsid w:val="000D66CC"/>
    <w:rsid w:val="000D6CB4"/>
    <w:rsid w:val="000D7775"/>
    <w:rsid w:val="000D7B6F"/>
    <w:rsid w:val="000D7FD4"/>
    <w:rsid w:val="000E12EC"/>
    <w:rsid w:val="000E19C8"/>
    <w:rsid w:val="000E1B48"/>
    <w:rsid w:val="000E1D86"/>
    <w:rsid w:val="000E2276"/>
    <w:rsid w:val="000E2A1E"/>
    <w:rsid w:val="000E2ECB"/>
    <w:rsid w:val="000E31D5"/>
    <w:rsid w:val="000E3297"/>
    <w:rsid w:val="000E338B"/>
    <w:rsid w:val="000E4FA2"/>
    <w:rsid w:val="000E6129"/>
    <w:rsid w:val="000E63E5"/>
    <w:rsid w:val="000E67E1"/>
    <w:rsid w:val="000E6CF2"/>
    <w:rsid w:val="000E6ECF"/>
    <w:rsid w:val="000E700F"/>
    <w:rsid w:val="000E70D6"/>
    <w:rsid w:val="000E7253"/>
    <w:rsid w:val="000E7564"/>
    <w:rsid w:val="000E7E4E"/>
    <w:rsid w:val="000E7EFE"/>
    <w:rsid w:val="000F00A0"/>
    <w:rsid w:val="000F1182"/>
    <w:rsid w:val="000F1226"/>
    <w:rsid w:val="000F1759"/>
    <w:rsid w:val="000F1881"/>
    <w:rsid w:val="000F1B09"/>
    <w:rsid w:val="000F1FDE"/>
    <w:rsid w:val="000F21BC"/>
    <w:rsid w:val="000F2403"/>
    <w:rsid w:val="000F278D"/>
    <w:rsid w:val="000F35CE"/>
    <w:rsid w:val="000F378F"/>
    <w:rsid w:val="000F39D5"/>
    <w:rsid w:val="000F3A05"/>
    <w:rsid w:val="000F41B7"/>
    <w:rsid w:val="000F54BD"/>
    <w:rsid w:val="000F5540"/>
    <w:rsid w:val="000F6454"/>
    <w:rsid w:val="000F7920"/>
    <w:rsid w:val="000F7D92"/>
    <w:rsid w:val="00100210"/>
    <w:rsid w:val="001011C0"/>
    <w:rsid w:val="0010176C"/>
    <w:rsid w:val="00101A01"/>
    <w:rsid w:val="00101C3F"/>
    <w:rsid w:val="00101F51"/>
    <w:rsid w:val="001028F4"/>
    <w:rsid w:val="00103328"/>
    <w:rsid w:val="0010372A"/>
    <w:rsid w:val="0010401E"/>
    <w:rsid w:val="001043E5"/>
    <w:rsid w:val="001046F2"/>
    <w:rsid w:val="001070E1"/>
    <w:rsid w:val="00107499"/>
    <w:rsid w:val="00107A1B"/>
    <w:rsid w:val="00107FD6"/>
    <w:rsid w:val="001103A7"/>
    <w:rsid w:val="001113CB"/>
    <w:rsid w:val="00111BFF"/>
    <w:rsid w:val="00112DD2"/>
    <w:rsid w:val="00112EF9"/>
    <w:rsid w:val="0011375F"/>
    <w:rsid w:val="00114C97"/>
    <w:rsid w:val="00114EC4"/>
    <w:rsid w:val="0011592B"/>
    <w:rsid w:val="0011597D"/>
    <w:rsid w:val="001162EA"/>
    <w:rsid w:val="00116358"/>
    <w:rsid w:val="001171D1"/>
    <w:rsid w:val="001175DA"/>
    <w:rsid w:val="00117D54"/>
    <w:rsid w:val="00120840"/>
    <w:rsid w:val="00120BA3"/>
    <w:rsid w:val="00121F44"/>
    <w:rsid w:val="001229D2"/>
    <w:rsid w:val="00122CCA"/>
    <w:rsid w:val="0012347B"/>
    <w:rsid w:val="00124062"/>
    <w:rsid w:val="001249C6"/>
    <w:rsid w:val="0012555B"/>
    <w:rsid w:val="00125B76"/>
    <w:rsid w:val="00126028"/>
    <w:rsid w:val="0012614E"/>
    <w:rsid w:val="001262EF"/>
    <w:rsid w:val="00126306"/>
    <w:rsid w:val="00126388"/>
    <w:rsid w:val="00127B2C"/>
    <w:rsid w:val="00127FDB"/>
    <w:rsid w:val="00130857"/>
    <w:rsid w:val="00131224"/>
    <w:rsid w:val="00131232"/>
    <w:rsid w:val="00131977"/>
    <w:rsid w:val="00131A5E"/>
    <w:rsid w:val="00132DB4"/>
    <w:rsid w:val="001330C5"/>
    <w:rsid w:val="00133810"/>
    <w:rsid w:val="001338E8"/>
    <w:rsid w:val="00134012"/>
    <w:rsid w:val="00134EE2"/>
    <w:rsid w:val="00134F65"/>
    <w:rsid w:val="00136876"/>
    <w:rsid w:val="001374F5"/>
    <w:rsid w:val="00137763"/>
    <w:rsid w:val="001378AB"/>
    <w:rsid w:val="00140480"/>
    <w:rsid w:val="00140488"/>
    <w:rsid w:val="001410EC"/>
    <w:rsid w:val="00141266"/>
    <w:rsid w:val="001428FF"/>
    <w:rsid w:val="00142DE9"/>
    <w:rsid w:val="00143550"/>
    <w:rsid w:val="00143DF4"/>
    <w:rsid w:val="00144589"/>
    <w:rsid w:val="00144CCA"/>
    <w:rsid w:val="00145690"/>
    <w:rsid w:val="00145694"/>
    <w:rsid w:val="001465FB"/>
    <w:rsid w:val="00146AD0"/>
    <w:rsid w:val="00146B88"/>
    <w:rsid w:val="0014794D"/>
    <w:rsid w:val="00147A83"/>
    <w:rsid w:val="00147C5F"/>
    <w:rsid w:val="0015039B"/>
    <w:rsid w:val="00150B79"/>
    <w:rsid w:val="00150EBE"/>
    <w:rsid w:val="00151311"/>
    <w:rsid w:val="001517AD"/>
    <w:rsid w:val="00151FCE"/>
    <w:rsid w:val="00152253"/>
    <w:rsid w:val="00152E8D"/>
    <w:rsid w:val="00153509"/>
    <w:rsid w:val="00154A44"/>
    <w:rsid w:val="00155A72"/>
    <w:rsid w:val="00155B97"/>
    <w:rsid w:val="001569D0"/>
    <w:rsid w:val="00156F82"/>
    <w:rsid w:val="001573CF"/>
    <w:rsid w:val="001606B6"/>
    <w:rsid w:val="00162534"/>
    <w:rsid w:val="00163BC5"/>
    <w:rsid w:val="00165650"/>
    <w:rsid w:val="001665F0"/>
    <w:rsid w:val="00166A15"/>
    <w:rsid w:val="0017020F"/>
    <w:rsid w:val="001702D9"/>
    <w:rsid w:val="001705ED"/>
    <w:rsid w:val="00170A3D"/>
    <w:rsid w:val="00170D2A"/>
    <w:rsid w:val="00171176"/>
    <w:rsid w:val="001712BB"/>
    <w:rsid w:val="00171709"/>
    <w:rsid w:val="00172068"/>
    <w:rsid w:val="001722FD"/>
    <w:rsid w:val="00172CAE"/>
    <w:rsid w:val="001735CC"/>
    <w:rsid w:val="00173ABC"/>
    <w:rsid w:val="001749DC"/>
    <w:rsid w:val="00174F03"/>
    <w:rsid w:val="00175706"/>
    <w:rsid w:val="00175C94"/>
    <w:rsid w:val="001764B4"/>
    <w:rsid w:val="001768FB"/>
    <w:rsid w:val="00176CD1"/>
    <w:rsid w:val="00176FFA"/>
    <w:rsid w:val="00180867"/>
    <w:rsid w:val="0018229B"/>
    <w:rsid w:val="001825B6"/>
    <w:rsid w:val="00183746"/>
    <w:rsid w:val="00184519"/>
    <w:rsid w:val="001848C8"/>
    <w:rsid w:val="00184982"/>
    <w:rsid w:val="0018555E"/>
    <w:rsid w:val="0018632C"/>
    <w:rsid w:val="001867DB"/>
    <w:rsid w:val="00186DF7"/>
    <w:rsid w:val="001905B5"/>
    <w:rsid w:val="00191005"/>
    <w:rsid w:val="0019114E"/>
    <w:rsid w:val="00193344"/>
    <w:rsid w:val="0019371F"/>
    <w:rsid w:val="00193CF7"/>
    <w:rsid w:val="0019461E"/>
    <w:rsid w:val="00195542"/>
    <w:rsid w:val="00195713"/>
    <w:rsid w:val="00195F80"/>
    <w:rsid w:val="00196010"/>
    <w:rsid w:val="00196E4D"/>
    <w:rsid w:val="00196F71"/>
    <w:rsid w:val="0019724E"/>
    <w:rsid w:val="001972FE"/>
    <w:rsid w:val="00197537"/>
    <w:rsid w:val="001977B4"/>
    <w:rsid w:val="00197D0A"/>
    <w:rsid w:val="001A01F7"/>
    <w:rsid w:val="001A13F3"/>
    <w:rsid w:val="001A1AC0"/>
    <w:rsid w:val="001A1DE1"/>
    <w:rsid w:val="001A20B7"/>
    <w:rsid w:val="001A24DF"/>
    <w:rsid w:val="001A3C31"/>
    <w:rsid w:val="001A425E"/>
    <w:rsid w:val="001A4591"/>
    <w:rsid w:val="001A5019"/>
    <w:rsid w:val="001A6056"/>
    <w:rsid w:val="001A677B"/>
    <w:rsid w:val="001A682E"/>
    <w:rsid w:val="001A6E4E"/>
    <w:rsid w:val="001A7E76"/>
    <w:rsid w:val="001A7F69"/>
    <w:rsid w:val="001B179C"/>
    <w:rsid w:val="001B1B7F"/>
    <w:rsid w:val="001B257E"/>
    <w:rsid w:val="001B2765"/>
    <w:rsid w:val="001B3501"/>
    <w:rsid w:val="001B3947"/>
    <w:rsid w:val="001B4967"/>
    <w:rsid w:val="001B53FF"/>
    <w:rsid w:val="001B54D1"/>
    <w:rsid w:val="001B56B2"/>
    <w:rsid w:val="001B592D"/>
    <w:rsid w:val="001B5C1D"/>
    <w:rsid w:val="001B62E5"/>
    <w:rsid w:val="001B6430"/>
    <w:rsid w:val="001B683E"/>
    <w:rsid w:val="001B6A02"/>
    <w:rsid w:val="001B6E8F"/>
    <w:rsid w:val="001B7EB1"/>
    <w:rsid w:val="001C0842"/>
    <w:rsid w:val="001C14CC"/>
    <w:rsid w:val="001C2401"/>
    <w:rsid w:val="001C27A2"/>
    <w:rsid w:val="001C2C54"/>
    <w:rsid w:val="001C3A7B"/>
    <w:rsid w:val="001C4A0C"/>
    <w:rsid w:val="001C583D"/>
    <w:rsid w:val="001C5FBE"/>
    <w:rsid w:val="001C618E"/>
    <w:rsid w:val="001C68C0"/>
    <w:rsid w:val="001C6B72"/>
    <w:rsid w:val="001C6DB7"/>
    <w:rsid w:val="001C6F0B"/>
    <w:rsid w:val="001C71CF"/>
    <w:rsid w:val="001D0DFE"/>
    <w:rsid w:val="001D22B0"/>
    <w:rsid w:val="001D23D3"/>
    <w:rsid w:val="001D2AE6"/>
    <w:rsid w:val="001D2E94"/>
    <w:rsid w:val="001D2EC7"/>
    <w:rsid w:val="001D355D"/>
    <w:rsid w:val="001D507B"/>
    <w:rsid w:val="001D5E36"/>
    <w:rsid w:val="001D5E39"/>
    <w:rsid w:val="001D62F9"/>
    <w:rsid w:val="001D6679"/>
    <w:rsid w:val="001D69FC"/>
    <w:rsid w:val="001D6DB4"/>
    <w:rsid w:val="001D768E"/>
    <w:rsid w:val="001E0830"/>
    <w:rsid w:val="001E21C6"/>
    <w:rsid w:val="001E2696"/>
    <w:rsid w:val="001E2BD2"/>
    <w:rsid w:val="001E31D8"/>
    <w:rsid w:val="001E3786"/>
    <w:rsid w:val="001E3925"/>
    <w:rsid w:val="001E3DC6"/>
    <w:rsid w:val="001E42F8"/>
    <w:rsid w:val="001E60A8"/>
    <w:rsid w:val="001E6732"/>
    <w:rsid w:val="001E690E"/>
    <w:rsid w:val="001E7F6C"/>
    <w:rsid w:val="001F0E0D"/>
    <w:rsid w:val="001F0ED7"/>
    <w:rsid w:val="001F115E"/>
    <w:rsid w:val="001F18A6"/>
    <w:rsid w:val="001F18E2"/>
    <w:rsid w:val="001F21BE"/>
    <w:rsid w:val="001F3B1B"/>
    <w:rsid w:val="001F4933"/>
    <w:rsid w:val="001F4AF2"/>
    <w:rsid w:val="001F5AFB"/>
    <w:rsid w:val="001F5C8E"/>
    <w:rsid w:val="001F5C99"/>
    <w:rsid w:val="001F6388"/>
    <w:rsid w:val="001F6AE2"/>
    <w:rsid w:val="001F7A91"/>
    <w:rsid w:val="001F7E94"/>
    <w:rsid w:val="00200125"/>
    <w:rsid w:val="00200225"/>
    <w:rsid w:val="00200A2D"/>
    <w:rsid w:val="00202360"/>
    <w:rsid w:val="00202B8C"/>
    <w:rsid w:val="00203C8B"/>
    <w:rsid w:val="00204556"/>
    <w:rsid w:val="002053B0"/>
    <w:rsid w:val="0020541F"/>
    <w:rsid w:val="00206F44"/>
    <w:rsid w:val="00207824"/>
    <w:rsid w:val="00207D93"/>
    <w:rsid w:val="0021008B"/>
    <w:rsid w:val="00210886"/>
    <w:rsid w:val="0021088C"/>
    <w:rsid w:val="0021110D"/>
    <w:rsid w:val="00212AE7"/>
    <w:rsid w:val="00213ADB"/>
    <w:rsid w:val="0021415C"/>
    <w:rsid w:val="00214296"/>
    <w:rsid w:val="00216C0B"/>
    <w:rsid w:val="0021700E"/>
    <w:rsid w:val="002174DE"/>
    <w:rsid w:val="0021761A"/>
    <w:rsid w:val="0021762D"/>
    <w:rsid w:val="00217A70"/>
    <w:rsid w:val="00217BC9"/>
    <w:rsid w:val="00220199"/>
    <w:rsid w:val="00220468"/>
    <w:rsid w:val="00220736"/>
    <w:rsid w:val="00220798"/>
    <w:rsid w:val="00222701"/>
    <w:rsid w:val="002227A0"/>
    <w:rsid w:val="002229CF"/>
    <w:rsid w:val="00222FB7"/>
    <w:rsid w:val="002235CB"/>
    <w:rsid w:val="00224521"/>
    <w:rsid w:val="00224B82"/>
    <w:rsid w:val="00224C0A"/>
    <w:rsid w:val="00226091"/>
    <w:rsid w:val="00226603"/>
    <w:rsid w:val="002275EC"/>
    <w:rsid w:val="00227C8A"/>
    <w:rsid w:val="002307FE"/>
    <w:rsid w:val="002308C6"/>
    <w:rsid w:val="00230BC3"/>
    <w:rsid w:val="00232391"/>
    <w:rsid w:val="00233A0A"/>
    <w:rsid w:val="00233E5C"/>
    <w:rsid w:val="0023435C"/>
    <w:rsid w:val="00234926"/>
    <w:rsid w:val="00234E26"/>
    <w:rsid w:val="00235AB2"/>
    <w:rsid w:val="002366DD"/>
    <w:rsid w:val="0023777E"/>
    <w:rsid w:val="0024044E"/>
    <w:rsid w:val="00240486"/>
    <w:rsid w:val="002405BE"/>
    <w:rsid w:val="00241EBD"/>
    <w:rsid w:val="002422BE"/>
    <w:rsid w:val="002423FA"/>
    <w:rsid w:val="0024328F"/>
    <w:rsid w:val="0024397B"/>
    <w:rsid w:val="002444B0"/>
    <w:rsid w:val="002454C5"/>
    <w:rsid w:val="00245A4E"/>
    <w:rsid w:val="00245E74"/>
    <w:rsid w:val="002462BB"/>
    <w:rsid w:val="00246D51"/>
    <w:rsid w:val="00246E6B"/>
    <w:rsid w:val="00246EF9"/>
    <w:rsid w:val="00246F8F"/>
    <w:rsid w:val="00246FE1"/>
    <w:rsid w:val="00250F3A"/>
    <w:rsid w:val="002514E1"/>
    <w:rsid w:val="002514E7"/>
    <w:rsid w:val="00251C9D"/>
    <w:rsid w:val="0025219C"/>
    <w:rsid w:val="00252A44"/>
    <w:rsid w:val="00252B05"/>
    <w:rsid w:val="00252CA9"/>
    <w:rsid w:val="00253ACF"/>
    <w:rsid w:val="00253AD7"/>
    <w:rsid w:val="00253F96"/>
    <w:rsid w:val="00254F1F"/>
    <w:rsid w:val="00254FFA"/>
    <w:rsid w:val="0025516A"/>
    <w:rsid w:val="002555B6"/>
    <w:rsid w:val="00256182"/>
    <w:rsid w:val="0025642B"/>
    <w:rsid w:val="00256529"/>
    <w:rsid w:val="00256597"/>
    <w:rsid w:val="0025676E"/>
    <w:rsid w:val="00257787"/>
    <w:rsid w:val="002602EB"/>
    <w:rsid w:val="0026060A"/>
    <w:rsid w:val="00260800"/>
    <w:rsid w:val="00260BE9"/>
    <w:rsid w:val="0026167B"/>
    <w:rsid w:val="002635A3"/>
    <w:rsid w:val="002636AB"/>
    <w:rsid w:val="002643B9"/>
    <w:rsid w:val="00264839"/>
    <w:rsid w:val="00264B45"/>
    <w:rsid w:val="00265476"/>
    <w:rsid w:val="00265508"/>
    <w:rsid w:val="00265D7A"/>
    <w:rsid w:val="00265DA1"/>
    <w:rsid w:val="00266264"/>
    <w:rsid w:val="00267B45"/>
    <w:rsid w:val="00267FF1"/>
    <w:rsid w:val="002705C4"/>
    <w:rsid w:val="002705E9"/>
    <w:rsid w:val="00270A8A"/>
    <w:rsid w:val="00271A41"/>
    <w:rsid w:val="00273553"/>
    <w:rsid w:val="002737D1"/>
    <w:rsid w:val="00273E6A"/>
    <w:rsid w:val="002742F5"/>
    <w:rsid w:val="0027466A"/>
    <w:rsid w:val="00275F25"/>
    <w:rsid w:val="00276D97"/>
    <w:rsid w:val="00276F49"/>
    <w:rsid w:val="002771E0"/>
    <w:rsid w:val="002771F4"/>
    <w:rsid w:val="002777D8"/>
    <w:rsid w:val="0027792F"/>
    <w:rsid w:val="00280502"/>
    <w:rsid w:val="00280F86"/>
    <w:rsid w:val="0028141B"/>
    <w:rsid w:val="0028182C"/>
    <w:rsid w:val="0028197E"/>
    <w:rsid w:val="00281F82"/>
    <w:rsid w:val="00282928"/>
    <w:rsid w:val="00282D4C"/>
    <w:rsid w:val="0028457E"/>
    <w:rsid w:val="0028504E"/>
    <w:rsid w:val="00286145"/>
    <w:rsid w:val="00286306"/>
    <w:rsid w:val="00286DDD"/>
    <w:rsid w:val="0028708E"/>
    <w:rsid w:val="0029008D"/>
    <w:rsid w:val="002902E2"/>
    <w:rsid w:val="002904C0"/>
    <w:rsid w:val="002917DB"/>
    <w:rsid w:val="002929F9"/>
    <w:rsid w:val="00292F7A"/>
    <w:rsid w:val="0029403B"/>
    <w:rsid w:val="0029508C"/>
    <w:rsid w:val="002954D0"/>
    <w:rsid w:val="00295E83"/>
    <w:rsid w:val="002962E3"/>
    <w:rsid w:val="002965C5"/>
    <w:rsid w:val="00296681"/>
    <w:rsid w:val="002A0565"/>
    <w:rsid w:val="002A0B43"/>
    <w:rsid w:val="002A0C8A"/>
    <w:rsid w:val="002A0E8B"/>
    <w:rsid w:val="002A0EDB"/>
    <w:rsid w:val="002A10E2"/>
    <w:rsid w:val="002A1A0C"/>
    <w:rsid w:val="002A2071"/>
    <w:rsid w:val="002A2218"/>
    <w:rsid w:val="002A2358"/>
    <w:rsid w:val="002A2C62"/>
    <w:rsid w:val="002A2CAB"/>
    <w:rsid w:val="002A469F"/>
    <w:rsid w:val="002A4A1D"/>
    <w:rsid w:val="002A4EFB"/>
    <w:rsid w:val="002A55B3"/>
    <w:rsid w:val="002A5D68"/>
    <w:rsid w:val="002A5FCE"/>
    <w:rsid w:val="002A5FFD"/>
    <w:rsid w:val="002A6052"/>
    <w:rsid w:val="002A62C3"/>
    <w:rsid w:val="002A659A"/>
    <w:rsid w:val="002A6687"/>
    <w:rsid w:val="002A6B32"/>
    <w:rsid w:val="002A6D00"/>
    <w:rsid w:val="002A6E2F"/>
    <w:rsid w:val="002B270E"/>
    <w:rsid w:val="002B3A51"/>
    <w:rsid w:val="002B44AB"/>
    <w:rsid w:val="002B51D9"/>
    <w:rsid w:val="002B60FF"/>
    <w:rsid w:val="002B63F9"/>
    <w:rsid w:val="002B6C0F"/>
    <w:rsid w:val="002B71EF"/>
    <w:rsid w:val="002B7647"/>
    <w:rsid w:val="002C082C"/>
    <w:rsid w:val="002C112E"/>
    <w:rsid w:val="002C1586"/>
    <w:rsid w:val="002C1DC0"/>
    <w:rsid w:val="002C1E72"/>
    <w:rsid w:val="002C1EDC"/>
    <w:rsid w:val="002C28E6"/>
    <w:rsid w:val="002C29CD"/>
    <w:rsid w:val="002C31D7"/>
    <w:rsid w:val="002C33B7"/>
    <w:rsid w:val="002C346E"/>
    <w:rsid w:val="002C3863"/>
    <w:rsid w:val="002C3B8C"/>
    <w:rsid w:val="002C41C7"/>
    <w:rsid w:val="002C4541"/>
    <w:rsid w:val="002C52CB"/>
    <w:rsid w:val="002C55F4"/>
    <w:rsid w:val="002C5CCC"/>
    <w:rsid w:val="002C5D37"/>
    <w:rsid w:val="002C5DAF"/>
    <w:rsid w:val="002C768A"/>
    <w:rsid w:val="002C7BDF"/>
    <w:rsid w:val="002C7E16"/>
    <w:rsid w:val="002D11E4"/>
    <w:rsid w:val="002D12AE"/>
    <w:rsid w:val="002D1CCA"/>
    <w:rsid w:val="002D20B1"/>
    <w:rsid w:val="002D257D"/>
    <w:rsid w:val="002D3B77"/>
    <w:rsid w:val="002D4531"/>
    <w:rsid w:val="002D51CC"/>
    <w:rsid w:val="002D58B8"/>
    <w:rsid w:val="002D682B"/>
    <w:rsid w:val="002D788C"/>
    <w:rsid w:val="002D7C00"/>
    <w:rsid w:val="002E0090"/>
    <w:rsid w:val="002E12AE"/>
    <w:rsid w:val="002E27BD"/>
    <w:rsid w:val="002E2C59"/>
    <w:rsid w:val="002E3451"/>
    <w:rsid w:val="002E3557"/>
    <w:rsid w:val="002E36FF"/>
    <w:rsid w:val="002E408B"/>
    <w:rsid w:val="002E4B7F"/>
    <w:rsid w:val="002E5543"/>
    <w:rsid w:val="002E5A27"/>
    <w:rsid w:val="002E6285"/>
    <w:rsid w:val="002E64CE"/>
    <w:rsid w:val="002E66AC"/>
    <w:rsid w:val="002E779E"/>
    <w:rsid w:val="002E78D2"/>
    <w:rsid w:val="002F039F"/>
    <w:rsid w:val="002F1C6A"/>
    <w:rsid w:val="002F2AB6"/>
    <w:rsid w:val="002F623D"/>
    <w:rsid w:val="002F71C4"/>
    <w:rsid w:val="002F74EC"/>
    <w:rsid w:val="002F7ADC"/>
    <w:rsid w:val="002F7D4A"/>
    <w:rsid w:val="00300E7B"/>
    <w:rsid w:val="003025FA"/>
    <w:rsid w:val="00302D16"/>
    <w:rsid w:val="00303277"/>
    <w:rsid w:val="003036F0"/>
    <w:rsid w:val="00303A53"/>
    <w:rsid w:val="0030507C"/>
    <w:rsid w:val="0030573C"/>
    <w:rsid w:val="00305C65"/>
    <w:rsid w:val="00307A3B"/>
    <w:rsid w:val="00307AA8"/>
    <w:rsid w:val="0031085B"/>
    <w:rsid w:val="00311016"/>
    <w:rsid w:val="003110B7"/>
    <w:rsid w:val="00311327"/>
    <w:rsid w:val="00311BB9"/>
    <w:rsid w:val="00311CD6"/>
    <w:rsid w:val="00311F88"/>
    <w:rsid w:val="00312D65"/>
    <w:rsid w:val="003135DA"/>
    <w:rsid w:val="00313E18"/>
    <w:rsid w:val="00313FD4"/>
    <w:rsid w:val="00314295"/>
    <w:rsid w:val="003148A5"/>
    <w:rsid w:val="00314CBF"/>
    <w:rsid w:val="003153E8"/>
    <w:rsid w:val="00316B0D"/>
    <w:rsid w:val="00316D30"/>
    <w:rsid w:val="00316DCF"/>
    <w:rsid w:val="003177DC"/>
    <w:rsid w:val="0032018C"/>
    <w:rsid w:val="0032019A"/>
    <w:rsid w:val="00320A07"/>
    <w:rsid w:val="0032225C"/>
    <w:rsid w:val="003232A6"/>
    <w:rsid w:val="00323366"/>
    <w:rsid w:val="00323CA7"/>
    <w:rsid w:val="00324029"/>
    <w:rsid w:val="00324D2E"/>
    <w:rsid w:val="00325216"/>
    <w:rsid w:val="00325222"/>
    <w:rsid w:val="003268BD"/>
    <w:rsid w:val="00326C66"/>
    <w:rsid w:val="00326CF0"/>
    <w:rsid w:val="00326E72"/>
    <w:rsid w:val="00327D97"/>
    <w:rsid w:val="00327DDE"/>
    <w:rsid w:val="00330498"/>
    <w:rsid w:val="00330567"/>
    <w:rsid w:val="00330B88"/>
    <w:rsid w:val="00331969"/>
    <w:rsid w:val="00331AE7"/>
    <w:rsid w:val="00331B9A"/>
    <w:rsid w:val="003322AD"/>
    <w:rsid w:val="00332931"/>
    <w:rsid w:val="00332F6D"/>
    <w:rsid w:val="00333186"/>
    <w:rsid w:val="00333579"/>
    <w:rsid w:val="00333C60"/>
    <w:rsid w:val="00333FFC"/>
    <w:rsid w:val="00334407"/>
    <w:rsid w:val="00334EE5"/>
    <w:rsid w:val="00335C07"/>
    <w:rsid w:val="00335CAC"/>
    <w:rsid w:val="003362AA"/>
    <w:rsid w:val="003364FC"/>
    <w:rsid w:val="0033704E"/>
    <w:rsid w:val="003374C6"/>
    <w:rsid w:val="0033778C"/>
    <w:rsid w:val="00340814"/>
    <w:rsid w:val="00340D39"/>
    <w:rsid w:val="0034109E"/>
    <w:rsid w:val="00341687"/>
    <w:rsid w:val="003430FF"/>
    <w:rsid w:val="00343C40"/>
    <w:rsid w:val="0034438E"/>
    <w:rsid w:val="003448CC"/>
    <w:rsid w:val="0034507F"/>
    <w:rsid w:val="0034621B"/>
    <w:rsid w:val="00346357"/>
    <w:rsid w:val="00346BC3"/>
    <w:rsid w:val="00350594"/>
    <w:rsid w:val="00350B74"/>
    <w:rsid w:val="00350FEA"/>
    <w:rsid w:val="0035128E"/>
    <w:rsid w:val="0035136D"/>
    <w:rsid w:val="003533D1"/>
    <w:rsid w:val="003534B0"/>
    <w:rsid w:val="003534CD"/>
    <w:rsid w:val="00353FFC"/>
    <w:rsid w:val="003551CF"/>
    <w:rsid w:val="00355B38"/>
    <w:rsid w:val="0035601C"/>
    <w:rsid w:val="00356E4E"/>
    <w:rsid w:val="00357951"/>
    <w:rsid w:val="00357FC3"/>
    <w:rsid w:val="00360C7C"/>
    <w:rsid w:val="003618D8"/>
    <w:rsid w:val="00361AA6"/>
    <w:rsid w:val="0036246E"/>
    <w:rsid w:val="00362C1E"/>
    <w:rsid w:val="00362D3D"/>
    <w:rsid w:val="003634D7"/>
    <w:rsid w:val="00363C46"/>
    <w:rsid w:val="00363D10"/>
    <w:rsid w:val="00364979"/>
    <w:rsid w:val="00364DE2"/>
    <w:rsid w:val="00365717"/>
    <w:rsid w:val="00365AEB"/>
    <w:rsid w:val="003663AB"/>
    <w:rsid w:val="003675E5"/>
    <w:rsid w:val="00367F97"/>
    <w:rsid w:val="00367FC2"/>
    <w:rsid w:val="0037053C"/>
    <w:rsid w:val="0037133A"/>
    <w:rsid w:val="003713B6"/>
    <w:rsid w:val="0037182C"/>
    <w:rsid w:val="00371DAD"/>
    <w:rsid w:val="00371FA4"/>
    <w:rsid w:val="00372122"/>
    <w:rsid w:val="00373ABB"/>
    <w:rsid w:val="003744CA"/>
    <w:rsid w:val="00374D58"/>
    <w:rsid w:val="00374E15"/>
    <w:rsid w:val="003755AC"/>
    <w:rsid w:val="00376097"/>
    <w:rsid w:val="003769E1"/>
    <w:rsid w:val="00376DF2"/>
    <w:rsid w:val="003771BF"/>
    <w:rsid w:val="00377414"/>
    <w:rsid w:val="00377532"/>
    <w:rsid w:val="00377C25"/>
    <w:rsid w:val="003809DD"/>
    <w:rsid w:val="00381C26"/>
    <w:rsid w:val="00382186"/>
    <w:rsid w:val="003823A3"/>
    <w:rsid w:val="00382B52"/>
    <w:rsid w:val="0038540F"/>
    <w:rsid w:val="00385703"/>
    <w:rsid w:val="0038592E"/>
    <w:rsid w:val="00386BB2"/>
    <w:rsid w:val="00386D1F"/>
    <w:rsid w:val="00387609"/>
    <w:rsid w:val="003878A7"/>
    <w:rsid w:val="00387DAD"/>
    <w:rsid w:val="003902FF"/>
    <w:rsid w:val="003907B6"/>
    <w:rsid w:val="00391A98"/>
    <w:rsid w:val="00392023"/>
    <w:rsid w:val="00392563"/>
    <w:rsid w:val="00392D20"/>
    <w:rsid w:val="00394245"/>
    <w:rsid w:val="00394AE0"/>
    <w:rsid w:val="00395175"/>
    <w:rsid w:val="00395180"/>
    <w:rsid w:val="00395418"/>
    <w:rsid w:val="003957E6"/>
    <w:rsid w:val="00395954"/>
    <w:rsid w:val="00395B0B"/>
    <w:rsid w:val="00396064"/>
    <w:rsid w:val="00396652"/>
    <w:rsid w:val="00397B64"/>
    <w:rsid w:val="003A045D"/>
    <w:rsid w:val="003A2324"/>
    <w:rsid w:val="003A25EA"/>
    <w:rsid w:val="003A262F"/>
    <w:rsid w:val="003A2CDF"/>
    <w:rsid w:val="003A445F"/>
    <w:rsid w:val="003A4A8F"/>
    <w:rsid w:val="003A4E0D"/>
    <w:rsid w:val="003A518D"/>
    <w:rsid w:val="003A56A4"/>
    <w:rsid w:val="003A5BD8"/>
    <w:rsid w:val="003A5D32"/>
    <w:rsid w:val="003A65AF"/>
    <w:rsid w:val="003A694B"/>
    <w:rsid w:val="003A69C2"/>
    <w:rsid w:val="003A7192"/>
    <w:rsid w:val="003A7C0A"/>
    <w:rsid w:val="003B0091"/>
    <w:rsid w:val="003B01A5"/>
    <w:rsid w:val="003B072B"/>
    <w:rsid w:val="003B0A5A"/>
    <w:rsid w:val="003B0D49"/>
    <w:rsid w:val="003B11B3"/>
    <w:rsid w:val="003B4869"/>
    <w:rsid w:val="003B4F8D"/>
    <w:rsid w:val="003B5637"/>
    <w:rsid w:val="003B58B4"/>
    <w:rsid w:val="003B58CF"/>
    <w:rsid w:val="003B595C"/>
    <w:rsid w:val="003B6C26"/>
    <w:rsid w:val="003B6F99"/>
    <w:rsid w:val="003B74D9"/>
    <w:rsid w:val="003B78BD"/>
    <w:rsid w:val="003B78E7"/>
    <w:rsid w:val="003B7D13"/>
    <w:rsid w:val="003B7E0C"/>
    <w:rsid w:val="003C1596"/>
    <w:rsid w:val="003C173E"/>
    <w:rsid w:val="003C17E2"/>
    <w:rsid w:val="003C288A"/>
    <w:rsid w:val="003C2DFE"/>
    <w:rsid w:val="003C3368"/>
    <w:rsid w:val="003C436E"/>
    <w:rsid w:val="003C443E"/>
    <w:rsid w:val="003C4997"/>
    <w:rsid w:val="003C4C25"/>
    <w:rsid w:val="003C543E"/>
    <w:rsid w:val="003C573A"/>
    <w:rsid w:val="003C62D9"/>
    <w:rsid w:val="003C76BB"/>
    <w:rsid w:val="003C78A8"/>
    <w:rsid w:val="003C78C6"/>
    <w:rsid w:val="003C7A8A"/>
    <w:rsid w:val="003C7E5B"/>
    <w:rsid w:val="003D09A4"/>
    <w:rsid w:val="003D0A2F"/>
    <w:rsid w:val="003D0F55"/>
    <w:rsid w:val="003D128A"/>
    <w:rsid w:val="003D1B4A"/>
    <w:rsid w:val="003D1C1D"/>
    <w:rsid w:val="003D2FC7"/>
    <w:rsid w:val="003D39F4"/>
    <w:rsid w:val="003D3BA1"/>
    <w:rsid w:val="003D4A46"/>
    <w:rsid w:val="003D55DD"/>
    <w:rsid w:val="003D6381"/>
    <w:rsid w:val="003D69F5"/>
    <w:rsid w:val="003D6DF2"/>
    <w:rsid w:val="003D7498"/>
    <w:rsid w:val="003E0295"/>
    <w:rsid w:val="003E05F1"/>
    <w:rsid w:val="003E0829"/>
    <w:rsid w:val="003E0BAB"/>
    <w:rsid w:val="003E0CC2"/>
    <w:rsid w:val="003E17F9"/>
    <w:rsid w:val="003E1FFA"/>
    <w:rsid w:val="003E3227"/>
    <w:rsid w:val="003E38C0"/>
    <w:rsid w:val="003E594A"/>
    <w:rsid w:val="003E66B1"/>
    <w:rsid w:val="003E67A3"/>
    <w:rsid w:val="003E6CB5"/>
    <w:rsid w:val="003E732C"/>
    <w:rsid w:val="003E78A1"/>
    <w:rsid w:val="003F0009"/>
    <w:rsid w:val="003F0ADA"/>
    <w:rsid w:val="003F11C0"/>
    <w:rsid w:val="003F1500"/>
    <w:rsid w:val="003F20F9"/>
    <w:rsid w:val="003F28ED"/>
    <w:rsid w:val="003F3442"/>
    <w:rsid w:val="003F446A"/>
    <w:rsid w:val="003F523A"/>
    <w:rsid w:val="003F5B9B"/>
    <w:rsid w:val="003F62D0"/>
    <w:rsid w:val="003F651B"/>
    <w:rsid w:val="003F6A17"/>
    <w:rsid w:val="003F6E1C"/>
    <w:rsid w:val="003F7C04"/>
    <w:rsid w:val="00400054"/>
    <w:rsid w:val="00400794"/>
    <w:rsid w:val="004007E0"/>
    <w:rsid w:val="00401690"/>
    <w:rsid w:val="004017BC"/>
    <w:rsid w:val="0040249B"/>
    <w:rsid w:val="00402587"/>
    <w:rsid w:val="004029D7"/>
    <w:rsid w:val="00402E2C"/>
    <w:rsid w:val="0040328D"/>
    <w:rsid w:val="00403602"/>
    <w:rsid w:val="00403A65"/>
    <w:rsid w:val="00403BDA"/>
    <w:rsid w:val="00403DA0"/>
    <w:rsid w:val="00404CBE"/>
    <w:rsid w:val="004053EF"/>
    <w:rsid w:val="00405716"/>
    <w:rsid w:val="004059AC"/>
    <w:rsid w:val="00406644"/>
    <w:rsid w:val="004073C2"/>
    <w:rsid w:val="00407454"/>
    <w:rsid w:val="0040796B"/>
    <w:rsid w:val="00407A16"/>
    <w:rsid w:val="00407BFA"/>
    <w:rsid w:val="00411034"/>
    <w:rsid w:val="004113DD"/>
    <w:rsid w:val="004114F6"/>
    <w:rsid w:val="004119A2"/>
    <w:rsid w:val="00411BFA"/>
    <w:rsid w:val="004131E4"/>
    <w:rsid w:val="0041351B"/>
    <w:rsid w:val="00413B99"/>
    <w:rsid w:val="00413D5E"/>
    <w:rsid w:val="00414415"/>
    <w:rsid w:val="00414A5C"/>
    <w:rsid w:val="004158DA"/>
    <w:rsid w:val="00415E34"/>
    <w:rsid w:val="00415E99"/>
    <w:rsid w:val="00416459"/>
    <w:rsid w:val="00416E99"/>
    <w:rsid w:val="004174BE"/>
    <w:rsid w:val="00417606"/>
    <w:rsid w:val="004176AD"/>
    <w:rsid w:val="00417AAE"/>
    <w:rsid w:val="00420238"/>
    <w:rsid w:val="00420ACC"/>
    <w:rsid w:val="0042260A"/>
    <w:rsid w:val="004227E3"/>
    <w:rsid w:val="00423882"/>
    <w:rsid w:val="00423B62"/>
    <w:rsid w:val="00423E4A"/>
    <w:rsid w:val="00423F2B"/>
    <w:rsid w:val="004242FF"/>
    <w:rsid w:val="004246EA"/>
    <w:rsid w:val="00424F6C"/>
    <w:rsid w:val="00424FE3"/>
    <w:rsid w:val="00425082"/>
    <w:rsid w:val="004265AD"/>
    <w:rsid w:val="004270AC"/>
    <w:rsid w:val="0042730F"/>
    <w:rsid w:val="00427948"/>
    <w:rsid w:val="004279D5"/>
    <w:rsid w:val="00427B01"/>
    <w:rsid w:val="00427EF4"/>
    <w:rsid w:val="00430B84"/>
    <w:rsid w:val="0043150E"/>
    <w:rsid w:val="00431564"/>
    <w:rsid w:val="00433026"/>
    <w:rsid w:val="00433061"/>
    <w:rsid w:val="00433380"/>
    <w:rsid w:val="00435F50"/>
    <w:rsid w:val="00436B92"/>
    <w:rsid w:val="0043755E"/>
    <w:rsid w:val="00437B7A"/>
    <w:rsid w:val="00437F65"/>
    <w:rsid w:val="00440203"/>
    <w:rsid w:val="00440AB2"/>
    <w:rsid w:val="00442A3E"/>
    <w:rsid w:val="00442C5F"/>
    <w:rsid w:val="004443B7"/>
    <w:rsid w:val="00444CDE"/>
    <w:rsid w:val="00444CE0"/>
    <w:rsid w:val="00445435"/>
    <w:rsid w:val="00445B8C"/>
    <w:rsid w:val="00445E6C"/>
    <w:rsid w:val="004464F1"/>
    <w:rsid w:val="00446672"/>
    <w:rsid w:val="00447985"/>
    <w:rsid w:val="00447B77"/>
    <w:rsid w:val="004506FD"/>
    <w:rsid w:val="00450BA3"/>
    <w:rsid w:val="00452711"/>
    <w:rsid w:val="004528A2"/>
    <w:rsid w:val="00453DC2"/>
    <w:rsid w:val="00454D9A"/>
    <w:rsid w:val="004551B0"/>
    <w:rsid w:val="004556FD"/>
    <w:rsid w:val="00455E6E"/>
    <w:rsid w:val="00455EC6"/>
    <w:rsid w:val="004566C0"/>
    <w:rsid w:val="00456B4B"/>
    <w:rsid w:val="00456BB4"/>
    <w:rsid w:val="004579E7"/>
    <w:rsid w:val="00457B6A"/>
    <w:rsid w:val="00460355"/>
    <w:rsid w:val="00460767"/>
    <w:rsid w:val="00460AEE"/>
    <w:rsid w:val="00460C82"/>
    <w:rsid w:val="00461557"/>
    <w:rsid w:val="0046190D"/>
    <w:rsid w:val="00461EBB"/>
    <w:rsid w:val="00462C4F"/>
    <w:rsid w:val="004632DF"/>
    <w:rsid w:val="00463465"/>
    <w:rsid w:val="00463532"/>
    <w:rsid w:val="00463DE7"/>
    <w:rsid w:val="00463F87"/>
    <w:rsid w:val="00464D0C"/>
    <w:rsid w:val="00465227"/>
    <w:rsid w:val="004652AE"/>
    <w:rsid w:val="004655D2"/>
    <w:rsid w:val="0046587D"/>
    <w:rsid w:val="00465B05"/>
    <w:rsid w:val="00465D5F"/>
    <w:rsid w:val="0046656E"/>
    <w:rsid w:val="004667E7"/>
    <w:rsid w:val="00466DDD"/>
    <w:rsid w:val="0046701A"/>
    <w:rsid w:val="00467099"/>
    <w:rsid w:val="0046711F"/>
    <w:rsid w:val="0046728B"/>
    <w:rsid w:val="00467CDE"/>
    <w:rsid w:val="004700A1"/>
    <w:rsid w:val="0047122E"/>
    <w:rsid w:val="00472569"/>
    <w:rsid w:val="00472BC6"/>
    <w:rsid w:val="00472C09"/>
    <w:rsid w:val="00473C22"/>
    <w:rsid w:val="004742C9"/>
    <w:rsid w:val="0047613E"/>
    <w:rsid w:val="00476635"/>
    <w:rsid w:val="004766B3"/>
    <w:rsid w:val="00476841"/>
    <w:rsid w:val="004769F3"/>
    <w:rsid w:val="004771B6"/>
    <w:rsid w:val="004802B6"/>
    <w:rsid w:val="00480AD3"/>
    <w:rsid w:val="00480B8B"/>
    <w:rsid w:val="004814A9"/>
    <w:rsid w:val="004818B1"/>
    <w:rsid w:val="00482949"/>
    <w:rsid w:val="00482A89"/>
    <w:rsid w:val="00482C00"/>
    <w:rsid w:val="00482C61"/>
    <w:rsid w:val="00483481"/>
    <w:rsid w:val="00483C14"/>
    <w:rsid w:val="00483D88"/>
    <w:rsid w:val="00483FC3"/>
    <w:rsid w:val="00484515"/>
    <w:rsid w:val="00485053"/>
    <w:rsid w:val="00485790"/>
    <w:rsid w:val="004858C2"/>
    <w:rsid w:val="004859D4"/>
    <w:rsid w:val="00485CB4"/>
    <w:rsid w:val="00486DD9"/>
    <w:rsid w:val="004870CA"/>
    <w:rsid w:val="004873AF"/>
    <w:rsid w:val="00487926"/>
    <w:rsid w:val="00490155"/>
    <w:rsid w:val="00490A7D"/>
    <w:rsid w:val="00490B07"/>
    <w:rsid w:val="00490F42"/>
    <w:rsid w:val="00491058"/>
    <w:rsid w:val="00491307"/>
    <w:rsid w:val="00491A55"/>
    <w:rsid w:val="00491DEC"/>
    <w:rsid w:val="00491DFF"/>
    <w:rsid w:val="004922CC"/>
    <w:rsid w:val="004928FB"/>
    <w:rsid w:val="004934FA"/>
    <w:rsid w:val="00493F6F"/>
    <w:rsid w:val="00494FE9"/>
    <w:rsid w:val="00495307"/>
    <w:rsid w:val="004966DE"/>
    <w:rsid w:val="00497958"/>
    <w:rsid w:val="00497D53"/>
    <w:rsid w:val="004A0180"/>
    <w:rsid w:val="004A1291"/>
    <w:rsid w:val="004A1C99"/>
    <w:rsid w:val="004A1CE7"/>
    <w:rsid w:val="004A1EA4"/>
    <w:rsid w:val="004A29AE"/>
    <w:rsid w:val="004A2DAD"/>
    <w:rsid w:val="004A386A"/>
    <w:rsid w:val="004A417A"/>
    <w:rsid w:val="004A481C"/>
    <w:rsid w:val="004A4EDC"/>
    <w:rsid w:val="004A516B"/>
    <w:rsid w:val="004A61E6"/>
    <w:rsid w:val="004A7205"/>
    <w:rsid w:val="004A7F67"/>
    <w:rsid w:val="004B14BE"/>
    <w:rsid w:val="004B152B"/>
    <w:rsid w:val="004B1757"/>
    <w:rsid w:val="004B24E9"/>
    <w:rsid w:val="004B3108"/>
    <w:rsid w:val="004B37A7"/>
    <w:rsid w:val="004B39B0"/>
    <w:rsid w:val="004B3CE0"/>
    <w:rsid w:val="004B416E"/>
    <w:rsid w:val="004B48F4"/>
    <w:rsid w:val="004B4F8D"/>
    <w:rsid w:val="004B519B"/>
    <w:rsid w:val="004B54E8"/>
    <w:rsid w:val="004B5E6F"/>
    <w:rsid w:val="004B6D48"/>
    <w:rsid w:val="004B7524"/>
    <w:rsid w:val="004B7547"/>
    <w:rsid w:val="004B757B"/>
    <w:rsid w:val="004C0089"/>
    <w:rsid w:val="004C0684"/>
    <w:rsid w:val="004C0730"/>
    <w:rsid w:val="004C0BFE"/>
    <w:rsid w:val="004C13D9"/>
    <w:rsid w:val="004C24F3"/>
    <w:rsid w:val="004C2BDD"/>
    <w:rsid w:val="004C2C6B"/>
    <w:rsid w:val="004C2C7E"/>
    <w:rsid w:val="004C2EF3"/>
    <w:rsid w:val="004C3639"/>
    <w:rsid w:val="004C367E"/>
    <w:rsid w:val="004C3C85"/>
    <w:rsid w:val="004C401F"/>
    <w:rsid w:val="004C4B61"/>
    <w:rsid w:val="004C4F5F"/>
    <w:rsid w:val="004C4FB3"/>
    <w:rsid w:val="004C4FE0"/>
    <w:rsid w:val="004C5512"/>
    <w:rsid w:val="004C6044"/>
    <w:rsid w:val="004D003B"/>
    <w:rsid w:val="004D06AB"/>
    <w:rsid w:val="004D26A6"/>
    <w:rsid w:val="004D3BF0"/>
    <w:rsid w:val="004D47F5"/>
    <w:rsid w:val="004D641B"/>
    <w:rsid w:val="004D6CD6"/>
    <w:rsid w:val="004E0903"/>
    <w:rsid w:val="004E0F43"/>
    <w:rsid w:val="004E1550"/>
    <w:rsid w:val="004E1B82"/>
    <w:rsid w:val="004E2A43"/>
    <w:rsid w:val="004E2F19"/>
    <w:rsid w:val="004E357E"/>
    <w:rsid w:val="004E389A"/>
    <w:rsid w:val="004E3F57"/>
    <w:rsid w:val="004E3FE3"/>
    <w:rsid w:val="004E43E6"/>
    <w:rsid w:val="004E4853"/>
    <w:rsid w:val="004E49E9"/>
    <w:rsid w:val="004E50A8"/>
    <w:rsid w:val="004E5672"/>
    <w:rsid w:val="004E588E"/>
    <w:rsid w:val="004E657B"/>
    <w:rsid w:val="004E6853"/>
    <w:rsid w:val="004F049C"/>
    <w:rsid w:val="004F0D37"/>
    <w:rsid w:val="004F0DED"/>
    <w:rsid w:val="004F27FD"/>
    <w:rsid w:val="004F331E"/>
    <w:rsid w:val="004F3455"/>
    <w:rsid w:val="004F347F"/>
    <w:rsid w:val="004F34D9"/>
    <w:rsid w:val="004F380F"/>
    <w:rsid w:val="004F38CA"/>
    <w:rsid w:val="004F3F2C"/>
    <w:rsid w:val="004F3F8C"/>
    <w:rsid w:val="004F4F69"/>
    <w:rsid w:val="004F5228"/>
    <w:rsid w:val="004F591D"/>
    <w:rsid w:val="004F5DE3"/>
    <w:rsid w:val="004F5E14"/>
    <w:rsid w:val="004F6A07"/>
    <w:rsid w:val="004F7062"/>
    <w:rsid w:val="004F7B84"/>
    <w:rsid w:val="004F7EE7"/>
    <w:rsid w:val="0050056B"/>
    <w:rsid w:val="00501351"/>
    <w:rsid w:val="005019AD"/>
    <w:rsid w:val="00501E6B"/>
    <w:rsid w:val="005023D5"/>
    <w:rsid w:val="00502505"/>
    <w:rsid w:val="005026EC"/>
    <w:rsid w:val="00502ABB"/>
    <w:rsid w:val="00502E66"/>
    <w:rsid w:val="00504283"/>
    <w:rsid w:val="00505DAC"/>
    <w:rsid w:val="00506527"/>
    <w:rsid w:val="00510A33"/>
    <w:rsid w:val="00510DC4"/>
    <w:rsid w:val="00511BDA"/>
    <w:rsid w:val="00511E5B"/>
    <w:rsid w:val="005120FA"/>
    <w:rsid w:val="005126B5"/>
    <w:rsid w:val="005126E1"/>
    <w:rsid w:val="00514B25"/>
    <w:rsid w:val="005151D2"/>
    <w:rsid w:val="00515598"/>
    <w:rsid w:val="005176FB"/>
    <w:rsid w:val="005202D8"/>
    <w:rsid w:val="00520485"/>
    <w:rsid w:val="00520B34"/>
    <w:rsid w:val="00520B5C"/>
    <w:rsid w:val="00521022"/>
    <w:rsid w:val="0052132F"/>
    <w:rsid w:val="00521BC5"/>
    <w:rsid w:val="00521F1B"/>
    <w:rsid w:val="00522EBE"/>
    <w:rsid w:val="00523059"/>
    <w:rsid w:val="005235CA"/>
    <w:rsid w:val="00523C6B"/>
    <w:rsid w:val="00524BF3"/>
    <w:rsid w:val="00525D2A"/>
    <w:rsid w:val="00526DF9"/>
    <w:rsid w:val="005279C0"/>
    <w:rsid w:val="00527C4C"/>
    <w:rsid w:val="00527E5E"/>
    <w:rsid w:val="00530519"/>
    <w:rsid w:val="00531154"/>
    <w:rsid w:val="00531BB2"/>
    <w:rsid w:val="00532041"/>
    <w:rsid w:val="00534D03"/>
    <w:rsid w:val="005354D4"/>
    <w:rsid w:val="00535928"/>
    <w:rsid w:val="00536335"/>
    <w:rsid w:val="00536664"/>
    <w:rsid w:val="00536E39"/>
    <w:rsid w:val="005377C8"/>
    <w:rsid w:val="00537C35"/>
    <w:rsid w:val="00537DD4"/>
    <w:rsid w:val="00540CBA"/>
    <w:rsid w:val="00541718"/>
    <w:rsid w:val="00541D08"/>
    <w:rsid w:val="00543E32"/>
    <w:rsid w:val="00544BD9"/>
    <w:rsid w:val="00544FB2"/>
    <w:rsid w:val="00545097"/>
    <w:rsid w:val="00545691"/>
    <w:rsid w:val="005459C1"/>
    <w:rsid w:val="005464DD"/>
    <w:rsid w:val="00546E08"/>
    <w:rsid w:val="005471F6"/>
    <w:rsid w:val="00547485"/>
    <w:rsid w:val="005476A9"/>
    <w:rsid w:val="00547C1F"/>
    <w:rsid w:val="00547EE3"/>
    <w:rsid w:val="00550C7E"/>
    <w:rsid w:val="00550D17"/>
    <w:rsid w:val="00551862"/>
    <w:rsid w:val="005524F7"/>
    <w:rsid w:val="005525CA"/>
    <w:rsid w:val="00552F1C"/>
    <w:rsid w:val="0055453A"/>
    <w:rsid w:val="00554714"/>
    <w:rsid w:val="0055476D"/>
    <w:rsid w:val="005555C1"/>
    <w:rsid w:val="00555FD8"/>
    <w:rsid w:val="00556304"/>
    <w:rsid w:val="00556D7E"/>
    <w:rsid w:val="005577C6"/>
    <w:rsid w:val="0056087E"/>
    <w:rsid w:val="00560A22"/>
    <w:rsid w:val="0056109D"/>
    <w:rsid w:val="005610AE"/>
    <w:rsid w:val="005611AC"/>
    <w:rsid w:val="00562859"/>
    <w:rsid w:val="00562B0A"/>
    <w:rsid w:val="005630D5"/>
    <w:rsid w:val="00563341"/>
    <w:rsid w:val="005635F6"/>
    <w:rsid w:val="00563D1D"/>
    <w:rsid w:val="00563ED7"/>
    <w:rsid w:val="00564548"/>
    <w:rsid w:val="00564FD6"/>
    <w:rsid w:val="0056505B"/>
    <w:rsid w:val="0056521B"/>
    <w:rsid w:val="005653E3"/>
    <w:rsid w:val="00565460"/>
    <w:rsid w:val="005656AB"/>
    <w:rsid w:val="005659FB"/>
    <w:rsid w:val="00566C86"/>
    <w:rsid w:val="005675D7"/>
    <w:rsid w:val="00567ED8"/>
    <w:rsid w:val="00567F33"/>
    <w:rsid w:val="00571DD6"/>
    <w:rsid w:val="00573154"/>
    <w:rsid w:val="005734B6"/>
    <w:rsid w:val="005735E8"/>
    <w:rsid w:val="00573E14"/>
    <w:rsid w:val="005740A6"/>
    <w:rsid w:val="00574799"/>
    <w:rsid w:val="00575937"/>
    <w:rsid w:val="00575C21"/>
    <w:rsid w:val="00575CEC"/>
    <w:rsid w:val="00576196"/>
    <w:rsid w:val="00577236"/>
    <w:rsid w:val="00577791"/>
    <w:rsid w:val="005777C9"/>
    <w:rsid w:val="00577A52"/>
    <w:rsid w:val="0058060F"/>
    <w:rsid w:val="00580C61"/>
    <w:rsid w:val="00581A5A"/>
    <w:rsid w:val="00582BBD"/>
    <w:rsid w:val="00582BED"/>
    <w:rsid w:val="0058378D"/>
    <w:rsid w:val="00583CF5"/>
    <w:rsid w:val="0058404B"/>
    <w:rsid w:val="0058410D"/>
    <w:rsid w:val="00584331"/>
    <w:rsid w:val="00584FCD"/>
    <w:rsid w:val="00586461"/>
    <w:rsid w:val="00586A94"/>
    <w:rsid w:val="00590E89"/>
    <w:rsid w:val="00590F1E"/>
    <w:rsid w:val="0059100C"/>
    <w:rsid w:val="0059123B"/>
    <w:rsid w:val="00591379"/>
    <w:rsid w:val="00591C00"/>
    <w:rsid w:val="005928CC"/>
    <w:rsid w:val="00592FC9"/>
    <w:rsid w:val="00593FA2"/>
    <w:rsid w:val="00594C49"/>
    <w:rsid w:val="0059535F"/>
    <w:rsid w:val="005958EE"/>
    <w:rsid w:val="0059592A"/>
    <w:rsid w:val="00595EDB"/>
    <w:rsid w:val="00596633"/>
    <w:rsid w:val="00596908"/>
    <w:rsid w:val="00597233"/>
    <w:rsid w:val="00597575"/>
    <w:rsid w:val="00597864"/>
    <w:rsid w:val="005A0070"/>
    <w:rsid w:val="005A029C"/>
    <w:rsid w:val="005A09F0"/>
    <w:rsid w:val="005A0AEF"/>
    <w:rsid w:val="005A1183"/>
    <w:rsid w:val="005A18DE"/>
    <w:rsid w:val="005A1E4E"/>
    <w:rsid w:val="005A21B0"/>
    <w:rsid w:val="005A2242"/>
    <w:rsid w:val="005A230A"/>
    <w:rsid w:val="005A2AB9"/>
    <w:rsid w:val="005A2AE6"/>
    <w:rsid w:val="005A2E2D"/>
    <w:rsid w:val="005A3394"/>
    <w:rsid w:val="005A34FA"/>
    <w:rsid w:val="005A44B2"/>
    <w:rsid w:val="005A4731"/>
    <w:rsid w:val="005A6B10"/>
    <w:rsid w:val="005A7A21"/>
    <w:rsid w:val="005B0495"/>
    <w:rsid w:val="005B1F4B"/>
    <w:rsid w:val="005B2229"/>
    <w:rsid w:val="005B2A73"/>
    <w:rsid w:val="005B3A8B"/>
    <w:rsid w:val="005B41E0"/>
    <w:rsid w:val="005B4A05"/>
    <w:rsid w:val="005B5A99"/>
    <w:rsid w:val="005B60B7"/>
    <w:rsid w:val="005B6430"/>
    <w:rsid w:val="005B646E"/>
    <w:rsid w:val="005B6679"/>
    <w:rsid w:val="005B78AC"/>
    <w:rsid w:val="005B79B5"/>
    <w:rsid w:val="005C0430"/>
    <w:rsid w:val="005C26B7"/>
    <w:rsid w:val="005C2D5C"/>
    <w:rsid w:val="005C3108"/>
    <w:rsid w:val="005C4500"/>
    <w:rsid w:val="005C6434"/>
    <w:rsid w:val="005C682B"/>
    <w:rsid w:val="005C755A"/>
    <w:rsid w:val="005C7980"/>
    <w:rsid w:val="005C7BFE"/>
    <w:rsid w:val="005C7EDC"/>
    <w:rsid w:val="005D00DC"/>
    <w:rsid w:val="005D0A02"/>
    <w:rsid w:val="005D18D4"/>
    <w:rsid w:val="005D2860"/>
    <w:rsid w:val="005D286A"/>
    <w:rsid w:val="005D2F83"/>
    <w:rsid w:val="005D51AE"/>
    <w:rsid w:val="005D52F8"/>
    <w:rsid w:val="005D580B"/>
    <w:rsid w:val="005D5DA1"/>
    <w:rsid w:val="005D649E"/>
    <w:rsid w:val="005D7189"/>
    <w:rsid w:val="005D728B"/>
    <w:rsid w:val="005D7885"/>
    <w:rsid w:val="005E0766"/>
    <w:rsid w:val="005E0CFB"/>
    <w:rsid w:val="005E240B"/>
    <w:rsid w:val="005E305E"/>
    <w:rsid w:val="005E4347"/>
    <w:rsid w:val="005E464F"/>
    <w:rsid w:val="005E506D"/>
    <w:rsid w:val="005E59F4"/>
    <w:rsid w:val="005E6093"/>
    <w:rsid w:val="005E70AC"/>
    <w:rsid w:val="005E711A"/>
    <w:rsid w:val="005E7236"/>
    <w:rsid w:val="005E746E"/>
    <w:rsid w:val="005F18B9"/>
    <w:rsid w:val="005F1EBB"/>
    <w:rsid w:val="005F20EA"/>
    <w:rsid w:val="005F2448"/>
    <w:rsid w:val="005F34A6"/>
    <w:rsid w:val="005F353B"/>
    <w:rsid w:val="005F3BD3"/>
    <w:rsid w:val="005F3C0B"/>
    <w:rsid w:val="005F3E54"/>
    <w:rsid w:val="005F3EC7"/>
    <w:rsid w:val="005F4970"/>
    <w:rsid w:val="005F4C81"/>
    <w:rsid w:val="005F56BB"/>
    <w:rsid w:val="005F5858"/>
    <w:rsid w:val="005F5A40"/>
    <w:rsid w:val="005F625B"/>
    <w:rsid w:val="005F6619"/>
    <w:rsid w:val="005F6B74"/>
    <w:rsid w:val="005F7A03"/>
    <w:rsid w:val="005F7B03"/>
    <w:rsid w:val="0060048F"/>
    <w:rsid w:val="0060066D"/>
    <w:rsid w:val="006006D7"/>
    <w:rsid w:val="006009DE"/>
    <w:rsid w:val="00601643"/>
    <w:rsid w:val="00601B0B"/>
    <w:rsid w:val="00601C50"/>
    <w:rsid w:val="00601DAA"/>
    <w:rsid w:val="00602AAE"/>
    <w:rsid w:val="00602C60"/>
    <w:rsid w:val="00602EB5"/>
    <w:rsid w:val="0060365C"/>
    <w:rsid w:val="0060376A"/>
    <w:rsid w:val="00603A0A"/>
    <w:rsid w:val="00603A6D"/>
    <w:rsid w:val="00603CBA"/>
    <w:rsid w:val="0060518C"/>
    <w:rsid w:val="0060794F"/>
    <w:rsid w:val="00607A0D"/>
    <w:rsid w:val="006101D1"/>
    <w:rsid w:val="006102BA"/>
    <w:rsid w:val="0061037F"/>
    <w:rsid w:val="00610E69"/>
    <w:rsid w:val="00611F33"/>
    <w:rsid w:val="0061219A"/>
    <w:rsid w:val="00612E5E"/>
    <w:rsid w:val="00612EA1"/>
    <w:rsid w:val="00615EA3"/>
    <w:rsid w:val="00617031"/>
    <w:rsid w:val="006176CD"/>
    <w:rsid w:val="00617FA7"/>
    <w:rsid w:val="0062006E"/>
    <w:rsid w:val="00620ABB"/>
    <w:rsid w:val="00621001"/>
    <w:rsid w:val="006222EF"/>
    <w:rsid w:val="00622B0C"/>
    <w:rsid w:val="00623CC6"/>
    <w:rsid w:val="00624269"/>
    <w:rsid w:val="00626B30"/>
    <w:rsid w:val="00627C2C"/>
    <w:rsid w:val="00627E30"/>
    <w:rsid w:val="006300A9"/>
    <w:rsid w:val="00631472"/>
    <w:rsid w:val="006314B4"/>
    <w:rsid w:val="00632C21"/>
    <w:rsid w:val="00632C2F"/>
    <w:rsid w:val="0063331D"/>
    <w:rsid w:val="006339D5"/>
    <w:rsid w:val="00633AA5"/>
    <w:rsid w:val="00634A04"/>
    <w:rsid w:val="00634E32"/>
    <w:rsid w:val="0063553F"/>
    <w:rsid w:val="006359A7"/>
    <w:rsid w:val="00635FEF"/>
    <w:rsid w:val="00636965"/>
    <w:rsid w:val="00637306"/>
    <w:rsid w:val="0064038C"/>
    <w:rsid w:val="00641212"/>
    <w:rsid w:val="0064314C"/>
    <w:rsid w:val="006443E6"/>
    <w:rsid w:val="00644563"/>
    <w:rsid w:val="006449A4"/>
    <w:rsid w:val="00644A9B"/>
    <w:rsid w:val="00644C7B"/>
    <w:rsid w:val="00644DFC"/>
    <w:rsid w:val="00644E63"/>
    <w:rsid w:val="00644FFD"/>
    <w:rsid w:val="00645571"/>
    <w:rsid w:val="00645BF3"/>
    <w:rsid w:val="00645F19"/>
    <w:rsid w:val="006463CE"/>
    <w:rsid w:val="00647666"/>
    <w:rsid w:val="00650527"/>
    <w:rsid w:val="006505A1"/>
    <w:rsid w:val="00650AA9"/>
    <w:rsid w:val="00650D2F"/>
    <w:rsid w:val="00650F93"/>
    <w:rsid w:val="00651188"/>
    <w:rsid w:val="0065178F"/>
    <w:rsid w:val="00651D42"/>
    <w:rsid w:val="00651F58"/>
    <w:rsid w:val="006521BD"/>
    <w:rsid w:val="0065224B"/>
    <w:rsid w:val="00652569"/>
    <w:rsid w:val="00652F5D"/>
    <w:rsid w:val="006539B7"/>
    <w:rsid w:val="00654612"/>
    <w:rsid w:val="00654BA9"/>
    <w:rsid w:val="006562E7"/>
    <w:rsid w:val="00656512"/>
    <w:rsid w:val="00657559"/>
    <w:rsid w:val="006575D6"/>
    <w:rsid w:val="006576B4"/>
    <w:rsid w:val="0065786E"/>
    <w:rsid w:val="00660597"/>
    <w:rsid w:val="006606A3"/>
    <w:rsid w:val="006613B9"/>
    <w:rsid w:val="006629C0"/>
    <w:rsid w:val="00662B7B"/>
    <w:rsid w:val="00664493"/>
    <w:rsid w:val="00664B6A"/>
    <w:rsid w:val="00664CE6"/>
    <w:rsid w:val="00665623"/>
    <w:rsid w:val="00665BB0"/>
    <w:rsid w:val="00666261"/>
    <w:rsid w:val="00666572"/>
    <w:rsid w:val="006667B1"/>
    <w:rsid w:val="00666F4F"/>
    <w:rsid w:val="00666F50"/>
    <w:rsid w:val="00667546"/>
    <w:rsid w:val="006676EB"/>
    <w:rsid w:val="00667C1D"/>
    <w:rsid w:val="00667F1D"/>
    <w:rsid w:val="00670D10"/>
    <w:rsid w:val="00671058"/>
    <w:rsid w:val="006711C7"/>
    <w:rsid w:val="0067136B"/>
    <w:rsid w:val="00671988"/>
    <w:rsid w:val="00671DF4"/>
    <w:rsid w:val="0067247A"/>
    <w:rsid w:val="00672EAD"/>
    <w:rsid w:val="0067378E"/>
    <w:rsid w:val="00673B63"/>
    <w:rsid w:val="00673EAE"/>
    <w:rsid w:val="006747CF"/>
    <w:rsid w:val="00674A0A"/>
    <w:rsid w:val="00674B9A"/>
    <w:rsid w:val="00674EDC"/>
    <w:rsid w:val="006755F8"/>
    <w:rsid w:val="00676778"/>
    <w:rsid w:val="00677505"/>
    <w:rsid w:val="006802C8"/>
    <w:rsid w:val="006803C8"/>
    <w:rsid w:val="006817CA"/>
    <w:rsid w:val="00681E20"/>
    <w:rsid w:val="00682255"/>
    <w:rsid w:val="00684146"/>
    <w:rsid w:val="00684628"/>
    <w:rsid w:val="00684D3C"/>
    <w:rsid w:val="00685062"/>
    <w:rsid w:val="006850AB"/>
    <w:rsid w:val="006857B7"/>
    <w:rsid w:val="00685A9C"/>
    <w:rsid w:val="00686671"/>
    <w:rsid w:val="006866D4"/>
    <w:rsid w:val="006872BD"/>
    <w:rsid w:val="00691541"/>
    <w:rsid w:val="00691EF0"/>
    <w:rsid w:val="00692467"/>
    <w:rsid w:val="00692B44"/>
    <w:rsid w:val="00692C97"/>
    <w:rsid w:val="0069301B"/>
    <w:rsid w:val="0069442D"/>
    <w:rsid w:val="006962C3"/>
    <w:rsid w:val="006A1BC5"/>
    <w:rsid w:val="006A1D46"/>
    <w:rsid w:val="006A2416"/>
    <w:rsid w:val="006A2424"/>
    <w:rsid w:val="006A2606"/>
    <w:rsid w:val="006A28E7"/>
    <w:rsid w:val="006A2958"/>
    <w:rsid w:val="006A2CD2"/>
    <w:rsid w:val="006A2CDC"/>
    <w:rsid w:val="006A31CE"/>
    <w:rsid w:val="006A333B"/>
    <w:rsid w:val="006A338F"/>
    <w:rsid w:val="006A379B"/>
    <w:rsid w:val="006A48E4"/>
    <w:rsid w:val="006A4C84"/>
    <w:rsid w:val="006A5400"/>
    <w:rsid w:val="006A54DB"/>
    <w:rsid w:val="006A681C"/>
    <w:rsid w:val="006B1B2E"/>
    <w:rsid w:val="006B1C3A"/>
    <w:rsid w:val="006B28D8"/>
    <w:rsid w:val="006B2AEE"/>
    <w:rsid w:val="006B4163"/>
    <w:rsid w:val="006B4B5B"/>
    <w:rsid w:val="006B4B7E"/>
    <w:rsid w:val="006B50AB"/>
    <w:rsid w:val="006B55A4"/>
    <w:rsid w:val="006B57FC"/>
    <w:rsid w:val="006B62B8"/>
    <w:rsid w:val="006B7587"/>
    <w:rsid w:val="006C0127"/>
    <w:rsid w:val="006C11B1"/>
    <w:rsid w:val="006C15C6"/>
    <w:rsid w:val="006C16D7"/>
    <w:rsid w:val="006C2023"/>
    <w:rsid w:val="006C2902"/>
    <w:rsid w:val="006C2CBC"/>
    <w:rsid w:val="006C3613"/>
    <w:rsid w:val="006C4754"/>
    <w:rsid w:val="006C48CC"/>
    <w:rsid w:val="006C4D9A"/>
    <w:rsid w:val="006C5EED"/>
    <w:rsid w:val="006C6044"/>
    <w:rsid w:val="006C6198"/>
    <w:rsid w:val="006C69C5"/>
    <w:rsid w:val="006C6B14"/>
    <w:rsid w:val="006C6E9B"/>
    <w:rsid w:val="006C6F4D"/>
    <w:rsid w:val="006C744F"/>
    <w:rsid w:val="006C7BB6"/>
    <w:rsid w:val="006D0316"/>
    <w:rsid w:val="006D0FE8"/>
    <w:rsid w:val="006D33AE"/>
    <w:rsid w:val="006D3A76"/>
    <w:rsid w:val="006D3D53"/>
    <w:rsid w:val="006D4AA6"/>
    <w:rsid w:val="006D4CCD"/>
    <w:rsid w:val="006D4E8D"/>
    <w:rsid w:val="006D59D1"/>
    <w:rsid w:val="006D6FDA"/>
    <w:rsid w:val="006D74D3"/>
    <w:rsid w:val="006D7DC6"/>
    <w:rsid w:val="006E013B"/>
    <w:rsid w:val="006E04B5"/>
    <w:rsid w:val="006E0DC1"/>
    <w:rsid w:val="006E17F6"/>
    <w:rsid w:val="006E1C78"/>
    <w:rsid w:val="006E1F68"/>
    <w:rsid w:val="006E2B7A"/>
    <w:rsid w:val="006E2FDD"/>
    <w:rsid w:val="006E31AB"/>
    <w:rsid w:val="006E324E"/>
    <w:rsid w:val="006E3E17"/>
    <w:rsid w:val="006E4945"/>
    <w:rsid w:val="006E5F12"/>
    <w:rsid w:val="006E5F2E"/>
    <w:rsid w:val="006E686B"/>
    <w:rsid w:val="006E6E54"/>
    <w:rsid w:val="006E7E69"/>
    <w:rsid w:val="006E7F02"/>
    <w:rsid w:val="006F138D"/>
    <w:rsid w:val="006F1441"/>
    <w:rsid w:val="006F15E6"/>
    <w:rsid w:val="006F1EAF"/>
    <w:rsid w:val="006F1F57"/>
    <w:rsid w:val="006F37CB"/>
    <w:rsid w:val="006F4EAD"/>
    <w:rsid w:val="006F4F3D"/>
    <w:rsid w:val="006F5B2E"/>
    <w:rsid w:val="006F5BC4"/>
    <w:rsid w:val="006F70BF"/>
    <w:rsid w:val="006F7170"/>
    <w:rsid w:val="006F7328"/>
    <w:rsid w:val="006F7D69"/>
    <w:rsid w:val="006F7EA6"/>
    <w:rsid w:val="0070027A"/>
    <w:rsid w:val="007008F0"/>
    <w:rsid w:val="0070097E"/>
    <w:rsid w:val="00700A87"/>
    <w:rsid w:val="007012AB"/>
    <w:rsid w:val="0070183A"/>
    <w:rsid w:val="00701852"/>
    <w:rsid w:val="00701B2D"/>
    <w:rsid w:val="00701DD0"/>
    <w:rsid w:val="00703185"/>
    <w:rsid w:val="0070349C"/>
    <w:rsid w:val="00703B77"/>
    <w:rsid w:val="007045DB"/>
    <w:rsid w:val="00704715"/>
    <w:rsid w:val="00704C1F"/>
    <w:rsid w:val="00705516"/>
    <w:rsid w:val="00705530"/>
    <w:rsid w:val="0070587F"/>
    <w:rsid w:val="007059DE"/>
    <w:rsid w:val="00707A6D"/>
    <w:rsid w:val="00707BA2"/>
    <w:rsid w:val="007114E4"/>
    <w:rsid w:val="00711C73"/>
    <w:rsid w:val="007125C6"/>
    <w:rsid w:val="00712C33"/>
    <w:rsid w:val="00712CF5"/>
    <w:rsid w:val="0071323E"/>
    <w:rsid w:val="00713A67"/>
    <w:rsid w:val="00716D5D"/>
    <w:rsid w:val="007175BF"/>
    <w:rsid w:val="007177B3"/>
    <w:rsid w:val="0071780B"/>
    <w:rsid w:val="0071790E"/>
    <w:rsid w:val="007205E1"/>
    <w:rsid w:val="00720A3D"/>
    <w:rsid w:val="00721EE2"/>
    <w:rsid w:val="00723749"/>
    <w:rsid w:val="007247D2"/>
    <w:rsid w:val="00724898"/>
    <w:rsid w:val="00724A33"/>
    <w:rsid w:val="00724BBE"/>
    <w:rsid w:val="00724E0E"/>
    <w:rsid w:val="00725A92"/>
    <w:rsid w:val="00725BA1"/>
    <w:rsid w:val="00726271"/>
    <w:rsid w:val="007264B7"/>
    <w:rsid w:val="00726508"/>
    <w:rsid w:val="0072794C"/>
    <w:rsid w:val="00730C09"/>
    <w:rsid w:val="00730DF4"/>
    <w:rsid w:val="007312EA"/>
    <w:rsid w:val="00731FFB"/>
    <w:rsid w:val="0073220A"/>
    <w:rsid w:val="007325B2"/>
    <w:rsid w:val="00732BB2"/>
    <w:rsid w:val="00732D97"/>
    <w:rsid w:val="00733496"/>
    <w:rsid w:val="00733C35"/>
    <w:rsid w:val="00734571"/>
    <w:rsid w:val="00734F92"/>
    <w:rsid w:val="0073583C"/>
    <w:rsid w:val="0073777B"/>
    <w:rsid w:val="007403C3"/>
    <w:rsid w:val="007405CD"/>
    <w:rsid w:val="00740873"/>
    <w:rsid w:val="007411AA"/>
    <w:rsid w:val="00741228"/>
    <w:rsid w:val="007418DA"/>
    <w:rsid w:val="0074242E"/>
    <w:rsid w:val="007429FD"/>
    <w:rsid w:val="00742F59"/>
    <w:rsid w:val="00743035"/>
    <w:rsid w:val="007430D6"/>
    <w:rsid w:val="0074381C"/>
    <w:rsid w:val="007439A1"/>
    <w:rsid w:val="007457D0"/>
    <w:rsid w:val="0074599F"/>
    <w:rsid w:val="00745A47"/>
    <w:rsid w:val="00745BF6"/>
    <w:rsid w:val="00746861"/>
    <w:rsid w:val="00747452"/>
    <w:rsid w:val="0075059C"/>
    <w:rsid w:val="007508DA"/>
    <w:rsid w:val="00750A2C"/>
    <w:rsid w:val="0075136A"/>
    <w:rsid w:val="007520DA"/>
    <w:rsid w:val="00753F49"/>
    <w:rsid w:val="00754FB3"/>
    <w:rsid w:val="00755119"/>
    <w:rsid w:val="007561D3"/>
    <w:rsid w:val="007561E1"/>
    <w:rsid w:val="007566BA"/>
    <w:rsid w:val="00756AF2"/>
    <w:rsid w:val="00756DC2"/>
    <w:rsid w:val="00756F0E"/>
    <w:rsid w:val="00757271"/>
    <w:rsid w:val="00761213"/>
    <w:rsid w:val="00762284"/>
    <w:rsid w:val="00762832"/>
    <w:rsid w:val="00762C57"/>
    <w:rsid w:val="00762D1E"/>
    <w:rsid w:val="0076371E"/>
    <w:rsid w:val="007637C9"/>
    <w:rsid w:val="0076436D"/>
    <w:rsid w:val="007646E9"/>
    <w:rsid w:val="00764AC3"/>
    <w:rsid w:val="00764FEF"/>
    <w:rsid w:val="00765F5D"/>
    <w:rsid w:val="00766906"/>
    <w:rsid w:val="0076694B"/>
    <w:rsid w:val="0076752A"/>
    <w:rsid w:val="00767BC6"/>
    <w:rsid w:val="00770C19"/>
    <w:rsid w:val="007725FA"/>
    <w:rsid w:val="00772F3A"/>
    <w:rsid w:val="00773268"/>
    <w:rsid w:val="00773C71"/>
    <w:rsid w:val="00774840"/>
    <w:rsid w:val="00774E06"/>
    <w:rsid w:val="00775828"/>
    <w:rsid w:val="00776303"/>
    <w:rsid w:val="00776EF1"/>
    <w:rsid w:val="00777698"/>
    <w:rsid w:val="00777BDE"/>
    <w:rsid w:val="00781663"/>
    <w:rsid w:val="00781750"/>
    <w:rsid w:val="007819B6"/>
    <w:rsid w:val="00781FA8"/>
    <w:rsid w:val="00782280"/>
    <w:rsid w:val="007823CF"/>
    <w:rsid w:val="007826FB"/>
    <w:rsid w:val="007828A8"/>
    <w:rsid w:val="00782AB0"/>
    <w:rsid w:val="007833A8"/>
    <w:rsid w:val="007838F1"/>
    <w:rsid w:val="007841E7"/>
    <w:rsid w:val="007841F6"/>
    <w:rsid w:val="007842C8"/>
    <w:rsid w:val="007845D2"/>
    <w:rsid w:val="00784B4B"/>
    <w:rsid w:val="007853AA"/>
    <w:rsid w:val="00785B89"/>
    <w:rsid w:val="00785C63"/>
    <w:rsid w:val="00785CF0"/>
    <w:rsid w:val="00787428"/>
    <w:rsid w:val="00790C70"/>
    <w:rsid w:val="00790EA8"/>
    <w:rsid w:val="00791256"/>
    <w:rsid w:val="007925D8"/>
    <w:rsid w:val="00792719"/>
    <w:rsid w:val="007937E9"/>
    <w:rsid w:val="00793FC1"/>
    <w:rsid w:val="007949A0"/>
    <w:rsid w:val="00794C9E"/>
    <w:rsid w:val="00794E65"/>
    <w:rsid w:val="00796203"/>
    <w:rsid w:val="0079672D"/>
    <w:rsid w:val="007971BF"/>
    <w:rsid w:val="007A0D3A"/>
    <w:rsid w:val="007A33E9"/>
    <w:rsid w:val="007A394A"/>
    <w:rsid w:val="007A41C4"/>
    <w:rsid w:val="007A4997"/>
    <w:rsid w:val="007A5CBE"/>
    <w:rsid w:val="007A65B8"/>
    <w:rsid w:val="007A65C8"/>
    <w:rsid w:val="007A6622"/>
    <w:rsid w:val="007A7073"/>
    <w:rsid w:val="007B0253"/>
    <w:rsid w:val="007B0C0F"/>
    <w:rsid w:val="007B1690"/>
    <w:rsid w:val="007B3477"/>
    <w:rsid w:val="007B39B0"/>
    <w:rsid w:val="007B404C"/>
    <w:rsid w:val="007B4185"/>
    <w:rsid w:val="007B4878"/>
    <w:rsid w:val="007B56D0"/>
    <w:rsid w:val="007B5ADD"/>
    <w:rsid w:val="007B6156"/>
    <w:rsid w:val="007B691F"/>
    <w:rsid w:val="007B6BFD"/>
    <w:rsid w:val="007B715C"/>
    <w:rsid w:val="007B7E1B"/>
    <w:rsid w:val="007B7FAF"/>
    <w:rsid w:val="007C0B5D"/>
    <w:rsid w:val="007C1531"/>
    <w:rsid w:val="007C39B6"/>
    <w:rsid w:val="007C3A27"/>
    <w:rsid w:val="007C3FED"/>
    <w:rsid w:val="007C4D0E"/>
    <w:rsid w:val="007C4D55"/>
    <w:rsid w:val="007C4DA2"/>
    <w:rsid w:val="007C4E8B"/>
    <w:rsid w:val="007C57BC"/>
    <w:rsid w:val="007C5CDD"/>
    <w:rsid w:val="007C5EFB"/>
    <w:rsid w:val="007C6738"/>
    <w:rsid w:val="007C67DB"/>
    <w:rsid w:val="007C76F8"/>
    <w:rsid w:val="007D02C7"/>
    <w:rsid w:val="007D081B"/>
    <w:rsid w:val="007D1D6A"/>
    <w:rsid w:val="007D256E"/>
    <w:rsid w:val="007D2E7B"/>
    <w:rsid w:val="007D39A7"/>
    <w:rsid w:val="007D3B0F"/>
    <w:rsid w:val="007D4317"/>
    <w:rsid w:val="007D4AA5"/>
    <w:rsid w:val="007D5C3A"/>
    <w:rsid w:val="007D72EF"/>
    <w:rsid w:val="007E03F7"/>
    <w:rsid w:val="007E0621"/>
    <w:rsid w:val="007E06C1"/>
    <w:rsid w:val="007E1062"/>
    <w:rsid w:val="007E158B"/>
    <w:rsid w:val="007E1E49"/>
    <w:rsid w:val="007E225D"/>
    <w:rsid w:val="007E2EAA"/>
    <w:rsid w:val="007E50D4"/>
    <w:rsid w:val="007E5C76"/>
    <w:rsid w:val="007E6212"/>
    <w:rsid w:val="007E6892"/>
    <w:rsid w:val="007E705B"/>
    <w:rsid w:val="007E7C9E"/>
    <w:rsid w:val="007F05D7"/>
    <w:rsid w:val="007F063E"/>
    <w:rsid w:val="007F0EE9"/>
    <w:rsid w:val="007F110E"/>
    <w:rsid w:val="007F112F"/>
    <w:rsid w:val="007F2748"/>
    <w:rsid w:val="007F2F3E"/>
    <w:rsid w:val="007F2F50"/>
    <w:rsid w:val="007F304C"/>
    <w:rsid w:val="007F329E"/>
    <w:rsid w:val="007F53E3"/>
    <w:rsid w:val="007F5A22"/>
    <w:rsid w:val="007F5FE4"/>
    <w:rsid w:val="007F6018"/>
    <w:rsid w:val="007F607F"/>
    <w:rsid w:val="007F7113"/>
    <w:rsid w:val="00800F5C"/>
    <w:rsid w:val="008015B9"/>
    <w:rsid w:val="00801B4F"/>
    <w:rsid w:val="00802184"/>
    <w:rsid w:val="00802391"/>
    <w:rsid w:val="00802752"/>
    <w:rsid w:val="00802D5F"/>
    <w:rsid w:val="008034F0"/>
    <w:rsid w:val="008047FF"/>
    <w:rsid w:val="0080492C"/>
    <w:rsid w:val="00804965"/>
    <w:rsid w:val="00805547"/>
    <w:rsid w:val="0080623A"/>
    <w:rsid w:val="00806F6C"/>
    <w:rsid w:val="008078B0"/>
    <w:rsid w:val="00807DF9"/>
    <w:rsid w:val="0081076D"/>
    <w:rsid w:val="00810E4F"/>
    <w:rsid w:val="00811236"/>
    <w:rsid w:val="0081158C"/>
    <w:rsid w:val="008115EF"/>
    <w:rsid w:val="008124A1"/>
    <w:rsid w:val="00812560"/>
    <w:rsid w:val="00812732"/>
    <w:rsid w:val="0081273B"/>
    <w:rsid w:val="00813AD7"/>
    <w:rsid w:val="00814686"/>
    <w:rsid w:val="00814E5C"/>
    <w:rsid w:val="008158B4"/>
    <w:rsid w:val="00815B27"/>
    <w:rsid w:val="00815E5F"/>
    <w:rsid w:val="00816930"/>
    <w:rsid w:val="0081780C"/>
    <w:rsid w:val="008179A3"/>
    <w:rsid w:val="00817B5A"/>
    <w:rsid w:val="00820052"/>
    <w:rsid w:val="00820156"/>
    <w:rsid w:val="008202C1"/>
    <w:rsid w:val="00820C47"/>
    <w:rsid w:val="00821F2F"/>
    <w:rsid w:val="0082288C"/>
    <w:rsid w:val="00822920"/>
    <w:rsid w:val="00822A7D"/>
    <w:rsid w:val="00824B6E"/>
    <w:rsid w:val="00825628"/>
    <w:rsid w:val="0082584E"/>
    <w:rsid w:val="00825D91"/>
    <w:rsid w:val="0082604F"/>
    <w:rsid w:val="00826063"/>
    <w:rsid w:val="00826844"/>
    <w:rsid w:val="008306CB"/>
    <w:rsid w:val="00830AE8"/>
    <w:rsid w:val="00830F43"/>
    <w:rsid w:val="00831884"/>
    <w:rsid w:val="008322BC"/>
    <w:rsid w:val="008324A1"/>
    <w:rsid w:val="00832590"/>
    <w:rsid w:val="008333A3"/>
    <w:rsid w:val="00833AA6"/>
    <w:rsid w:val="00834E34"/>
    <w:rsid w:val="00835073"/>
    <w:rsid w:val="0083528C"/>
    <w:rsid w:val="00835514"/>
    <w:rsid w:val="00835850"/>
    <w:rsid w:val="00835F24"/>
    <w:rsid w:val="008363C0"/>
    <w:rsid w:val="00836842"/>
    <w:rsid w:val="00836B58"/>
    <w:rsid w:val="00836B6D"/>
    <w:rsid w:val="00836D30"/>
    <w:rsid w:val="00836E95"/>
    <w:rsid w:val="00837035"/>
    <w:rsid w:val="00837063"/>
    <w:rsid w:val="008379DE"/>
    <w:rsid w:val="00837F72"/>
    <w:rsid w:val="008402E1"/>
    <w:rsid w:val="00840922"/>
    <w:rsid w:val="00841C41"/>
    <w:rsid w:val="008425BE"/>
    <w:rsid w:val="0084313B"/>
    <w:rsid w:val="008433C9"/>
    <w:rsid w:val="00843862"/>
    <w:rsid w:val="00844D8C"/>
    <w:rsid w:val="00846008"/>
    <w:rsid w:val="00846AD6"/>
    <w:rsid w:val="00846BBB"/>
    <w:rsid w:val="0084792E"/>
    <w:rsid w:val="00847EF8"/>
    <w:rsid w:val="0085034A"/>
    <w:rsid w:val="008505C5"/>
    <w:rsid w:val="00850C15"/>
    <w:rsid w:val="00851318"/>
    <w:rsid w:val="008517FE"/>
    <w:rsid w:val="00851B08"/>
    <w:rsid w:val="00852598"/>
    <w:rsid w:val="00852A24"/>
    <w:rsid w:val="0085311A"/>
    <w:rsid w:val="008531B7"/>
    <w:rsid w:val="00853711"/>
    <w:rsid w:val="008537D7"/>
    <w:rsid w:val="00854071"/>
    <w:rsid w:val="00854127"/>
    <w:rsid w:val="00854AF4"/>
    <w:rsid w:val="00854D60"/>
    <w:rsid w:val="00854EE3"/>
    <w:rsid w:val="008557C0"/>
    <w:rsid w:val="00855D17"/>
    <w:rsid w:val="00855E00"/>
    <w:rsid w:val="00856ECD"/>
    <w:rsid w:val="0085755B"/>
    <w:rsid w:val="00857F0B"/>
    <w:rsid w:val="008603D3"/>
    <w:rsid w:val="008606D7"/>
    <w:rsid w:val="00860D87"/>
    <w:rsid w:val="00860F63"/>
    <w:rsid w:val="008619B7"/>
    <w:rsid w:val="00862730"/>
    <w:rsid w:val="00862DD8"/>
    <w:rsid w:val="008641C6"/>
    <w:rsid w:val="00864462"/>
    <w:rsid w:val="008650A6"/>
    <w:rsid w:val="008652A1"/>
    <w:rsid w:val="00866A48"/>
    <w:rsid w:val="00867F53"/>
    <w:rsid w:val="00870CC1"/>
    <w:rsid w:val="00871091"/>
    <w:rsid w:val="0087118D"/>
    <w:rsid w:val="008716EB"/>
    <w:rsid w:val="00873668"/>
    <w:rsid w:val="00874355"/>
    <w:rsid w:val="00875023"/>
    <w:rsid w:val="0087522B"/>
    <w:rsid w:val="00875439"/>
    <w:rsid w:val="0087577E"/>
    <w:rsid w:val="008808EC"/>
    <w:rsid w:val="00882A47"/>
    <w:rsid w:val="00882AF2"/>
    <w:rsid w:val="00882E06"/>
    <w:rsid w:val="008831CE"/>
    <w:rsid w:val="00883CA1"/>
    <w:rsid w:val="00883F15"/>
    <w:rsid w:val="00884678"/>
    <w:rsid w:val="00885880"/>
    <w:rsid w:val="00885BE0"/>
    <w:rsid w:val="00885DCC"/>
    <w:rsid w:val="0088603C"/>
    <w:rsid w:val="008866C0"/>
    <w:rsid w:val="00886849"/>
    <w:rsid w:val="008868DB"/>
    <w:rsid w:val="0088704F"/>
    <w:rsid w:val="008876B8"/>
    <w:rsid w:val="00887860"/>
    <w:rsid w:val="00887F6E"/>
    <w:rsid w:val="00890359"/>
    <w:rsid w:val="0089112E"/>
    <w:rsid w:val="008911E7"/>
    <w:rsid w:val="008918A2"/>
    <w:rsid w:val="0089227E"/>
    <w:rsid w:val="008922FF"/>
    <w:rsid w:val="00892EA0"/>
    <w:rsid w:val="00892FF9"/>
    <w:rsid w:val="00894408"/>
    <w:rsid w:val="00896666"/>
    <w:rsid w:val="008969CE"/>
    <w:rsid w:val="00896A87"/>
    <w:rsid w:val="00896DF1"/>
    <w:rsid w:val="00896F39"/>
    <w:rsid w:val="00897BB9"/>
    <w:rsid w:val="008A0547"/>
    <w:rsid w:val="008A0936"/>
    <w:rsid w:val="008A102C"/>
    <w:rsid w:val="008A11F4"/>
    <w:rsid w:val="008A197E"/>
    <w:rsid w:val="008A289A"/>
    <w:rsid w:val="008A2B53"/>
    <w:rsid w:val="008A4B84"/>
    <w:rsid w:val="008A59DC"/>
    <w:rsid w:val="008A5DD0"/>
    <w:rsid w:val="008A6888"/>
    <w:rsid w:val="008A6A40"/>
    <w:rsid w:val="008A6B9C"/>
    <w:rsid w:val="008A6F10"/>
    <w:rsid w:val="008A74E0"/>
    <w:rsid w:val="008B0BF4"/>
    <w:rsid w:val="008B290D"/>
    <w:rsid w:val="008B2D35"/>
    <w:rsid w:val="008B46AE"/>
    <w:rsid w:val="008B4AA7"/>
    <w:rsid w:val="008B555C"/>
    <w:rsid w:val="008B5BEA"/>
    <w:rsid w:val="008B6401"/>
    <w:rsid w:val="008B6A7A"/>
    <w:rsid w:val="008B6E30"/>
    <w:rsid w:val="008B6E99"/>
    <w:rsid w:val="008C0C40"/>
    <w:rsid w:val="008C1481"/>
    <w:rsid w:val="008C2582"/>
    <w:rsid w:val="008C520F"/>
    <w:rsid w:val="008C52EC"/>
    <w:rsid w:val="008C564A"/>
    <w:rsid w:val="008C6A21"/>
    <w:rsid w:val="008C743D"/>
    <w:rsid w:val="008C7481"/>
    <w:rsid w:val="008D05FD"/>
    <w:rsid w:val="008D0DF2"/>
    <w:rsid w:val="008D4BDC"/>
    <w:rsid w:val="008D5AE1"/>
    <w:rsid w:val="008D622B"/>
    <w:rsid w:val="008D65D6"/>
    <w:rsid w:val="008D6D05"/>
    <w:rsid w:val="008D74FC"/>
    <w:rsid w:val="008E1A02"/>
    <w:rsid w:val="008E1A2C"/>
    <w:rsid w:val="008E1BE1"/>
    <w:rsid w:val="008E20D0"/>
    <w:rsid w:val="008E2741"/>
    <w:rsid w:val="008E2973"/>
    <w:rsid w:val="008E3269"/>
    <w:rsid w:val="008E3B21"/>
    <w:rsid w:val="008E43E6"/>
    <w:rsid w:val="008E4B8C"/>
    <w:rsid w:val="008E6763"/>
    <w:rsid w:val="008E678D"/>
    <w:rsid w:val="008E68E0"/>
    <w:rsid w:val="008E6F3B"/>
    <w:rsid w:val="008E6FC9"/>
    <w:rsid w:val="008F07A9"/>
    <w:rsid w:val="008F148F"/>
    <w:rsid w:val="008F1772"/>
    <w:rsid w:val="008F20A9"/>
    <w:rsid w:val="008F270A"/>
    <w:rsid w:val="008F2E1D"/>
    <w:rsid w:val="008F3705"/>
    <w:rsid w:val="008F3A11"/>
    <w:rsid w:val="008F3C25"/>
    <w:rsid w:val="008F417B"/>
    <w:rsid w:val="008F51F2"/>
    <w:rsid w:val="008F5A28"/>
    <w:rsid w:val="008F5B34"/>
    <w:rsid w:val="008F5D88"/>
    <w:rsid w:val="008F6099"/>
    <w:rsid w:val="008F6129"/>
    <w:rsid w:val="008F64CC"/>
    <w:rsid w:val="008F6652"/>
    <w:rsid w:val="008F6F29"/>
    <w:rsid w:val="008F793C"/>
    <w:rsid w:val="008F7C3D"/>
    <w:rsid w:val="00900290"/>
    <w:rsid w:val="009002DC"/>
    <w:rsid w:val="00900975"/>
    <w:rsid w:val="00900A38"/>
    <w:rsid w:val="00900F6F"/>
    <w:rsid w:val="0090136D"/>
    <w:rsid w:val="00902ADC"/>
    <w:rsid w:val="00903AB4"/>
    <w:rsid w:val="0090401E"/>
    <w:rsid w:val="00904DE0"/>
    <w:rsid w:val="00906212"/>
    <w:rsid w:val="00906423"/>
    <w:rsid w:val="00906669"/>
    <w:rsid w:val="00907756"/>
    <w:rsid w:val="0091087B"/>
    <w:rsid w:val="00911254"/>
    <w:rsid w:val="00911A78"/>
    <w:rsid w:val="00911AB8"/>
    <w:rsid w:val="00911BE4"/>
    <w:rsid w:val="00912544"/>
    <w:rsid w:val="00912B56"/>
    <w:rsid w:val="00912C81"/>
    <w:rsid w:val="00913014"/>
    <w:rsid w:val="0091303D"/>
    <w:rsid w:val="0091303F"/>
    <w:rsid w:val="00913275"/>
    <w:rsid w:val="0091439E"/>
    <w:rsid w:val="0091501F"/>
    <w:rsid w:val="00915ED3"/>
    <w:rsid w:val="00916157"/>
    <w:rsid w:val="00916CC3"/>
    <w:rsid w:val="009179C7"/>
    <w:rsid w:val="00917A95"/>
    <w:rsid w:val="009205D5"/>
    <w:rsid w:val="0092062F"/>
    <w:rsid w:val="009208AE"/>
    <w:rsid w:val="00920A20"/>
    <w:rsid w:val="00920D2B"/>
    <w:rsid w:val="00920E2F"/>
    <w:rsid w:val="00920FA3"/>
    <w:rsid w:val="00921526"/>
    <w:rsid w:val="009215A0"/>
    <w:rsid w:val="00922022"/>
    <w:rsid w:val="00922D03"/>
    <w:rsid w:val="0092311C"/>
    <w:rsid w:val="00924095"/>
    <w:rsid w:val="00924885"/>
    <w:rsid w:val="00926701"/>
    <w:rsid w:val="00927313"/>
    <w:rsid w:val="0093080A"/>
    <w:rsid w:val="0093211D"/>
    <w:rsid w:val="009332F1"/>
    <w:rsid w:val="00933495"/>
    <w:rsid w:val="00933BE3"/>
    <w:rsid w:val="00933D79"/>
    <w:rsid w:val="009340B6"/>
    <w:rsid w:val="0093430B"/>
    <w:rsid w:val="00934C69"/>
    <w:rsid w:val="00935327"/>
    <w:rsid w:val="00935A61"/>
    <w:rsid w:val="00935ED7"/>
    <w:rsid w:val="009365F9"/>
    <w:rsid w:val="00936AFE"/>
    <w:rsid w:val="00936C49"/>
    <w:rsid w:val="00937AC3"/>
    <w:rsid w:val="00937CAB"/>
    <w:rsid w:val="00937CE3"/>
    <w:rsid w:val="00937E71"/>
    <w:rsid w:val="00937E89"/>
    <w:rsid w:val="009403BF"/>
    <w:rsid w:val="00940474"/>
    <w:rsid w:val="00940E66"/>
    <w:rsid w:val="00941478"/>
    <w:rsid w:val="00941C83"/>
    <w:rsid w:val="00942AD4"/>
    <w:rsid w:val="009431B3"/>
    <w:rsid w:val="00943349"/>
    <w:rsid w:val="00944491"/>
    <w:rsid w:val="00945055"/>
    <w:rsid w:val="009457FA"/>
    <w:rsid w:val="009479E0"/>
    <w:rsid w:val="00950372"/>
    <w:rsid w:val="00950D46"/>
    <w:rsid w:val="00952043"/>
    <w:rsid w:val="00952644"/>
    <w:rsid w:val="00952B1F"/>
    <w:rsid w:val="009536A9"/>
    <w:rsid w:val="0095390E"/>
    <w:rsid w:val="00953BD3"/>
    <w:rsid w:val="009541AF"/>
    <w:rsid w:val="00954B59"/>
    <w:rsid w:val="00954C02"/>
    <w:rsid w:val="009560A1"/>
    <w:rsid w:val="00956B8F"/>
    <w:rsid w:val="009571EA"/>
    <w:rsid w:val="0095776C"/>
    <w:rsid w:val="009613DD"/>
    <w:rsid w:val="00961784"/>
    <w:rsid w:val="009626FE"/>
    <w:rsid w:val="00962760"/>
    <w:rsid w:val="00962AC2"/>
    <w:rsid w:val="0096320A"/>
    <w:rsid w:val="0096321A"/>
    <w:rsid w:val="00963AC3"/>
    <w:rsid w:val="009649F2"/>
    <w:rsid w:val="009650E6"/>
    <w:rsid w:val="009669E4"/>
    <w:rsid w:val="00966EC6"/>
    <w:rsid w:val="009673C3"/>
    <w:rsid w:val="00967DD7"/>
    <w:rsid w:val="009701F8"/>
    <w:rsid w:val="0097092F"/>
    <w:rsid w:val="00972040"/>
    <w:rsid w:val="00972729"/>
    <w:rsid w:val="00972A6F"/>
    <w:rsid w:val="00972E5F"/>
    <w:rsid w:val="0097318D"/>
    <w:rsid w:val="00973665"/>
    <w:rsid w:val="0097398F"/>
    <w:rsid w:val="009745EE"/>
    <w:rsid w:val="00974B00"/>
    <w:rsid w:val="00975415"/>
    <w:rsid w:val="00976320"/>
    <w:rsid w:val="009766BB"/>
    <w:rsid w:val="00976D74"/>
    <w:rsid w:val="00977937"/>
    <w:rsid w:val="00977958"/>
    <w:rsid w:val="00977A67"/>
    <w:rsid w:val="00980C99"/>
    <w:rsid w:val="00981835"/>
    <w:rsid w:val="00981AE6"/>
    <w:rsid w:val="00981CE6"/>
    <w:rsid w:val="00982A28"/>
    <w:rsid w:val="00983294"/>
    <w:rsid w:val="0098371D"/>
    <w:rsid w:val="00983DDA"/>
    <w:rsid w:val="00984530"/>
    <w:rsid w:val="009862AF"/>
    <w:rsid w:val="00986638"/>
    <w:rsid w:val="00987FFC"/>
    <w:rsid w:val="009901A5"/>
    <w:rsid w:val="0099149F"/>
    <w:rsid w:val="009934F6"/>
    <w:rsid w:val="00993D63"/>
    <w:rsid w:val="00993F3B"/>
    <w:rsid w:val="00994020"/>
    <w:rsid w:val="0099474A"/>
    <w:rsid w:val="00994B66"/>
    <w:rsid w:val="00994CF8"/>
    <w:rsid w:val="009953A6"/>
    <w:rsid w:val="00995C86"/>
    <w:rsid w:val="00995C89"/>
    <w:rsid w:val="00996B5F"/>
    <w:rsid w:val="00997097"/>
    <w:rsid w:val="00997432"/>
    <w:rsid w:val="00997765"/>
    <w:rsid w:val="0099790F"/>
    <w:rsid w:val="009A0467"/>
    <w:rsid w:val="009A0E5E"/>
    <w:rsid w:val="009A117A"/>
    <w:rsid w:val="009A176B"/>
    <w:rsid w:val="009A264E"/>
    <w:rsid w:val="009A2FEF"/>
    <w:rsid w:val="009A3680"/>
    <w:rsid w:val="009A3C14"/>
    <w:rsid w:val="009A3F07"/>
    <w:rsid w:val="009A442C"/>
    <w:rsid w:val="009A4CCC"/>
    <w:rsid w:val="009A5270"/>
    <w:rsid w:val="009A75A5"/>
    <w:rsid w:val="009A7A70"/>
    <w:rsid w:val="009B0144"/>
    <w:rsid w:val="009B05EB"/>
    <w:rsid w:val="009B1850"/>
    <w:rsid w:val="009B56E4"/>
    <w:rsid w:val="009B5A59"/>
    <w:rsid w:val="009B5A87"/>
    <w:rsid w:val="009B5E26"/>
    <w:rsid w:val="009B5F70"/>
    <w:rsid w:val="009B6432"/>
    <w:rsid w:val="009B788A"/>
    <w:rsid w:val="009B7B53"/>
    <w:rsid w:val="009C0488"/>
    <w:rsid w:val="009C0B93"/>
    <w:rsid w:val="009C2778"/>
    <w:rsid w:val="009C3453"/>
    <w:rsid w:val="009C5923"/>
    <w:rsid w:val="009C6623"/>
    <w:rsid w:val="009C6BFC"/>
    <w:rsid w:val="009C7AAB"/>
    <w:rsid w:val="009C7F68"/>
    <w:rsid w:val="009D03A6"/>
    <w:rsid w:val="009D0522"/>
    <w:rsid w:val="009D132B"/>
    <w:rsid w:val="009D2268"/>
    <w:rsid w:val="009D2B61"/>
    <w:rsid w:val="009D2FA8"/>
    <w:rsid w:val="009D3340"/>
    <w:rsid w:val="009D3581"/>
    <w:rsid w:val="009D36F5"/>
    <w:rsid w:val="009D37A2"/>
    <w:rsid w:val="009D3BD0"/>
    <w:rsid w:val="009D3D60"/>
    <w:rsid w:val="009D4067"/>
    <w:rsid w:val="009D46E9"/>
    <w:rsid w:val="009D4A07"/>
    <w:rsid w:val="009D4B28"/>
    <w:rsid w:val="009D65AE"/>
    <w:rsid w:val="009D70B2"/>
    <w:rsid w:val="009D7A30"/>
    <w:rsid w:val="009D7DD4"/>
    <w:rsid w:val="009E00EF"/>
    <w:rsid w:val="009E15E4"/>
    <w:rsid w:val="009E1C1C"/>
    <w:rsid w:val="009E1E5B"/>
    <w:rsid w:val="009E2576"/>
    <w:rsid w:val="009E3055"/>
    <w:rsid w:val="009E30B6"/>
    <w:rsid w:val="009E3971"/>
    <w:rsid w:val="009E39BC"/>
    <w:rsid w:val="009E4047"/>
    <w:rsid w:val="009E4F77"/>
    <w:rsid w:val="009E619B"/>
    <w:rsid w:val="009E635B"/>
    <w:rsid w:val="009E6857"/>
    <w:rsid w:val="009E6F1E"/>
    <w:rsid w:val="009E74AE"/>
    <w:rsid w:val="009E7D08"/>
    <w:rsid w:val="009F0172"/>
    <w:rsid w:val="009F0294"/>
    <w:rsid w:val="009F105C"/>
    <w:rsid w:val="009F13F2"/>
    <w:rsid w:val="009F149C"/>
    <w:rsid w:val="009F1FB2"/>
    <w:rsid w:val="009F23C3"/>
    <w:rsid w:val="009F2C64"/>
    <w:rsid w:val="009F3072"/>
    <w:rsid w:val="009F46E1"/>
    <w:rsid w:val="009F4AA2"/>
    <w:rsid w:val="009F4EC8"/>
    <w:rsid w:val="009F57AD"/>
    <w:rsid w:val="009F57EF"/>
    <w:rsid w:val="009F6CFF"/>
    <w:rsid w:val="009F72B6"/>
    <w:rsid w:val="009F7E0E"/>
    <w:rsid w:val="00A0115E"/>
    <w:rsid w:val="00A01222"/>
    <w:rsid w:val="00A0154A"/>
    <w:rsid w:val="00A01885"/>
    <w:rsid w:val="00A0188A"/>
    <w:rsid w:val="00A0200E"/>
    <w:rsid w:val="00A0274F"/>
    <w:rsid w:val="00A02BCF"/>
    <w:rsid w:val="00A02CA8"/>
    <w:rsid w:val="00A02EB9"/>
    <w:rsid w:val="00A042F3"/>
    <w:rsid w:val="00A0432F"/>
    <w:rsid w:val="00A0589A"/>
    <w:rsid w:val="00A05E57"/>
    <w:rsid w:val="00A06296"/>
    <w:rsid w:val="00A064FF"/>
    <w:rsid w:val="00A06D1C"/>
    <w:rsid w:val="00A06E3D"/>
    <w:rsid w:val="00A0749E"/>
    <w:rsid w:val="00A07703"/>
    <w:rsid w:val="00A10245"/>
    <w:rsid w:val="00A10596"/>
    <w:rsid w:val="00A10C79"/>
    <w:rsid w:val="00A11757"/>
    <w:rsid w:val="00A12E91"/>
    <w:rsid w:val="00A12EB8"/>
    <w:rsid w:val="00A12FB5"/>
    <w:rsid w:val="00A132F8"/>
    <w:rsid w:val="00A13A37"/>
    <w:rsid w:val="00A1415C"/>
    <w:rsid w:val="00A148E6"/>
    <w:rsid w:val="00A14B52"/>
    <w:rsid w:val="00A14DB1"/>
    <w:rsid w:val="00A15C49"/>
    <w:rsid w:val="00A17E2A"/>
    <w:rsid w:val="00A17F65"/>
    <w:rsid w:val="00A20A51"/>
    <w:rsid w:val="00A2126F"/>
    <w:rsid w:val="00A21F27"/>
    <w:rsid w:val="00A2284D"/>
    <w:rsid w:val="00A232AF"/>
    <w:rsid w:val="00A23F5F"/>
    <w:rsid w:val="00A24197"/>
    <w:rsid w:val="00A245D1"/>
    <w:rsid w:val="00A24CE0"/>
    <w:rsid w:val="00A2508E"/>
    <w:rsid w:val="00A265A3"/>
    <w:rsid w:val="00A26893"/>
    <w:rsid w:val="00A26FCC"/>
    <w:rsid w:val="00A27683"/>
    <w:rsid w:val="00A2779B"/>
    <w:rsid w:val="00A27D05"/>
    <w:rsid w:val="00A27F98"/>
    <w:rsid w:val="00A30108"/>
    <w:rsid w:val="00A3064E"/>
    <w:rsid w:val="00A30A94"/>
    <w:rsid w:val="00A312B3"/>
    <w:rsid w:val="00A317E5"/>
    <w:rsid w:val="00A32314"/>
    <w:rsid w:val="00A32917"/>
    <w:rsid w:val="00A33694"/>
    <w:rsid w:val="00A347DF"/>
    <w:rsid w:val="00A34888"/>
    <w:rsid w:val="00A34A9C"/>
    <w:rsid w:val="00A34B58"/>
    <w:rsid w:val="00A353BD"/>
    <w:rsid w:val="00A353DB"/>
    <w:rsid w:val="00A36BAF"/>
    <w:rsid w:val="00A36C20"/>
    <w:rsid w:val="00A3716E"/>
    <w:rsid w:val="00A3767F"/>
    <w:rsid w:val="00A4044F"/>
    <w:rsid w:val="00A40510"/>
    <w:rsid w:val="00A40555"/>
    <w:rsid w:val="00A408BA"/>
    <w:rsid w:val="00A4112E"/>
    <w:rsid w:val="00A4116D"/>
    <w:rsid w:val="00A418B7"/>
    <w:rsid w:val="00A426DB"/>
    <w:rsid w:val="00A4290C"/>
    <w:rsid w:val="00A436C6"/>
    <w:rsid w:val="00A43DC9"/>
    <w:rsid w:val="00A44401"/>
    <w:rsid w:val="00A4483C"/>
    <w:rsid w:val="00A448AF"/>
    <w:rsid w:val="00A448BB"/>
    <w:rsid w:val="00A44D6B"/>
    <w:rsid w:val="00A452E3"/>
    <w:rsid w:val="00A463A8"/>
    <w:rsid w:val="00A46627"/>
    <w:rsid w:val="00A47C38"/>
    <w:rsid w:val="00A512BF"/>
    <w:rsid w:val="00A517F2"/>
    <w:rsid w:val="00A527BF"/>
    <w:rsid w:val="00A529C7"/>
    <w:rsid w:val="00A53A71"/>
    <w:rsid w:val="00A53B42"/>
    <w:rsid w:val="00A54408"/>
    <w:rsid w:val="00A5484B"/>
    <w:rsid w:val="00A54E6C"/>
    <w:rsid w:val="00A550F4"/>
    <w:rsid w:val="00A553D6"/>
    <w:rsid w:val="00A554BD"/>
    <w:rsid w:val="00A55D41"/>
    <w:rsid w:val="00A55DBA"/>
    <w:rsid w:val="00A562FB"/>
    <w:rsid w:val="00A572D2"/>
    <w:rsid w:val="00A574F6"/>
    <w:rsid w:val="00A6187F"/>
    <w:rsid w:val="00A623E3"/>
    <w:rsid w:val="00A62EDA"/>
    <w:rsid w:val="00A632FA"/>
    <w:rsid w:val="00A63ADB"/>
    <w:rsid w:val="00A63DE9"/>
    <w:rsid w:val="00A644E3"/>
    <w:rsid w:val="00A646B8"/>
    <w:rsid w:val="00A65D9B"/>
    <w:rsid w:val="00A664FD"/>
    <w:rsid w:val="00A665D4"/>
    <w:rsid w:val="00A66F6C"/>
    <w:rsid w:val="00A67126"/>
    <w:rsid w:val="00A67FC3"/>
    <w:rsid w:val="00A67FE4"/>
    <w:rsid w:val="00A7049F"/>
    <w:rsid w:val="00A70616"/>
    <w:rsid w:val="00A70667"/>
    <w:rsid w:val="00A70835"/>
    <w:rsid w:val="00A72973"/>
    <w:rsid w:val="00A7307E"/>
    <w:rsid w:val="00A7384E"/>
    <w:rsid w:val="00A739D5"/>
    <w:rsid w:val="00A747D3"/>
    <w:rsid w:val="00A75F60"/>
    <w:rsid w:val="00A7722F"/>
    <w:rsid w:val="00A772A9"/>
    <w:rsid w:val="00A803D7"/>
    <w:rsid w:val="00A8064F"/>
    <w:rsid w:val="00A80D06"/>
    <w:rsid w:val="00A8172A"/>
    <w:rsid w:val="00A81CB1"/>
    <w:rsid w:val="00A820DB"/>
    <w:rsid w:val="00A82664"/>
    <w:rsid w:val="00A82919"/>
    <w:rsid w:val="00A82CC2"/>
    <w:rsid w:val="00A82E53"/>
    <w:rsid w:val="00A8340E"/>
    <w:rsid w:val="00A8368E"/>
    <w:rsid w:val="00A83B5E"/>
    <w:rsid w:val="00A8401D"/>
    <w:rsid w:val="00A846B4"/>
    <w:rsid w:val="00A84DA2"/>
    <w:rsid w:val="00A850A1"/>
    <w:rsid w:val="00A85588"/>
    <w:rsid w:val="00A85640"/>
    <w:rsid w:val="00A86F6D"/>
    <w:rsid w:val="00A905AD"/>
    <w:rsid w:val="00A90C62"/>
    <w:rsid w:val="00A90C97"/>
    <w:rsid w:val="00A91518"/>
    <w:rsid w:val="00A918B8"/>
    <w:rsid w:val="00A92647"/>
    <w:rsid w:val="00A9390F"/>
    <w:rsid w:val="00A93BAA"/>
    <w:rsid w:val="00A93CEC"/>
    <w:rsid w:val="00A93DB9"/>
    <w:rsid w:val="00A9457B"/>
    <w:rsid w:val="00A9515A"/>
    <w:rsid w:val="00A95864"/>
    <w:rsid w:val="00A967D2"/>
    <w:rsid w:val="00A96D90"/>
    <w:rsid w:val="00A974FE"/>
    <w:rsid w:val="00A9758D"/>
    <w:rsid w:val="00A97910"/>
    <w:rsid w:val="00AA0225"/>
    <w:rsid w:val="00AA0306"/>
    <w:rsid w:val="00AA09F6"/>
    <w:rsid w:val="00AA0BA0"/>
    <w:rsid w:val="00AA125C"/>
    <w:rsid w:val="00AA3CA5"/>
    <w:rsid w:val="00AA4A94"/>
    <w:rsid w:val="00AA4B58"/>
    <w:rsid w:val="00AA502C"/>
    <w:rsid w:val="00AA5948"/>
    <w:rsid w:val="00AA5F5B"/>
    <w:rsid w:val="00AA6135"/>
    <w:rsid w:val="00AA6595"/>
    <w:rsid w:val="00AA6E48"/>
    <w:rsid w:val="00AB010B"/>
    <w:rsid w:val="00AB0C32"/>
    <w:rsid w:val="00AB24AB"/>
    <w:rsid w:val="00AB2C30"/>
    <w:rsid w:val="00AB2FD1"/>
    <w:rsid w:val="00AB41B7"/>
    <w:rsid w:val="00AB4430"/>
    <w:rsid w:val="00AB4602"/>
    <w:rsid w:val="00AB46D9"/>
    <w:rsid w:val="00AB5FB7"/>
    <w:rsid w:val="00AB6CCD"/>
    <w:rsid w:val="00AB6CFE"/>
    <w:rsid w:val="00AC0150"/>
    <w:rsid w:val="00AC04F8"/>
    <w:rsid w:val="00AC06B8"/>
    <w:rsid w:val="00AC1082"/>
    <w:rsid w:val="00AC1581"/>
    <w:rsid w:val="00AC21A1"/>
    <w:rsid w:val="00AC26FE"/>
    <w:rsid w:val="00AC34E2"/>
    <w:rsid w:val="00AC3E12"/>
    <w:rsid w:val="00AC4356"/>
    <w:rsid w:val="00AC4C29"/>
    <w:rsid w:val="00AC6972"/>
    <w:rsid w:val="00AC7330"/>
    <w:rsid w:val="00AC73B3"/>
    <w:rsid w:val="00AC7428"/>
    <w:rsid w:val="00AC7C4F"/>
    <w:rsid w:val="00AD0010"/>
    <w:rsid w:val="00AD018C"/>
    <w:rsid w:val="00AD1B61"/>
    <w:rsid w:val="00AD2264"/>
    <w:rsid w:val="00AD2AFF"/>
    <w:rsid w:val="00AD2BBB"/>
    <w:rsid w:val="00AD2CA3"/>
    <w:rsid w:val="00AD334F"/>
    <w:rsid w:val="00AD4B48"/>
    <w:rsid w:val="00AD5041"/>
    <w:rsid w:val="00AD5FEE"/>
    <w:rsid w:val="00AD6034"/>
    <w:rsid w:val="00AD631A"/>
    <w:rsid w:val="00AD6709"/>
    <w:rsid w:val="00AD6C15"/>
    <w:rsid w:val="00AD724D"/>
    <w:rsid w:val="00AD74A6"/>
    <w:rsid w:val="00AD7E93"/>
    <w:rsid w:val="00AE0409"/>
    <w:rsid w:val="00AE05DB"/>
    <w:rsid w:val="00AE0610"/>
    <w:rsid w:val="00AE181E"/>
    <w:rsid w:val="00AE2073"/>
    <w:rsid w:val="00AE2228"/>
    <w:rsid w:val="00AE2636"/>
    <w:rsid w:val="00AE29EF"/>
    <w:rsid w:val="00AE3573"/>
    <w:rsid w:val="00AE4A60"/>
    <w:rsid w:val="00AE4BCA"/>
    <w:rsid w:val="00AE5C6A"/>
    <w:rsid w:val="00AE6EEF"/>
    <w:rsid w:val="00AE77FA"/>
    <w:rsid w:val="00AE7A1E"/>
    <w:rsid w:val="00AF0691"/>
    <w:rsid w:val="00AF0BB0"/>
    <w:rsid w:val="00AF0D69"/>
    <w:rsid w:val="00AF1DDC"/>
    <w:rsid w:val="00AF378F"/>
    <w:rsid w:val="00AF3B9C"/>
    <w:rsid w:val="00AF3F2D"/>
    <w:rsid w:val="00AF5441"/>
    <w:rsid w:val="00AF5DB1"/>
    <w:rsid w:val="00AF655D"/>
    <w:rsid w:val="00AF6EC2"/>
    <w:rsid w:val="00AF72AF"/>
    <w:rsid w:val="00B00278"/>
    <w:rsid w:val="00B020DD"/>
    <w:rsid w:val="00B02A1C"/>
    <w:rsid w:val="00B03E07"/>
    <w:rsid w:val="00B03FF7"/>
    <w:rsid w:val="00B040EF"/>
    <w:rsid w:val="00B0453C"/>
    <w:rsid w:val="00B0488B"/>
    <w:rsid w:val="00B048F2"/>
    <w:rsid w:val="00B05DD8"/>
    <w:rsid w:val="00B05E4A"/>
    <w:rsid w:val="00B06C48"/>
    <w:rsid w:val="00B1210F"/>
    <w:rsid w:val="00B123C1"/>
    <w:rsid w:val="00B12D49"/>
    <w:rsid w:val="00B14B9C"/>
    <w:rsid w:val="00B179D0"/>
    <w:rsid w:val="00B2157F"/>
    <w:rsid w:val="00B21E31"/>
    <w:rsid w:val="00B21E6A"/>
    <w:rsid w:val="00B2275D"/>
    <w:rsid w:val="00B246C9"/>
    <w:rsid w:val="00B25509"/>
    <w:rsid w:val="00B258DD"/>
    <w:rsid w:val="00B25DDB"/>
    <w:rsid w:val="00B26C83"/>
    <w:rsid w:val="00B273BF"/>
    <w:rsid w:val="00B30116"/>
    <w:rsid w:val="00B304D5"/>
    <w:rsid w:val="00B30536"/>
    <w:rsid w:val="00B3087D"/>
    <w:rsid w:val="00B31646"/>
    <w:rsid w:val="00B31D30"/>
    <w:rsid w:val="00B322EA"/>
    <w:rsid w:val="00B329D3"/>
    <w:rsid w:val="00B33507"/>
    <w:rsid w:val="00B3369F"/>
    <w:rsid w:val="00B33BEA"/>
    <w:rsid w:val="00B342AE"/>
    <w:rsid w:val="00B34967"/>
    <w:rsid w:val="00B34978"/>
    <w:rsid w:val="00B35793"/>
    <w:rsid w:val="00B357AE"/>
    <w:rsid w:val="00B35CB1"/>
    <w:rsid w:val="00B36BA8"/>
    <w:rsid w:val="00B37010"/>
    <w:rsid w:val="00B4170F"/>
    <w:rsid w:val="00B42163"/>
    <w:rsid w:val="00B4222A"/>
    <w:rsid w:val="00B451E1"/>
    <w:rsid w:val="00B45780"/>
    <w:rsid w:val="00B457FE"/>
    <w:rsid w:val="00B47572"/>
    <w:rsid w:val="00B51624"/>
    <w:rsid w:val="00B51D5F"/>
    <w:rsid w:val="00B51E47"/>
    <w:rsid w:val="00B52295"/>
    <w:rsid w:val="00B52FE6"/>
    <w:rsid w:val="00B5305E"/>
    <w:rsid w:val="00B5344C"/>
    <w:rsid w:val="00B53FC3"/>
    <w:rsid w:val="00B553DC"/>
    <w:rsid w:val="00B555F7"/>
    <w:rsid w:val="00B55C2C"/>
    <w:rsid w:val="00B56019"/>
    <w:rsid w:val="00B56276"/>
    <w:rsid w:val="00B56BA8"/>
    <w:rsid w:val="00B57452"/>
    <w:rsid w:val="00B5795A"/>
    <w:rsid w:val="00B57D47"/>
    <w:rsid w:val="00B6072A"/>
    <w:rsid w:val="00B60AAE"/>
    <w:rsid w:val="00B61888"/>
    <w:rsid w:val="00B61BB6"/>
    <w:rsid w:val="00B623E4"/>
    <w:rsid w:val="00B62864"/>
    <w:rsid w:val="00B62E3E"/>
    <w:rsid w:val="00B62F3D"/>
    <w:rsid w:val="00B63F39"/>
    <w:rsid w:val="00B644FF"/>
    <w:rsid w:val="00B65FF5"/>
    <w:rsid w:val="00B6663E"/>
    <w:rsid w:val="00B66FA5"/>
    <w:rsid w:val="00B66FF1"/>
    <w:rsid w:val="00B67434"/>
    <w:rsid w:val="00B67CD8"/>
    <w:rsid w:val="00B67D52"/>
    <w:rsid w:val="00B67ED9"/>
    <w:rsid w:val="00B70329"/>
    <w:rsid w:val="00B7038C"/>
    <w:rsid w:val="00B706A7"/>
    <w:rsid w:val="00B709D5"/>
    <w:rsid w:val="00B70BAE"/>
    <w:rsid w:val="00B7133A"/>
    <w:rsid w:val="00B713AD"/>
    <w:rsid w:val="00B713D4"/>
    <w:rsid w:val="00B71A57"/>
    <w:rsid w:val="00B7269F"/>
    <w:rsid w:val="00B731A5"/>
    <w:rsid w:val="00B7442F"/>
    <w:rsid w:val="00B747D3"/>
    <w:rsid w:val="00B748BE"/>
    <w:rsid w:val="00B750C3"/>
    <w:rsid w:val="00B75D02"/>
    <w:rsid w:val="00B764C9"/>
    <w:rsid w:val="00B767A7"/>
    <w:rsid w:val="00B77286"/>
    <w:rsid w:val="00B77ECF"/>
    <w:rsid w:val="00B8051E"/>
    <w:rsid w:val="00B815F3"/>
    <w:rsid w:val="00B821D5"/>
    <w:rsid w:val="00B82550"/>
    <w:rsid w:val="00B8601C"/>
    <w:rsid w:val="00B8668F"/>
    <w:rsid w:val="00B86840"/>
    <w:rsid w:val="00B86BBE"/>
    <w:rsid w:val="00B86FBE"/>
    <w:rsid w:val="00B8772A"/>
    <w:rsid w:val="00B87AD6"/>
    <w:rsid w:val="00B87C94"/>
    <w:rsid w:val="00B87DC9"/>
    <w:rsid w:val="00B906C5"/>
    <w:rsid w:val="00B910EF"/>
    <w:rsid w:val="00B91CCE"/>
    <w:rsid w:val="00B91D01"/>
    <w:rsid w:val="00B92745"/>
    <w:rsid w:val="00B92DC5"/>
    <w:rsid w:val="00B931B1"/>
    <w:rsid w:val="00B93364"/>
    <w:rsid w:val="00B93693"/>
    <w:rsid w:val="00B93696"/>
    <w:rsid w:val="00B93A0A"/>
    <w:rsid w:val="00B93F08"/>
    <w:rsid w:val="00B95C90"/>
    <w:rsid w:val="00B95DDA"/>
    <w:rsid w:val="00B96966"/>
    <w:rsid w:val="00B96C47"/>
    <w:rsid w:val="00BA01C2"/>
    <w:rsid w:val="00BA03BA"/>
    <w:rsid w:val="00BA0470"/>
    <w:rsid w:val="00BA19D1"/>
    <w:rsid w:val="00BA24E6"/>
    <w:rsid w:val="00BA2DFC"/>
    <w:rsid w:val="00BA3D40"/>
    <w:rsid w:val="00BA3D77"/>
    <w:rsid w:val="00BA4294"/>
    <w:rsid w:val="00BA47ED"/>
    <w:rsid w:val="00BA4D85"/>
    <w:rsid w:val="00BA5482"/>
    <w:rsid w:val="00BA5A93"/>
    <w:rsid w:val="00BA5D55"/>
    <w:rsid w:val="00BA6488"/>
    <w:rsid w:val="00BA653C"/>
    <w:rsid w:val="00BA68C6"/>
    <w:rsid w:val="00BA7574"/>
    <w:rsid w:val="00BA7795"/>
    <w:rsid w:val="00BA7D63"/>
    <w:rsid w:val="00BA7DA4"/>
    <w:rsid w:val="00BB0058"/>
    <w:rsid w:val="00BB01C8"/>
    <w:rsid w:val="00BB12FB"/>
    <w:rsid w:val="00BB1FD6"/>
    <w:rsid w:val="00BB24BF"/>
    <w:rsid w:val="00BB27C9"/>
    <w:rsid w:val="00BB283E"/>
    <w:rsid w:val="00BB29E9"/>
    <w:rsid w:val="00BB3224"/>
    <w:rsid w:val="00BB347C"/>
    <w:rsid w:val="00BB3556"/>
    <w:rsid w:val="00BB3C83"/>
    <w:rsid w:val="00BB3D0B"/>
    <w:rsid w:val="00BB3F9E"/>
    <w:rsid w:val="00BB45AE"/>
    <w:rsid w:val="00BB4CB8"/>
    <w:rsid w:val="00BB5BE6"/>
    <w:rsid w:val="00BB6AFE"/>
    <w:rsid w:val="00BB6BA3"/>
    <w:rsid w:val="00BC0E9F"/>
    <w:rsid w:val="00BC13CC"/>
    <w:rsid w:val="00BC1566"/>
    <w:rsid w:val="00BC1BE8"/>
    <w:rsid w:val="00BC357D"/>
    <w:rsid w:val="00BC3C6A"/>
    <w:rsid w:val="00BC484D"/>
    <w:rsid w:val="00BC5111"/>
    <w:rsid w:val="00BC56B2"/>
    <w:rsid w:val="00BC5ADA"/>
    <w:rsid w:val="00BC6501"/>
    <w:rsid w:val="00BC68FB"/>
    <w:rsid w:val="00BC6DE9"/>
    <w:rsid w:val="00BC720A"/>
    <w:rsid w:val="00BC73C5"/>
    <w:rsid w:val="00BC7FBE"/>
    <w:rsid w:val="00BD0C81"/>
    <w:rsid w:val="00BD29B5"/>
    <w:rsid w:val="00BD29FA"/>
    <w:rsid w:val="00BD3A6E"/>
    <w:rsid w:val="00BD3C38"/>
    <w:rsid w:val="00BD3CE7"/>
    <w:rsid w:val="00BD3E98"/>
    <w:rsid w:val="00BD58F3"/>
    <w:rsid w:val="00BD5B6C"/>
    <w:rsid w:val="00BD6173"/>
    <w:rsid w:val="00BD6670"/>
    <w:rsid w:val="00BD6C21"/>
    <w:rsid w:val="00BE0219"/>
    <w:rsid w:val="00BE0958"/>
    <w:rsid w:val="00BE0BC4"/>
    <w:rsid w:val="00BE0C16"/>
    <w:rsid w:val="00BE0CCC"/>
    <w:rsid w:val="00BE252A"/>
    <w:rsid w:val="00BE3487"/>
    <w:rsid w:val="00BE361B"/>
    <w:rsid w:val="00BE3934"/>
    <w:rsid w:val="00BE3B32"/>
    <w:rsid w:val="00BE553E"/>
    <w:rsid w:val="00BE5713"/>
    <w:rsid w:val="00BE619E"/>
    <w:rsid w:val="00BE6337"/>
    <w:rsid w:val="00BE71E3"/>
    <w:rsid w:val="00BF05ED"/>
    <w:rsid w:val="00BF0A32"/>
    <w:rsid w:val="00BF1054"/>
    <w:rsid w:val="00BF1255"/>
    <w:rsid w:val="00BF1E54"/>
    <w:rsid w:val="00BF2194"/>
    <w:rsid w:val="00BF2659"/>
    <w:rsid w:val="00BF2BC9"/>
    <w:rsid w:val="00BF3AC7"/>
    <w:rsid w:val="00BF414A"/>
    <w:rsid w:val="00BF4912"/>
    <w:rsid w:val="00BF5734"/>
    <w:rsid w:val="00BF578D"/>
    <w:rsid w:val="00BF5A22"/>
    <w:rsid w:val="00BF5CEA"/>
    <w:rsid w:val="00BF5E3E"/>
    <w:rsid w:val="00BF6BB6"/>
    <w:rsid w:val="00BF6F6A"/>
    <w:rsid w:val="00C0066C"/>
    <w:rsid w:val="00C013DC"/>
    <w:rsid w:val="00C014B2"/>
    <w:rsid w:val="00C016A9"/>
    <w:rsid w:val="00C01BCB"/>
    <w:rsid w:val="00C01C1F"/>
    <w:rsid w:val="00C02792"/>
    <w:rsid w:val="00C03570"/>
    <w:rsid w:val="00C0374B"/>
    <w:rsid w:val="00C037EA"/>
    <w:rsid w:val="00C03A02"/>
    <w:rsid w:val="00C03F5A"/>
    <w:rsid w:val="00C03F79"/>
    <w:rsid w:val="00C0420D"/>
    <w:rsid w:val="00C052EB"/>
    <w:rsid w:val="00C057DF"/>
    <w:rsid w:val="00C05924"/>
    <w:rsid w:val="00C05C04"/>
    <w:rsid w:val="00C05CB6"/>
    <w:rsid w:val="00C05EDE"/>
    <w:rsid w:val="00C062DF"/>
    <w:rsid w:val="00C06589"/>
    <w:rsid w:val="00C066EA"/>
    <w:rsid w:val="00C06791"/>
    <w:rsid w:val="00C06FF6"/>
    <w:rsid w:val="00C07DAA"/>
    <w:rsid w:val="00C10BBA"/>
    <w:rsid w:val="00C10CE2"/>
    <w:rsid w:val="00C1119E"/>
    <w:rsid w:val="00C1178C"/>
    <w:rsid w:val="00C1211C"/>
    <w:rsid w:val="00C12543"/>
    <w:rsid w:val="00C12F46"/>
    <w:rsid w:val="00C13B78"/>
    <w:rsid w:val="00C14320"/>
    <w:rsid w:val="00C14E20"/>
    <w:rsid w:val="00C14EA2"/>
    <w:rsid w:val="00C16B35"/>
    <w:rsid w:val="00C178F1"/>
    <w:rsid w:val="00C2056A"/>
    <w:rsid w:val="00C2076A"/>
    <w:rsid w:val="00C208C4"/>
    <w:rsid w:val="00C212A8"/>
    <w:rsid w:val="00C2132C"/>
    <w:rsid w:val="00C213E3"/>
    <w:rsid w:val="00C2242D"/>
    <w:rsid w:val="00C22D97"/>
    <w:rsid w:val="00C22F9A"/>
    <w:rsid w:val="00C23FF0"/>
    <w:rsid w:val="00C24253"/>
    <w:rsid w:val="00C25059"/>
    <w:rsid w:val="00C257B9"/>
    <w:rsid w:val="00C25ABA"/>
    <w:rsid w:val="00C26255"/>
    <w:rsid w:val="00C262C3"/>
    <w:rsid w:val="00C26C92"/>
    <w:rsid w:val="00C27143"/>
    <w:rsid w:val="00C27637"/>
    <w:rsid w:val="00C27A2E"/>
    <w:rsid w:val="00C3075A"/>
    <w:rsid w:val="00C30A6A"/>
    <w:rsid w:val="00C30C7A"/>
    <w:rsid w:val="00C318D3"/>
    <w:rsid w:val="00C318ED"/>
    <w:rsid w:val="00C328DC"/>
    <w:rsid w:val="00C3290F"/>
    <w:rsid w:val="00C32C6A"/>
    <w:rsid w:val="00C3315E"/>
    <w:rsid w:val="00C33982"/>
    <w:rsid w:val="00C3439E"/>
    <w:rsid w:val="00C34B43"/>
    <w:rsid w:val="00C35192"/>
    <w:rsid w:val="00C352FF"/>
    <w:rsid w:val="00C35301"/>
    <w:rsid w:val="00C35598"/>
    <w:rsid w:val="00C3573B"/>
    <w:rsid w:val="00C35BF7"/>
    <w:rsid w:val="00C35D1E"/>
    <w:rsid w:val="00C35F2F"/>
    <w:rsid w:val="00C35FBA"/>
    <w:rsid w:val="00C369CA"/>
    <w:rsid w:val="00C4061F"/>
    <w:rsid w:val="00C411F0"/>
    <w:rsid w:val="00C41571"/>
    <w:rsid w:val="00C41A30"/>
    <w:rsid w:val="00C41CF1"/>
    <w:rsid w:val="00C426B2"/>
    <w:rsid w:val="00C42BA2"/>
    <w:rsid w:val="00C433E4"/>
    <w:rsid w:val="00C4340B"/>
    <w:rsid w:val="00C44D11"/>
    <w:rsid w:val="00C44F71"/>
    <w:rsid w:val="00C4676A"/>
    <w:rsid w:val="00C46824"/>
    <w:rsid w:val="00C46C71"/>
    <w:rsid w:val="00C47461"/>
    <w:rsid w:val="00C47769"/>
    <w:rsid w:val="00C50103"/>
    <w:rsid w:val="00C50F8E"/>
    <w:rsid w:val="00C5117A"/>
    <w:rsid w:val="00C51A91"/>
    <w:rsid w:val="00C53B92"/>
    <w:rsid w:val="00C54216"/>
    <w:rsid w:val="00C55C29"/>
    <w:rsid w:val="00C55D6D"/>
    <w:rsid w:val="00C57964"/>
    <w:rsid w:val="00C6015A"/>
    <w:rsid w:val="00C6088A"/>
    <w:rsid w:val="00C609CE"/>
    <w:rsid w:val="00C61470"/>
    <w:rsid w:val="00C614FA"/>
    <w:rsid w:val="00C6243B"/>
    <w:rsid w:val="00C65601"/>
    <w:rsid w:val="00C661E6"/>
    <w:rsid w:val="00C671E7"/>
    <w:rsid w:val="00C67C80"/>
    <w:rsid w:val="00C7118C"/>
    <w:rsid w:val="00C7134F"/>
    <w:rsid w:val="00C71A49"/>
    <w:rsid w:val="00C73110"/>
    <w:rsid w:val="00C73288"/>
    <w:rsid w:val="00C73454"/>
    <w:rsid w:val="00C74186"/>
    <w:rsid w:val="00C743AB"/>
    <w:rsid w:val="00C744A4"/>
    <w:rsid w:val="00C74624"/>
    <w:rsid w:val="00C757F4"/>
    <w:rsid w:val="00C75887"/>
    <w:rsid w:val="00C7615D"/>
    <w:rsid w:val="00C76405"/>
    <w:rsid w:val="00C76471"/>
    <w:rsid w:val="00C80368"/>
    <w:rsid w:val="00C806BE"/>
    <w:rsid w:val="00C80AB6"/>
    <w:rsid w:val="00C80D61"/>
    <w:rsid w:val="00C814B5"/>
    <w:rsid w:val="00C846FA"/>
    <w:rsid w:val="00C84B9C"/>
    <w:rsid w:val="00C85215"/>
    <w:rsid w:val="00C857C8"/>
    <w:rsid w:val="00C86FF9"/>
    <w:rsid w:val="00C87BB1"/>
    <w:rsid w:val="00C90D2A"/>
    <w:rsid w:val="00C90F3A"/>
    <w:rsid w:val="00C90FA0"/>
    <w:rsid w:val="00C91849"/>
    <w:rsid w:val="00C91EA0"/>
    <w:rsid w:val="00C9274F"/>
    <w:rsid w:val="00C93C19"/>
    <w:rsid w:val="00C94031"/>
    <w:rsid w:val="00C950E7"/>
    <w:rsid w:val="00C957B3"/>
    <w:rsid w:val="00C95C67"/>
    <w:rsid w:val="00C9690C"/>
    <w:rsid w:val="00CA02FA"/>
    <w:rsid w:val="00CA072E"/>
    <w:rsid w:val="00CA0839"/>
    <w:rsid w:val="00CA08FA"/>
    <w:rsid w:val="00CA0974"/>
    <w:rsid w:val="00CA20ED"/>
    <w:rsid w:val="00CA2664"/>
    <w:rsid w:val="00CA27BA"/>
    <w:rsid w:val="00CA3B1A"/>
    <w:rsid w:val="00CA3E01"/>
    <w:rsid w:val="00CA5B79"/>
    <w:rsid w:val="00CA5E78"/>
    <w:rsid w:val="00CA73F4"/>
    <w:rsid w:val="00CA74C7"/>
    <w:rsid w:val="00CB01B1"/>
    <w:rsid w:val="00CB1815"/>
    <w:rsid w:val="00CB2634"/>
    <w:rsid w:val="00CB3568"/>
    <w:rsid w:val="00CB4BDD"/>
    <w:rsid w:val="00CB5423"/>
    <w:rsid w:val="00CB5DF0"/>
    <w:rsid w:val="00CB7ECF"/>
    <w:rsid w:val="00CC0BE4"/>
    <w:rsid w:val="00CC1338"/>
    <w:rsid w:val="00CC16E7"/>
    <w:rsid w:val="00CC1A96"/>
    <w:rsid w:val="00CC1AC3"/>
    <w:rsid w:val="00CC23D3"/>
    <w:rsid w:val="00CC2417"/>
    <w:rsid w:val="00CC2491"/>
    <w:rsid w:val="00CC2B0B"/>
    <w:rsid w:val="00CC4BE1"/>
    <w:rsid w:val="00CC4CC6"/>
    <w:rsid w:val="00CC5B29"/>
    <w:rsid w:val="00CC5E41"/>
    <w:rsid w:val="00CC614C"/>
    <w:rsid w:val="00CC6C6D"/>
    <w:rsid w:val="00CC6FCF"/>
    <w:rsid w:val="00CC756F"/>
    <w:rsid w:val="00CC78C5"/>
    <w:rsid w:val="00CC7C00"/>
    <w:rsid w:val="00CC7EDD"/>
    <w:rsid w:val="00CD003E"/>
    <w:rsid w:val="00CD00C8"/>
    <w:rsid w:val="00CD0ACD"/>
    <w:rsid w:val="00CD0C88"/>
    <w:rsid w:val="00CD1A49"/>
    <w:rsid w:val="00CD1A57"/>
    <w:rsid w:val="00CD20FD"/>
    <w:rsid w:val="00CD2564"/>
    <w:rsid w:val="00CD27CF"/>
    <w:rsid w:val="00CD2859"/>
    <w:rsid w:val="00CD2F9A"/>
    <w:rsid w:val="00CD4B7A"/>
    <w:rsid w:val="00CD5FBB"/>
    <w:rsid w:val="00CD6560"/>
    <w:rsid w:val="00CD7071"/>
    <w:rsid w:val="00CE0BBD"/>
    <w:rsid w:val="00CE106C"/>
    <w:rsid w:val="00CE1C24"/>
    <w:rsid w:val="00CE1F97"/>
    <w:rsid w:val="00CE2214"/>
    <w:rsid w:val="00CE2840"/>
    <w:rsid w:val="00CE3121"/>
    <w:rsid w:val="00CE3579"/>
    <w:rsid w:val="00CE44DB"/>
    <w:rsid w:val="00CE4C96"/>
    <w:rsid w:val="00CE514C"/>
    <w:rsid w:val="00CE6C5A"/>
    <w:rsid w:val="00CF033A"/>
    <w:rsid w:val="00CF03E5"/>
    <w:rsid w:val="00CF076A"/>
    <w:rsid w:val="00CF090E"/>
    <w:rsid w:val="00CF1777"/>
    <w:rsid w:val="00CF28F2"/>
    <w:rsid w:val="00CF38AF"/>
    <w:rsid w:val="00CF452B"/>
    <w:rsid w:val="00CF4543"/>
    <w:rsid w:val="00CF5A72"/>
    <w:rsid w:val="00CF5C44"/>
    <w:rsid w:val="00CF6775"/>
    <w:rsid w:val="00CF70A5"/>
    <w:rsid w:val="00CF7882"/>
    <w:rsid w:val="00CF7F73"/>
    <w:rsid w:val="00D00294"/>
    <w:rsid w:val="00D0040D"/>
    <w:rsid w:val="00D0092F"/>
    <w:rsid w:val="00D017E6"/>
    <w:rsid w:val="00D01C05"/>
    <w:rsid w:val="00D033B5"/>
    <w:rsid w:val="00D03D2C"/>
    <w:rsid w:val="00D03DC2"/>
    <w:rsid w:val="00D040FD"/>
    <w:rsid w:val="00D044E0"/>
    <w:rsid w:val="00D051AC"/>
    <w:rsid w:val="00D06A4F"/>
    <w:rsid w:val="00D07B2B"/>
    <w:rsid w:val="00D101E2"/>
    <w:rsid w:val="00D10522"/>
    <w:rsid w:val="00D11A43"/>
    <w:rsid w:val="00D12E0C"/>
    <w:rsid w:val="00D13DA3"/>
    <w:rsid w:val="00D13DE1"/>
    <w:rsid w:val="00D1411C"/>
    <w:rsid w:val="00D14894"/>
    <w:rsid w:val="00D16842"/>
    <w:rsid w:val="00D17F00"/>
    <w:rsid w:val="00D200C8"/>
    <w:rsid w:val="00D2052D"/>
    <w:rsid w:val="00D20CC7"/>
    <w:rsid w:val="00D21D41"/>
    <w:rsid w:val="00D21ECF"/>
    <w:rsid w:val="00D22007"/>
    <w:rsid w:val="00D2215B"/>
    <w:rsid w:val="00D2282D"/>
    <w:rsid w:val="00D22F3B"/>
    <w:rsid w:val="00D23322"/>
    <w:rsid w:val="00D2349A"/>
    <w:rsid w:val="00D23B31"/>
    <w:rsid w:val="00D2590D"/>
    <w:rsid w:val="00D26319"/>
    <w:rsid w:val="00D27599"/>
    <w:rsid w:val="00D27DA2"/>
    <w:rsid w:val="00D308B7"/>
    <w:rsid w:val="00D3139D"/>
    <w:rsid w:val="00D3151B"/>
    <w:rsid w:val="00D31905"/>
    <w:rsid w:val="00D31DCC"/>
    <w:rsid w:val="00D31E80"/>
    <w:rsid w:val="00D3203C"/>
    <w:rsid w:val="00D329A5"/>
    <w:rsid w:val="00D329DA"/>
    <w:rsid w:val="00D33708"/>
    <w:rsid w:val="00D3381E"/>
    <w:rsid w:val="00D33E57"/>
    <w:rsid w:val="00D34131"/>
    <w:rsid w:val="00D3496D"/>
    <w:rsid w:val="00D34A6F"/>
    <w:rsid w:val="00D3503E"/>
    <w:rsid w:val="00D352C7"/>
    <w:rsid w:val="00D3630F"/>
    <w:rsid w:val="00D36A03"/>
    <w:rsid w:val="00D37525"/>
    <w:rsid w:val="00D37659"/>
    <w:rsid w:val="00D4129C"/>
    <w:rsid w:val="00D43B32"/>
    <w:rsid w:val="00D44C17"/>
    <w:rsid w:val="00D4518C"/>
    <w:rsid w:val="00D45311"/>
    <w:rsid w:val="00D45807"/>
    <w:rsid w:val="00D463E0"/>
    <w:rsid w:val="00D4717A"/>
    <w:rsid w:val="00D473C1"/>
    <w:rsid w:val="00D47776"/>
    <w:rsid w:val="00D47BA1"/>
    <w:rsid w:val="00D50518"/>
    <w:rsid w:val="00D50AB2"/>
    <w:rsid w:val="00D50B4F"/>
    <w:rsid w:val="00D5188E"/>
    <w:rsid w:val="00D52388"/>
    <w:rsid w:val="00D52505"/>
    <w:rsid w:val="00D5252E"/>
    <w:rsid w:val="00D5264A"/>
    <w:rsid w:val="00D53713"/>
    <w:rsid w:val="00D54235"/>
    <w:rsid w:val="00D5479F"/>
    <w:rsid w:val="00D561D2"/>
    <w:rsid w:val="00D561F8"/>
    <w:rsid w:val="00D56646"/>
    <w:rsid w:val="00D5664F"/>
    <w:rsid w:val="00D568C2"/>
    <w:rsid w:val="00D60A35"/>
    <w:rsid w:val="00D60C0E"/>
    <w:rsid w:val="00D61130"/>
    <w:rsid w:val="00D615F2"/>
    <w:rsid w:val="00D61A62"/>
    <w:rsid w:val="00D62371"/>
    <w:rsid w:val="00D6253A"/>
    <w:rsid w:val="00D627C0"/>
    <w:rsid w:val="00D62887"/>
    <w:rsid w:val="00D638FB"/>
    <w:rsid w:val="00D63F4F"/>
    <w:rsid w:val="00D648D2"/>
    <w:rsid w:val="00D64F0E"/>
    <w:rsid w:val="00D64F83"/>
    <w:rsid w:val="00D64FEC"/>
    <w:rsid w:val="00D65AD7"/>
    <w:rsid w:val="00D66406"/>
    <w:rsid w:val="00D66A84"/>
    <w:rsid w:val="00D66AD7"/>
    <w:rsid w:val="00D66E0F"/>
    <w:rsid w:val="00D67030"/>
    <w:rsid w:val="00D677F9"/>
    <w:rsid w:val="00D67AC2"/>
    <w:rsid w:val="00D67B5A"/>
    <w:rsid w:val="00D67C12"/>
    <w:rsid w:val="00D67C4F"/>
    <w:rsid w:val="00D67D46"/>
    <w:rsid w:val="00D703AE"/>
    <w:rsid w:val="00D707BB"/>
    <w:rsid w:val="00D70E08"/>
    <w:rsid w:val="00D71429"/>
    <w:rsid w:val="00D71488"/>
    <w:rsid w:val="00D71C85"/>
    <w:rsid w:val="00D71E36"/>
    <w:rsid w:val="00D734BE"/>
    <w:rsid w:val="00D73DAB"/>
    <w:rsid w:val="00D73ECD"/>
    <w:rsid w:val="00D741CC"/>
    <w:rsid w:val="00D74381"/>
    <w:rsid w:val="00D7510D"/>
    <w:rsid w:val="00D75E3B"/>
    <w:rsid w:val="00D76CB7"/>
    <w:rsid w:val="00D76EC8"/>
    <w:rsid w:val="00D77385"/>
    <w:rsid w:val="00D77BDE"/>
    <w:rsid w:val="00D8011D"/>
    <w:rsid w:val="00D812CE"/>
    <w:rsid w:val="00D81384"/>
    <w:rsid w:val="00D816CE"/>
    <w:rsid w:val="00D81A22"/>
    <w:rsid w:val="00D81DEE"/>
    <w:rsid w:val="00D820C5"/>
    <w:rsid w:val="00D82244"/>
    <w:rsid w:val="00D82577"/>
    <w:rsid w:val="00D8275E"/>
    <w:rsid w:val="00D82B89"/>
    <w:rsid w:val="00D834EF"/>
    <w:rsid w:val="00D848F6"/>
    <w:rsid w:val="00D84E15"/>
    <w:rsid w:val="00D8522C"/>
    <w:rsid w:val="00D85400"/>
    <w:rsid w:val="00D856DE"/>
    <w:rsid w:val="00D85A4F"/>
    <w:rsid w:val="00D864AB"/>
    <w:rsid w:val="00D86D2F"/>
    <w:rsid w:val="00D87B93"/>
    <w:rsid w:val="00D902D0"/>
    <w:rsid w:val="00D932FF"/>
    <w:rsid w:val="00D93327"/>
    <w:rsid w:val="00D9340F"/>
    <w:rsid w:val="00D93688"/>
    <w:rsid w:val="00D93AF9"/>
    <w:rsid w:val="00D951DF"/>
    <w:rsid w:val="00D95E92"/>
    <w:rsid w:val="00D96310"/>
    <w:rsid w:val="00D9696B"/>
    <w:rsid w:val="00D9783F"/>
    <w:rsid w:val="00DA0B9C"/>
    <w:rsid w:val="00DA1B75"/>
    <w:rsid w:val="00DA1BAF"/>
    <w:rsid w:val="00DA1DA1"/>
    <w:rsid w:val="00DA2C5F"/>
    <w:rsid w:val="00DA31F4"/>
    <w:rsid w:val="00DA3CA8"/>
    <w:rsid w:val="00DA3E2A"/>
    <w:rsid w:val="00DA3FAD"/>
    <w:rsid w:val="00DA51EC"/>
    <w:rsid w:val="00DA56A0"/>
    <w:rsid w:val="00DA723C"/>
    <w:rsid w:val="00DA7917"/>
    <w:rsid w:val="00DB16B8"/>
    <w:rsid w:val="00DB1EAE"/>
    <w:rsid w:val="00DB2F6A"/>
    <w:rsid w:val="00DB3267"/>
    <w:rsid w:val="00DB3555"/>
    <w:rsid w:val="00DB3E91"/>
    <w:rsid w:val="00DB4583"/>
    <w:rsid w:val="00DB5577"/>
    <w:rsid w:val="00DB57BF"/>
    <w:rsid w:val="00DB5C6F"/>
    <w:rsid w:val="00DB71A4"/>
    <w:rsid w:val="00DB7A9B"/>
    <w:rsid w:val="00DC05A2"/>
    <w:rsid w:val="00DC117F"/>
    <w:rsid w:val="00DC1D2B"/>
    <w:rsid w:val="00DC2389"/>
    <w:rsid w:val="00DC3158"/>
    <w:rsid w:val="00DC3588"/>
    <w:rsid w:val="00DC3E4A"/>
    <w:rsid w:val="00DC456C"/>
    <w:rsid w:val="00DC4A4D"/>
    <w:rsid w:val="00DC4A89"/>
    <w:rsid w:val="00DC52FC"/>
    <w:rsid w:val="00DC6608"/>
    <w:rsid w:val="00DC7691"/>
    <w:rsid w:val="00DD2F8A"/>
    <w:rsid w:val="00DD4A01"/>
    <w:rsid w:val="00DD51D8"/>
    <w:rsid w:val="00DD5832"/>
    <w:rsid w:val="00DD5A9C"/>
    <w:rsid w:val="00DD5AA3"/>
    <w:rsid w:val="00DD5CB9"/>
    <w:rsid w:val="00DD611C"/>
    <w:rsid w:val="00DD7168"/>
    <w:rsid w:val="00DD7169"/>
    <w:rsid w:val="00DD72C3"/>
    <w:rsid w:val="00DD72CB"/>
    <w:rsid w:val="00DD7D38"/>
    <w:rsid w:val="00DD7E45"/>
    <w:rsid w:val="00DE00D1"/>
    <w:rsid w:val="00DE0B8C"/>
    <w:rsid w:val="00DE104C"/>
    <w:rsid w:val="00DE14B4"/>
    <w:rsid w:val="00DE14BE"/>
    <w:rsid w:val="00DE187A"/>
    <w:rsid w:val="00DE20BC"/>
    <w:rsid w:val="00DE3364"/>
    <w:rsid w:val="00DE4632"/>
    <w:rsid w:val="00DE499A"/>
    <w:rsid w:val="00DE4B39"/>
    <w:rsid w:val="00DE53D5"/>
    <w:rsid w:val="00DE5724"/>
    <w:rsid w:val="00DE6D19"/>
    <w:rsid w:val="00DE748B"/>
    <w:rsid w:val="00DE7720"/>
    <w:rsid w:val="00DF02BA"/>
    <w:rsid w:val="00DF1F01"/>
    <w:rsid w:val="00DF2C22"/>
    <w:rsid w:val="00DF375D"/>
    <w:rsid w:val="00DF455C"/>
    <w:rsid w:val="00DF4644"/>
    <w:rsid w:val="00DF466B"/>
    <w:rsid w:val="00DF4BD2"/>
    <w:rsid w:val="00DF4C78"/>
    <w:rsid w:val="00DF4CEC"/>
    <w:rsid w:val="00DF516D"/>
    <w:rsid w:val="00DF5269"/>
    <w:rsid w:val="00DF546E"/>
    <w:rsid w:val="00DF55A3"/>
    <w:rsid w:val="00DF5B94"/>
    <w:rsid w:val="00DF616A"/>
    <w:rsid w:val="00DF6280"/>
    <w:rsid w:val="00DF7AD8"/>
    <w:rsid w:val="00E005AF"/>
    <w:rsid w:val="00E00C0E"/>
    <w:rsid w:val="00E00DAF"/>
    <w:rsid w:val="00E010F4"/>
    <w:rsid w:val="00E013D7"/>
    <w:rsid w:val="00E01668"/>
    <w:rsid w:val="00E02AE9"/>
    <w:rsid w:val="00E02B20"/>
    <w:rsid w:val="00E0333E"/>
    <w:rsid w:val="00E03987"/>
    <w:rsid w:val="00E03C89"/>
    <w:rsid w:val="00E03EC5"/>
    <w:rsid w:val="00E045F4"/>
    <w:rsid w:val="00E04FBD"/>
    <w:rsid w:val="00E05EA0"/>
    <w:rsid w:val="00E063F7"/>
    <w:rsid w:val="00E06768"/>
    <w:rsid w:val="00E067D7"/>
    <w:rsid w:val="00E06CAC"/>
    <w:rsid w:val="00E10497"/>
    <w:rsid w:val="00E10840"/>
    <w:rsid w:val="00E1246A"/>
    <w:rsid w:val="00E142B0"/>
    <w:rsid w:val="00E145D8"/>
    <w:rsid w:val="00E14BE2"/>
    <w:rsid w:val="00E14F41"/>
    <w:rsid w:val="00E1500A"/>
    <w:rsid w:val="00E151D9"/>
    <w:rsid w:val="00E152DB"/>
    <w:rsid w:val="00E152EC"/>
    <w:rsid w:val="00E15306"/>
    <w:rsid w:val="00E1673C"/>
    <w:rsid w:val="00E16A16"/>
    <w:rsid w:val="00E17958"/>
    <w:rsid w:val="00E17A0B"/>
    <w:rsid w:val="00E17A6D"/>
    <w:rsid w:val="00E21145"/>
    <w:rsid w:val="00E22193"/>
    <w:rsid w:val="00E22F02"/>
    <w:rsid w:val="00E23FF2"/>
    <w:rsid w:val="00E24289"/>
    <w:rsid w:val="00E242A6"/>
    <w:rsid w:val="00E25490"/>
    <w:rsid w:val="00E25D9C"/>
    <w:rsid w:val="00E262D4"/>
    <w:rsid w:val="00E262F4"/>
    <w:rsid w:val="00E30E1C"/>
    <w:rsid w:val="00E30EB4"/>
    <w:rsid w:val="00E310AF"/>
    <w:rsid w:val="00E32672"/>
    <w:rsid w:val="00E339B9"/>
    <w:rsid w:val="00E34392"/>
    <w:rsid w:val="00E34EE3"/>
    <w:rsid w:val="00E35559"/>
    <w:rsid w:val="00E35897"/>
    <w:rsid w:val="00E36B1F"/>
    <w:rsid w:val="00E36D93"/>
    <w:rsid w:val="00E36EBA"/>
    <w:rsid w:val="00E36F51"/>
    <w:rsid w:val="00E37260"/>
    <w:rsid w:val="00E374C8"/>
    <w:rsid w:val="00E3751A"/>
    <w:rsid w:val="00E37DE8"/>
    <w:rsid w:val="00E4071B"/>
    <w:rsid w:val="00E4144A"/>
    <w:rsid w:val="00E41C34"/>
    <w:rsid w:val="00E41DCA"/>
    <w:rsid w:val="00E431C8"/>
    <w:rsid w:val="00E4340F"/>
    <w:rsid w:val="00E43435"/>
    <w:rsid w:val="00E4368C"/>
    <w:rsid w:val="00E43F08"/>
    <w:rsid w:val="00E44123"/>
    <w:rsid w:val="00E441E0"/>
    <w:rsid w:val="00E4482F"/>
    <w:rsid w:val="00E44B7B"/>
    <w:rsid w:val="00E44E44"/>
    <w:rsid w:val="00E462A3"/>
    <w:rsid w:val="00E47492"/>
    <w:rsid w:val="00E4787F"/>
    <w:rsid w:val="00E47A3A"/>
    <w:rsid w:val="00E47B4C"/>
    <w:rsid w:val="00E5052A"/>
    <w:rsid w:val="00E50D60"/>
    <w:rsid w:val="00E51188"/>
    <w:rsid w:val="00E52362"/>
    <w:rsid w:val="00E52E4F"/>
    <w:rsid w:val="00E52EA5"/>
    <w:rsid w:val="00E53210"/>
    <w:rsid w:val="00E538FB"/>
    <w:rsid w:val="00E539EA"/>
    <w:rsid w:val="00E53A06"/>
    <w:rsid w:val="00E55F62"/>
    <w:rsid w:val="00E56672"/>
    <w:rsid w:val="00E56C0B"/>
    <w:rsid w:val="00E57848"/>
    <w:rsid w:val="00E60110"/>
    <w:rsid w:val="00E604A3"/>
    <w:rsid w:val="00E60880"/>
    <w:rsid w:val="00E60D4B"/>
    <w:rsid w:val="00E6108A"/>
    <w:rsid w:val="00E62665"/>
    <w:rsid w:val="00E62922"/>
    <w:rsid w:val="00E62AF4"/>
    <w:rsid w:val="00E63F64"/>
    <w:rsid w:val="00E640DD"/>
    <w:rsid w:val="00E64BCF"/>
    <w:rsid w:val="00E64FFE"/>
    <w:rsid w:val="00E6522E"/>
    <w:rsid w:val="00E652AB"/>
    <w:rsid w:val="00E653F4"/>
    <w:rsid w:val="00E65A00"/>
    <w:rsid w:val="00E65B61"/>
    <w:rsid w:val="00E65E56"/>
    <w:rsid w:val="00E669CA"/>
    <w:rsid w:val="00E66A4E"/>
    <w:rsid w:val="00E66C95"/>
    <w:rsid w:val="00E676D4"/>
    <w:rsid w:val="00E70307"/>
    <w:rsid w:val="00E72F84"/>
    <w:rsid w:val="00E73103"/>
    <w:rsid w:val="00E73941"/>
    <w:rsid w:val="00E73E93"/>
    <w:rsid w:val="00E73F66"/>
    <w:rsid w:val="00E74812"/>
    <w:rsid w:val="00E74DE5"/>
    <w:rsid w:val="00E74E8D"/>
    <w:rsid w:val="00E755B6"/>
    <w:rsid w:val="00E75860"/>
    <w:rsid w:val="00E75A25"/>
    <w:rsid w:val="00E75B18"/>
    <w:rsid w:val="00E77C55"/>
    <w:rsid w:val="00E80009"/>
    <w:rsid w:val="00E801D9"/>
    <w:rsid w:val="00E80434"/>
    <w:rsid w:val="00E80EE7"/>
    <w:rsid w:val="00E81EA9"/>
    <w:rsid w:val="00E82158"/>
    <w:rsid w:val="00E82A72"/>
    <w:rsid w:val="00E82DBD"/>
    <w:rsid w:val="00E82FEB"/>
    <w:rsid w:val="00E84157"/>
    <w:rsid w:val="00E84F11"/>
    <w:rsid w:val="00E851EC"/>
    <w:rsid w:val="00E86E20"/>
    <w:rsid w:val="00E878FA"/>
    <w:rsid w:val="00E87A0A"/>
    <w:rsid w:val="00E87A98"/>
    <w:rsid w:val="00E91183"/>
    <w:rsid w:val="00E95D24"/>
    <w:rsid w:val="00E95EE1"/>
    <w:rsid w:val="00E9693D"/>
    <w:rsid w:val="00E9709F"/>
    <w:rsid w:val="00E97158"/>
    <w:rsid w:val="00E9758B"/>
    <w:rsid w:val="00E97652"/>
    <w:rsid w:val="00E97881"/>
    <w:rsid w:val="00EA0980"/>
    <w:rsid w:val="00EA187F"/>
    <w:rsid w:val="00EA2BFE"/>
    <w:rsid w:val="00EA37D7"/>
    <w:rsid w:val="00EA3905"/>
    <w:rsid w:val="00EA3F5A"/>
    <w:rsid w:val="00EA43E7"/>
    <w:rsid w:val="00EA4E5F"/>
    <w:rsid w:val="00EA568B"/>
    <w:rsid w:val="00EA56B4"/>
    <w:rsid w:val="00EA5801"/>
    <w:rsid w:val="00EA5868"/>
    <w:rsid w:val="00EB02BA"/>
    <w:rsid w:val="00EB0D03"/>
    <w:rsid w:val="00EB1A51"/>
    <w:rsid w:val="00EB1B0D"/>
    <w:rsid w:val="00EB1C57"/>
    <w:rsid w:val="00EB2281"/>
    <w:rsid w:val="00EB2334"/>
    <w:rsid w:val="00EB3F02"/>
    <w:rsid w:val="00EB4450"/>
    <w:rsid w:val="00EB501A"/>
    <w:rsid w:val="00EB50B7"/>
    <w:rsid w:val="00EB534E"/>
    <w:rsid w:val="00EB5632"/>
    <w:rsid w:val="00EB5905"/>
    <w:rsid w:val="00EB5BB9"/>
    <w:rsid w:val="00EB60E8"/>
    <w:rsid w:val="00EB6BB1"/>
    <w:rsid w:val="00EB71CE"/>
    <w:rsid w:val="00EB7C9A"/>
    <w:rsid w:val="00EB7CA5"/>
    <w:rsid w:val="00EB7DD6"/>
    <w:rsid w:val="00EB7EB2"/>
    <w:rsid w:val="00EC0D65"/>
    <w:rsid w:val="00EC1349"/>
    <w:rsid w:val="00EC13F7"/>
    <w:rsid w:val="00EC1542"/>
    <w:rsid w:val="00EC1696"/>
    <w:rsid w:val="00EC1FEA"/>
    <w:rsid w:val="00EC2DE1"/>
    <w:rsid w:val="00EC2FD8"/>
    <w:rsid w:val="00EC3094"/>
    <w:rsid w:val="00EC30F6"/>
    <w:rsid w:val="00EC503C"/>
    <w:rsid w:val="00EC5707"/>
    <w:rsid w:val="00EC6172"/>
    <w:rsid w:val="00EC6194"/>
    <w:rsid w:val="00EC7392"/>
    <w:rsid w:val="00ED06E5"/>
    <w:rsid w:val="00ED0911"/>
    <w:rsid w:val="00ED0A6B"/>
    <w:rsid w:val="00ED0A72"/>
    <w:rsid w:val="00ED1359"/>
    <w:rsid w:val="00ED141E"/>
    <w:rsid w:val="00ED19DB"/>
    <w:rsid w:val="00ED2595"/>
    <w:rsid w:val="00ED2B3F"/>
    <w:rsid w:val="00ED2DDD"/>
    <w:rsid w:val="00ED2E0D"/>
    <w:rsid w:val="00ED3BBF"/>
    <w:rsid w:val="00ED4E38"/>
    <w:rsid w:val="00ED5068"/>
    <w:rsid w:val="00ED55D0"/>
    <w:rsid w:val="00ED6275"/>
    <w:rsid w:val="00ED6A3A"/>
    <w:rsid w:val="00ED6C57"/>
    <w:rsid w:val="00ED7918"/>
    <w:rsid w:val="00EE05BC"/>
    <w:rsid w:val="00EE14EC"/>
    <w:rsid w:val="00EE17A3"/>
    <w:rsid w:val="00EE2591"/>
    <w:rsid w:val="00EE2980"/>
    <w:rsid w:val="00EE2D67"/>
    <w:rsid w:val="00EE3B03"/>
    <w:rsid w:val="00EE42DC"/>
    <w:rsid w:val="00EE44A9"/>
    <w:rsid w:val="00EE48FA"/>
    <w:rsid w:val="00EE508E"/>
    <w:rsid w:val="00EE6082"/>
    <w:rsid w:val="00EE67D6"/>
    <w:rsid w:val="00EE750D"/>
    <w:rsid w:val="00EF0109"/>
    <w:rsid w:val="00EF042C"/>
    <w:rsid w:val="00EF0A24"/>
    <w:rsid w:val="00EF1483"/>
    <w:rsid w:val="00EF1F96"/>
    <w:rsid w:val="00EF27B7"/>
    <w:rsid w:val="00EF2B9B"/>
    <w:rsid w:val="00EF3208"/>
    <w:rsid w:val="00EF3290"/>
    <w:rsid w:val="00EF3601"/>
    <w:rsid w:val="00EF38A0"/>
    <w:rsid w:val="00EF38ED"/>
    <w:rsid w:val="00EF3CAD"/>
    <w:rsid w:val="00EF502A"/>
    <w:rsid w:val="00EF564C"/>
    <w:rsid w:val="00EF596B"/>
    <w:rsid w:val="00EF5AC3"/>
    <w:rsid w:val="00EF6250"/>
    <w:rsid w:val="00EF726E"/>
    <w:rsid w:val="00EF7995"/>
    <w:rsid w:val="00EF7D41"/>
    <w:rsid w:val="00F00307"/>
    <w:rsid w:val="00F00497"/>
    <w:rsid w:val="00F013DC"/>
    <w:rsid w:val="00F01A1B"/>
    <w:rsid w:val="00F02BDB"/>
    <w:rsid w:val="00F02C11"/>
    <w:rsid w:val="00F03365"/>
    <w:rsid w:val="00F03CD7"/>
    <w:rsid w:val="00F03DB2"/>
    <w:rsid w:val="00F03FC2"/>
    <w:rsid w:val="00F04C80"/>
    <w:rsid w:val="00F054A5"/>
    <w:rsid w:val="00F05855"/>
    <w:rsid w:val="00F05959"/>
    <w:rsid w:val="00F05B57"/>
    <w:rsid w:val="00F06589"/>
    <w:rsid w:val="00F065AE"/>
    <w:rsid w:val="00F06F3A"/>
    <w:rsid w:val="00F06F63"/>
    <w:rsid w:val="00F07163"/>
    <w:rsid w:val="00F10FBC"/>
    <w:rsid w:val="00F11C0E"/>
    <w:rsid w:val="00F12795"/>
    <w:rsid w:val="00F1327F"/>
    <w:rsid w:val="00F13AD8"/>
    <w:rsid w:val="00F14B18"/>
    <w:rsid w:val="00F150BC"/>
    <w:rsid w:val="00F15298"/>
    <w:rsid w:val="00F15320"/>
    <w:rsid w:val="00F158F4"/>
    <w:rsid w:val="00F1599C"/>
    <w:rsid w:val="00F16016"/>
    <w:rsid w:val="00F170FD"/>
    <w:rsid w:val="00F2142F"/>
    <w:rsid w:val="00F227E9"/>
    <w:rsid w:val="00F22AE6"/>
    <w:rsid w:val="00F236B4"/>
    <w:rsid w:val="00F246DB"/>
    <w:rsid w:val="00F25A2C"/>
    <w:rsid w:val="00F2650C"/>
    <w:rsid w:val="00F26E4B"/>
    <w:rsid w:val="00F30379"/>
    <w:rsid w:val="00F303E9"/>
    <w:rsid w:val="00F306B4"/>
    <w:rsid w:val="00F31656"/>
    <w:rsid w:val="00F31B37"/>
    <w:rsid w:val="00F32147"/>
    <w:rsid w:val="00F335E1"/>
    <w:rsid w:val="00F33607"/>
    <w:rsid w:val="00F3487A"/>
    <w:rsid w:val="00F34E2E"/>
    <w:rsid w:val="00F34F5D"/>
    <w:rsid w:val="00F358FB"/>
    <w:rsid w:val="00F3590B"/>
    <w:rsid w:val="00F369EE"/>
    <w:rsid w:val="00F3705C"/>
    <w:rsid w:val="00F370A6"/>
    <w:rsid w:val="00F376B6"/>
    <w:rsid w:val="00F37786"/>
    <w:rsid w:val="00F43EA4"/>
    <w:rsid w:val="00F44041"/>
    <w:rsid w:val="00F44360"/>
    <w:rsid w:val="00F45174"/>
    <w:rsid w:val="00F457AB"/>
    <w:rsid w:val="00F4637A"/>
    <w:rsid w:val="00F46CFF"/>
    <w:rsid w:val="00F47146"/>
    <w:rsid w:val="00F47734"/>
    <w:rsid w:val="00F4786E"/>
    <w:rsid w:val="00F504F1"/>
    <w:rsid w:val="00F5062A"/>
    <w:rsid w:val="00F50A24"/>
    <w:rsid w:val="00F511FE"/>
    <w:rsid w:val="00F51CBB"/>
    <w:rsid w:val="00F51CF4"/>
    <w:rsid w:val="00F52A24"/>
    <w:rsid w:val="00F52A2C"/>
    <w:rsid w:val="00F53073"/>
    <w:rsid w:val="00F53257"/>
    <w:rsid w:val="00F53941"/>
    <w:rsid w:val="00F54D9F"/>
    <w:rsid w:val="00F55423"/>
    <w:rsid w:val="00F558C1"/>
    <w:rsid w:val="00F5668F"/>
    <w:rsid w:val="00F56E1E"/>
    <w:rsid w:val="00F57EAC"/>
    <w:rsid w:val="00F60BDE"/>
    <w:rsid w:val="00F60C83"/>
    <w:rsid w:val="00F62013"/>
    <w:rsid w:val="00F6216A"/>
    <w:rsid w:val="00F62635"/>
    <w:rsid w:val="00F6314C"/>
    <w:rsid w:val="00F63569"/>
    <w:rsid w:val="00F6367A"/>
    <w:rsid w:val="00F63710"/>
    <w:rsid w:val="00F6396C"/>
    <w:rsid w:val="00F63A8E"/>
    <w:rsid w:val="00F64296"/>
    <w:rsid w:val="00F64848"/>
    <w:rsid w:val="00F65C1B"/>
    <w:rsid w:val="00F66021"/>
    <w:rsid w:val="00F668A7"/>
    <w:rsid w:val="00F67240"/>
    <w:rsid w:val="00F672B6"/>
    <w:rsid w:val="00F67C65"/>
    <w:rsid w:val="00F70002"/>
    <w:rsid w:val="00F705B1"/>
    <w:rsid w:val="00F70953"/>
    <w:rsid w:val="00F70F4B"/>
    <w:rsid w:val="00F70F67"/>
    <w:rsid w:val="00F7269E"/>
    <w:rsid w:val="00F73C36"/>
    <w:rsid w:val="00F74198"/>
    <w:rsid w:val="00F74348"/>
    <w:rsid w:val="00F7466F"/>
    <w:rsid w:val="00F7490E"/>
    <w:rsid w:val="00F75472"/>
    <w:rsid w:val="00F75A9B"/>
    <w:rsid w:val="00F7663C"/>
    <w:rsid w:val="00F766A5"/>
    <w:rsid w:val="00F76D6B"/>
    <w:rsid w:val="00F77526"/>
    <w:rsid w:val="00F804B9"/>
    <w:rsid w:val="00F80D45"/>
    <w:rsid w:val="00F819DF"/>
    <w:rsid w:val="00F825BB"/>
    <w:rsid w:val="00F83D34"/>
    <w:rsid w:val="00F83E1A"/>
    <w:rsid w:val="00F8420A"/>
    <w:rsid w:val="00F844B8"/>
    <w:rsid w:val="00F8450F"/>
    <w:rsid w:val="00F85E10"/>
    <w:rsid w:val="00F85F1C"/>
    <w:rsid w:val="00F862ED"/>
    <w:rsid w:val="00F86456"/>
    <w:rsid w:val="00F86922"/>
    <w:rsid w:val="00F900F3"/>
    <w:rsid w:val="00F9018F"/>
    <w:rsid w:val="00F9286B"/>
    <w:rsid w:val="00F93995"/>
    <w:rsid w:val="00F93A17"/>
    <w:rsid w:val="00F94749"/>
    <w:rsid w:val="00F94B98"/>
    <w:rsid w:val="00F95A46"/>
    <w:rsid w:val="00F960D8"/>
    <w:rsid w:val="00F96A20"/>
    <w:rsid w:val="00F977D0"/>
    <w:rsid w:val="00F97DA9"/>
    <w:rsid w:val="00FA0346"/>
    <w:rsid w:val="00FA04BA"/>
    <w:rsid w:val="00FA09C1"/>
    <w:rsid w:val="00FA0DB6"/>
    <w:rsid w:val="00FA0F42"/>
    <w:rsid w:val="00FA1DBF"/>
    <w:rsid w:val="00FA28E4"/>
    <w:rsid w:val="00FA2ABE"/>
    <w:rsid w:val="00FA3C49"/>
    <w:rsid w:val="00FA51EE"/>
    <w:rsid w:val="00FA5293"/>
    <w:rsid w:val="00FA53E2"/>
    <w:rsid w:val="00FA5C22"/>
    <w:rsid w:val="00FA60F2"/>
    <w:rsid w:val="00FA65AC"/>
    <w:rsid w:val="00FA6B96"/>
    <w:rsid w:val="00FB0366"/>
    <w:rsid w:val="00FB0666"/>
    <w:rsid w:val="00FB0989"/>
    <w:rsid w:val="00FB1061"/>
    <w:rsid w:val="00FB1870"/>
    <w:rsid w:val="00FB1BD4"/>
    <w:rsid w:val="00FB1D2C"/>
    <w:rsid w:val="00FB2246"/>
    <w:rsid w:val="00FB3390"/>
    <w:rsid w:val="00FB3CF7"/>
    <w:rsid w:val="00FB4233"/>
    <w:rsid w:val="00FB4305"/>
    <w:rsid w:val="00FB4AB7"/>
    <w:rsid w:val="00FB56BA"/>
    <w:rsid w:val="00FB5A24"/>
    <w:rsid w:val="00FB5AC3"/>
    <w:rsid w:val="00FB5D8C"/>
    <w:rsid w:val="00FB5F2A"/>
    <w:rsid w:val="00FB6A67"/>
    <w:rsid w:val="00FC0176"/>
    <w:rsid w:val="00FC0B3A"/>
    <w:rsid w:val="00FC18EB"/>
    <w:rsid w:val="00FC19B9"/>
    <w:rsid w:val="00FC27A6"/>
    <w:rsid w:val="00FC2827"/>
    <w:rsid w:val="00FC314B"/>
    <w:rsid w:val="00FC3340"/>
    <w:rsid w:val="00FC437F"/>
    <w:rsid w:val="00FC479E"/>
    <w:rsid w:val="00FC68D1"/>
    <w:rsid w:val="00FD068C"/>
    <w:rsid w:val="00FD0D5D"/>
    <w:rsid w:val="00FD132E"/>
    <w:rsid w:val="00FD13A2"/>
    <w:rsid w:val="00FD1C35"/>
    <w:rsid w:val="00FD1C78"/>
    <w:rsid w:val="00FD1FFF"/>
    <w:rsid w:val="00FD21E1"/>
    <w:rsid w:val="00FD24A3"/>
    <w:rsid w:val="00FD2887"/>
    <w:rsid w:val="00FD30AC"/>
    <w:rsid w:val="00FD3A66"/>
    <w:rsid w:val="00FD3B51"/>
    <w:rsid w:val="00FD4425"/>
    <w:rsid w:val="00FD4B3D"/>
    <w:rsid w:val="00FD4BE7"/>
    <w:rsid w:val="00FD4CD7"/>
    <w:rsid w:val="00FD5A83"/>
    <w:rsid w:val="00FD5F47"/>
    <w:rsid w:val="00FD6385"/>
    <w:rsid w:val="00FD69EF"/>
    <w:rsid w:val="00FD7E2A"/>
    <w:rsid w:val="00FE0952"/>
    <w:rsid w:val="00FE180D"/>
    <w:rsid w:val="00FE2B1C"/>
    <w:rsid w:val="00FE3267"/>
    <w:rsid w:val="00FE3618"/>
    <w:rsid w:val="00FE3674"/>
    <w:rsid w:val="00FE3E19"/>
    <w:rsid w:val="00FE4007"/>
    <w:rsid w:val="00FE405C"/>
    <w:rsid w:val="00FE4696"/>
    <w:rsid w:val="00FE4700"/>
    <w:rsid w:val="00FE48E5"/>
    <w:rsid w:val="00FF0135"/>
    <w:rsid w:val="00FF032A"/>
    <w:rsid w:val="00FF067E"/>
    <w:rsid w:val="00FF14A1"/>
    <w:rsid w:val="00FF1827"/>
    <w:rsid w:val="00FF1FA1"/>
    <w:rsid w:val="00FF2662"/>
    <w:rsid w:val="00FF2B1C"/>
    <w:rsid w:val="00FF3008"/>
    <w:rsid w:val="00FF362D"/>
    <w:rsid w:val="00FF37E0"/>
    <w:rsid w:val="00FF3E87"/>
    <w:rsid w:val="00FF3FFC"/>
    <w:rsid w:val="00FF4E88"/>
    <w:rsid w:val="00FF5447"/>
    <w:rsid w:val="00FF564A"/>
    <w:rsid w:val="00FF56C2"/>
    <w:rsid w:val="00FF5B99"/>
    <w:rsid w:val="00FF6410"/>
    <w:rsid w:val="00FF6958"/>
    <w:rsid w:val="00FF699A"/>
    <w:rsid w:val="00FF6E9D"/>
    <w:rsid w:val="00FF6EE7"/>
    <w:rsid w:val="00FF7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9217E"/>
  <w15:chartTrackingRefBased/>
  <w15:docId w15:val="{8C235D35-F603-4D07-80C5-E4051091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C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D0FE8"/>
    <w:pPr>
      <w:keepNext/>
      <w:keepLines/>
      <w:spacing w:before="240" w:after="360"/>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B67CD8"/>
    <w:pPr>
      <w:keepNext/>
      <w:keepLines/>
      <w:spacing w:before="4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53A38"/>
    <w:pPr>
      <w:keepNext/>
      <w:keepLines/>
      <w:numPr>
        <w:ilvl w:val="2"/>
        <w:numId w:val="12"/>
      </w:numPr>
      <w:spacing w:before="40" w:after="120"/>
      <w:outlineLvl w:val="2"/>
    </w:pPr>
    <w:rPr>
      <w:rFonts w:eastAsiaTheme="majorEastAsia" w:cstheme="majorBidi"/>
      <w:b/>
      <w:u w:val="single"/>
    </w:rPr>
  </w:style>
  <w:style w:type="paragraph" w:styleId="Heading4">
    <w:name w:val="heading 4"/>
    <w:basedOn w:val="Normal"/>
    <w:next w:val="Normal"/>
    <w:link w:val="Heading4Char"/>
    <w:uiPriority w:val="9"/>
    <w:unhideWhenUsed/>
    <w:qFormat/>
    <w:rsid w:val="00BE71E3"/>
    <w:pPr>
      <w:keepNext/>
      <w:keepLines/>
      <w:spacing w:before="4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EF9"/>
    <w:pPr>
      <w:spacing w:before="100" w:beforeAutospacing="1" w:after="100" w:afterAutospacing="1"/>
    </w:pPr>
  </w:style>
  <w:style w:type="paragraph" w:styleId="ListParagraph">
    <w:name w:val="List Paragraph"/>
    <w:basedOn w:val="Normal"/>
    <w:uiPriority w:val="34"/>
    <w:qFormat/>
    <w:rsid w:val="00254F1F"/>
    <w:pPr>
      <w:spacing w:after="200" w:line="276" w:lineRule="auto"/>
      <w:ind w:left="720"/>
      <w:contextualSpacing/>
    </w:pPr>
    <w:rPr>
      <w:rFonts w:ascii="Verdana" w:hAnsi="Verdana"/>
    </w:rPr>
  </w:style>
  <w:style w:type="paragraph" w:styleId="Revision">
    <w:name w:val="Revision"/>
    <w:hidden/>
    <w:uiPriority w:val="99"/>
    <w:semiHidden/>
    <w:rsid w:val="00041CED"/>
    <w:pPr>
      <w:spacing w:after="0" w:line="240" w:lineRule="auto"/>
    </w:pPr>
  </w:style>
  <w:style w:type="character" w:customStyle="1" w:styleId="hgkelc">
    <w:name w:val="hgkelc"/>
    <w:basedOn w:val="DefaultParagraphFont"/>
    <w:rsid w:val="009365F9"/>
  </w:style>
  <w:style w:type="character" w:styleId="Emphasis">
    <w:name w:val="Emphasis"/>
    <w:basedOn w:val="DefaultParagraphFont"/>
    <w:uiPriority w:val="20"/>
    <w:qFormat/>
    <w:rsid w:val="007B3477"/>
    <w:rPr>
      <w:i/>
      <w:iCs/>
    </w:rPr>
  </w:style>
  <w:style w:type="character" w:styleId="Hyperlink">
    <w:name w:val="Hyperlink"/>
    <w:basedOn w:val="DefaultParagraphFont"/>
    <w:uiPriority w:val="99"/>
    <w:unhideWhenUsed/>
    <w:rsid w:val="00FD24A3"/>
    <w:rPr>
      <w:color w:val="0563C1" w:themeColor="hyperlink"/>
      <w:u w:val="single"/>
    </w:rPr>
  </w:style>
  <w:style w:type="character" w:styleId="UnresolvedMention">
    <w:name w:val="Unresolved Mention"/>
    <w:basedOn w:val="DefaultParagraphFont"/>
    <w:uiPriority w:val="99"/>
    <w:semiHidden/>
    <w:unhideWhenUsed/>
    <w:rsid w:val="00FD24A3"/>
    <w:rPr>
      <w:color w:val="605E5C"/>
      <w:shd w:val="clear" w:color="auto" w:fill="E1DFDD"/>
    </w:rPr>
  </w:style>
  <w:style w:type="character" w:customStyle="1" w:styleId="hi-bold">
    <w:name w:val="hi-bold"/>
    <w:basedOn w:val="DefaultParagraphFont"/>
    <w:rsid w:val="004A7205"/>
  </w:style>
  <w:style w:type="paragraph" w:styleId="Header">
    <w:name w:val="header"/>
    <w:basedOn w:val="Normal"/>
    <w:link w:val="HeaderChar"/>
    <w:uiPriority w:val="99"/>
    <w:unhideWhenUsed/>
    <w:rsid w:val="00C2242D"/>
    <w:pPr>
      <w:tabs>
        <w:tab w:val="center" w:pos="4513"/>
        <w:tab w:val="right" w:pos="9026"/>
      </w:tabs>
    </w:pPr>
  </w:style>
  <w:style w:type="character" w:customStyle="1" w:styleId="HeaderChar">
    <w:name w:val="Header Char"/>
    <w:basedOn w:val="DefaultParagraphFont"/>
    <w:link w:val="Header"/>
    <w:uiPriority w:val="99"/>
    <w:rsid w:val="00C2242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2242D"/>
    <w:pPr>
      <w:tabs>
        <w:tab w:val="center" w:pos="4513"/>
        <w:tab w:val="right" w:pos="9026"/>
      </w:tabs>
    </w:pPr>
  </w:style>
  <w:style w:type="character" w:customStyle="1" w:styleId="FooterChar">
    <w:name w:val="Footer Char"/>
    <w:basedOn w:val="DefaultParagraphFont"/>
    <w:link w:val="Footer"/>
    <w:uiPriority w:val="99"/>
    <w:rsid w:val="00C2242D"/>
    <w:rPr>
      <w:rFonts w:ascii="Times New Roman" w:eastAsia="Times New Roman" w:hAnsi="Times New Roman" w:cs="Times New Roman"/>
      <w:sz w:val="24"/>
      <w:szCs w:val="24"/>
      <w:lang w:eastAsia="en-GB"/>
    </w:rPr>
  </w:style>
  <w:style w:type="table" w:styleId="TableGrid">
    <w:name w:val="Table Grid"/>
    <w:basedOn w:val="TableNormal"/>
    <w:rsid w:val="004B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5A1E4E"/>
    <w:pPr>
      <w:numPr>
        <w:numId w:val="15"/>
      </w:numPr>
    </w:pPr>
  </w:style>
  <w:style w:type="character" w:customStyle="1" w:styleId="Heading1Char">
    <w:name w:val="Heading 1 Char"/>
    <w:basedOn w:val="DefaultParagraphFont"/>
    <w:link w:val="Heading1"/>
    <w:uiPriority w:val="9"/>
    <w:rsid w:val="006D0FE8"/>
    <w:rPr>
      <w:rFonts w:ascii="Times New Roman" w:eastAsiaTheme="majorEastAsia" w:hAnsi="Times New Roman" w:cstheme="majorBidi"/>
      <w:b/>
      <w:sz w:val="32"/>
      <w:szCs w:val="32"/>
      <w:u w:val="single"/>
      <w:lang w:eastAsia="en-GB"/>
    </w:rPr>
  </w:style>
  <w:style w:type="character" w:customStyle="1" w:styleId="Heading2Char">
    <w:name w:val="Heading 2 Char"/>
    <w:basedOn w:val="DefaultParagraphFont"/>
    <w:link w:val="Heading2"/>
    <w:uiPriority w:val="9"/>
    <w:rsid w:val="00B67CD8"/>
    <w:rPr>
      <w:rFonts w:ascii="Times New Roman" w:eastAsiaTheme="majorEastAsia" w:hAnsi="Times New Roman" w:cstheme="majorBidi"/>
      <w:b/>
      <w:sz w:val="28"/>
      <w:szCs w:val="26"/>
      <w:lang w:eastAsia="en-GB"/>
    </w:rPr>
  </w:style>
  <w:style w:type="character" w:customStyle="1" w:styleId="Heading3Char">
    <w:name w:val="Heading 3 Char"/>
    <w:basedOn w:val="DefaultParagraphFont"/>
    <w:link w:val="Heading3"/>
    <w:uiPriority w:val="9"/>
    <w:rsid w:val="00053A38"/>
    <w:rPr>
      <w:rFonts w:ascii="Times New Roman" w:eastAsiaTheme="majorEastAsia" w:hAnsi="Times New Roman" w:cstheme="majorBidi"/>
      <w:b/>
      <w:sz w:val="24"/>
      <w:szCs w:val="24"/>
      <w:u w:val="single"/>
      <w:lang w:eastAsia="en-GB"/>
    </w:rPr>
  </w:style>
  <w:style w:type="paragraph" w:styleId="Title">
    <w:name w:val="Title"/>
    <w:basedOn w:val="Normal"/>
    <w:next w:val="Normal"/>
    <w:link w:val="TitleChar"/>
    <w:uiPriority w:val="10"/>
    <w:qFormat/>
    <w:rsid w:val="00D951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1DF"/>
    <w:rPr>
      <w:rFonts w:asciiTheme="majorHAnsi" w:eastAsiaTheme="majorEastAsia" w:hAnsiTheme="majorHAnsi" w:cstheme="majorBidi"/>
      <w:spacing w:val="-10"/>
      <w:kern w:val="28"/>
      <w:sz w:val="56"/>
      <w:szCs w:val="56"/>
      <w:lang w:eastAsia="en-GB"/>
    </w:rPr>
  </w:style>
  <w:style w:type="character" w:customStyle="1" w:styleId="Heading4Char">
    <w:name w:val="Heading 4 Char"/>
    <w:basedOn w:val="DefaultParagraphFont"/>
    <w:link w:val="Heading4"/>
    <w:uiPriority w:val="9"/>
    <w:rsid w:val="00BE71E3"/>
    <w:rPr>
      <w:rFonts w:ascii="Times New Roman" w:eastAsiaTheme="majorEastAsia" w:hAnsi="Times New Roman" w:cstheme="majorBidi"/>
      <w:i/>
      <w:iCs/>
      <w:sz w:val="24"/>
      <w:szCs w:val="24"/>
      <w:lang w:eastAsia="en-GB"/>
    </w:rPr>
  </w:style>
  <w:style w:type="character" w:styleId="CommentReference">
    <w:name w:val="annotation reference"/>
    <w:basedOn w:val="DefaultParagraphFont"/>
    <w:uiPriority w:val="99"/>
    <w:semiHidden/>
    <w:unhideWhenUsed/>
    <w:rsid w:val="003F1500"/>
    <w:rPr>
      <w:sz w:val="16"/>
      <w:szCs w:val="16"/>
    </w:rPr>
  </w:style>
  <w:style w:type="paragraph" w:styleId="CommentText">
    <w:name w:val="annotation text"/>
    <w:basedOn w:val="Normal"/>
    <w:link w:val="CommentTextChar"/>
    <w:uiPriority w:val="99"/>
    <w:unhideWhenUsed/>
    <w:rsid w:val="003F1500"/>
    <w:rPr>
      <w:sz w:val="20"/>
      <w:szCs w:val="20"/>
    </w:rPr>
  </w:style>
  <w:style w:type="character" w:customStyle="1" w:styleId="CommentTextChar">
    <w:name w:val="Comment Text Char"/>
    <w:basedOn w:val="DefaultParagraphFont"/>
    <w:link w:val="CommentText"/>
    <w:uiPriority w:val="99"/>
    <w:rsid w:val="003F150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F1500"/>
    <w:rPr>
      <w:b/>
      <w:bCs/>
    </w:rPr>
  </w:style>
  <w:style w:type="character" w:customStyle="1" w:styleId="CommentSubjectChar">
    <w:name w:val="Comment Subject Char"/>
    <w:basedOn w:val="CommentTextChar"/>
    <w:link w:val="CommentSubject"/>
    <w:uiPriority w:val="99"/>
    <w:semiHidden/>
    <w:rsid w:val="003F1500"/>
    <w:rPr>
      <w:rFonts w:ascii="Times New Roman" w:eastAsia="Times New Roman" w:hAnsi="Times New Roman" w:cs="Times New Roman"/>
      <w:b/>
      <w:bCs/>
      <w:sz w:val="20"/>
      <w:szCs w:val="20"/>
      <w:lang w:eastAsia="en-GB"/>
    </w:rPr>
  </w:style>
  <w:style w:type="paragraph" w:styleId="TOCHeading">
    <w:name w:val="TOC Heading"/>
    <w:basedOn w:val="Heading1"/>
    <w:next w:val="Normal"/>
    <w:uiPriority w:val="39"/>
    <w:unhideWhenUsed/>
    <w:qFormat/>
    <w:rsid w:val="00867F53"/>
    <w:pPr>
      <w:spacing w:line="259" w:lineRule="auto"/>
      <w:outlineLvl w:val="9"/>
    </w:pPr>
    <w:rPr>
      <w:lang w:val="en-US" w:eastAsia="en-US"/>
    </w:rPr>
  </w:style>
  <w:style w:type="paragraph" w:styleId="TOC1">
    <w:name w:val="toc 1"/>
    <w:basedOn w:val="Normal"/>
    <w:next w:val="Normal"/>
    <w:autoRedefine/>
    <w:uiPriority w:val="39"/>
    <w:unhideWhenUsed/>
    <w:rsid w:val="00E30EB4"/>
    <w:pPr>
      <w:tabs>
        <w:tab w:val="left" w:pos="1320"/>
        <w:tab w:val="right" w:leader="dot" w:pos="9016"/>
      </w:tabs>
      <w:spacing w:after="100"/>
    </w:pPr>
    <w:rPr>
      <w:noProof/>
    </w:rPr>
  </w:style>
  <w:style w:type="paragraph" w:styleId="TOC2">
    <w:name w:val="toc 2"/>
    <w:basedOn w:val="Normal"/>
    <w:next w:val="Normal"/>
    <w:autoRedefine/>
    <w:uiPriority w:val="39"/>
    <w:unhideWhenUsed/>
    <w:rsid w:val="00867F53"/>
    <w:pPr>
      <w:spacing w:after="100"/>
      <w:ind w:left="240"/>
    </w:pPr>
  </w:style>
  <w:style w:type="paragraph" w:styleId="TOC3">
    <w:name w:val="toc 3"/>
    <w:basedOn w:val="Normal"/>
    <w:next w:val="Normal"/>
    <w:autoRedefine/>
    <w:uiPriority w:val="39"/>
    <w:unhideWhenUsed/>
    <w:rsid w:val="00867F53"/>
    <w:pPr>
      <w:spacing w:after="100"/>
      <w:ind w:left="480"/>
    </w:pPr>
  </w:style>
  <w:style w:type="paragraph" w:styleId="Caption">
    <w:name w:val="caption"/>
    <w:basedOn w:val="Normal"/>
    <w:next w:val="Normal"/>
    <w:uiPriority w:val="35"/>
    <w:unhideWhenUsed/>
    <w:qFormat/>
    <w:rsid w:val="00CD4B7A"/>
    <w:pPr>
      <w:spacing w:after="200"/>
    </w:pPr>
    <w:rPr>
      <w:rFonts w:ascii="Tahoma" w:eastAsiaTheme="minorHAnsi" w:hAnsi="Tahoma" w:cs="Arial"/>
      <w:i/>
      <w:iCs/>
      <w:color w:val="44546A" w:themeColor="text2"/>
      <w:sz w:val="18"/>
      <w:szCs w:val="18"/>
      <w:lang w:eastAsia="en-US"/>
    </w:rPr>
  </w:style>
  <w:style w:type="paragraph" w:customStyle="1" w:styleId="contrib">
    <w:name w:val="contrib"/>
    <w:basedOn w:val="Normal"/>
    <w:rsid w:val="007114E4"/>
    <w:pPr>
      <w:spacing w:before="100" w:beforeAutospacing="1" w:after="100" w:afterAutospacing="1"/>
    </w:pPr>
  </w:style>
  <w:style w:type="paragraph" w:customStyle="1" w:styleId="first">
    <w:name w:val="first"/>
    <w:basedOn w:val="Normal"/>
    <w:rsid w:val="007114E4"/>
    <w:pPr>
      <w:spacing w:before="100" w:beforeAutospacing="1" w:after="100" w:afterAutospacing="1"/>
    </w:pPr>
  </w:style>
  <w:style w:type="paragraph" w:customStyle="1" w:styleId="Header1">
    <w:name w:val="Header 1"/>
    <w:basedOn w:val="Heading2"/>
    <w:link w:val="Header1Tegn"/>
    <w:qFormat/>
    <w:rsid w:val="00B53FC3"/>
    <w:pPr>
      <w:keepLines w:val="0"/>
      <w:numPr>
        <w:numId w:val="2"/>
      </w:numPr>
      <w:spacing w:before="0" w:after="0"/>
    </w:pPr>
    <w:rPr>
      <w:rFonts w:eastAsia="Times New Roman" w:cs="Times New Roman"/>
      <w:bCs/>
      <w:sz w:val="24"/>
      <w:szCs w:val="20"/>
      <w:lang w:val="en-US" w:eastAsia="en-US"/>
    </w:rPr>
  </w:style>
  <w:style w:type="character" w:customStyle="1" w:styleId="Header1Tegn">
    <w:name w:val="Header 1 Tegn"/>
    <w:basedOn w:val="DefaultParagraphFont"/>
    <w:link w:val="Header1"/>
    <w:rsid w:val="00B53FC3"/>
    <w:rPr>
      <w:rFonts w:ascii="Times New Roman" w:eastAsia="Times New Roman" w:hAnsi="Times New Roman" w:cs="Times New Roman"/>
      <w:b/>
      <w:bCs/>
      <w:sz w:val="24"/>
      <w:szCs w:val="20"/>
      <w:lang w:val="en-US"/>
    </w:rPr>
  </w:style>
  <w:style w:type="paragraph" w:customStyle="1" w:styleId="Header2">
    <w:name w:val="Header 2"/>
    <w:basedOn w:val="Heading2"/>
    <w:link w:val="Header2Tegn"/>
    <w:autoRedefine/>
    <w:qFormat/>
    <w:rsid w:val="00B53FC3"/>
    <w:pPr>
      <w:keepLines w:val="0"/>
      <w:spacing w:before="0" w:after="0" w:line="480" w:lineRule="auto"/>
      <w:ind w:left="360"/>
    </w:pPr>
    <w:rPr>
      <w:rFonts w:eastAsia="Times New Roman" w:cs="Times New Roman"/>
      <w:bCs/>
      <w:sz w:val="24"/>
      <w:szCs w:val="20"/>
      <w:lang w:eastAsia="en-US"/>
    </w:rPr>
  </w:style>
  <w:style w:type="character" w:customStyle="1" w:styleId="Header2Tegn">
    <w:name w:val="Header 2 Tegn"/>
    <w:basedOn w:val="DefaultParagraphFont"/>
    <w:link w:val="Header2"/>
    <w:rsid w:val="00B53FC3"/>
    <w:rPr>
      <w:rFonts w:ascii="Times New Roman" w:eastAsia="Times New Roman" w:hAnsi="Times New Roman" w:cs="Times New Roman"/>
      <w:b/>
      <w:bCs/>
      <w:sz w:val="24"/>
      <w:szCs w:val="20"/>
    </w:rPr>
  </w:style>
  <w:style w:type="paragraph" w:customStyle="1" w:styleId="MainText">
    <w:name w:val="Main Text"/>
    <w:basedOn w:val="Normal"/>
    <w:qFormat/>
    <w:rsid w:val="00BD58F3"/>
    <w:pPr>
      <w:spacing w:line="320" w:lineRule="exact"/>
    </w:pPr>
    <w:rPr>
      <w:rFonts w:ascii="Tahoma" w:eastAsiaTheme="minorHAnsi" w:hAnsi="Tahoma" w:cs="Tahoma"/>
      <w:sz w:val="22"/>
      <w:szCs w:val="22"/>
      <w:lang w:eastAsia="en-US"/>
    </w:rPr>
  </w:style>
  <w:style w:type="paragraph" w:customStyle="1" w:styleId="footnotedescription">
    <w:name w:val="footnote description"/>
    <w:next w:val="Normal"/>
    <w:link w:val="footnotedescriptionChar"/>
    <w:hidden/>
    <w:rsid w:val="004279D5"/>
    <w:pPr>
      <w:spacing w:after="0" w:line="257" w:lineRule="auto"/>
      <w:ind w:right="42" w:firstLine="275"/>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4279D5"/>
    <w:rPr>
      <w:rFonts w:ascii="Calibri" w:eastAsia="Calibri" w:hAnsi="Calibri" w:cs="Calibri"/>
      <w:color w:val="000000"/>
      <w:sz w:val="20"/>
      <w:lang w:eastAsia="en-GB"/>
    </w:rPr>
  </w:style>
  <w:style w:type="character" w:customStyle="1" w:styleId="footnotemark">
    <w:name w:val="footnote mark"/>
    <w:hidden/>
    <w:rsid w:val="004279D5"/>
    <w:rPr>
      <w:rFonts w:ascii="Calibri" w:eastAsia="Calibri" w:hAnsi="Calibri" w:cs="Calibri"/>
      <w:color w:val="000000"/>
      <w:sz w:val="20"/>
      <w:vertAlign w:val="superscript"/>
    </w:rPr>
  </w:style>
  <w:style w:type="character" w:styleId="FollowedHyperlink">
    <w:name w:val="FollowedHyperlink"/>
    <w:basedOn w:val="DefaultParagraphFont"/>
    <w:uiPriority w:val="99"/>
    <w:semiHidden/>
    <w:unhideWhenUsed/>
    <w:rsid w:val="00523059"/>
    <w:rPr>
      <w:color w:val="954F72" w:themeColor="followedHyperlink"/>
      <w:u w:val="single"/>
    </w:rPr>
  </w:style>
  <w:style w:type="paragraph" w:styleId="BalloonText">
    <w:name w:val="Balloon Text"/>
    <w:basedOn w:val="Normal"/>
    <w:link w:val="BalloonTextChar"/>
    <w:uiPriority w:val="99"/>
    <w:semiHidden/>
    <w:unhideWhenUsed/>
    <w:rsid w:val="00A82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CC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9511">
      <w:bodyDiv w:val="1"/>
      <w:marLeft w:val="0"/>
      <w:marRight w:val="0"/>
      <w:marTop w:val="0"/>
      <w:marBottom w:val="0"/>
      <w:divBdr>
        <w:top w:val="none" w:sz="0" w:space="0" w:color="auto"/>
        <w:left w:val="none" w:sz="0" w:space="0" w:color="auto"/>
        <w:bottom w:val="none" w:sz="0" w:space="0" w:color="auto"/>
        <w:right w:val="none" w:sz="0" w:space="0" w:color="auto"/>
      </w:divBdr>
      <w:divsChild>
        <w:div w:id="280233534">
          <w:marLeft w:val="0"/>
          <w:marRight w:val="0"/>
          <w:marTop w:val="0"/>
          <w:marBottom w:val="0"/>
          <w:divBdr>
            <w:top w:val="none" w:sz="0" w:space="0" w:color="auto"/>
            <w:left w:val="none" w:sz="0" w:space="0" w:color="auto"/>
            <w:bottom w:val="none" w:sz="0" w:space="0" w:color="auto"/>
            <w:right w:val="none" w:sz="0" w:space="0" w:color="auto"/>
          </w:divBdr>
          <w:divsChild>
            <w:div w:id="943197742">
              <w:marLeft w:val="0"/>
              <w:marRight w:val="0"/>
              <w:marTop w:val="0"/>
              <w:marBottom w:val="0"/>
              <w:divBdr>
                <w:top w:val="none" w:sz="0" w:space="0" w:color="auto"/>
                <w:left w:val="none" w:sz="0" w:space="0" w:color="auto"/>
                <w:bottom w:val="none" w:sz="0" w:space="0" w:color="auto"/>
                <w:right w:val="none" w:sz="0" w:space="0" w:color="auto"/>
              </w:divBdr>
              <w:divsChild>
                <w:div w:id="18023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1828">
      <w:bodyDiv w:val="1"/>
      <w:marLeft w:val="0"/>
      <w:marRight w:val="0"/>
      <w:marTop w:val="0"/>
      <w:marBottom w:val="0"/>
      <w:divBdr>
        <w:top w:val="none" w:sz="0" w:space="0" w:color="auto"/>
        <w:left w:val="none" w:sz="0" w:space="0" w:color="auto"/>
        <w:bottom w:val="none" w:sz="0" w:space="0" w:color="auto"/>
        <w:right w:val="none" w:sz="0" w:space="0" w:color="auto"/>
      </w:divBdr>
    </w:div>
    <w:div w:id="67458645">
      <w:bodyDiv w:val="1"/>
      <w:marLeft w:val="0"/>
      <w:marRight w:val="0"/>
      <w:marTop w:val="0"/>
      <w:marBottom w:val="0"/>
      <w:divBdr>
        <w:top w:val="none" w:sz="0" w:space="0" w:color="auto"/>
        <w:left w:val="none" w:sz="0" w:space="0" w:color="auto"/>
        <w:bottom w:val="none" w:sz="0" w:space="0" w:color="auto"/>
        <w:right w:val="none" w:sz="0" w:space="0" w:color="auto"/>
      </w:divBdr>
    </w:div>
    <w:div w:id="84964570">
      <w:bodyDiv w:val="1"/>
      <w:marLeft w:val="0"/>
      <w:marRight w:val="0"/>
      <w:marTop w:val="0"/>
      <w:marBottom w:val="0"/>
      <w:divBdr>
        <w:top w:val="none" w:sz="0" w:space="0" w:color="auto"/>
        <w:left w:val="none" w:sz="0" w:space="0" w:color="auto"/>
        <w:bottom w:val="none" w:sz="0" w:space="0" w:color="auto"/>
        <w:right w:val="none" w:sz="0" w:space="0" w:color="auto"/>
      </w:divBdr>
    </w:div>
    <w:div w:id="102580697">
      <w:bodyDiv w:val="1"/>
      <w:marLeft w:val="0"/>
      <w:marRight w:val="0"/>
      <w:marTop w:val="0"/>
      <w:marBottom w:val="0"/>
      <w:divBdr>
        <w:top w:val="none" w:sz="0" w:space="0" w:color="auto"/>
        <w:left w:val="none" w:sz="0" w:space="0" w:color="auto"/>
        <w:bottom w:val="none" w:sz="0" w:space="0" w:color="auto"/>
        <w:right w:val="none" w:sz="0" w:space="0" w:color="auto"/>
      </w:divBdr>
    </w:div>
    <w:div w:id="108203820">
      <w:bodyDiv w:val="1"/>
      <w:marLeft w:val="0"/>
      <w:marRight w:val="0"/>
      <w:marTop w:val="0"/>
      <w:marBottom w:val="0"/>
      <w:divBdr>
        <w:top w:val="none" w:sz="0" w:space="0" w:color="auto"/>
        <w:left w:val="none" w:sz="0" w:space="0" w:color="auto"/>
        <w:bottom w:val="none" w:sz="0" w:space="0" w:color="auto"/>
        <w:right w:val="none" w:sz="0" w:space="0" w:color="auto"/>
      </w:divBdr>
    </w:div>
    <w:div w:id="119878940">
      <w:bodyDiv w:val="1"/>
      <w:marLeft w:val="0"/>
      <w:marRight w:val="0"/>
      <w:marTop w:val="0"/>
      <w:marBottom w:val="0"/>
      <w:divBdr>
        <w:top w:val="none" w:sz="0" w:space="0" w:color="auto"/>
        <w:left w:val="none" w:sz="0" w:space="0" w:color="auto"/>
        <w:bottom w:val="none" w:sz="0" w:space="0" w:color="auto"/>
        <w:right w:val="none" w:sz="0" w:space="0" w:color="auto"/>
      </w:divBdr>
    </w:div>
    <w:div w:id="130632164">
      <w:bodyDiv w:val="1"/>
      <w:marLeft w:val="0"/>
      <w:marRight w:val="0"/>
      <w:marTop w:val="0"/>
      <w:marBottom w:val="0"/>
      <w:divBdr>
        <w:top w:val="none" w:sz="0" w:space="0" w:color="auto"/>
        <w:left w:val="none" w:sz="0" w:space="0" w:color="auto"/>
        <w:bottom w:val="none" w:sz="0" w:space="0" w:color="auto"/>
        <w:right w:val="none" w:sz="0" w:space="0" w:color="auto"/>
      </w:divBdr>
    </w:div>
    <w:div w:id="165288842">
      <w:bodyDiv w:val="1"/>
      <w:marLeft w:val="0"/>
      <w:marRight w:val="0"/>
      <w:marTop w:val="0"/>
      <w:marBottom w:val="0"/>
      <w:divBdr>
        <w:top w:val="none" w:sz="0" w:space="0" w:color="auto"/>
        <w:left w:val="none" w:sz="0" w:space="0" w:color="auto"/>
        <w:bottom w:val="none" w:sz="0" w:space="0" w:color="auto"/>
        <w:right w:val="none" w:sz="0" w:space="0" w:color="auto"/>
      </w:divBdr>
    </w:div>
    <w:div w:id="183131605">
      <w:bodyDiv w:val="1"/>
      <w:marLeft w:val="0"/>
      <w:marRight w:val="0"/>
      <w:marTop w:val="0"/>
      <w:marBottom w:val="0"/>
      <w:divBdr>
        <w:top w:val="none" w:sz="0" w:space="0" w:color="auto"/>
        <w:left w:val="none" w:sz="0" w:space="0" w:color="auto"/>
        <w:bottom w:val="none" w:sz="0" w:space="0" w:color="auto"/>
        <w:right w:val="none" w:sz="0" w:space="0" w:color="auto"/>
      </w:divBdr>
    </w:div>
    <w:div w:id="201480999">
      <w:bodyDiv w:val="1"/>
      <w:marLeft w:val="0"/>
      <w:marRight w:val="0"/>
      <w:marTop w:val="0"/>
      <w:marBottom w:val="0"/>
      <w:divBdr>
        <w:top w:val="none" w:sz="0" w:space="0" w:color="auto"/>
        <w:left w:val="none" w:sz="0" w:space="0" w:color="auto"/>
        <w:bottom w:val="none" w:sz="0" w:space="0" w:color="auto"/>
        <w:right w:val="none" w:sz="0" w:space="0" w:color="auto"/>
      </w:divBdr>
    </w:div>
    <w:div w:id="209074508">
      <w:bodyDiv w:val="1"/>
      <w:marLeft w:val="0"/>
      <w:marRight w:val="0"/>
      <w:marTop w:val="0"/>
      <w:marBottom w:val="0"/>
      <w:divBdr>
        <w:top w:val="none" w:sz="0" w:space="0" w:color="auto"/>
        <w:left w:val="none" w:sz="0" w:space="0" w:color="auto"/>
        <w:bottom w:val="none" w:sz="0" w:space="0" w:color="auto"/>
        <w:right w:val="none" w:sz="0" w:space="0" w:color="auto"/>
      </w:divBdr>
      <w:divsChild>
        <w:div w:id="1267228535">
          <w:marLeft w:val="0"/>
          <w:marRight w:val="0"/>
          <w:marTop w:val="0"/>
          <w:marBottom w:val="0"/>
          <w:divBdr>
            <w:top w:val="none" w:sz="0" w:space="0" w:color="auto"/>
            <w:left w:val="none" w:sz="0" w:space="0" w:color="auto"/>
            <w:bottom w:val="none" w:sz="0" w:space="0" w:color="auto"/>
            <w:right w:val="none" w:sz="0" w:space="0" w:color="auto"/>
          </w:divBdr>
          <w:divsChild>
            <w:div w:id="1061295347">
              <w:marLeft w:val="0"/>
              <w:marRight w:val="0"/>
              <w:marTop w:val="0"/>
              <w:marBottom w:val="0"/>
              <w:divBdr>
                <w:top w:val="none" w:sz="0" w:space="0" w:color="auto"/>
                <w:left w:val="none" w:sz="0" w:space="0" w:color="auto"/>
                <w:bottom w:val="none" w:sz="0" w:space="0" w:color="auto"/>
                <w:right w:val="none" w:sz="0" w:space="0" w:color="auto"/>
              </w:divBdr>
              <w:divsChild>
                <w:div w:id="11309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4911">
      <w:bodyDiv w:val="1"/>
      <w:marLeft w:val="0"/>
      <w:marRight w:val="0"/>
      <w:marTop w:val="0"/>
      <w:marBottom w:val="0"/>
      <w:divBdr>
        <w:top w:val="none" w:sz="0" w:space="0" w:color="auto"/>
        <w:left w:val="none" w:sz="0" w:space="0" w:color="auto"/>
        <w:bottom w:val="none" w:sz="0" w:space="0" w:color="auto"/>
        <w:right w:val="none" w:sz="0" w:space="0" w:color="auto"/>
      </w:divBdr>
    </w:div>
    <w:div w:id="228394083">
      <w:bodyDiv w:val="1"/>
      <w:marLeft w:val="0"/>
      <w:marRight w:val="0"/>
      <w:marTop w:val="0"/>
      <w:marBottom w:val="0"/>
      <w:divBdr>
        <w:top w:val="none" w:sz="0" w:space="0" w:color="auto"/>
        <w:left w:val="none" w:sz="0" w:space="0" w:color="auto"/>
        <w:bottom w:val="none" w:sz="0" w:space="0" w:color="auto"/>
        <w:right w:val="none" w:sz="0" w:space="0" w:color="auto"/>
      </w:divBdr>
    </w:div>
    <w:div w:id="253515417">
      <w:bodyDiv w:val="1"/>
      <w:marLeft w:val="0"/>
      <w:marRight w:val="0"/>
      <w:marTop w:val="0"/>
      <w:marBottom w:val="0"/>
      <w:divBdr>
        <w:top w:val="none" w:sz="0" w:space="0" w:color="auto"/>
        <w:left w:val="none" w:sz="0" w:space="0" w:color="auto"/>
        <w:bottom w:val="none" w:sz="0" w:space="0" w:color="auto"/>
        <w:right w:val="none" w:sz="0" w:space="0" w:color="auto"/>
      </w:divBdr>
    </w:div>
    <w:div w:id="265579587">
      <w:bodyDiv w:val="1"/>
      <w:marLeft w:val="0"/>
      <w:marRight w:val="0"/>
      <w:marTop w:val="0"/>
      <w:marBottom w:val="0"/>
      <w:divBdr>
        <w:top w:val="none" w:sz="0" w:space="0" w:color="auto"/>
        <w:left w:val="none" w:sz="0" w:space="0" w:color="auto"/>
        <w:bottom w:val="none" w:sz="0" w:space="0" w:color="auto"/>
        <w:right w:val="none" w:sz="0" w:space="0" w:color="auto"/>
      </w:divBdr>
    </w:div>
    <w:div w:id="338045894">
      <w:bodyDiv w:val="1"/>
      <w:marLeft w:val="0"/>
      <w:marRight w:val="0"/>
      <w:marTop w:val="0"/>
      <w:marBottom w:val="0"/>
      <w:divBdr>
        <w:top w:val="none" w:sz="0" w:space="0" w:color="auto"/>
        <w:left w:val="none" w:sz="0" w:space="0" w:color="auto"/>
        <w:bottom w:val="none" w:sz="0" w:space="0" w:color="auto"/>
        <w:right w:val="none" w:sz="0" w:space="0" w:color="auto"/>
      </w:divBdr>
      <w:divsChild>
        <w:div w:id="1147477561">
          <w:marLeft w:val="0"/>
          <w:marRight w:val="0"/>
          <w:marTop w:val="0"/>
          <w:marBottom w:val="0"/>
          <w:divBdr>
            <w:top w:val="none" w:sz="0" w:space="0" w:color="auto"/>
            <w:left w:val="none" w:sz="0" w:space="0" w:color="auto"/>
            <w:bottom w:val="none" w:sz="0" w:space="0" w:color="auto"/>
            <w:right w:val="none" w:sz="0" w:space="0" w:color="auto"/>
          </w:divBdr>
          <w:divsChild>
            <w:div w:id="380832871">
              <w:marLeft w:val="0"/>
              <w:marRight w:val="0"/>
              <w:marTop w:val="0"/>
              <w:marBottom w:val="0"/>
              <w:divBdr>
                <w:top w:val="none" w:sz="0" w:space="0" w:color="auto"/>
                <w:left w:val="none" w:sz="0" w:space="0" w:color="auto"/>
                <w:bottom w:val="none" w:sz="0" w:space="0" w:color="auto"/>
                <w:right w:val="none" w:sz="0" w:space="0" w:color="auto"/>
              </w:divBdr>
              <w:divsChild>
                <w:div w:id="18506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49111">
      <w:bodyDiv w:val="1"/>
      <w:marLeft w:val="0"/>
      <w:marRight w:val="0"/>
      <w:marTop w:val="0"/>
      <w:marBottom w:val="0"/>
      <w:divBdr>
        <w:top w:val="none" w:sz="0" w:space="0" w:color="auto"/>
        <w:left w:val="none" w:sz="0" w:space="0" w:color="auto"/>
        <w:bottom w:val="none" w:sz="0" w:space="0" w:color="auto"/>
        <w:right w:val="none" w:sz="0" w:space="0" w:color="auto"/>
      </w:divBdr>
    </w:div>
    <w:div w:id="400057038">
      <w:bodyDiv w:val="1"/>
      <w:marLeft w:val="0"/>
      <w:marRight w:val="0"/>
      <w:marTop w:val="0"/>
      <w:marBottom w:val="0"/>
      <w:divBdr>
        <w:top w:val="none" w:sz="0" w:space="0" w:color="auto"/>
        <w:left w:val="none" w:sz="0" w:space="0" w:color="auto"/>
        <w:bottom w:val="none" w:sz="0" w:space="0" w:color="auto"/>
        <w:right w:val="none" w:sz="0" w:space="0" w:color="auto"/>
      </w:divBdr>
    </w:div>
    <w:div w:id="402146043">
      <w:bodyDiv w:val="1"/>
      <w:marLeft w:val="0"/>
      <w:marRight w:val="0"/>
      <w:marTop w:val="0"/>
      <w:marBottom w:val="0"/>
      <w:divBdr>
        <w:top w:val="none" w:sz="0" w:space="0" w:color="auto"/>
        <w:left w:val="none" w:sz="0" w:space="0" w:color="auto"/>
        <w:bottom w:val="none" w:sz="0" w:space="0" w:color="auto"/>
        <w:right w:val="none" w:sz="0" w:space="0" w:color="auto"/>
      </w:divBdr>
      <w:divsChild>
        <w:div w:id="1325279562">
          <w:marLeft w:val="0"/>
          <w:marRight w:val="0"/>
          <w:marTop w:val="0"/>
          <w:marBottom w:val="0"/>
          <w:divBdr>
            <w:top w:val="none" w:sz="0" w:space="0" w:color="auto"/>
            <w:left w:val="none" w:sz="0" w:space="0" w:color="auto"/>
            <w:bottom w:val="none" w:sz="0" w:space="0" w:color="auto"/>
            <w:right w:val="none" w:sz="0" w:space="0" w:color="auto"/>
          </w:divBdr>
          <w:divsChild>
            <w:div w:id="967125991">
              <w:marLeft w:val="0"/>
              <w:marRight w:val="0"/>
              <w:marTop w:val="0"/>
              <w:marBottom w:val="0"/>
              <w:divBdr>
                <w:top w:val="none" w:sz="0" w:space="0" w:color="auto"/>
                <w:left w:val="none" w:sz="0" w:space="0" w:color="auto"/>
                <w:bottom w:val="none" w:sz="0" w:space="0" w:color="auto"/>
                <w:right w:val="none" w:sz="0" w:space="0" w:color="auto"/>
              </w:divBdr>
              <w:divsChild>
                <w:div w:id="338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0096">
      <w:bodyDiv w:val="1"/>
      <w:marLeft w:val="0"/>
      <w:marRight w:val="0"/>
      <w:marTop w:val="0"/>
      <w:marBottom w:val="0"/>
      <w:divBdr>
        <w:top w:val="none" w:sz="0" w:space="0" w:color="auto"/>
        <w:left w:val="none" w:sz="0" w:space="0" w:color="auto"/>
        <w:bottom w:val="none" w:sz="0" w:space="0" w:color="auto"/>
        <w:right w:val="none" w:sz="0" w:space="0" w:color="auto"/>
      </w:divBdr>
    </w:div>
    <w:div w:id="428039420">
      <w:bodyDiv w:val="1"/>
      <w:marLeft w:val="0"/>
      <w:marRight w:val="0"/>
      <w:marTop w:val="0"/>
      <w:marBottom w:val="0"/>
      <w:divBdr>
        <w:top w:val="none" w:sz="0" w:space="0" w:color="auto"/>
        <w:left w:val="none" w:sz="0" w:space="0" w:color="auto"/>
        <w:bottom w:val="none" w:sz="0" w:space="0" w:color="auto"/>
        <w:right w:val="none" w:sz="0" w:space="0" w:color="auto"/>
      </w:divBdr>
    </w:div>
    <w:div w:id="439685068">
      <w:bodyDiv w:val="1"/>
      <w:marLeft w:val="0"/>
      <w:marRight w:val="0"/>
      <w:marTop w:val="0"/>
      <w:marBottom w:val="0"/>
      <w:divBdr>
        <w:top w:val="none" w:sz="0" w:space="0" w:color="auto"/>
        <w:left w:val="none" w:sz="0" w:space="0" w:color="auto"/>
        <w:bottom w:val="none" w:sz="0" w:space="0" w:color="auto"/>
        <w:right w:val="none" w:sz="0" w:space="0" w:color="auto"/>
      </w:divBdr>
    </w:div>
    <w:div w:id="444495579">
      <w:bodyDiv w:val="1"/>
      <w:marLeft w:val="0"/>
      <w:marRight w:val="0"/>
      <w:marTop w:val="0"/>
      <w:marBottom w:val="0"/>
      <w:divBdr>
        <w:top w:val="none" w:sz="0" w:space="0" w:color="auto"/>
        <w:left w:val="none" w:sz="0" w:space="0" w:color="auto"/>
        <w:bottom w:val="none" w:sz="0" w:space="0" w:color="auto"/>
        <w:right w:val="none" w:sz="0" w:space="0" w:color="auto"/>
      </w:divBdr>
      <w:divsChild>
        <w:div w:id="786510172">
          <w:marLeft w:val="0"/>
          <w:marRight w:val="0"/>
          <w:marTop w:val="0"/>
          <w:marBottom w:val="0"/>
          <w:divBdr>
            <w:top w:val="none" w:sz="0" w:space="0" w:color="auto"/>
            <w:left w:val="none" w:sz="0" w:space="0" w:color="auto"/>
            <w:bottom w:val="none" w:sz="0" w:space="0" w:color="auto"/>
            <w:right w:val="none" w:sz="0" w:space="0" w:color="auto"/>
          </w:divBdr>
          <w:divsChild>
            <w:div w:id="1171918857">
              <w:marLeft w:val="0"/>
              <w:marRight w:val="0"/>
              <w:marTop w:val="0"/>
              <w:marBottom w:val="0"/>
              <w:divBdr>
                <w:top w:val="none" w:sz="0" w:space="0" w:color="auto"/>
                <w:left w:val="none" w:sz="0" w:space="0" w:color="auto"/>
                <w:bottom w:val="none" w:sz="0" w:space="0" w:color="auto"/>
                <w:right w:val="none" w:sz="0" w:space="0" w:color="auto"/>
              </w:divBdr>
              <w:divsChild>
                <w:div w:id="12930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3225">
      <w:bodyDiv w:val="1"/>
      <w:marLeft w:val="0"/>
      <w:marRight w:val="0"/>
      <w:marTop w:val="0"/>
      <w:marBottom w:val="0"/>
      <w:divBdr>
        <w:top w:val="none" w:sz="0" w:space="0" w:color="auto"/>
        <w:left w:val="none" w:sz="0" w:space="0" w:color="auto"/>
        <w:bottom w:val="none" w:sz="0" w:space="0" w:color="auto"/>
        <w:right w:val="none" w:sz="0" w:space="0" w:color="auto"/>
      </w:divBdr>
    </w:div>
    <w:div w:id="479544598">
      <w:bodyDiv w:val="1"/>
      <w:marLeft w:val="0"/>
      <w:marRight w:val="0"/>
      <w:marTop w:val="0"/>
      <w:marBottom w:val="0"/>
      <w:divBdr>
        <w:top w:val="none" w:sz="0" w:space="0" w:color="auto"/>
        <w:left w:val="none" w:sz="0" w:space="0" w:color="auto"/>
        <w:bottom w:val="none" w:sz="0" w:space="0" w:color="auto"/>
        <w:right w:val="none" w:sz="0" w:space="0" w:color="auto"/>
      </w:divBdr>
      <w:divsChild>
        <w:div w:id="1140268945">
          <w:marLeft w:val="0"/>
          <w:marRight w:val="0"/>
          <w:marTop w:val="0"/>
          <w:marBottom w:val="0"/>
          <w:divBdr>
            <w:top w:val="none" w:sz="0" w:space="0" w:color="auto"/>
            <w:left w:val="none" w:sz="0" w:space="0" w:color="auto"/>
            <w:bottom w:val="none" w:sz="0" w:space="0" w:color="auto"/>
            <w:right w:val="none" w:sz="0" w:space="0" w:color="auto"/>
          </w:divBdr>
          <w:divsChild>
            <w:div w:id="1914655004">
              <w:marLeft w:val="0"/>
              <w:marRight w:val="0"/>
              <w:marTop w:val="0"/>
              <w:marBottom w:val="0"/>
              <w:divBdr>
                <w:top w:val="none" w:sz="0" w:space="0" w:color="auto"/>
                <w:left w:val="none" w:sz="0" w:space="0" w:color="auto"/>
                <w:bottom w:val="none" w:sz="0" w:space="0" w:color="auto"/>
                <w:right w:val="none" w:sz="0" w:space="0" w:color="auto"/>
              </w:divBdr>
              <w:divsChild>
                <w:div w:id="2984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20444">
      <w:bodyDiv w:val="1"/>
      <w:marLeft w:val="0"/>
      <w:marRight w:val="0"/>
      <w:marTop w:val="0"/>
      <w:marBottom w:val="0"/>
      <w:divBdr>
        <w:top w:val="none" w:sz="0" w:space="0" w:color="auto"/>
        <w:left w:val="none" w:sz="0" w:space="0" w:color="auto"/>
        <w:bottom w:val="none" w:sz="0" w:space="0" w:color="auto"/>
        <w:right w:val="none" w:sz="0" w:space="0" w:color="auto"/>
      </w:divBdr>
    </w:div>
    <w:div w:id="504444890">
      <w:bodyDiv w:val="1"/>
      <w:marLeft w:val="0"/>
      <w:marRight w:val="0"/>
      <w:marTop w:val="0"/>
      <w:marBottom w:val="0"/>
      <w:divBdr>
        <w:top w:val="none" w:sz="0" w:space="0" w:color="auto"/>
        <w:left w:val="none" w:sz="0" w:space="0" w:color="auto"/>
        <w:bottom w:val="none" w:sz="0" w:space="0" w:color="auto"/>
        <w:right w:val="none" w:sz="0" w:space="0" w:color="auto"/>
      </w:divBdr>
    </w:div>
    <w:div w:id="545264198">
      <w:bodyDiv w:val="1"/>
      <w:marLeft w:val="0"/>
      <w:marRight w:val="0"/>
      <w:marTop w:val="0"/>
      <w:marBottom w:val="0"/>
      <w:divBdr>
        <w:top w:val="none" w:sz="0" w:space="0" w:color="auto"/>
        <w:left w:val="none" w:sz="0" w:space="0" w:color="auto"/>
        <w:bottom w:val="none" w:sz="0" w:space="0" w:color="auto"/>
        <w:right w:val="none" w:sz="0" w:space="0" w:color="auto"/>
      </w:divBdr>
    </w:div>
    <w:div w:id="557977884">
      <w:bodyDiv w:val="1"/>
      <w:marLeft w:val="0"/>
      <w:marRight w:val="0"/>
      <w:marTop w:val="0"/>
      <w:marBottom w:val="0"/>
      <w:divBdr>
        <w:top w:val="none" w:sz="0" w:space="0" w:color="auto"/>
        <w:left w:val="none" w:sz="0" w:space="0" w:color="auto"/>
        <w:bottom w:val="none" w:sz="0" w:space="0" w:color="auto"/>
        <w:right w:val="none" w:sz="0" w:space="0" w:color="auto"/>
      </w:divBdr>
    </w:div>
    <w:div w:id="564075423">
      <w:bodyDiv w:val="1"/>
      <w:marLeft w:val="0"/>
      <w:marRight w:val="0"/>
      <w:marTop w:val="0"/>
      <w:marBottom w:val="0"/>
      <w:divBdr>
        <w:top w:val="none" w:sz="0" w:space="0" w:color="auto"/>
        <w:left w:val="none" w:sz="0" w:space="0" w:color="auto"/>
        <w:bottom w:val="none" w:sz="0" w:space="0" w:color="auto"/>
        <w:right w:val="none" w:sz="0" w:space="0" w:color="auto"/>
      </w:divBdr>
    </w:div>
    <w:div w:id="583993791">
      <w:bodyDiv w:val="1"/>
      <w:marLeft w:val="0"/>
      <w:marRight w:val="0"/>
      <w:marTop w:val="0"/>
      <w:marBottom w:val="0"/>
      <w:divBdr>
        <w:top w:val="none" w:sz="0" w:space="0" w:color="auto"/>
        <w:left w:val="none" w:sz="0" w:space="0" w:color="auto"/>
        <w:bottom w:val="none" w:sz="0" w:space="0" w:color="auto"/>
        <w:right w:val="none" w:sz="0" w:space="0" w:color="auto"/>
      </w:divBdr>
    </w:div>
    <w:div w:id="585237424">
      <w:bodyDiv w:val="1"/>
      <w:marLeft w:val="0"/>
      <w:marRight w:val="0"/>
      <w:marTop w:val="0"/>
      <w:marBottom w:val="0"/>
      <w:divBdr>
        <w:top w:val="none" w:sz="0" w:space="0" w:color="auto"/>
        <w:left w:val="none" w:sz="0" w:space="0" w:color="auto"/>
        <w:bottom w:val="none" w:sz="0" w:space="0" w:color="auto"/>
        <w:right w:val="none" w:sz="0" w:space="0" w:color="auto"/>
      </w:divBdr>
    </w:div>
    <w:div w:id="601035025">
      <w:bodyDiv w:val="1"/>
      <w:marLeft w:val="0"/>
      <w:marRight w:val="0"/>
      <w:marTop w:val="0"/>
      <w:marBottom w:val="0"/>
      <w:divBdr>
        <w:top w:val="none" w:sz="0" w:space="0" w:color="auto"/>
        <w:left w:val="none" w:sz="0" w:space="0" w:color="auto"/>
        <w:bottom w:val="none" w:sz="0" w:space="0" w:color="auto"/>
        <w:right w:val="none" w:sz="0" w:space="0" w:color="auto"/>
      </w:divBdr>
      <w:divsChild>
        <w:div w:id="1626961869">
          <w:marLeft w:val="0"/>
          <w:marRight w:val="0"/>
          <w:marTop w:val="0"/>
          <w:marBottom w:val="0"/>
          <w:divBdr>
            <w:top w:val="none" w:sz="0" w:space="0" w:color="auto"/>
            <w:left w:val="none" w:sz="0" w:space="0" w:color="auto"/>
            <w:bottom w:val="none" w:sz="0" w:space="0" w:color="auto"/>
            <w:right w:val="none" w:sz="0" w:space="0" w:color="auto"/>
          </w:divBdr>
          <w:divsChild>
            <w:div w:id="1093088612">
              <w:marLeft w:val="0"/>
              <w:marRight w:val="0"/>
              <w:marTop w:val="0"/>
              <w:marBottom w:val="0"/>
              <w:divBdr>
                <w:top w:val="none" w:sz="0" w:space="0" w:color="auto"/>
                <w:left w:val="none" w:sz="0" w:space="0" w:color="auto"/>
                <w:bottom w:val="none" w:sz="0" w:space="0" w:color="auto"/>
                <w:right w:val="none" w:sz="0" w:space="0" w:color="auto"/>
              </w:divBdr>
              <w:divsChild>
                <w:div w:id="4577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71453">
      <w:bodyDiv w:val="1"/>
      <w:marLeft w:val="0"/>
      <w:marRight w:val="0"/>
      <w:marTop w:val="0"/>
      <w:marBottom w:val="0"/>
      <w:divBdr>
        <w:top w:val="none" w:sz="0" w:space="0" w:color="auto"/>
        <w:left w:val="none" w:sz="0" w:space="0" w:color="auto"/>
        <w:bottom w:val="none" w:sz="0" w:space="0" w:color="auto"/>
        <w:right w:val="none" w:sz="0" w:space="0" w:color="auto"/>
      </w:divBdr>
    </w:div>
    <w:div w:id="642152657">
      <w:bodyDiv w:val="1"/>
      <w:marLeft w:val="0"/>
      <w:marRight w:val="0"/>
      <w:marTop w:val="0"/>
      <w:marBottom w:val="0"/>
      <w:divBdr>
        <w:top w:val="none" w:sz="0" w:space="0" w:color="auto"/>
        <w:left w:val="none" w:sz="0" w:space="0" w:color="auto"/>
        <w:bottom w:val="none" w:sz="0" w:space="0" w:color="auto"/>
        <w:right w:val="none" w:sz="0" w:space="0" w:color="auto"/>
      </w:divBdr>
    </w:div>
    <w:div w:id="644701254">
      <w:bodyDiv w:val="1"/>
      <w:marLeft w:val="0"/>
      <w:marRight w:val="0"/>
      <w:marTop w:val="0"/>
      <w:marBottom w:val="0"/>
      <w:divBdr>
        <w:top w:val="none" w:sz="0" w:space="0" w:color="auto"/>
        <w:left w:val="none" w:sz="0" w:space="0" w:color="auto"/>
        <w:bottom w:val="none" w:sz="0" w:space="0" w:color="auto"/>
        <w:right w:val="none" w:sz="0" w:space="0" w:color="auto"/>
      </w:divBdr>
    </w:div>
    <w:div w:id="649556158">
      <w:bodyDiv w:val="1"/>
      <w:marLeft w:val="0"/>
      <w:marRight w:val="0"/>
      <w:marTop w:val="0"/>
      <w:marBottom w:val="0"/>
      <w:divBdr>
        <w:top w:val="none" w:sz="0" w:space="0" w:color="auto"/>
        <w:left w:val="none" w:sz="0" w:space="0" w:color="auto"/>
        <w:bottom w:val="none" w:sz="0" w:space="0" w:color="auto"/>
        <w:right w:val="none" w:sz="0" w:space="0" w:color="auto"/>
      </w:divBdr>
    </w:div>
    <w:div w:id="652102021">
      <w:bodyDiv w:val="1"/>
      <w:marLeft w:val="0"/>
      <w:marRight w:val="0"/>
      <w:marTop w:val="0"/>
      <w:marBottom w:val="0"/>
      <w:divBdr>
        <w:top w:val="none" w:sz="0" w:space="0" w:color="auto"/>
        <w:left w:val="none" w:sz="0" w:space="0" w:color="auto"/>
        <w:bottom w:val="none" w:sz="0" w:space="0" w:color="auto"/>
        <w:right w:val="none" w:sz="0" w:space="0" w:color="auto"/>
      </w:divBdr>
    </w:div>
    <w:div w:id="712316978">
      <w:bodyDiv w:val="1"/>
      <w:marLeft w:val="0"/>
      <w:marRight w:val="0"/>
      <w:marTop w:val="0"/>
      <w:marBottom w:val="0"/>
      <w:divBdr>
        <w:top w:val="none" w:sz="0" w:space="0" w:color="auto"/>
        <w:left w:val="none" w:sz="0" w:space="0" w:color="auto"/>
        <w:bottom w:val="none" w:sz="0" w:space="0" w:color="auto"/>
        <w:right w:val="none" w:sz="0" w:space="0" w:color="auto"/>
      </w:divBdr>
    </w:div>
    <w:div w:id="725227448">
      <w:bodyDiv w:val="1"/>
      <w:marLeft w:val="0"/>
      <w:marRight w:val="0"/>
      <w:marTop w:val="0"/>
      <w:marBottom w:val="0"/>
      <w:divBdr>
        <w:top w:val="none" w:sz="0" w:space="0" w:color="auto"/>
        <w:left w:val="none" w:sz="0" w:space="0" w:color="auto"/>
        <w:bottom w:val="none" w:sz="0" w:space="0" w:color="auto"/>
        <w:right w:val="none" w:sz="0" w:space="0" w:color="auto"/>
      </w:divBdr>
    </w:div>
    <w:div w:id="725952782">
      <w:bodyDiv w:val="1"/>
      <w:marLeft w:val="0"/>
      <w:marRight w:val="0"/>
      <w:marTop w:val="0"/>
      <w:marBottom w:val="0"/>
      <w:divBdr>
        <w:top w:val="none" w:sz="0" w:space="0" w:color="auto"/>
        <w:left w:val="none" w:sz="0" w:space="0" w:color="auto"/>
        <w:bottom w:val="none" w:sz="0" w:space="0" w:color="auto"/>
        <w:right w:val="none" w:sz="0" w:space="0" w:color="auto"/>
      </w:divBdr>
    </w:div>
    <w:div w:id="759251756">
      <w:bodyDiv w:val="1"/>
      <w:marLeft w:val="0"/>
      <w:marRight w:val="0"/>
      <w:marTop w:val="0"/>
      <w:marBottom w:val="0"/>
      <w:divBdr>
        <w:top w:val="none" w:sz="0" w:space="0" w:color="auto"/>
        <w:left w:val="none" w:sz="0" w:space="0" w:color="auto"/>
        <w:bottom w:val="none" w:sz="0" w:space="0" w:color="auto"/>
        <w:right w:val="none" w:sz="0" w:space="0" w:color="auto"/>
      </w:divBdr>
    </w:div>
    <w:div w:id="796487111">
      <w:bodyDiv w:val="1"/>
      <w:marLeft w:val="0"/>
      <w:marRight w:val="0"/>
      <w:marTop w:val="0"/>
      <w:marBottom w:val="0"/>
      <w:divBdr>
        <w:top w:val="none" w:sz="0" w:space="0" w:color="auto"/>
        <w:left w:val="none" w:sz="0" w:space="0" w:color="auto"/>
        <w:bottom w:val="none" w:sz="0" w:space="0" w:color="auto"/>
        <w:right w:val="none" w:sz="0" w:space="0" w:color="auto"/>
      </w:divBdr>
    </w:div>
    <w:div w:id="816921243">
      <w:bodyDiv w:val="1"/>
      <w:marLeft w:val="0"/>
      <w:marRight w:val="0"/>
      <w:marTop w:val="0"/>
      <w:marBottom w:val="0"/>
      <w:divBdr>
        <w:top w:val="none" w:sz="0" w:space="0" w:color="auto"/>
        <w:left w:val="none" w:sz="0" w:space="0" w:color="auto"/>
        <w:bottom w:val="none" w:sz="0" w:space="0" w:color="auto"/>
        <w:right w:val="none" w:sz="0" w:space="0" w:color="auto"/>
      </w:divBdr>
    </w:div>
    <w:div w:id="848250962">
      <w:bodyDiv w:val="1"/>
      <w:marLeft w:val="0"/>
      <w:marRight w:val="0"/>
      <w:marTop w:val="0"/>
      <w:marBottom w:val="0"/>
      <w:divBdr>
        <w:top w:val="none" w:sz="0" w:space="0" w:color="auto"/>
        <w:left w:val="none" w:sz="0" w:space="0" w:color="auto"/>
        <w:bottom w:val="none" w:sz="0" w:space="0" w:color="auto"/>
        <w:right w:val="none" w:sz="0" w:space="0" w:color="auto"/>
      </w:divBdr>
    </w:div>
    <w:div w:id="864640176">
      <w:bodyDiv w:val="1"/>
      <w:marLeft w:val="0"/>
      <w:marRight w:val="0"/>
      <w:marTop w:val="0"/>
      <w:marBottom w:val="0"/>
      <w:divBdr>
        <w:top w:val="none" w:sz="0" w:space="0" w:color="auto"/>
        <w:left w:val="none" w:sz="0" w:space="0" w:color="auto"/>
        <w:bottom w:val="none" w:sz="0" w:space="0" w:color="auto"/>
        <w:right w:val="none" w:sz="0" w:space="0" w:color="auto"/>
      </w:divBdr>
    </w:div>
    <w:div w:id="872350069">
      <w:bodyDiv w:val="1"/>
      <w:marLeft w:val="0"/>
      <w:marRight w:val="0"/>
      <w:marTop w:val="0"/>
      <w:marBottom w:val="0"/>
      <w:divBdr>
        <w:top w:val="none" w:sz="0" w:space="0" w:color="auto"/>
        <w:left w:val="none" w:sz="0" w:space="0" w:color="auto"/>
        <w:bottom w:val="none" w:sz="0" w:space="0" w:color="auto"/>
        <w:right w:val="none" w:sz="0" w:space="0" w:color="auto"/>
      </w:divBdr>
    </w:div>
    <w:div w:id="896626974">
      <w:bodyDiv w:val="1"/>
      <w:marLeft w:val="0"/>
      <w:marRight w:val="0"/>
      <w:marTop w:val="0"/>
      <w:marBottom w:val="0"/>
      <w:divBdr>
        <w:top w:val="none" w:sz="0" w:space="0" w:color="auto"/>
        <w:left w:val="none" w:sz="0" w:space="0" w:color="auto"/>
        <w:bottom w:val="none" w:sz="0" w:space="0" w:color="auto"/>
        <w:right w:val="none" w:sz="0" w:space="0" w:color="auto"/>
      </w:divBdr>
      <w:divsChild>
        <w:div w:id="932543923">
          <w:marLeft w:val="0"/>
          <w:marRight w:val="0"/>
          <w:marTop w:val="0"/>
          <w:marBottom w:val="0"/>
          <w:divBdr>
            <w:top w:val="none" w:sz="0" w:space="0" w:color="auto"/>
            <w:left w:val="none" w:sz="0" w:space="0" w:color="auto"/>
            <w:bottom w:val="none" w:sz="0" w:space="0" w:color="auto"/>
            <w:right w:val="none" w:sz="0" w:space="0" w:color="auto"/>
          </w:divBdr>
          <w:divsChild>
            <w:div w:id="1549872799">
              <w:marLeft w:val="0"/>
              <w:marRight w:val="0"/>
              <w:marTop w:val="0"/>
              <w:marBottom w:val="0"/>
              <w:divBdr>
                <w:top w:val="none" w:sz="0" w:space="0" w:color="auto"/>
                <w:left w:val="none" w:sz="0" w:space="0" w:color="auto"/>
                <w:bottom w:val="none" w:sz="0" w:space="0" w:color="auto"/>
                <w:right w:val="none" w:sz="0" w:space="0" w:color="auto"/>
              </w:divBdr>
              <w:divsChild>
                <w:div w:id="1651592316">
                  <w:marLeft w:val="0"/>
                  <w:marRight w:val="0"/>
                  <w:marTop w:val="0"/>
                  <w:marBottom w:val="0"/>
                  <w:divBdr>
                    <w:top w:val="none" w:sz="0" w:space="0" w:color="auto"/>
                    <w:left w:val="none" w:sz="0" w:space="0" w:color="auto"/>
                    <w:bottom w:val="none" w:sz="0" w:space="0" w:color="auto"/>
                    <w:right w:val="none" w:sz="0" w:space="0" w:color="auto"/>
                  </w:divBdr>
                </w:div>
              </w:divsChild>
            </w:div>
            <w:div w:id="730005602">
              <w:marLeft w:val="0"/>
              <w:marRight w:val="0"/>
              <w:marTop w:val="0"/>
              <w:marBottom w:val="0"/>
              <w:divBdr>
                <w:top w:val="none" w:sz="0" w:space="0" w:color="auto"/>
                <w:left w:val="none" w:sz="0" w:space="0" w:color="auto"/>
                <w:bottom w:val="none" w:sz="0" w:space="0" w:color="auto"/>
                <w:right w:val="none" w:sz="0" w:space="0" w:color="auto"/>
              </w:divBdr>
            </w:div>
          </w:divsChild>
        </w:div>
        <w:div w:id="1730348027">
          <w:marLeft w:val="0"/>
          <w:marRight w:val="0"/>
          <w:marTop w:val="0"/>
          <w:marBottom w:val="0"/>
          <w:divBdr>
            <w:top w:val="none" w:sz="0" w:space="0" w:color="auto"/>
            <w:left w:val="none" w:sz="0" w:space="0" w:color="auto"/>
            <w:bottom w:val="none" w:sz="0" w:space="0" w:color="auto"/>
            <w:right w:val="none" w:sz="0" w:space="0" w:color="auto"/>
          </w:divBdr>
        </w:div>
      </w:divsChild>
    </w:div>
    <w:div w:id="924145594">
      <w:bodyDiv w:val="1"/>
      <w:marLeft w:val="0"/>
      <w:marRight w:val="0"/>
      <w:marTop w:val="0"/>
      <w:marBottom w:val="0"/>
      <w:divBdr>
        <w:top w:val="none" w:sz="0" w:space="0" w:color="auto"/>
        <w:left w:val="none" w:sz="0" w:space="0" w:color="auto"/>
        <w:bottom w:val="none" w:sz="0" w:space="0" w:color="auto"/>
        <w:right w:val="none" w:sz="0" w:space="0" w:color="auto"/>
      </w:divBdr>
      <w:divsChild>
        <w:div w:id="1145320043">
          <w:marLeft w:val="0"/>
          <w:marRight w:val="0"/>
          <w:marTop w:val="0"/>
          <w:marBottom w:val="0"/>
          <w:divBdr>
            <w:top w:val="none" w:sz="0" w:space="0" w:color="auto"/>
            <w:left w:val="none" w:sz="0" w:space="0" w:color="auto"/>
            <w:bottom w:val="none" w:sz="0" w:space="0" w:color="auto"/>
            <w:right w:val="none" w:sz="0" w:space="0" w:color="auto"/>
          </w:divBdr>
          <w:divsChild>
            <w:div w:id="595553553">
              <w:marLeft w:val="0"/>
              <w:marRight w:val="0"/>
              <w:marTop w:val="0"/>
              <w:marBottom w:val="0"/>
              <w:divBdr>
                <w:top w:val="none" w:sz="0" w:space="0" w:color="auto"/>
                <w:left w:val="none" w:sz="0" w:space="0" w:color="auto"/>
                <w:bottom w:val="none" w:sz="0" w:space="0" w:color="auto"/>
                <w:right w:val="none" w:sz="0" w:space="0" w:color="auto"/>
              </w:divBdr>
              <w:divsChild>
                <w:div w:id="6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3405">
      <w:bodyDiv w:val="1"/>
      <w:marLeft w:val="0"/>
      <w:marRight w:val="0"/>
      <w:marTop w:val="0"/>
      <w:marBottom w:val="0"/>
      <w:divBdr>
        <w:top w:val="none" w:sz="0" w:space="0" w:color="auto"/>
        <w:left w:val="none" w:sz="0" w:space="0" w:color="auto"/>
        <w:bottom w:val="none" w:sz="0" w:space="0" w:color="auto"/>
        <w:right w:val="none" w:sz="0" w:space="0" w:color="auto"/>
      </w:divBdr>
    </w:div>
    <w:div w:id="969212103">
      <w:bodyDiv w:val="1"/>
      <w:marLeft w:val="0"/>
      <w:marRight w:val="0"/>
      <w:marTop w:val="0"/>
      <w:marBottom w:val="0"/>
      <w:divBdr>
        <w:top w:val="none" w:sz="0" w:space="0" w:color="auto"/>
        <w:left w:val="none" w:sz="0" w:space="0" w:color="auto"/>
        <w:bottom w:val="none" w:sz="0" w:space="0" w:color="auto"/>
        <w:right w:val="none" w:sz="0" w:space="0" w:color="auto"/>
      </w:divBdr>
    </w:div>
    <w:div w:id="990132311">
      <w:bodyDiv w:val="1"/>
      <w:marLeft w:val="0"/>
      <w:marRight w:val="0"/>
      <w:marTop w:val="0"/>
      <w:marBottom w:val="0"/>
      <w:divBdr>
        <w:top w:val="none" w:sz="0" w:space="0" w:color="auto"/>
        <w:left w:val="none" w:sz="0" w:space="0" w:color="auto"/>
        <w:bottom w:val="none" w:sz="0" w:space="0" w:color="auto"/>
        <w:right w:val="none" w:sz="0" w:space="0" w:color="auto"/>
      </w:divBdr>
    </w:div>
    <w:div w:id="993996860">
      <w:bodyDiv w:val="1"/>
      <w:marLeft w:val="0"/>
      <w:marRight w:val="0"/>
      <w:marTop w:val="0"/>
      <w:marBottom w:val="0"/>
      <w:divBdr>
        <w:top w:val="none" w:sz="0" w:space="0" w:color="auto"/>
        <w:left w:val="none" w:sz="0" w:space="0" w:color="auto"/>
        <w:bottom w:val="none" w:sz="0" w:space="0" w:color="auto"/>
        <w:right w:val="none" w:sz="0" w:space="0" w:color="auto"/>
      </w:divBdr>
    </w:div>
    <w:div w:id="1022584295">
      <w:bodyDiv w:val="1"/>
      <w:marLeft w:val="0"/>
      <w:marRight w:val="0"/>
      <w:marTop w:val="0"/>
      <w:marBottom w:val="0"/>
      <w:divBdr>
        <w:top w:val="none" w:sz="0" w:space="0" w:color="auto"/>
        <w:left w:val="none" w:sz="0" w:space="0" w:color="auto"/>
        <w:bottom w:val="none" w:sz="0" w:space="0" w:color="auto"/>
        <w:right w:val="none" w:sz="0" w:space="0" w:color="auto"/>
      </w:divBdr>
    </w:div>
    <w:div w:id="1028608855">
      <w:bodyDiv w:val="1"/>
      <w:marLeft w:val="0"/>
      <w:marRight w:val="0"/>
      <w:marTop w:val="0"/>
      <w:marBottom w:val="0"/>
      <w:divBdr>
        <w:top w:val="none" w:sz="0" w:space="0" w:color="auto"/>
        <w:left w:val="none" w:sz="0" w:space="0" w:color="auto"/>
        <w:bottom w:val="none" w:sz="0" w:space="0" w:color="auto"/>
        <w:right w:val="none" w:sz="0" w:space="0" w:color="auto"/>
      </w:divBdr>
    </w:div>
    <w:div w:id="1035156524">
      <w:bodyDiv w:val="1"/>
      <w:marLeft w:val="0"/>
      <w:marRight w:val="0"/>
      <w:marTop w:val="0"/>
      <w:marBottom w:val="0"/>
      <w:divBdr>
        <w:top w:val="none" w:sz="0" w:space="0" w:color="auto"/>
        <w:left w:val="none" w:sz="0" w:space="0" w:color="auto"/>
        <w:bottom w:val="none" w:sz="0" w:space="0" w:color="auto"/>
        <w:right w:val="none" w:sz="0" w:space="0" w:color="auto"/>
      </w:divBdr>
    </w:div>
    <w:div w:id="1037897236">
      <w:bodyDiv w:val="1"/>
      <w:marLeft w:val="0"/>
      <w:marRight w:val="0"/>
      <w:marTop w:val="0"/>
      <w:marBottom w:val="0"/>
      <w:divBdr>
        <w:top w:val="none" w:sz="0" w:space="0" w:color="auto"/>
        <w:left w:val="none" w:sz="0" w:space="0" w:color="auto"/>
        <w:bottom w:val="none" w:sz="0" w:space="0" w:color="auto"/>
        <w:right w:val="none" w:sz="0" w:space="0" w:color="auto"/>
      </w:divBdr>
    </w:div>
    <w:div w:id="1040009183">
      <w:bodyDiv w:val="1"/>
      <w:marLeft w:val="0"/>
      <w:marRight w:val="0"/>
      <w:marTop w:val="0"/>
      <w:marBottom w:val="0"/>
      <w:divBdr>
        <w:top w:val="none" w:sz="0" w:space="0" w:color="auto"/>
        <w:left w:val="none" w:sz="0" w:space="0" w:color="auto"/>
        <w:bottom w:val="none" w:sz="0" w:space="0" w:color="auto"/>
        <w:right w:val="none" w:sz="0" w:space="0" w:color="auto"/>
      </w:divBdr>
    </w:div>
    <w:div w:id="1053961326">
      <w:bodyDiv w:val="1"/>
      <w:marLeft w:val="0"/>
      <w:marRight w:val="0"/>
      <w:marTop w:val="0"/>
      <w:marBottom w:val="0"/>
      <w:divBdr>
        <w:top w:val="none" w:sz="0" w:space="0" w:color="auto"/>
        <w:left w:val="none" w:sz="0" w:space="0" w:color="auto"/>
        <w:bottom w:val="none" w:sz="0" w:space="0" w:color="auto"/>
        <w:right w:val="none" w:sz="0" w:space="0" w:color="auto"/>
      </w:divBdr>
    </w:div>
    <w:div w:id="1073507893">
      <w:bodyDiv w:val="1"/>
      <w:marLeft w:val="0"/>
      <w:marRight w:val="0"/>
      <w:marTop w:val="0"/>
      <w:marBottom w:val="0"/>
      <w:divBdr>
        <w:top w:val="none" w:sz="0" w:space="0" w:color="auto"/>
        <w:left w:val="none" w:sz="0" w:space="0" w:color="auto"/>
        <w:bottom w:val="none" w:sz="0" w:space="0" w:color="auto"/>
        <w:right w:val="none" w:sz="0" w:space="0" w:color="auto"/>
      </w:divBdr>
    </w:div>
    <w:div w:id="1087505423">
      <w:bodyDiv w:val="1"/>
      <w:marLeft w:val="0"/>
      <w:marRight w:val="0"/>
      <w:marTop w:val="0"/>
      <w:marBottom w:val="0"/>
      <w:divBdr>
        <w:top w:val="none" w:sz="0" w:space="0" w:color="auto"/>
        <w:left w:val="none" w:sz="0" w:space="0" w:color="auto"/>
        <w:bottom w:val="none" w:sz="0" w:space="0" w:color="auto"/>
        <w:right w:val="none" w:sz="0" w:space="0" w:color="auto"/>
      </w:divBdr>
    </w:div>
    <w:div w:id="1093357551">
      <w:bodyDiv w:val="1"/>
      <w:marLeft w:val="0"/>
      <w:marRight w:val="0"/>
      <w:marTop w:val="0"/>
      <w:marBottom w:val="0"/>
      <w:divBdr>
        <w:top w:val="none" w:sz="0" w:space="0" w:color="auto"/>
        <w:left w:val="none" w:sz="0" w:space="0" w:color="auto"/>
        <w:bottom w:val="none" w:sz="0" w:space="0" w:color="auto"/>
        <w:right w:val="none" w:sz="0" w:space="0" w:color="auto"/>
      </w:divBdr>
      <w:divsChild>
        <w:div w:id="1211766747">
          <w:marLeft w:val="0"/>
          <w:marRight w:val="0"/>
          <w:marTop w:val="0"/>
          <w:marBottom w:val="0"/>
          <w:divBdr>
            <w:top w:val="none" w:sz="0" w:space="0" w:color="auto"/>
            <w:left w:val="none" w:sz="0" w:space="0" w:color="auto"/>
            <w:bottom w:val="none" w:sz="0" w:space="0" w:color="auto"/>
            <w:right w:val="none" w:sz="0" w:space="0" w:color="auto"/>
          </w:divBdr>
          <w:divsChild>
            <w:div w:id="1134906218">
              <w:marLeft w:val="0"/>
              <w:marRight w:val="0"/>
              <w:marTop w:val="0"/>
              <w:marBottom w:val="0"/>
              <w:divBdr>
                <w:top w:val="none" w:sz="0" w:space="0" w:color="auto"/>
                <w:left w:val="none" w:sz="0" w:space="0" w:color="auto"/>
                <w:bottom w:val="none" w:sz="0" w:space="0" w:color="auto"/>
                <w:right w:val="none" w:sz="0" w:space="0" w:color="auto"/>
              </w:divBdr>
              <w:divsChild>
                <w:div w:id="14167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6555">
      <w:bodyDiv w:val="1"/>
      <w:marLeft w:val="0"/>
      <w:marRight w:val="0"/>
      <w:marTop w:val="0"/>
      <w:marBottom w:val="0"/>
      <w:divBdr>
        <w:top w:val="none" w:sz="0" w:space="0" w:color="auto"/>
        <w:left w:val="none" w:sz="0" w:space="0" w:color="auto"/>
        <w:bottom w:val="none" w:sz="0" w:space="0" w:color="auto"/>
        <w:right w:val="none" w:sz="0" w:space="0" w:color="auto"/>
      </w:divBdr>
    </w:div>
    <w:div w:id="1123694238">
      <w:bodyDiv w:val="1"/>
      <w:marLeft w:val="0"/>
      <w:marRight w:val="0"/>
      <w:marTop w:val="0"/>
      <w:marBottom w:val="0"/>
      <w:divBdr>
        <w:top w:val="none" w:sz="0" w:space="0" w:color="auto"/>
        <w:left w:val="none" w:sz="0" w:space="0" w:color="auto"/>
        <w:bottom w:val="none" w:sz="0" w:space="0" w:color="auto"/>
        <w:right w:val="none" w:sz="0" w:space="0" w:color="auto"/>
      </w:divBdr>
    </w:div>
    <w:div w:id="1168137993">
      <w:bodyDiv w:val="1"/>
      <w:marLeft w:val="0"/>
      <w:marRight w:val="0"/>
      <w:marTop w:val="0"/>
      <w:marBottom w:val="0"/>
      <w:divBdr>
        <w:top w:val="none" w:sz="0" w:space="0" w:color="auto"/>
        <w:left w:val="none" w:sz="0" w:space="0" w:color="auto"/>
        <w:bottom w:val="none" w:sz="0" w:space="0" w:color="auto"/>
        <w:right w:val="none" w:sz="0" w:space="0" w:color="auto"/>
      </w:divBdr>
    </w:div>
    <w:div w:id="1171916829">
      <w:bodyDiv w:val="1"/>
      <w:marLeft w:val="0"/>
      <w:marRight w:val="0"/>
      <w:marTop w:val="0"/>
      <w:marBottom w:val="0"/>
      <w:divBdr>
        <w:top w:val="none" w:sz="0" w:space="0" w:color="auto"/>
        <w:left w:val="none" w:sz="0" w:space="0" w:color="auto"/>
        <w:bottom w:val="none" w:sz="0" w:space="0" w:color="auto"/>
        <w:right w:val="none" w:sz="0" w:space="0" w:color="auto"/>
      </w:divBdr>
      <w:divsChild>
        <w:div w:id="464277478">
          <w:marLeft w:val="0"/>
          <w:marRight w:val="0"/>
          <w:marTop w:val="0"/>
          <w:marBottom w:val="0"/>
          <w:divBdr>
            <w:top w:val="none" w:sz="0" w:space="0" w:color="auto"/>
            <w:left w:val="none" w:sz="0" w:space="0" w:color="auto"/>
            <w:bottom w:val="none" w:sz="0" w:space="0" w:color="auto"/>
            <w:right w:val="none" w:sz="0" w:space="0" w:color="auto"/>
          </w:divBdr>
        </w:div>
        <w:div w:id="1405029936">
          <w:marLeft w:val="0"/>
          <w:marRight w:val="0"/>
          <w:marTop w:val="0"/>
          <w:marBottom w:val="0"/>
          <w:divBdr>
            <w:top w:val="none" w:sz="0" w:space="0" w:color="auto"/>
            <w:left w:val="none" w:sz="0" w:space="0" w:color="auto"/>
            <w:bottom w:val="none" w:sz="0" w:space="0" w:color="auto"/>
            <w:right w:val="none" w:sz="0" w:space="0" w:color="auto"/>
          </w:divBdr>
          <w:divsChild>
            <w:div w:id="1778135576">
              <w:marLeft w:val="0"/>
              <w:marRight w:val="0"/>
              <w:marTop w:val="0"/>
              <w:marBottom w:val="0"/>
              <w:divBdr>
                <w:top w:val="none" w:sz="0" w:space="0" w:color="auto"/>
                <w:left w:val="none" w:sz="0" w:space="0" w:color="auto"/>
                <w:bottom w:val="none" w:sz="0" w:space="0" w:color="auto"/>
                <w:right w:val="none" w:sz="0" w:space="0" w:color="auto"/>
              </w:divBdr>
              <w:divsChild>
                <w:div w:id="1790926217">
                  <w:marLeft w:val="0"/>
                  <w:marRight w:val="0"/>
                  <w:marTop w:val="0"/>
                  <w:marBottom w:val="0"/>
                  <w:divBdr>
                    <w:top w:val="none" w:sz="0" w:space="0" w:color="auto"/>
                    <w:left w:val="none" w:sz="0" w:space="0" w:color="auto"/>
                    <w:bottom w:val="none" w:sz="0" w:space="0" w:color="auto"/>
                    <w:right w:val="none" w:sz="0" w:space="0" w:color="auto"/>
                  </w:divBdr>
                  <w:divsChild>
                    <w:div w:id="1228150862">
                      <w:marLeft w:val="0"/>
                      <w:marRight w:val="0"/>
                      <w:marTop w:val="0"/>
                      <w:marBottom w:val="0"/>
                      <w:divBdr>
                        <w:top w:val="none" w:sz="0" w:space="0" w:color="auto"/>
                        <w:left w:val="none" w:sz="0" w:space="0" w:color="auto"/>
                        <w:bottom w:val="none" w:sz="0" w:space="0" w:color="auto"/>
                        <w:right w:val="none" w:sz="0" w:space="0" w:color="auto"/>
                      </w:divBdr>
                      <w:divsChild>
                        <w:div w:id="1974209839">
                          <w:marLeft w:val="0"/>
                          <w:marRight w:val="0"/>
                          <w:marTop w:val="0"/>
                          <w:marBottom w:val="0"/>
                          <w:divBdr>
                            <w:top w:val="none" w:sz="0" w:space="0" w:color="auto"/>
                            <w:left w:val="none" w:sz="0" w:space="0" w:color="auto"/>
                            <w:bottom w:val="none" w:sz="0" w:space="0" w:color="auto"/>
                            <w:right w:val="none" w:sz="0" w:space="0" w:color="auto"/>
                          </w:divBdr>
                          <w:divsChild>
                            <w:div w:id="13383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804801">
      <w:bodyDiv w:val="1"/>
      <w:marLeft w:val="0"/>
      <w:marRight w:val="0"/>
      <w:marTop w:val="0"/>
      <w:marBottom w:val="0"/>
      <w:divBdr>
        <w:top w:val="none" w:sz="0" w:space="0" w:color="auto"/>
        <w:left w:val="none" w:sz="0" w:space="0" w:color="auto"/>
        <w:bottom w:val="none" w:sz="0" w:space="0" w:color="auto"/>
        <w:right w:val="none" w:sz="0" w:space="0" w:color="auto"/>
      </w:divBdr>
      <w:divsChild>
        <w:div w:id="166948734">
          <w:marLeft w:val="0"/>
          <w:marRight w:val="0"/>
          <w:marTop w:val="0"/>
          <w:marBottom w:val="0"/>
          <w:divBdr>
            <w:top w:val="none" w:sz="0" w:space="0" w:color="auto"/>
            <w:left w:val="none" w:sz="0" w:space="0" w:color="auto"/>
            <w:bottom w:val="none" w:sz="0" w:space="0" w:color="auto"/>
            <w:right w:val="none" w:sz="0" w:space="0" w:color="auto"/>
          </w:divBdr>
          <w:divsChild>
            <w:div w:id="1324427197">
              <w:marLeft w:val="0"/>
              <w:marRight w:val="0"/>
              <w:marTop w:val="0"/>
              <w:marBottom w:val="0"/>
              <w:divBdr>
                <w:top w:val="none" w:sz="0" w:space="0" w:color="auto"/>
                <w:left w:val="none" w:sz="0" w:space="0" w:color="auto"/>
                <w:bottom w:val="none" w:sz="0" w:space="0" w:color="auto"/>
                <w:right w:val="none" w:sz="0" w:space="0" w:color="auto"/>
              </w:divBdr>
              <w:divsChild>
                <w:div w:id="1590501380">
                  <w:marLeft w:val="0"/>
                  <w:marRight w:val="0"/>
                  <w:marTop w:val="0"/>
                  <w:marBottom w:val="0"/>
                  <w:divBdr>
                    <w:top w:val="none" w:sz="0" w:space="0" w:color="auto"/>
                    <w:left w:val="none" w:sz="0" w:space="0" w:color="auto"/>
                    <w:bottom w:val="none" w:sz="0" w:space="0" w:color="auto"/>
                    <w:right w:val="none" w:sz="0" w:space="0" w:color="auto"/>
                  </w:divBdr>
                </w:div>
              </w:divsChild>
            </w:div>
            <w:div w:id="1698000083">
              <w:marLeft w:val="0"/>
              <w:marRight w:val="0"/>
              <w:marTop w:val="0"/>
              <w:marBottom w:val="0"/>
              <w:divBdr>
                <w:top w:val="none" w:sz="0" w:space="0" w:color="auto"/>
                <w:left w:val="none" w:sz="0" w:space="0" w:color="auto"/>
                <w:bottom w:val="none" w:sz="0" w:space="0" w:color="auto"/>
                <w:right w:val="none" w:sz="0" w:space="0" w:color="auto"/>
              </w:divBdr>
              <w:divsChild>
                <w:div w:id="2049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5373">
          <w:marLeft w:val="0"/>
          <w:marRight w:val="0"/>
          <w:marTop w:val="0"/>
          <w:marBottom w:val="0"/>
          <w:divBdr>
            <w:top w:val="none" w:sz="0" w:space="0" w:color="auto"/>
            <w:left w:val="none" w:sz="0" w:space="0" w:color="auto"/>
            <w:bottom w:val="none" w:sz="0" w:space="0" w:color="auto"/>
            <w:right w:val="none" w:sz="0" w:space="0" w:color="auto"/>
          </w:divBdr>
          <w:divsChild>
            <w:div w:id="2135437501">
              <w:marLeft w:val="0"/>
              <w:marRight w:val="0"/>
              <w:marTop w:val="0"/>
              <w:marBottom w:val="0"/>
              <w:divBdr>
                <w:top w:val="none" w:sz="0" w:space="0" w:color="auto"/>
                <w:left w:val="none" w:sz="0" w:space="0" w:color="auto"/>
                <w:bottom w:val="none" w:sz="0" w:space="0" w:color="auto"/>
                <w:right w:val="none" w:sz="0" w:space="0" w:color="auto"/>
              </w:divBdr>
              <w:divsChild>
                <w:div w:id="1810635294">
                  <w:marLeft w:val="0"/>
                  <w:marRight w:val="0"/>
                  <w:marTop w:val="0"/>
                  <w:marBottom w:val="0"/>
                  <w:divBdr>
                    <w:top w:val="none" w:sz="0" w:space="0" w:color="auto"/>
                    <w:left w:val="none" w:sz="0" w:space="0" w:color="auto"/>
                    <w:bottom w:val="none" w:sz="0" w:space="0" w:color="auto"/>
                    <w:right w:val="none" w:sz="0" w:space="0" w:color="auto"/>
                  </w:divBdr>
                </w:div>
              </w:divsChild>
            </w:div>
            <w:div w:id="2083873557">
              <w:marLeft w:val="0"/>
              <w:marRight w:val="0"/>
              <w:marTop w:val="0"/>
              <w:marBottom w:val="0"/>
              <w:divBdr>
                <w:top w:val="none" w:sz="0" w:space="0" w:color="auto"/>
                <w:left w:val="none" w:sz="0" w:space="0" w:color="auto"/>
                <w:bottom w:val="none" w:sz="0" w:space="0" w:color="auto"/>
                <w:right w:val="none" w:sz="0" w:space="0" w:color="auto"/>
              </w:divBdr>
              <w:divsChild>
                <w:div w:id="13740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1491">
      <w:bodyDiv w:val="1"/>
      <w:marLeft w:val="0"/>
      <w:marRight w:val="0"/>
      <w:marTop w:val="0"/>
      <w:marBottom w:val="0"/>
      <w:divBdr>
        <w:top w:val="none" w:sz="0" w:space="0" w:color="auto"/>
        <w:left w:val="none" w:sz="0" w:space="0" w:color="auto"/>
        <w:bottom w:val="none" w:sz="0" w:space="0" w:color="auto"/>
        <w:right w:val="none" w:sz="0" w:space="0" w:color="auto"/>
      </w:divBdr>
      <w:divsChild>
        <w:div w:id="1685284683">
          <w:marLeft w:val="0"/>
          <w:marRight w:val="0"/>
          <w:marTop w:val="0"/>
          <w:marBottom w:val="0"/>
          <w:divBdr>
            <w:top w:val="none" w:sz="0" w:space="0" w:color="auto"/>
            <w:left w:val="none" w:sz="0" w:space="0" w:color="auto"/>
            <w:bottom w:val="none" w:sz="0" w:space="0" w:color="auto"/>
            <w:right w:val="none" w:sz="0" w:space="0" w:color="auto"/>
          </w:divBdr>
          <w:divsChild>
            <w:div w:id="1265764091">
              <w:marLeft w:val="0"/>
              <w:marRight w:val="0"/>
              <w:marTop w:val="0"/>
              <w:marBottom w:val="0"/>
              <w:divBdr>
                <w:top w:val="none" w:sz="0" w:space="0" w:color="auto"/>
                <w:left w:val="none" w:sz="0" w:space="0" w:color="auto"/>
                <w:bottom w:val="none" w:sz="0" w:space="0" w:color="auto"/>
                <w:right w:val="none" w:sz="0" w:space="0" w:color="auto"/>
              </w:divBdr>
              <w:divsChild>
                <w:div w:id="3680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6478">
      <w:bodyDiv w:val="1"/>
      <w:marLeft w:val="0"/>
      <w:marRight w:val="0"/>
      <w:marTop w:val="0"/>
      <w:marBottom w:val="0"/>
      <w:divBdr>
        <w:top w:val="none" w:sz="0" w:space="0" w:color="auto"/>
        <w:left w:val="none" w:sz="0" w:space="0" w:color="auto"/>
        <w:bottom w:val="none" w:sz="0" w:space="0" w:color="auto"/>
        <w:right w:val="none" w:sz="0" w:space="0" w:color="auto"/>
      </w:divBdr>
    </w:div>
    <w:div w:id="1302426062">
      <w:bodyDiv w:val="1"/>
      <w:marLeft w:val="0"/>
      <w:marRight w:val="0"/>
      <w:marTop w:val="0"/>
      <w:marBottom w:val="0"/>
      <w:divBdr>
        <w:top w:val="none" w:sz="0" w:space="0" w:color="auto"/>
        <w:left w:val="none" w:sz="0" w:space="0" w:color="auto"/>
        <w:bottom w:val="none" w:sz="0" w:space="0" w:color="auto"/>
        <w:right w:val="none" w:sz="0" w:space="0" w:color="auto"/>
      </w:divBdr>
    </w:div>
    <w:div w:id="1327829842">
      <w:bodyDiv w:val="1"/>
      <w:marLeft w:val="0"/>
      <w:marRight w:val="0"/>
      <w:marTop w:val="0"/>
      <w:marBottom w:val="0"/>
      <w:divBdr>
        <w:top w:val="none" w:sz="0" w:space="0" w:color="auto"/>
        <w:left w:val="none" w:sz="0" w:space="0" w:color="auto"/>
        <w:bottom w:val="none" w:sz="0" w:space="0" w:color="auto"/>
        <w:right w:val="none" w:sz="0" w:space="0" w:color="auto"/>
      </w:divBdr>
    </w:div>
    <w:div w:id="1345324505">
      <w:bodyDiv w:val="1"/>
      <w:marLeft w:val="0"/>
      <w:marRight w:val="0"/>
      <w:marTop w:val="0"/>
      <w:marBottom w:val="0"/>
      <w:divBdr>
        <w:top w:val="none" w:sz="0" w:space="0" w:color="auto"/>
        <w:left w:val="none" w:sz="0" w:space="0" w:color="auto"/>
        <w:bottom w:val="none" w:sz="0" w:space="0" w:color="auto"/>
        <w:right w:val="none" w:sz="0" w:space="0" w:color="auto"/>
      </w:divBdr>
      <w:divsChild>
        <w:div w:id="627709131">
          <w:marLeft w:val="0"/>
          <w:marRight w:val="0"/>
          <w:marTop w:val="0"/>
          <w:marBottom w:val="0"/>
          <w:divBdr>
            <w:top w:val="none" w:sz="0" w:space="0" w:color="auto"/>
            <w:left w:val="none" w:sz="0" w:space="0" w:color="auto"/>
            <w:bottom w:val="none" w:sz="0" w:space="0" w:color="auto"/>
            <w:right w:val="none" w:sz="0" w:space="0" w:color="auto"/>
          </w:divBdr>
          <w:divsChild>
            <w:div w:id="295571798">
              <w:marLeft w:val="0"/>
              <w:marRight w:val="0"/>
              <w:marTop w:val="0"/>
              <w:marBottom w:val="0"/>
              <w:divBdr>
                <w:top w:val="none" w:sz="0" w:space="0" w:color="auto"/>
                <w:left w:val="none" w:sz="0" w:space="0" w:color="auto"/>
                <w:bottom w:val="none" w:sz="0" w:space="0" w:color="auto"/>
                <w:right w:val="none" w:sz="0" w:space="0" w:color="auto"/>
              </w:divBdr>
              <w:divsChild>
                <w:div w:id="16962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6464">
      <w:bodyDiv w:val="1"/>
      <w:marLeft w:val="0"/>
      <w:marRight w:val="0"/>
      <w:marTop w:val="0"/>
      <w:marBottom w:val="0"/>
      <w:divBdr>
        <w:top w:val="none" w:sz="0" w:space="0" w:color="auto"/>
        <w:left w:val="none" w:sz="0" w:space="0" w:color="auto"/>
        <w:bottom w:val="none" w:sz="0" w:space="0" w:color="auto"/>
        <w:right w:val="none" w:sz="0" w:space="0" w:color="auto"/>
      </w:divBdr>
    </w:div>
    <w:div w:id="1354653477">
      <w:bodyDiv w:val="1"/>
      <w:marLeft w:val="0"/>
      <w:marRight w:val="0"/>
      <w:marTop w:val="0"/>
      <w:marBottom w:val="0"/>
      <w:divBdr>
        <w:top w:val="none" w:sz="0" w:space="0" w:color="auto"/>
        <w:left w:val="none" w:sz="0" w:space="0" w:color="auto"/>
        <w:bottom w:val="none" w:sz="0" w:space="0" w:color="auto"/>
        <w:right w:val="none" w:sz="0" w:space="0" w:color="auto"/>
      </w:divBdr>
    </w:div>
    <w:div w:id="1382248842">
      <w:bodyDiv w:val="1"/>
      <w:marLeft w:val="0"/>
      <w:marRight w:val="0"/>
      <w:marTop w:val="0"/>
      <w:marBottom w:val="0"/>
      <w:divBdr>
        <w:top w:val="none" w:sz="0" w:space="0" w:color="auto"/>
        <w:left w:val="none" w:sz="0" w:space="0" w:color="auto"/>
        <w:bottom w:val="none" w:sz="0" w:space="0" w:color="auto"/>
        <w:right w:val="none" w:sz="0" w:space="0" w:color="auto"/>
      </w:divBdr>
    </w:div>
    <w:div w:id="1390686357">
      <w:bodyDiv w:val="1"/>
      <w:marLeft w:val="0"/>
      <w:marRight w:val="0"/>
      <w:marTop w:val="0"/>
      <w:marBottom w:val="0"/>
      <w:divBdr>
        <w:top w:val="none" w:sz="0" w:space="0" w:color="auto"/>
        <w:left w:val="none" w:sz="0" w:space="0" w:color="auto"/>
        <w:bottom w:val="none" w:sz="0" w:space="0" w:color="auto"/>
        <w:right w:val="none" w:sz="0" w:space="0" w:color="auto"/>
      </w:divBdr>
    </w:div>
    <w:div w:id="1402630670">
      <w:bodyDiv w:val="1"/>
      <w:marLeft w:val="0"/>
      <w:marRight w:val="0"/>
      <w:marTop w:val="0"/>
      <w:marBottom w:val="0"/>
      <w:divBdr>
        <w:top w:val="none" w:sz="0" w:space="0" w:color="auto"/>
        <w:left w:val="none" w:sz="0" w:space="0" w:color="auto"/>
        <w:bottom w:val="none" w:sz="0" w:space="0" w:color="auto"/>
        <w:right w:val="none" w:sz="0" w:space="0" w:color="auto"/>
      </w:divBdr>
      <w:divsChild>
        <w:div w:id="1871718678">
          <w:marLeft w:val="0"/>
          <w:marRight w:val="0"/>
          <w:marTop w:val="0"/>
          <w:marBottom w:val="0"/>
          <w:divBdr>
            <w:top w:val="none" w:sz="0" w:space="0" w:color="auto"/>
            <w:left w:val="none" w:sz="0" w:space="0" w:color="auto"/>
            <w:bottom w:val="none" w:sz="0" w:space="0" w:color="auto"/>
            <w:right w:val="none" w:sz="0" w:space="0" w:color="auto"/>
          </w:divBdr>
          <w:divsChild>
            <w:div w:id="275141153">
              <w:marLeft w:val="0"/>
              <w:marRight w:val="0"/>
              <w:marTop w:val="0"/>
              <w:marBottom w:val="0"/>
              <w:divBdr>
                <w:top w:val="none" w:sz="0" w:space="0" w:color="auto"/>
                <w:left w:val="none" w:sz="0" w:space="0" w:color="auto"/>
                <w:bottom w:val="none" w:sz="0" w:space="0" w:color="auto"/>
                <w:right w:val="none" w:sz="0" w:space="0" w:color="auto"/>
              </w:divBdr>
              <w:divsChild>
                <w:div w:id="4646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316">
      <w:bodyDiv w:val="1"/>
      <w:marLeft w:val="0"/>
      <w:marRight w:val="0"/>
      <w:marTop w:val="0"/>
      <w:marBottom w:val="0"/>
      <w:divBdr>
        <w:top w:val="none" w:sz="0" w:space="0" w:color="auto"/>
        <w:left w:val="none" w:sz="0" w:space="0" w:color="auto"/>
        <w:bottom w:val="none" w:sz="0" w:space="0" w:color="auto"/>
        <w:right w:val="none" w:sz="0" w:space="0" w:color="auto"/>
      </w:divBdr>
    </w:div>
    <w:div w:id="1504737239">
      <w:bodyDiv w:val="1"/>
      <w:marLeft w:val="0"/>
      <w:marRight w:val="0"/>
      <w:marTop w:val="0"/>
      <w:marBottom w:val="0"/>
      <w:divBdr>
        <w:top w:val="none" w:sz="0" w:space="0" w:color="auto"/>
        <w:left w:val="none" w:sz="0" w:space="0" w:color="auto"/>
        <w:bottom w:val="none" w:sz="0" w:space="0" w:color="auto"/>
        <w:right w:val="none" w:sz="0" w:space="0" w:color="auto"/>
      </w:divBdr>
    </w:div>
    <w:div w:id="1518499105">
      <w:bodyDiv w:val="1"/>
      <w:marLeft w:val="0"/>
      <w:marRight w:val="0"/>
      <w:marTop w:val="0"/>
      <w:marBottom w:val="0"/>
      <w:divBdr>
        <w:top w:val="none" w:sz="0" w:space="0" w:color="auto"/>
        <w:left w:val="none" w:sz="0" w:space="0" w:color="auto"/>
        <w:bottom w:val="none" w:sz="0" w:space="0" w:color="auto"/>
        <w:right w:val="none" w:sz="0" w:space="0" w:color="auto"/>
      </w:divBdr>
    </w:div>
    <w:div w:id="1520974062">
      <w:bodyDiv w:val="1"/>
      <w:marLeft w:val="0"/>
      <w:marRight w:val="0"/>
      <w:marTop w:val="0"/>
      <w:marBottom w:val="0"/>
      <w:divBdr>
        <w:top w:val="none" w:sz="0" w:space="0" w:color="auto"/>
        <w:left w:val="none" w:sz="0" w:space="0" w:color="auto"/>
        <w:bottom w:val="none" w:sz="0" w:space="0" w:color="auto"/>
        <w:right w:val="none" w:sz="0" w:space="0" w:color="auto"/>
      </w:divBdr>
    </w:div>
    <w:div w:id="1523588371">
      <w:bodyDiv w:val="1"/>
      <w:marLeft w:val="0"/>
      <w:marRight w:val="0"/>
      <w:marTop w:val="0"/>
      <w:marBottom w:val="0"/>
      <w:divBdr>
        <w:top w:val="none" w:sz="0" w:space="0" w:color="auto"/>
        <w:left w:val="none" w:sz="0" w:space="0" w:color="auto"/>
        <w:bottom w:val="none" w:sz="0" w:space="0" w:color="auto"/>
        <w:right w:val="none" w:sz="0" w:space="0" w:color="auto"/>
      </w:divBdr>
    </w:div>
    <w:div w:id="1523976604">
      <w:bodyDiv w:val="1"/>
      <w:marLeft w:val="0"/>
      <w:marRight w:val="0"/>
      <w:marTop w:val="0"/>
      <w:marBottom w:val="0"/>
      <w:divBdr>
        <w:top w:val="none" w:sz="0" w:space="0" w:color="auto"/>
        <w:left w:val="none" w:sz="0" w:space="0" w:color="auto"/>
        <w:bottom w:val="none" w:sz="0" w:space="0" w:color="auto"/>
        <w:right w:val="none" w:sz="0" w:space="0" w:color="auto"/>
      </w:divBdr>
      <w:divsChild>
        <w:div w:id="229967601">
          <w:marLeft w:val="0"/>
          <w:marRight w:val="0"/>
          <w:marTop w:val="0"/>
          <w:marBottom w:val="0"/>
          <w:divBdr>
            <w:top w:val="none" w:sz="0" w:space="0" w:color="auto"/>
            <w:left w:val="none" w:sz="0" w:space="0" w:color="auto"/>
            <w:bottom w:val="none" w:sz="0" w:space="0" w:color="auto"/>
            <w:right w:val="none" w:sz="0" w:space="0" w:color="auto"/>
          </w:divBdr>
          <w:divsChild>
            <w:div w:id="643974259">
              <w:marLeft w:val="0"/>
              <w:marRight w:val="0"/>
              <w:marTop w:val="0"/>
              <w:marBottom w:val="0"/>
              <w:divBdr>
                <w:top w:val="none" w:sz="0" w:space="0" w:color="auto"/>
                <w:left w:val="none" w:sz="0" w:space="0" w:color="auto"/>
                <w:bottom w:val="none" w:sz="0" w:space="0" w:color="auto"/>
                <w:right w:val="none" w:sz="0" w:space="0" w:color="auto"/>
              </w:divBdr>
              <w:divsChild>
                <w:div w:id="5842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4698">
      <w:bodyDiv w:val="1"/>
      <w:marLeft w:val="0"/>
      <w:marRight w:val="0"/>
      <w:marTop w:val="0"/>
      <w:marBottom w:val="0"/>
      <w:divBdr>
        <w:top w:val="none" w:sz="0" w:space="0" w:color="auto"/>
        <w:left w:val="none" w:sz="0" w:space="0" w:color="auto"/>
        <w:bottom w:val="none" w:sz="0" w:space="0" w:color="auto"/>
        <w:right w:val="none" w:sz="0" w:space="0" w:color="auto"/>
      </w:divBdr>
    </w:div>
    <w:div w:id="1563567055">
      <w:bodyDiv w:val="1"/>
      <w:marLeft w:val="0"/>
      <w:marRight w:val="0"/>
      <w:marTop w:val="0"/>
      <w:marBottom w:val="0"/>
      <w:divBdr>
        <w:top w:val="none" w:sz="0" w:space="0" w:color="auto"/>
        <w:left w:val="none" w:sz="0" w:space="0" w:color="auto"/>
        <w:bottom w:val="none" w:sz="0" w:space="0" w:color="auto"/>
        <w:right w:val="none" w:sz="0" w:space="0" w:color="auto"/>
      </w:divBdr>
      <w:divsChild>
        <w:div w:id="801926297">
          <w:marLeft w:val="0"/>
          <w:marRight w:val="0"/>
          <w:marTop w:val="0"/>
          <w:marBottom w:val="0"/>
          <w:divBdr>
            <w:top w:val="none" w:sz="0" w:space="0" w:color="auto"/>
            <w:left w:val="none" w:sz="0" w:space="0" w:color="auto"/>
            <w:bottom w:val="none" w:sz="0" w:space="0" w:color="auto"/>
            <w:right w:val="none" w:sz="0" w:space="0" w:color="auto"/>
          </w:divBdr>
          <w:divsChild>
            <w:div w:id="395662780">
              <w:marLeft w:val="0"/>
              <w:marRight w:val="0"/>
              <w:marTop w:val="0"/>
              <w:marBottom w:val="0"/>
              <w:divBdr>
                <w:top w:val="none" w:sz="0" w:space="0" w:color="auto"/>
                <w:left w:val="none" w:sz="0" w:space="0" w:color="auto"/>
                <w:bottom w:val="none" w:sz="0" w:space="0" w:color="auto"/>
                <w:right w:val="none" w:sz="0" w:space="0" w:color="auto"/>
              </w:divBdr>
              <w:divsChild>
                <w:div w:id="3329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8066">
      <w:bodyDiv w:val="1"/>
      <w:marLeft w:val="0"/>
      <w:marRight w:val="0"/>
      <w:marTop w:val="0"/>
      <w:marBottom w:val="0"/>
      <w:divBdr>
        <w:top w:val="none" w:sz="0" w:space="0" w:color="auto"/>
        <w:left w:val="none" w:sz="0" w:space="0" w:color="auto"/>
        <w:bottom w:val="none" w:sz="0" w:space="0" w:color="auto"/>
        <w:right w:val="none" w:sz="0" w:space="0" w:color="auto"/>
      </w:divBdr>
    </w:div>
    <w:div w:id="1591695138">
      <w:bodyDiv w:val="1"/>
      <w:marLeft w:val="0"/>
      <w:marRight w:val="0"/>
      <w:marTop w:val="0"/>
      <w:marBottom w:val="0"/>
      <w:divBdr>
        <w:top w:val="none" w:sz="0" w:space="0" w:color="auto"/>
        <w:left w:val="none" w:sz="0" w:space="0" w:color="auto"/>
        <w:bottom w:val="none" w:sz="0" w:space="0" w:color="auto"/>
        <w:right w:val="none" w:sz="0" w:space="0" w:color="auto"/>
      </w:divBdr>
    </w:div>
    <w:div w:id="1606839060">
      <w:bodyDiv w:val="1"/>
      <w:marLeft w:val="0"/>
      <w:marRight w:val="0"/>
      <w:marTop w:val="0"/>
      <w:marBottom w:val="0"/>
      <w:divBdr>
        <w:top w:val="none" w:sz="0" w:space="0" w:color="auto"/>
        <w:left w:val="none" w:sz="0" w:space="0" w:color="auto"/>
        <w:bottom w:val="none" w:sz="0" w:space="0" w:color="auto"/>
        <w:right w:val="none" w:sz="0" w:space="0" w:color="auto"/>
      </w:divBdr>
    </w:div>
    <w:div w:id="1698965068">
      <w:bodyDiv w:val="1"/>
      <w:marLeft w:val="0"/>
      <w:marRight w:val="0"/>
      <w:marTop w:val="0"/>
      <w:marBottom w:val="0"/>
      <w:divBdr>
        <w:top w:val="none" w:sz="0" w:space="0" w:color="auto"/>
        <w:left w:val="none" w:sz="0" w:space="0" w:color="auto"/>
        <w:bottom w:val="none" w:sz="0" w:space="0" w:color="auto"/>
        <w:right w:val="none" w:sz="0" w:space="0" w:color="auto"/>
      </w:divBdr>
    </w:div>
    <w:div w:id="1720089996">
      <w:bodyDiv w:val="1"/>
      <w:marLeft w:val="0"/>
      <w:marRight w:val="0"/>
      <w:marTop w:val="0"/>
      <w:marBottom w:val="0"/>
      <w:divBdr>
        <w:top w:val="none" w:sz="0" w:space="0" w:color="auto"/>
        <w:left w:val="none" w:sz="0" w:space="0" w:color="auto"/>
        <w:bottom w:val="none" w:sz="0" w:space="0" w:color="auto"/>
        <w:right w:val="none" w:sz="0" w:space="0" w:color="auto"/>
      </w:divBdr>
    </w:div>
    <w:div w:id="1759448264">
      <w:bodyDiv w:val="1"/>
      <w:marLeft w:val="0"/>
      <w:marRight w:val="0"/>
      <w:marTop w:val="0"/>
      <w:marBottom w:val="0"/>
      <w:divBdr>
        <w:top w:val="none" w:sz="0" w:space="0" w:color="auto"/>
        <w:left w:val="none" w:sz="0" w:space="0" w:color="auto"/>
        <w:bottom w:val="none" w:sz="0" w:space="0" w:color="auto"/>
        <w:right w:val="none" w:sz="0" w:space="0" w:color="auto"/>
      </w:divBdr>
      <w:divsChild>
        <w:div w:id="1316104531">
          <w:marLeft w:val="0"/>
          <w:marRight w:val="0"/>
          <w:marTop w:val="0"/>
          <w:marBottom w:val="0"/>
          <w:divBdr>
            <w:top w:val="none" w:sz="0" w:space="0" w:color="auto"/>
            <w:left w:val="none" w:sz="0" w:space="0" w:color="auto"/>
            <w:bottom w:val="none" w:sz="0" w:space="0" w:color="auto"/>
            <w:right w:val="none" w:sz="0" w:space="0" w:color="auto"/>
          </w:divBdr>
          <w:divsChild>
            <w:div w:id="1143035665">
              <w:marLeft w:val="0"/>
              <w:marRight w:val="0"/>
              <w:marTop w:val="0"/>
              <w:marBottom w:val="0"/>
              <w:divBdr>
                <w:top w:val="none" w:sz="0" w:space="0" w:color="auto"/>
                <w:left w:val="none" w:sz="0" w:space="0" w:color="auto"/>
                <w:bottom w:val="none" w:sz="0" w:space="0" w:color="auto"/>
                <w:right w:val="none" w:sz="0" w:space="0" w:color="auto"/>
              </w:divBdr>
              <w:divsChild>
                <w:div w:id="377120941">
                  <w:marLeft w:val="0"/>
                  <w:marRight w:val="0"/>
                  <w:marTop w:val="0"/>
                  <w:marBottom w:val="0"/>
                  <w:divBdr>
                    <w:top w:val="none" w:sz="0" w:space="0" w:color="auto"/>
                    <w:left w:val="none" w:sz="0" w:space="0" w:color="auto"/>
                    <w:bottom w:val="none" w:sz="0" w:space="0" w:color="auto"/>
                    <w:right w:val="none" w:sz="0" w:space="0" w:color="auto"/>
                  </w:divBdr>
                </w:div>
                <w:div w:id="1862746522">
                  <w:marLeft w:val="0"/>
                  <w:marRight w:val="0"/>
                  <w:marTop w:val="0"/>
                  <w:marBottom w:val="0"/>
                  <w:divBdr>
                    <w:top w:val="none" w:sz="0" w:space="0" w:color="auto"/>
                    <w:left w:val="none" w:sz="0" w:space="0" w:color="auto"/>
                    <w:bottom w:val="none" w:sz="0" w:space="0" w:color="auto"/>
                    <w:right w:val="none" w:sz="0" w:space="0" w:color="auto"/>
                  </w:divBdr>
                  <w:divsChild>
                    <w:div w:id="1488133905">
                      <w:marLeft w:val="0"/>
                      <w:marRight w:val="0"/>
                      <w:marTop w:val="0"/>
                      <w:marBottom w:val="0"/>
                      <w:divBdr>
                        <w:top w:val="none" w:sz="0" w:space="0" w:color="auto"/>
                        <w:left w:val="none" w:sz="0" w:space="0" w:color="auto"/>
                        <w:bottom w:val="none" w:sz="0" w:space="0" w:color="auto"/>
                        <w:right w:val="none" w:sz="0" w:space="0" w:color="auto"/>
                      </w:divBdr>
                      <w:divsChild>
                        <w:div w:id="1370567086">
                          <w:marLeft w:val="0"/>
                          <w:marRight w:val="0"/>
                          <w:marTop w:val="0"/>
                          <w:marBottom w:val="0"/>
                          <w:divBdr>
                            <w:top w:val="none" w:sz="0" w:space="0" w:color="auto"/>
                            <w:left w:val="none" w:sz="0" w:space="0" w:color="auto"/>
                            <w:bottom w:val="none" w:sz="0" w:space="0" w:color="auto"/>
                            <w:right w:val="none" w:sz="0" w:space="0" w:color="auto"/>
                          </w:divBdr>
                        </w:div>
                        <w:div w:id="1692491547">
                          <w:marLeft w:val="0"/>
                          <w:marRight w:val="0"/>
                          <w:marTop w:val="0"/>
                          <w:marBottom w:val="0"/>
                          <w:divBdr>
                            <w:top w:val="none" w:sz="0" w:space="0" w:color="auto"/>
                            <w:left w:val="none" w:sz="0" w:space="0" w:color="auto"/>
                            <w:bottom w:val="none" w:sz="0" w:space="0" w:color="auto"/>
                            <w:right w:val="none" w:sz="0" w:space="0" w:color="auto"/>
                          </w:divBdr>
                        </w:div>
                        <w:div w:id="964385523">
                          <w:marLeft w:val="0"/>
                          <w:marRight w:val="0"/>
                          <w:marTop w:val="0"/>
                          <w:marBottom w:val="0"/>
                          <w:divBdr>
                            <w:top w:val="none" w:sz="0" w:space="0" w:color="auto"/>
                            <w:left w:val="none" w:sz="0" w:space="0" w:color="auto"/>
                            <w:bottom w:val="none" w:sz="0" w:space="0" w:color="auto"/>
                            <w:right w:val="none" w:sz="0" w:space="0" w:color="auto"/>
                          </w:divBdr>
                        </w:div>
                        <w:div w:id="1065446173">
                          <w:marLeft w:val="0"/>
                          <w:marRight w:val="0"/>
                          <w:marTop w:val="0"/>
                          <w:marBottom w:val="0"/>
                          <w:divBdr>
                            <w:top w:val="none" w:sz="0" w:space="0" w:color="auto"/>
                            <w:left w:val="none" w:sz="0" w:space="0" w:color="auto"/>
                            <w:bottom w:val="none" w:sz="0" w:space="0" w:color="auto"/>
                            <w:right w:val="none" w:sz="0" w:space="0" w:color="auto"/>
                          </w:divBdr>
                        </w:div>
                        <w:div w:id="1315334770">
                          <w:marLeft w:val="0"/>
                          <w:marRight w:val="0"/>
                          <w:marTop w:val="0"/>
                          <w:marBottom w:val="0"/>
                          <w:divBdr>
                            <w:top w:val="none" w:sz="0" w:space="0" w:color="auto"/>
                            <w:left w:val="none" w:sz="0" w:space="0" w:color="auto"/>
                            <w:bottom w:val="none" w:sz="0" w:space="0" w:color="auto"/>
                            <w:right w:val="none" w:sz="0" w:space="0" w:color="auto"/>
                          </w:divBdr>
                        </w:div>
                        <w:div w:id="10593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4082">
              <w:marLeft w:val="0"/>
              <w:marRight w:val="0"/>
              <w:marTop w:val="0"/>
              <w:marBottom w:val="0"/>
              <w:divBdr>
                <w:top w:val="none" w:sz="0" w:space="0" w:color="auto"/>
                <w:left w:val="none" w:sz="0" w:space="0" w:color="auto"/>
                <w:bottom w:val="none" w:sz="0" w:space="0" w:color="auto"/>
                <w:right w:val="none" w:sz="0" w:space="0" w:color="auto"/>
              </w:divBdr>
              <w:divsChild>
                <w:div w:id="954824234">
                  <w:marLeft w:val="0"/>
                  <w:marRight w:val="0"/>
                  <w:marTop w:val="0"/>
                  <w:marBottom w:val="0"/>
                  <w:divBdr>
                    <w:top w:val="none" w:sz="0" w:space="0" w:color="auto"/>
                    <w:left w:val="none" w:sz="0" w:space="0" w:color="auto"/>
                    <w:bottom w:val="none" w:sz="0" w:space="0" w:color="auto"/>
                    <w:right w:val="none" w:sz="0" w:space="0" w:color="auto"/>
                  </w:divBdr>
                  <w:divsChild>
                    <w:div w:id="17317461">
                      <w:marLeft w:val="0"/>
                      <w:marRight w:val="0"/>
                      <w:marTop w:val="0"/>
                      <w:marBottom w:val="0"/>
                      <w:divBdr>
                        <w:top w:val="none" w:sz="0" w:space="0" w:color="auto"/>
                        <w:left w:val="none" w:sz="0" w:space="0" w:color="auto"/>
                        <w:bottom w:val="none" w:sz="0" w:space="0" w:color="auto"/>
                        <w:right w:val="none" w:sz="0" w:space="0" w:color="auto"/>
                      </w:divBdr>
                      <w:divsChild>
                        <w:div w:id="134420051">
                          <w:marLeft w:val="0"/>
                          <w:marRight w:val="0"/>
                          <w:marTop w:val="0"/>
                          <w:marBottom w:val="0"/>
                          <w:divBdr>
                            <w:top w:val="none" w:sz="0" w:space="0" w:color="auto"/>
                            <w:left w:val="none" w:sz="0" w:space="0" w:color="auto"/>
                            <w:bottom w:val="none" w:sz="0" w:space="0" w:color="auto"/>
                            <w:right w:val="none" w:sz="0" w:space="0" w:color="auto"/>
                          </w:divBdr>
                          <w:divsChild>
                            <w:div w:id="1702172997">
                              <w:marLeft w:val="0"/>
                              <w:marRight w:val="0"/>
                              <w:marTop w:val="0"/>
                              <w:marBottom w:val="0"/>
                              <w:divBdr>
                                <w:top w:val="none" w:sz="0" w:space="0" w:color="auto"/>
                                <w:left w:val="none" w:sz="0" w:space="0" w:color="auto"/>
                                <w:bottom w:val="none" w:sz="0" w:space="0" w:color="auto"/>
                                <w:right w:val="none" w:sz="0" w:space="0" w:color="auto"/>
                              </w:divBdr>
                              <w:divsChild>
                                <w:div w:id="723482488">
                                  <w:marLeft w:val="0"/>
                                  <w:marRight w:val="0"/>
                                  <w:marTop w:val="0"/>
                                  <w:marBottom w:val="0"/>
                                  <w:divBdr>
                                    <w:top w:val="none" w:sz="0" w:space="0" w:color="auto"/>
                                    <w:left w:val="none" w:sz="0" w:space="0" w:color="auto"/>
                                    <w:bottom w:val="none" w:sz="0" w:space="0" w:color="auto"/>
                                    <w:right w:val="none" w:sz="0" w:space="0" w:color="auto"/>
                                  </w:divBdr>
                                  <w:divsChild>
                                    <w:div w:id="1128082302">
                                      <w:marLeft w:val="0"/>
                                      <w:marRight w:val="0"/>
                                      <w:marTop w:val="0"/>
                                      <w:marBottom w:val="0"/>
                                      <w:divBdr>
                                        <w:top w:val="none" w:sz="0" w:space="0" w:color="auto"/>
                                        <w:left w:val="none" w:sz="0" w:space="0" w:color="auto"/>
                                        <w:bottom w:val="none" w:sz="0" w:space="0" w:color="auto"/>
                                        <w:right w:val="none" w:sz="0" w:space="0" w:color="auto"/>
                                      </w:divBdr>
                                    </w:div>
                                    <w:div w:id="1869025566">
                                      <w:marLeft w:val="0"/>
                                      <w:marRight w:val="0"/>
                                      <w:marTop w:val="0"/>
                                      <w:marBottom w:val="0"/>
                                      <w:divBdr>
                                        <w:top w:val="none" w:sz="0" w:space="0" w:color="auto"/>
                                        <w:left w:val="none" w:sz="0" w:space="0" w:color="auto"/>
                                        <w:bottom w:val="none" w:sz="0" w:space="0" w:color="auto"/>
                                        <w:right w:val="none" w:sz="0" w:space="0" w:color="auto"/>
                                      </w:divBdr>
                                      <w:divsChild>
                                        <w:div w:id="528488723">
                                          <w:marLeft w:val="0"/>
                                          <w:marRight w:val="0"/>
                                          <w:marTop w:val="0"/>
                                          <w:marBottom w:val="0"/>
                                          <w:divBdr>
                                            <w:top w:val="none" w:sz="0" w:space="0" w:color="auto"/>
                                            <w:left w:val="none" w:sz="0" w:space="0" w:color="auto"/>
                                            <w:bottom w:val="none" w:sz="0" w:space="0" w:color="auto"/>
                                            <w:right w:val="none" w:sz="0" w:space="0" w:color="auto"/>
                                          </w:divBdr>
                                          <w:divsChild>
                                            <w:div w:id="2239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0016">
          <w:marLeft w:val="0"/>
          <w:marRight w:val="0"/>
          <w:marTop w:val="0"/>
          <w:marBottom w:val="0"/>
          <w:divBdr>
            <w:top w:val="none" w:sz="0" w:space="0" w:color="auto"/>
            <w:left w:val="none" w:sz="0" w:space="0" w:color="auto"/>
            <w:bottom w:val="none" w:sz="0" w:space="0" w:color="auto"/>
            <w:right w:val="none" w:sz="0" w:space="0" w:color="auto"/>
          </w:divBdr>
          <w:divsChild>
            <w:div w:id="1998998446">
              <w:marLeft w:val="0"/>
              <w:marRight w:val="0"/>
              <w:marTop w:val="0"/>
              <w:marBottom w:val="0"/>
              <w:divBdr>
                <w:top w:val="single" w:sz="6" w:space="6" w:color="EDE49E"/>
                <w:left w:val="single" w:sz="6" w:space="12" w:color="EDE49E"/>
                <w:bottom w:val="single" w:sz="6" w:space="6" w:color="EDE49E"/>
                <w:right w:val="single" w:sz="6" w:space="12" w:color="EDE49E"/>
              </w:divBdr>
            </w:div>
          </w:divsChild>
        </w:div>
        <w:div w:id="1090200181">
          <w:marLeft w:val="0"/>
          <w:marRight w:val="0"/>
          <w:marTop w:val="0"/>
          <w:marBottom w:val="0"/>
          <w:divBdr>
            <w:top w:val="none" w:sz="0" w:space="0" w:color="auto"/>
            <w:left w:val="none" w:sz="0" w:space="0" w:color="auto"/>
            <w:bottom w:val="none" w:sz="0" w:space="0" w:color="auto"/>
            <w:right w:val="none" w:sz="0" w:space="0" w:color="auto"/>
          </w:divBdr>
          <w:divsChild>
            <w:div w:id="1430857797">
              <w:marLeft w:val="0"/>
              <w:marRight w:val="0"/>
              <w:marTop w:val="0"/>
              <w:marBottom w:val="0"/>
              <w:divBdr>
                <w:top w:val="none" w:sz="0" w:space="0" w:color="auto"/>
                <w:left w:val="none" w:sz="0" w:space="0" w:color="auto"/>
                <w:bottom w:val="none" w:sz="0" w:space="0" w:color="auto"/>
                <w:right w:val="none" w:sz="0" w:space="0" w:color="auto"/>
              </w:divBdr>
              <w:divsChild>
                <w:div w:id="2120950592">
                  <w:marLeft w:val="0"/>
                  <w:marRight w:val="0"/>
                  <w:marTop w:val="0"/>
                  <w:marBottom w:val="0"/>
                  <w:divBdr>
                    <w:top w:val="none" w:sz="0" w:space="0" w:color="auto"/>
                    <w:left w:val="none" w:sz="0" w:space="0" w:color="auto"/>
                    <w:bottom w:val="none" w:sz="0" w:space="0" w:color="auto"/>
                    <w:right w:val="none" w:sz="0" w:space="0" w:color="auto"/>
                  </w:divBdr>
                  <w:divsChild>
                    <w:div w:id="906259685">
                      <w:marLeft w:val="0"/>
                      <w:marRight w:val="0"/>
                      <w:marTop w:val="0"/>
                      <w:marBottom w:val="0"/>
                      <w:divBdr>
                        <w:top w:val="none" w:sz="0" w:space="0" w:color="auto"/>
                        <w:left w:val="none" w:sz="0" w:space="0" w:color="auto"/>
                        <w:bottom w:val="none" w:sz="0" w:space="0" w:color="auto"/>
                        <w:right w:val="none" w:sz="0" w:space="0" w:color="auto"/>
                      </w:divBdr>
                      <w:divsChild>
                        <w:div w:id="1631739961">
                          <w:marLeft w:val="0"/>
                          <w:marRight w:val="240"/>
                          <w:marTop w:val="0"/>
                          <w:marBottom w:val="0"/>
                          <w:divBdr>
                            <w:top w:val="none" w:sz="0" w:space="0" w:color="auto"/>
                            <w:left w:val="none" w:sz="0" w:space="0" w:color="auto"/>
                            <w:bottom w:val="none" w:sz="0" w:space="0" w:color="auto"/>
                            <w:right w:val="none" w:sz="0" w:space="0" w:color="auto"/>
                          </w:divBdr>
                        </w:div>
                        <w:div w:id="1102610149">
                          <w:marLeft w:val="0"/>
                          <w:marRight w:val="0"/>
                          <w:marTop w:val="0"/>
                          <w:marBottom w:val="0"/>
                          <w:divBdr>
                            <w:top w:val="none" w:sz="0" w:space="0" w:color="auto"/>
                            <w:left w:val="none" w:sz="0" w:space="0" w:color="auto"/>
                            <w:bottom w:val="none" w:sz="0" w:space="0" w:color="auto"/>
                            <w:right w:val="none" w:sz="0" w:space="0" w:color="auto"/>
                          </w:divBdr>
                          <w:divsChild>
                            <w:div w:id="584454737">
                              <w:marLeft w:val="0"/>
                              <w:marRight w:val="0"/>
                              <w:marTop w:val="0"/>
                              <w:marBottom w:val="0"/>
                              <w:divBdr>
                                <w:top w:val="none" w:sz="0" w:space="0" w:color="auto"/>
                                <w:left w:val="none" w:sz="0" w:space="0" w:color="auto"/>
                                <w:bottom w:val="none" w:sz="0" w:space="0" w:color="auto"/>
                                <w:right w:val="none" w:sz="0" w:space="0" w:color="auto"/>
                              </w:divBdr>
                              <w:divsChild>
                                <w:div w:id="1349866836">
                                  <w:marLeft w:val="0"/>
                                  <w:marRight w:val="0"/>
                                  <w:marTop w:val="0"/>
                                  <w:marBottom w:val="0"/>
                                  <w:divBdr>
                                    <w:top w:val="none" w:sz="0" w:space="0" w:color="auto"/>
                                    <w:left w:val="none" w:sz="0" w:space="0" w:color="auto"/>
                                    <w:bottom w:val="none" w:sz="0" w:space="0" w:color="auto"/>
                                    <w:right w:val="none" w:sz="0" w:space="0" w:color="auto"/>
                                  </w:divBdr>
                                  <w:divsChild>
                                    <w:div w:id="3619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9087">
                          <w:marLeft w:val="0"/>
                          <w:marRight w:val="0"/>
                          <w:marTop w:val="0"/>
                          <w:marBottom w:val="0"/>
                          <w:divBdr>
                            <w:top w:val="none" w:sz="0" w:space="0" w:color="auto"/>
                            <w:left w:val="none" w:sz="0" w:space="0" w:color="auto"/>
                            <w:bottom w:val="none" w:sz="0" w:space="0" w:color="auto"/>
                            <w:right w:val="none" w:sz="0" w:space="0" w:color="auto"/>
                          </w:divBdr>
                          <w:divsChild>
                            <w:div w:id="11615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879">
                      <w:marLeft w:val="0"/>
                      <w:marRight w:val="0"/>
                      <w:marTop w:val="0"/>
                      <w:marBottom w:val="0"/>
                      <w:divBdr>
                        <w:top w:val="none" w:sz="0" w:space="0" w:color="auto"/>
                        <w:left w:val="none" w:sz="0" w:space="0" w:color="auto"/>
                        <w:bottom w:val="none" w:sz="0" w:space="0" w:color="auto"/>
                        <w:right w:val="none" w:sz="0" w:space="0" w:color="auto"/>
                      </w:divBdr>
                      <w:divsChild>
                        <w:div w:id="1581332574">
                          <w:marLeft w:val="0"/>
                          <w:marRight w:val="0"/>
                          <w:marTop w:val="0"/>
                          <w:marBottom w:val="0"/>
                          <w:divBdr>
                            <w:top w:val="none" w:sz="0" w:space="0" w:color="auto"/>
                            <w:left w:val="none" w:sz="0" w:space="0" w:color="auto"/>
                            <w:bottom w:val="none" w:sz="0" w:space="0" w:color="auto"/>
                            <w:right w:val="none" w:sz="0" w:space="0" w:color="auto"/>
                          </w:divBdr>
                          <w:divsChild>
                            <w:div w:id="1493256420">
                              <w:marLeft w:val="0"/>
                              <w:marRight w:val="0"/>
                              <w:marTop w:val="0"/>
                              <w:marBottom w:val="0"/>
                              <w:divBdr>
                                <w:top w:val="none" w:sz="0" w:space="0" w:color="E1E1E1"/>
                                <w:left w:val="none" w:sz="0" w:space="0" w:color="E1E1E1"/>
                                <w:bottom w:val="single" w:sz="2" w:space="0" w:color="E1E1E1"/>
                                <w:right w:val="none" w:sz="0" w:space="0" w:color="E1E1E1"/>
                              </w:divBdr>
                              <w:divsChild>
                                <w:div w:id="1812675239">
                                  <w:marLeft w:val="0"/>
                                  <w:marRight w:val="0"/>
                                  <w:marTop w:val="0"/>
                                  <w:marBottom w:val="0"/>
                                  <w:divBdr>
                                    <w:top w:val="none" w:sz="0" w:space="0" w:color="auto"/>
                                    <w:left w:val="none" w:sz="0" w:space="0" w:color="auto"/>
                                    <w:bottom w:val="none" w:sz="0" w:space="0" w:color="auto"/>
                                    <w:right w:val="none" w:sz="0" w:space="0" w:color="auto"/>
                                  </w:divBdr>
                                  <w:divsChild>
                                    <w:div w:id="1227257959">
                                      <w:marLeft w:val="0"/>
                                      <w:marRight w:val="0"/>
                                      <w:marTop w:val="0"/>
                                      <w:marBottom w:val="0"/>
                                      <w:divBdr>
                                        <w:top w:val="none" w:sz="0" w:space="0" w:color="auto"/>
                                        <w:left w:val="none" w:sz="0" w:space="0" w:color="auto"/>
                                        <w:bottom w:val="none" w:sz="0" w:space="0" w:color="auto"/>
                                        <w:right w:val="none" w:sz="0" w:space="0" w:color="auto"/>
                                      </w:divBdr>
                                      <w:divsChild>
                                        <w:div w:id="487670173">
                                          <w:marLeft w:val="0"/>
                                          <w:marRight w:val="0"/>
                                          <w:marTop w:val="0"/>
                                          <w:marBottom w:val="0"/>
                                          <w:divBdr>
                                            <w:top w:val="none" w:sz="0" w:space="0" w:color="auto"/>
                                            <w:left w:val="none" w:sz="0" w:space="0" w:color="auto"/>
                                            <w:bottom w:val="none" w:sz="0" w:space="0" w:color="auto"/>
                                            <w:right w:val="none" w:sz="0" w:space="0" w:color="auto"/>
                                          </w:divBdr>
                                          <w:divsChild>
                                            <w:div w:id="383914686">
                                              <w:marLeft w:val="0"/>
                                              <w:marRight w:val="0"/>
                                              <w:marTop w:val="0"/>
                                              <w:marBottom w:val="0"/>
                                              <w:divBdr>
                                                <w:top w:val="none" w:sz="0" w:space="0" w:color="auto"/>
                                                <w:left w:val="none" w:sz="0" w:space="0" w:color="auto"/>
                                                <w:bottom w:val="none" w:sz="0" w:space="0" w:color="auto"/>
                                                <w:right w:val="none" w:sz="0" w:space="0" w:color="auto"/>
                                              </w:divBdr>
                                              <w:divsChild>
                                                <w:div w:id="7107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6959">
                                      <w:marLeft w:val="0"/>
                                      <w:marRight w:val="0"/>
                                      <w:marTop w:val="0"/>
                                      <w:marBottom w:val="0"/>
                                      <w:divBdr>
                                        <w:top w:val="none" w:sz="0" w:space="0" w:color="auto"/>
                                        <w:left w:val="none" w:sz="0" w:space="0" w:color="auto"/>
                                        <w:bottom w:val="none" w:sz="0" w:space="0" w:color="auto"/>
                                        <w:right w:val="none" w:sz="0" w:space="0" w:color="auto"/>
                                      </w:divBdr>
                                      <w:divsChild>
                                        <w:div w:id="957754933">
                                          <w:marLeft w:val="0"/>
                                          <w:marRight w:val="0"/>
                                          <w:marTop w:val="0"/>
                                          <w:marBottom w:val="0"/>
                                          <w:divBdr>
                                            <w:top w:val="none" w:sz="0" w:space="0" w:color="auto"/>
                                            <w:left w:val="none" w:sz="0" w:space="0" w:color="auto"/>
                                            <w:bottom w:val="none" w:sz="0" w:space="0" w:color="auto"/>
                                            <w:right w:val="none" w:sz="0" w:space="0" w:color="auto"/>
                                          </w:divBdr>
                                        </w:div>
                                        <w:div w:id="1053390208">
                                          <w:marLeft w:val="0"/>
                                          <w:marRight w:val="0"/>
                                          <w:marTop w:val="0"/>
                                          <w:marBottom w:val="0"/>
                                          <w:divBdr>
                                            <w:top w:val="none" w:sz="0" w:space="0" w:color="auto"/>
                                            <w:left w:val="none" w:sz="0" w:space="0" w:color="auto"/>
                                            <w:bottom w:val="none" w:sz="0" w:space="0" w:color="auto"/>
                                            <w:right w:val="none" w:sz="0" w:space="0" w:color="auto"/>
                                          </w:divBdr>
                                        </w:div>
                                        <w:div w:id="1544051957">
                                          <w:marLeft w:val="0"/>
                                          <w:marRight w:val="0"/>
                                          <w:marTop w:val="0"/>
                                          <w:marBottom w:val="0"/>
                                          <w:divBdr>
                                            <w:top w:val="none" w:sz="0" w:space="0" w:color="auto"/>
                                            <w:left w:val="none" w:sz="0" w:space="0" w:color="auto"/>
                                            <w:bottom w:val="none" w:sz="0" w:space="0" w:color="auto"/>
                                            <w:right w:val="none" w:sz="0" w:space="0" w:color="auto"/>
                                          </w:divBdr>
                                        </w:div>
                                        <w:div w:id="1332222337">
                                          <w:marLeft w:val="0"/>
                                          <w:marRight w:val="0"/>
                                          <w:marTop w:val="0"/>
                                          <w:marBottom w:val="0"/>
                                          <w:divBdr>
                                            <w:top w:val="none" w:sz="0" w:space="0" w:color="auto"/>
                                            <w:left w:val="none" w:sz="0" w:space="0" w:color="auto"/>
                                            <w:bottom w:val="none" w:sz="0" w:space="0" w:color="auto"/>
                                            <w:right w:val="none" w:sz="0" w:space="0" w:color="auto"/>
                                          </w:divBdr>
                                          <w:divsChild>
                                            <w:div w:id="1587038509">
                                              <w:marLeft w:val="0"/>
                                              <w:marRight w:val="0"/>
                                              <w:marTop w:val="0"/>
                                              <w:marBottom w:val="0"/>
                                              <w:divBdr>
                                                <w:top w:val="none" w:sz="0" w:space="0" w:color="auto"/>
                                                <w:left w:val="none" w:sz="0" w:space="0" w:color="auto"/>
                                                <w:bottom w:val="none" w:sz="0" w:space="0" w:color="auto"/>
                                                <w:right w:val="none" w:sz="0" w:space="0" w:color="auto"/>
                                              </w:divBdr>
                                              <w:divsChild>
                                                <w:div w:id="1095243595">
                                                  <w:marLeft w:val="0"/>
                                                  <w:marRight w:val="0"/>
                                                  <w:marTop w:val="0"/>
                                                  <w:marBottom w:val="0"/>
                                                  <w:divBdr>
                                                    <w:top w:val="none" w:sz="0" w:space="0" w:color="auto"/>
                                                    <w:left w:val="none" w:sz="0" w:space="0" w:color="auto"/>
                                                    <w:bottom w:val="none" w:sz="0" w:space="0" w:color="auto"/>
                                                    <w:right w:val="none" w:sz="0" w:space="0" w:color="auto"/>
                                                  </w:divBdr>
                                                </w:div>
                                                <w:div w:id="6141428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43604689">
                                          <w:marLeft w:val="0"/>
                                          <w:marRight w:val="0"/>
                                          <w:marTop w:val="0"/>
                                          <w:marBottom w:val="0"/>
                                          <w:divBdr>
                                            <w:top w:val="none" w:sz="0" w:space="0" w:color="auto"/>
                                            <w:left w:val="none" w:sz="0" w:space="0" w:color="auto"/>
                                            <w:bottom w:val="none" w:sz="0" w:space="0" w:color="auto"/>
                                            <w:right w:val="none" w:sz="0" w:space="0" w:color="auto"/>
                                          </w:divBdr>
                                          <w:divsChild>
                                            <w:div w:id="1156533891">
                                              <w:marLeft w:val="0"/>
                                              <w:marRight w:val="0"/>
                                              <w:marTop w:val="0"/>
                                              <w:marBottom w:val="0"/>
                                              <w:divBdr>
                                                <w:top w:val="none" w:sz="0" w:space="0" w:color="auto"/>
                                                <w:left w:val="none" w:sz="0" w:space="0" w:color="auto"/>
                                                <w:bottom w:val="none" w:sz="0" w:space="0" w:color="auto"/>
                                                <w:right w:val="none" w:sz="0" w:space="0" w:color="auto"/>
                                              </w:divBdr>
                                              <w:divsChild>
                                                <w:div w:id="1871529193">
                                                  <w:marLeft w:val="0"/>
                                                  <w:marRight w:val="0"/>
                                                  <w:marTop w:val="0"/>
                                                  <w:marBottom w:val="0"/>
                                                  <w:divBdr>
                                                    <w:top w:val="none" w:sz="0" w:space="0" w:color="auto"/>
                                                    <w:left w:val="none" w:sz="0" w:space="0" w:color="auto"/>
                                                    <w:bottom w:val="none" w:sz="0" w:space="0" w:color="auto"/>
                                                    <w:right w:val="none" w:sz="0" w:space="0" w:color="auto"/>
                                                  </w:divBdr>
                                                </w:div>
                                              </w:divsChild>
                                            </w:div>
                                            <w:div w:id="3617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3558">
                                  <w:marLeft w:val="0"/>
                                  <w:marRight w:val="0"/>
                                  <w:marTop w:val="0"/>
                                  <w:marBottom w:val="0"/>
                                  <w:divBdr>
                                    <w:top w:val="none" w:sz="0" w:space="0" w:color="auto"/>
                                    <w:left w:val="none" w:sz="0" w:space="0" w:color="auto"/>
                                    <w:bottom w:val="none" w:sz="0" w:space="0" w:color="auto"/>
                                    <w:right w:val="none" w:sz="0" w:space="0" w:color="auto"/>
                                  </w:divBdr>
                                  <w:divsChild>
                                    <w:div w:id="1664310315">
                                      <w:marLeft w:val="0"/>
                                      <w:marRight w:val="0"/>
                                      <w:marTop w:val="0"/>
                                      <w:marBottom w:val="0"/>
                                      <w:divBdr>
                                        <w:top w:val="single" w:sz="2" w:space="0" w:color="auto"/>
                                        <w:left w:val="single" w:sz="2" w:space="0" w:color="auto"/>
                                        <w:bottom w:val="single" w:sz="2" w:space="0" w:color="auto"/>
                                        <w:right w:val="single" w:sz="2" w:space="0" w:color="auto"/>
                                      </w:divBdr>
                                      <w:divsChild>
                                        <w:div w:id="455762790">
                                          <w:marLeft w:val="0"/>
                                          <w:marRight w:val="0"/>
                                          <w:marTop w:val="0"/>
                                          <w:marBottom w:val="0"/>
                                          <w:divBdr>
                                            <w:top w:val="none" w:sz="0" w:space="0" w:color="auto"/>
                                            <w:left w:val="none" w:sz="0" w:space="0" w:color="auto"/>
                                            <w:bottom w:val="none" w:sz="0" w:space="0" w:color="auto"/>
                                            <w:right w:val="none" w:sz="0" w:space="0" w:color="auto"/>
                                          </w:divBdr>
                                          <w:divsChild>
                                            <w:div w:id="1078596577">
                                              <w:marLeft w:val="0"/>
                                              <w:marRight w:val="0"/>
                                              <w:marTop w:val="0"/>
                                              <w:marBottom w:val="0"/>
                                              <w:divBdr>
                                                <w:top w:val="none" w:sz="0" w:space="0" w:color="auto"/>
                                                <w:left w:val="none" w:sz="0" w:space="0" w:color="auto"/>
                                                <w:bottom w:val="none" w:sz="0" w:space="0" w:color="auto"/>
                                                <w:right w:val="none" w:sz="0" w:space="0" w:color="auto"/>
                                              </w:divBdr>
                                            </w:div>
                                            <w:div w:id="652951447">
                                              <w:marLeft w:val="0"/>
                                              <w:marRight w:val="0"/>
                                              <w:marTop w:val="0"/>
                                              <w:marBottom w:val="0"/>
                                              <w:divBdr>
                                                <w:top w:val="none" w:sz="0" w:space="0" w:color="auto"/>
                                                <w:left w:val="none" w:sz="0" w:space="0" w:color="auto"/>
                                                <w:bottom w:val="none" w:sz="0" w:space="0" w:color="auto"/>
                                                <w:right w:val="none" w:sz="0" w:space="0" w:color="auto"/>
                                              </w:divBdr>
                                            </w:div>
                                            <w:div w:id="755907957">
                                              <w:marLeft w:val="0"/>
                                              <w:marRight w:val="0"/>
                                              <w:marTop w:val="0"/>
                                              <w:marBottom w:val="0"/>
                                              <w:divBdr>
                                                <w:top w:val="none" w:sz="0" w:space="0" w:color="auto"/>
                                                <w:left w:val="none" w:sz="0" w:space="0" w:color="auto"/>
                                                <w:bottom w:val="none" w:sz="0" w:space="0" w:color="auto"/>
                                                <w:right w:val="none" w:sz="0" w:space="0" w:color="auto"/>
                                              </w:divBdr>
                                            </w:div>
                                            <w:div w:id="968316263">
                                              <w:marLeft w:val="0"/>
                                              <w:marRight w:val="0"/>
                                              <w:marTop w:val="0"/>
                                              <w:marBottom w:val="0"/>
                                              <w:divBdr>
                                                <w:top w:val="none" w:sz="0" w:space="0" w:color="auto"/>
                                                <w:left w:val="none" w:sz="0" w:space="0" w:color="auto"/>
                                                <w:bottom w:val="none" w:sz="0" w:space="0" w:color="auto"/>
                                                <w:right w:val="none" w:sz="0" w:space="0" w:color="auto"/>
                                              </w:divBdr>
                                            </w:div>
                                            <w:div w:id="2024547324">
                                              <w:marLeft w:val="0"/>
                                              <w:marRight w:val="0"/>
                                              <w:marTop w:val="0"/>
                                              <w:marBottom w:val="0"/>
                                              <w:divBdr>
                                                <w:top w:val="none" w:sz="0" w:space="0" w:color="auto"/>
                                                <w:left w:val="none" w:sz="0" w:space="0" w:color="auto"/>
                                                <w:bottom w:val="none" w:sz="0" w:space="0" w:color="auto"/>
                                                <w:right w:val="none" w:sz="0" w:space="0" w:color="auto"/>
                                              </w:divBdr>
                                            </w:div>
                                            <w:div w:id="339086124">
                                              <w:marLeft w:val="0"/>
                                              <w:marRight w:val="0"/>
                                              <w:marTop w:val="0"/>
                                              <w:marBottom w:val="0"/>
                                              <w:divBdr>
                                                <w:top w:val="none" w:sz="0" w:space="0" w:color="auto"/>
                                                <w:left w:val="none" w:sz="0" w:space="0" w:color="auto"/>
                                                <w:bottom w:val="none" w:sz="0" w:space="0" w:color="auto"/>
                                                <w:right w:val="none" w:sz="0" w:space="0" w:color="auto"/>
                                              </w:divBdr>
                                            </w:div>
                                            <w:div w:id="3045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4251">
                                      <w:marLeft w:val="360"/>
                                      <w:marRight w:val="360"/>
                                      <w:marTop w:val="240"/>
                                      <w:marBottom w:val="360"/>
                                      <w:divBdr>
                                        <w:top w:val="none" w:sz="0" w:space="0" w:color="auto"/>
                                        <w:left w:val="none" w:sz="0" w:space="0" w:color="auto"/>
                                        <w:bottom w:val="none" w:sz="0" w:space="0" w:color="auto"/>
                                        <w:right w:val="none" w:sz="0" w:space="0" w:color="auto"/>
                                      </w:divBdr>
                                      <w:divsChild>
                                        <w:div w:id="1800218416">
                                          <w:marLeft w:val="0"/>
                                          <w:marRight w:val="0"/>
                                          <w:marTop w:val="0"/>
                                          <w:marBottom w:val="0"/>
                                          <w:divBdr>
                                            <w:top w:val="none" w:sz="0" w:space="0" w:color="auto"/>
                                            <w:left w:val="none" w:sz="0" w:space="0" w:color="auto"/>
                                            <w:bottom w:val="none" w:sz="0" w:space="0" w:color="auto"/>
                                            <w:right w:val="none" w:sz="0" w:space="0" w:color="auto"/>
                                          </w:divBdr>
                                          <w:divsChild>
                                            <w:div w:id="697122154">
                                              <w:marLeft w:val="0"/>
                                              <w:marRight w:val="0"/>
                                              <w:marTop w:val="0"/>
                                              <w:marBottom w:val="0"/>
                                              <w:divBdr>
                                                <w:top w:val="single" w:sz="2" w:space="0" w:color="auto"/>
                                                <w:left w:val="single" w:sz="2" w:space="0" w:color="auto"/>
                                                <w:bottom w:val="single" w:sz="2" w:space="0" w:color="auto"/>
                                                <w:right w:val="single" w:sz="2" w:space="0" w:color="auto"/>
                                              </w:divBdr>
                                            </w:div>
                                            <w:div w:id="1920556491">
                                              <w:marLeft w:val="0"/>
                                              <w:marRight w:val="0"/>
                                              <w:marTop w:val="0"/>
                                              <w:marBottom w:val="0"/>
                                              <w:divBdr>
                                                <w:top w:val="none" w:sz="0" w:space="0" w:color="auto"/>
                                                <w:left w:val="none" w:sz="0" w:space="0" w:color="auto"/>
                                                <w:bottom w:val="none" w:sz="0" w:space="0" w:color="auto"/>
                                                <w:right w:val="none" w:sz="0" w:space="0" w:color="auto"/>
                                              </w:divBdr>
                                              <w:divsChild>
                                                <w:div w:id="669335636">
                                                  <w:marLeft w:val="0"/>
                                                  <w:marRight w:val="0"/>
                                                  <w:marTop w:val="0"/>
                                                  <w:marBottom w:val="0"/>
                                                  <w:divBdr>
                                                    <w:top w:val="none" w:sz="0" w:space="0" w:color="auto"/>
                                                    <w:left w:val="none" w:sz="0" w:space="0" w:color="auto"/>
                                                    <w:bottom w:val="none" w:sz="0" w:space="0" w:color="auto"/>
                                                    <w:right w:val="none" w:sz="0" w:space="0" w:color="auto"/>
                                                  </w:divBdr>
                                                  <w:divsChild>
                                                    <w:div w:id="1617833351">
                                                      <w:marLeft w:val="0"/>
                                                      <w:marRight w:val="0"/>
                                                      <w:marTop w:val="0"/>
                                                      <w:marBottom w:val="0"/>
                                                      <w:divBdr>
                                                        <w:top w:val="none" w:sz="0" w:space="0" w:color="auto"/>
                                                        <w:left w:val="none" w:sz="0" w:space="0" w:color="auto"/>
                                                        <w:bottom w:val="none" w:sz="0" w:space="0" w:color="auto"/>
                                                        <w:right w:val="none" w:sz="0" w:space="0" w:color="auto"/>
                                                      </w:divBdr>
                                                      <w:divsChild>
                                                        <w:div w:id="1322076077">
                                                          <w:marLeft w:val="0"/>
                                                          <w:marRight w:val="0"/>
                                                          <w:marTop w:val="0"/>
                                                          <w:marBottom w:val="0"/>
                                                          <w:divBdr>
                                                            <w:top w:val="none" w:sz="0" w:space="0" w:color="auto"/>
                                                            <w:left w:val="none" w:sz="0" w:space="0" w:color="auto"/>
                                                            <w:bottom w:val="none" w:sz="0" w:space="0" w:color="auto"/>
                                                            <w:right w:val="none" w:sz="0" w:space="0" w:color="auto"/>
                                                          </w:divBdr>
                                                          <w:divsChild>
                                                            <w:div w:id="7852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0929">
                          <w:marLeft w:val="0"/>
                          <w:marRight w:val="0"/>
                          <w:marTop w:val="0"/>
                          <w:marBottom w:val="0"/>
                          <w:divBdr>
                            <w:top w:val="none" w:sz="0" w:space="0" w:color="auto"/>
                            <w:left w:val="none" w:sz="0" w:space="0" w:color="auto"/>
                            <w:bottom w:val="none" w:sz="0" w:space="0" w:color="auto"/>
                            <w:right w:val="none" w:sz="0" w:space="0" w:color="auto"/>
                          </w:divBdr>
                          <w:divsChild>
                            <w:div w:id="1228300323">
                              <w:marLeft w:val="0"/>
                              <w:marRight w:val="0"/>
                              <w:marTop w:val="240"/>
                              <w:marBottom w:val="0"/>
                              <w:divBdr>
                                <w:top w:val="none" w:sz="0" w:space="0" w:color="auto"/>
                                <w:left w:val="none" w:sz="0" w:space="0" w:color="auto"/>
                                <w:bottom w:val="none" w:sz="0" w:space="0" w:color="auto"/>
                                <w:right w:val="none" w:sz="0" w:space="0" w:color="auto"/>
                              </w:divBdr>
                              <w:divsChild>
                                <w:div w:id="1700663025">
                                  <w:marLeft w:val="0"/>
                                  <w:marRight w:val="0"/>
                                  <w:marTop w:val="0"/>
                                  <w:marBottom w:val="0"/>
                                  <w:divBdr>
                                    <w:top w:val="none" w:sz="0" w:space="0" w:color="auto"/>
                                    <w:left w:val="none" w:sz="0" w:space="0" w:color="auto"/>
                                    <w:bottom w:val="none" w:sz="0" w:space="0" w:color="auto"/>
                                    <w:right w:val="none" w:sz="0" w:space="0" w:color="auto"/>
                                  </w:divBdr>
                                  <w:divsChild>
                                    <w:div w:id="2335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7360">
              <w:marLeft w:val="0"/>
              <w:marRight w:val="0"/>
              <w:marTop w:val="0"/>
              <w:marBottom w:val="0"/>
              <w:divBdr>
                <w:top w:val="none" w:sz="0" w:space="0" w:color="auto"/>
                <w:left w:val="none" w:sz="0" w:space="0" w:color="auto"/>
                <w:bottom w:val="none" w:sz="0" w:space="0" w:color="auto"/>
                <w:right w:val="none" w:sz="0" w:space="0" w:color="auto"/>
              </w:divBdr>
              <w:divsChild>
                <w:div w:id="689844221">
                  <w:marLeft w:val="0"/>
                  <w:marRight w:val="0"/>
                  <w:marTop w:val="0"/>
                  <w:marBottom w:val="0"/>
                  <w:divBdr>
                    <w:top w:val="none" w:sz="0" w:space="0" w:color="auto"/>
                    <w:left w:val="none" w:sz="0" w:space="0" w:color="auto"/>
                    <w:bottom w:val="none" w:sz="0" w:space="0" w:color="auto"/>
                    <w:right w:val="none" w:sz="0" w:space="0" w:color="auto"/>
                  </w:divBdr>
                  <w:divsChild>
                    <w:div w:id="79643287">
                      <w:marLeft w:val="0"/>
                      <w:marRight w:val="0"/>
                      <w:marTop w:val="0"/>
                      <w:marBottom w:val="0"/>
                      <w:divBdr>
                        <w:top w:val="none" w:sz="0" w:space="0" w:color="auto"/>
                        <w:left w:val="none" w:sz="0" w:space="0" w:color="auto"/>
                        <w:bottom w:val="none" w:sz="0" w:space="0" w:color="auto"/>
                        <w:right w:val="none" w:sz="0" w:space="0" w:color="auto"/>
                      </w:divBdr>
                      <w:divsChild>
                        <w:div w:id="15161218">
                          <w:marLeft w:val="0"/>
                          <w:marRight w:val="0"/>
                          <w:marTop w:val="0"/>
                          <w:marBottom w:val="0"/>
                          <w:divBdr>
                            <w:top w:val="none" w:sz="0" w:space="0" w:color="auto"/>
                            <w:left w:val="none" w:sz="0" w:space="0" w:color="auto"/>
                            <w:bottom w:val="none" w:sz="0" w:space="0" w:color="auto"/>
                            <w:right w:val="none" w:sz="0" w:space="0" w:color="auto"/>
                          </w:divBdr>
                        </w:div>
                        <w:div w:id="1272741864">
                          <w:marLeft w:val="0"/>
                          <w:marRight w:val="0"/>
                          <w:marTop w:val="0"/>
                          <w:marBottom w:val="0"/>
                          <w:divBdr>
                            <w:top w:val="none" w:sz="0" w:space="0" w:color="auto"/>
                            <w:left w:val="none" w:sz="0" w:space="0" w:color="auto"/>
                            <w:bottom w:val="none" w:sz="0" w:space="0" w:color="auto"/>
                            <w:right w:val="none" w:sz="0" w:space="0" w:color="auto"/>
                          </w:divBdr>
                          <w:divsChild>
                            <w:div w:id="945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02823">
      <w:bodyDiv w:val="1"/>
      <w:marLeft w:val="0"/>
      <w:marRight w:val="0"/>
      <w:marTop w:val="0"/>
      <w:marBottom w:val="0"/>
      <w:divBdr>
        <w:top w:val="none" w:sz="0" w:space="0" w:color="auto"/>
        <w:left w:val="none" w:sz="0" w:space="0" w:color="auto"/>
        <w:bottom w:val="none" w:sz="0" w:space="0" w:color="auto"/>
        <w:right w:val="none" w:sz="0" w:space="0" w:color="auto"/>
      </w:divBdr>
    </w:div>
    <w:div w:id="1804424220">
      <w:bodyDiv w:val="1"/>
      <w:marLeft w:val="0"/>
      <w:marRight w:val="0"/>
      <w:marTop w:val="0"/>
      <w:marBottom w:val="0"/>
      <w:divBdr>
        <w:top w:val="none" w:sz="0" w:space="0" w:color="auto"/>
        <w:left w:val="none" w:sz="0" w:space="0" w:color="auto"/>
        <w:bottom w:val="none" w:sz="0" w:space="0" w:color="auto"/>
        <w:right w:val="none" w:sz="0" w:space="0" w:color="auto"/>
      </w:divBdr>
    </w:div>
    <w:div w:id="1837766212">
      <w:bodyDiv w:val="1"/>
      <w:marLeft w:val="0"/>
      <w:marRight w:val="0"/>
      <w:marTop w:val="0"/>
      <w:marBottom w:val="0"/>
      <w:divBdr>
        <w:top w:val="none" w:sz="0" w:space="0" w:color="auto"/>
        <w:left w:val="none" w:sz="0" w:space="0" w:color="auto"/>
        <w:bottom w:val="none" w:sz="0" w:space="0" w:color="auto"/>
        <w:right w:val="none" w:sz="0" w:space="0" w:color="auto"/>
      </w:divBdr>
      <w:divsChild>
        <w:div w:id="491679468">
          <w:marLeft w:val="0"/>
          <w:marRight w:val="0"/>
          <w:marTop w:val="0"/>
          <w:marBottom w:val="0"/>
          <w:divBdr>
            <w:top w:val="none" w:sz="0" w:space="0" w:color="auto"/>
            <w:left w:val="none" w:sz="0" w:space="0" w:color="auto"/>
            <w:bottom w:val="none" w:sz="0" w:space="0" w:color="auto"/>
            <w:right w:val="none" w:sz="0" w:space="0" w:color="auto"/>
          </w:divBdr>
          <w:divsChild>
            <w:div w:id="1190290913">
              <w:marLeft w:val="0"/>
              <w:marRight w:val="0"/>
              <w:marTop w:val="0"/>
              <w:marBottom w:val="0"/>
              <w:divBdr>
                <w:top w:val="none" w:sz="0" w:space="0" w:color="auto"/>
                <w:left w:val="none" w:sz="0" w:space="0" w:color="auto"/>
                <w:bottom w:val="none" w:sz="0" w:space="0" w:color="auto"/>
                <w:right w:val="none" w:sz="0" w:space="0" w:color="auto"/>
              </w:divBdr>
              <w:divsChild>
                <w:div w:id="9953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8422">
      <w:bodyDiv w:val="1"/>
      <w:marLeft w:val="0"/>
      <w:marRight w:val="0"/>
      <w:marTop w:val="0"/>
      <w:marBottom w:val="0"/>
      <w:divBdr>
        <w:top w:val="none" w:sz="0" w:space="0" w:color="auto"/>
        <w:left w:val="none" w:sz="0" w:space="0" w:color="auto"/>
        <w:bottom w:val="none" w:sz="0" w:space="0" w:color="auto"/>
        <w:right w:val="none" w:sz="0" w:space="0" w:color="auto"/>
      </w:divBdr>
    </w:div>
    <w:div w:id="1856265372">
      <w:bodyDiv w:val="1"/>
      <w:marLeft w:val="0"/>
      <w:marRight w:val="0"/>
      <w:marTop w:val="0"/>
      <w:marBottom w:val="0"/>
      <w:divBdr>
        <w:top w:val="none" w:sz="0" w:space="0" w:color="auto"/>
        <w:left w:val="none" w:sz="0" w:space="0" w:color="auto"/>
        <w:bottom w:val="none" w:sz="0" w:space="0" w:color="auto"/>
        <w:right w:val="none" w:sz="0" w:space="0" w:color="auto"/>
      </w:divBdr>
    </w:div>
    <w:div w:id="1930769160">
      <w:bodyDiv w:val="1"/>
      <w:marLeft w:val="0"/>
      <w:marRight w:val="0"/>
      <w:marTop w:val="0"/>
      <w:marBottom w:val="0"/>
      <w:divBdr>
        <w:top w:val="none" w:sz="0" w:space="0" w:color="auto"/>
        <w:left w:val="none" w:sz="0" w:space="0" w:color="auto"/>
        <w:bottom w:val="none" w:sz="0" w:space="0" w:color="auto"/>
        <w:right w:val="none" w:sz="0" w:space="0" w:color="auto"/>
      </w:divBdr>
    </w:div>
    <w:div w:id="1939679398">
      <w:bodyDiv w:val="1"/>
      <w:marLeft w:val="0"/>
      <w:marRight w:val="0"/>
      <w:marTop w:val="0"/>
      <w:marBottom w:val="0"/>
      <w:divBdr>
        <w:top w:val="none" w:sz="0" w:space="0" w:color="auto"/>
        <w:left w:val="none" w:sz="0" w:space="0" w:color="auto"/>
        <w:bottom w:val="none" w:sz="0" w:space="0" w:color="auto"/>
        <w:right w:val="none" w:sz="0" w:space="0" w:color="auto"/>
      </w:divBdr>
    </w:div>
    <w:div w:id="1980457680">
      <w:bodyDiv w:val="1"/>
      <w:marLeft w:val="0"/>
      <w:marRight w:val="0"/>
      <w:marTop w:val="0"/>
      <w:marBottom w:val="0"/>
      <w:divBdr>
        <w:top w:val="none" w:sz="0" w:space="0" w:color="auto"/>
        <w:left w:val="none" w:sz="0" w:space="0" w:color="auto"/>
        <w:bottom w:val="none" w:sz="0" w:space="0" w:color="auto"/>
        <w:right w:val="none" w:sz="0" w:space="0" w:color="auto"/>
      </w:divBdr>
    </w:div>
    <w:div w:id="1996183717">
      <w:bodyDiv w:val="1"/>
      <w:marLeft w:val="0"/>
      <w:marRight w:val="0"/>
      <w:marTop w:val="0"/>
      <w:marBottom w:val="0"/>
      <w:divBdr>
        <w:top w:val="none" w:sz="0" w:space="0" w:color="auto"/>
        <w:left w:val="none" w:sz="0" w:space="0" w:color="auto"/>
        <w:bottom w:val="none" w:sz="0" w:space="0" w:color="auto"/>
        <w:right w:val="none" w:sz="0" w:space="0" w:color="auto"/>
      </w:divBdr>
    </w:div>
    <w:div w:id="2009281780">
      <w:bodyDiv w:val="1"/>
      <w:marLeft w:val="0"/>
      <w:marRight w:val="0"/>
      <w:marTop w:val="0"/>
      <w:marBottom w:val="0"/>
      <w:divBdr>
        <w:top w:val="none" w:sz="0" w:space="0" w:color="auto"/>
        <w:left w:val="none" w:sz="0" w:space="0" w:color="auto"/>
        <w:bottom w:val="none" w:sz="0" w:space="0" w:color="auto"/>
        <w:right w:val="none" w:sz="0" w:space="0" w:color="auto"/>
      </w:divBdr>
      <w:divsChild>
        <w:div w:id="2065522374">
          <w:marLeft w:val="0"/>
          <w:marRight w:val="0"/>
          <w:marTop w:val="0"/>
          <w:marBottom w:val="0"/>
          <w:divBdr>
            <w:top w:val="none" w:sz="0" w:space="0" w:color="auto"/>
            <w:left w:val="none" w:sz="0" w:space="0" w:color="auto"/>
            <w:bottom w:val="none" w:sz="0" w:space="0" w:color="auto"/>
            <w:right w:val="none" w:sz="0" w:space="0" w:color="auto"/>
          </w:divBdr>
          <w:divsChild>
            <w:div w:id="1694382918">
              <w:marLeft w:val="0"/>
              <w:marRight w:val="0"/>
              <w:marTop w:val="0"/>
              <w:marBottom w:val="0"/>
              <w:divBdr>
                <w:top w:val="none" w:sz="0" w:space="0" w:color="auto"/>
                <w:left w:val="none" w:sz="0" w:space="0" w:color="auto"/>
                <w:bottom w:val="none" w:sz="0" w:space="0" w:color="auto"/>
                <w:right w:val="none" w:sz="0" w:space="0" w:color="auto"/>
              </w:divBdr>
              <w:divsChild>
                <w:div w:id="868834330">
                  <w:marLeft w:val="0"/>
                  <w:marRight w:val="0"/>
                  <w:marTop w:val="0"/>
                  <w:marBottom w:val="0"/>
                  <w:divBdr>
                    <w:top w:val="none" w:sz="0" w:space="0" w:color="auto"/>
                    <w:left w:val="none" w:sz="0" w:space="0" w:color="auto"/>
                    <w:bottom w:val="none" w:sz="0" w:space="0" w:color="auto"/>
                    <w:right w:val="none" w:sz="0" w:space="0" w:color="auto"/>
                  </w:divBdr>
                  <w:divsChild>
                    <w:div w:id="21456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7410">
      <w:bodyDiv w:val="1"/>
      <w:marLeft w:val="0"/>
      <w:marRight w:val="0"/>
      <w:marTop w:val="0"/>
      <w:marBottom w:val="0"/>
      <w:divBdr>
        <w:top w:val="none" w:sz="0" w:space="0" w:color="auto"/>
        <w:left w:val="none" w:sz="0" w:space="0" w:color="auto"/>
        <w:bottom w:val="none" w:sz="0" w:space="0" w:color="auto"/>
        <w:right w:val="none" w:sz="0" w:space="0" w:color="auto"/>
      </w:divBdr>
    </w:div>
    <w:div w:id="2087410470">
      <w:bodyDiv w:val="1"/>
      <w:marLeft w:val="0"/>
      <w:marRight w:val="0"/>
      <w:marTop w:val="0"/>
      <w:marBottom w:val="0"/>
      <w:divBdr>
        <w:top w:val="none" w:sz="0" w:space="0" w:color="auto"/>
        <w:left w:val="none" w:sz="0" w:space="0" w:color="auto"/>
        <w:bottom w:val="none" w:sz="0" w:space="0" w:color="auto"/>
        <w:right w:val="none" w:sz="0" w:space="0" w:color="auto"/>
      </w:divBdr>
    </w:div>
    <w:div w:id="2113278526">
      <w:bodyDiv w:val="1"/>
      <w:marLeft w:val="0"/>
      <w:marRight w:val="0"/>
      <w:marTop w:val="0"/>
      <w:marBottom w:val="0"/>
      <w:divBdr>
        <w:top w:val="none" w:sz="0" w:space="0" w:color="auto"/>
        <w:left w:val="none" w:sz="0" w:space="0" w:color="auto"/>
        <w:bottom w:val="none" w:sz="0" w:space="0" w:color="auto"/>
        <w:right w:val="none" w:sz="0" w:space="0" w:color="auto"/>
      </w:divBdr>
    </w:div>
    <w:div w:id="2127457603">
      <w:bodyDiv w:val="1"/>
      <w:marLeft w:val="0"/>
      <w:marRight w:val="0"/>
      <w:marTop w:val="0"/>
      <w:marBottom w:val="0"/>
      <w:divBdr>
        <w:top w:val="none" w:sz="0" w:space="0" w:color="auto"/>
        <w:left w:val="none" w:sz="0" w:space="0" w:color="auto"/>
        <w:bottom w:val="none" w:sz="0" w:space="0" w:color="auto"/>
        <w:right w:val="none" w:sz="0" w:space="0" w:color="auto"/>
      </w:divBdr>
    </w:div>
    <w:div w:id="2130277813">
      <w:bodyDiv w:val="1"/>
      <w:marLeft w:val="0"/>
      <w:marRight w:val="0"/>
      <w:marTop w:val="0"/>
      <w:marBottom w:val="0"/>
      <w:divBdr>
        <w:top w:val="none" w:sz="0" w:space="0" w:color="auto"/>
        <w:left w:val="none" w:sz="0" w:space="0" w:color="auto"/>
        <w:bottom w:val="none" w:sz="0" w:space="0" w:color="auto"/>
        <w:right w:val="none" w:sz="0" w:space="0" w:color="auto"/>
      </w:divBdr>
      <w:divsChild>
        <w:div w:id="2066441903">
          <w:marLeft w:val="0"/>
          <w:marRight w:val="0"/>
          <w:marTop w:val="0"/>
          <w:marBottom w:val="0"/>
          <w:divBdr>
            <w:top w:val="none" w:sz="0" w:space="0" w:color="auto"/>
            <w:left w:val="none" w:sz="0" w:space="0" w:color="auto"/>
            <w:bottom w:val="none" w:sz="0" w:space="0" w:color="auto"/>
            <w:right w:val="none" w:sz="0" w:space="0" w:color="auto"/>
          </w:divBdr>
        </w:div>
      </w:divsChild>
    </w:div>
    <w:div w:id="2130396985">
      <w:bodyDiv w:val="1"/>
      <w:marLeft w:val="0"/>
      <w:marRight w:val="0"/>
      <w:marTop w:val="0"/>
      <w:marBottom w:val="0"/>
      <w:divBdr>
        <w:top w:val="none" w:sz="0" w:space="0" w:color="auto"/>
        <w:left w:val="none" w:sz="0" w:space="0" w:color="auto"/>
        <w:bottom w:val="none" w:sz="0" w:space="0" w:color="auto"/>
        <w:right w:val="none" w:sz="0" w:space="0" w:color="auto"/>
      </w:divBdr>
    </w:div>
    <w:div w:id="2132087178">
      <w:bodyDiv w:val="1"/>
      <w:marLeft w:val="0"/>
      <w:marRight w:val="0"/>
      <w:marTop w:val="0"/>
      <w:marBottom w:val="0"/>
      <w:divBdr>
        <w:top w:val="none" w:sz="0" w:space="0" w:color="auto"/>
        <w:left w:val="none" w:sz="0" w:space="0" w:color="auto"/>
        <w:bottom w:val="none" w:sz="0" w:space="0" w:color="auto"/>
        <w:right w:val="none" w:sz="0" w:space="0" w:color="auto"/>
      </w:divBdr>
    </w:div>
    <w:div w:id="21414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SRJ-06-2019-0194" TargetMode="External"/><Relationship Id="rId21" Type="http://schemas.openxmlformats.org/officeDocument/2006/relationships/hyperlink" Target="https://doi.org/10.1515/erj-2015-0003" TargetMode="External"/><Relationship Id="rId42" Type="http://schemas.openxmlformats.org/officeDocument/2006/relationships/hyperlink" Target="https://doi.org/10.1080/20430795.2015.1118917" TargetMode="External"/><Relationship Id="rId47" Type="http://schemas.openxmlformats.org/officeDocument/2006/relationships/hyperlink" Target="https://gresb.com/nl-en/real-estate-assessment/" TargetMode="External"/><Relationship Id="rId63" Type="http://schemas.openxmlformats.org/officeDocument/2006/relationships/hyperlink" Target="https://doi.org/10.1108/JPIF-03-2019-0029" TargetMode="External"/><Relationship Id="rId68" Type="http://schemas.openxmlformats.org/officeDocument/2006/relationships/hyperlink" Target="https://doi.org/10.18488/journal.aefr.2019.97.836.850" TargetMode="External"/><Relationship Id="rId84" Type="http://schemas.openxmlformats.org/officeDocument/2006/relationships/hyperlink" Target="https://doi.org/10.1016/j.frl.2020.101593" TargetMode="External"/><Relationship Id="rId16" Type="http://schemas.openxmlformats.org/officeDocument/2006/relationships/hyperlink" Target="https://doi.org/10.1108/S0742-332220180000038016" TargetMode="External"/><Relationship Id="rId11" Type="http://schemas.openxmlformats.org/officeDocument/2006/relationships/image" Target="media/image1.emf"/><Relationship Id="rId32" Type="http://schemas.openxmlformats.org/officeDocument/2006/relationships/hyperlink" Target="https://doi.org/10.3846/ijspm.2020.12174" TargetMode="External"/><Relationship Id="rId37" Type="http://schemas.openxmlformats.org/officeDocument/2006/relationships/hyperlink" Target="https://doi.org/10.3905/jpm.2019.1.099" TargetMode="External"/><Relationship Id="rId53" Type="http://schemas.openxmlformats.org/officeDocument/2006/relationships/hyperlink" Target="https://doi.org/10.1111/1540-6229.12223" TargetMode="External"/><Relationship Id="rId58" Type="http://schemas.openxmlformats.org/officeDocument/2006/relationships/hyperlink" Target="https://doi.org/10.3905/jii.2020.1.092" TargetMode="External"/><Relationship Id="rId74" Type="http://schemas.openxmlformats.org/officeDocument/2006/relationships/hyperlink" Target="https://shura.shu.ac.uk/24550/" TargetMode="External"/><Relationship Id="rId79" Type="http://schemas.openxmlformats.org/officeDocument/2006/relationships/hyperlink" Target="https://doi.org/10.1108/SASBE-05-2023-0122" TargetMode="External"/><Relationship Id="rId5" Type="http://schemas.openxmlformats.org/officeDocument/2006/relationships/numbering" Target="numbering.xml"/><Relationship Id="rId19" Type="http://schemas.openxmlformats.org/officeDocument/2006/relationships/hyperlink" Target="https://doi.org/10.1002/csr.2177" TargetMode="External"/><Relationship Id="rId14" Type="http://schemas.openxmlformats.org/officeDocument/2006/relationships/hyperlink" Target="https://doi.org/10.1016/j.qref.2015.07.002" TargetMode="External"/><Relationship Id="rId22" Type="http://schemas.openxmlformats.org/officeDocument/2006/relationships/hyperlink" Target="https://doi.org/10.1080/10720530590914789" TargetMode="External"/><Relationship Id="rId27" Type="http://schemas.openxmlformats.org/officeDocument/2006/relationships/hyperlink" Target="https://doi.org/10.1007/s11146-024-09979-y" TargetMode="External"/><Relationship Id="rId30" Type="http://schemas.openxmlformats.org/officeDocument/2006/relationships/hyperlink" Target="https://doi.org/10.1016/j.rser.2018.05.061" TargetMode="External"/><Relationship Id="rId35" Type="http://schemas.openxmlformats.org/officeDocument/2006/relationships/hyperlink" Target="https://doi.org/10.3390/su12020654" TargetMode="External"/><Relationship Id="rId43" Type="http://schemas.openxmlformats.org/officeDocument/2006/relationships/hyperlink" Target="https://doi.org/10.32609/j.ruje.5.47422" TargetMode="External"/><Relationship Id="rId48" Type="http://schemas.openxmlformats.org/officeDocument/2006/relationships/hyperlink" Target="https://www.gresb.com/nl-en/gresb-participant-members/" TargetMode="External"/><Relationship Id="rId56" Type="http://schemas.openxmlformats.org/officeDocument/2006/relationships/hyperlink" Target="https://www.ifrs.org/issued-standards/ifrs-sustainability-standards-navigator/ifrs-s1-general-requirements/" TargetMode="External"/><Relationship Id="rId64" Type="http://schemas.openxmlformats.org/officeDocument/2006/relationships/hyperlink" Target="https://doi.org/10.1016/j.rser.2017.09.105" TargetMode="External"/><Relationship Id="rId69" Type="http://schemas.openxmlformats.org/officeDocument/2006/relationships/hyperlink" Target="https://doi.org/10.5430/ijfr.v9n4p19" TargetMode="External"/><Relationship Id="rId77" Type="http://schemas.openxmlformats.org/officeDocument/2006/relationships/hyperlink" Target="https://doi.org/10.1108/20466091311325827" TargetMode="External"/><Relationship Id="rId8" Type="http://schemas.openxmlformats.org/officeDocument/2006/relationships/webSettings" Target="webSettings.xml"/><Relationship Id="rId51" Type="http://schemas.openxmlformats.org/officeDocument/2006/relationships/hyperlink" Target="https://doi.org/10.1007/s10551-010-0636-5" TargetMode="External"/><Relationship Id="rId72" Type="http://schemas.openxmlformats.org/officeDocument/2006/relationships/hyperlink" Target="https://doi.org/10.1108/14635780810908406" TargetMode="External"/><Relationship Id="rId80" Type="http://schemas.openxmlformats.org/officeDocument/2006/relationships/hyperlink" Target="https://unfccc.int/files/essential_background/convention/application/pdf/english_paris_agreement.pdf"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hyperlink" Target="https://doi.org/10.3390/su9071226" TargetMode="External"/><Relationship Id="rId25" Type="http://schemas.openxmlformats.org/officeDocument/2006/relationships/hyperlink" Target="https://doi.org/10.3846/1648715X.2013.866601" TargetMode="External"/><Relationship Id="rId33" Type="http://schemas.openxmlformats.org/officeDocument/2006/relationships/hyperlink" Target="https://doi.org/10.1007/s11146-022-09914-z" TargetMode="External"/><Relationship Id="rId38" Type="http://schemas.openxmlformats.org/officeDocument/2006/relationships/hyperlink" Target="https://www.sustainability.com/globalassets/sustainability.com/thinking/pdfs/2023/rate-the-raters-report-april-2023.pdf" TargetMode="External"/><Relationship Id="rId46" Type="http://schemas.openxmlformats.org/officeDocument/2006/relationships/hyperlink" Target="https://doi.org/10.1016/j.jenvman.2022.116552" TargetMode="External"/><Relationship Id="rId59" Type="http://schemas.openxmlformats.org/officeDocument/2006/relationships/hyperlink" Target="https://doi.org/10.1016/j.jenvman.2021.112581" TargetMode="External"/><Relationship Id="rId67" Type="http://schemas.openxmlformats.org/officeDocument/2006/relationships/hyperlink" Target="https://doi.org/10.1108/JPIF-10-2021-0084" TargetMode="External"/><Relationship Id="rId20" Type="http://schemas.openxmlformats.org/officeDocument/2006/relationships/hyperlink" Target="https://doi.org/10.1680/jinam.23.00028" TargetMode="External"/><Relationship Id="rId41" Type="http://schemas.openxmlformats.org/officeDocument/2006/relationships/hyperlink" Target="https://doi.org/10.1007/s11146-021-09857-x" TargetMode="External"/><Relationship Id="rId54" Type="http://schemas.openxmlformats.org/officeDocument/2006/relationships/hyperlink" Target="https://doi.org/10.1680/jensu.23.00031" TargetMode="External"/><Relationship Id="rId62" Type="http://schemas.openxmlformats.org/officeDocument/2006/relationships/hyperlink" Target="https://doi.org/10.1093/rfs/hhz137" TargetMode="External"/><Relationship Id="rId70" Type="http://schemas.openxmlformats.org/officeDocument/2006/relationships/hyperlink" Target="https://data.oecd.org/entrepreneur/enterprises-by-business-size.htm" TargetMode="External"/><Relationship Id="rId75" Type="http://schemas.openxmlformats.org/officeDocument/2006/relationships/hyperlink" Target="https://doi.org/10.1002/tie.21582" TargetMode="External"/><Relationship Id="rId83" Type="http://schemas.openxmlformats.org/officeDocument/2006/relationships/hyperlink" Target="https://doi.org/10.20900/jsr2023000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680/jensu.23.00042" TargetMode="External"/><Relationship Id="rId23" Type="http://schemas.openxmlformats.org/officeDocument/2006/relationships/hyperlink" Target="https://doi.org/10.3390/su13042037" TargetMode="External"/><Relationship Id="rId28" Type="http://schemas.openxmlformats.org/officeDocument/2006/relationships/hyperlink" Target="https://doi.org/10.17863/CAM.64204" TargetMode="External"/><Relationship Id="rId36" Type="http://schemas.openxmlformats.org/officeDocument/2006/relationships/hyperlink" Target="https://doi.org/10.1016/j.jbankfin.2019.02.015" TargetMode="External"/><Relationship Id="rId49" Type="http://schemas.openxmlformats.org/officeDocument/2006/relationships/hyperlink" Target="https://gresb-prd-public.s3.amazonaws.com/2023/Foundation/GRESB_Foundation_2024_Roadmap.pdf" TargetMode="External"/><Relationship Id="rId57" Type="http://schemas.openxmlformats.org/officeDocument/2006/relationships/hyperlink" Target="https://doi.org/10.1108/JPIF-12-2019-0147" TargetMode="External"/><Relationship Id="rId10" Type="http://schemas.openxmlformats.org/officeDocument/2006/relationships/endnotes" Target="endnotes.xml"/><Relationship Id="rId31" Type="http://schemas.openxmlformats.org/officeDocument/2006/relationships/hyperlink" Target="https://doi.org/10.1108/JEC-10-2022-0147" TargetMode="External"/><Relationship Id="rId44" Type="http://schemas.openxmlformats.org/officeDocument/2006/relationships/hyperlink" Target="https://doi.org/10.1007/978-3-319-91911-9_13" TargetMode="External"/><Relationship Id="rId52" Type="http://schemas.openxmlformats.org/officeDocument/2006/relationships/hyperlink" Target="https://doi.org/10.3905/jpm.2022.1.334" TargetMode="External"/><Relationship Id="rId60" Type="http://schemas.openxmlformats.org/officeDocument/2006/relationships/hyperlink" Target="https://doi.org/10.3390/su13063239" TargetMode="External"/><Relationship Id="rId65" Type="http://schemas.openxmlformats.org/officeDocument/2006/relationships/hyperlink" Target="https://doi.org/10.3905/jsf.2023.1.154" TargetMode="External"/><Relationship Id="rId73" Type="http://schemas.openxmlformats.org/officeDocument/2006/relationships/hyperlink" Target="http://www.thomsonreuters.com/content/dam/openweb/documents/pdf/tr-com-financial/report/starmine-quant-research-note-on-asset4-data.pdf" TargetMode="External"/><Relationship Id="rId78" Type="http://schemas.openxmlformats.org/officeDocument/2006/relationships/hyperlink" Target="http://saaic.feaa.uaic.ro/index.php/saaic/article/view/T16" TargetMode="External"/><Relationship Id="rId81" Type="http://schemas.openxmlformats.org/officeDocument/2006/relationships/hyperlink" Target="https://press.un.org/en/2020/sgsm20411.doc.htm"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108/CG-06-2020-0258" TargetMode="External"/><Relationship Id="rId18" Type="http://schemas.openxmlformats.org/officeDocument/2006/relationships/hyperlink" Target="https://doi.org/10.1002/mde.3131" TargetMode="External"/><Relationship Id="rId39" Type="http://schemas.openxmlformats.org/officeDocument/2006/relationships/hyperlink" Target="https://doi.org/10.1002/rfe.1052" TargetMode="External"/><Relationship Id="rId34" Type="http://schemas.openxmlformats.org/officeDocument/2006/relationships/hyperlink" Target="https://doi.org/10.1007/s10551-014-2307-4" TargetMode="External"/><Relationship Id="rId50" Type="http://schemas.openxmlformats.org/officeDocument/2006/relationships/hyperlink" Target="https://www.gresb.com/nl-en/2023-real-estate-assessment-results/" TargetMode="External"/><Relationship Id="rId55" Type="http://schemas.openxmlformats.org/officeDocument/2006/relationships/hyperlink" Target="https://doi.org/10.1016/j.jclepro.2016.10.025" TargetMode="External"/><Relationship Id="rId76" Type="http://schemas.openxmlformats.org/officeDocument/2006/relationships/hyperlink" Target="https://doi.org/10.1108/JFMPC-03-2015-0009" TargetMode="External"/><Relationship Id="rId7" Type="http://schemas.openxmlformats.org/officeDocument/2006/relationships/settings" Target="settings.xml"/><Relationship Id="rId71" Type="http://schemas.openxmlformats.org/officeDocument/2006/relationships/hyperlink" Target="https://doi.org/10.3390/su12208536" TargetMode="External"/><Relationship Id="rId2" Type="http://schemas.openxmlformats.org/officeDocument/2006/relationships/customXml" Target="../customXml/item2.xml"/><Relationship Id="rId29" Type="http://schemas.openxmlformats.org/officeDocument/2006/relationships/hyperlink" Target="https://doi.org/10.1111/1911-3838.12232" TargetMode="External"/><Relationship Id="rId24" Type="http://schemas.openxmlformats.org/officeDocument/2006/relationships/hyperlink" Target="https://doi.org/10.1177/0007650315570701" TargetMode="External"/><Relationship Id="rId40" Type="http://schemas.openxmlformats.org/officeDocument/2006/relationships/hyperlink" Target="https://www.euromoney.com/podcasts/treasury-and-turbulence" TargetMode="External"/><Relationship Id="rId45" Type="http://schemas.openxmlformats.org/officeDocument/2006/relationships/hyperlink" Target="https://doi.org/10.5456/WPLL.19.2.63" TargetMode="External"/><Relationship Id="rId66" Type="http://schemas.openxmlformats.org/officeDocument/2006/relationships/hyperlink" Target="https://doi.org/10.1108/JERER-05-2020-0030" TargetMode="External"/><Relationship Id="rId87" Type="http://schemas.openxmlformats.org/officeDocument/2006/relationships/theme" Target="theme/theme1.xml"/><Relationship Id="rId61" Type="http://schemas.openxmlformats.org/officeDocument/2006/relationships/hyperlink" Target="https://doi.org/10.1108/JAAR-12-2017-0141" TargetMode="External"/><Relationship Id="rId82" Type="http://schemas.openxmlformats.org/officeDocument/2006/relationships/hyperlink" Target="https://doi.org/10.9770/jesi.2020.8.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0A86286E454BAA62B1CD43C395E0" ma:contentTypeVersion="18" ma:contentTypeDescription="Create a new document." ma:contentTypeScope="" ma:versionID="c29e8ea41d105645896d1e88ae3fa2d6">
  <xsd:schema xmlns:xsd="http://www.w3.org/2001/XMLSchema" xmlns:xs="http://www.w3.org/2001/XMLSchema" xmlns:p="http://schemas.microsoft.com/office/2006/metadata/properties" xmlns:ns3="8518406e-c1f7-400e-88f9-64c460a99e61" xmlns:ns4="4edea22a-393d-48cf-8590-c8b64a0e3d24" targetNamespace="http://schemas.microsoft.com/office/2006/metadata/properties" ma:root="true" ma:fieldsID="153ab2972399666e7f0d8645f4ae1cbf" ns3:_="" ns4:_="">
    <xsd:import namespace="8518406e-c1f7-400e-88f9-64c460a99e61"/>
    <xsd:import namespace="4edea22a-393d-48cf-8590-c8b64a0e3d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406e-c1f7-400e-88f9-64c460a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ea22a-393d-48cf-8590-c8b64a0e3d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518406e-c1f7-400e-88f9-64c460a99e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59F1-DFD2-4B2C-AC66-34B513AC0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406e-c1f7-400e-88f9-64c460a99e61"/>
    <ds:schemaRef ds:uri="4edea22a-393d-48cf-8590-c8b64a0e3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8A1C6-4E68-4EF1-A1F1-F016B0F18FB2}">
  <ds:schemaRefs>
    <ds:schemaRef ds:uri="http://schemas.microsoft.com/office/2006/metadata/properties"/>
    <ds:schemaRef ds:uri="http://schemas.microsoft.com/office/infopath/2007/PartnerControls"/>
    <ds:schemaRef ds:uri="8518406e-c1f7-400e-88f9-64c460a99e61"/>
  </ds:schemaRefs>
</ds:datastoreItem>
</file>

<file path=customXml/itemProps3.xml><?xml version="1.0" encoding="utf-8"?>
<ds:datastoreItem xmlns:ds="http://schemas.openxmlformats.org/officeDocument/2006/customXml" ds:itemID="{EBAAD88C-B5FB-4A03-9FB8-6CFC493C47D2}">
  <ds:schemaRefs>
    <ds:schemaRef ds:uri="http://schemas.microsoft.com/sharepoint/v3/contenttype/forms"/>
  </ds:schemaRefs>
</ds:datastoreItem>
</file>

<file path=customXml/itemProps4.xml><?xml version="1.0" encoding="utf-8"?>
<ds:datastoreItem xmlns:ds="http://schemas.openxmlformats.org/officeDocument/2006/customXml" ds:itemID="{429F6ACB-E656-4647-928F-A6167157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11387</Words>
  <Characters>68666</Characters>
  <Application>Microsoft Office Word</Application>
  <DocSecurity>0</DocSecurity>
  <Lines>1204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Majski</dc:creator>
  <cp:keywords/>
  <dc:description/>
  <cp:lastModifiedBy>Grazyna Wiejak-Roy</cp:lastModifiedBy>
  <cp:revision>4</cp:revision>
  <dcterms:created xsi:type="dcterms:W3CDTF">2024-10-04T21:06:00Z</dcterms:created>
  <dcterms:modified xsi:type="dcterms:W3CDTF">2024-10-04T21:40:00Z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1b76afac2d7cfe41f346517f43fce99f8ce8340e72a69eb9cb21c17f0640bd69</vt:lpwstr>
  </property>
  <property fmtid="{D5CDD505-2E9C-101B-9397-08002B2CF9AE}" pid="3" name="ContentTypeId">
    <vt:lpwstr>0x0101004A7F0A86286E454BAA62B1CD43C395E0</vt:lpwstr>
  </property>
</Properties>
</file>