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8E29" w14:textId="2C891C36" w:rsidR="00C87869" w:rsidRDefault="00683CE6" w:rsidP="00C87869">
      <w:pPr>
        <w:jc w:val="center"/>
        <w:rPr>
          <w:b/>
          <w:sz w:val="32"/>
          <w:szCs w:val="32"/>
        </w:rPr>
      </w:pPr>
      <w:r>
        <w:rPr>
          <w:b/>
          <w:sz w:val="32"/>
          <w:szCs w:val="32"/>
        </w:rPr>
        <w:t xml:space="preserve">Validating </w:t>
      </w:r>
      <w:r w:rsidRPr="00B729F3">
        <w:rPr>
          <w:b/>
          <w:sz w:val="32"/>
          <w:szCs w:val="32"/>
        </w:rPr>
        <w:t xml:space="preserve">and </w:t>
      </w:r>
      <w:r w:rsidR="00C87869" w:rsidRPr="00B729F3">
        <w:rPr>
          <w:b/>
          <w:sz w:val="32"/>
          <w:szCs w:val="32"/>
        </w:rPr>
        <w:t xml:space="preserve">Identifying KPIs in </w:t>
      </w:r>
      <w:r w:rsidR="00C74CA1" w:rsidRPr="00B729F3">
        <w:rPr>
          <w:b/>
          <w:sz w:val="32"/>
          <w:szCs w:val="32"/>
        </w:rPr>
        <w:t>ATP/WTA</w:t>
      </w:r>
      <w:r w:rsidR="00C87869" w:rsidRPr="00B729F3">
        <w:rPr>
          <w:b/>
          <w:sz w:val="32"/>
          <w:szCs w:val="32"/>
        </w:rPr>
        <w:t xml:space="preserve"> hard court tennis match play (2019-2023) using the PWOL method.</w:t>
      </w:r>
      <w:r w:rsidR="00C87869">
        <w:rPr>
          <w:b/>
          <w:sz w:val="32"/>
          <w:szCs w:val="32"/>
        </w:rPr>
        <w:t xml:space="preserve"> </w:t>
      </w:r>
    </w:p>
    <w:p w14:paraId="4428A7EA" w14:textId="77777777" w:rsidR="00C87869" w:rsidRPr="00B02229" w:rsidRDefault="00C87869" w:rsidP="00C87869">
      <w:pPr>
        <w:jc w:val="center"/>
        <w:rPr>
          <w:b/>
          <w:color w:val="FF0000"/>
          <w:sz w:val="32"/>
          <w:szCs w:val="32"/>
        </w:rPr>
      </w:pPr>
    </w:p>
    <w:p w14:paraId="66BEA0DC" w14:textId="77777777" w:rsidR="00C87869" w:rsidRDefault="00C87869" w:rsidP="00C87869">
      <w:pPr>
        <w:jc w:val="both"/>
        <w:rPr>
          <w:b/>
          <w:bCs/>
          <w:kern w:val="32"/>
          <w:u w:val="single"/>
        </w:rPr>
      </w:pPr>
    </w:p>
    <w:p w14:paraId="3A2E047E" w14:textId="77777777" w:rsidR="00C87869" w:rsidRDefault="00C87869" w:rsidP="00C87869">
      <w:pPr>
        <w:jc w:val="both"/>
        <w:rPr>
          <w:kern w:val="32"/>
          <w:sz w:val="32"/>
          <w:szCs w:val="32"/>
        </w:rPr>
      </w:pPr>
      <w:r>
        <w:rPr>
          <w:kern w:val="32"/>
          <w:sz w:val="32"/>
          <w:szCs w:val="32"/>
        </w:rPr>
        <w:t>Matthew J. Ven</w:t>
      </w:r>
      <w:r w:rsidRPr="00BC4003">
        <w:rPr>
          <w:kern w:val="32"/>
          <w:sz w:val="32"/>
          <w:szCs w:val="32"/>
        </w:rPr>
        <w:t>n</w:t>
      </w:r>
      <w:r>
        <w:rPr>
          <w:kern w:val="32"/>
          <w:sz w:val="32"/>
          <w:szCs w:val="32"/>
        </w:rPr>
        <w:t>-Moncur</w:t>
      </w:r>
      <w:r w:rsidRPr="00BC4003">
        <w:rPr>
          <w:kern w:val="32"/>
          <w:sz w:val="32"/>
          <w:szCs w:val="32"/>
          <w:vertAlign w:val="superscript"/>
        </w:rPr>
        <w:t>1</w:t>
      </w:r>
    </w:p>
    <w:p w14:paraId="126F372F" w14:textId="77777777" w:rsidR="00C87869" w:rsidRDefault="00C87869" w:rsidP="00C87869">
      <w:pPr>
        <w:jc w:val="both"/>
        <w:rPr>
          <w:kern w:val="32"/>
          <w:sz w:val="32"/>
          <w:szCs w:val="32"/>
          <w:vertAlign w:val="superscript"/>
        </w:rPr>
      </w:pPr>
      <w:r>
        <w:rPr>
          <w:kern w:val="32"/>
          <w:sz w:val="32"/>
          <w:szCs w:val="32"/>
        </w:rPr>
        <w:t>Nimai Parmar</w:t>
      </w:r>
      <w:r w:rsidRPr="00BC4003">
        <w:rPr>
          <w:kern w:val="32"/>
          <w:sz w:val="32"/>
          <w:szCs w:val="32"/>
          <w:vertAlign w:val="superscript"/>
        </w:rPr>
        <w:t>1</w:t>
      </w:r>
    </w:p>
    <w:p w14:paraId="1D7F5508" w14:textId="5FCA22BD" w:rsidR="006F6149" w:rsidRPr="0070668A" w:rsidRDefault="006F6149" w:rsidP="00C87869">
      <w:pPr>
        <w:jc w:val="both"/>
        <w:rPr>
          <w:kern w:val="32"/>
          <w:sz w:val="32"/>
          <w:szCs w:val="32"/>
        </w:rPr>
      </w:pPr>
      <w:r w:rsidRPr="0070668A">
        <w:rPr>
          <w:kern w:val="32"/>
          <w:sz w:val="32"/>
          <w:szCs w:val="32"/>
        </w:rPr>
        <w:t xml:space="preserve">Chris </w:t>
      </w:r>
      <w:r w:rsidR="000B4834" w:rsidRPr="0070668A">
        <w:rPr>
          <w:kern w:val="32"/>
          <w:sz w:val="32"/>
          <w:szCs w:val="32"/>
        </w:rPr>
        <w:t xml:space="preserve">J. </w:t>
      </w:r>
      <w:r w:rsidRPr="0070668A">
        <w:rPr>
          <w:kern w:val="32"/>
          <w:sz w:val="32"/>
          <w:szCs w:val="32"/>
        </w:rPr>
        <w:t>White</w:t>
      </w:r>
      <w:r w:rsidR="000B4834" w:rsidRPr="0070668A">
        <w:rPr>
          <w:kern w:val="32"/>
          <w:sz w:val="32"/>
          <w:szCs w:val="32"/>
          <w:vertAlign w:val="superscript"/>
        </w:rPr>
        <w:t>3</w:t>
      </w:r>
    </w:p>
    <w:p w14:paraId="07553AC8" w14:textId="68A3939C" w:rsidR="000B4834" w:rsidRDefault="000B4834" w:rsidP="00C87869">
      <w:pPr>
        <w:jc w:val="both"/>
        <w:rPr>
          <w:kern w:val="32"/>
          <w:sz w:val="32"/>
          <w:szCs w:val="32"/>
        </w:rPr>
      </w:pPr>
      <w:r w:rsidRPr="0070668A">
        <w:rPr>
          <w:kern w:val="32"/>
          <w:sz w:val="32"/>
          <w:szCs w:val="32"/>
        </w:rPr>
        <w:t>Tom Callingham</w:t>
      </w:r>
      <w:r w:rsidRPr="0070668A">
        <w:rPr>
          <w:kern w:val="32"/>
          <w:sz w:val="32"/>
          <w:szCs w:val="32"/>
          <w:vertAlign w:val="superscript"/>
        </w:rPr>
        <w:t>3</w:t>
      </w:r>
    </w:p>
    <w:p w14:paraId="7E329F19" w14:textId="42B7BAA0" w:rsidR="00C87869" w:rsidRPr="00BE3A7C" w:rsidRDefault="00C87869" w:rsidP="00C87869">
      <w:pPr>
        <w:jc w:val="both"/>
        <w:rPr>
          <w:kern w:val="32"/>
          <w:sz w:val="32"/>
          <w:szCs w:val="32"/>
        </w:rPr>
      </w:pPr>
      <w:r w:rsidRPr="00BE3A7C">
        <w:rPr>
          <w:kern w:val="32"/>
          <w:sz w:val="32"/>
          <w:szCs w:val="32"/>
        </w:rPr>
        <w:t>Scott B. Nicholls</w:t>
      </w:r>
      <w:r w:rsidRPr="00BE3A7C">
        <w:rPr>
          <w:kern w:val="32"/>
          <w:sz w:val="32"/>
          <w:szCs w:val="32"/>
          <w:vertAlign w:val="superscript"/>
        </w:rPr>
        <w:t>2</w:t>
      </w:r>
    </w:p>
    <w:p w14:paraId="770E7625" w14:textId="77777777" w:rsidR="00C87869" w:rsidRDefault="00C87869" w:rsidP="00C87869">
      <w:pPr>
        <w:jc w:val="both"/>
        <w:rPr>
          <w:kern w:val="32"/>
          <w:sz w:val="32"/>
          <w:szCs w:val="32"/>
          <w:vertAlign w:val="superscript"/>
        </w:rPr>
      </w:pPr>
    </w:p>
    <w:p w14:paraId="00D75139" w14:textId="77777777" w:rsidR="00C87869" w:rsidRDefault="00C87869" w:rsidP="00C87869">
      <w:pPr>
        <w:jc w:val="both"/>
        <w:rPr>
          <w:b/>
          <w:kern w:val="32"/>
          <w:sz w:val="28"/>
          <w:szCs w:val="28"/>
        </w:rPr>
      </w:pPr>
    </w:p>
    <w:p w14:paraId="5F539AD9" w14:textId="77777777" w:rsidR="00C87869" w:rsidRDefault="00C87869" w:rsidP="00C87869">
      <w:pPr>
        <w:pStyle w:val="Affiliation"/>
        <w:spacing w:before="0"/>
        <w:rPr>
          <w:color w:val="000000" w:themeColor="text1"/>
        </w:rPr>
      </w:pPr>
      <w:r w:rsidRPr="00672CC2">
        <w:rPr>
          <w:color w:val="000000" w:themeColor="text1"/>
          <w:vertAlign w:val="superscript"/>
        </w:rPr>
        <w:t>1</w:t>
      </w:r>
      <w:r w:rsidRPr="00672CC2">
        <w:rPr>
          <w:color w:val="000000" w:themeColor="text1"/>
        </w:rPr>
        <w:t xml:space="preserve"> London Sport Institute, Faculty of Science and Technology, Middlesex University, London, UK</w:t>
      </w:r>
    </w:p>
    <w:p w14:paraId="256857F1" w14:textId="77777777" w:rsidR="00C87869" w:rsidRPr="000B4834" w:rsidRDefault="00C87869" w:rsidP="00C87869">
      <w:pPr>
        <w:pStyle w:val="Affiliation"/>
        <w:spacing w:before="0"/>
        <w:rPr>
          <w:iCs/>
        </w:rPr>
      </w:pPr>
      <w:r w:rsidRPr="000B4834">
        <w:rPr>
          <w:color w:val="000000" w:themeColor="text1"/>
          <w:vertAlign w:val="superscript"/>
        </w:rPr>
        <w:t>2</w:t>
      </w:r>
      <w:r w:rsidRPr="000B4834">
        <w:rPr>
          <w:color w:val="000000" w:themeColor="text1"/>
        </w:rPr>
        <w:t xml:space="preserve"> </w:t>
      </w:r>
      <w:r w:rsidRPr="000B4834">
        <w:rPr>
          <w:iCs/>
        </w:rPr>
        <w:t>School of Sport and Exercise Science, University of Derby, Derby, UK</w:t>
      </w:r>
    </w:p>
    <w:p w14:paraId="175FD951" w14:textId="1149E3BF" w:rsidR="006F6149" w:rsidRPr="00BE3A7C" w:rsidRDefault="006F6149" w:rsidP="00C87869">
      <w:pPr>
        <w:pStyle w:val="Affiliation"/>
        <w:spacing w:before="0"/>
        <w:rPr>
          <w:iCs/>
        </w:rPr>
      </w:pPr>
      <w:r w:rsidRPr="000B4834">
        <w:rPr>
          <w:iCs/>
          <w:vertAlign w:val="superscript"/>
        </w:rPr>
        <w:t>3</w:t>
      </w:r>
      <w:r w:rsidRPr="000B4834">
        <w:rPr>
          <w:iCs/>
        </w:rPr>
        <w:t xml:space="preserve"> L</w:t>
      </w:r>
      <w:r w:rsidR="000B4834" w:rsidRPr="000B4834">
        <w:rPr>
          <w:iCs/>
        </w:rPr>
        <w:t>awn Tennis Association,</w:t>
      </w:r>
      <w:r w:rsidR="000B4834">
        <w:rPr>
          <w:iCs/>
        </w:rPr>
        <w:t xml:space="preserve"> National Tennis Centre, </w:t>
      </w:r>
      <w:r w:rsidR="000B4834" w:rsidRPr="000B4834">
        <w:rPr>
          <w:iCs/>
        </w:rPr>
        <w:t>London, UK</w:t>
      </w:r>
    </w:p>
    <w:p w14:paraId="03DCDAD0" w14:textId="77777777" w:rsidR="003B7A34" w:rsidRDefault="003B7A34"/>
    <w:p w14:paraId="6E024543" w14:textId="77777777" w:rsidR="00C87869" w:rsidRDefault="00C87869"/>
    <w:p w14:paraId="65005D50" w14:textId="77777777" w:rsidR="00C87869" w:rsidRDefault="00C87869"/>
    <w:p w14:paraId="1C43A08B" w14:textId="77777777" w:rsidR="00C87869" w:rsidRDefault="00C87869"/>
    <w:p w14:paraId="71071194" w14:textId="77777777" w:rsidR="00C87869" w:rsidRDefault="00C87869"/>
    <w:p w14:paraId="555EC6A7" w14:textId="77777777" w:rsidR="00C87869" w:rsidRDefault="00C87869"/>
    <w:p w14:paraId="02C34EC0" w14:textId="77777777" w:rsidR="00535845" w:rsidRDefault="00535845" w:rsidP="00C87869">
      <w:pPr>
        <w:pStyle w:val="Abstract"/>
        <w:spacing w:before="100" w:beforeAutospacing="1" w:after="0" w:line="480" w:lineRule="auto"/>
        <w:ind w:left="0"/>
        <w:jc w:val="both"/>
        <w:rPr>
          <w:b/>
          <w:bCs/>
          <w:sz w:val="24"/>
        </w:rPr>
      </w:pPr>
    </w:p>
    <w:p w14:paraId="34F3629F" w14:textId="5A18C17A" w:rsidR="00C87869" w:rsidRPr="00C7089C" w:rsidRDefault="00C87869" w:rsidP="00C87869">
      <w:pPr>
        <w:pStyle w:val="Abstract"/>
        <w:spacing w:before="100" w:beforeAutospacing="1" w:after="0" w:line="480" w:lineRule="auto"/>
        <w:ind w:left="0"/>
        <w:jc w:val="both"/>
        <w:rPr>
          <w:b/>
          <w:bCs/>
          <w:sz w:val="24"/>
        </w:rPr>
      </w:pPr>
      <w:r w:rsidRPr="00C7089C">
        <w:rPr>
          <w:b/>
          <w:bCs/>
          <w:sz w:val="24"/>
        </w:rPr>
        <w:lastRenderedPageBreak/>
        <w:t>Abstract</w:t>
      </w:r>
    </w:p>
    <w:p w14:paraId="781B3B3C" w14:textId="31C69AD7" w:rsidR="00C87869" w:rsidRPr="00027B32" w:rsidRDefault="00C87869" w:rsidP="00C87869">
      <w:pPr>
        <w:pStyle w:val="Abstract"/>
        <w:spacing w:before="0" w:after="0" w:line="480" w:lineRule="auto"/>
        <w:ind w:left="0"/>
        <w:jc w:val="both"/>
        <w:rPr>
          <w:color w:val="000000" w:themeColor="text1"/>
          <w:sz w:val="24"/>
        </w:rPr>
      </w:pPr>
      <w:r w:rsidRPr="00C7089C">
        <w:rPr>
          <w:color w:val="000000" w:themeColor="text1"/>
          <w:sz w:val="24"/>
        </w:rPr>
        <w:t xml:space="preserve">The </w:t>
      </w:r>
      <w:r w:rsidR="00654717" w:rsidRPr="00C7089C">
        <w:rPr>
          <w:color w:val="000000" w:themeColor="text1"/>
          <w:sz w:val="24"/>
        </w:rPr>
        <w:t>study</w:t>
      </w:r>
      <w:r w:rsidRPr="00C7089C">
        <w:rPr>
          <w:color w:val="000000" w:themeColor="text1"/>
          <w:sz w:val="24"/>
        </w:rPr>
        <w:t xml:space="preserve"> provide</w:t>
      </w:r>
      <w:r w:rsidR="00654717" w:rsidRPr="00C7089C">
        <w:rPr>
          <w:color w:val="000000" w:themeColor="text1"/>
          <w:sz w:val="24"/>
        </w:rPr>
        <w:t>d</w:t>
      </w:r>
      <w:r w:rsidRPr="00963A68">
        <w:rPr>
          <w:color w:val="000000" w:themeColor="text1"/>
          <w:sz w:val="24"/>
        </w:rPr>
        <w:t xml:space="preserve"> further validity </w:t>
      </w:r>
      <w:r w:rsidR="00654717" w:rsidRPr="00963A68">
        <w:rPr>
          <w:color w:val="000000" w:themeColor="text1"/>
          <w:sz w:val="24"/>
        </w:rPr>
        <w:t xml:space="preserve">for the </w:t>
      </w:r>
      <w:r w:rsidR="00BA5CEE">
        <w:rPr>
          <w:color w:val="000000" w:themeColor="text1"/>
          <w:sz w:val="24"/>
        </w:rPr>
        <w:t xml:space="preserve">use of the </w:t>
      </w:r>
      <w:r w:rsidR="00654717" w:rsidRPr="00963A68">
        <w:rPr>
          <w:color w:val="000000" w:themeColor="text1"/>
          <w:sz w:val="24"/>
        </w:rPr>
        <w:t>PWOL (percentage of matches</w:t>
      </w:r>
      <w:r w:rsidR="00BA5CEE">
        <w:rPr>
          <w:color w:val="000000" w:themeColor="text1"/>
          <w:sz w:val="24"/>
        </w:rPr>
        <w:t xml:space="preserve"> </w:t>
      </w:r>
      <w:r w:rsidR="00654717" w:rsidRPr="00963A68">
        <w:rPr>
          <w:color w:val="000000" w:themeColor="text1"/>
          <w:sz w:val="24"/>
        </w:rPr>
        <w:t xml:space="preserve">which the winner outscored the loser) </w:t>
      </w:r>
      <w:r w:rsidR="00BA5CEE">
        <w:rPr>
          <w:color w:val="000000" w:themeColor="text1"/>
          <w:sz w:val="24"/>
        </w:rPr>
        <w:t>method withi</w:t>
      </w:r>
      <w:r w:rsidR="00654717" w:rsidRPr="00963A68">
        <w:rPr>
          <w:color w:val="000000" w:themeColor="text1"/>
          <w:sz w:val="24"/>
        </w:rPr>
        <w:t xml:space="preserve">n elite hard-court tennis. </w:t>
      </w:r>
      <w:r w:rsidR="00C7089C">
        <w:rPr>
          <w:color w:val="000000" w:themeColor="text1"/>
          <w:sz w:val="24"/>
        </w:rPr>
        <w:t>O</w:t>
      </w:r>
      <w:r w:rsidR="00654717" w:rsidRPr="00963A68">
        <w:rPr>
          <w:color w:val="000000" w:themeColor="text1"/>
          <w:sz w:val="24"/>
        </w:rPr>
        <w:t>ver</w:t>
      </w:r>
      <w:r w:rsidRPr="00963A68">
        <w:rPr>
          <w:color w:val="000000" w:themeColor="text1"/>
          <w:sz w:val="24"/>
        </w:rPr>
        <w:t xml:space="preserve"> half </w:t>
      </w:r>
      <w:r w:rsidR="00BA5CEE">
        <w:rPr>
          <w:color w:val="000000" w:themeColor="text1"/>
          <w:sz w:val="24"/>
        </w:rPr>
        <w:t xml:space="preserve">of </w:t>
      </w:r>
      <w:r w:rsidRPr="00963A68">
        <w:rPr>
          <w:color w:val="000000" w:themeColor="text1"/>
          <w:sz w:val="24"/>
        </w:rPr>
        <w:t xml:space="preserve">the </w:t>
      </w:r>
      <w:r w:rsidR="00A95C6B" w:rsidRPr="00963A68">
        <w:rPr>
          <w:color w:val="000000" w:themeColor="text1"/>
          <w:sz w:val="24"/>
        </w:rPr>
        <w:t>ATP/WTA competitive calendar</w:t>
      </w:r>
      <w:r w:rsidR="00654717" w:rsidRPr="00963A68">
        <w:rPr>
          <w:color w:val="000000" w:themeColor="text1"/>
          <w:sz w:val="24"/>
        </w:rPr>
        <w:t xml:space="preserve"> (</w:t>
      </w:r>
      <w:r w:rsidRPr="00963A68">
        <w:rPr>
          <w:color w:val="000000" w:themeColor="text1"/>
          <w:sz w:val="24"/>
        </w:rPr>
        <w:t>January-March and August-November</w:t>
      </w:r>
      <w:r w:rsidR="00654717" w:rsidRPr="00963A68">
        <w:rPr>
          <w:color w:val="000000" w:themeColor="text1"/>
          <w:sz w:val="24"/>
        </w:rPr>
        <w:t>)</w:t>
      </w:r>
      <w:r w:rsidRPr="00963A68">
        <w:rPr>
          <w:color w:val="000000" w:themeColor="text1"/>
          <w:sz w:val="24"/>
        </w:rPr>
        <w:t xml:space="preserve"> </w:t>
      </w:r>
      <w:r w:rsidR="00654717" w:rsidRPr="00963A68">
        <w:rPr>
          <w:color w:val="000000" w:themeColor="text1"/>
          <w:sz w:val="24"/>
        </w:rPr>
        <w:t>is</w:t>
      </w:r>
      <w:r w:rsidRPr="00963A68">
        <w:rPr>
          <w:color w:val="000000" w:themeColor="text1"/>
          <w:sz w:val="24"/>
        </w:rPr>
        <w:t xml:space="preserve"> played on hard courts</w:t>
      </w:r>
      <w:r w:rsidR="00C7089C">
        <w:rPr>
          <w:color w:val="000000" w:themeColor="text1"/>
          <w:sz w:val="24"/>
        </w:rPr>
        <w:t xml:space="preserve"> so is an important progression</w:t>
      </w:r>
      <w:r w:rsidR="00A95C6B" w:rsidRPr="00963A68">
        <w:rPr>
          <w:color w:val="000000" w:themeColor="text1"/>
          <w:sz w:val="24"/>
        </w:rPr>
        <w:t>.</w:t>
      </w:r>
      <w:r w:rsidR="00963A68">
        <w:rPr>
          <w:color w:val="000000" w:themeColor="text1"/>
          <w:sz w:val="24"/>
        </w:rPr>
        <w:t xml:space="preserve"> </w:t>
      </w:r>
      <w:r w:rsidR="00963A68" w:rsidRPr="00963A68">
        <w:rPr>
          <w:color w:val="000000" w:themeColor="text1"/>
          <w:sz w:val="24"/>
        </w:rPr>
        <w:t>D</w:t>
      </w:r>
      <w:r w:rsidRPr="00963A68">
        <w:rPr>
          <w:color w:val="000000" w:themeColor="text1"/>
          <w:sz w:val="24"/>
        </w:rPr>
        <w:t xml:space="preserve">ata from 810 men’s and 586 women’s hard court matches across Grand Slams and </w:t>
      </w:r>
      <w:r w:rsidR="00C7089C" w:rsidRPr="00963A68">
        <w:rPr>
          <w:color w:val="000000" w:themeColor="text1"/>
          <w:sz w:val="24"/>
        </w:rPr>
        <w:t xml:space="preserve">ATP/WTA World Tours </w:t>
      </w:r>
      <w:r w:rsidRPr="00963A68">
        <w:rPr>
          <w:color w:val="000000" w:themeColor="text1"/>
          <w:sz w:val="24"/>
        </w:rPr>
        <w:t>(i.e.</w:t>
      </w:r>
      <w:r w:rsidR="00BA5CEE">
        <w:rPr>
          <w:color w:val="000000" w:themeColor="text1"/>
          <w:sz w:val="24"/>
        </w:rPr>
        <w:t>,</w:t>
      </w:r>
      <w:r w:rsidRPr="00963A68">
        <w:rPr>
          <w:color w:val="000000" w:themeColor="text1"/>
          <w:sz w:val="24"/>
        </w:rPr>
        <w:t xml:space="preserve"> Masters, 500s and 250s) </w:t>
      </w:r>
      <w:r w:rsidR="00963A68" w:rsidRPr="00963A68">
        <w:rPr>
          <w:color w:val="000000" w:themeColor="text1"/>
          <w:sz w:val="24"/>
        </w:rPr>
        <w:t xml:space="preserve">between </w:t>
      </w:r>
      <w:r w:rsidRPr="00963A68">
        <w:rPr>
          <w:color w:val="000000" w:themeColor="text1"/>
          <w:sz w:val="24"/>
        </w:rPr>
        <w:t xml:space="preserve">2019 </w:t>
      </w:r>
      <w:r w:rsidR="00963A68" w:rsidRPr="00963A68">
        <w:rPr>
          <w:color w:val="000000" w:themeColor="text1"/>
          <w:sz w:val="24"/>
        </w:rPr>
        <w:t>and</w:t>
      </w:r>
      <w:r w:rsidRPr="00963A68">
        <w:rPr>
          <w:color w:val="000000" w:themeColor="text1"/>
          <w:sz w:val="24"/>
        </w:rPr>
        <w:t xml:space="preserve"> 2023</w:t>
      </w:r>
      <w:r w:rsidR="00963A68" w:rsidRPr="00963A68">
        <w:rPr>
          <w:color w:val="000000" w:themeColor="text1"/>
          <w:sz w:val="24"/>
        </w:rPr>
        <w:t xml:space="preserve"> was used for analysis.</w:t>
      </w:r>
      <w:r w:rsidR="00963A68">
        <w:rPr>
          <w:color w:val="000000" w:themeColor="text1"/>
          <w:sz w:val="24"/>
        </w:rPr>
        <w:t xml:space="preserve"> PWOL </w:t>
      </w:r>
      <w:r w:rsidR="00963A68" w:rsidRPr="00BA5CEE">
        <w:rPr>
          <w:color w:val="000000" w:themeColor="text1"/>
          <w:sz w:val="24"/>
        </w:rPr>
        <w:t>was validated alongside two traditionally used statistical methods (</w:t>
      </w:r>
      <w:r w:rsidR="00BA5CEE" w:rsidRPr="00BA5CEE">
        <w:rPr>
          <w:color w:val="000000" w:themeColor="text1"/>
          <w:sz w:val="24"/>
        </w:rPr>
        <w:t>paired t-test</w:t>
      </w:r>
      <w:r w:rsidR="00963A68" w:rsidRPr="00BA5CEE">
        <w:rPr>
          <w:color w:val="000000" w:themeColor="text1"/>
          <w:sz w:val="24"/>
        </w:rPr>
        <w:t xml:space="preserve">, </w:t>
      </w:r>
      <w:r w:rsidR="00BA5CEE" w:rsidRPr="00BA5CEE">
        <w:rPr>
          <w:color w:val="000000" w:themeColor="text1"/>
          <w:sz w:val="24"/>
        </w:rPr>
        <w:t>point-biserial</w:t>
      </w:r>
      <w:r w:rsidR="00BA5CEE">
        <w:rPr>
          <w:color w:val="000000" w:themeColor="text1"/>
          <w:sz w:val="24"/>
        </w:rPr>
        <w:t xml:space="preserve"> correlation). </w:t>
      </w:r>
      <w:r w:rsidR="004C1ECE">
        <w:rPr>
          <w:color w:val="000000" w:themeColor="text1"/>
          <w:sz w:val="24"/>
        </w:rPr>
        <w:t xml:space="preserve">Very high agreement between all approaches was shown using </w:t>
      </w:r>
      <w:r w:rsidR="00BA5CEE" w:rsidRPr="00963A68">
        <w:rPr>
          <w:color w:val="000000" w:themeColor="text1"/>
          <w:sz w:val="24"/>
        </w:rPr>
        <w:t xml:space="preserve">Spearman’s correlation analysis </w:t>
      </w:r>
      <w:r w:rsidR="00963A68" w:rsidRPr="00963A68">
        <w:rPr>
          <w:color w:val="000000" w:themeColor="text1"/>
          <w:sz w:val="24"/>
        </w:rPr>
        <w:t>for both men and women</w:t>
      </w:r>
      <w:r w:rsidR="004C1ECE">
        <w:rPr>
          <w:color w:val="000000" w:themeColor="text1"/>
          <w:sz w:val="24"/>
        </w:rPr>
        <w:t xml:space="preserve"> (</w:t>
      </w:r>
      <w:r w:rsidR="004C1ECE" w:rsidRPr="00963A68">
        <w:rPr>
          <w:color w:val="000000" w:themeColor="text1"/>
          <w:sz w:val="24"/>
        </w:rPr>
        <w:t>&gt; 0.97</w:t>
      </w:r>
      <w:r w:rsidR="004C1ECE">
        <w:rPr>
          <w:color w:val="000000" w:themeColor="text1"/>
          <w:sz w:val="24"/>
        </w:rPr>
        <w:t>)</w:t>
      </w:r>
      <w:r w:rsidR="00963A68" w:rsidRPr="00963A68">
        <w:rPr>
          <w:color w:val="000000" w:themeColor="text1"/>
          <w:sz w:val="24"/>
        </w:rPr>
        <w:t>.</w:t>
      </w:r>
      <w:r w:rsidR="00963A68">
        <w:rPr>
          <w:color w:val="FF0000"/>
          <w:sz w:val="24"/>
        </w:rPr>
        <w:t xml:space="preserve"> </w:t>
      </w:r>
      <w:r w:rsidR="00963A68" w:rsidRPr="00963A68">
        <w:rPr>
          <w:sz w:val="24"/>
        </w:rPr>
        <w:t xml:space="preserve">The study </w:t>
      </w:r>
      <w:r w:rsidR="00963A68" w:rsidRPr="00963A68">
        <w:rPr>
          <w:color w:val="000000" w:themeColor="text1"/>
          <w:sz w:val="24"/>
        </w:rPr>
        <w:t>further identified the indicators most related to winning performance</w:t>
      </w:r>
      <w:r w:rsidR="00C7089C">
        <w:rPr>
          <w:color w:val="000000" w:themeColor="text1"/>
          <w:sz w:val="24"/>
        </w:rPr>
        <w:t>,</w:t>
      </w:r>
      <w:r w:rsidR="00963A68" w:rsidRPr="00963A68">
        <w:rPr>
          <w:color w:val="000000" w:themeColor="text1"/>
          <w:sz w:val="24"/>
        </w:rPr>
        <w:t xml:space="preserve"> identifying </w:t>
      </w:r>
      <w:r w:rsidRPr="00963A68">
        <w:rPr>
          <w:color w:val="000000" w:themeColor="text1"/>
          <w:sz w:val="24"/>
        </w:rPr>
        <w:t xml:space="preserve">baseline points won, first serve points won, points won of 0-4 rally length and </w:t>
      </w:r>
      <w:r w:rsidR="00A25A86" w:rsidRPr="00963A68">
        <w:rPr>
          <w:color w:val="000000" w:themeColor="text1"/>
          <w:sz w:val="24"/>
        </w:rPr>
        <w:t>Winners:UE</w:t>
      </w:r>
      <w:r w:rsidRPr="00963A68">
        <w:rPr>
          <w:color w:val="000000" w:themeColor="text1"/>
          <w:sz w:val="24"/>
        </w:rPr>
        <w:t xml:space="preserve"> Ratio to be most strongly associated with success</w:t>
      </w:r>
      <w:r w:rsidR="00BA5CEE">
        <w:rPr>
          <w:color w:val="000000" w:themeColor="text1"/>
          <w:sz w:val="24"/>
        </w:rPr>
        <w:t>; while</w:t>
      </w:r>
      <w:r w:rsidRPr="00963A68">
        <w:rPr>
          <w:color w:val="000000" w:themeColor="text1"/>
          <w:sz w:val="24"/>
        </w:rPr>
        <w:t xml:space="preserve"> forced errors were most associated </w:t>
      </w:r>
      <w:r w:rsidRPr="00BA5CEE">
        <w:rPr>
          <w:color w:val="000000" w:themeColor="text1"/>
          <w:sz w:val="24"/>
        </w:rPr>
        <w:t>with losing. Ball three</w:t>
      </w:r>
      <w:r w:rsidR="00004DE3">
        <w:rPr>
          <w:color w:val="000000" w:themeColor="text1"/>
          <w:sz w:val="24"/>
        </w:rPr>
        <w:t xml:space="preserve"> </w:t>
      </w:r>
      <w:r w:rsidRPr="00BA5CEE">
        <w:rPr>
          <w:color w:val="000000" w:themeColor="text1"/>
          <w:sz w:val="24"/>
        </w:rPr>
        <w:t xml:space="preserve">indicators lacked association with match outcome, suggesting any major focus training ‘one-two punches’ on serve should be approached with caution. PWOL has proven to be a valid method for assessing success in </w:t>
      </w:r>
      <w:r w:rsidR="00BA5CEE" w:rsidRPr="00BA5CEE">
        <w:rPr>
          <w:color w:val="000000" w:themeColor="text1"/>
          <w:sz w:val="24"/>
        </w:rPr>
        <w:t xml:space="preserve">elite hard-court </w:t>
      </w:r>
      <w:r w:rsidRPr="00BA5CEE">
        <w:rPr>
          <w:color w:val="000000" w:themeColor="text1"/>
          <w:sz w:val="24"/>
        </w:rPr>
        <w:t>tennis</w:t>
      </w:r>
      <w:r w:rsidR="00C7089C">
        <w:rPr>
          <w:color w:val="000000" w:themeColor="text1"/>
          <w:sz w:val="24"/>
        </w:rPr>
        <w:t xml:space="preserve"> (</w:t>
      </w:r>
      <w:r w:rsidR="00BA5CEE" w:rsidRPr="00BA5CEE">
        <w:rPr>
          <w:color w:val="000000" w:themeColor="text1"/>
          <w:sz w:val="24"/>
        </w:rPr>
        <w:t>offer</w:t>
      </w:r>
      <w:r w:rsidR="00CD3569">
        <w:rPr>
          <w:color w:val="000000" w:themeColor="text1"/>
          <w:sz w:val="24"/>
        </w:rPr>
        <w:t>ing potential for</w:t>
      </w:r>
      <w:r w:rsidR="00BA5CEE" w:rsidRPr="00BA5CEE">
        <w:rPr>
          <w:color w:val="000000" w:themeColor="text1"/>
          <w:sz w:val="24"/>
        </w:rPr>
        <w:t xml:space="preserve"> wider sports application</w:t>
      </w:r>
      <w:r w:rsidR="00C7089C">
        <w:rPr>
          <w:color w:val="000000" w:themeColor="text1"/>
          <w:sz w:val="24"/>
        </w:rPr>
        <w:t>)</w:t>
      </w:r>
      <w:r w:rsidR="00BA5CEE" w:rsidRPr="00BA5CEE">
        <w:rPr>
          <w:color w:val="000000" w:themeColor="text1"/>
          <w:sz w:val="24"/>
        </w:rPr>
        <w:t xml:space="preserve"> </w:t>
      </w:r>
      <w:r w:rsidR="00CD3569">
        <w:rPr>
          <w:color w:val="000000" w:themeColor="text1"/>
          <w:sz w:val="24"/>
        </w:rPr>
        <w:t xml:space="preserve">to </w:t>
      </w:r>
      <w:r w:rsidR="00BA5CEE" w:rsidRPr="00027B32">
        <w:rPr>
          <w:color w:val="000000" w:themeColor="text1"/>
          <w:sz w:val="24"/>
        </w:rPr>
        <w:t>ultimately aid coach decision-making.</w:t>
      </w:r>
    </w:p>
    <w:p w14:paraId="47BC65F5" w14:textId="77777777" w:rsidR="00C87869" w:rsidRPr="00027B32" w:rsidRDefault="00C87869" w:rsidP="00C87869">
      <w:pPr>
        <w:jc w:val="both"/>
        <w:rPr>
          <w:b/>
        </w:rPr>
      </w:pPr>
    </w:p>
    <w:p w14:paraId="21A036E8" w14:textId="77777777" w:rsidR="00C87869" w:rsidRPr="00027B32" w:rsidRDefault="00C87869" w:rsidP="00C87869">
      <w:pPr>
        <w:jc w:val="both"/>
        <w:rPr>
          <w:b/>
        </w:rPr>
      </w:pPr>
      <w:r w:rsidRPr="00027B32">
        <w:rPr>
          <w:b/>
        </w:rPr>
        <w:t>Keywords:</w:t>
      </w:r>
    </w:p>
    <w:p w14:paraId="7E563692" w14:textId="45A3CFD7" w:rsidR="00C96045" w:rsidRDefault="00027B32" w:rsidP="00C96045">
      <w:pPr>
        <w:jc w:val="both"/>
      </w:pPr>
      <w:r w:rsidRPr="00027B32">
        <w:t>Racket sports</w:t>
      </w:r>
      <w:r w:rsidR="00C87869" w:rsidRPr="00027B32">
        <w:t xml:space="preserve">, </w:t>
      </w:r>
      <w:r w:rsidRPr="00027B32">
        <w:t>Performance analysis</w:t>
      </w:r>
      <w:r w:rsidR="00C87869" w:rsidRPr="00027B32">
        <w:t xml:space="preserve">, </w:t>
      </w:r>
      <w:r w:rsidRPr="00027B32">
        <w:t>Coaching process, Court surface</w:t>
      </w:r>
      <w:r w:rsidR="00C87869" w:rsidRPr="00027B32">
        <w:t xml:space="preserve">, </w:t>
      </w:r>
      <w:r w:rsidRPr="00027B32">
        <w:t>Elite tennis</w:t>
      </w:r>
    </w:p>
    <w:p w14:paraId="1B8C2500" w14:textId="77777777" w:rsidR="004C1ECE" w:rsidRDefault="004C1ECE" w:rsidP="00C96045">
      <w:pPr>
        <w:jc w:val="both"/>
      </w:pPr>
    </w:p>
    <w:p w14:paraId="04CAAC72" w14:textId="77777777" w:rsidR="004C1ECE" w:rsidRDefault="004C1ECE" w:rsidP="00C96045">
      <w:pPr>
        <w:jc w:val="both"/>
      </w:pPr>
    </w:p>
    <w:p w14:paraId="1713046B" w14:textId="77777777" w:rsidR="004C1ECE" w:rsidRDefault="004C1ECE" w:rsidP="00C96045">
      <w:pPr>
        <w:jc w:val="both"/>
      </w:pPr>
    </w:p>
    <w:p w14:paraId="5F6274D3" w14:textId="77777777" w:rsidR="004C1ECE" w:rsidRDefault="004C1ECE" w:rsidP="00C96045">
      <w:pPr>
        <w:jc w:val="both"/>
      </w:pPr>
    </w:p>
    <w:p w14:paraId="3874EC7E" w14:textId="77777777" w:rsidR="004C1ECE" w:rsidRDefault="004C1ECE" w:rsidP="00C96045">
      <w:pPr>
        <w:jc w:val="both"/>
      </w:pPr>
    </w:p>
    <w:p w14:paraId="35418737" w14:textId="102C3509" w:rsidR="00C87869" w:rsidRPr="00C96045" w:rsidRDefault="00C96045" w:rsidP="00C96045">
      <w:pPr>
        <w:jc w:val="both"/>
        <w:rPr>
          <w:b/>
          <w:bCs/>
        </w:rPr>
      </w:pPr>
      <w:r w:rsidRPr="00C96045">
        <w:rPr>
          <w:b/>
          <w:bCs/>
        </w:rPr>
        <w:lastRenderedPageBreak/>
        <w:t>Introductio</w:t>
      </w:r>
      <w:r w:rsidR="00C87869" w:rsidRPr="00C96045">
        <w:rPr>
          <w:b/>
          <w:bCs/>
        </w:rPr>
        <w:t>n</w:t>
      </w:r>
    </w:p>
    <w:p w14:paraId="7D916D22" w14:textId="17661C74" w:rsidR="00C87869" w:rsidRPr="006B73CC" w:rsidRDefault="00C87869" w:rsidP="00C87869">
      <w:pPr>
        <w:jc w:val="both"/>
      </w:pPr>
      <w:r w:rsidRPr="006B73CC">
        <w:t>The understanding of key tactical contributors towards success is</w:t>
      </w:r>
      <w:r>
        <w:t xml:space="preserve"> substantially limited</w:t>
      </w:r>
      <w:r w:rsidRPr="006B73CC">
        <w:t xml:space="preserve"> in elite tennis.</w:t>
      </w:r>
      <w:r w:rsidR="00AC3C1A" w:rsidRPr="00AC3C1A">
        <w:rPr>
          <w:vertAlign w:val="superscript"/>
        </w:rPr>
        <w:t>1</w:t>
      </w:r>
      <w:r w:rsidRPr="006B73CC">
        <w:t xml:space="preserve"> A </w:t>
      </w:r>
      <w:r>
        <w:t>significant</w:t>
      </w:r>
      <w:r w:rsidRPr="006B73CC">
        <w:t xml:space="preserve"> factor </w:t>
      </w:r>
      <w:r>
        <w:t>may be</w:t>
      </w:r>
      <w:r w:rsidRPr="006B73CC">
        <w:t xml:space="preserve"> due to </w:t>
      </w:r>
      <w:r>
        <w:t>the lack of access to appropriate and detailed match play data</w:t>
      </w:r>
      <w:r w:rsidRPr="006B73CC">
        <w:t xml:space="preserve">. Hawk-Eye, who </w:t>
      </w:r>
      <w:r>
        <w:t>collate</w:t>
      </w:r>
      <w:r w:rsidRPr="006B73CC">
        <w:t xml:space="preserve"> vast quantities of data across the ATP</w:t>
      </w:r>
      <w:r w:rsidR="00322A44">
        <w:t>/</w:t>
      </w:r>
      <w:r w:rsidRPr="006B73CC">
        <w:t>WTA World Tour, have major control o</w:t>
      </w:r>
      <w:r w:rsidR="00322A44">
        <w:t>n</w:t>
      </w:r>
      <w:r w:rsidRPr="006B73CC">
        <w:t xml:space="preserve"> the distribution</w:t>
      </w:r>
      <w:r>
        <w:t>,</w:t>
      </w:r>
      <w:r w:rsidRPr="006B73CC">
        <w:t xml:space="preserve"> </w:t>
      </w:r>
      <w:r>
        <w:t xml:space="preserve">previously </w:t>
      </w:r>
      <w:r w:rsidRPr="006B73CC">
        <w:t>charg</w:t>
      </w:r>
      <w:r>
        <w:t>ing</w:t>
      </w:r>
      <w:r w:rsidRPr="006B73CC">
        <w:t xml:space="preserve"> £150 </w:t>
      </w:r>
      <w:r>
        <w:t>to access a single match</w:t>
      </w:r>
      <w:r w:rsidRPr="006B73CC">
        <w:t>.</w:t>
      </w:r>
      <w:r w:rsidR="00AC3C1A" w:rsidRPr="00AC3C1A">
        <w:rPr>
          <w:vertAlign w:val="superscript"/>
        </w:rPr>
        <w:t>2</w:t>
      </w:r>
      <w:r w:rsidRPr="006B73CC">
        <w:t xml:space="preserve"> </w:t>
      </w:r>
      <w:r>
        <w:t>Despite</w:t>
      </w:r>
      <w:r w:rsidRPr="006B73CC">
        <w:t xml:space="preserve"> a recent announcement on the release of ATP data for players, coaches, and analysts to freely use</w:t>
      </w:r>
      <w:r>
        <w:t xml:space="preserve"> at no charge, it has not impacted the quantity one can access</w:t>
      </w:r>
      <w:r w:rsidRPr="006B73CC">
        <w:t xml:space="preserve">. </w:t>
      </w:r>
      <w:r>
        <w:t>Additionally, o</w:t>
      </w:r>
      <w:r w:rsidRPr="006B73CC">
        <w:t xml:space="preserve">nly matches relevant to the player or organisation can be accessed, meaning </w:t>
      </w:r>
      <w:r>
        <w:t>alternative</w:t>
      </w:r>
      <w:r w:rsidRPr="006B73CC">
        <w:t xml:space="preserve"> methods are required for</w:t>
      </w:r>
      <w:r>
        <w:t xml:space="preserve"> </w:t>
      </w:r>
      <w:r w:rsidRPr="006B73CC">
        <w:t>opposition analysis or large-scale tennis research.</w:t>
      </w:r>
      <w:r w:rsidR="00AC3C1A" w:rsidRPr="00AC3C1A">
        <w:rPr>
          <w:vertAlign w:val="superscript"/>
        </w:rPr>
        <w:t>2</w:t>
      </w:r>
      <w:r>
        <w:t xml:space="preserve"> One solution to this problem is the manual collection of match data through video analysis techniques </w:t>
      </w:r>
      <w:r w:rsidR="00322A44">
        <w:t xml:space="preserve">(e.g., </w:t>
      </w:r>
      <w:r>
        <w:t>Dartfish</w:t>
      </w:r>
      <w:r w:rsidR="00322A44">
        <w:t>, Sportscode)</w:t>
      </w:r>
      <w:r>
        <w:t xml:space="preserve">. Whilst </w:t>
      </w:r>
      <w:r w:rsidR="00322A44">
        <w:t xml:space="preserve">this source is </w:t>
      </w:r>
      <w:r>
        <w:t>not as rich (i.e., speed or angle of ball is not easily obtained), the process offer</w:t>
      </w:r>
      <w:r w:rsidR="006B0D71">
        <w:t>s</w:t>
      </w:r>
      <w:r>
        <w:t xml:space="preserve"> reliable information on overall player performance, thus still offering impact to the coaching process.</w:t>
      </w:r>
      <w:r w:rsidR="00AC3C1A" w:rsidRPr="00AC3C1A">
        <w:rPr>
          <w:vertAlign w:val="superscript"/>
        </w:rPr>
        <w:t>3-7</w:t>
      </w:r>
    </w:p>
    <w:p w14:paraId="64AF1B87" w14:textId="09F24A1C" w:rsidR="00C87869" w:rsidRPr="006B73CC" w:rsidRDefault="00C87869" w:rsidP="00AC3C1A">
      <w:pPr>
        <w:pStyle w:val="Newparagraph"/>
        <w:jc w:val="both"/>
      </w:pPr>
      <w:r>
        <w:t xml:space="preserve">Fitzpatrick et </w:t>
      </w:r>
      <w:r w:rsidRPr="00AE1EB7">
        <w:t>al.</w:t>
      </w:r>
      <w:r w:rsidR="00AC3C1A" w:rsidRPr="00AC3C1A">
        <w:rPr>
          <w:vertAlign w:val="superscript"/>
        </w:rPr>
        <w:t>8</w:t>
      </w:r>
      <w:r w:rsidR="00AC3C1A">
        <w:t xml:space="preserve"> </w:t>
      </w:r>
      <w:r w:rsidRPr="00AE1EB7">
        <w:t>created a new method, Percentage of matches in which the Winner Outscored the Loser (PWOL), to offer a simple and easily understood process to ascertain the metrics associated with success in clay court matches, before further establishing validity for grass court performance</w:t>
      </w:r>
      <w:r>
        <w:t>.</w:t>
      </w:r>
      <w:r w:rsidR="00AC3C1A" w:rsidRPr="00AC3C1A">
        <w:rPr>
          <w:vertAlign w:val="superscript"/>
        </w:rPr>
        <w:t>9</w:t>
      </w:r>
      <w:r>
        <w:t xml:space="preserve"> The method was compared to </w:t>
      </w:r>
      <w:r w:rsidRPr="006B73CC">
        <w:t xml:space="preserve">paired </w:t>
      </w:r>
      <w:r w:rsidRPr="005451D1">
        <w:rPr>
          <w:i/>
          <w:iCs/>
        </w:rPr>
        <w:t>t</w:t>
      </w:r>
      <w:r w:rsidRPr="006B73CC">
        <w:t>-tests and point-biserial correlations</w:t>
      </w:r>
      <w:r>
        <w:t>, identifying excellent agreement.</w:t>
      </w:r>
      <w:r w:rsidR="0047294E">
        <w:t xml:space="preserve"> </w:t>
      </w:r>
      <w:r w:rsidRPr="006B73CC">
        <w:t>Fitzpatrick et al.</w:t>
      </w:r>
      <w:r w:rsidR="00AC3C1A" w:rsidRPr="00AC3C1A">
        <w:rPr>
          <w:vertAlign w:val="superscript"/>
        </w:rPr>
        <w:t>8,9</w:t>
      </w:r>
      <w:r w:rsidR="00AC3C1A">
        <w:t xml:space="preserve"> </w:t>
      </w:r>
      <w:r w:rsidRPr="006B73CC">
        <w:t xml:space="preserve">assessed commonly used performance characteristics from 2016 and 2017 Wimbledon and Roland Garros to understand how to be successful on grass and clay courts, identifying </w:t>
      </w:r>
      <w:r w:rsidRPr="00AE1EB7">
        <w:t>points won of 0-4 shot rally length, first serve points won and baseline points won to be most strongly associated</w:t>
      </w:r>
      <w:r w:rsidRPr="006B73CC">
        <w:t xml:space="preserve"> with success on both surfaces for men and women. While the similarity between these two surfaces may be surprising</w:t>
      </w:r>
      <w:r>
        <w:t xml:space="preserve"> </w:t>
      </w:r>
      <w:r w:rsidRPr="006B73CC">
        <w:t>given previous research identif</w:t>
      </w:r>
      <w:r>
        <w:t>ying</w:t>
      </w:r>
      <w:r w:rsidRPr="006B73CC">
        <w:t xml:space="preserve"> differences between surfaces</w:t>
      </w:r>
      <w:r w:rsidR="00AC3C1A" w:rsidRPr="00AC3C1A">
        <w:rPr>
          <w:vertAlign w:val="superscript"/>
        </w:rPr>
        <w:t>3,4,7,10-14</w:t>
      </w:r>
      <w:r>
        <w:t xml:space="preserve">, </w:t>
      </w:r>
      <w:r w:rsidRPr="006B73CC">
        <w:t xml:space="preserve">it must be understood that differences directly assessing match play characteristics </w:t>
      </w:r>
      <w:r>
        <w:t>may</w:t>
      </w:r>
      <w:r w:rsidRPr="006B73CC">
        <w:t xml:space="preserve"> not </w:t>
      </w:r>
      <w:r>
        <w:t xml:space="preserve">directly </w:t>
      </w:r>
      <w:r w:rsidRPr="006B73CC">
        <w:t>translate to differences in the importance of these characteristics.</w:t>
      </w:r>
    </w:p>
    <w:p w14:paraId="2CC005FA" w14:textId="430A00BB" w:rsidR="00C87869" w:rsidRDefault="00C87869" w:rsidP="00921269">
      <w:pPr>
        <w:pStyle w:val="Newparagraph"/>
        <w:jc w:val="both"/>
      </w:pPr>
      <w:r>
        <w:lastRenderedPageBreak/>
        <w:t>Research on s</w:t>
      </w:r>
      <w:r w:rsidRPr="00F64A1E">
        <w:t xml:space="preserve">urface type </w:t>
      </w:r>
      <w:r>
        <w:t>has been</w:t>
      </w:r>
      <w:r w:rsidRPr="00F64A1E">
        <w:t xml:space="preserve"> a common variable</w:t>
      </w:r>
      <w:r>
        <w:t xml:space="preserve"> </w:t>
      </w:r>
      <w:r w:rsidRPr="00F64A1E">
        <w:t>used to distinguish between performances</w:t>
      </w:r>
      <w:r w:rsidR="00AC3C1A" w:rsidRPr="00921269">
        <w:rPr>
          <w:vertAlign w:val="superscript"/>
        </w:rPr>
        <w:t>4,5,7,9</w:t>
      </w:r>
      <w:r w:rsidR="00921269" w:rsidRPr="00921269">
        <w:rPr>
          <w:vertAlign w:val="superscript"/>
        </w:rPr>
        <w:t>-22</w:t>
      </w:r>
      <w:r w:rsidR="00921269">
        <w:t xml:space="preserve">, </w:t>
      </w:r>
      <w:r w:rsidR="00921269" w:rsidRPr="00F64A1E">
        <w:t>because</w:t>
      </w:r>
      <w:r w:rsidRPr="00F64A1E">
        <w:t xml:space="preserve"> of the surface</w:t>
      </w:r>
      <w:r w:rsidR="00AE1EB7">
        <w:t xml:space="preserve"> </w:t>
      </w:r>
      <w:r w:rsidRPr="00F64A1E">
        <w:t>on the trajectory of ball bounce, speed post-bounce, ball spin, and movement of the player.</w:t>
      </w:r>
      <w:r w:rsidR="00921269" w:rsidRPr="00921269">
        <w:rPr>
          <w:vertAlign w:val="superscript"/>
        </w:rPr>
        <w:t>11</w:t>
      </w:r>
      <w:r w:rsidRPr="00F64A1E">
        <w:t xml:space="preserve"> </w:t>
      </w:r>
      <w:r>
        <w:t xml:space="preserve">Studies investigating surface differences </w:t>
      </w:r>
      <w:r w:rsidRPr="00F64A1E">
        <w:t>identif</w:t>
      </w:r>
      <w:r>
        <w:t>ied</w:t>
      </w:r>
      <w:r w:rsidRPr="00F64A1E">
        <w:t xml:space="preserve"> rally length as being shorter at Wimbledon</w:t>
      </w:r>
      <w:r>
        <w:t xml:space="preserve"> (</w:t>
      </w:r>
      <w:r w:rsidRPr="00F64A1E">
        <w:t>grass</w:t>
      </w:r>
      <w:r>
        <w:t>)</w:t>
      </w:r>
      <w:r w:rsidRPr="00F64A1E">
        <w:t xml:space="preserve"> and longest at the French Open</w:t>
      </w:r>
      <w:r>
        <w:t xml:space="preserve"> (</w:t>
      </w:r>
      <w:r w:rsidRPr="00F64A1E">
        <w:t>clay</w:t>
      </w:r>
      <w:r w:rsidR="00921269" w:rsidRPr="00921269">
        <w:rPr>
          <w:vertAlign w:val="superscript"/>
        </w:rPr>
        <w:t>3</w:t>
      </w:r>
      <w:r>
        <w:t xml:space="preserve">). </w:t>
      </w:r>
      <w:r w:rsidRPr="00F64A1E">
        <w:t xml:space="preserve">With grass considered to be the fastest of the surfaces and clay the slowest, this </w:t>
      </w:r>
      <w:r>
        <w:t xml:space="preserve">leads to a potential </w:t>
      </w:r>
      <w:r w:rsidRPr="00F64A1E">
        <w:t xml:space="preserve">difference in player </w:t>
      </w:r>
      <w:r>
        <w:t>demand throughout a match</w:t>
      </w:r>
      <w:r w:rsidRPr="00F64A1E">
        <w:t>. A lower average rally length on a faster surface is likely a result of the increased effectiveness of the first serve, where grass and hard courts offer faster serve speeds resulting in less time for the serve-returner to react</w:t>
      </w:r>
      <w:r>
        <w:t>.</w:t>
      </w:r>
      <w:r w:rsidR="00921269" w:rsidRPr="00921269">
        <w:rPr>
          <w:vertAlign w:val="superscript"/>
        </w:rPr>
        <w:t>22</w:t>
      </w:r>
      <w:r>
        <w:t xml:space="preserve"> </w:t>
      </w:r>
      <w:r w:rsidRPr="00F64A1E">
        <w:t>This also affects the ability to break serve, with returners having a significantly greater opportunity to break on clay than on grass</w:t>
      </w:r>
      <w:r>
        <w:t>.</w:t>
      </w:r>
      <w:r w:rsidR="00921269" w:rsidRPr="00921269">
        <w:rPr>
          <w:vertAlign w:val="superscript"/>
        </w:rPr>
        <w:t>10</w:t>
      </w:r>
      <w:r>
        <w:t xml:space="preserve"> Hence, further </w:t>
      </w:r>
      <w:r w:rsidRPr="00DE5F8B">
        <w:t xml:space="preserve">analysis </w:t>
      </w:r>
      <w:r>
        <w:t>combining</w:t>
      </w:r>
      <w:r w:rsidRPr="00DE5F8B">
        <w:t xml:space="preserve"> </w:t>
      </w:r>
      <w:r>
        <w:t xml:space="preserve">contextual variables (player quality, sex, </w:t>
      </w:r>
      <w:r w:rsidR="00AE1EB7">
        <w:t>winner’s</w:t>
      </w:r>
      <w:r>
        <w:t xml:space="preserve"> vs loser</w:t>
      </w:r>
      <w:r w:rsidR="00AE1EB7">
        <w:t>’</w:t>
      </w:r>
      <w:r>
        <w:t>s) with match performance metrics offers the potential</w:t>
      </w:r>
      <w:r w:rsidRPr="00DE5F8B">
        <w:t xml:space="preserve"> to identify differences</w:t>
      </w:r>
      <w:r>
        <w:t xml:space="preserve"> between scenarios with the </w:t>
      </w:r>
      <w:r w:rsidR="00AE1EB7">
        <w:t>aim</w:t>
      </w:r>
      <w:r>
        <w:t xml:space="preserve"> of implementing such knowledge in their own game </w:t>
      </w:r>
      <w:r w:rsidRPr="00DE5F8B">
        <w:t>to achieve success</w:t>
      </w:r>
      <w:r w:rsidRPr="4EE33217">
        <w:t>.</w:t>
      </w:r>
    </w:p>
    <w:p w14:paraId="12808793" w14:textId="7354B854" w:rsidR="00C87869" w:rsidRPr="006B73CC" w:rsidRDefault="00C87869" w:rsidP="00B12E5D">
      <w:pPr>
        <w:pStyle w:val="Newparagraph"/>
        <w:jc w:val="both"/>
      </w:pPr>
      <w:r>
        <w:t>When compari</w:t>
      </w:r>
      <w:r w:rsidR="00AE1EB7">
        <w:t>ng</w:t>
      </w:r>
      <w:r>
        <w:t xml:space="preserve"> </w:t>
      </w:r>
      <w:r w:rsidRPr="00F31BDC">
        <w:t>winn</w:t>
      </w:r>
      <w:r>
        <w:t xml:space="preserve">ing and </w:t>
      </w:r>
      <w:r w:rsidRPr="00F31BDC">
        <w:t>los</w:t>
      </w:r>
      <w:r>
        <w:t xml:space="preserve">ing players, findings revealed that </w:t>
      </w:r>
      <w:r w:rsidRPr="00F31BDC">
        <w:t>winners perform better overall, independent of the surface, coming out superior in serving, returning, and rally parameters</w:t>
      </w:r>
      <w:r w:rsidR="00921269">
        <w:t>.</w:t>
      </w:r>
      <w:r w:rsidR="00921269" w:rsidRPr="00921269">
        <w:rPr>
          <w:vertAlign w:val="superscript"/>
        </w:rPr>
        <w:t>8,9,12,15,21,23</w:t>
      </w:r>
      <w:r>
        <w:t xml:space="preserve"> A similar pattern is found in the comparison of sex, with </w:t>
      </w:r>
      <w:r w:rsidRPr="00F31BDC">
        <w:t xml:space="preserve">male players performing to a better standard </w:t>
      </w:r>
      <w:r>
        <w:t xml:space="preserve">across all performance indicators </w:t>
      </w:r>
      <w:r w:rsidRPr="00F31BDC">
        <w:t xml:space="preserve">on </w:t>
      </w:r>
      <w:r>
        <w:t>each</w:t>
      </w:r>
      <w:r w:rsidRPr="00F31BDC">
        <w:t xml:space="preserve"> surface from 2003 to 2017</w:t>
      </w:r>
      <w:r w:rsidR="00921269">
        <w:t>.</w:t>
      </w:r>
      <w:r w:rsidR="00921269" w:rsidRPr="00921269">
        <w:rPr>
          <w:vertAlign w:val="superscript"/>
        </w:rPr>
        <w:t>4,8,9,11,19,24</w:t>
      </w:r>
      <w:r w:rsidR="00B12E5D">
        <w:t xml:space="preserve"> </w:t>
      </w:r>
      <w:r w:rsidRPr="00F31BDC">
        <w:t xml:space="preserve">The assessment of player quality (i.e., ranking) with surface type has the potential to provide useful information on how players of varied quality </w:t>
      </w:r>
      <w:r>
        <w:t>could potentially</w:t>
      </w:r>
      <w:r w:rsidRPr="00F31BDC">
        <w:t xml:space="preserve"> play against one another </w:t>
      </w:r>
      <w:r>
        <w:t>to achieve successful match outcome on different surfaces</w:t>
      </w:r>
      <w:r w:rsidRPr="00F31BDC">
        <w:t>. Nine studies focused on this relationship</w:t>
      </w:r>
      <w:r w:rsidR="00921269">
        <w:t>.</w:t>
      </w:r>
      <w:r w:rsidR="00921269" w:rsidRPr="00921269">
        <w:rPr>
          <w:vertAlign w:val="superscript"/>
        </w:rPr>
        <w:t>14,16-21,23</w:t>
      </w:r>
      <w:r w:rsidRPr="00F31BDC">
        <w:t xml:space="preserve"> Results contradict</w:t>
      </w:r>
      <w:r>
        <w:t xml:space="preserve"> somewhat with </w:t>
      </w:r>
      <w:r w:rsidRPr="00F31BDC">
        <w:t>Sánchez-Pay et al.</w:t>
      </w:r>
      <w:r w:rsidR="00921269" w:rsidRPr="00921269">
        <w:rPr>
          <w:vertAlign w:val="superscript"/>
        </w:rPr>
        <w:t>13</w:t>
      </w:r>
      <w:r w:rsidR="00921269">
        <w:t xml:space="preserve"> </w:t>
      </w:r>
      <w:r>
        <w:t>highlighting no correlation between</w:t>
      </w:r>
      <w:r w:rsidRPr="00F31BDC">
        <w:t xml:space="preserve"> ranking and first/second serve won % on</w:t>
      </w:r>
      <w:r>
        <w:t xml:space="preserve"> </w:t>
      </w:r>
      <w:r w:rsidRPr="00F31BDC">
        <w:t>hard court,</w:t>
      </w:r>
      <w:r>
        <w:t xml:space="preserve"> whereas </w:t>
      </w:r>
      <w:r w:rsidRPr="00F31BDC">
        <w:t>Söğüt</w:t>
      </w:r>
      <w:r w:rsidR="00921269" w:rsidRPr="00921269">
        <w:rPr>
          <w:vertAlign w:val="superscript"/>
        </w:rPr>
        <w:t>14</w:t>
      </w:r>
      <w:r w:rsidR="00921269">
        <w:t xml:space="preserve"> </w:t>
      </w:r>
      <w:r w:rsidRPr="00F31BDC">
        <w:t xml:space="preserve">discovered </w:t>
      </w:r>
      <w:r>
        <w:t>the inverse</w:t>
      </w:r>
      <w:r w:rsidRPr="00F31BDC">
        <w:t>. Söğüt</w:t>
      </w:r>
      <w:r w:rsidR="00921269" w:rsidRPr="00921269">
        <w:rPr>
          <w:vertAlign w:val="superscript"/>
        </w:rPr>
        <w:t>14</w:t>
      </w:r>
      <w:r w:rsidR="00921269">
        <w:t xml:space="preserve"> </w:t>
      </w:r>
      <w:r>
        <w:t>also identified d</w:t>
      </w:r>
      <w:r w:rsidRPr="00F31BDC">
        <w:t>ifferences between surfaces</w:t>
      </w:r>
      <w:r>
        <w:t>; for example</w:t>
      </w:r>
      <w:r w:rsidRPr="00F31BDC">
        <w:t xml:space="preserve">, no relationship </w:t>
      </w:r>
      <w:r w:rsidR="00AE1EB7">
        <w:t xml:space="preserve">was </w:t>
      </w:r>
      <w:r>
        <w:t xml:space="preserve">highlighted </w:t>
      </w:r>
      <w:r w:rsidRPr="00F31BDC">
        <w:t>between ranking and serve-return</w:t>
      </w:r>
      <w:r>
        <w:t xml:space="preserve"> </w:t>
      </w:r>
      <w:r w:rsidRPr="00F31BDC">
        <w:t xml:space="preserve">on hard courts, </w:t>
      </w:r>
      <w:r w:rsidRPr="00F31BDC">
        <w:lastRenderedPageBreak/>
        <w:t xml:space="preserve">yet </w:t>
      </w:r>
      <w:r>
        <w:t xml:space="preserve">significant </w:t>
      </w:r>
      <w:r w:rsidRPr="00F31BDC">
        <w:t>correlations between first serve-return won % on clay and second serve-return won %</w:t>
      </w:r>
      <w:r>
        <w:t xml:space="preserve"> </w:t>
      </w:r>
      <w:r w:rsidRPr="00F31BDC">
        <w:t>on grass</w:t>
      </w:r>
      <w:r w:rsidR="00AE1EB7">
        <w:t xml:space="preserve"> were found</w:t>
      </w:r>
      <w:r w:rsidRPr="00F31BDC">
        <w:t xml:space="preserve">. </w:t>
      </w:r>
    </w:p>
    <w:p w14:paraId="67DDCB45" w14:textId="550D1893" w:rsidR="00C87869" w:rsidRDefault="002C5536" w:rsidP="002C5536">
      <w:pPr>
        <w:ind w:firstLine="720"/>
        <w:jc w:val="both"/>
      </w:pPr>
      <w:r>
        <w:t>P</w:t>
      </w:r>
      <w:r w:rsidR="00C87869" w:rsidRPr="0075364A">
        <w:t>revious research on hard court performance has often sought to analyse performance across a variety of contextual variables</w:t>
      </w:r>
      <w:r w:rsidR="00921269">
        <w:t>.</w:t>
      </w:r>
      <w:r w:rsidR="00921269" w:rsidRPr="00921269">
        <w:rPr>
          <w:vertAlign w:val="superscript"/>
        </w:rPr>
        <w:t>20</w:t>
      </w:r>
      <w:r w:rsidR="00C87869">
        <w:t xml:space="preserve"> However</w:t>
      </w:r>
      <w:r w:rsidR="00C87869" w:rsidRPr="0075364A">
        <w:t xml:space="preserve">, success has been measured by win % and differences between performers measured directly by statistical tests. PWOL </w:t>
      </w:r>
      <w:r w:rsidR="00C87869">
        <w:t>could offer</w:t>
      </w:r>
      <w:r w:rsidR="00C87869" w:rsidRPr="0075364A">
        <w:t xml:space="preserve"> a more user-friendly alternative understood by coaches and players in a practical environment and is already proven to be a valid measure of success within clay</w:t>
      </w:r>
      <w:r w:rsidR="00C87869">
        <w:t xml:space="preserve"> and grass</w:t>
      </w:r>
      <w:r w:rsidR="00C87869" w:rsidRPr="0075364A">
        <w:t xml:space="preserve"> court match play.</w:t>
      </w:r>
      <w:r w:rsidR="00921269" w:rsidRPr="00921269">
        <w:rPr>
          <w:vertAlign w:val="superscript"/>
        </w:rPr>
        <w:t>8,9</w:t>
      </w:r>
      <w:r w:rsidR="00C87869">
        <w:t xml:space="preserve"> </w:t>
      </w:r>
      <w:r w:rsidR="00123AED">
        <w:t>Much of</w:t>
      </w:r>
      <w:r w:rsidR="00C87869" w:rsidRPr="006B73CC">
        <w:t xml:space="preserve"> </w:t>
      </w:r>
      <w:r>
        <w:t xml:space="preserve">the </w:t>
      </w:r>
      <w:r w:rsidR="00C87869" w:rsidRPr="006B73CC">
        <w:t>ATP</w:t>
      </w:r>
      <w:r>
        <w:t>/</w:t>
      </w:r>
      <w:r w:rsidR="00C87869" w:rsidRPr="006B73CC">
        <w:t xml:space="preserve">WTA World Tour season </w:t>
      </w:r>
      <w:r w:rsidR="00C87869">
        <w:t>(</w:t>
      </w:r>
      <w:r w:rsidR="00C87869" w:rsidRPr="006B73CC">
        <w:t>January-March and August-November</w:t>
      </w:r>
      <w:r w:rsidR="00C87869">
        <w:t>)</w:t>
      </w:r>
      <w:r w:rsidR="00C87869" w:rsidRPr="006B73CC">
        <w:t xml:space="preserve"> </w:t>
      </w:r>
      <w:r>
        <w:t>is</w:t>
      </w:r>
      <w:r w:rsidR="00C87869">
        <w:t xml:space="preserve"> </w:t>
      </w:r>
      <w:r w:rsidR="00C87869" w:rsidRPr="006B73CC">
        <w:t xml:space="preserve">played on </w:t>
      </w:r>
      <w:r w:rsidR="00C87869">
        <w:t>hard courts</w:t>
      </w:r>
      <w:r w:rsidR="00C87869" w:rsidRPr="006B73CC">
        <w:t xml:space="preserve">, </w:t>
      </w:r>
      <w:r w:rsidR="00C87869">
        <w:t xml:space="preserve">thus </w:t>
      </w:r>
      <w:r w:rsidR="00C87869" w:rsidRPr="006B73CC">
        <w:t xml:space="preserve">performances on this surface are essential towards </w:t>
      </w:r>
      <w:r w:rsidR="00C87869">
        <w:t xml:space="preserve">long-term </w:t>
      </w:r>
      <w:r w:rsidR="00C87869" w:rsidRPr="006B73CC">
        <w:t>ranking</w:t>
      </w:r>
      <w:r>
        <w:t xml:space="preserve"> development</w:t>
      </w:r>
      <w:r w:rsidR="00C87869">
        <w:t>. R</w:t>
      </w:r>
      <w:r w:rsidR="00C87869" w:rsidRPr="006B73CC">
        <w:t xml:space="preserve">eplicating the statistical methods </w:t>
      </w:r>
      <w:r w:rsidR="00C87869">
        <w:t>used by Fitzpatrick et al.</w:t>
      </w:r>
      <w:r w:rsidR="00921269" w:rsidRPr="00921269">
        <w:rPr>
          <w:vertAlign w:val="superscript"/>
        </w:rPr>
        <w:t>8</w:t>
      </w:r>
      <w:r w:rsidR="00C87869">
        <w:t xml:space="preserve"> </w:t>
      </w:r>
      <w:r w:rsidR="00C87869" w:rsidRPr="006B73CC">
        <w:t xml:space="preserve">for the remaining surface-type (i.e., </w:t>
      </w:r>
      <w:r w:rsidR="00C87869">
        <w:t>hard court</w:t>
      </w:r>
      <w:r w:rsidR="00C87869" w:rsidRPr="006B73CC">
        <w:t xml:space="preserve">) is </w:t>
      </w:r>
      <w:r w:rsidR="00C87869">
        <w:t>warranted</w:t>
      </w:r>
      <w:r w:rsidR="00C87869" w:rsidRPr="006B73CC">
        <w:t xml:space="preserve"> by virtue of the surface speed variations</w:t>
      </w:r>
      <w:r w:rsidR="00921269" w:rsidRPr="00921269">
        <w:rPr>
          <w:vertAlign w:val="superscript"/>
        </w:rPr>
        <w:t>11,21,24</w:t>
      </w:r>
      <w:r w:rsidR="00C87869" w:rsidRPr="00921269">
        <w:rPr>
          <w:vertAlign w:val="superscript"/>
        </w:rPr>
        <w:t xml:space="preserve"> </w:t>
      </w:r>
      <w:r w:rsidR="00C87869">
        <w:t>which may lead to different aspects of match play highlighted as more important to successful outcome</w:t>
      </w:r>
      <w:r w:rsidR="00C87869" w:rsidRPr="006B73CC">
        <w:t xml:space="preserve">. </w:t>
      </w:r>
      <w:r w:rsidR="00C87869">
        <w:t xml:space="preserve">Consequently, establishing the performance characteristics associated with success on </w:t>
      </w:r>
      <w:r w:rsidR="0047294E">
        <w:t>hard-court</w:t>
      </w:r>
      <w:r w:rsidR="00C87869">
        <w:t xml:space="preserve"> could ensure, in combination with Fitzpatrick et al.</w:t>
      </w:r>
      <w:r w:rsidR="00921269" w:rsidRPr="00921269">
        <w:rPr>
          <w:vertAlign w:val="superscript"/>
        </w:rPr>
        <w:t>8-9</w:t>
      </w:r>
      <w:r w:rsidR="00C87869">
        <w:t>, that the inter-seasonal differences (hard, clay, grass court variations) are considered during training periodisation, ultimately enhancing in-season preparation.</w:t>
      </w:r>
    </w:p>
    <w:p w14:paraId="29B8CFAA" w14:textId="2029F1E4" w:rsidR="00C87869" w:rsidRDefault="00C87869" w:rsidP="00C96045">
      <w:pPr>
        <w:ind w:firstLine="720"/>
        <w:jc w:val="both"/>
        <w:rPr>
          <w:color w:val="000000" w:themeColor="text1"/>
        </w:rPr>
      </w:pPr>
      <w:r w:rsidRPr="006B73CC">
        <w:t xml:space="preserve">Due to a lack of large-scale research for </w:t>
      </w:r>
      <w:r>
        <w:t>hard court</w:t>
      </w:r>
      <w:r w:rsidRPr="006B73CC">
        <w:t xml:space="preserve"> match play; a method not specifically validated for use on hard court surfaces</w:t>
      </w:r>
      <w:r w:rsidR="00603267" w:rsidRPr="00603267">
        <w:rPr>
          <w:vertAlign w:val="superscript"/>
        </w:rPr>
        <w:t>8</w:t>
      </w:r>
      <w:r w:rsidRPr="006B73CC">
        <w:t>; and the common use of solely Grand Slam datasets, a significant and impactful gap for applied practice remains unanswered. Specifically, a large-scale study identifying key performance indicators</w:t>
      </w:r>
      <w:r>
        <w:t xml:space="preserve"> (KPIs)</w:t>
      </w:r>
      <w:r w:rsidRPr="006B73CC">
        <w:t xml:space="preserve"> that associate most with success, using the PWOL method, across Grand Slams and all World Tour levels (ATP/WTA 1000’s, 500’s, and 250’s) on </w:t>
      </w:r>
      <w:r>
        <w:t>hard court</w:t>
      </w:r>
      <w:r w:rsidRPr="006B73CC">
        <w:t>s appears to be a logical progression within enhancing our knowledge of the game.</w:t>
      </w:r>
      <w:r>
        <w:t xml:space="preserve"> </w:t>
      </w:r>
      <w:r w:rsidRPr="00990948">
        <w:rPr>
          <w:color w:val="000000" w:themeColor="text1"/>
        </w:rPr>
        <w:t>An additional aim of this study will be to strengthen the validity of the PWOL method</w:t>
      </w:r>
      <w:r>
        <w:rPr>
          <w:color w:val="000000" w:themeColor="text1"/>
        </w:rPr>
        <w:t xml:space="preserve"> for hard</w:t>
      </w:r>
      <w:r w:rsidR="00B3678C">
        <w:rPr>
          <w:color w:val="000000" w:themeColor="text1"/>
        </w:rPr>
        <w:t>-</w:t>
      </w:r>
      <w:r>
        <w:rPr>
          <w:color w:val="000000" w:themeColor="text1"/>
        </w:rPr>
        <w:t>court match play</w:t>
      </w:r>
      <w:r w:rsidRPr="00990948">
        <w:rPr>
          <w:color w:val="000000" w:themeColor="text1"/>
        </w:rPr>
        <w:t xml:space="preserve"> by </w:t>
      </w:r>
      <w:r>
        <w:rPr>
          <w:color w:val="000000" w:themeColor="text1"/>
        </w:rPr>
        <w:t>assessing</w:t>
      </w:r>
      <w:r w:rsidRPr="00990948">
        <w:rPr>
          <w:color w:val="000000" w:themeColor="text1"/>
        </w:rPr>
        <w:t xml:space="preserve"> its agreement with </w:t>
      </w:r>
      <w:r w:rsidRPr="00990948">
        <w:rPr>
          <w:color w:val="000000" w:themeColor="text1"/>
        </w:rPr>
        <w:lastRenderedPageBreak/>
        <w:t>two commonly used statistical methods as used by Fitzpatrick et al.</w:t>
      </w:r>
      <w:r w:rsidR="00603267" w:rsidRPr="00603267">
        <w:rPr>
          <w:color w:val="000000" w:themeColor="text1"/>
          <w:vertAlign w:val="superscript"/>
        </w:rPr>
        <w:t>8</w:t>
      </w:r>
      <w:r w:rsidRPr="00990948">
        <w:rPr>
          <w:color w:val="000000" w:themeColor="text1"/>
        </w:rPr>
        <w:t xml:space="preserve">; 1) point-biserial correlations and 2) paired </w:t>
      </w:r>
      <w:r w:rsidRPr="00990948">
        <w:rPr>
          <w:i/>
          <w:iCs/>
          <w:color w:val="000000" w:themeColor="text1"/>
        </w:rPr>
        <w:t>t</w:t>
      </w:r>
      <w:r w:rsidRPr="00990948">
        <w:rPr>
          <w:color w:val="000000" w:themeColor="text1"/>
        </w:rPr>
        <w:t>-tests</w:t>
      </w:r>
      <w:r>
        <w:rPr>
          <w:color w:val="000000" w:themeColor="text1"/>
        </w:rPr>
        <w:t xml:space="preserve"> respectively</w:t>
      </w:r>
      <w:r w:rsidR="00C96045">
        <w:rPr>
          <w:color w:val="000000" w:themeColor="text1"/>
        </w:rPr>
        <w:t>.</w:t>
      </w:r>
    </w:p>
    <w:p w14:paraId="5CC99C62" w14:textId="77777777" w:rsidR="00C96045" w:rsidRDefault="00C96045" w:rsidP="00C96045">
      <w:pPr>
        <w:jc w:val="both"/>
        <w:rPr>
          <w:color w:val="000000" w:themeColor="text1"/>
        </w:rPr>
      </w:pPr>
    </w:p>
    <w:p w14:paraId="2E8C21A1" w14:textId="56696382" w:rsidR="00C96045" w:rsidRDefault="00C96045" w:rsidP="00C87869">
      <w:pPr>
        <w:jc w:val="both"/>
        <w:rPr>
          <w:b/>
          <w:bCs/>
        </w:rPr>
      </w:pPr>
      <w:r w:rsidRPr="00C96045">
        <w:rPr>
          <w:b/>
          <w:bCs/>
          <w:color w:val="000000" w:themeColor="text1"/>
        </w:rPr>
        <w:t>Methods</w:t>
      </w:r>
    </w:p>
    <w:p w14:paraId="18C2DEFB" w14:textId="77777777" w:rsidR="00C96045" w:rsidRDefault="00C96045" w:rsidP="00C87869">
      <w:pPr>
        <w:jc w:val="both"/>
        <w:rPr>
          <w:b/>
          <w:bCs/>
        </w:rPr>
      </w:pPr>
      <w:r>
        <w:rPr>
          <w:b/>
          <w:bCs/>
        </w:rPr>
        <w:t>Sample</w:t>
      </w:r>
    </w:p>
    <w:p w14:paraId="187BC15B" w14:textId="677354E1" w:rsidR="00C96045" w:rsidRPr="00B729F3" w:rsidRDefault="00C87869" w:rsidP="00C87869">
      <w:pPr>
        <w:jc w:val="both"/>
        <w:rPr>
          <w:b/>
          <w:bCs/>
        </w:rPr>
      </w:pPr>
      <w:r w:rsidRPr="009D750E">
        <w:t>With permission from</w:t>
      </w:r>
      <w:r w:rsidR="008F18C5">
        <w:t xml:space="preserve"> a national tennis organisation</w:t>
      </w:r>
      <w:r w:rsidRPr="009D750E">
        <w:t xml:space="preserve">, </w:t>
      </w:r>
      <w:bookmarkStart w:id="0" w:name="_Hlk143269938"/>
      <w:r>
        <w:t>810</w:t>
      </w:r>
      <w:r w:rsidRPr="009D750E">
        <w:t xml:space="preserve"> men’s and </w:t>
      </w:r>
      <w:r>
        <w:t xml:space="preserve">586 </w:t>
      </w:r>
      <w:r w:rsidRPr="009D750E">
        <w:t xml:space="preserve">women’s </w:t>
      </w:r>
      <w:r>
        <w:t xml:space="preserve">hard court </w:t>
      </w:r>
      <w:r w:rsidRPr="009D750E">
        <w:t xml:space="preserve">matches across Grand Slams and all levels </w:t>
      </w:r>
      <w:r>
        <w:t xml:space="preserve">(i.e., Masters, 500s and 250s) </w:t>
      </w:r>
      <w:r w:rsidRPr="009D750E">
        <w:t xml:space="preserve">of the ATP and WTA </w:t>
      </w:r>
      <w:r w:rsidRPr="00B729F3">
        <w:t xml:space="preserve">World Tours from 2019 to 2023 </w:t>
      </w:r>
      <w:bookmarkEnd w:id="0"/>
      <w:r w:rsidRPr="00B729F3">
        <w:t xml:space="preserve">were used for analysis. Data were collected via a bespoke tagging panel in Dartfish Live S (Dartfish, Switzerland) by a cohort of specially trained tennis analysts working for the </w:t>
      </w:r>
      <w:r w:rsidR="008F18C5" w:rsidRPr="00B729F3">
        <w:t>organisation</w:t>
      </w:r>
      <w:r w:rsidR="00004DE3" w:rsidRPr="00B729F3">
        <w:t xml:space="preserve"> – all with three or more years of experience as tennis analysts -</w:t>
      </w:r>
      <w:r w:rsidRPr="00B729F3">
        <w:t xml:space="preserve"> or </w:t>
      </w:r>
      <w:r w:rsidR="008F18C5" w:rsidRPr="00B729F3">
        <w:t xml:space="preserve">an </w:t>
      </w:r>
      <w:r w:rsidRPr="00B729F3">
        <w:t>external compan</w:t>
      </w:r>
      <w:r w:rsidR="008F18C5" w:rsidRPr="00B729F3">
        <w:t>y</w:t>
      </w:r>
      <w:r w:rsidRPr="00B729F3">
        <w:t xml:space="preserve"> in partnership with the </w:t>
      </w:r>
      <w:r w:rsidR="008F18C5" w:rsidRPr="00B729F3">
        <w:t>organisation</w:t>
      </w:r>
      <w:r w:rsidRPr="00B729F3">
        <w:t xml:space="preserve">. </w:t>
      </w:r>
      <w:r w:rsidR="00004DE3" w:rsidRPr="00B729F3">
        <w:t xml:space="preserve">External analysts receive extensive training until the quality of the data collection satisfies the standards of the national tennis organisation. </w:t>
      </w:r>
      <w:r w:rsidRPr="00B729F3">
        <w:t xml:space="preserve">Once video recordings of the matches are tagged, the collated data </w:t>
      </w:r>
      <w:r w:rsidR="00FD5D97" w:rsidRPr="00B729F3">
        <w:t>was</w:t>
      </w:r>
      <w:r w:rsidRPr="00B729F3">
        <w:t xml:space="preserve"> exported into a .csv format and funnelled through an automatic error checker, ensuring no data is missing or tagged incorrectly. </w:t>
      </w:r>
      <w:r w:rsidR="00C96045" w:rsidRPr="00B729F3">
        <w:t xml:space="preserve">Ethical approval was gained </w:t>
      </w:r>
      <w:r w:rsidR="00DC6BC3" w:rsidRPr="00B729F3">
        <w:t xml:space="preserve">Middlesex University’s </w:t>
      </w:r>
      <w:r w:rsidR="00812478" w:rsidRPr="00B729F3">
        <w:t>London Sports Institute</w:t>
      </w:r>
      <w:r w:rsidR="00DC6BC3" w:rsidRPr="00B729F3">
        <w:t xml:space="preserve"> Ethics Committee [</w:t>
      </w:r>
      <w:r w:rsidR="00923C36" w:rsidRPr="00B729F3">
        <w:t>ETH</w:t>
      </w:r>
      <w:r w:rsidR="00812478" w:rsidRPr="00B729F3">
        <w:t>25715</w:t>
      </w:r>
      <w:r w:rsidR="00DC6BC3" w:rsidRPr="00B729F3">
        <w:t>]</w:t>
      </w:r>
      <w:r w:rsidR="00C96045" w:rsidRPr="00B729F3">
        <w:t>.</w:t>
      </w:r>
    </w:p>
    <w:p w14:paraId="67A34700" w14:textId="77777777" w:rsidR="00C96045" w:rsidRPr="00B729F3" w:rsidRDefault="00C96045" w:rsidP="00C87869">
      <w:pPr>
        <w:jc w:val="both"/>
      </w:pPr>
    </w:p>
    <w:p w14:paraId="46D09CDA" w14:textId="77777777" w:rsidR="00C96045" w:rsidRPr="00B729F3" w:rsidRDefault="00C96045" w:rsidP="00C87869">
      <w:pPr>
        <w:jc w:val="both"/>
        <w:rPr>
          <w:b/>
          <w:bCs/>
        </w:rPr>
      </w:pPr>
      <w:r w:rsidRPr="00B729F3">
        <w:rPr>
          <w:b/>
          <w:bCs/>
        </w:rPr>
        <w:t>Performance Indicators Collated</w:t>
      </w:r>
    </w:p>
    <w:p w14:paraId="38FD3657" w14:textId="6C614118" w:rsidR="00C87869" w:rsidRDefault="00C87869" w:rsidP="00C87869">
      <w:pPr>
        <w:jc w:val="both"/>
      </w:pPr>
      <w:r w:rsidRPr="00B729F3">
        <w:t>In a similar manner to Fitzpatrick et al.</w:t>
      </w:r>
      <w:r w:rsidR="00634BA5" w:rsidRPr="00B729F3">
        <w:rPr>
          <w:vertAlign w:val="superscript"/>
        </w:rPr>
        <w:t>8</w:t>
      </w:r>
      <w:r w:rsidRPr="00B729F3">
        <w:t>, the following performance indicators were collected for the winner and loser in each match: aces, double faults, first/second serve quality, first/second serve points won, first/second serve-return points won, first/second serve-return effectiveness, ball three</w:t>
      </w:r>
      <w:r w:rsidR="005525BA" w:rsidRPr="00B729F3">
        <w:t xml:space="preserve"> </w:t>
      </w:r>
      <w:r w:rsidR="005525BA" w:rsidRPr="00B729F3">
        <w:rPr>
          <w:color w:val="000000" w:themeColor="text1"/>
        </w:rPr>
        <w:t>- also known as “Serve Plus One”, defined as the second shot the server hits in  a rally following the serve-return -</w:t>
      </w:r>
      <w:r w:rsidRPr="00B729F3">
        <w:t xml:space="preserve"> forehand, ball three attacking/neutral/defensive, baseline points won, net points won, drop shot points won, break points won, winners/unforced/forced errors, and points won of rally lengths 0-4, 5-8, and 9+ shots. </w:t>
      </w:r>
      <w:r w:rsidR="00911A7A" w:rsidRPr="00B729F3">
        <w:t xml:space="preserve">The </w:t>
      </w:r>
      <w:r w:rsidR="00911A7A" w:rsidRPr="00B729F3">
        <w:lastRenderedPageBreak/>
        <w:t>three situations (i.e.</w:t>
      </w:r>
      <w:r w:rsidR="00F276B0" w:rsidRPr="00B729F3">
        <w:t>,</w:t>
      </w:r>
      <w:r w:rsidR="00911A7A" w:rsidRPr="00B729F3">
        <w:t xml:space="preserve"> attacking, neutral and defensive) are based on the location, speed and trajectory of the ball received, the area of the court the ball is hit, and the time the player has available to hit the shot. </w:t>
      </w:r>
      <w:r w:rsidRPr="00B729F3">
        <w:t>Using the</w:t>
      </w:r>
      <w:r>
        <w:t xml:space="preserve"> </w:t>
      </w:r>
      <w:r w:rsidRPr="00973387">
        <w:t xml:space="preserve">equations set out in </w:t>
      </w:r>
      <w:r w:rsidR="0077300C" w:rsidRPr="00973387">
        <w:t>Table</w:t>
      </w:r>
      <w:r w:rsidRPr="00973387">
        <w:t xml:space="preserve"> 1, data</w:t>
      </w:r>
      <w:r>
        <w:t xml:space="preserve"> was subsequently normalised as a percentage in relation to overall match performance akin to Fitzpatrick et al.</w:t>
      </w:r>
      <w:r w:rsidR="00A62CDC" w:rsidRPr="00A62CDC">
        <w:rPr>
          <w:vertAlign w:val="superscript"/>
        </w:rPr>
        <w:t>8</w:t>
      </w:r>
      <w:r w:rsidR="00E049E5">
        <w:t>.</w:t>
      </w:r>
    </w:p>
    <w:p w14:paraId="3CA81F50" w14:textId="77777777" w:rsidR="00C96045" w:rsidRDefault="00C96045" w:rsidP="00E049E5">
      <w:pPr>
        <w:jc w:val="both"/>
      </w:pPr>
    </w:p>
    <w:p w14:paraId="5BDCC25D" w14:textId="77777777" w:rsidR="00BF4B47" w:rsidRDefault="00BF4B47" w:rsidP="00E049E5">
      <w:pPr>
        <w:jc w:val="both"/>
        <w:sectPr w:rsidR="00BF4B47" w:rsidSect="000B63DE">
          <w:pgSz w:w="11906" w:h="16838"/>
          <w:pgMar w:top="1440" w:right="1440" w:bottom="1440" w:left="1440" w:header="708" w:footer="708" w:gutter="0"/>
          <w:lnNumType w:countBy="1" w:restart="continuous"/>
          <w:cols w:space="708"/>
          <w:docGrid w:linePitch="360"/>
        </w:sectPr>
      </w:pPr>
    </w:p>
    <w:tbl>
      <w:tblPr>
        <w:tblStyle w:val="TableGrid"/>
        <w:tblpPr w:leftFromText="180" w:rightFromText="180" w:vertAnchor="page" w:horzAnchor="margin" w:tblpY="1784"/>
        <w:tblW w:w="14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0206"/>
      </w:tblGrid>
      <w:tr w:rsidR="00BF4B47" w:rsidRPr="00BF4B47" w14:paraId="030FE359" w14:textId="77777777" w:rsidTr="00973387">
        <w:trPr>
          <w:trHeight w:val="340"/>
        </w:trPr>
        <w:tc>
          <w:tcPr>
            <w:tcW w:w="4111" w:type="dxa"/>
            <w:tcBorders>
              <w:top w:val="single" w:sz="4" w:space="0" w:color="auto"/>
              <w:bottom w:val="single" w:sz="4" w:space="0" w:color="auto"/>
            </w:tcBorders>
          </w:tcPr>
          <w:p w14:paraId="440EB3AB" w14:textId="77777777" w:rsidR="00BF4B47" w:rsidRPr="00E60F5C" w:rsidRDefault="00BF4B47" w:rsidP="008D2B66">
            <w:pPr>
              <w:spacing w:line="240" w:lineRule="auto"/>
              <w:rPr>
                <w:sz w:val="24"/>
                <w:szCs w:val="24"/>
              </w:rPr>
            </w:pPr>
            <w:r w:rsidRPr="00E60F5C">
              <w:rPr>
                <w:sz w:val="24"/>
                <w:szCs w:val="24"/>
              </w:rPr>
              <w:lastRenderedPageBreak/>
              <w:t>Performance indicator</w:t>
            </w:r>
          </w:p>
        </w:tc>
        <w:tc>
          <w:tcPr>
            <w:tcW w:w="10206" w:type="dxa"/>
            <w:tcBorders>
              <w:top w:val="single" w:sz="4" w:space="0" w:color="auto"/>
              <w:bottom w:val="single" w:sz="4" w:space="0" w:color="auto"/>
            </w:tcBorders>
          </w:tcPr>
          <w:p w14:paraId="030F7533" w14:textId="77777777" w:rsidR="00BF4B47" w:rsidRPr="00E60F5C" w:rsidRDefault="00BF4B47" w:rsidP="008D2B66">
            <w:pPr>
              <w:spacing w:line="240" w:lineRule="auto"/>
              <w:rPr>
                <w:sz w:val="24"/>
                <w:szCs w:val="24"/>
              </w:rPr>
            </w:pPr>
            <w:r w:rsidRPr="00E60F5C">
              <w:rPr>
                <w:sz w:val="24"/>
                <w:szCs w:val="24"/>
              </w:rPr>
              <w:t>Equation</w:t>
            </w:r>
          </w:p>
        </w:tc>
      </w:tr>
      <w:tr w:rsidR="00BF4B47" w:rsidRPr="00BF4B47" w14:paraId="796DC6E8" w14:textId="77777777" w:rsidTr="00973387">
        <w:trPr>
          <w:trHeight w:val="340"/>
        </w:trPr>
        <w:tc>
          <w:tcPr>
            <w:tcW w:w="4111" w:type="dxa"/>
            <w:tcBorders>
              <w:top w:val="single" w:sz="4" w:space="0" w:color="auto"/>
            </w:tcBorders>
          </w:tcPr>
          <w:p w14:paraId="13917B32" w14:textId="77777777" w:rsidR="00BF4B47" w:rsidRPr="00E60F5C" w:rsidRDefault="00BF4B47" w:rsidP="008D2B66">
            <w:pPr>
              <w:spacing w:line="240" w:lineRule="auto"/>
              <w:rPr>
                <w:sz w:val="24"/>
                <w:szCs w:val="24"/>
              </w:rPr>
            </w:pPr>
            <w:r w:rsidRPr="00E60F5C">
              <w:rPr>
                <w:sz w:val="24"/>
                <w:szCs w:val="24"/>
              </w:rPr>
              <w:t>Aces (%)</w:t>
            </w:r>
          </w:p>
        </w:tc>
        <w:tc>
          <w:tcPr>
            <w:tcW w:w="10206" w:type="dxa"/>
            <w:tcBorders>
              <w:top w:val="single" w:sz="4" w:space="0" w:color="auto"/>
            </w:tcBorders>
          </w:tcPr>
          <w:p w14:paraId="4F2FD791" w14:textId="77777777" w:rsidR="00BF4B47" w:rsidRPr="00E60F5C" w:rsidRDefault="00BF4B47" w:rsidP="008D2B66">
            <w:pPr>
              <w:spacing w:line="240" w:lineRule="auto"/>
              <w:rPr>
                <w:sz w:val="24"/>
                <w:szCs w:val="24"/>
              </w:rPr>
            </w:pPr>
            <w:r w:rsidRPr="00E60F5C">
              <w:rPr>
                <w:sz w:val="24"/>
                <w:szCs w:val="24"/>
              </w:rPr>
              <w:t>Number of aces/number of serves (x100)</w:t>
            </w:r>
          </w:p>
        </w:tc>
      </w:tr>
      <w:tr w:rsidR="00BF4B47" w:rsidRPr="00BF4B47" w14:paraId="4A82E1E4" w14:textId="77777777" w:rsidTr="00973387">
        <w:trPr>
          <w:trHeight w:val="340"/>
        </w:trPr>
        <w:tc>
          <w:tcPr>
            <w:tcW w:w="4111" w:type="dxa"/>
          </w:tcPr>
          <w:p w14:paraId="0374BC3A" w14:textId="77777777" w:rsidR="00BF4B47" w:rsidRPr="00E60F5C" w:rsidRDefault="00BF4B47" w:rsidP="008D2B66">
            <w:pPr>
              <w:spacing w:line="240" w:lineRule="auto"/>
              <w:rPr>
                <w:sz w:val="24"/>
                <w:szCs w:val="24"/>
              </w:rPr>
            </w:pPr>
            <w:r w:rsidRPr="00E60F5C">
              <w:rPr>
                <w:sz w:val="24"/>
                <w:szCs w:val="24"/>
              </w:rPr>
              <w:t>Double faults (%)</w:t>
            </w:r>
          </w:p>
        </w:tc>
        <w:tc>
          <w:tcPr>
            <w:tcW w:w="10206" w:type="dxa"/>
          </w:tcPr>
          <w:p w14:paraId="3065BFFC" w14:textId="77777777" w:rsidR="00BF4B47" w:rsidRPr="00E60F5C" w:rsidRDefault="00BF4B47" w:rsidP="008D2B66">
            <w:pPr>
              <w:spacing w:line="240" w:lineRule="auto"/>
              <w:rPr>
                <w:sz w:val="24"/>
                <w:szCs w:val="24"/>
              </w:rPr>
            </w:pPr>
            <w:r w:rsidRPr="00E60F5C">
              <w:rPr>
                <w:sz w:val="24"/>
                <w:szCs w:val="24"/>
              </w:rPr>
              <w:t>Number of double faults/number of points served (x100)</w:t>
            </w:r>
          </w:p>
        </w:tc>
      </w:tr>
      <w:tr w:rsidR="00BF4B47" w:rsidRPr="00BF4B47" w14:paraId="5A4F1302" w14:textId="77777777" w:rsidTr="00973387">
        <w:trPr>
          <w:trHeight w:val="340"/>
        </w:trPr>
        <w:tc>
          <w:tcPr>
            <w:tcW w:w="4111" w:type="dxa"/>
          </w:tcPr>
          <w:p w14:paraId="1A20BC46" w14:textId="77777777" w:rsidR="00BF4B47" w:rsidRPr="00E60F5C" w:rsidRDefault="00BF4B47" w:rsidP="008D2B66">
            <w:pPr>
              <w:spacing w:line="240" w:lineRule="auto"/>
              <w:rPr>
                <w:sz w:val="24"/>
                <w:szCs w:val="24"/>
              </w:rPr>
            </w:pPr>
            <w:r w:rsidRPr="00E60F5C">
              <w:rPr>
                <w:sz w:val="24"/>
                <w:szCs w:val="24"/>
              </w:rPr>
              <w:t>First serve quality (%)</w:t>
            </w:r>
          </w:p>
        </w:tc>
        <w:tc>
          <w:tcPr>
            <w:tcW w:w="10206" w:type="dxa"/>
          </w:tcPr>
          <w:p w14:paraId="74E3981A" w14:textId="77777777" w:rsidR="00BF4B47" w:rsidRPr="00E60F5C" w:rsidRDefault="00BF4B47" w:rsidP="008D2B66">
            <w:pPr>
              <w:spacing w:line="240" w:lineRule="auto"/>
              <w:rPr>
                <w:sz w:val="24"/>
                <w:szCs w:val="24"/>
              </w:rPr>
            </w:pPr>
            <w:r w:rsidRPr="00E60F5C">
              <w:rPr>
                <w:sz w:val="24"/>
                <w:szCs w:val="24"/>
              </w:rPr>
              <w:t>(Number of first serves in/number of first serves hit) * (Number of effective first serves (ace, unreturnable serve, attacking ball three)/number of first serve points played) (x100)</w:t>
            </w:r>
          </w:p>
        </w:tc>
      </w:tr>
      <w:tr w:rsidR="00BF4B47" w:rsidRPr="00BF4B47" w14:paraId="3AA66CF1" w14:textId="77777777" w:rsidTr="00973387">
        <w:trPr>
          <w:trHeight w:val="340"/>
        </w:trPr>
        <w:tc>
          <w:tcPr>
            <w:tcW w:w="4111" w:type="dxa"/>
          </w:tcPr>
          <w:p w14:paraId="26990D6B" w14:textId="77777777" w:rsidR="00BF4B47" w:rsidRPr="00E60F5C" w:rsidRDefault="00BF4B47" w:rsidP="008D2B66">
            <w:pPr>
              <w:spacing w:line="240" w:lineRule="auto"/>
              <w:rPr>
                <w:sz w:val="24"/>
                <w:szCs w:val="24"/>
              </w:rPr>
            </w:pPr>
            <w:r w:rsidRPr="00E60F5C">
              <w:rPr>
                <w:sz w:val="24"/>
                <w:szCs w:val="24"/>
              </w:rPr>
              <w:t>First serve points won (%)</w:t>
            </w:r>
          </w:p>
        </w:tc>
        <w:tc>
          <w:tcPr>
            <w:tcW w:w="10206" w:type="dxa"/>
          </w:tcPr>
          <w:p w14:paraId="58A4859B" w14:textId="77777777" w:rsidR="00BF4B47" w:rsidRPr="00E60F5C" w:rsidRDefault="00BF4B47" w:rsidP="008D2B66">
            <w:pPr>
              <w:spacing w:line="240" w:lineRule="auto"/>
              <w:rPr>
                <w:sz w:val="24"/>
                <w:szCs w:val="24"/>
              </w:rPr>
            </w:pPr>
            <w:r w:rsidRPr="00E60F5C">
              <w:rPr>
                <w:sz w:val="24"/>
                <w:szCs w:val="24"/>
              </w:rPr>
              <w:t>Number of first serve points won/number of first serve points played (x100)</w:t>
            </w:r>
          </w:p>
        </w:tc>
      </w:tr>
      <w:tr w:rsidR="00BF4B47" w:rsidRPr="00BF4B47" w14:paraId="77C57A6D" w14:textId="77777777" w:rsidTr="00973387">
        <w:trPr>
          <w:trHeight w:val="340"/>
        </w:trPr>
        <w:tc>
          <w:tcPr>
            <w:tcW w:w="4111" w:type="dxa"/>
          </w:tcPr>
          <w:p w14:paraId="1DAE2707" w14:textId="77777777" w:rsidR="00BF4B47" w:rsidRPr="00E60F5C" w:rsidRDefault="00BF4B47" w:rsidP="008D2B66">
            <w:pPr>
              <w:spacing w:line="240" w:lineRule="auto"/>
              <w:rPr>
                <w:sz w:val="24"/>
                <w:szCs w:val="24"/>
              </w:rPr>
            </w:pPr>
            <w:r w:rsidRPr="00E60F5C">
              <w:rPr>
                <w:sz w:val="24"/>
                <w:szCs w:val="24"/>
              </w:rPr>
              <w:t>Second serve quality (%)</w:t>
            </w:r>
          </w:p>
        </w:tc>
        <w:tc>
          <w:tcPr>
            <w:tcW w:w="10206" w:type="dxa"/>
          </w:tcPr>
          <w:p w14:paraId="3D1C0A57" w14:textId="77777777" w:rsidR="00BF4B47" w:rsidRPr="00E60F5C" w:rsidRDefault="00BF4B47" w:rsidP="008D2B66">
            <w:pPr>
              <w:spacing w:line="240" w:lineRule="auto"/>
              <w:rPr>
                <w:sz w:val="24"/>
                <w:szCs w:val="24"/>
              </w:rPr>
            </w:pPr>
            <w:r w:rsidRPr="00E60F5C">
              <w:rPr>
                <w:sz w:val="24"/>
                <w:szCs w:val="24"/>
              </w:rPr>
              <w:t>(Number of second serves in/number of second serves hit) * (Number of effective second serves (ace, unreturnable serve, attacking ball three)/number of second serve points played) (x100)</w:t>
            </w:r>
          </w:p>
        </w:tc>
      </w:tr>
      <w:tr w:rsidR="00BF4B47" w:rsidRPr="00BF4B47" w14:paraId="6D70B8F7" w14:textId="77777777" w:rsidTr="00973387">
        <w:trPr>
          <w:trHeight w:val="340"/>
        </w:trPr>
        <w:tc>
          <w:tcPr>
            <w:tcW w:w="4111" w:type="dxa"/>
          </w:tcPr>
          <w:p w14:paraId="6DF6AB18" w14:textId="77777777" w:rsidR="00BF4B47" w:rsidRPr="00E60F5C" w:rsidRDefault="00BF4B47" w:rsidP="008D2B66">
            <w:pPr>
              <w:spacing w:line="240" w:lineRule="auto"/>
              <w:rPr>
                <w:sz w:val="24"/>
                <w:szCs w:val="24"/>
              </w:rPr>
            </w:pPr>
            <w:r w:rsidRPr="00E60F5C">
              <w:rPr>
                <w:sz w:val="24"/>
                <w:szCs w:val="24"/>
              </w:rPr>
              <w:t>Second serve points won (%)</w:t>
            </w:r>
          </w:p>
        </w:tc>
        <w:tc>
          <w:tcPr>
            <w:tcW w:w="10206" w:type="dxa"/>
          </w:tcPr>
          <w:p w14:paraId="2B0EAF88" w14:textId="77777777" w:rsidR="00BF4B47" w:rsidRPr="00E60F5C" w:rsidRDefault="00BF4B47" w:rsidP="008D2B66">
            <w:pPr>
              <w:spacing w:line="240" w:lineRule="auto"/>
              <w:rPr>
                <w:sz w:val="24"/>
                <w:szCs w:val="24"/>
              </w:rPr>
            </w:pPr>
            <w:r w:rsidRPr="00E60F5C">
              <w:rPr>
                <w:sz w:val="24"/>
                <w:szCs w:val="24"/>
              </w:rPr>
              <w:t>Number of second serve points won/number of second serve points played (x100)</w:t>
            </w:r>
          </w:p>
        </w:tc>
      </w:tr>
      <w:tr w:rsidR="00BF4B47" w:rsidRPr="00BF4B47" w14:paraId="63C6813E" w14:textId="77777777" w:rsidTr="00973387">
        <w:trPr>
          <w:trHeight w:val="340"/>
        </w:trPr>
        <w:tc>
          <w:tcPr>
            <w:tcW w:w="4111" w:type="dxa"/>
          </w:tcPr>
          <w:p w14:paraId="1874BD4A" w14:textId="77777777" w:rsidR="00BF4B47" w:rsidRPr="00E60F5C" w:rsidRDefault="00BF4B47" w:rsidP="008D2B66">
            <w:pPr>
              <w:spacing w:line="240" w:lineRule="auto"/>
              <w:rPr>
                <w:sz w:val="24"/>
                <w:szCs w:val="24"/>
              </w:rPr>
            </w:pPr>
            <w:r w:rsidRPr="00E60F5C">
              <w:rPr>
                <w:sz w:val="24"/>
                <w:szCs w:val="24"/>
              </w:rPr>
              <w:t>First serve-return points won (%)</w:t>
            </w:r>
          </w:p>
        </w:tc>
        <w:tc>
          <w:tcPr>
            <w:tcW w:w="10206" w:type="dxa"/>
          </w:tcPr>
          <w:p w14:paraId="518E8664" w14:textId="77777777" w:rsidR="00BF4B47" w:rsidRPr="00E60F5C" w:rsidRDefault="00BF4B47" w:rsidP="008D2B66">
            <w:pPr>
              <w:spacing w:line="240" w:lineRule="auto"/>
              <w:rPr>
                <w:sz w:val="24"/>
                <w:szCs w:val="24"/>
              </w:rPr>
            </w:pPr>
            <w:r w:rsidRPr="00E60F5C">
              <w:rPr>
                <w:sz w:val="24"/>
                <w:szCs w:val="24"/>
              </w:rPr>
              <w:t>Number of first serve-return points won/number of first serve-return points played (x100)</w:t>
            </w:r>
          </w:p>
        </w:tc>
      </w:tr>
      <w:tr w:rsidR="00BF4B47" w:rsidRPr="00BF4B47" w14:paraId="53203088" w14:textId="77777777" w:rsidTr="00973387">
        <w:trPr>
          <w:trHeight w:val="340"/>
        </w:trPr>
        <w:tc>
          <w:tcPr>
            <w:tcW w:w="4111" w:type="dxa"/>
          </w:tcPr>
          <w:p w14:paraId="51591C56" w14:textId="77777777" w:rsidR="00BF4B47" w:rsidRPr="00E60F5C" w:rsidRDefault="00BF4B47" w:rsidP="008D2B66">
            <w:pPr>
              <w:spacing w:line="240" w:lineRule="auto"/>
              <w:rPr>
                <w:sz w:val="24"/>
                <w:szCs w:val="24"/>
              </w:rPr>
            </w:pPr>
            <w:r w:rsidRPr="00E60F5C">
              <w:rPr>
                <w:sz w:val="24"/>
                <w:szCs w:val="24"/>
              </w:rPr>
              <w:t>First serve-return effectiveness (%)</w:t>
            </w:r>
          </w:p>
        </w:tc>
        <w:tc>
          <w:tcPr>
            <w:tcW w:w="10206" w:type="dxa"/>
          </w:tcPr>
          <w:p w14:paraId="62A0EFE6" w14:textId="77777777" w:rsidR="00BF4B47" w:rsidRPr="00E60F5C" w:rsidRDefault="00BF4B47" w:rsidP="008D2B66">
            <w:pPr>
              <w:spacing w:line="240" w:lineRule="auto"/>
              <w:rPr>
                <w:sz w:val="24"/>
                <w:szCs w:val="24"/>
              </w:rPr>
            </w:pPr>
            <w:r w:rsidRPr="00E60F5C">
              <w:rPr>
                <w:sz w:val="24"/>
                <w:szCs w:val="24"/>
              </w:rPr>
              <w:t>Number of effective first serve-returns (return winner, neutral/defensive ball three)/number of first serve-return points played (x100)</w:t>
            </w:r>
          </w:p>
        </w:tc>
      </w:tr>
      <w:tr w:rsidR="00BF4B47" w:rsidRPr="00BF4B47" w14:paraId="63C69A6B" w14:textId="77777777" w:rsidTr="00973387">
        <w:trPr>
          <w:trHeight w:val="340"/>
        </w:trPr>
        <w:tc>
          <w:tcPr>
            <w:tcW w:w="4111" w:type="dxa"/>
          </w:tcPr>
          <w:p w14:paraId="14F2B36A" w14:textId="77777777" w:rsidR="00BF4B47" w:rsidRPr="00E60F5C" w:rsidRDefault="00BF4B47" w:rsidP="008D2B66">
            <w:pPr>
              <w:spacing w:line="240" w:lineRule="auto"/>
              <w:rPr>
                <w:sz w:val="24"/>
                <w:szCs w:val="24"/>
              </w:rPr>
            </w:pPr>
            <w:r w:rsidRPr="00E60F5C">
              <w:rPr>
                <w:sz w:val="24"/>
                <w:szCs w:val="24"/>
              </w:rPr>
              <w:t>Second serve-return points won (%)</w:t>
            </w:r>
          </w:p>
        </w:tc>
        <w:tc>
          <w:tcPr>
            <w:tcW w:w="10206" w:type="dxa"/>
          </w:tcPr>
          <w:p w14:paraId="3DD9B376" w14:textId="77777777" w:rsidR="00BF4B47" w:rsidRPr="00E60F5C" w:rsidRDefault="00BF4B47" w:rsidP="008D2B66">
            <w:pPr>
              <w:spacing w:line="240" w:lineRule="auto"/>
              <w:rPr>
                <w:sz w:val="24"/>
                <w:szCs w:val="24"/>
              </w:rPr>
            </w:pPr>
            <w:r w:rsidRPr="00E60F5C">
              <w:rPr>
                <w:sz w:val="24"/>
                <w:szCs w:val="24"/>
              </w:rPr>
              <w:t>Number of second serve-return points won/number of second serve-return points played (x100)</w:t>
            </w:r>
          </w:p>
        </w:tc>
      </w:tr>
      <w:tr w:rsidR="00BF4B47" w:rsidRPr="00BF4B47" w14:paraId="2F233F22" w14:textId="77777777" w:rsidTr="00973387">
        <w:trPr>
          <w:trHeight w:val="340"/>
        </w:trPr>
        <w:tc>
          <w:tcPr>
            <w:tcW w:w="4111" w:type="dxa"/>
          </w:tcPr>
          <w:p w14:paraId="551EF1EE" w14:textId="77777777" w:rsidR="00BF4B47" w:rsidRPr="00E60F5C" w:rsidRDefault="00BF4B47" w:rsidP="008D2B66">
            <w:pPr>
              <w:spacing w:line="240" w:lineRule="auto"/>
              <w:rPr>
                <w:sz w:val="24"/>
                <w:szCs w:val="24"/>
              </w:rPr>
            </w:pPr>
            <w:r w:rsidRPr="00E60F5C">
              <w:rPr>
                <w:sz w:val="24"/>
                <w:szCs w:val="24"/>
              </w:rPr>
              <w:t>Second serve-return effectiveness (%)</w:t>
            </w:r>
          </w:p>
        </w:tc>
        <w:tc>
          <w:tcPr>
            <w:tcW w:w="10206" w:type="dxa"/>
          </w:tcPr>
          <w:p w14:paraId="1F34295B" w14:textId="77777777" w:rsidR="00BF4B47" w:rsidRPr="00E60F5C" w:rsidRDefault="00BF4B47" w:rsidP="008D2B66">
            <w:pPr>
              <w:spacing w:line="240" w:lineRule="auto"/>
              <w:rPr>
                <w:sz w:val="24"/>
                <w:szCs w:val="24"/>
              </w:rPr>
            </w:pPr>
            <w:r w:rsidRPr="00E60F5C">
              <w:rPr>
                <w:sz w:val="24"/>
                <w:szCs w:val="24"/>
              </w:rPr>
              <w:t>Number of effective second serve-returns (return winner, neutral/defensive ball three)/number of second serve-return points played (x100)</w:t>
            </w:r>
          </w:p>
        </w:tc>
      </w:tr>
      <w:tr w:rsidR="00BF4B47" w:rsidRPr="00BF4B47" w14:paraId="649A7715" w14:textId="77777777" w:rsidTr="00973387">
        <w:trPr>
          <w:trHeight w:val="340"/>
        </w:trPr>
        <w:tc>
          <w:tcPr>
            <w:tcW w:w="4111" w:type="dxa"/>
          </w:tcPr>
          <w:p w14:paraId="7639C23B" w14:textId="77777777" w:rsidR="00BF4B47" w:rsidRPr="00E60F5C" w:rsidRDefault="00BF4B47" w:rsidP="008D2B66">
            <w:pPr>
              <w:spacing w:line="240" w:lineRule="auto"/>
              <w:rPr>
                <w:sz w:val="24"/>
                <w:szCs w:val="24"/>
              </w:rPr>
            </w:pPr>
            <w:r w:rsidRPr="00E60F5C">
              <w:rPr>
                <w:sz w:val="24"/>
                <w:szCs w:val="24"/>
              </w:rPr>
              <w:t>Break points won (%)</w:t>
            </w:r>
          </w:p>
        </w:tc>
        <w:tc>
          <w:tcPr>
            <w:tcW w:w="10206" w:type="dxa"/>
          </w:tcPr>
          <w:p w14:paraId="20DD4B32" w14:textId="77777777" w:rsidR="00BF4B47" w:rsidRPr="00E60F5C" w:rsidRDefault="00BF4B47" w:rsidP="008D2B66">
            <w:pPr>
              <w:spacing w:line="240" w:lineRule="auto"/>
              <w:rPr>
                <w:sz w:val="24"/>
                <w:szCs w:val="24"/>
              </w:rPr>
            </w:pPr>
            <w:r w:rsidRPr="00E60F5C">
              <w:rPr>
                <w:sz w:val="24"/>
                <w:szCs w:val="24"/>
              </w:rPr>
              <w:t>Number of break points won as returner/number of break points played as returner (x100)</w:t>
            </w:r>
          </w:p>
        </w:tc>
      </w:tr>
      <w:tr w:rsidR="00BF4B47" w:rsidRPr="00BF4B47" w14:paraId="1800803E" w14:textId="77777777" w:rsidTr="00973387">
        <w:trPr>
          <w:trHeight w:val="340"/>
        </w:trPr>
        <w:tc>
          <w:tcPr>
            <w:tcW w:w="4111" w:type="dxa"/>
          </w:tcPr>
          <w:p w14:paraId="14D74A22" w14:textId="77777777" w:rsidR="00BF4B47" w:rsidRPr="00E60F5C" w:rsidRDefault="00BF4B47" w:rsidP="008D2B66">
            <w:pPr>
              <w:spacing w:line="240" w:lineRule="auto"/>
              <w:rPr>
                <w:sz w:val="24"/>
                <w:szCs w:val="24"/>
              </w:rPr>
            </w:pPr>
            <w:r w:rsidRPr="00E60F5C">
              <w:rPr>
                <w:sz w:val="24"/>
                <w:szCs w:val="24"/>
              </w:rPr>
              <w:t>B3 FH (%)</w:t>
            </w:r>
          </w:p>
        </w:tc>
        <w:tc>
          <w:tcPr>
            <w:tcW w:w="10206" w:type="dxa"/>
          </w:tcPr>
          <w:p w14:paraId="2243A43D" w14:textId="77777777" w:rsidR="00BF4B47" w:rsidRPr="00E60F5C" w:rsidRDefault="00BF4B47" w:rsidP="008D2B66">
            <w:pPr>
              <w:spacing w:line="240" w:lineRule="auto"/>
              <w:rPr>
                <w:sz w:val="24"/>
                <w:szCs w:val="24"/>
              </w:rPr>
            </w:pPr>
            <w:r w:rsidRPr="00E60F5C">
              <w:rPr>
                <w:sz w:val="24"/>
                <w:szCs w:val="24"/>
              </w:rPr>
              <w:t>Number of ball three shots hit with a forehand/number of rally points played (x100)</w:t>
            </w:r>
          </w:p>
        </w:tc>
      </w:tr>
      <w:tr w:rsidR="00BF4B47" w:rsidRPr="00BF4B47" w14:paraId="0899D58C" w14:textId="77777777" w:rsidTr="00973387">
        <w:trPr>
          <w:trHeight w:val="340"/>
        </w:trPr>
        <w:tc>
          <w:tcPr>
            <w:tcW w:w="4111" w:type="dxa"/>
          </w:tcPr>
          <w:p w14:paraId="66449A52" w14:textId="01A43EE3" w:rsidR="00BF4B47" w:rsidRPr="00E60F5C" w:rsidRDefault="00BF4B47" w:rsidP="008D2B66">
            <w:pPr>
              <w:spacing w:line="240" w:lineRule="auto"/>
              <w:rPr>
                <w:sz w:val="24"/>
                <w:szCs w:val="24"/>
              </w:rPr>
            </w:pPr>
            <w:r w:rsidRPr="00E60F5C">
              <w:rPr>
                <w:sz w:val="24"/>
                <w:szCs w:val="24"/>
              </w:rPr>
              <w:t>B3 Attacking</w:t>
            </w:r>
            <w:r w:rsidR="00E60F5C" w:rsidRPr="00E60F5C">
              <w:rPr>
                <w:sz w:val="24"/>
                <w:szCs w:val="24"/>
              </w:rPr>
              <w:t>, Neutral or Defensive</w:t>
            </w:r>
            <w:r w:rsidRPr="00E60F5C">
              <w:rPr>
                <w:sz w:val="24"/>
                <w:szCs w:val="24"/>
              </w:rPr>
              <w:t xml:space="preserve"> (%)</w:t>
            </w:r>
          </w:p>
        </w:tc>
        <w:tc>
          <w:tcPr>
            <w:tcW w:w="10206" w:type="dxa"/>
          </w:tcPr>
          <w:p w14:paraId="70E126C9" w14:textId="7095191D" w:rsidR="00BF4B47" w:rsidRPr="00E60F5C" w:rsidRDefault="00BF4B47" w:rsidP="008D2B66">
            <w:pPr>
              <w:spacing w:line="240" w:lineRule="auto"/>
              <w:rPr>
                <w:sz w:val="24"/>
                <w:szCs w:val="24"/>
              </w:rPr>
            </w:pPr>
            <w:r w:rsidRPr="00E60F5C">
              <w:rPr>
                <w:sz w:val="24"/>
                <w:szCs w:val="24"/>
              </w:rPr>
              <w:t>Number of ball three shots hit in an attacking</w:t>
            </w:r>
            <w:r w:rsidR="00E60F5C" w:rsidRPr="00E60F5C">
              <w:rPr>
                <w:sz w:val="24"/>
                <w:szCs w:val="24"/>
              </w:rPr>
              <w:t xml:space="preserve"> [or neutral, or defensive]</w:t>
            </w:r>
            <w:r w:rsidRPr="00E60F5C">
              <w:rPr>
                <w:sz w:val="24"/>
                <w:szCs w:val="24"/>
              </w:rPr>
              <w:t xml:space="preserve"> situation/number of rally points played (x100)</w:t>
            </w:r>
          </w:p>
        </w:tc>
      </w:tr>
      <w:tr w:rsidR="00BF4B47" w:rsidRPr="00BF4B47" w14:paraId="68608113" w14:textId="77777777" w:rsidTr="00973387">
        <w:trPr>
          <w:trHeight w:val="340"/>
        </w:trPr>
        <w:tc>
          <w:tcPr>
            <w:tcW w:w="4111" w:type="dxa"/>
          </w:tcPr>
          <w:p w14:paraId="2000868A" w14:textId="77777777" w:rsidR="00BF4B47" w:rsidRPr="00E60F5C" w:rsidRDefault="00BF4B47" w:rsidP="008D2B66">
            <w:pPr>
              <w:spacing w:line="240" w:lineRule="auto"/>
              <w:rPr>
                <w:sz w:val="24"/>
                <w:szCs w:val="24"/>
              </w:rPr>
            </w:pPr>
            <w:r w:rsidRPr="00E60F5C">
              <w:rPr>
                <w:sz w:val="24"/>
                <w:szCs w:val="24"/>
              </w:rPr>
              <w:t>Baseline points won (%)</w:t>
            </w:r>
          </w:p>
        </w:tc>
        <w:tc>
          <w:tcPr>
            <w:tcW w:w="10206" w:type="dxa"/>
          </w:tcPr>
          <w:p w14:paraId="4F361215" w14:textId="487BFB5A" w:rsidR="00BF4B47" w:rsidRPr="00E60F5C" w:rsidRDefault="00BF4B47" w:rsidP="008D2B66">
            <w:pPr>
              <w:spacing w:line="240" w:lineRule="auto"/>
              <w:rPr>
                <w:sz w:val="24"/>
                <w:szCs w:val="24"/>
              </w:rPr>
            </w:pPr>
            <w:r w:rsidRPr="00E60F5C">
              <w:rPr>
                <w:sz w:val="24"/>
                <w:szCs w:val="24"/>
              </w:rPr>
              <w:t>Number of baseline points won/number of baseline points played (x100)</w:t>
            </w:r>
          </w:p>
        </w:tc>
      </w:tr>
      <w:tr w:rsidR="00BF4B47" w:rsidRPr="00BF4B47" w14:paraId="47FA943C" w14:textId="77777777" w:rsidTr="00973387">
        <w:trPr>
          <w:trHeight w:val="340"/>
        </w:trPr>
        <w:tc>
          <w:tcPr>
            <w:tcW w:w="4111" w:type="dxa"/>
          </w:tcPr>
          <w:p w14:paraId="5944A0C0" w14:textId="77777777" w:rsidR="00BF4B47" w:rsidRPr="00E60F5C" w:rsidRDefault="00BF4B47" w:rsidP="008D2B66">
            <w:pPr>
              <w:spacing w:line="240" w:lineRule="auto"/>
              <w:rPr>
                <w:sz w:val="24"/>
                <w:szCs w:val="24"/>
              </w:rPr>
            </w:pPr>
            <w:r w:rsidRPr="00E60F5C">
              <w:rPr>
                <w:sz w:val="24"/>
                <w:szCs w:val="24"/>
              </w:rPr>
              <w:t>Net points won (%)</w:t>
            </w:r>
          </w:p>
        </w:tc>
        <w:tc>
          <w:tcPr>
            <w:tcW w:w="10206" w:type="dxa"/>
          </w:tcPr>
          <w:p w14:paraId="38D7C057" w14:textId="77777777" w:rsidR="00BF4B47" w:rsidRPr="00E60F5C" w:rsidRDefault="00BF4B47" w:rsidP="008D2B66">
            <w:pPr>
              <w:spacing w:line="240" w:lineRule="auto"/>
              <w:rPr>
                <w:sz w:val="24"/>
                <w:szCs w:val="24"/>
              </w:rPr>
            </w:pPr>
            <w:r w:rsidRPr="00E60F5C">
              <w:rPr>
                <w:sz w:val="24"/>
                <w:szCs w:val="24"/>
              </w:rPr>
              <w:t>Number of net points won/number of net points played (x100)</w:t>
            </w:r>
          </w:p>
        </w:tc>
      </w:tr>
      <w:tr w:rsidR="00BF4B47" w:rsidRPr="00BF4B47" w14:paraId="7F35E3A9" w14:textId="77777777" w:rsidTr="00973387">
        <w:trPr>
          <w:trHeight w:val="340"/>
        </w:trPr>
        <w:tc>
          <w:tcPr>
            <w:tcW w:w="4111" w:type="dxa"/>
          </w:tcPr>
          <w:p w14:paraId="73159856" w14:textId="3289F655" w:rsidR="00BF4B47" w:rsidRPr="00E60F5C" w:rsidRDefault="00A25A86" w:rsidP="008D2B66">
            <w:pPr>
              <w:spacing w:line="240" w:lineRule="auto"/>
              <w:rPr>
                <w:sz w:val="24"/>
                <w:szCs w:val="24"/>
              </w:rPr>
            </w:pPr>
            <w:r>
              <w:rPr>
                <w:sz w:val="24"/>
                <w:szCs w:val="24"/>
              </w:rPr>
              <w:t>Winners:UE</w:t>
            </w:r>
            <w:r w:rsidR="00BF4B47" w:rsidRPr="00E60F5C">
              <w:rPr>
                <w:sz w:val="24"/>
                <w:szCs w:val="24"/>
              </w:rPr>
              <w:t xml:space="preserve"> Ratio (%)</w:t>
            </w:r>
          </w:p>
        </w:tc>
        <w:tc>
          <w:tcPr>
            <w:tcW w:w="10206" w:type="dxa"/>
          </w:tcPr>
          <w:p w14:paraId="1E821394" w14:textId="27CB2721" w:rsidR="00BF4B47" w:rsidRPr="00E60F5C" w:rsidRDefault="00BF4B47" w:rsidP="008D2B66">
            <w:pPr>
              <w:spacing w:line="240" w:lineRule="auto"/>
              <w:rPr>
                <w:sz w:val="24"/>
                <w:szCs w:val="24"/>
              </w:rPr>
            </w:pPr>
            <w:r w:rsidRPr="00E60F5C">
              <w:rPr>
                <w:sz w:val="24"/>
                <w:szCs w:val="24"/>
              </w:rPr>
              <w:t xml:space="preserve">Number of </w:t>
            </w:r>
            <w:proofErr w:type="spellStart"/>
            <w:r w:rsidRPr="00E60F5C">
              <w:rPr>
                <w:sz w:val="24"/>
                <w:szCs w:val="24"/>
              </w:rPr>
              <w:t>winners</w:t>
            </w:r>
            <w:r w:rsidR="00D4487E">
              <w:rPr>
                <w:sz w:val="24"/>
                <w:szCs w:val="24"/>
              </w:rPr>
              <w:t>:</w:t>
            </w:r>
            <w:r w:rsidRPr="00E60F5C">
              <w:rPr>
                <w:sz w:val="24"/>
                <w:szCs w:val="24"/>
              </w:rPr>
              <w:t>number</w:t>
            </w:r>
            <w:proofErr w:type="spellEnd"/>
            <w:r w:rsidRPr="00E60F5C">
              <w:rPr>
                <w:sz w:val="24"/>
                <w:szCs w:val="24"/>
              </w:rPr>
              <w:t xml:space="preserve"> of unforced errors (x100)</w:t>
            </w:r>
          </w:p>
        </w:tc>
      </w:tr>
      <w:tr w:rsidR="00BF4B47" w:rsidRPr="00BF4B47" w14:paraId="00DF3F07" w14:textId="77777777" w:rsidTr="00973387">
        <w:trPr>
          <w:trHeight w:val="340"/>
        </w:trPr>
        <w:tc>
          <w:tcPr>
            <w:tcW w:w="4111" w:type="dxa"/>
          </w:tcPr>
          <w:p w14:paraId="516BD4DC" w14:textId="77777777" w:rsidR="00BF4B47" w:rsidRPr="00E60F5C" w:rsidRDefault="00BF4B47" w:rsidP="008D2B66">
            <w:pPr>
              <w:spacing w:line="240" w:lineRule="auto"/>
              <w:rPr>
                <w:sz w:val="24"/>
                <w:szCs w:val="24"/>
              </w:rPr>
            </w:pPr>
            <w:r w:rsidRPr="00E60F5C">
              <w:rPr>
                <w:sz w:val="24"/>
                <w:szCs w:val="24"/>
              </w:rPr>
              <w:t>Forced errors (%)</w:t>
            </w:r>
          </w:p>
        </w:tc>
        <w:tc>
          <w:tcPr>
            <w:tcW w:w="10206" w:type="dxa"/>
          </w:tcPr>
          <w:p w14:paraId="30D1EF8A" w14:textId="77777777" w:rsidR="00BF4B47" w:rsidRPr="00E60F5C" w:rsidRDefault="00BF4B47" w:rsidP="008D2B66">
            <w:pPr>
              <w:spacing w:line="240" w:lineRule="auto"/>
              <w:rPr>
                <w:sz w:val="24"/>
                <w:szCs w:val="24"/>
              </w:rPr>
            </w:pPr>
            <w:r w:rsidRPr="00E60F5C">
              <w:rPr>
                <w:sz w:val="24"/>
                <w:szCs w:val="24"/>
              </w:rPr>
              <w:t>Number of forced errors/number of rally points played (x100)</w:t>
            </w:r>
          </w:p>
        </w:tc>
      </w:tr>
      <w:tr w:rsidR="00BF4B47" w:rsidRPr="00BF4B47" w14:paraId="32A6BA56" w14:textId="77777777" w:rsidTr="00973387">
        <w:trPr>
          <w:trHeight w:val="340"/>
        </w:trPr>
        <w:tc>
          <w:tcPr>
            <w:tcW w:w="4111" w:type="dxa"/>
          </w:tcPr>
          <w:p w14:paraId="0F81A45F" w14:textId="77777777" w:rsidR="00BF4B47" w:rsidRPr="00E60F5C" w:rsidRDefault="00BF4B47" w:rsidP="008D2B66">
            <w:pPr>
              <w:spacing w:line="240" w:lineRule="auto"/>
              <w:rPr>
                <w:sz w:val="24"/>
                <w:szCs w:val="24"/>
              </w:rPr>
            </w:pPr>
            <w:r w:rsidRPr="00E60F5C">
              <w:rPr>
                <w:sz w:val="24"/>
                <w:szCs w:val="24"/>
              </w:rPr>
              <w:t>Points won of 0-4 rally length (%)</w:t>
            </w:r>
          </w:p>
        </w:tc>
        <w:tc>
          <w:tcPr>
            <w:tcW w:w="10206" w:type="dxa"/>
          </w:tcPr>
          <w:p w14:paraId="7B8B8629" w14:textId="2AEC4469" w:rsidR="00BF4B47" w:rsidRPr="00E60F5C" w:rsidRDefault="00BF4B47" w:rsidP="008D2B66">
            <w:pPr>
              <w:spacing w:line="240" w:lineRule="auto"/>
              <w:rPr>
                <w:sz w:val="24"/>
                <w:szCs w:val="24"/>
              </w:rPr>
            </w:pPr>
            <w:r w:rsidRPr="00E60F5C">
              <w:rPr>
                <w:sz w:val="24"/>
                <w:szCs w:val="24"/>
              </w:rPr>
              <w:t>Number of points won of 0-4 rally length/number of points played of 0-4 rally length (x100)</w:t>
            </w:r>
          </w:p>
        </w:tc>
      </w:tr>
      <w:tr w:rsidR="00BF4B47" w:rsidRPr="00BF4B47" w14:paraId="18CD2322" w14:textId="77777777" w:rsidTr="00973387">
        <w:trPr>
          <w:trHeight w:val="340"/>
        </w:trPr>
        <w:tc>
          <w:tcPr>
            <w:tcW w:w="4111" w:type="dxa"/>
          </w:tcPr>
          <w:p w14:paraId="41473275" w14:textId="77777777" w:rsidR="00BF4B47" w:rsidRPr="00E60F5C" w:rsidRDefault="00BF4B47" w:rsidP="008D2B66">
            <w:pPr>
              <w:spacing w:line="240" w:lineRule="auto"/>
              <w:rPr>
                <w:sz w:val="24"/>
                <w:szCs w:val="24"/>
              </w:rPr>
            </w:pPr>
            <w:r w:rsidRPr="00E60F5C">
              <w:rPr>
                <w:sz w:val="24"/>
                <w:szCs w:val="24"/>
              </w:rPr>
              <w:t>Points won of 5-8 rally length (%)</w:t>
            </w:r>
          </w:p>
        </w:tc>
        <w:tc>
          <w:tcPr>
            <w:tcW w:w="10206" w:type="dxa"/>
          </w:tcPr>
          <w:p w14:paraId="63679BB4" w14:textId="0D55AD76" w:rsidR="00BF4B47" w:rsidRPr="00E60F5C" w:rsidRDefault="00BF4B47" w:rsidP="008D2B66">
            <w:pPr>
              <w:spacing w:line="240" w:lineRule="auto"/>
              <w:rPr>
                <w:sz w:val="24"/>
                <w:szCs w:val="24"/>
              </w:rPr>
            </w:pPr>
            <w:r w:rsidRPr="00E60F5C">
              <w:rPr>
                <w:sz w:val="24"/>
                <w:szCs w:val="24"/>
              </w:rPr>
              <w:t>Number of points won of 5-8 rally length /number of points played of 5-8 rally length (x100)</w:t>
            </w:r>
          </w:p>
        </w:tc>
      </w:tr>
      <w:tr w:rsidR="00BF4B47" w:rsidRPr="00BF4B47" w14:paraId="3721C130" w14:textId="77777777" w:rsidTr="00973387">
        <w:trPr>
          <w:trHeight w:val="340"/>
        </w:trPr>
        <w:tc>
          <w:tcPr>
            <w:tcW w:w="4111" w:type="dxa"/>
            <w:tcBorders>
              <w:bottom w:val="single" w:sz="4" w:space="0" w:color="auto"/>
            </w:tcBorders>
          </w:tcPr>
          <w:p w14:paraId="10C9818F" w14:textId="2B4614FA" w:rsidR="00BF4B47" w:rsidRPr="00E60F5C" w:rsidRDefault="00BF4B47" w:rsidP="008D2B66">
            <w:pPr>
              <w:spacing w:line="240" w:lineRule="auto"/>
              <w:rPr>
                <w:sz w:val="24"/>
                <w:szCs w:val="24"/>
              </w:rPr>
            </w:pPr>
            <w:r w:rsidRPr="00E60F5C">
              <w:rPr>
                <w:sz w:val="24"/>
                <w:szCs w:val="24"/>
              </w:rPr>
              <w:t>Points won of 9+ rally length (%)</w:t>
            </w:r>
          </w:p>
        </w:tc>
        <w:tc>
          <w:tcPr>
            <w:tcW w:w="10206" w:type="dxa"/>
            <w:tcBorders>
              <w:bottom w:val="single" w:sz="4" w:space="0" w:color="auto"/>
            </w:tcBorders>
          </w:tcPr>
          <w:p w14:paraId="1D7BF2E3" w14:textId="0DEE62EC" w:rsidR="00BF4B47" w:rsidRPr="00E60F5C" w:rsidRDefault="00BF4B47" w:rsidP="008D2B66">
            <w:pPr>
              <w:spacing w:line="240" w:lineRule="auto"/>
              <w:rPr>
                <w:sz w:val="24"/>
                <w:szCs w:val="24"/>
              </w:rPr>
            </w:pPr>
            <w:r w:rsidRPr="00E60F5C">
              <w:rPr>
                <w:sz w:val="24"/>
                <w:szCs w:val="24"/>
              </w:rPr>
              <w:t>Number of points won of 9+ rally length /number of points played of 9+ rally length (x100)</w:t>
            </w:r>
          </w:p>
        </w:tc>
      </w:tr>
    </w:tbl>
    <w:p w14:paraId="541C1D1D" w14:textId="499B00BA" w:rsidR="00BF4B47" w:rsidRDefault="00BF4B47" w:rsidP="00E60F5C">
      <w:pPr>
        <w:spacing w:line="240" w:lineRule="auto"/>
      </w:pPr>
      <w:r>
        <w:t xml:space="preserve">Table 1 – </w:t>
      </w:r>
      <w:r w:rsidRPr="00E60F5C">
        <w:t xml:space="preserve">Equations used to </w:t>
      </w:r>
      <w:r w:rsidR="00E60F5C" w:rsidRPr="00E60F5C">
        <w:t xml:space="preserve">generate normalised </w:t>
      </w:r>
      <w:r w:rsidR="00E33BB3">
        <w:t xml:space="preserve">performance indicator </w:t>
      </w:r>
      <w:r w:rsidR="00E60F5C" w:rsidRPr="00E60F5C">
        <w:t>data in relation to overall match performance.</w:t>
      </w:r>
    </w:p>
    <w:p w14:paraId="702A768A" w14:textId="77777777" w:rsidR="00BF4B47" w:rsidRDefault="00BF4B47" w:rsidP="00E049E5">
      <w:pPr>
        <w:jc w:val="both"/>
      </w:pPr>
    </w:p>
    <w:p w14:paraId="24FD164C" w14:textId="77777777" w:rsidR="00BF4B47" w:rsidRDefault="00BF4B47" w:rsidP="00E049E5">
      <w:pPr>
        <w:jc w:val="both"/>
        <w:sectPr w:rsidR="00BF4B47" w:rsidSect="000B63DE">
          <w:pgSz w:w="16838" w:h="11906" w:orient="landscape"/>
          <w:pgMar w:top="1440" w:right="1440" w:bottom="1440" w:left="1440" w:header="708" w:footer="708" w:gutter="0"/>
          <w:lnNumType w:countBy="1" w:restart="continuous"/>
          <w:cols w:space="708"/>
          <w:docGrid w:linePitch="360"/>
        </w:sectPr>
      </w:pPr>
    </w:p>
    <w:p w14:paraId="294BE835" w14:textId="77777777" w:rsidR="00C96045" w:rsidRPr="00C96045" w:rsidRDefault="00C96045" w:rsidP="00E049E5">
      <w:pPr>
        <w:jc w:val="both"/>
        <w:rPr>
          <w:b/>
          <w:bCs/>
        </w:rPr>
      </w:pPr>
      <w:r w:rsidRPr="00C96045">
        <w:rPr>
          <w:b/>
          <w:bCs/>
        </w:rPr>
        <w:lastRenderedPageBreak/>
        <w:t>Reliability Testing</w:t>
      </w:r>
    </w:p>
    <w:p w14:paraId="7D9F1A9C" w14:textId="4737B823" w:rsidR="00C96045" w:rsidRDefault="00C87869" w:rsidP="00C96045">
      <w:pPr>
        <w:jc w:val="both"/>
      </w:pPr>
      <w:r w:rsidRPr="009D750E">
        <w:t xml:space="preserve">Inter-rater variability can occur due to the subjective nature of the tagging process, hence inter-rater reliability testing </w:t>
      </w:r>
      <w:r w:rsidR="00E049E5">
        <w:t>was used to establish the agreement</w:t>
      </w:r>
      <w:r w:rsidRPr="009D750E">
        <w:t xml:space="preserve"> between the lead researcher and the other taggers</w:t>
      </w:r>
      <w:r w:rsidR="00E049E5">
        <w:t xml:space="preserve"> involved</w:t>
      </w:r>
      <w:r w:rsidRPr="009D750E">
        <w:t>. As performed by Fitzpatrick et al.</w:t>
      </w:r>
      <w:r w:rsidR="00A62CDC" w:rsidRPr="00A62CDC">
        <w:rPr>
          <w:vertAlign w:val="superscript"/>
        </w:rPr>
        <w:t>9</w:t>
      </w:r>
      <w:r w:rsidRPr="009D750E">
        <w:t>, the lead researcher re-tag</w:t>
      </w:r>
      <w:r>
        <w:t>ged</w:t>
      </w:r>
      <w:r w:rsidRPr="009D750E">
        <w:t xml:space="preserve"> eight matches using Dartfish </w:t>
      </w:r>
      <w:r>
        <w:t>(</w:t>
      </w:r>
      <w:r w:rsidRPr="009D750E">
        <w:t>Live S</w:t>
      </w:r>
      <w:r>
        <w:t xml:space="preserve">) </w:t>
      </w:r>
      <w:r w:rsidR="00E049E5">
        <w:t xml:space="preserve">in conjunction with the same </w:t>
      </w:r>
      <w:r>
        <w:t>custom tagging panel</w:t>
      </w:r>
      <w:r w:rsidRPr="009D750E">
        <w:t xml:space="preserve">. Inter-rater reliability </w:t>
      </w:r>
      <w:r>
        <w:t>was</w:t>
      </w:r>
      <w:r w:rsidRPr="009D750E">
        <w:t xml:space="preserve"> then assessed using Cohen’s kappa coefficient.</w:t>
      </w:r>
      <w:r w:rsidR="00A62CDC" w:rsidRPr="00A62CDC">
        <w:rPr>
          <w:vertAlign w:val="superscript"/>
        </w:rPr>
        <w:t>25</w:t>
      </w:r>
      <w:r w:rsidR="00E049E5">
        <w:t xml:space="preserve"> </w:t>
      </w:r>
      <w:r>
        <w:t xml:space="preserve">Cohen’s kappa coefficient was </w:t>
      </w:r>
      <w:r w:rsidRPr="009D750E">
        <w:t>κ</w:t>
      </w:r>
      <w:r>
        <w:rPr>
          <w:i/>
          <w:iCs/>
        </w:rPr>
        <w:t xml:space="preserve"> </w:t>
      </w:r>
      <w:r>
        <w:t>= 0.94</w:t>
      </w:r>
      <w:r w:rsidR="00473A0E">
        <w:t xml:space="preserve"> demonstrating ‘E</w:t>
      </w:r>
      <w:r>
        <w:t>xcellent</w:t>
      </w:r>
      <w:r w:rsidR="00473A0E">
        <w:t>’ agreement</w:t>
      </w:r>
      <w:r>
        <w:t>.</w:t>
      </w:r>
    </w:p>
    <w:p w14:paraId="682689BC" w14:textId="77777777" w:rsidR="00C96045" w:rsidRDefault="00C96045" w:rsidP="00C96045">
      <w:pPr>
        <w:jc w:val="both"/>
      </w:pPr>
    </w:p>
    <w:p w14:paraId="048570ED" w14:textId="58B9BA22" w:rsidR="00C87869" w:rsidRPr="00C96045" w:rsidRDefault="00900F61" w:rsidP="00C96045">
      <w:pPr>
        <w:jc w:val="both"/>
        <w:rPr>
          <w:b/>
          <w:bCs/>
        </w:rPr>
      </w:pPr>
      <w:r w:rsidRPr="00C96045">
        <w:rPr>
          <w:b/>
          <w:bCs/>
        </w:rPr>
        <w:t xml:space="preserve">PWOL Method and </w:t>
      </w:r>
      <w:r w:rsidR="00C87869" w:rsidRPr="00C96045">
        <w:rPr>
          <w:b/>
          <w:bCs/>
        </w:rPr>
        <w:t xml:space="preserve">Statistical </w:t>
      </w:r>
      <w:r w:rsidRPr="00C96045">
        <w:rPr>
          <w:b/>
          <w:bCs/>
        </w:rPr>
        <w:t>A</w:t>
      </w:r>
      <w:r w:rsidR="00C87869" w:rsidRPr="00C96045">
        <w:rPr>
          <w:b/>
          <w:bCs/>
        </w:rPr>
        <w:t>nalyses</w:t>
      </w:r>
    </w:p>
    <w:p w14:paraId="0E49EAF3" w14:textId="1B98EC2A" w:rsidR="00C87869" w:rsidRDefault="00C87869" w:rsidP="00C96045">
      <w:pPr>
        <w:jc w:val="both"/>
      </w:pPr>
      <w:r w:rsidRPr="009D750E">
        <w:t>P</w:t>
      </w:r>
      <w:r w:rsidR="009016B9">
        <w:t>ercentage of matches which the winner outscored the loser (P</w:t>
      </w:r>
      <w:r w:rsidRPr="009D750E">
        <w:t>WOL</w:t>
      </w:r>
      <w:r w:rsidR="009016B9">
        <w:t>)</w:t>
      </w:r>
      <w:r w:rsidRPr="009D750E">
        <w:t xml:space="preserve"> is a method that compares the performance of the winning and losing player for each performance indicator to identify which player out</w:t>
      </w:r>
      <w:r w:rsidR="009016B9">
        <w:t>performed</w:t>
      </w:r>
      <w:r w:rsidRPr="009D750E">
        <w:t xml:space="preserve"> the other on a match-by-match basis. A percentage is calculated by dividing the number of matches the winner outscore</w:t>
      </w:r>
      <w:r w:rsidR="009016B9">
        <w:t>d</w:t>
      </w:r>
      <w:r w:rsidRPr="009D750E">
        <w:t xml:space="preserve"> the loser by the overall number of matches. A PWOL of 50% for a performance indicator has no association with success, whereas an increase towards 100% indicates a strong association with success (or winning), while any decrease towards 0% indicates a stronger association with failure (or losing). For example, if the winner has a first serve points won % greater than the loser in </w:t>
      </w:r>
      <w:r>
        <w:t>15</w:t>
      </w:r>
      <w:r w:rsidRPr="009D750E">
        <w:t xml:space="preserve">0 out of </w:t>
      </w:r>
      <w:r>
        <w:t>2</w:t>
      </w:r>
      <w:r w:rsidRPr="009D750E">
        <w:t xml:space="preserve">00 matches, the PWOL for this </w:t>
      </w:r>
      <w:r w:rsidR="009016B9">
        <w:t>indicator</w:t>
      </w:r>
      <w:r w:rsidRPr="009D750E">
        <w:t xml:space="preserve"> would be 75%. This process </w:t>
      </w:r>
      <w:r w:rsidR="009016B9">
        <w:t xml:space="preserve">was undertaken </w:t>
      </w:r>
      <w:r w:rsidRPr="009D750E">
        <w:t>for male and female players separately</w:t>
      </w:r>
      <w:r>
        <w:t xml:space="preserve">, with the prevalence of each performance indicator for winners and losers presented as </w:t>
      </w:r>
      <w:r w:rsidRPr="00B97A49">
        <w:t>mean ± SD where appropriate.</w:t>
      </w:r>
    </w:p>
    <w:p w14:paraId="50BB0EE2" w14:textId="41DA575A" w:rsidR="00C87869" w:rsidRDefault="00C87869" w:rsidP="00C96045">
      <w:pPr>
        <w:pStyle w:val="Newparagraph"/>
        <w:jc w:val="both"/>
        <w:rPr>
          <w:color w:val="000000" w:themeColor="text1"/>
        </w:rPr>
      </w:pPr>
      <w:r w:rsidRPr="009D750E">
        <w:t>The results from the PWOL method w</w:t>
      </w:r>
      <w:r>
        <w:t>ere</w:t>
      </w:r>
      <w:r w:rsidRPr="009D750E">
        <w:t xml:space="preserve"> compared to traditional statistical tests to reinforce validity. Data w</w:t>
      </w:r>
      <w:r>
        <w:t>ere</w:t>
      </w:r>
      <w:r w:rsidRPr="009D750E">
        <w:t xml:space="preserve"> imported into SPSS (v28.0, SPSS Inc., USA)</w:t>
      </w:r>
      <w:r>
        <w:t>. P</w:t>
      </w:r>
      <w:r w:rsidRPr="009D750E">
        <w:t>oint-biserial correlations</w:t>
      </w:r>
      <w:r>
        <w:t xml:space="preserve"> (</w:t>
      </w:r>
      <w:r w:rsidRPr="00D145EE">
        <w:rPr>
          <w:i/>
          <w:iCs/>
        </w:rPr>
        <w:t>r</w:t>
      </w:r>
      <w:r w:rsidRPr="00D145EE">
        <w:rPr>
          <w:i/>
          <w:iCs/>
          <w:vertAlign w:val="subscript"/>
        </w:rPr>
        <w:t>pb</w:t>
      </w:r>
      <w:r>
        <w:t>)</w:t>
      </w:r>
      <w:r w:rsidRPr="009D750E">
        <w:t xml:space="preserve"> </w:t>
      </w:r>
      <w:r>
        <w:t xml:space="preserve">were used </w:t>
      </w:r>
      <w:r w:rsidRPr="009D750E">
        <w:t xml:space="preserve">between match outcome and performance indicator to </w:t>
      </w:r>
      <w:r w:rsidR="009016B9">
        <w:t>ascertain</w:t>
      </w:r>
      <w:r w:rsidRPr="009D750E">
        <w:t xml:space="preserve"> association with match outcome</w:t>
      </w:r>
      <w:r w:rsidR="009016B9">
        <w:t>.</w:t>
      </w:r>
      <w:r w:rsidR="00A62CDC" w:rsidRPr="00A62CDC">
        <w:rPr>
          <w:vertAlign w:val="superscript"/>
        </w:rPr>
        <w:t>26-27</w:t>
      </w:r>
      <w:r>
        <w:t xml:space="preserve"> </w:t>
      </w:r>
      <w:r w:rsidRPr="00AD737F">
        <w:t>A</w:t>
      </w:r>
      <w:r w:rsidRPr="009D750E">
        <w:t xml:space="preserve"> paired </w:t>
      </w:r>
      <w:r>
        <w:rPr>
          <w:i/>
          <w:iCs/>
        </w:rPr>
        <w:t>t</w:t>
      </w:r>
      <w:r w:rsidRPr="009D750E">
        <w:t>-test</w:t>
      </w:r>
      <w:r>
        <w:t xml:space="preserve"> </w:t>
      </w:r>
      <w:r w:rsidRPr="009D750E">
        <w:t xml:space="preserve">comparing winners and losers </w:t>
      </w:r>
      <w:r w:rsidR="00900F61">
        <w:t>was</w:t>
      </w:r>
      <w:r w:rsidRPr="009D750E">
        <w:t xml:space="preserve"> completed</w:t>
      </w:r>
      <w:r>
        <w:t xml:space="preserve"> </w:t>
      </w:r>
      <w:r w:rsidR="00900F61">
        <w:t>where</w:t>
      </w:r>
      <w:r w:rsidRPr="009D750E">
        <w:t xml:space="preserve"> the t values</w:t>
      </w:r>
      <w:r w:rsidR="00900F61">
        <w:t xml:space="preserve"> were used</w:t>
      </w:r>
      <w:r w:rsidRPr="009D750E">
        <w:t xml:space="preserve"> to distinguish between the two groups</w:t>
      </w:r>
      <w:r w:rsidRPr="00FC5071">
        <w:rPr>
          <w:color w:val="000000" w:themeColor="text1"/>
        </w:rPr>
        <w:t>.</w:t>
      </w:r>
      <w:r w:rsidR="00A62CDC" w:rsidRPr="00A62CDC">
        <w:rPr>
          <w:color w:val="000000" w:themeColor="text1"/>
          <w:vertAlign w:val="superscript"/>
        </w:rPr>
        <w:t>27-28</w:t>
      </w:r>
      <w:r w:rsidRPr="00FC5071">
        <w:rPr>
          <w:color w:val="000000" w:themeColor="text1"/>
        </w:rPr>
        <w:t xml:space="preserve"> The greater </w:t>
      </w:r>
      <w:r w:rsidRPr="00FC5071">
        <w:rPr>
          <w:color w:val="000000" w:themeColor="text1"/>
        </w:rPr>
        <w:lastRenderedPageBreak/>
        <w:t xml:space="preserve">the </w:t>
      </w:r>
      <w:r w:rsidRPr="00FC5071">
        <w:rPr>
          <w:i/>
          <w:iCs/>
          <w:color w:val="000000" w:themeColor="text1"/>
        </w:rPr>
        <w:t xml:space="preserve">t </w:t>
      </w:r>
      <w:r w:rsidRPr="00FC5071">
        <w:rPr>
          <w:color w:val="000000" w:themeColor="text1"/>
        </w:rPr>
        <w:t>value, the more associated with an outcome it is (i.e. positive for winning, negative for losing), while a value close to zero</w:t>
      </w:r>
      <w:r w:rsidR="00FC5071" w:rsidRPr="00FC5071">
        <w:rPr>
          <w:color w:val="000000" w:themeColor="text1"/>
        </w:rPr>
        <w:t xml:space="preserve"> </w:t>
      </w:r>
      <w:r w:rsidRPr="00FC5071">
        <w:rPr>
          <w:color w:val="000000" w:themeColor="text1"/>
        </w:rPr>
        <w:t>suggest</w:t>
      </w:r>
      <w:r w:rsidR="00FC5071" w:rsidRPr="00FC5071">
        <w:rPr>
          <w:color w:val="000000" w:themeColor="text1"/>
        </w:rPr>
        <w:t>s</w:t>
      </w:r>
      <w:r w:rsidRPr="00FC5071">
        <w:rPr>
          <w:color w:val="000000" w:themeColor="text1"/>
        </w:rPr>
        <w:t xml:space="preserve"> no associat</w:t>
      </w:r>
      <w:r w:rsidR="00FC5071" w:rsidRPr="00FC5071">
        <w:rPr>
          <w:color w:val="000000" w:themeColor="text1"/>
        </w:rPr>
        <w:t>ion</w:t>
      </w:r>
      <w:r w:rsidRPr="00FC5071">
        <w:rPr>
          <w:color w:val="000000" w:themeColor="text1"/>
        </w:rPr>
        <w:t xml:space="preserve"> to match outcome. </w:t>
      </w:r>
      <w:r w:rsidR="00FC5071">
        <w:rPr>
          <w:color w:val="000000" w:themeColor="text1"/>
        </w:rPr>
        <w:t xml:space="preserve">The results of each method were used to illustrate relative importance of each indicator. To assess agreement </w:t>
      </w:r>
      <w:r w:rsidR="00FC5071" w:rsidRPr="00C96045">
        <w:rPr>
          <w:color w:val="000000" w:themeColor="text1"/>
        </w:rPr>
        <w:t xml:space="preserve">between the results of the methods (i.e., establish the </w:t>
      </w:r>
      <w:r w:rsidR="0039720D" w:rsidRPr="00C96045">
        <w:rPr>
          <w:color w:val="000000" w:themeColor="text1"/>
        </w:rPr>
        <w:t>validity</w:t>
      </w:r>
      <w:r w:rsidR="00FC5071" w:rsidRPr="00C96045">
        <w:rPr>
          <w:color w:val="000000" w:themeColor="text1"/>
        </w:rPr>
        <w:t xml:space="preserve"> of the PWOL method for hard</w:t>
      </w:r>
      <w:r w:rsidR="00322141">
        <w:rPr>
          <w:color w:val="000000" w:themeColor="text1"/>
        </w:rPr>
        <w:t xml:space="preserve"> </w:t>
      </w:r>
      <w:r w:rsidR="00FC5071" w:rsidRPr="00C96045">
        <w:rPr>
          <w:color w:val="000000" w:themeColor="text1"/>
        </w:rPr>
        <w:t>court surfaces)</w:t>
      </w:r>
      <w:r w:rsidR="00C96045" w:rsidRPr="00C96045">
        <w:rPr>
          <w:color w:val="000000" w:themeColor="text1"/>
        </w:rPr>
        <w:t xml:space="preserve"> </w:t>
      </w:r>
      <w:r w:rsidRPr="00C96045">
        <w:rPr>
          <w:color w:val="000000" w:themeColor="text1"/>
        </w:rPr>
        <w:t xml:space="preserve">pairwise comparisons between </w:t>
      </w:r>
      <w:r w:rsidR="00C96045" w:rsidRPr="00C96045">
        <w:rPr>
          <w:color w:val="000000" w:themeColor="text1"/>
        </w:rPr>
        <w:t xml:space="preserve">PWOL values, t values and point-biserial correlation coefficients </w:t>
      </w:r>
      <w:r w:rsidRPr="00C96045">
        <w:rPr>
          <w:color w:val="000000" w:themeColor="text1"/>
        </w:rPr>
        <w:t>were performed using Spearman’s rank-order correlation coefficients</w:t>
      </w:r>
      <w:r w:rsidR="00C96045" w:rsidRPr="00C96045">
        <w:rPr>
          <w:color w:val="000000" w:themeColor="text1"/>
        </w:rPr>
        <w:t xml:space="preserve">, akin to </w:t>
      </w:r>
      <w:r w:rsidRPr="00C96045">
        <w:rPr>
          <w:color w:val="000000" w:themeColor="text1"/>
        </w:rPr>
        <w:t>Fitzpatrick et al.</w:t>
      </w:r>
      <w:r w:rsidR="00A62CDC" w:rsidRPr="00A62CDC">
        <w:rPr>
          <w:color w:val="000000" w:themeColor="text1"/>
          <w:vertAlign w:val="superscript"/>
        </w:rPr>
        <w:t>8</w:t>
      </w:r>
      <w:r w:rsidR="00C96045">
        <w:rPr>
          <w:color w:val="000000" w:themeColor="text1"/>
        </w:rPr>
        <w:t>.</w:t>
      </w:r>
    </w:p>
    <w:p w14:paraId="6A985182" w14:textId="77777777" w:rsidR="00C96045" w:rsidRDefault="00C96045" w:rsidP="00C96045">
      <w:pPr>
        <w:pStyle w:val="Newparagraph"/>
        <w:ind w:firstLine="0"/>
        <w:jc w:val="both"/>
        <w:rPr>
          <w:color w:val="000000" w:themeColor="text1"/>
        </w:rPr>
      </w:pPr>
    </w:p>
    <w:p w14:paraId="0F835F41" w14:textId="77777777" w:rsidR="00100D73" w:rsidRDefault="00100D73" w:rsidP="00F16979">
      <w:pPr>
        <w:pStyle w:val="Newparagraph"/>
        <w:ind w:firstLine="0"/>
        <w:jc w:val="both"/>
        <w:rPr>
          <w:b/>
          <w:bCs/>
          <w:color w:val="000000" w:themeColor="text1"/>
        </w:rPr>
      </w:pPr>
    </w:p>
    <w:p w14:paraId="35BF32C1" w14:textId="77777777" w:rsidR="00100D73" w:rsidRDefault="00100D73" w:rsidP="00F16979">
      <w:pPr>
        <w:pStyle w:val="Newparagraph"/>
        <w:ind w:firstLine="0"/>
        <w:jc w:val="both"/>
        <w:rPr>
          <w:b/>
          <w:bCs/>
          <w:color w:val="000000" w:themeColor="text1"/>
        </w:rPr>
      </w:pPr>
    </w:p>
    <w:p w14:paraId="2E474F3D" w14:textId="77777777" w:rsidR="00100D73" w:rsidRDefault="00100D73" w:rsidP="00F16979">
      <w:pPr>
        <w:pStyle w:val="Newparagraph"/>
        <w:ind w:firstLine="0"/>
        <w:jc w:val="both"/>
        <w:rPr>
          <w:b/>
          <w:bCs/>
          <w:color w:val="000000" w:themeColor="text1"/>
        </w:rPr>
      </w:pPr>
    </w:p>
    <w:p w14:paraId="665D88DB" w14:textId="77777777" w:rsidR="00100D73" w:rsidRDefault="00100D73" w:rsidP="00F16979">
      <w:pPr>
        <w:pStyle w:val="Newparagraph"/>
        <w:ind w:firstLine="0"/>
        <w:jc w:val="both"/>
        <w:rPr>
          <w:b/>
          <w:bCs/>
          <w:color w:val="000000" w:themeColor="text1"/>
        </w:rPr>
      </w:pPr>
    </w:p>
    <w:p w14:paraId="063B2C1E" w14:textId="77777777" w:rsidR="00100D73" w:rsidRDefault="00100D73" w:rsidP="00F16979">
      <w:pPr>
        <w:pStyle w:val="Newparagraph"/>
        <w:ind w:firstLine="0"/>
        <w:jc w:val="both"/>
        <w:rPr>
          <w:b/>
          <w:bCs/>
          <w:color w:val="000000" w:themeColor="text1"/>
        </w:rPr>
      </w:pPr>
    </w:p>
    <w:p w14:paraId="09AB58FF" w14:textId="77777777" w:rsidR="00100D73" w:rsidRDefault="00100D73" w:rsidP="00F16979">
      <w:pPr>
        <w:pStyle w:val="Newparagraph"/>
        <w:ind w:firstLine="0"/>
        <w:jc w:val="both"/>
        <w:rPr>
          <w:b/>
          <w:bCs/>
          <w:color w:val="000000" w:themeColor="text1"/>
        </w:rPr>
      </w:pPr>
    </w:p>
    <w:p w14:paraId="183552BD" w14:textId="77777777" w:rsidR="00100D73" w:rsidRDefault="00100D73" w:rsidP="00F16979">
      <w:pPr>
        <w:pStyle w:val="Newparagraph"/>
        <w:ind w:firstLine="0"/>
        <w:jc w:val="both"/>
        <w:rPr>
          <w:b/>
          <w:bCs/>
          <w:color w:val="000000" w:themeColor="text1"/>
        </w:rPr>
      </w:pPr>
    </w:p>
    <w:p w14:paraId="689A28DF" w14:textId="77777777" w:rsidR="00100D73" w:rsidRDefault="00100D73" w:rsidP="00F16979">
      <w:pPr>
        <w:pStyle w:val="Newparagraph"/>
        <w:ind w:firstLine="0"/>
        <w:jc w:val="both"/>
        <w:rPr>
          <w:b/>
          <w:bCs/>
          <w:color w:val="000000" w:themeColor="text1"/>
        </w:rPr>
      </w:pPr>
    </w:p>
    <w:p w14:paraId="6DA363DD" w14:textId="77777777" w:rsidR="00100D73" w:rsidRDefault="00100D73" w:rsidP="00F16979">
      <w:pPr>
        <w:pStyle w:val="Newparagraph"/>
        <w:ind w:firstLine="0"/>
        <w:jc w:val="both"/>
        <w:rPr>
          <w:b/>
          <w:bCs/>
          <w:color w:val="000000" w:themeColor="text1"/>
        </w:rPr>
      </w:pPr>
    </w:p>
    <w:p w14:paraId="2735A08B" w14:textId="77777777" w:rsidR="00100D73" w:rsidRDefault="00100D73" w:rsidP="00F16979">
      <w:pPr>
        <w:pStyle w:val="Newparagraph"/>
        <w:ind w:firstLine="0"/>
        <w:jc w:val="both"/>
        <w:rPr>
          <w:b/>
          <w:bCs/>
          <w:color w:val="000000" w:themeColor="text1"/>
        </w:rPr>
      </w:pPr>
    </w:p>
    <w:p w14:paraId="66A05F9B" w14:textId="77777777" w:rsidR="00100D73" w:rsidRDefault="00100D73" w:rsidP="00F16979">
      <w:pPr>
        <w:pStyle w:val="Newparagraph"/>
        <w:ind w:firstLine="0"/>
        <w:jc w:val="both"/>
        <w:rPr>
          <w:b/>
          <w:bCs/>
          <w:color w:val="000000" w:themeColor="text1"/>
        </w:rPr>
      </w:pPr>
    </w:p>
    <w:p w14:paraId="2CCF6492" w14:textId="77777777" w:rsidR="00100D73" w:rsidRDefault="00100D73" w:rsidP="00F16979">
      <w:pPr>
        <w:pStyle w:val="Newparagraph"/>
        <w:ind w:firstLine="0"/>
        <w:jc w:val="both"/>
        <w:rPr>
          <w:b/>
          <w:bCs/>
          <w:color w:val="000000" w:themeColor="text1"/>
        </w:rPr>
      </w:pPr>
    </w:p>
    <w:p w14:paraId="055344F6" w14:textId="77777777" w:rsidR="00100D73" w:rsidRDefault="00100D73" w:rsidP="00F16979">
      <w:pPr>
        <w:pStyle w:val="Newparagraph"/>
        <w:ind w:firstLine="0"/>
        <w:jc w:val="both"/>
        <w:rPr>
          <w:b/>
          <w:bCs/>
          <w:color w:val="000000" w:themeColor="text1"/>
        </w:rPr>
      </w:pPr>
    </w:p>
    <w:p w14:paraId="20CCC4D1" w14:textId="77777777" w:rsidR="00100D73" w:rsidRDefault="00100D73" w:rsidP="00F16979">
      <w:pPr>
        <w:pStyle w:val="Newparagraph"/>
        <w:ind w:firstLine="0"/>
        <w:jc w:val="both"/>
        <w:rPr>
          <w:b/>
          <w:bCs/>
          <w:color w:val="000000" w:themeColor="text1"/>
        </w:rPr>
      </w:pPr>
    </w:p>
    <w:p w14:paraId="2896ADAE" w14:textId="77777777" w:rsidR="00100D73" w:rsidRDefault="00100D73" w:rsidP="00F16979">
      <w:pPr>
        <w:pStyle w:val="Newparagraph"/>
        <w:ind w:firstLine="0"/>
        <w:jc w:val="both"/>
        <w:rPr>
          <w:b/>
          <w:bCs/>
          <w:color w:val="000000" w:themeColor="text1"/>
        </w:rPr>
      </w:pPr>
    </w:p>
    <w:p w14:paraId="317C8612" w14:textId="77777777" w:rsidR="00100D73" w:rsidRDefault="00100D73" w:rsidP="00F16979">
      <w:pPr>
        <w:pStyle w:val="Newparagraph"/>
        <w:ind w:firstLine="0"/>
        <w:jc w:val="both"/>
        <w:rPr>
          <w:b/>
          <w:bCs/>
          <w:color w:val="000000" w:themeColor="text1"/>
        </w:rPr>
      </w:pPr>
    </w:p>
    <w:p w14:paraId="0F342F18" w14:textId="77777777" w:rsidR="00100D73" w:rsidRDefault="00100D73" w:rsidP="00F16979">
      <w:pPr>
        <w:pStyle w:val="Newparagraph"/>
        <w:ind w:firstLine="0"/>
        <w:jc w:val="both"/>
        <w:rPr>
          <w:b/>
          <w:bCs/>
          <w:color w:val="000000" w:themeColor="text1"/>
        </w:rPr>
      </w:pPr>
    </w:p>
    <w:p w14:paraId="65FAEAAF" w14:textId="6FEA6BBD" w:rsidR="00C96045" w:rsidRPr="00C96045" w:rsidRDefault="00C96045" w:rsidP="00F16979">
      <w:pPr>
        <w:pStyle w:val="Newparagraph"/>
        <w:ind w:firstLine="0"/>
        <w:jc w:val="both"/>
        <w:rPr>
          <w:b/>
          <w:bCs/>
          <w:color w:val="000000" w:themeColor="text1"/>
        </w:rPr>
      </w:pPr>
      <w:r w:rsidRPr="00C96045">
        <w:rPr>
          <w:b/>
          <w:bCs/>
          <w:color w:val="000000" w:themeColor="text1"/>
        </w:rPr>
        <w:lastRenderedPageBreak/>
        <w:t>Results</w:t>
      </w:r>
    </w:p>
    <w:p w14:paraId="3336DC8D" w14:textId="79B5E57D" w:rsidR="00C87869" w:rsidRPr="00C96045" w:rsidRDefault="00C87869" w:rsidP="00F16979">
      <w:pPr>
        <w:pStyle w:val="Newparagraph"/>
        <w:ind w:firstLine="0"/>
        <w:jc w:val="both"/>
        <w:rPr>
          <w:color w:val="000000" w:themeColor="text1"/>
        </w:rPr>
      </w:pPr>
      <w:r>
        <w:t xml:space="preserve">Table 2 shows the mean and standard deviation of all performance indicators for winning and losing players, for men. </w:t>
      </w:r>
      <w:r w:rsidRPr="00797B33">
        <w:t xml:space="preserve">Each of the </w:t>
      </w:r>
      <w:r w:rsidRPr="002B6FC6">
        <w:t xml:space="preserve">statistical methods identified baseline points won, first serve points won, points won of 0-4 rally length and </w:t>
      </w:r>
      <w:r w:rsidR="00A25A86" w:rsidRPr="002B6FC6">
        <w:t>Winners:UE</w:t>
      </w:r>
      <w:r w:rsidRPr="002B6FC6">
        <w:t xml:space="preserve"> Ratio as the most strongly associated with success amongst all performance indicators. In contrast, forced errors </w:t>
      </w:r>
      <w:r w:rsidR="002B6FC6">
        <w:t>was</w:t>
      </w:r>
      <w:r w:rsidRPr="002B6FC6">
        <w:t xml:space="preserve"> most strongly associated with losing. Ball three performance indicators, such as ball three forehand, and ball three situational characteristics (i.e. attacking, neutral or defensive) were least associated with match outcome, alongside double faults.</w:t>
      </w:r>
    </w:p>
    <w:p w14:paraId="25F33990" w14:textId="77777777" w:rsidR="00100D73" w:rsidRDefault="00100D73" w:rsidP="00C87869">
      <w:pPr>
        <w:spacing w:line="360" w:lineRule="auto"/>
      </w:pPr>
    </w:p>
    <w:p w14:paraId="5AB7EF01" w14:textId="623853C9" w:rsidR="00C87869" w:rsidRPr="00E33BB3" w:rsidRDefault="00C87869" w:rsidP="00C87869">
      <w:pPr>
        <w:spacing w:line="360" w:lineRule="auto"/>
      </w:pPr>
      <w:r w:rsidRPr="00E33BB3">
        <w:t xml:space="preserve">Table 2. Men's </w:t>
      </w:r>
      <w:r w:rsidR="007F6DA1" w:rsidRPr="00E33BB3">
        <w:t>indicators</w:t>
      </w:r>
      <w:r w:rsidRPr="00E33BB3">
        <w:t xml:space="preserve"> (presented as mean ± sd), point-biserial correlations with match outcome, t values and PWOL values; sorted by </w:t>
      </w:r>
      <w:r w:rsidRPr="00E33BB3">
        <w:rPr>
          <w:i/>
          <w:iCs/>
        </w:rPr>
        <w:t>r</w:t>
      </w:r>
      <w:r w:rsidRPr="00E33BB3">
        <w:rPr>
          <w:i/>
          <w:iCs/>
          <w:vertAlign w:val="subscript"/>
        </w:rPr>
        <w:t>pb</w:t>
      </w:r>
    </w:p>
    <w:tbl>
      <w:tblPr>
        <w:tblpPr w:leftFromText="180" w:rightFromText="180" w:vertAnchor="text" w:horzAnchor="margin" w:tblpXSpec="center" w:tblpY="97"/>
        <w:tblW w:w="10632" w:type="dxa"/>
        <w:tblLook w:val="04A0" w:firstRow="1" w:lastRow="0" w:firstColumn="1" w:lastColumn="0" w:noHBand="0" w:noVBand="1"/>
      </w:tblPr>
      <w:tblGrid>
        <w:gridCol w:w="4536"/>
        <w:gridCol w:w="1560"/>
        <w:gridCol w:w="1701"/>
        <w:gridCol w:w="850"/>
        <w:gridCol w:w="992"/>
        <w:gridCol w:w="993"/>
      </w:tblGrid>
      <w:tr w:rsidR="00C87869" w:rsidRPr="008273C6" w14:paraId="37D1ABA5" w14:textId="77777777" w:rsidTr="007F6DA1">
        <w:trPr>
          <w:trHeight w:val="397"/>
        </w:trPr>
        <w:tc>
          <w:tcPr>
            <w:tcW w:w="4536" w:type="dxa"/>
            <w:tcBorders>
              <w:top w:val="single" w:sz="4" w:space="0" w:color="auto"/>
              <w:left w:val="nil"/>
              <w:bottom w:val="single" w:sz="4" w:space="0" w:color="auto"/>
              <w:right w:val="nil"/>
            </w:tcBorders>
            <w:shd w:val="clear" w:color="auto" w:fill="auto"/>
            <w:noWrap/>
            <w:vAlign w:val="center"/>
            <w:hideMark/>
          </w:tcPr>
          <w:p w14:paraId="5D58D4C6" w14:textId="77777777" w:rsidR="00C87869" w:rsidRPr="00E33BB3" w:rsidRDefault="00C87869" w:rsidP="007F6DA1">
            <w:pPr>
              <w:spacing w:line="240" w:lineRule="auto"/>
              <w:rPr>
                <w:color w:val="000000"/>
              </w:rPr>
            </w:pPr>
            <w:r w:rsidRPr="00E33BB3">
              <w:rPr>
                <w:color w:val="000000"/>
              </w:rPr>
              <w:t>Performance Indicator</w:t>
            </w:r>
          </w:p>
        </w:tc>
        <w:tc>
          <w:tcPr>
            <w:tcW w:w="1560" w:type="dxa"/>
            <w:tcBorders>
              <w:top w:val="single" w:sz="4" w:space="0" w:color="auto"/>
              <w:left w:val="nil"/>
              <w:bottom w:val="single" w:sz="4" w:space="0" w:color="auto"/>
              <w:right w:val="nil"/>
            </w:tcBorders>
            <w:shd w:val="clear" w:color="auto" w:fill="auto"/>
            <w:noWrap/>
            <w:vAlign w:val="center"/>
            <w:hideMark/>
          </w:tcPr>
          <w:p w14:paraId="33E7A0D9" w14:textId="77777777" w:rsidR="00C87869" w:rsidRPr="00E33BB3" w:rsidRDefault="00C87869" w:rsidP="007F6DA1">
            <w:pPr>
              <w:spacing w:line="240" w:lineRule="auto"/>
              <w:jc w:val="center"/>
              <w:rPr>
                <w:color w:val="000000"/>
              </w:rPr>
            </w:pPr>
            <w:r w:rsidRPr="00E33BB3">
              <w:rPr>
                <w:color w:val="000000"/>
              </w:rPr>
              <w:t>Winning players</w:t>
            </w:r>
          </w:p>
        </w:tc>
        <w:tc>
          <w:tcPr>
            <w:tcW w:w="1701" w:type="dxa"/>
            <w:tcBorders>
              <w:top w:val="single" w:sz="4" w:space="0" w:color="auto"/>
              <w:left w:val="nil"/>
              <w:bottom w:val="single" w:sz="4" w:space="0" w:color="auto"/>
              <w:right w:val="nil"/>
            </w:tcBorders>
            <w:shd w:val="clear" w:color="auto" w:fill="auto"/>
            <w:noWrap/>
            <w:vAlign w:val="center"/>
            <w:hideMark/>
          </w:tcPr>
          <w:p w14:paraId="58127468" w14:textId="77777777" w:rsidR="00C87869" w:rsidRPr="00E33BB3" w:rsidRDefault="00C87869" w:rsidP="007F6DA1">
            <w:pPr>
              <w:spacing w:line="240" w:lineRule="auto"/>
              <w:jc w:val="center"/>
              <w:rPr>
                <w:color w:val="000000"/>
              </w:rPr>
            </w:pPr>
            <w:r w:rsidRPr="00E33BB3">
              <w:rPr>
                <w:color w:val="000000"/>
              </w:rPr>
              <w:t>Losing players</w:t>
            </w:r>
          </w:p>
        </w:tc>
        <w:tc>
          <w:tcPr>
            <w:tcW w:w="850" w:type="dxa"/>
            <w:tcBorders>
              <w:top w:val="single" w:sz="4" w:space="0" w:color="auto"/>
              <w:left w:val="nil"/>
              <w:bottom w:val="single" w:sz="4" w:space="0" w:color="auto"/>
              <w:right w:val="nil"/>
            </w:tcBorders>
            <w:shd w:val="clear" w:color="auto" w:fill="auto"/>
            <w:noWrap/>
            <w:vAlign w:val="center"/>
            <w:hideMark/>
          </w:tcPr>
          <w:p w14:paraId="57088FDF" w14:textId="77777777" w:rsidR="00C87869" w:rsidRPr="00E33BB3" w:rsidRDefault="00C87869" w:rsidP="007F6DA1">
            <w:pPr>
              <w:spacing w:line="240" w:lineRule="auto"/>
              <w:jc w:val="center"/>
              <w:rPr>
                <w:i/>
                <w:iCs/>
                <w:color w:val="000000"/>
              </w:rPr>
            </w:pPr>
            <w:r w:rsidRPr="00E33BB3">
              <w:rPr>
                <w:i/>
                <w:iCs/>
                <w:color w:val="000000"/>
              </w:rPr>
              <w:t>r</w:t>
            </w:r>
            <w:r w:rsidRPr="00E33BB3">
              <w:rPr>
                <w:i/>
                <w:iCs/>
                <w:color w:val="000000"/>
                <w:vertAlign w:val="subscript"/>
              </w:rPr>
              <w:t>pb</w:t>
            </w:r>
          </w:p>
        </w:tc>
        <w:tc>
          <w:tcPr>
            <w:tcW w:w="992" w:type="dxa"/>
            <w:tcBorders>
              <w:top w:val="single" w:sz="4" w:space="0" w:color="auto"/>
              <w:left w:val="nil"/>
              <w:bottom w:val="single" w:sz="4" w:space="0" w:color="auto"/>
              <w:right w:val="nil"/>
            </w:tcBorders>
            <w:shd w:val="clear" w:color="auto" w:fill="auto"/>
            <w:noWrap/>
            <w:vAlign w:val="center"/>
            <w:hideMark/>
          </w:tcPr>
          <w:p w14:paraId="7E8452E5" w14:textId="77777777" w:rsidR="00C87869" w:rsidRPr="00E33BB3" w:rsidRDefault="00C87869" w:rsidP="007F6DA1">
            <w:pPr>
              <w:spacing w:line="240" w:lineRule="auto"/>
              <w:jc w:val="center"/>
              <w:rPr>
                <w:i/>
                <w:iCs/>
                <w:color w:val="000000"/>
              </w:rPr>
            </w:pPr>
            <w:r w:rsidRPr="00E33BB3">
              <w:rPr>
                <w:i/>
                <w:iCs/>
                <w:color w:val="000000"/>
              </w:rPr>
              <w:t>t</w:t>
            </w:r>
          </w:p>
        </w:tc>
        <w:tc>
          <w:tcPr>
            <w:tcW w:w="993" w:type="dxa"/>
            <w:tcBorders>
              <w:top w:val="single" w:sz="4" w:space="0" w:color="auto"/>
              <w:left w:val="nil"/>
              <w:bottom w:val="single" w:sz="4" w:space="0" w:color="auto"/>
              <w:right w:val="nil"/>
            </w:tcBorders>
            <w:shd w:val="clear" w:color="auto" w:fill="auto"/>
            <w:noWrap/>
            <w:vAlign w:val="center"/>
            <w:hideMark/>
          </w:tcPr>
          <w:p w14:paraId="356D292E" w14:textId="77777777" w:rsidR="00C87869" w:rsidRPr="00E33BB3" w:rsidRDefault="00C87869" w:rsidP="007F6DA1">
            <w:pPr>
              <w:spacing w:line="240" w:lineRule="auto"/>
              <w:jc w:val="center"/>
              <w:rPr>
                <w:color w:val="000000"/>
              </w:rPr>
            </w:pPr>
            <w:r w:rsidRPr="00E33BB3">
              <w:rPr>
                <w:color w:val="000000"/>
              </w:rPr>
              <w:t>PWOL</w:t>
            </w:r>
          </w:p>
        </w:tc>
      </w:tr>
      <w:tr w:rsidR="00C87869" w:rsidRPr="008273C6" w14:paraId="1DAEB537" w14:textId="77777777" w:rsidTr="007F6DA1">
        <w:trPr>
          <w:trHeight w:val="288"/>
        </w:trPr>
        <w:tc>
          <w:tcPr>
            <w:tcW w:w="4536" w:type="dxa"/>
            <w:tcBorders>
              <w:top w:val="nil"/>
              <w:left w:val="nil"/>
              <w:bottom w:val="nil"/>
              <w:right w:val="nil"/>
            </w:tcBorders>
            <w:shd w:val="clear" w:color="auto" w:fill="auto"/>
            <w:noWrap/>
            <w:vAlign w:val="bottom"/>
            <w:hideMark/>
          </w:tcPr>
          <w:p w14:paraId="01B29BEE" w14:textId="77777777" w:rsidR="00C87869" w:rsidRPr="008273C6" w:rsidRDefault="00C87869" w:rsidP="008D2B66">
            <w:pPr>
              <w:spacing w:line="240" w:lineRule="auto"/>
              <w:rPr>
                <w:color w:val="000000"/>
              </w:rPr>
            </w:pPr>
            <w:r w:rsidRPr="008273C6">
              <w:rPr>
                <w:color w:val="000000"/>
              </w:rPr>
              <w:t>Baseline points won (%)</w:t>
            </w:r>
          </w:p>
        </w:tc>
        <w:tc>
          <w:tcPr>
            <w:tcW w:w="1560" w:type="dxa"/>
            <w:tcBorders>
              <w:top w:val="nil"/>
              <w:left w:val="nil"/>
              <w:bottom w:val="nil"/>
              <w:right w:val="nil"/>
            </w:tcBorders>
            <w:shd w:val="clear" w:color="auto" w:fill="auto"/>
            <w:noWrap/>
            <w:vAlign w:val="bottom"/>
            <w:hideMark/>
          </w:tcPr>
          <w:p w14:paraId="3C14BBC6" w14:textId="77777777" w:rsidR="00C87869" w:rsidRPr="008273C6" w:rsidRDefault="00C87869" w:rsidP="007F6DA1">
            <w:pPr>
              <w:spacing w:line="240" w:lineRule="auto"/>
              <w:jc w:val="center"/>
              <w:rPr>
                <w:color w:val="000000"/>
              </w:rPr>
            </w:pPr>
            <w:r w:rsidRPr="008273C6">
              <w:rPr>
                <w:color w:val="000000"/>
              </w:rPr>
              <w:t>54.8</w:t>
            </w:r>
            <w:r>
              <w:rPr>
                <w:color w:val="000000"/>
              </w:rPr>
              <w:t xml:space="preserve"> ± 4.6%</w:t>
            </w:r>
          </w:p>
        </w:tc>
        <w:tc>
          <w:tcPr>
            <w:tcW w:w="1701" w:type="dxa"/>
            <w:tcBorders>
              <w:top w:val="nil"/>
              <w:left w:val="nil"/>
              <w:bottom w:val="nil"/>
              <w:right w:val="nil"/>
            </w:tcBorders>
            <w:shd w:val="clear" w:color="auto" w:fill="auto"/>
            <w:noWrap/>
            <w:vAlign w:val="bottom"/>
            <w:hideMark/>
          </w:tcPr>
          <w:p w14:paraId="02746B42" w14:textId="77777777" w:rsidR="00C87869" w:rsidRPr="008273C6" w:rsidRDefault="00C87869" w:rsidP="007F6DA1">
            <w:pPr>
              <w:spacing w:line="240" w:lineRule="auto"/>
              <w:jc w:val="center"/>
              <w:rPr>
                <w:color w:val="000000"/>
              </w:rPr>
            </w:pPr>
            <w:r w:rsidRPr="008273C6">
              <w:rPr>
                <w:color w:val="000000"/>
              </w:rPr>
              <w:t>45.1</w:t>
            </w:r>
            <w:r>
              <w:rPr>
                <w:color w:val="000000"/>
              </w:rPr>
              <w:t xml:space="preserve"> ± 4.6%</w:t>
            </w:r>
          </w:p>
        </w:tc>
        <w:tc>
          <w:tcPr>
            <w:tcW w:w="850" w:type="dxa"/>
            <w:tcBorders>
              <w:top w:val="nil"/>
              <w:left w:val="nil"/>
              <w:bottom w:val="nil"/>
              <w:right w:val="nil"/>
            </w:tcBorders>
            <w:shd w:val="clear" w:color="auto" w:fill="auto"/>
            <w:noWrap/>
            <w:vAlign w:val="bottom"/>
            <w:hideMark/>
          </w:tcPr>
          <w:p w14:paraId="474382AA" w14:textId="77777777" w:rsidR="00C87869" w:rsidRPr="008273C6" w:rsidRDefault="00C87869" w:rsidP="007F6DA1">
            <w:pPr>
              <w:spacing w:line="240" w:lineRule="auto"/>
              <w:jc w:val="center"/>
              <w:rPr>
                <w:color w:val="000000"/>
              </w:rPr>
            </w:pPr>
            <w:r w:rsidRPr="008273C6">
              <w:rPr>
                <w:color w:val="000000"/>
              </w:rPr>
              <w:t>0.73</w:t>
            </w:r>
          </w:p>
        </w:tc>
        <w:tc>
          <w:tcPr>
            <w:tcW w:w="992" w:type="dxa"/>
            <w:tcBorders>
              <w:top w:val="nil"/>
              <w:left w:val="nil"/>
              <w:bottom w:val="nil"/>
              <w:right w:val="nil"/>
            </w:tcBorders>
            <w:shd w:val="clear" w:color="auto" w:fill="auto"/>
            <w:noWrap/>
            <w:vAlign w:val="bottom"/>
            <w:hideMark/>
          </w:tcPr>
          <w:p w14:paraId="03F89CBD" w14:textId="77777777" w:rsidR="00C87869" w:rsidRPr="008273C6" w:rsidRDefault="00C87869" w:rsidP="007F6DA1">
            <w:pPr>
              <w:spacing w:line="240" w:lineRule="auto"/>
              <w:jc w:val="center"/>
              <w:rPr>
                <w:color w:val="000000"/>
              </w:rPr>
            </w:pPr>
            <w:r w:rsidRPr="008273C6">
              <w:rPr>
                <w:color w:val="000000"/>
              </w:rPr>
              <w:t>30.17</w:t>
            </w:r>
          </w:p>
        </w:tc>
        <w:tc>
          <w:tcPr>
            <w:tcW w:w="993" w:type="dxa"/>
            <w:tcBorders>
              <w:top w:val="nil"/>
              <w:left w:val="nil"/>
              <w:bottom w:val="nil"/>
              <w:right w:val="nil"/>
            </w:tcBorders>
            <w:shd w:val="clear" w:color="auto" w:fill="auto"/>
            <w:noWrap/>
            <w:vAlign w:val="bottom"/>
            <w:hideMark/>
          </w:tcPr>
          <w:p w14:paraId="73A1B521" w14:textId="77777777" w:rsidR="00C87869" w:rsidRPr="008273C6" w:rsidRDefault="00C87869" w:rsidP="007F6DA1">
            <w:pPr>
              <w:spacing w:line="240" w:lineRule="auto"/>
              <w:jc w:val="center"/>
              <w:rPr>
                <w:color w:val="000000"/>
              </w:rPr>
            </w:pPr>
            <w:r w:rsidRPr="008273C6">
              <w:rPr>
                <w:color w:val="000000"/>
              </w:rPr>
              <w:t>89.1%</w:t>
            </w:r>
          </w:p>
        </w:tc>
      </w:tr>
      <w:tr w:rsidR="00C87869" w:rsidRPr="008273C6" w14:paraId="0EBB1C3A" w14:textId="77777777" w:rsidTr="007F6DA1">
        <w:trPr>
          <w:trHeight w:val="288"/>
        </w:trPr>
        <w:tc>
          <w:tcPr>
            <w:tcW w:w="4536" w:type="dxa"/>
            <w:tcBorders>
              <w:top w:val="nil"/>
              <w:left w:val="nil"/>
              <w:bottom w:val="nil"/>
              <w:right w:val="nil"/>
            </w:tcBorders>
            <w:shd w:val="clear" w:color="auto" w:fill="auto"/>
            <w:noWrap/>
            <w:vAlign w:val="bottom"/>
            <w:hideMark/>
          </w:tcPr>
          <w:p w14:paraId="526ACCFB" w14:textId="77777777" w:rsidR="00C87869" w:rsidRPr="008273C6" w:rsidRDefault="00C87869" w:rsidP="008D2B66">
            <w:pPr>
              <w:spacing w:line="240" w:lineRule="auto"/>
              <w:rPr>
                <w:color w:val="000000"/>
              </w:rPr>
            </w:pPr>
            <w:r w:rsidRPr="008273C6">
              <w:rPr>
                <w:color w:val="000000"/>
              </w:rPr>
              <w:t>First serve-return points won (%)</w:t>
            </w:r>
            <w:r w:rsidRPr="002C670F">
              <w:rPr>
                <w:color w:val="000000"/>
                <w:vertAlign w:val="superscript"/>
              </w:rPr>
              <w:t>+</w:t>
            </w:r>
          </w:p>
        </w:tc>
        <w:tc>
          <w:tcPr>
            <w:tcW w:w="1560" w:type="dxa"/>
            <w:tcBorders>
              <w:top w:val="nil"/>
              <w:left w:val="nil"/>
              <w:bottom w:val="nil"/>
              <w:right w:val="nil"/>
            </w:tcBorders>
            <w:shd w:val="clear" w:color="auto" w:fill="auto"/>
            <w:noWrap/>
            <w:vAlign w:val="bottom"/>
            <w:hideMark/>
          </w:tcPr>
          <w:p w14:paraId="66469664" w14:textId="77777777" w:rsidR="00C87869" w:rsidRPr="008273C6" w:rsidRDefault="00C87869" w:rsidP="007F6DA1">
            <w:pPr>
              <w:spacing w:line="240" w:lineRule="auto"/>
              <w:jc w:val="center"/>
              <w:rPr>
                <w:color w:val="000000"/>
              </w:rPr>
            </w:pPr>
            <w:r w:rsidRPr="008273C6">
              <w:rPr>
                <w:color w:val="000000"/>
              </w:rPr>
              <w:t>31.9</w:t>
            </w:r>
            <w:r>
              <w:rPr>
                <w:color w:val="000000"/>
              </w:rPr>
              <w:t xml:space="preserve"> ± 8.6%</w:t>
            </w:r>
          </w:p>
        </w:tc>
        <w:tc>
          <w:tcPr>
            <w:tcW w:w="1701" w:type="dxa"/>
            <w:tcBorders>
              <w:top w:val="nil"/>
              <w:left w:val="nil"/>
              <w:bottom w:val="nil"/>
              <w:right w:val="nil"/>
            </w:tcBorders>
            <w:shd w:val="clear" w:color="auto" w:fill="auto"/>
            <w:noWrap/>
            <w:vAlign w:val="bottom"/>
            <w:hideMark/>
          </w:tcPr>
          <w:p w14:paraId="3D047908" w14:textId="77777777" w:rsidR="00C87869" w:rsidRPr="008273C6" w:rsidRDefault="00C87869" w:rsidP="007F6DA1">
            <w:pPr>
              <w:spacing w:line="240" w:lineRule="auto"/>
              <w:jc w:val="center"/>
              <w:rPr>
                <w:color w:val="000000"/>
              </w:rPr>
            </w:pPr>
            <w:r w:rsidRPr="008273C6">
              <w:rPr>
                <w:color w:val="000000"/>
              </w:rPr>
              <w:t>23.0</w:t>
            </w:r>
            <w:r>
              <w:rPr>
                <w:color w:val="000000"/>
              </w:rPr>
              <w:t xml:space="preserve"> ± 7.4%</w:t>
            </w:r>
          </w:p>
        </w:tc>
        <w:tc>
          <w:tcPr>
            <w:tcW w:w="850" w:type="dxa"/>
            <w:tcBorders>
              <w:top w:val="nil"/>
              <w:left w:val="nil"/>
              <w:bottom w:val="nil"/>
              <w:right w:val="nil"/>
            </w:tcBorders>
            <w:shd w:val="clear" w:color="auto" w:fill="auto"/>
            <w:noWrap/>
            <w:vAlign w:val="bottom"/>
            <w:hideMark/>
          </w:tcPr>
          <w:p w14:paraId="6FA407A9" w14:textId="77777777" w:rsidR="00C87869" w:rsidRPr="008273C6" w:rsidRDefault="00C87869" w:rsidP="007F6DA1">
            <w:pPr>
              <w:spacing w:line="240" w:lineRule="auto"/>
              <w:jc w:val="center"/>
              <w:rPr>
                <w:color w:val="000000"/>
              </w:rPr>
            </w:pPr>
            <w:r w:rsidRPr="008273C6">
              <w:rPr>
                <w:color w:val="000000"/>
              </w:rPr>
              <w:t>0.49</w:t>
            </w:r>
          </w:p>
        </w:tc>
        <w:tc>
          <w:tcPr>
            <w:tcW w:w="992" w:type="dxa"/>
            <w:tcBorders>
              <w:top w:val="nil"/>
              <w:left w:val="nil"/>
              <w:bottom w:val="nil"/>
              <w:right w:val="nil"/>
            </w:tcBorders>
            <w:shd w:val="clear" w:color="auto" w:fill="auto"/>
            <w:noWrap/>
            <w:vAlign w:val="bottom"/>
            <w:hideMark/>
          </w:tcPr>
          <w:p w14:paraId="02C6E3D9" w14:textId="77777777" w:rsidR="00C87869" w:rsidRPr="008273C6" w:rsidRDefault="00C87869" w:rsidP="007F6DA1">
            <w:pPr>
              <w:spacing w:line="240" w:lineRule="auto"/>
              <w:jc w:val="center"/>
              <w:rPr>
                <w:color w:val="000000"/>
              </w:rPr>
            </w:pPr>
            <w:r w:rsidRPr="008273C6">
              <w:rPr>
                <w:color w:val="000000"/>
              </w:rPr>
              <w:t>24.49</w:t>
            </w:r>
          </w:p>
        </w:tc>
        <w:tc>
          <w:tcPr>
            <w:tcW w:w="993" w:type="dxa"/>
            <w:tcBorders>
              <w:top w:val="nil"/>
              <w:left w:val="nil"/>
              <w:bottom w:val="nil"/>
              <w:right w:val="nil"/>
            </w:tcBorders>
            <w:shd w:val="clear" w:color="auto" w:fill="auto"/>
            <w:noWrap/>
            <w:vAlign w:val="bottom"/>
            <w:hideMark/>
          </w:tcPr>
          <w:p w14:paraId="231F9C47" w14:textId="77777777" w:rsidR="00C87869" w:rsidRPr="008273C6" w:rsidRDefault="00C87869" w:rsidP="007F6DA1">
            <w:pPr>
              <w:spacing w:line="240" w:lineRule="auto"/>
              <w:jc w:val="center"/>
              <w:rPr>
                <w:color w:val="000000"/>
              </w:rPr>
            </w:pPr>
            <w:r w:rsidRPr="008273C6">
              <w:rPr>
                <w:color w:val="000000"/>
              </w:rPr>
              <w:t>81.6%</w:t>
            </w:r>
          </w:p>
        </w:tc>
      </w:tr>
      <w:tr w:rsidR="00C87869" w:rsidRPr="008273C6" w14:paraId="32101BE1" w14:textId="77777777" w:rsidTr="007F6DA1">
        <w:trPr>
          <w:trHeight w:val="288"/>
        </w:trPr>
        <w:tc>
          <w:tcPr>
            <w:tcW w:w="4536" w:type="dxa"/>
            <w:tcBorders>
              <w:top w:val="nil"/>
              <w:left w:val="nil"/>
              <w:bottom w:val="nil"/>
              <w:right w:val="nil"/>
            </w:tcBorders>
            <w:shd w:val="clear" w:color="auto" w:fill="auto"/>
            <w:noWrap/>
            <w:vAlign w:val="bottom"/>
            <w:hideMark/>
          </w:tcPr>
          <w:p w14:paraId="3B368BAD" w14:textId="77777777" w:rsidR="00C87869" w:rsidRPr="008273C6" w:rsidRDefault="00C87869" w:rsidP="008D2B66">
            <w:pPr>
              <w:spacing w:line="240" w:lineRule="auto"/>
              <w:rPr>
                <w:color w:val="000000"/>
              </w:rPr>
            </w:pPr>
            <w:r w:rsidRPr="008273C6">
              <w:rPr>
                <w:color w:val="000000"/>
              </w:rPr>
              <w:t>Points won of 0-4 rally length serving (%)</w:t>
            </w:r>
          </w:p>
        </w:tc>
        <w:tc>
          <w:tcPr>
            <w:tcW w:w="1560" w:type="dxa"/>
            <w:tcBorders>
              <w:top w:val="nil"/>
              <w:left w:val="nil"/>
              <w:bottom w:val="nil"/>
              <w:right w:val="nil"/>
            </w:tcBorders>
            <w:shd w:val="clear" w:color="auto" w:fill="auto"/>
            <w:noWrap/>
            <w:vAlign w:val="bottom"/>
            <w:hideMark/>
          </w:tcPr>
          <w:p w14:paraId="369944F0" w14:textId="77777777" w:rsidR="00C87869" w:rsidRPr="008273C6" w:rsidRDefault="00C87869" w:rsidP="007F6DA1">
            <w:pPr>
              <w:spacing w:line="240" w:lineRule="auto"/>
              <w:jc w:val="center"/>
              <w:rPr>
                <w:color w:val="000000"/>
              </w:rPr>
            </w:pPr>
            <w:r w:rsidRPr="008273C6">
              <w:rPr>
                <w:color w:val="000000"/>
              </w:rPr>
              <w:t>76.8</w:t>
            </w:r>
            <w:r>
              <w:rPr>
                <w:color w:val="000000"/>
              </w:rPr>
              <w:t xml:space="preserve"> ± 7.1%</w:t>
            </w:r>
          </w:p>
        </w:tc>
        <w:tc>
          <w:tcPr>
            <w:tcW w:w="1701" w:type="dxa"/>
            <w:tcBorders>
              <w:top w:val="nil"/>
              <w:left w:val="nil"/>
              <w:bottom w:val="nil"/>
              <w:right w:val="nil"/>
            </w:tcBorders>
            <w:shd w:val="clear" w:color="auto" w:fill="auto"/>
            <w:noWrap/>
            <w:vAlign w:val="bottom"/>
            <w:hideMark/>
          </w:tcPr>
          <w:p w14:paraId="30F683E7" w14:textId="77777777" w:rsidR="00C87869" w:rsidRPr="008273C6" w:rsidRDefault="00C87869" w:rsidP="007F6DA1">
            <w:pPr>
              <w:spacing w:line="240" w:lineRule="auto"/>
              <w:jc w:val="center"/>
              <w:rPr>
                <w:color w:val="000000"/>
              </w:rPr>
            </w:pPr>
            <w:r w:rsidRPr="008273C6">
              <w:rPr>
                <w:color w:val="000000"/>
              </w:rPr>
              <w:t>68.3</w:t>
            </w:r>
            <w:r>
              <w:rPr>
                <w:color w:val="000000"/>
              </w:rPr>
              <w:t xml:space="preserve"> ± 8.3%</w:t>
            </w:r>
          </w:p>
        </w:tc>
        <w:tc>
          <w:tcPr>
            <w:tcW w:w="850" w:type="dxa"/>
            <w:tcBorders>
              <w:top w:val="nil"/>
              <w:left w:val="nil"/>
              <w:bottom w:val="nil"/>
              <w:right w:val="nil"/>
            </w:tcBorders>
            <w:shd w:val="clear" w:color="auto" w:fill="auto"/>
            <w:noWrap/>
            <w:vAlign w:val="bottom"/>
            <w:hideMark/>
          </w:tcPr>
          <w:p w14:paraId="7C2F1127" w14:textId="77777777" w:rsidR="00C87869" w:rsidRPr="008273C6" w:rsidRDefault="00C87869" w:rsidP="007F6DA1">
            <w:pPr>
              <w:spacing w:line="240" w:lineRule="auto"/>
              <w:jc w:val="center"/>
              <w:rPr>
                <w:color w:val="000000"/>
              </w:rPr>
            </w:pPr>
            <w:r w:rsidRPr="008273C6">
              <w:rPr>
                <w:color w:val="000000"/>
              </w:rPr>
              <w:t>0.49</w:t>
            </w:r>
          </w:p>
        </w:tc>
        <w:tc>
          <w:tcPr>
            <w:tcW w:w="992" w:type="dxa"/>
            <w:tcBorders>
              <w:top w:val="nil"/>
              <w:left w:val="nil"/>
              <w:bottom w:val="nil"/>
              <w:right w:val="nil"/>
            </w:tcBorders>
            <w:shd w:val="clear" w:color="auto" w:fill="auto"/>
            <w:noWrap/>
            <w:vAlign w:val="bottom"/>
            <w:hideMark/>
          </w:tcPr>
          <w:p w14:paraId="34B1F603" w14:textId="77777777" w:rsidR="00C87869" w:rsidRPr="008273C6" w:rsidRDefault="00C87869" w:rsidP="007F6DA1">
            <w:pPr>
              <w:spacing w:line="240" w:lineRule="auto"/>
              <w:jc w:val="center"/>
              <w:rPr>
                <w:color w:val="000000"/>
              </w:rPr>
            </w:pPr>
            <w:r w:rsidRPr="008273C6">
              <w:rPr>
                <w:color w:val="000000"/>
              </w:rPr>
              <w:t>24.47</w:t>
            </w:r>
          </w:p>
        </w:tc>
        <w:tc>
          <w:tcPr>
            <w:tcW w:w="993" w:type="dxa"/>
            <w:tcBorders>
              <w:top w:val="nil"/>
              <w:left w:val="nil"/>
              <w:bottom w:val="nil"/>
              <w:right w:val="nil"/>
            </w:tcBorders>
            <w:shd w:val="clear" w:color="auto" w:fill="auto"/>
            <w:noWrap/>
            <w:vAlign w:val="bottom"/>
            <w:hideMark/>
          </w:tcPr>
          <w:p w14:paraId="2A3799B2" w14:textId="77777777" w:rsidR="00C87869" w:rsidRPr="008273C6" w:rsidRDefault="00C87869" w:rsidP="007F6DA1">
            <w:pPr>
              <w:spacing w:line="240" w:lineRule="auto"/>
              <w:jc w:val="center"/>
              <w:rPr>
                <w:color w:val="000000"/>
              </w:rPr>
            </w:pPr>
            <w:r w:rsidRPr="008273C6">
              <w:rPr>
                <w:color w:val="000000"/>
              </w:rPr>
              <w:t>82.2%</w:t>
            </w:r>
          </w:p>
        </w:tc>
      </w:tr>
      <w:tr w:rsidR="00C87869" w:rsidRPr="008273C6" w14:paraId="4E8D9E9A" w14:textId="77777777" w:rsidTr="007F6DA1">
        <w:trPr>
          <w:trHeight w:val="288"/>
        </w:trPr>
        <w:tc>
          <w:tcPr>
            <w:tcW w:w="4536" w:type="dxa"/>
            <w:tcBorders>
              <w:top w:val="nil"/>
              <w:left w:val="nil"/>
              <w:bottom w:val="nil"/>
              <w:right w:val="nil"/>
            </w:tcBorders>
            <w:shd w:val="clear" w:color="auto" w:fill="auto"/>
            <w:noWrap/>
            <w:vAlign w:val="bottom"/>
            <w:hideMark/>
          </w:tcPr>
          <w:p w14:paraId="2F0A54E4" w14:textId="77777777" w:rsidR="00C87869" w:rsidRPr="008273C6" w:rsidRDefault="00C87869" w:rsidP="008D2B66">
            <w:pPr>
              <w:spacing w:line="240" w:lineRule="auto"/>
              <w:rPr>
                <w:color w:val="000000"/>
              </w:rPr>
            </w:pPr>
            <w:r w:rsidRPr="008273C6">
              <w:rPr>
                <w:color w:val="000000"/>
              </w:rPr>
              <w:t>Points won of 0-4 rally length returning (%)</w:t>
            </w:r>
          </w:p>
        </w:tc>
        <w:tc>
          <w:tcPr>
            <w:tcW w:w="1560" w:type="dxa"/>
            <w:tcBorders>
              <w:top w:val="nil"/>
              <w:left w:val="nil"/>
              <w:bottom w:val="nil"/>
              <w:right w:val="nil"/>
            </w:tcBorders>
            <w:shd w:val="clear" w:color="auto" w:fill="auto"/>
            <w:noWrap/>
            <w:vAlign w:val="bottom"/>
            <w:hideMark/>
          </w:tcPr>
          <w:p w14:paraId="3A67739D" w14:textId="77777777" w:rsidR="00C87869" w:rsidRPr="008273C6" w:rsidRDefault="00C87869" w:rsidP="007F6DA1">
            <w:pPr>
              <w:spacing w:line="240" w:lineRule="auto"/>
              <w:jc w:val="center"/>
              <w:rPr>
                <w:color w:val="000000"/>
              </w:rPr>
            </w:pPr>
            <w:r w:rsidRPr="008273C6">
              <w:rPr>
                <w:color w:val="000000"/>
              </w:rPr>
              <w:t>31.7</w:t>
            </w:r>
            <w:r>
              <w:rPr>
                <w:color w:val="000000"/>
              </w:rPr>
              <w:t xml:space="preserve"> ± 8.3%</w:t>
            </w:r>
          </w:p>
        </w:tc>
        <w:tc>
          <w:tcPr>
            <w:tcW w:w="1701" w:type="dxa"/>
            <w:tcBorders>
              <w:top w:val="nil"/>
              <w:left w:val="nil"/>
              <w:bottom w:val="nil"/>
              <w:right w:val="nil"/>
            </w:tcBorders>
            <w:shd w:val="clear" w:color="auto" w:fill="auto"/>
            <w:noWrap/>
            <w:vAlign w:val="bottom"/>
            <w:hideMark/>
          </w:tcPr>
          <w:p w14:paraId="2DCB1E23" w14:textId="77777777" w:rsidR="00C87869" w:rsidRPr="008273C6" w:rsidRDefault="00C87869" w:rsidP="007F6DA1">
            <w:pPr>
              <w:spacing w:line="240" w:lineRule="auto"/>
              <w:jc w:val="center"/>
              <w:rPr>
                <w:color w:val="000000"/>
              </w:rPr>
            </w:pPr>
            <w:r w:rsidRPr="008273C6">
              <w:rPr>
                <w:color w:val="000000"/>
              </w:rPr>
              <w:t>23.2</w:t>
            </w:r>
            <w:r>
              <w:rPr>
                <w:color w:val="000000"/>
              </w:rPr>
              <w:t xml:space="preserve"> ± 7.1%</w:t>
            </w:r>
          </w:p>
        </w:tc>
        <w:tc>
          <w:tcPr>
            <w:tcW w:w="850" w:type="dxa"/>
            <w:tcBorders>
              <w:top w:val="nil"/>
              <w:left w:val="nil"/>
              <w:bottom w:val="nil"/>
              <w:right w:val="nil"/>
            </w:tcBorders>
            <w:shd w:val="clear" w:color="auto" w:fill="auto"/>
            <w:noWrap/>
            <w:vAlign w:val="bottom"/>
            <w:hideMark/>
          </w:tcPr>
          <w:p w14:paraId="644FDEDB" w14:textId="77777777" w:rsidR="00C87869" w:rsidRPr="008273C6" w:rsidRDefault="00C87869" w:rsidP="007F6DA1">
            <w:pPr>
              <w:spacing w:line="240" w:lineRule="auto"/>
              <w:jc w:val="center"/>
              <w:rPr>
                <w:color w:val="000000"/>
              </w:rPr>
            </w:pPr>
            <w:r w:rsidRPr="008273C6">
              <w:rPr>
                <w:color w:val="000000"/>
              </w:rPr>
              <w:t>0.49</w:t>
            </w:r>
          </w:p>
        </w:tc>
        <w:tc>
          <w:tcPr>
            <w:tcW w:w="992" w:type="dxa"/>
            <w:tcBorders>
              <w:top w:val="nil"/>
              <w:left w:val="nil"/>
              <w:bottom w:val="nil"/>
              <w:right w:val="nil"/>
            </w:tcBorders>
            <w:shd w:val="clear" w:color="auto" w:fill="auto"/>
            <w:noWrap/>
            <w:vAlign w:val="bottom"/>
            <w:hideMark/>
          </w:tcPr>
          <w:p w14:paraId="672575F6" w14:textId="77777777" w:rsidR="00C87869" w:rsidRPr="008273C6" w:rsidRDefault="00C87869" w:rsidP="007F6DA1">
            <w:pPr>
              <w:spacing w:line="240" w:lineRule="auto"/>
              <w:jc w:val="center"/>
              <w:rPr>
                <w:color w:val="000000"/>
              </w:rPr>
            </w:pPr>
            <w:r w:rsidRPr="008273C6">
              <w:rPr>
                <w:color w:val="000000"/>
              </w:rPr>
              <w:t>24.44</w:t>
            </w:r>
          </w:p>
        </w:tc>
        <w:tc>
          <w:tcPr>
            <w:tcW w:w="993" w:type="dxa"/>
            <w:tcBorders>
              <w:top w:val="nil"/>
              <w:left w:val="nil"/>
              <w:bottom w:val="nil"/>
              <w:right w:val="nil"/>
            </w:tcBorders>
            <w:shd w:val="clear" w:color="auto" w:fill="auto"/>
            <w:noWrap/>
            <w:vAlign w:val="bottom"/>
            <w:hideMark/>
          </w:tcPr>
          <w:p w14:paraId="232B489E" w14:textId="77777777" w:rsidR="00C87869" w:rsidRPr="008273C6" w:rsidRDefault="00C87869" w:rsidP="007F6DA1">
            <w:pPr>
              <w:spacing w:line="240" w:lineRule="auto"/>
              <w:jc w:val="center"/>
              <w:rPr>
                <w:color w:val="000000"/>
              </w:rPr>
            </w:pPr>
            <w:r w:rsidRPr="008273C6">
              <w:rPr>
                <w:color w:val="000000"/>
              </w:rPr>
              <w:t>82.1%</w:t>
            </w:r>
          </w:p>
        </w:tc>
      </w:tr>
      <w:tr w:rsidR="00C87869" w:rsidRPr="008273C6" w14:paraId="3ED1D55F" w14:textId="77777777" w:rsidTr="007F6DA1">
        <w:trPr>
          <w:trHeight w:val="288"/>
        </w:trPr>
        <w:tc>
          <w:tcPr>
            <w:tcW w:w="4536" w:type="dxa"/>
            <w:tcBorders>
              <w:top w:val="nil"/>
              <w:left w:val="nil"/>
              <w:bottom w:val="nil"/>
              <w:right w:val="nil"/>
            </w:tcBorders>
            <w:shd w:val="clear" w:color="auto" w:fill="auto"/>
            <w:noWrap/>
            <w:vAlign w:val="bottom"/>
            <w:hideMark/>
          </w:tcPr>
          <w:p w14:paraId="2A0A658B" w14:textId="77777777" w:rsidR="00C87869" w:rsidRPr="008273C6" w:rsidRDefault="00C87869" w:rsidP="008D2B66">
            <w:pPr>
              <w:spacing w:line="240" w:lineRule="auto"/>
              <w:rPr>
                <w:color w:val="000000"/>
              </w:rPr>
            </w:pPr>
            <w:r w:rsidRPr="008273C6">
              <w:rPr>
                <w:color w:val="000000"/>
              </w:rPr>
              <w:t>First serve points won (%)</w:t>
            </w:r>
            <w:r w:rsidRPr="002C670F">
              <w:rPr>
                <w:color w:val="000000"/>
                <w:vertAlign w:val="superscript"/>
              </w:rPr>
              <w:t>+</w:t>
            </w:r>
          </w:p>
        </w:tc>
        <w:tc>
          <w:tcPr>
            <w:tcW w:w="1560" w:type="dxa"/>
            <w:tcBorders>
              <w:top w:val="nil"/>
              <w:left w:val="nil"/>
              <w:bottom w:val="nil"/>
              <w:right w:val="nil"/>
            </w:tcBorders>
            <w:shd w:val="clear" w:color="auto" w:fill="auto"/>
            <w:noWrap/>
            <w:vAlign w:val="bottom"/>
            <w:hideMark/>
          </w:tcPr>
          <w:p w14:paraId="6BE6590A" w14:textId="77777777" w:rsidR="00C87869" w:rsidRPr="008273C6" w:rsidRDefault="00C87869" w:rsidP="007F6DA1">
            <w:pPr>
              <w:spacing w:line="240" w:lineRule="auto"/>
              <w:jc w:val="center"/>
              <w:rPr>
                <w:color w:val="000000"/>
              </w:rPr>
            </w:pPr>
            <w:r>
              <w:rPr>
                <w:color w:val="000000"/>
              </w:rPr>
              <w:t>77.0 ± 7.4%</w:t>
            </w:r>
          </w:p>
        </w:tc>
        <w:tc>
          <w:tcPr>
            <w:tcW w:w="1701" w:type="dxa"/>
            <w:tcBorders>
              <w:top w:val="nil"/>
              <w:left w:val="nil"/>
              <w:bottom w:val="nil"/>
              <w:right w:val="nil"/>
            </w:tcBorders>
            <w:shd w:val="clear" w:color="auto" w:fill="auto"/>
            <w:noWrap/>
            <w:vAlign w:val="bottom"/>
            <w:hideMark/>
          </w:tcPr>
          <w:p w14:paraId="7EF2C2C6" w14:textId="77777777" w:rsidR="00C87869" w:rsidRPr="008273C6" w:rsidRDefault="00C87869" w:rsidP="007F6DA1">
            <w:pPr>
              <w:spacing w:line="240" w:lineRule="auto"/>
              <w:jc w:val="center"/>
              <w:rPr>
                <w:color w:val="000000"/>
              </w:rPr>
            </w:pPr>
            <w:r>
              <w:rPr>
                <w:color w:val="000000"/>
              </w:rPr>
              <w:t>68.0 ± 8.9%</w:t>
            </w:r>
          </w:p>
        </w:tc>
        <w:tc>
          <w:tcPr>
            <w:tcW w:w="850" w:type="dxa"/>
            <w:tcBorders>
              <w:top w:val="nil"/>
              <w:left w:val="nil"/>
              <w:bottom w:val="nil"/>
              <w:right w:val="nil"/>
            </w:tcBorders>
            <w:shd w:val="clear" w:color="auto" w:fill="auto"/>
            <w:noWrap/>
            <w:vAlign w:val="bottom"/>
            <w:hideMark/>
          </w:tcPr>
          <w:p w14:paraId="42272695" w14:textId="77777777" w:rsidR="00C87869" w:rsidRPr="008273C6" w:rsidRDefault="00C87869" w:rsidP="007F6DA1">
            <w:pPr>
              <w:spacing w:line="240" w:lineRule="auto"/>
              <w:jc w:val="center"/>
              <w:rPr>
                <w:color w:val="000000"/>
              </w:rPr>
            </w:pPr>
            <w:r w:rsidRPr="008273C6">
              <w:rPr>
                <w:color w:val="000000"/>
              </w:rPr>
              <w:t>0.4</w:t>
            </w:r>
            <w:r>
              <w:rPr>
                <w:color w:val="000000"/>
              </w:rPr>
              <w:t>8</w:t>
            </w:r>
          </w:p>
        </w:tc>
        <w:tc>
          <w:tcPr>
            <w:tcW w:w="992" w:type="dxa"/>
            <w:tcBorders>
              <w:top w:val="nil"/>
              <w:left w:val="nil"/>
              <w:bottom w:val="nil"/>
              <w:right w:val="nil"/>
            </w:tcBorders>
            <w:shd w:val="clear" w:color="auto" w:fill="auto"/>
            <w:noWrap/>
            <w:vAlign w:val="bottom"/>
            <w:hideMark/>
          </w:tcPr>
          <w:p w14:paraId="72FFF752" w14:textId="77777777" w:rsidR="00C87869" w:rsidRPr="008273C6" w:rsidRDefault="00C87869" w:rsidP="007F6DA1">
            <w:pPr>
              <w:spacing w:line="240" w:lineRule="auto"/>
              <w:jc w:val="center"/>
              <w:rPr>
                <w:color w:val="000000"/>
              </w:rPr>
            </w:pPr>
            <w:r w:rsidRPr="008273C6">
              <w:rPr>
                <w:color w:val="000000"/>
              </w:rPr>
              <w:t>2</w:t>
            </w:r>
            <w:r>
              <w:rPr>
                <w:color w:val="000000"/>
              </w:rPr>
              <w:t>4</w:t>
            </w:r>
            <w:r w:rsidRPr="008273C6">
              <w:rPr>
                <w:color w:val="000000"/>
              </w:rPr>
              <w:t>.</w:t>
            </w:r>
            <w:r>
              <w:rPr>
                <w:color w:val="000000"/>
              </w:rPr>
              <w:t>17</w:t>
            </w:r>
          </w:p>
        </w:tc>
        <w:tc>
          <w:tcPr>
            <w:tcW w:w="993" w:type="dxa"/>
            <w:tcBorders>
              <w:top w:val="nil"/>
              <w:left w:val="nil"/>
              <w:bottom w:val="nil"/>
              <w:right w:val="nil"/>
            </w:tcBorders>
            <w:shd w:val="clear" w:color="auto" w:fill="auto"/>
            <w:noWrap/>
            <w:vAlign w:val="bottom"/>
            <w:hideMark/>
          </w:tcPr>
          <w:p w14:paraId="60BFF2C8" w14:textId="77777777" w:rsidR="00C87869" w:rsidRPr="008273C6" w:rsidRDefault="00C87869" w:rsidP="007F6DA1">
            <w:pPr>
              <w:spacing w:line="240" w:lineRule="auto"/>
              <w:jc w:val="center"/>
              <w:rPr>
                <w:color w:val="000000"/>
              </w:rPr>
            </w:pPr>
            <w:r>
              <w:rPr>
                <w:color w:val="000000"/>
              </w:rPr>
              <w:t>81.6</w:t>
            </w:r>
            <w:r w:rsidRPr="008273C6">
              <w:rPr>
                <w:color w:val="000000"/>
              </w:rPr>
              <w:t>%</w:t>
            </w:r>
          </w:p>
        </w:tc>
      </w:tr>
      <w:tr w:rsidR="00C87869" w:rsidRPr="008273C6" w14:paraId="2C968F98" w14:textId="77777777" w:rsidTr="007F6DA1">
        <w:trPr>
          <w:trHeight w:val="288"/>
        </w:trPr>
        <w:tc>
          <w:tcPr>
            <w:tcW w:w="4536" w:type="dxa"/>
            <w:tcBorders>
              <w:top w:val="nil"/>
              <w:left w:val="nil"/>
              <w:bottom w:val="nil"/>
              <w:right w:val="nil"/>
            </w:tcBorders>
            <w:shd w:val="clear" w:color="auto" w:fill="auto"/>
            <w:noWrap/>
            <w:vAlign w:val="bottom"/>
            <w:hideMark/>
          </w:tcPr>
          <w:p w14:paraId="12F37AE0" w14:textId="77777777" w:rsidR="00C87869" w:rsidRPr="008273C6" w:rsidRDefault="00C87869" w:rsidP="008D2B66">
            <w:pPr>
              <w:spacing w:line="240" w:lineRule="auto"/>
              <w:rPr>
                <w:color w:val="000000"/>
              </w:rPr>
            </w:pPr>
            <w:r w:rsidRPr="008273C6">
              <w:rPr>
                <w:color w:val="000000"/>
              </w:rPr>
              <w:t>Second serve points won (%)</w:t>
            </w:r>
            <w:r w:rsidRPr="002C670F">
              <w:rPr>
                <w:color w:val="000000"/>
                <w:vertAlign w:val="superscript"/>
              </w:rPr>
              <w:t>+</w:t>
            </w:r>
          </w:p>
        </w:tc>
        <w:tc>
          <w:tcPr>
            <w:tcW w:w="1560" w:type="dxa"/>
            <w:tcBorders>
              <w:top w:val="nil"/>
              <w:left w:val="nil"/>
              <w:bottom w:val="nil"/>
              <w:right w:val="nil"/>
            </w:tcBorders>
            <w:shd w:val="clear" w:color="auto" w:fill="auto"/>
            <w:noWrap/>
            <w:vAlign w:val="bottom"/>
            <w:hideMark/>
          </w:tcPr>
          <w:p w14:paraId="21BDA34A" w14:textId="77777777" w:rsidR="00C87869" w:rsidRPr="008273C6" w:rsidRDefault="00C87869" w:rsidP="007F6DA1">
            <w:pPr>
              <w:spacing w:line="240" w:lineRule="auto"/>
              <w:jc w:val="center"/>
              <w:rPr>
                <w:color w:val="000000"/>
              </w:rPr>
            </w:pPr>
            <w:r w:rsidRPr="008273C6">
              <w:rPr>
                <w:color w:val="000000"/>
              </w:rPr>
              <w:t>54.5</w:t>
            </w:r>
            <w:r>
              <w:rPr>
                <w:color w:val="000000"/>
              </w:rPr>
              <w:t xml:space="preserve"> ± 10.1%</w:t>
            </w:r>
          </w:p>
        </w:tc>
        <w:tc>
          <w:tcPr>
            <w:tcW w:w="1701" w:type="dxa"/>
            <w:tcBorders>
              <w:top w:val="nil"/>
              <w:left w:val="nil"/>
              <w:bottom w:val="nil"/>
              <w:right w:val="nil"/>
            </w:tcBorders>
            <w:shd w:val="clear" w:color="auto" w:fill="auto"/>
            <w:noWrap/>
            <w:vAlign w:val="bottom"/>
            <w:hideMark/>
          </w:tcPr>
          <w:p w14:paraId="032E2567" w14:textId="77777777" w:rsidR="00C87869" w:rsidRPr="008273C6" w:rsidRDefault="00C87869" w:rsidP="007F6DA1">
            <w:pPr>
              <w:spacing w:line="240" w:lineRule="auto"/>
              <w:jc w:val="center"/>
              <w:rPr>
                <w:color w:val="000000"/>
              </w:rPr>
            </w:pPr>
            <w:r w:rsidRPr="008273C6">
              <w:rPr>
                <w:color w:val="000000"/>
              </w:rPr>
              <w:t>45.5</w:t>
            </w:r>
            <w:r>
              <w:rPr>
                <w:color w:val="000000"/>
              </w:rPr>
              <w:t xml:space="preserve"> ± 10.3%</w:t>
            </w:r>
          </w:p>
        </w:tc>
        <w:tc>
          <w:tcPr>
            <w:tcW w:w="850" w:type="dxa"/>
            <w:tcBorders>
              <w:top w:val="nil"/>
              <w:left w:val="nil"/>
              <w:bottom w:val="nil"/>
              <w:right w:val="nil"/>
            </w:tcBorders>
            <w:shd w:val="clear" w:color="auto" w:fill="auto"/>
            <w:noWrap/>
            <w:vAlign w:val="bottom"/>
            <w:hideMark/>
          </w:tcPr>
          <w:p w14:paraId="1C5D99E4" w14:textId="77777777" w:rsidR="00C87869" w:rsidRPr="008273C6" w:rsidRDefault="00C87869" w:rsidP="007F6DA1">
            <w:pPr>
              <w:spacing w:line="240" w:lineRule="auto"/>
              <w:jc w:val="center"/>
              <w:rPr>
                <w:color w:val="000000"/>
              </w:rPr>
            </w:pPr>
            <w:r w:rsidRPr="008273C6">
              <w:rPr>
                <w:color w:val="000000"/>
              </w:rPr>
              <w:t>0.4</w:t>
            </w:r>
            <w:r>
              <w:rPr>
                <w:color w:val="000000"/>
              </w:rPr>
              <w:t>0</w:t>
            </w:r>
          </w:p>
        </w:tc>
        <w:tc>
          <w:tcPr>
            <w:tcW w:w="992" w:type="dxa"/>
            <w:tcBorders>
              <w:top w:val="nil"/>
              <w:left w:val="nil"/>
              <w:bottom w:val="nil"/>
              <w:right w:val="nil"/>
            </w:tcBorders>
            <w:shd w:val="clear" w:color="auto" w:fill="auto"/>
            <w:noWrap/>
            <w:vAlign w:val="bottom"/>
            <w:hideMark/>
          </w:tcPr>
          <w:p w14:paraId="4DE57F85" w14:textId="77777777" w:rsidR="00C87869" w:rsidRPr="008273C6" w:rsidRDefault="00C87869" w:rsidP="007F6DA1">
            <w:pPr>
              <w:spacing w:line="240" w:lineRule="auto"/>
              <w:jc w:val="center"/>
              <w:rPr>
                <w:color w:val="000000"/>
              </w:rPr>
            </w:pPr>
            <w:r w:rsidRPr="008273C6">
              <w:rPr>
                <w:color w:val="000000"/>
              </w:rPr>
              <w:t>17.</w:t>
            </w:r>
            <w:r>
              <w:rPr>
                <w:color w:val="000000"/>
              </w:rPr>
              <w:t>86</w:t>
            </w:r>
          </w:p>
        </w:tc>
        <w:tc>
          <w:tcPr>
            <w:tcW w:w="993" w:type="dxa"/>
            <w:tcBorders>
              <w:top w:val="nil"/>
              <w:left w:val="nil"/>
              <w:bottom w:val="nil"/>
              <w:right w:val="nil"/>
            </w:tcBorders>
            <w:shd w:val="clear" w:color="auto" w:fill="auto"/>
            <w:noWrap/>
            <w:vAlign w:val="bottom"/>
            <w:hideMark/>
          </w:tcPr>
          <w:p w14:paraId="7859EAED" w14:textId="77777777" w:rsidR="00C87869" w:rsidRPr="008273C6" w:rsidRDefault="00C87869" w:rsidP="007F6DA1">
            <w:pPr>
              <w:spacing w:line="240" w:lineRule="auto"/>
              <w:jc w:val="center"/>
              <w:rPr>
                <w:color w:val="000000"/>
              </w:rPr>
            </w:pPr>
            <w:r w:rsidRPr="008273C6">
              <w:rPr>
                <w:color w:val="000000"/>
              </w:rPr>
              <w:t>7</w:t>
            </w:r>
            <w:r>
              <w:rPr>
                <w:color w:val="000000"/>
              </w:rPr>
              <w:t>2</w:t>
            </w:r>
            <w:r w:rsidRPr="008273C6">
              <w:rPr>
                <w:color w:val="000000"/>
              </w:rPr>
              <w:t>.</w:t>
            </w:r>
            <w:r>
              <w:rPr>
                <w:color w:val="000000"/>
              </w:rPr>
              <w:t>9</w:t>
            </w:r>
            <w:r w:rsidRPr="008273C6">
              <w:rPr>
                <w:color w:val="000000"/>
              </w:rPr>
              <w:t>%</w:t>
            </w:r>
          </w:p>
        </w:tc>
      </w:tr>
      <w:tr w:rsidR="00C87869" w:rsidRPr="008273C6" w14:paraId="47EA5736" w14:textId="77777777" w:rsidTr="007F6DA1">
        <w:trPr>
          <w:trHeight w:val="288"/>
        </w:trPr>
        <w:tc>
          <w:tcPr>
            <w:tcW w:w="4536" w:type="dxa"/>
            <w:tcBorders>
              <w:top w:val="nil"/>
              <w:left w:val="nil"/>
              <w:bottom w:val="nil"/>
              <w:right w:val="nil"/>
            </w:tcBorders>
            <w:shd w:val="clear" w:color="auto" w:fill="auto"/>
            <w:noWrap/>
            <w:vAlign w:val="bottom"/>
            <w:hideMark/>
          </w:tcPr>
          <w:p w14:paraId="270F79AF" w14:textId="77777777" w:rsidR="00C87869" w:rsidRPr="008273C6" w:rsidRDefault="00C87869" w:rsidP="008D2B66">
            <w:pPr>
              <w:spacing w:line="240" w:lineRule="auto"/>
              <w:rPr>
                <w:color w:val="000000"/>
              </w:rPr>
            </w:pPr>
            <w:r w:rsidRPr="008273C6">
              <w:rPr>
                <w:color w:val="000000"/>
              </w:rPr>
              <w:t>Second serve-return points won (%)</w:t>
            </w:r>
            <w:r w:rsidRPr="002C670F">
              <w:rPr>
                <w:color w:val="000000"/>
                <w:vertAlign w:val="superscript"/>
              </w:rPr>
              <w:t>+</w:t>
            </w:r>
          </w:p>
        </w:tc>
        <w:tc>
          <w:tcPr>
            <w:tcW w:w="1560" w:type="dxa"/>
            <w:tcBorders>
              <w:top w:val="nil"/>
              <w:left w:val="nil"/>
              <w:bottom w:val="nil"/>
              <w:right w:val="nil"/>
            </w:tcBorders>
            <w:shd w:val="clear" w:color="auto" w:fill="auto"/>
            <w:noWrap/>
            <w:vAlign w:val="bottom"/>
            <w:hideMark/>
          </w:tcPr>
          <w:p w14:paraId="17BC02A6" w14:textId="77777777" w:rsidR="00C87869" w:rsidRPr="008273C6" w:rsidRDefault="00C87869" w:rsidP="007F6DA1">
            <w:pPr>
              <w:spacing w:line="240" w:lineRule="auto"/>
              <w:jc w:val="center"/>
              <w:rPr>
                <w:color w:val="000000"/>
              </w:rPr>
            </w:pPr>
            <w:r w:rsidRPr="008273C6">
              <w:rPr>
                <w:color w:val="000000"/>
              </w:rPr>
              <w:t>54.4</w:t>
            </w:r>
            <w:r>
              <w:rPr>
                <w:color w:val="000000"/>
              </w:rPr>
              <w:t xml:space="preserve"> ± 10.3%</w:t>
            </w:r>
          </w:p>
        </w:tc>
        <w:tc>
          <w:tcPr>
            <w:tcW w:w="1701" w:type="dxa"/>
            <w:tcBorders>
              <w:top w:val="nil"/>
              <w:left w:val="nil"/>
              <w:bottom w:val="nil"/>
              <w:right w:val="nil"/>
            </w:tcBorders>
            <w:shd w:val="clear" w:color="auto" w:fill="auto"/>
            <w:noWrap/>
            <w:vAlign w:val="bottom"/>
            <w:hideMark/>
          </w:tcPr>
          <w:p w14:paraId="22BE4624" w14:textId="77777777" w:rsidR="00C87869" w:rsidRPr="008273C6" w:rsidRDefault="00C87869" w:rsidP="007F6DA1">
            <w:pPr>
              <w:spacing w:line="240" w:lineRule="auto"/>
              <w:jc w:val="center"/>
              <w:rPr>
                <w:color w:val="000000"/>
              </w:rPr>
            </w:pPr>
            <w:r w:rsidRPr="008273C6">
              <w:rPr>
                <w:color w:val="000000"/>
              </w:rPr>
              <w:t>45.4</w:t>
            </w:r>
            <w:r>
              <w:rPr>
                <w:color w:val="000000"/>
              </w:rPr>
              <w:t xml:space="preserve"> ± 10.1%</w:t>
            </w:r>
          </w:p>
        </w:tc>
        <w:tc>
          <w:tcPr>
            <w:tcW w:w="850" w:type="dxa"/>
            <w:tcBorders>
              <w:top w:val="nil"/>
              <w:left w:val="nil"/>
              <w:bottom w:val="nil"/>
              <w:right w:val="nil"/>
            </w:tcBorders>
            <w:shd w:val="clear" w:color="auto" w:fill="auto"/>
            <w:noWrap/>
            <w:vAlign w:val="bottom"/>
            <w:hideMark/>
          </w:tcPr>
          <w:p w14:paraId="78959084" w14:textId="77777777" w:rsidR="00C87869" w:rsidRPr="008273C6" w:rsidRDefault="00C87869" w:rsidP="007F6DA1">
            <w:pPr>
              <w:spacing w:line="240" w:lineRule="auto"/>
              <w:jc w:val="center"/>
              <w:rPr>
                <w:color w:val="000000"/>
              </w:rPr>
            </w:pPr>
            <w:r w:rsidRPr="008273C6">
              <w:rPr>
                <w:color w:val="000000"/>
              </w:rPr>
              <w:t>0.40</w:t>
            </w:r>
          </w:p>
        </w:tc>
        <w:tc>
          <w:tcPr>
            <w:tcW w:w="992" w:type="dxa"/>
            <w:tcBorders>
              <w:top w:val="nil"/>
              <w:left w:val="nil"/>
              <w:bottom w:val="nil"/>
              <w:right w:val="nil"/>
            </w:tcBorders>
            <w:shd w:val="clear" w:color="auto" w:fill="auto"/>
            <w:noWrap/>
            <w:vAlign w:val="bottom"/>
            <w:hideMark/>
          </w:tcPr>
          <w:p w14:paraId="1CD6160F" w14:textId="77777777" w:rsidR="00C87869" w:rsidRPr="008273C6" w:rsidRDefault="00C87869" w:rsidP="007F6DA1">
            <w:pPr>
              <w:spacing w:line="240" w:lineRule="auto"/>
              <w:jc w:val="center"/>
              <w:rPr>
                <w:color w:val="000000"/>
              </w:rPr>
            </w:pPr>
            <w:r w:rsidRPr="008273C6">
              <w:rPr>
                <w:color w:val="000000"/>
              </w:rPr>
              <w:t>17.88</w:t>
            </w:r>
          </w:p>
        </w:tc>
        <w:tc>
          <w:tcPr>
            <w:tcW w:w="993" w:type="dxa"/>
            <w:tcBorders>
              <w:top w:val="nil"/>
              <w:left w:val="nil"/>
              <w:bottom w:val="nil"/>
              <w:right w:val="nil"/>
            </w:tcBorders>
            <w:shd w:val="clear" w:color="auto" w:fill="auto"/>
            <w:noWrap/>
            <w:vAlign w:val="bottom"/>
            <w:hideMark/>
          </w:tcPr>
          <w:p w14:paraId="5C190BE6" w14:textId="77777777" w:rsidR="00C87869" w:rsidRPr="008273C6" w:rsidRDefault="00C87869" w:rsidP="007F6DA1">
            <w:pPr>
              <w:spacing w:line="240" w:lineRule="auto"/>
              <w:jc w:val="center"/>
              <w:rPr>
                <w:color w:val="000000"/>
              </w:rPr>
            </w:pPr>
            <w:r w:rsidRPr="008273C6">
              <w:rPr>
                <w:color w:val="000000"/>
              </w:rPr>
              <w:t>72.9%</w:t>
            </w:r>
          </w:p>
        </w:tc>
      </w:tr>
      <w:tr w:rsidR="00C87869" w:rsidRPr="008273C6" w14:paraId="0E9D22CA" w14:textId="77777777" w:rsidTr="007F6DA1">
        <w:trPr>
          <w:trHeight w:val="288"/>
        </w:trPr>
        <w:tc>
          <w:tcPr>
            <w:tcW w:w="4536" w:type="dxa"/>
            <w:tcBorders>
              <w:top w:val="nil"/>
              <w:left w:val="nil"/>
              <w:bottom w:val="nil"/>
              <w:right w:val="nil"/>
            </w:tcBorders>
            <w:shd w:val="clear" w:color="auto" w:fill="auto"/>
            <w:noWrap/>
            <w:vAlign w:val="bottom"/>
            <w:hideMark/>
          </w:tcPr>
          <w:p w14:paraId="04209899" w14:textId="453AADBE" w:rsidR="00C87869" w:rsidRPr="008273C6" w:rsidRDefault="00A25A86" w:rsidP="008D2B66">
            <w:pPr>
              <w:spacing w:line="240" w:lineRule="auto"/>
              <w:rPr>
                <w:color w:val="000000"/>
              </w:rPr>
            </w:pPr>
            <w:r>
              <w:rPr>
                <w:color w:val="000000"/>
              </w:rPr>
              <w:t>Winners:UE</w:t>
            </w:r>
            <w:r w:rsidR="00C87869" w:rsidRPr="008273C6">
              <w:rPr>
                <w:color w:val="000000"/>
              </w:rPr>
              <w:t xml:space="preserve"> Ratio (%)</w:t>
            </w:r>
          </w:p>
        </w:tc>
        <w:tc>
          <w:tcPr>
            <w:tcW w:w="1560" w:type="dxa"/>
            <w:tcBorders>
              <w:top w:val="nil"/>
              <w:left w:val="nil"/>
              <w:bottom w:val="nil"/>
              <w:right w:val="nil"/>
            </w:tcBorders>
            <w:shd w:val="clear" w:color="auto" w:fill="auto"/>
            <w:noWrap/>
            <w:vAlign w:val="bottom"/>
            <w:hideMark/>
          </w:tcPr>
          <w:p w14:paraId="718AE139" w14:textId="77777777" w:rsidR="00C87869" w:rsidRPr="008273C6" w:rsidRDefault="00C87869" w:rsidP="007F6DA1">
            <w:pPr>
              <w:spacing w:line="240" w:lineRule="auto"/>
              <w:jc w:val="center"/>
              <w:rPr>
                <w:color w:val="000000"/>
              </w:rPr>
            </w:pPr>
            <w:r w:rsidRPr="008273C6">
              <w:rPr>
                <w:color w:val="000000"/>
              </w:rPr>
              <w:t>89.1</w:t>
            </w:r>
            <w:r>
              <w:rPr>
                <w:color w:val="000000"/>
              </w:rPr>
              <w:t xml:space="preserve"> ± 44.3%</w:t>
            </w:r>
          </w:p>
        </w:tc>
        <w:tc>
          <w:tcPr>
            <w:tcW w:w="1701" w:type="dxa"/>
            <w:tcBorders>
              <w:top w:val="nil"/>
              <w:left w:val="nil"/>
              <w:bottom w:val="nil"/>
              <w:right w:val="nil"/>
            </w:tcBorders>
            <w:shd w:val="clear" w:color="auto" w:fill="auto"/>
            <w:noWrap/>
            <w:vAlign w:val="bottom"/>
            <w:hideMark/>
          </w:tcPr>
          <w:p w14:paraId="77EF3805" w14:textId="77777777" w:rsidR="00C87869" w:rsidRPr="008273C6" w:rsidRDefault="00C87869" w:rsidP="007F6DA1">
            <w:pPr>
              <w:spacing w:line="240" w:lineRule="auto"/>
              <w:jc w:val="center"/>
              <w:rPr>
                <w:color w:val="000000"/>
              </w:rPr>
            </w:pPr>
            <w:r w:rsidRPr="008273C6">
              <w:rPr>
                <w:color w:val="000000"/>
              </w:rPr>
              <w:t>59.8</w:t>
            </w:r>
            <w:r>
              <w:rPr>
                <w:color w:val="000000"/>
              </w:rPr>
              <w:t xml:space="preserve"> ± 29.6%</w:t>
            </w:r>
          </w:p>
        </w:tc>
        <w:tc>
          <w:tcPr>
            <w:tcW w:w="850" w:type="dxa"/>
            <w:tcBorders>
              <w:top w:val="nil"/>
              <w:left w:val="nil"/>
              <w:bottom w:val="nil"/>
              <w:right w:val="nil"/>
            </w:tcBorders>
            <w:shd w:val="clear" w:color="auto" w:fill="auto"/>
            <w:noWrap/>
            <w:vAlign w:val="bottom"/>
            <w:hideMark/>
          </w:tcPr>
          <w:p w14:paraId="2F4522CF" w14:textId="77777777" w:rsidR="00C87869" w:rsidRPr="008273C6" w:rsidRDefault="00C87869" w:rsidP="007F6DA1">
            <w:pPr>
              <w:spacing w:line="240" w:lineRule="auto"/>
              <w:jc w:val="center"/>
              <w:rPr>
                <w:color w:val="000000"/>
              </w:rPr>
            </w:pPr>
            <w:r w:rsidRPr="008273C6">
              <w:rPr>
                <w:color w:val="000000"/>
              </w:rPr>
              <w:t>0.36</w:t>
            </w:r>
          </w:p>
        </w:tc>
        <w:tc>
          <w:tcPr>
            <w:tcW w:w="992" w:type="dxa"/>
            <w:tcBorders>
              <w:top w:val="nil"/>
              <w:left w:val="nil"/>
              <w:bottom w:val="nil"/>
              <w:right w:val="nil"/>
            </w:tcBorders>
            <w:shd w:val="clear" w:color="auto" w:fill="auto"/>
            <w:noWrap/>
            <w:vAlign w:val="bottom"/>
            <w:hideMark/>
          </w:tcPr>
          <w:p w14:paraId="0A5536F2" w14:textId="77777777" w:rsidR="00C87869" w:rsidRPr="008273C6" w:rsidRDefault="00C87869" w:rsidP="007F6DA1">
            <w:pPr>
              <w:spacing w:line="240" w:lineRule="auto"/>
              <w:jc w:val="center"/>
              <w:rPr>
                <w:color w:val="000000"/>
              </w:rPr>
            </w:pPr>
            <w:r w:rsidRPr="008273C6">
              <w:rPr>
                <w:color w:val="000000"/>
              </w:rPr>
              <w:t>17.56</w:t>
            </w:r>
          </w:p>
        </w:tc>
        <w:tc>
          <w:tcPr>
            <w:tcW w:w="993" w:type="dxa"/>
            <w:tcBorders>
              <w:top w:val="nil"/>
              <w:left w:val="nil"/>
              <w:bottom w:val="nil"/>
              <w:right w:val="nil"/>
            </w:tcBorders>
            <w:shd w:val="clear" w:color="auto" w:fill="auto"/>
            <w:noWrap/>
            <w:vAlign w:val="bottom"/>
            <w:hideMark/>
          </w:tcPr>
          <w:p w14:paraId="022989EE" w14:textId="77777777" w:rsidR="00C87869" w:rsidRPr="008273C6" w:rsidRDefault="00C87869" w:rsidP="007F6DA1">
            <w:pPr>
              <w:spacing w:line="240" w:lineRule="auto"/>
              <w:jc w:val="center"/>
              <w:rPr>
                <w:color w:val="000000"/>
              </w:rPr>
            </w:pPr>
            <w:r w:rsidRPr="008273C6">
              <w:rPr>
                <w:color w:val="000000"/>
              </w:rPr>
              <w:t>76.6%</w:t>
            </w:r>
          </w:p>
        </w:tc>
      </w:tr>
      <w:tr w:rsidR="00C87869" w:rsidRPr="008273C6" w14:paraId="2F1EFD87" w14:textId="77777777" w:rsidTr="007F6DA1">
        <w:trPr>
          <w:trHeight w:val="288"/>
        </w:trPr>
        <w:tc>
          <w:tcPr>
            <w:tcW w:w="4536" w:type="dxa"/>
            <w:tcBorders>
              <w:top w:val="nil"/>
              <w:left w:val="nil"/>
              <w:bottom w:val="nil"/>
              <w:right w:val="nil"/>
            </w:tcBorders>
            <w:shd w:val="clear" w:color="auto" w:fill="auto"/>
            <w:noWrap/>
            <w:vAlign w:val="bottom"/>
            <w:hideMark/>
          </w:tcPr>
          <w:p w14:paraId="3D4C631F" w14:textId="77777777" w:rsidR="00C87869" w:rsidRPr="008273C6" w:rsidRDefault="00C87869" w:rsidP="008D2B66">
            <w:pPr>
              <w:spacing w:line="240" w:lineRule="auto"/>
              <w:rPr>
                <w:color w:val="000000"/>
              </w:rPr>
            </w:pPr>
            <w:r w:rsidRPr="008273C6">
              <w:rPr>
                <w:color w:val="000000"/>
              </w:rPr>
              <w:t>Points won of 5-8 rally length serving (%)</w:t>
            </w:r>
          </w:p>
        </w:tc>
        <w:tc>
          <w:tcPr>
            <w:tcW w:w="1560" w:type="dxa"/>
            <w:tcBorders>
              <w:top w:val="nil"/>
              <w:left w:val="nil"/>
              <w:bottom w:val="nil"/>
              <w:right w:val="nil"/>
            </w:tcBorders>
            <w:shd w:val="clear" w:color="auto" w:fill="auto"/>
            <w:noWrap/>
            <w:vAlign w:val="bottom"/>
            <w:hideMark/>
          </w:tcPr>
          <w:p w14:paraId="36836E89" w14:textId="77777777" w:rsidR="00C87869" w:rsidRPr="008273C6" w:rsidRDefault="00C87869" w:rsidP="007F6DA1">
            <w:pPr>
              <w:spacing w:line="240" w:lineRule="auto"/>
              <w:jc w:val="center"/>
              <w:rPr>
                <w:color w:val="000000"/>
              </w:rPr>
            </w:pPr>
            <w:r w:rsidRPr="008273C6">
              <w:rPr>
                <w:color w:val="000000"/>
              </w:rPr>
              <w:t>56.7</w:t>
            </w:r>
            <w:r>
              <w:rPr>
                <w:color w:val="000000"/>
              </w:rPr>
              <w:t xml:space="preserve"> ± 12.7%</w:t>
            </w:r>
          </w:p>
        </w:tc>
        <w:tc>
          <w:tcPr>
            <w:tcW w:w="1701" w:type="dxa"/>
            <w:tcBorders>
              <w:top w:val="nil"/>
              <w:left w:val="nil"/>
              <w:bottom w:val="nil"/>
              <w:right w:val="nil"/>
            </w:tcBorders>
            <w:shd w:val="clear" w:color="auto" w:fill="auto"/>
            <w:noWrap/>
            <w:vAlign w:val="bottom"/>
            <w:hideMark/>
          </w:tcPr>
          <w:p w14:paraId="6B34422D" w14:textId="77777777" w:rsidR="00C87869" w:rsidRPr="008273C6" w:rsidRDefault="00C87869" w:rsidP="007F6DA1">
            <w:pPr>
              <w:spacing w:line="240" w:lineRule="auto"/>
              <w:jc w:val="center"/>
              <w:rPr>
                <w:color w:val="000000"/>
              </w:rPr>
            </w:pPr>
            <w:r w:rsidRPr="008273C6">
              <w:rPr>
                <w:color w:val="000000"/>
              </w:rPr>
              <w:t>47.7</w:t>
            </w:r>
            <w:r>
              <w:rPr>
                <w:color w:val="000000"/>
              </w:rPr>
              <w:t xml:space="preserve"> ± 12.8%</w:t>
            </w:r>
          </w:p>
        </w:tc>
        <w:tc>
          <w:tcPr>
            <w:tcW w:w="850" w:type="dxa"/>
            <w:tcBorders>
              <w:top w:val="nil"/>
              <w:left w:val="nil"/>
              <w:bottom w:val="nil"/>
              <w:right w:val="nil"/>
            </w:tcBorders>
            <w:shd w:val="clear" w:color="auto" w:fill="auto"/>
            <w:noWrap/>
            <w:vAlign w:val="bottom"/>
            <w:hideMark/>
          </w:tcPr>
          <w:p w14:paraId="4EDBB255" w14:textId="77777777" w:rsidR="00C87869" w:rsidRPr="008273C6" w:rsidRDefault="00C87869" w:rsidP="007F6DA1">
            <w:pPr>
              <w:spacing w:line="240" w:lineRule="auto"/>
              <w:jc w:val="center"/>
              <w:rPr>
                <w:color w:val="000000"/>
              </w:rPr>
            </w:pPr>
            <w:r w:rsidRPr="008273C6">
              <w:rPr>
                <w:color w:val="000000"/>
              </w:rPr>
              <w:t>0.33</w:t>
            </w:r>
          </w:p>
        </w:tc>
        <w:tc>
          <w:tcPr>
            <w:tcW w:w="992" w:type="dxa"/>
            <w:tcBorders>
              <w:top w:val="nil"/>
              <w:left w:val="nil"/>
              <w:bottom w:val="nil"/>
              <w:right w:val="nil"/>
            </w:tcBorders>
            <w:shd w:val="clear" w:color="auto" w:fill="auto"/>
            <w:noWrap/>
            <w:vAlign w:val="bottom"/>
            <w:hideMark/>
          </w:tcPr>
          <w:p w14:paraId="5D5535A1" w14:textId="77777777" w:rsidR="00C87869" w:rsidRPr="008273C6" w:rsidRDefault="00C87869" w:rsidP="007F6DA1">
            <w:pPr>
              <w:spacing w:line="240" w:lineRule="auto"/>
              <w:jc w:val="center"/>
              <w:rPr>
                <w:color w:val="000000"/>
              </w:rPr>
            </w:pPr>
            <w:r w:rsidRPr="008273C6">
              <w:rPr>
                <w:color w:val="000000"/>
              </w:rPr>
              <w:t>13.87</w:t>
            </w:r>
          </w:p>
        </w:tc>
        <w:tc>
          <w:tcPr>
            <w:tcW w:w="993" w:type="dxa"/>
            <w:tcBorders>
              <w:top w:val="nil"/>
              <w:left w:val="nil"/>
              <w:bottom w:val="nil"/>
              <w:right w:val="nil"/>
            </w:tcBorders>
            <w:shd w:val="clear" w:color="auto" w:fill="auto"/>
            <w:noWrap/>
            <w:vAlign w:val="bottom"/>
            <w:hideMark/>
          </w:tcPr>
          <w:p w14:paraId="28F737A8" w14:textId="77777777" w:rsidR="00C87869" w:rsidRPr="008273C6" w:rsidRDefault="00C87869" w:rsidP="007F6DA1">
            <w:pPr>
              <w:spacing w:line="240" w:lineRule="auto"/>
              <w:jc w:val="center"/>
              <w:rPr>
                <w:color w:val="000000"/>
              </w:rPr>
            </w:pPr>
            <w:r w:rsidRPr="008273C6">
              <w:rPr>
                <w:color w:val="000000"/>
              </w:rPr>
              <w:t>67.8%</w:t>
            </w:r>
          </w:p>
        </w:tc>
      </w:tr>
      <w:tr w:rsidR="00C87869" w:rsidRPr="008273C6" w14:paraId="6E01F828" w14:textId="77777777" w:rsidTr="007F6DA1">
        <w:trPr>
          <w:trHeight w:val="288"/>
        </w:trPr>
        <w:tc>
          <w:tcPr>
            <w:tcW w:w="4536" w:type="dxa"/>
            <w:tcBorders>
              <w:top w:val="nil"/>
              <w:left w:val="nil"/>
              <w:bottom w:val="nil"/>
              <w:right w:val="nil"/>
            </w:tcBorders>
            <w:shd w:val="clear" w:color="auto" w:fill="auto"/>
            <w:noWrap/>
            <w:vAlign w:val="bottom"/>
            <w:hideMark/>
          </w:tcPr>
          <w:p w14:paraId="52F0E12F" w14:textId="77777777" w:rsidR="00C87869" w:rsidRPr="008273C6" w:rsidRDefault="00C87869" w:rsidP="008D2B66">
            <w:pPr>
              <w:spacing w:line="240" w:lineRule="auto"/>
              <w:rPr>
                <w:color w:val="000000"/>
              </w:rPr>
            </w:pPr>
            <w:r w:rsidRPr="008273C6">
              <w:rPr>
                <w:color w:val="000000"/>
              </w:rPr>
              <w:t>Points won of 5-8 rally length returning (%)</w:t>
            </w:r>
          </w:p>
        </w:tc>
        <w:tc>
          <w:tcPr>
            <w:tcW w:w="1560" w:type="dxa"/>
            <w:tcBorders>
              <w:top w:val="nil"/>
              <w:left w:val="nil"/>
              <w:bottom w:val="nil"/>
              <w:right w:val="nil"/>
            </w:tcBorders>
            <w:shd w:val="clear" w:color="auto" w:fill="auto"/>
            <w:noWrap/>
            <w:vAlign w:val="bottom"/>
            <w:hideMark/>
          </w:tcPr>
          <w:p w14:paraId="7DFBAA4D" w14:textId="77777777" w:rsidR="00C87869" w:rsidRPr="008273C6" w:rsidRDefault="00C87869" w:rsidP="007F6DA1">
            <w:pPr>
              <w:spacing w:line="240" w:lineRule="auto"/>
              <w:jc w:val="center"/>
              <w:rPr>
                <w:color w:val="000000"/>
              </w:rPr>
            </w:pPr>
            <w:r w:rsidRPr="008273C6">
              <w:rPr>
                <w:color w:val="000000"/>
              </w:rPr>
              <w:t>52.3</w:t>
            </w:r>
            <w:r>
              <w:rPr>
                <w:color w:val="000000"/>
              </w:rPr>
              <w:t xml:space="preserve"> ± 12.8%</w:t>
            </w:r>
          </w:p>
        </w:tc>
        <w:tc>
          <w:tcPr>
            <w:tcW w:w="1701" w:type="dxa"/>
            <w:tcBorders>
              <w:top w:val="nil"/>
              <w:left w:val="nil"/>
              <w:bottom w:val="nil"/>
              <w:right w:val="nil"/>
            </w:tcBorders>
            <w:shd w:val="clear" w:color="auto" w:fill="auto"/>
            <w:noWrap/>
            <w:vAlign w:val="bottom"/>
            <w:hideMark/>
          </w:tcPr>
          <w:p w14:paraId="3AC15132" w14:textId="77777777" w:rsidR="00C87869" w:rsidRPr="008273C6" w:rsidRDefault="00C87869" w:rsidP="007F6DA1">
            <w:pPr>
              <w:spacing w:line="240" w:lineRule="auto"/>
              <w:jc w:val="center"/>
              <w:rPr>
                <w:color w:val="000000"/>
              </w:rPr>
            </w:pPr>
            <w:r w:rsidRPr="008273C6">
              <w:rPr>
                <w:color w:val="000000"/>
              </w:rPr>
              <w:t>43.3</w:t>
            </w:r>
            <w:r>
              <w:rPr>
                <w:color w:val="000000"/>
              </w:rPr>
              <w:t xml:space="preserve"> ± 12.7%</w:t>
            </w:r>
          </w:p>
        </w:tc>
        <w:tc>
          <w:tcPr>
            <w:tcW w:w="850" w:type="dxa"/>
            <w:tcBorders>
              <w:top w:val="nil"/>
              <w:left w:val="nil"/>
              <w:bottom w:val="nil"/>
              <w:right w:val="nil"/>
            </w:tcBorders>
            <w:shd w:val="clear" w:color="auto" w:fill="auto"/>
            <w:noWrap/>
            <w:vAlign w:val="bottom"/>
            <w:hideMark/>
          </w:tcPr>
          <w:p w14:paraId="2554C35B" w14:textId="77777777" w:rsidR="00C87869" w:rsidRPr="008273C6" w:rsidRDefault="00C87869" w:rsidP="007F6DA1">
            <w:pPr>
              <w:spacing w:line="240" w:lineRule="auto"/>
              <w:jc w:val="center"/>
              <w:rPr>
                <w:color w:val="000000"/>
              </w:rPr>
            </w:pPr>
            <w:r w:rsidRPr="008273C6">
              <w:rPr>
                <w:color w:val="000000"/>
              </w:rPr>
              <w:t>0.33</w:t>
            </w:r>
          </w:p>
        </w:tc>
        <w:tc>
          <w:tcPr>
            <w:tcW w:w="992" w:type="dxa"/>
            <w:tcBorders>
              <w:top w:val="nil"/>
              <w:left w:val="nil"/>
              <w:bottom w:val="nil"/>
              <w:right w:val="nil"/>
            </w:tcBorders>
            <w:shd w:val="clear" w:color="auto" w:fill="auto"/>
            <w:noWrap/>
            <w:vAlign w:val="bottom"/>
            <w:hideMark/>
          </w:tcPr>
          <w:p w14:paraId="3FD74BE1" w14:textId="77777777" w:rsidR="00C87869" w:rsidRPr="008273C6" w:rsidRDefault="00C87869" w:rsidP="007F6DA1">
            <w:pPr>
              <w:spacing w:line="240" w:lineRule="auto"/>
              <w:jc w:val="center"/>
              <w:rPr>
                <w:color w:val="000000"/>
              </w:rPr>
            </w:pPr>
            <w:r w:rsidRPr="008273C6">
              <w:rPr>
                <w:color w:val="000000"/>
              </w:rPr>
              <w:t>13.88</w:t>
            </w:r>
          </w:p>
        </w:tc>
        <w:tc>
          <w:tcPr>
            <w:tcW w:w="993" w:type="dxa"/>
            <w:tcBorders>
              <w:top w:val="nil"/>
              <w:left w:val="nil"/>
              <w:bottom w:val="nil"/>
              <w:right w:val="nil"/>
            </w:tcBorders>
            <w:shd w:val="clear" w:color="auto" w:fill="auto"/>
            <w:noWrap/>
            <w:vAlign w:val="bottom"/>
            <w:hideMark/>
          </w:tcPr>
          <w:p w14:paraId="4186DE11" w14:textId="77777777" w:rsidR="00C87869" w:rsidRPr="008273C6" w:rsidRDefault="00C87869" w:rsidP="007F6DA1">
            <w:pPr>
              <w:spacing w:line="240" w:lineRule="auto"/>
              <w:jc w:val="center"/>
              <w:rPr>
                <w:color w:val="000000"/>
              </w:rPr>
            </w:pPr>
            <w:r w:rsidRPr="008273C6">
              <w:rPr>
                <w:color w:val="000000"/>
              </w:rPr>
              <w:t>67.8%</w:t>
            </w:r>
          </w:p>
        </w:tc>
      </w:tr>
      <w:tr w:rsidR="00C87869" w:rsidRPr="008273C6" w14:paraId="3CFCA818" w14:textId="77777777" w:rsidTr="007F6DA1">
        <w:trPr>
          <w:trHeight w:val="288"/>
        </w:trPr>
        <w:tc>
          <w:tcPr>
            <w:tcW w:w="4536" w:type="dxa"/>
            <w:tcBorders>
              <w:top w:val="nil"/>
              <w:left w:val="nil"/>
              <w:bottom w:val="nil"/>
              <w:right w:val="nil"/>
            </w:tcBorders>
            <w:shd w:val="clear" w:color="auto" w:fill="auto"/>
            <w:noWrap/>
            <w:vAlign w:val="bottom"/>
            <w:hideMark/>
          </w:tcPr>
          <w:p w14:paraId="5C9A0965" w14:textId="77777777" w:rsidR="00C87869" w:rsidRPr="008273C6" w:rsidRDefault="00C87869" w:rsidP="008D2B66">
            <w:pPr>
              <w:spacing w:line="240" w:lineRule="auto"/>
              <w:rPr>
                <w:color w:val="000000"/>
              </w:rPr>
            </w:pPr>
            <w:r w:rsidRPr="008273C6">
              <w:rPr>
                <w:color w:val="000000"/>
              </w:rPr>
              <w:t>Break points won (%)</w:t>
            </w:r>
          </w:p>
        </w:tc>
        <w:tc>
          <w:tcPr>
            <w:tcW w:w="1560" w:type="dxa"/>
            <w:tcBorders>
              <w:top w:val="nil"/>
              <w:left w:val="nil"/>
              <w:bottom w:val="nil"/>
              <w:right w:val="nil"/>
            </w:tcBorders>
            <w:shd w:val="clear" w:color="auto" w:fill="auto"/>
            <w:noWrap/>
            <w:vAlign w:val="bottom"/>
            <w:hideMark/>
          </w:tcPr>
          <w:p w14:paraId="1C675311" w14:textId="77777777" w:rsidR="00C87869" w:rsidRPr="008273C6" w:rsidRDefault="00C87869" w:rsidP="007F6DA1">
            <w:pPr>
              <w:spacing w:line="240" w:lineRule="auto"/>
              <w:jc w:val="center"/>
              <w:rPr>
                <w:color w:val="000000"/>
              </w:rPr>
            </w:pPr>
            <w:r w:rsidRPr="008273C6">
              <w:rPr>
                <w:color w:val="000000"/>
              </w:rPr>
              <w:t>48.3</w:t>
            </w:r>
            <w:r>
              <w:rPr>
                <w:color w:val="000000"/>
              </w:rPr>
              <w:t xml:space="preserve"> ± 20.7%</w:t>
            </w:r>
          </w:p>
        </w:tc>
        <w:tc>
          <w:tcPr>
            <w:tcW w:w="1701" w:type="dxa"/>
            <w:tcBorders>
              <w:top w:val="nil"/>
              <w:left w:val="nil"/>
              <w:bottom w:val="nil"/>
              <w:right w:val="nil"/>
            </w:tcBorders>
            <w:shd w:val="clear" w:color="auto" w:fill="auto"/>
            <w:noWrap/>
            <w:vAlign w:val="bottom"/>
            <w:hideMark/>
          </w:tcPr>
          <w:p w14:paraId="42EA71D1" w14:textId="77777777" w:rsidR="00C87869" w:rsidRPr="008273C6" w:rsidRDefault="00C87869" w:rsidP="007F6DA1">
            <w:pPr>
              <w:spacing w:line="240" w:lineRule="auto"/>
              <w:jc w:val="center"/>
              <w:rPr>
                <w:color w:val="000000"/>
              </w:rPr>
            </w:pPr>
            <w:r w:rsidRPr="008273C6">
              <w:rPr>
                <w:color w:val="000000"/>
              </w:rPr>
              <w:t>31.7</w:t>
            </w:r>
            <w:r>
              <w:rPr>
                <w:color w:val="000000"/>
              </w:rPr>
              <w:t xml:space="preserve"> ± 28.9%</w:t>
            </w:r>
          </w:p>
        </w:tc>
        <w:tc>
          <w:tcPr>
            <w:tcW w:w="850" w:type="dxa"/>
            <w:tcBorders>
              <w:top w:val="nil"/>
              <w:left w:val="nil"/>
              <w:bottom w:val="nil"/>
              <w:right w:val="nil"/>
            </w:tcBorders>
            <w:shd w:val="clear" w:color="auto" w:fill="auto"/>
            <w:noWrap/>
            <w:vAlign w:val="bottom"/>
            <w:hideMark/>
          </w:tcPr>
          <w:p w14:paraId="371D3312" w14:textId="77777777" w:rsidR="00C87869" w:rsidRPr="008273C6" w:rsidRDefault="00C87869" w:rsidP="007F6DA1">
            <w:pPr>
              <w:spacing w:line="240" w:lineRule="auto"/>
              <w:jc w:val="center"/>
              <w:rPr>
                <w:color w:val="000000"/>
              </w:rPr>
            </w:pPr>
            <w:r w:rsidRPr="008273C6">
              <w:rPr>
                <w:color w:val="000000"/>
              </w:rPr>
              <w:t>0.31</w:t>
            </w:r>
          </w:p>
        </w:tc>
        <w:tc>
          <w:tcPr>
            <w:tcW w:w="992" w:type="dxa"/>
            <w:tcBorders>
              <w:top w:val="nil"/>
              <w:left w:val="nil"/>
              <w:bottom w:val="nil"/>
              <w:right w:val="nil"/>
            </w:tcBorders>
            <w:shd w:val="clear" w:color="auto" w:fill="auto"/>
            <w:noWrap/>
            <w:vAlign w:val="bottom"/>
            <w:hideMark/>
          </w:tcPr>
          <w:p w14:paraId="763D12B3" w14:textId="77777777" w:rsidR="00C87869" w:rsidRPr="008273C6" w:rsidRDefault="00C87869" w:rsidP="007F6DA1">
            <w:pPr>
              <w:spacing w:line="240" w:lineRule="auto"/>
              <w:jc w:val="center"/>
              <w:rPr>
                <w:color w:val="000000"/>
              </w:rPr>
            </w:pPr>
            <w:r w:rsidRPr="008273C6">
              <w:rPr>
                <w:color w:val="000000"/>
              </w:rPr>
              <w:t>13.53</w:t>
            </w:r>
          </w:p>
        </w:tc>
        <w:tc>
          <w:tcPr>
            <w:tcW w:w="993" w:type="dxa"/>
            <w:tcBorders>
              <w:top w:val="nil"/>
              <w:left w:val="nil"/>
              <w:bottom w:val="nil"/>
              <w:right w:val="nil"/>
            </w:tcBorders>
            <w:shd w:val="clear" w:color="auto" w:fill="auto"/>
            <w:noWrap/>
            <w:vAlign w:val="bottom"/>
            <w:hideMark/>
          </w:tcPr>
          <w:p w14:paraId="20036314" w14:textId="77777777" w:rsidR="00C87869" w:rsidRPr="008273C6" w:rsidRDefault="00C87869" w:rsidP="007F6DA1">
            <w:pPr>
              <w:spacing w:line="240" w:lineRule="auto"/>
              <w:jc w:val="center"/>
              <w:rPr>
                <w:color w:val="000000"/>
              </w:rPr>
            </w:pPr>
            <w:r w:rsidRPr="008273C6">
              <w:rPr>
                <w:color w:val="000000"/>
              </w:rPr>
              <w:t>73.2%</w:t>
            </w:r>
          </w:p>
        </w:tc>
      </w:tr>
      <w:tr w:rsidR="00C87869" w:rsidRPr="008273C6" w14:paraId="1AF94994" w14:textId="77777777" w:rsidTr="007F6DA1">
        <w:trPr>
          <w:trHeight w:val="288"/>
        </w:trPr>
        <w:tc>
          <w:tcPr>
            <w:tcW w:w="4536" w:type="dxa"/>
            <w:tcBorders>
              <w:top w:val="nil"/>
              <w:left w:val="nil"/>
              <w:bottom w:val="nil"/>
              <w:right w:val="nil"/>
            </w:tcBorders>
            <w:shd w:val="clear" w:color="auto" w:fill="auto"/>
            <w:noWrap/>
            <w:vAlign w:val="bottom"/>
            <w:hideMark/>
          </w:tcPr>
          <w:p w14:paraId="43C9728A" w14:textId="77777777" w:rsidR="00C87869" w:rsidRPr="008273C6" w:rsidRDefault="00C87869" w:rsidP="008D2B66">
            <w:pPr>
              <w:spacing w:line="240" w:lineRule="auto"/>
              <w:rPr>
                <w:color w:val="000000"/>
              </w:rPr>
            </w:pPr>
            <w:r w:rsidRPr="008273C6">
              <w:rPr>
                <w:color w:val="000000"/>
              </w:rPr>
              <w:t>Points won of 9+ rally length serving (%)</w:t>
            </w:r>
          </w:p>
        </w:tc>
        <w:tc>
          <w:tcPr>
            <w:tcW w:w="1560" w:type="dxa"/>
            <w:tcBorders>
              <w:top w:val="nil"/>
              <w:left w:val="nil"/>
              <w:bottom w:val="nil"/>
              <w:right w:val="nil"/>
            </w:tcBorders>
            <w:shd w:val="clear" w:color="auto" w:fill="auto"/>
            <w:noWrap/>
            <w:vAlign w:val="bottom"/>
            <w:hideMark/>
          </w:tcPr>
          <w:p w14:paraId="223BFF76" w14:textId="77777777" w:rsidR="00C87869" w:rsidRPr="008273C6" w:rsidRDefault="00C87869" w:rsidP="007F6DA1">
            <w:pPr>
              <w:spacing w:line="240" w:lineRule="auto"/>
              <w:jc w:val="center"/>
              <w:rPr>
                <w:color w:val="000000"/>
              </w:rPr>
            </w:pPr>
            <w:r w:rsidRPr="008273C6">
              <w:rPr>
                <w:color w:val="000000"/>
              </w:rPr>
              <w:t>53.5</w:t>
            </w:r>
            <w:r>
              <w:rPr>
                <w:color w:val="000000"/>
              </w:rPr>
              <w:t xml:space="preserve"> ± 19.2%</w:t>
            </w:r>
          </w:p>
        </w:tc>
        <w:tc>
          <w:tcPr>
            <w:tcW w:w="1701" w:type="dxa"/>
            <w:tcBorders>
              <w:top w:val="nil"/>
              <w:left w:val="nil"/>
              <w:bottom w:val="nil"/>
              <w:right w:val="nil"/>
            </w:tcBorders>
            <w:shd w:val="clear" w:color="auto" w:fill="auto"/>
            <w:noWrap/>
            <w:vAlign w:val="bottom"/>
            <w:hideMark/>
          </w:tcPr>
          <w:p w14:paraId="72C417D9" w14:textId="77777777" w:rsidR="00C87869" w:rsidRPr="008273C6" w:rsidRDefault="00C87869" w:rsidP="007F6DA1">
            <w:pPr>
              <w:spacing w:line="240" w:lineRule="auto"/>
              <w:jc w:val="center"/>
              <w:rPr>
                <w:color w:val="000000"/>
              </w:rPr>
            </w:pPr>
            <w:r w:rsidRPr="008273C6">
              <w:rPr>
                <w:color w:val="000000"/>
              </w:rPr>
              <w:t>42.1</w:t>
            </w:r>
            <w:r>
              <w:rPr>
                <w:color w:val="000000"/>
              </w:rPr>
              <w:t xml:space="preserve"> ± 17.1%</w:t>
            </w:r>
          </w:p>
        </w:tc>
        <w:tc>
          <w:tcPr>
            <w:tcW w:w="850" w:type="dxa"/>
            <w:tcBorders>
              <w:top w:val="nil"/>
              <w:left w:val="nil"/>
              <w:bottom w:val="nil"/>
              <w:right w:val="nil"/>
            </w:tcBorders>
            <w:shd w:val="clear" w:color="auto" w:fill="auto"/>
            <w:noWrap/>
            <w:vAlign w:val="bottom"/>
            <w:hideMark/>
          </w:tcPr>
          <w:p w14:paraId="67D3D2B2" w14:textId="77777777" w:rsidR="00C87869" w:rsidRPr="008273C6" w:rsidRDefault="00C87869" w:rsidP="007F6DA1">
            <w:pPr>
              <w:spacing w:line="240" w:lineRule="auto"/>
              <w:jc w:val="center"/>
              <w:rPr>
                <w:color w:val="000000"/>
              </w:rPr>
            </w:pPr>
            <w:r w:rsidRPr="008273C6">
              <w:rPr>
                <w:color w:val="000000"/>
              </w:rPr>
              <w:t>0.30</w:t>
            </w:r>
          </w:p>
        </w:tc>
        <w:tc>
          <w:tcPr>
            <w:tcW w:w="992" w:type="dxa"/>
            <w:tcBorders>
              <w:top w:val="nil"/>
              <w:left w:val="nil"/>
              <w:bottom w:val="nil"/>
              <w:right w:val="nil"/>
            </w:tcBorders>
            <w:shd w:val="clear" w:color="auto" w:fill="auto"/>
            <w:noWrap/>
            <w:vAlign w:val="bottom"/>
            <w:hideMark/>
          </w:tcPr>
          <w:p w14:paraId="4446E209" w14:textId="77777777" w:rsidR="00C87869" w:rsidRPr="008273C6" w:rsidRDefault="00C87869" w:rsidP="007F6DA1">
            <w:pPr>
              <w:spacing w:line="240" w:lineRule="auto"/>
              <w:jc w:val="center"/>
              <w:rPr>
                <w:color w:val="000000"/>
              </w:rPr>
            </w:pPr>
            <w:r w:rsidRPr="008273C6">
              <w:rPr>
                <w:color w:val="000000"/>
              </w:rPr>
              <w:t>12.40</w:t>
            </w:r>
          </w:p>
        </w:tc>
        <w:tc>
          <w:tcPr>
            <w:tcW w:w="993" w:type="dxa"/>
            <w:tcBorders>
              <w:top w:val="nil"/>
              <w:left w:val="nil"/>
              <w:bottom w:val="nil"/>
              <w:right w:val="nil"/>
            </w:tcBorders>
            <w:shd w:val="clear" w:color="auto" w:fill="auto"/>
            <w:noWrap/>
            <w:vAlign w:val="bottom"/>
            <w:hideMark/>
          </w:tcPr>
          <w:p w14:paraId="6E5A5845" w14:textId="77777777" w:rsidR="00C87869" w:rsidRPr="008273C6" w:rsidRDefault="00C87869" w:rsidP="007F6DA1">
            <w:pPr>
              <w:spacing w:line="240" w:lineRule="auto"/>
              <w:jc w:val="center"/>
              <w:rPr>
                <w:color w:val="000000"/>
              </w:rPr>
            </w:pPr>
            <w:r w:rsidRPr="008273C6">
              <w:rPr>
                <w:color w:val="000000"/>
              </w:rPr>
              <w:t>69.2%</w:t>
            </w:r>
          </w:p>
        </w:tc>
      </w:tr>
      <w:tr w:rsidR="00C87869" w:rsidRPr="008273C6" w14:paraId="61C76310" w14:textId="77777777" w:rsidTr="007F6DA1">
        <w:trPr>
          <w:trHeight w:val="288"/>
        </w:trPr>
        <w:tc>
          <w:tcPr>
            <w:tcW w:w="4536" w:type="dxa"/>
            <w:tcBorders>
              <w:top w:val="nil"/>
              <w:left w:val="nil"/>
              <w:bottom w:val="nil"/>
              <w:right w:val="nil"/>
            </w:tcBorders>
            <w:shd w:val="clear" w:color="auto" w:fill="auto"/>
            <w:noWrap/>
            <w:vAlign w:val="bottom"/>
            <w:hideMark/>
          </w:tcPr>
          <w:p w14:paraId="688865A4" w14:textId="77777777" w:rsidR="00C87869" w:rsidRPr="008273C6" w:rsidRDefault="00C87869" w:rsidP="008D2B66">
            <w:pPr>
              <w:spacing w:line="240" w:lineRule="auto"/>
              <w:rPr>
                <w:color w:val="000000"/>
              </w:rPr>
            </w:pPr>
            <w:r w:rsidRPr="008273C6">
              <w:rPr>
                <w:color w:val="000000"/>
              </w:rPr>
              <w:t>Points won of 9+ rally length returning (%)</w:t>
            </w:r>
          </w:p>
        </w:tc>
        <w:tc>
          <w:tcPr>
            <w:tcW w:w="1560" w:type="dxa"/>
            <w:tcBorders>
              <w:top w:val="nil"/>
              <w:left w:val="nil"/>
              <w:bottom w:val="nil"/>
              <w:right w:val="nil"/>
            </w:tcBorders>
            <w:shd w:val="clear" w:color="auto" w:fill="auto"/>
            <w:noWrap/>
            <w:vAlign w:val="bottom"/>
            <w:hideMark/>
          </w:tcPr>
          <w:p w14:paraId="53B02B3B" w14:textId="77777777" w:rsidR="00C87869" w:rsidRPr="008273C6" w:rsidRDefault="00C87869" w:rsidP="007F6DA1">
            <w:pPr>
              <w:spacing w:line="240" w:lineRule="auto"/>
              <w:jc w:val="center"/>
              <w:rPr>
                <w:color w:val="000000"/>
              </w:rPr>
            </w:pPr>
            <w:r w:rsidRPr="008273C6">
              <w:rPr>
                <w:color w:val="000000"/>
              </w:rPr>
              <w:t>56.7</w:t>
            </w:r>
            <w:r>
              <w:rPr>
                <w:color w:val="000000"/>
              </w:rPr>
              <w:t xml:space="preserve"> ± 17.6%</w:t>
            </w:r>
          </w:p>
        </w:tc>
        <w:tc>
          <w:tcPr>
            <w:tcW w:w="1701" w:type="dxa"/>
            <w:tcBorders>
              <w:top w:val="nil"/>
              <w:left w:val="nil"/>
              <w:bottom w:val="nil"/>
              <w:right w:val="nil"/>
            </w:tcBorders>
            <w:shd w:val="clear" w:color="auto" w:fill="auto"/>
            <w:noWrap/>
            <w:vAlign w:val="bottom"/>
            <w:hideMark/>
          </w:tcPr>
          <w:p w14:paraId="28774A6E" w14:textId="77777777" w:rsidR="00C87869" w:rsidRPr="008273C6" w:rsidRDefault="00C87869" w:rsidP="007F6DA1">
            <w:pPr>
              <w:spacing w:line="240" w:lineRule="auto"/>
              <w:jc w:val="center"/>
              <w:rPr>
                <w:color w:val="000000"/>
              </w:rPr>
            </w:pPr>
            <w:r w:rsidRPr="008273C6">
              <w:rPr>
                <w:color w:val="000000"/>
              </w:rPr>
              <w:t>45.6</w:t>
            </w:r>
            <w:r>
              <w:rPr>
                <w:color w:val="000000"/>
              </w:rPr>
              <w:t xml:space="preserve"> ± 19.0%</w:t>
            </w:r>
          </w:p>
        </w:tc>
        <w:tc>
          <w:tcPr>
            <w:tcW w:w="850" w:type="dxa"/>
            <w:tcBorders>
              <w:top w:val="nil"/>
              <w:left w:val="nil"/>
              <w:bottom w:val="nil"/>
              <w:right w:val="nil"/>
            </w:tcBorders>
            <w:shd w:val="clear" w:color="auto" w:fill="auto"/>
            <w:noWrap/>
            <w:vAlign w:val="bottom"/>
            <w:hideMark/>
          </w:tcPr>
          <w:p w14:paraId="036F2931" w14:textId="77777777" w:rsidR="00C87869" w:rsidRPr="008273C6" w:rsidRDefault="00C87869" w:rsidP="007F6DA1">
            <w:pPr>
              <w:spacing w:line="240" w:lineRule="auto"/>
              <w:jc w:val="center"/>
              <w:rPr>
                <w:color w:val="000000"/>
              </w:rPr>
            </w:pPr>
            <w:r w:rsidRPr="008273C6">
              <w:rPr>
                <w:color w:val="000000"/>
              </w:rPr>
              <w:t>0.29</w:t>
            </w:r>
          </w:p>
        </w:tc>
        <w:tc>
          <w:tcPr>
            <w:tcW w:w="992" w:type="dxa"/>
            <w:tcBorders>
              <w:top w:val="nil"/>
              <w:left w:val="nil"/>
              <w:bottom w:val="nil"/>
              <w:right w:val="nil"/>
            </w:tcBorders>
            <w:shd w:val="clear" w:color="auto" w:fill="auto"/>
            <w:noWrap/>
            <w:vAlign w:val="bottom"/>
            <w:hideMark/>
          </w:tcPr>
          <w:p w14:paraId="5A8BFE5D" w14:textId="77777777" w:rsidR="00C87869" w:rsidRPr="008273C6" w:rsidRDefault="00C87869" w:rsidP="007F6DA1">
            <w:pPr>
              <w:spacing w:line="240" w:lineRule="auto"/>
              <w:jc w:val="center"/>
              <w:rPr>
                <w:color w:val="000000"/>
              </w:rPr>
            </w:pPr>
            <w:r w:rsidRPr="008273C6">
              <w:rPr>
                <w:color w:val="000000"/>
              </w:rPr>
              <w:t>12.23</w:t>
            </w:r>
          </w:p>
        </w:tc>
        <w:tc>
          <w:tcPr>
            <w:tcW w:w="993" w:type="dxa"/>
            <w:tcBorders>
              <w:top w:val="nil"/>
              <w:left w:val="nil"/>
              <w:bottom w:val="nil"/>
              <w:right w:val="nil"/>
            </w:tcBorders>
            <w:shd w:val="clear" w:color="auto" w:fill="auto"/>
            <w:noWrap/>
            <w:vAlign w:val="bottom"/>
            <w:hideMark/>
          </w:tcPr>
          <w:p w14:paraId="47AA0D27" w14:textId="77777777" w:rsidR="00C87869" w:rsidRPr="008273C6" w:rsidRDefault="00C87869" w:rsidP="007F6DA1">
            <w:pPr>
              <w:spacing w:line="240" w:lineRule="auto"/>
              <w:jc w:val="center"/>
              <w:rPr>
                <w:color w:val="000000"/>
              </w:rPr>
            </w:pPr>
            <w:r w:rsidRPr="008273C6">
              <w:rPr>
                <w:color w:val="000000"/>
              </w:rPr>
              <w:t>69.0%</w:t>
            </w:r>
          </w:p>
        </w:tc>
      </w:tr>
      <w:tr w:rsidR="00C87869" w:rsidRPr="008273C6" w14:paraId="161A799E" w14:textId="77777777" w:rsidTr="007F6DA1">
        <w:trPr>
          <w:trHeight w:val="288"/>
        </w:trPr>
        <w:tc>
          <w:tcPr>
            <w:tcW w:w="4536" w:type="dxa"/>
            <w:tcBorders>
              <w:top w:val="nil"/>
              <w:left w:val="nil"/>
              <w:right w:val="nil"/>
            </w:tcBorders>
            <w:shd w:val="clear" w:color="auto" w:fill="auto"/>
            <w:noWrap/>
            <w:vAlign w:val="bottom"/>
            <w:hideMark/>
          </w:tcPr>
          <w:p w14:paraId="39304B1C" w14:textId="77777777" w:rsidR="00C87869" w:rsidRPr="008273C6" w:rsidRDefault="00C87869" w:rsidP="008D2B66">
            <w:pPr>
              <w:spacing w:line="240" w:lineRule="auto"/>
              <w:rPr>
                <w:color w:val="000000"/>
              </w:rPr>
            </w:pPr>
            <w:r w:rsidRPr="008273C6">
              <w:rPr>
                <w:color w:val="000000"/>
              </w:rPr>
              <w:t>First serve quality (%)</w:t>
            </w:r>
          </w:p>
        </w:tc>
        <w:tc>
          <w:tcPr>
            <w:tcW w:w="1560" w:type="dxa"/>
            <w:tcBorders>
              <w:top w:val="nil"/>
              <w:left w:val="nil"/>
              <w:right w:val="nil"/>
            </w:tcBorders>
            <w:shd w:val="clear" w:color="auto" w:fill="auto"/>
            <w:noWrap/>
            <w:vAlign w:val="bottom"/>
            <w:hideMark/>
          </w:tcPr>
          <w:p w14:paraId="0CBE330A" w14:textId="77777777" w:rsidR="00C87869" w:rsidRPr="008273C6" w:rsidRDefault="00C87869" w:rsidP="007F6DA1">
            <w:pPr>
              <w:spacing w:line="240" w:lineRule="auto"/>
              <w:jc w:val="center"/>
              <w:rPr>
                <w:color w:val="000000"/>
              </w:rPr>
            </w:pPr>
            <w:r w:rsidRPr="008273C6">
              <w:rPr>
                <w:color w:val="000000"/>
              </w:rPr>
              <w:t>39.0</w:t>
            </w:r>
            <w:r>
              <w:rPr>
                <w:color w:val="000000"/>
              </w:rPr>
              <w:t xml:space="preserve"> ± 8.9%</w:t>
            </w:r>
          </w:p>
        </w:tc>
        <w:tc>
          <w:tcPr>
            <w:tcW w:w="1701" w:type="dxa"/>
            <w:tcBorders>
              <w:top w:val="nil"/>
              <w:left w:val="nil"/>
              <w:right w:val="nil"/>
            </w:tcBorders>
            <w:shd w:val="clear" w:color="auto" w:fill="auto"/>
            <w:noWrap/>
            <w:vAlign w:val="bottom"/>
            <w:hideMark/>
          </w:tcPr>
          <w:p w14:paraId="77B8AD25" w14:textId="77777777" w:rsidR="00C87869" w:rsidRPr="008273C6" w:rsidRDefault="00C87869" w:rsidP="007F6DA1">
            <w:pPr>
              <w:spacing w:line="240" w:lineRule="auto"/>
              <w:jc w:val="center"/>
              <w:rPr>
                <w:color w:val="000000"/>
              </w:rPr>
            </w:pPr>
            <w:r w:rsidRPr="008273C6">
              <w:rPr>
                <w:color w:val="000000"/>
              </w:rPr>
              <w:t>34.3</w:t>
            </w:r>
            <w:r>
              <w:rPr>
                <w:color w:val="000000"/>
              </w:rPr>
              <w:t xml:space="preserve"> ± 8.4%</w:t>
            </w:r>
          </w:p>
        </w:tc>
        <w:tc>
          <w:tcPr>
            <w:tcW w:w="850" w:type="dxa"/>
            <w:tcBorders>
              <w:top w:val="nil"/>
              <w:left w:val="nil"/>
              <w:right w:val="nil"/>
            </w:tcBorders>
            <w:shd w:val="clear" w:color="auto" w:fill="auto"/>
            <w:noWrap/>
            <w:vAlign w:val="bottom"/>
            <w:hideMark/>
          </w:tcPr>
          <w:p w14:paraId="02D74C39" w14:textId="77777777" w:rsidR="00C87869" w:rsidRPr="008273C6" w:rsidRDefault="00C87869" w:rsidP="007F6DA1">
            <w:pPr>
              <w:spacing w:line="240" w:lineRule="auto"/>
              <w:jc w:val="center"/>
              <w:rPr>
                <w:color w:val="000000"/>
              </w:rPr>
            </w:pPr>
            <w:r w:rsidRPr="008273C6">
              <w:rPr>
                <w:color w:val="000000"/>
              </w:rPr>
              <w:t>0.26</w:t>
            </w:r>
          </w:p>
        </w:tc>
        <w:tc>
          <w:tcPr>
            <w:tcW w:w="992" w:type="dxa"/>
            <w:tcBorders>
              <w:top w:val="nil"/>
              <w:left w:val="nil"/>
              <w:right w:val="nil"/>
            </w:tcBorders>
            <w:shd w:val="clear" w:color="auto" w:fill="auto"/>
            <w:noWrap/>
            <w:vAlign w:val="bottom"/>
            <w:hideMark/>
          </w:tcPr>
          <w:p w14:paraId="1893C9DA" w14:textId="77777777" w:rsidR="00C87869" w:rsidRPr="008273C6" w:rsidRDefault="00C87869" w:rsidP="007F6DA1">
            <w:pPr>
              <w:spacing w:line="240" w:lineRule="auto"/>
              <w:jc w:val="center"/>
              <w:rPr>
                <w:color w:val="000000"/>
              </w:rPr>
            </w:pPr>
            <w:r w:rsidRPr="008273C6">
              <w:rPr>
                <w:color w:val="000000"/>
              </w:rPr>
              <w:t>11.60</w:t>
            </w:r>
          </w:p>
        </w:tc>
        <w:tc>
          <w:tcPr>
            <w:tcW w:w="993" w:type="dxa"/>
            <w:tcBorders>
              <w:top w:val="nil"/>
              <w:left w:val="nil"/>
              <w:right w:val="nil"/>
            </w:tcBorders>
            <w:shd w:val="clear" w:color="auto" w:fill="auto"/>
            <w:noWrap/>
            <w:vAlign w:val="bottom"/>
            <w:hideMark/>
          </w:tcPr>
          <w:p w14:paraId="78B36AF0" w14:textId="77777777" w:rsidR="00C87869" w:rsidRPr="008273C6" w:rsidRDefault="00C87869" w:rsidP="007F6DA1">
            <w:pPr>
              <w:spacing w:line="240" w:lineRule="auto"/>
              <w:jc w:val="center"/>
              <w:rPr>
                <w:color w:val="000000"/>
              </w:rPr>
            </w:pPr>
            <w:r w:rsidRPr="008273C6">
              <w:rPr>
                <w:color w:val="000000"/>
              </w:rPr>
              <w:t>66.4%</w:t>
            </w:r>
          </w:p>
        </w:tc>
      </w:tr>
      <w:tr w:rsidR="00C87869" w:rsidRPr="008273C6" w14:paraId="6CC10560" w14:textId="77777777" w:rsidTr="007F6DA1">
        <w:trPr>
          <w:trHeight w:val="288"/>
        </w:trPr>
        <w:tc>
          <w:tcPr>
            <w:tcW w:w="4536" w:type="dxa"/>
            <w:tcBorders>
              <w:left w:val="nil"/>
              <w:bottom w:val="nil"/>
              <w:right w:val="nil"/>
            </w:tcBorders>
            <w:shd w:val="clear" w:color="auto" w:fill="auto"/>
            <w:noWrap/>
            <w:vAlign w:val="bottom"/>
            <w:hideMark/>
          </w:tcPr>
          <w:p w14:paraId="10B8629D" w14:textId="77777777" w:rsidR="00C87869" w:rsidRPr="008273C6" w:rsidRDefault="00C87869" w:rsidP="008D2B66">
            <w:pPr>
              <w:spacing w:line="240" w:lineRule="auto"/>
              <w:rPr>
                <w:color w:val="000000"/>
              </w:rPr>
            </w:pPr>
            <w:r w:rsidRPr="008273C6">
              <w:rPr>
                <w:color w:val="000000"/>
              </w:rPr>
              <w:t>Net points won (%)</w:t>
            </w:r>
          </w:p>
        </w:tc>
        <w:tc>
          <w:tcPr>
            <w:tcW w:w="1560" w:type="dxa"/>
            <w:tcBorders>
              <w:left w:val="nil"/>
              <w:bottom w:val="nil"/>
              <w:right w:val="nil"/>
            </w:tcBorders>
            <w:shd w:val="clear" w:color="auto" w:fill="auto"/>
            <w:noWrap/>
            <w:vAlign w:val="bottom"/>
            <w:hideMark/>
          </w:tcPr>
          <w:p w14:paraId="0CABEE11" w14:textId="77777777" w:rsidR="00C87869" w:rsidRPr="008273C6" w:rsidRDefault="00C87869" w:rsidP="007F6DA1">
            <w:pPr>
              <w:spacing w:line="240" w:lineRule="auto"/>
              <w:jc w:val="center"/>
              <w:rPr>
                <w:color w:val="000000"/>
              </w:rPr>
            </w:pPr>
            <w:r>
              <w:rPr>
                <w:color w:val="000000"/>
              </w:rPr>
              <w:t>69.3 ± 14.9%</w:t>
            </w:r>
          </w:p>
        </w:tc>
        <w:tc>
          <w:tcPr>
            <w:tcW w:w="1701" w:type="dxa"/>
            <w:tcBorders>
              <w:left w:val="nil"/>
              <w:bottom w:val="nil"/>
              <w:right w:val="nil"/>
            </w:tcBorders>
            <w:shd w:val="clear" w:color="auto" w:fill="auto"/>
            <w:noWrap/>
            <w:vAlign w:val="bottom"/>
            <w:hideMark/>
          </w:tcPr>
          <w:p w14:paraId="3AD8AB2A" w14:textId="77777777" w:rsidR="00C87869" w:rsidRPr="008273C6" w:rsidRDefault="00C87869" w:rsidP="007F6DA1">
            <w:pPr>
              <w:spacing w:line="240" w:lineRule="auto"/>
              <w:jc w:val="center"/>
              <w:rPr>
                <w:color w:val="000000"/>
              </w:rPr>
            </w:pPr>
            <w:r>
              <w:rPr>
                <w:color w:val="000000"/>
              </w:rPr>
              <w:t>62.2 ± 15.7%</w:t>
            </w:r>
          </w:p>
        </w:tc>
        <w:tc>
          <w:tcPr>
            <w:tcW w:w="850" w:type="dxa"/>
            <w:tcBorders>
              <w:left w:val="nil"/>
              <w:bottom w:val="nil"/>
              <w:right w:val="nil"/>
            </w:tcBorders>
            <w:shd w:val="clear" w:color="auto" w:fill="auto"/>
            <w:noWrap/>
            <w:vAlign w:val="bottom"/>
            <w:hideMark/>
          </w:tcPr>
          <w:p w14:paraId="252B2B73" w14:textId="77777777" w:rsidR="00C87869" w:rsidRPr="008273C6" w:rsidRDefault="00C87869" w:rsidP="007F6DA1">
            <w:pPr>
              <w:spacing w:line="240" w:lineRule="auto"/>
              <w:jc w:val="center"/>
              <w:rPr>
                <w:color w:val="000000"/>
              </w:rPr>
            </w:pPr>
            <w:r w:rsidRPr="008273C6">
              <w:rPr>
                <w:color w:val="000000"/>
              </w:rPr>
              <w:t>0.</w:t>
            </w:r>
            <w:r>
              <w:rPr>
                <w:color w:val="000000"/>
              </w:rPr>
              <w:t>22</w:t>
            </w:r>
          </w:p>
        </w:tc>
        <w:tc>
          <w:tcPr>
            <w:tcW w:w="992" w:type="dxa"/>
            <w:tcBorders>
              <w:left w:val="nil"/>
              <w:bottom w:val="nil"/>
              <w:right w:val="nil"/>
            </w:tcBorders>
            <w:shd w:val="clear" w:color="auto" w:fill="auto"/>
            <w:noWrap/>
            <w:vAlign w:val="bottom"/>
            <w:hideMark/>
          </w:tcPr>
          <w:p w14:paraId="042E8F4E" w14:textId="77777777" w:rsidR="00C87869" w:rsidRPr="008273C6" w:rsidRDefault="00C87869" w:rsidP="007F6DA1">
            <w:pPr>
              <w:spacing w:line="240" w:lineRule="auto"/>
              <w:jc w:val="center"/>
              <w:rPr>
                <w:color w:val="000000"/>
              </w:rPr>
            </w:pPr>
            <w:r>
              <w:rPr>
                <w:color w:val="000000"/>
              </w:rPr>
              <w:t>9.04</w:t>
            </w:r>
          </w:p>
        </w:tc>
        <w:tc>
          <w:tcPr>
            <w:tcW w:w="993" w:type="dxa"/>
            <w:tcBorders>
              <w:left w:val="nil"/>
              <w:bottom w:val="nil"/>
              <w:right w:val="nil"/>
            </w:tcBorders>
            <w:shd w:val="clear" w:color="auto" w:fill="auto"/>
            <w:noWrap/>
            <w:vAlign w:val="bottom"/>
            <w:hideMark/>
          </w:tcPr>
          <w:p w14:paraId="093C637A" w14:textId="77777777" w:rsidR="00C87869" w:rsidRPr="008273C6" w:rsidRDefault="00C87869" w:rsidP="007F6DA1">
            <w:pPr>
              <w:spacing w:line="240" w:lineRule="auto"/>
              <w:jc w:val="center"/>
              <w:rPr>
                <w:color w:val="000000"/>
              </w:rPr>
            </w:pPr>
            <w:r>
              <w:rPr>
                <w:color w:val="000000"/>
              </w:rPr>
              <w:t>63.0</w:t>
            </w:r>
            <w:r w:rsidRPr="008273C6">
              <w:rPr>
                <w:color w:val="000000"/>
              </w:rPr>
              <w:t>%</w:t>
            </w:r>
          </w:p>
        </w:tc>
      </w:tr>
      <w:tr w:rsidR="00C87869" w:rsidRPr="008273C6" w14:paraId="19E09113" w14:textId="77777777" w:rsidTr="007F6DA1">
        <w:trPr>
          <w:trHeight w:val="288"/>
        </w:trPr>
        <w:tc>
          <w:tcPr>
            <w:tcW w:w="4536" w:type="dxa"/>
            <w:tcBorders>
              <w:top w:val="nil"/>
              <w:left w:val="nil"/>
              <w:bottom w:val="nil"/>
              <w:right w:val="nil"/>
            </w:tcBorders>
            <w:shd w:val="clear" w:color="auto" w:fill="auto"/>
            <w:noWrap/>
            <w:vAlign w:val="bottom"/>
            <w:hideMark/>
          </w:tcPr>
          <w:p w14:paraId="43F82DB5" w14:textId="77777777" w:rsidR="00C87869" w:rsidRPr="008273C6" w:rsidRDefault="00C87869" w:rsidP="008D2B66">
            <w:pPr>
              <w:spacing w:line="240" w:lineRule="auto"/>
              <w:rPr>
                <w:color w:val="000000"/>
              </w:rPr>
            </w:pPr>
            <w:r w:rsidRPr="008273C6">
              <w:rPr>
                <w:color w:val="000000"/>
              </w:rPr>
              <w:t>Aces (%)</w:t>
            </w:r>
          </w:p>
        </w:tc>
        <w:tc>
          <w:tcPr>
            <w:tcW w:w="1560" w:type="dxa"/>
            <w:tcBorders>
              <w:top w:val="nil"/>
              <w:left w:val="nil"/>
              <w:bottom w:val="nil"/>
              <w:right w:val="nil"/>
            </w:tcBorders>
            <w:shd w:val="clear" w:color="auto" w:fill="auto"/>
            <w:noWrap/>
            <w:vAlign w:val="bottom"/>
            <w:hideMark/>
          </w:tcPr>
          <w:p w14:paraId="22FE5FEF" w14:textId="77777777" w:rsidR="00C87869" w:rsidRPr="008273C6" w:rsidRDefault="00C87869" w:rsidP="007F6DA1">
            <w:pPr>
              <w:spacing w:line="240" w:lineRule="auto"/>
              <w:jc w:val="center"/>
              <w:rPr>
                <w:color w:val="000000"/>
              </w:rPr>
            </w:pPr>
            <w:r w:rsidRPr="008273C6">
              <w:rPr>
                <w:color w:val="000000"/>
              </w:rPr>
              <w:t>9.9</w:t>
            </w:r>
            <w:r>
              <w:rPr>
                <w:color w:val="000000"/>
              </w:rPr>
              <w:t xml:space="preserve"> ± 6.5%</w:t>
            </w:r>
          </w:p>
        </w:tc>
        <w:tc>
          <w:tcPr>
            <w:tcW w:w="1701" w:type="dxa"/>
            <w:tcBorders>
              <w:top w:val="nil"/>
              <w:left w:val="nil"/>
              <w:bottom w:val="nil"/>
              <w:right w:val="nil"/>
            </w:tcBorders>
            <w:shd w:val="clear" w:color="auto" w:fill="auto"/>
            <w:noWrap/>
            <w:vAlign w:val="bottom"/>
            <w:hideMark/>
          </w:tcPr>
          <w:p w14:paraId="13B30BE0" w14:textId="77777777" w:rsidR="00C87869" w:rsidRPr="008273C6" w:rsidRDefault="00C87869" w:rsidP="007F6DA1">
            <w:pPr>
              <w:spacing w:line="240" w:lineRule="auto"/>
              <w:jc w:val="center"/>
              <w:rPr>
                <w:color w:val="000000"/>
              </w:rPr>
            </w:pPr>
            <w:r w:rsidRPr="008273C6">
              <w:rPr>
                <w:color w:val="000000"/>
              </w:rPr>
              <w:t>7.4</w:t>
            </w:r>
            <w:r>
              <w:rPr>
                <w:color w:val="000000"/>
              </w:rPr>
              <w:t xml:space="preserve"> ± 5.0%</w:t>
            </w:r>
          </w:p>
        </w:tc>
        <w:tc>
          <w:tcPr>
            <w:tcW w:w="850" w:type="dxa"/>
            <w:tcBorders>
              <w:top w:val="nil"/>
              <w:left w:val="nil"/>
              <w:bottom w:val="nil"/>
              <w:right w:val="nil"/>
            </w:tcBorders>
            <w:shd w:val="clear" w:color="auto" w:fill="auto"/>
            <w:noWrap/>
            <w:vAlign w:val="bottom"/>
            <w:hideMark/>
          </w:tcPr>
          <w:p w14:paraId="56DB3EC1" w14:textId="77777777" w:rsidR="00C87869" w:rsidRPr="008273C6" w:rsidRDefault="00C87869" w:rsidP="007F6DA1">
            <w:pPr>
              <w:spacing w:line="240" w:lineRule="auto"/>
              <w:jc w:val="center"/>
              <w:rPr>
                <w:color w:val="000000"/>
              </w:rPr>
            </w:pPr>
            <w:r w:rsidRPr="008273C6">
              <w:rPr>
                <w:color w:val="000000"/>
              </w:rPr>
              <w:t>0.21</w:t>
            </w:r>
          </w:p>
        </w:tc>
        <w:tc>
          <w:tcPr>
            <w:tcW w:w="992" w:type="dxa"/>
            <w:tcBorders>
              <w:top w:val="nil"/>
              <w:left w:val="nil"/>
              <w:bottom w:val="nil"/>
              <w:right w:val="nil"/>
            </w:tcBorders>
            <w:shd w:val="clear" w:color="auto" w:fill="auto"/>
            <w:noWrap/>
            <w:vAlign w:val="bottom"/>
            <w:hideMark/>
          </w:tcPr>
          <w:p w14:paraId="34035CAA" w14:textId="77777777" w:rsidR="00C87869" w:rsidRPr="008273C6" w:rsidRDefault="00C87869" w:rsidP="007F6DA1">
            <w:pPr>
              <w:spacing w:line="240" w:lineRule="auto"/>
              <w:jc w:val="center"/>
              <w:rPr>
                <w:color w:val="000000"/>
              </w:rPr>
            </w:pPr>
            <w:r w:rsidRPr="008273C6">
              <w:rPr>
                <w:color w:val="000000"/>
              </w:rPr>
              <w:t>8.36</w:t>
            </w:r>
          </w:p>
        </w:tc>
        <w:tc>
          <w:tcPr>
            <w:tcW w:w="993" w:type="dxa"/>
            <w:tcBorders>
              <w:top w:val="nil"/>
              <w:left w:val="nil"/>
              <w:bottom w:val="nil"/>
              <w:right w:val="nil"/>
            </w:tcBorders>
            <w:shd w:val="clear" w:color="auto" w:fill="auto"/>
            <w:noWrap/>
            <w:vAlign w:val="bottom"/>
            <w:hideMark/>
          </w:tcPr>
          <w:p w14:paraId="0006A47A" w14:textId="77777777" w:rsidR="00C87869" w:rsidRPr="008273C6" w:rsidRDefault="00C87869" w:rsidP="007F6DA1">
            <w:pPr>
              <w:spacing w:line="240" w:lineRule="auto"/>
              <w:jc w:val="center"/>
              <w:rPr>
                <w:color w:val="000000"/>
              </w:rPr>
            </w:pPr>
            <w:r w:rsidRPr="008273C6">
              <w:rPr>
                <w:color w:val="000000"/>
              </w:rPr>
              <w:t>61.5%</w:t>
            </w:r>
          </w:p>
        </w:tc>
      </w:tr>
      <w:tr w:rsidR="00C87869" w:rsidRPr="008273C6" w14:paraId="5CEB54C3" w14:textId="77777777" w:rsidTr="007F6DA1">
        <w:trPr>
          <w:trHeight w:val="288"/>
        </w:trPr>
        <w:tc>
          <w:tcPr>
            <w:tcW w:w="4536" w:type="dxa"/>
            <w:tcBorders>
              <w:top w:val="nil"/>
              <w:left w:val="nil"/>
              <w:bottom w:val="nil"/>
              <w:right w:val="nil"/>
            </w:tcBorders>
            <w:shd w:val="clear" w:color="auto" w:fill="auto"/>
            <w:noWrap/>
            <w:vAlign w:val="bottom"/>
            <w:hideMark/>
          </w:tcPr>
          <w:p w14:paraId="572A3495" w14:textId="77777777" w:rsidR="00C87869" w:rsidRPr="008273C6" w:rsidRDefault="00C87869" w:rsidP="008D2B66">
            <w:pPr>
              <w:spacing w:line="240" w:lineRule="auto"/>
              <w:rPr>
                <w:color w:val="000000"/>
              </w:rPr>
            </w:pPr>
            <w:r w:rsidRPr="008273C6">
              <w:rPr>
                <w:color w:val="000000"/>
              </w:rPr>
              <w:t>First serve-return effectiveness (%)</w:t>
            </w:r>
          </w:p>
        </w:tc>
        <w:tc>
          <w:tcPr>
            <w:tcW w:w="1560" w:type="dxa"/>
            <w:tcBorders>
              <w:top w:val="nil"/>
              <w:left w:val="nil"/>
              <w:bottom w:val="nil"/>
              <w:right w:val="nil"/>
            </w:tcBorders>
            <w:shd w:val="clear" w:color="auto" w:fill="auto"/>
            <w:noWrap/>
            <w:vAlign w:val="bottom"/>
            <w:hideMark/>
          </w:tcPr>
          <w:p w14:paraId="093025D9" w14:textId="77777777" w:rsidR="00C87869" w:rsidRPr="008273C6" w:rsidRDefault="00C87869" w:rsidP="007F6DA1">
            <w:pPr>
              <w:spacing w:line="240" w:lineRule="auto"/>
              <w:jc w:val="center"/>
              <w:rPr>
                <w:color w:val="000000"/>
              </w:rPr>
            </w:pPr>
            <w:r w:rsidRPr="008273C6">
              <w:rPr>
                <w:color w:val="000000"/>
              </w:rPr>
              <w:t>43.3</w:t>
            </w:r>
            <w:r>
              <w:rPr>
                <w:color w:val="000000"/>
              </w:rPr>
              <w:t xml:space="preserve"> ± 13.1%</w:t>
            </w:r>
          </w:p>
        </w:tc>
        <w:tc>
          <w:tcPr>
            <w:tcW w:w="1701" w:type="dxa"/>
            <w:tcBorders>
              <w:top w:val="nil"/>
              <w:left w:val="nil"/>
              <w:bottom w:val="nil"/>
              <w:right w:val="nil"/>
            </w:tcBorders>
            <w:shd w:val="clear" w:color="auto" w:fill="auto"/>
            <w:noWrap/>
            <w:vAlign w:val="bottom"/>
            <w:hideMark/>
          </w:tcPr>
          <w:p w14:paraId="17289E72" w14:textId="77777777" w:rsidR="00C87869" w:rsidRPr="008273C6" w:rsidRDefault="00C87869" w:rsidP="007F6DA1">
            <w:pPr>
              <w:spacing w:line="240" w:lineRule="auto"/>
              <w:jc w:val="center"/>
              <w:rPr>
                <w:color w:val="000000"/>
              </w:rPr>
            </w:pPr>
            <w:r w:rsidRPr="008273C6">
              <w:rPr>
                <w:color w:val="000000"/>
              </w:rPr>
              <w:t>38.3</w:t>
            </w:r>
            <w:r>
              <w:rPr>
                <w:color w:val="000000"/>
              </w:rPr>
              <w:t xml:space="preserve"> ± 13.0%</w:t>
            </w:r>
          </w:p>
        </w:tc>
        <w:tc>
          <w:tcPr>
            <w:tcW w:w="850" w:type="dxa"/>
            <w:tcBorders>
              <w:top w:val="nil"/>
              <w:left w:val="nil"/>
              <w:bottom w:val="nil"/>
              <w:right w:val="nil"/>
            </w:tcBorders>
            <w:shd w:val="clear" w:color="auto" w:fill="auto"/>
            <w:noWrap/>
            <w:vAlign w:val="bottom"/>
            <w:hideMark/>
          </w:tcPr>
          <w:p w14:paraId="0C534020" w14:textId="77777777" w:rsidR="00C87869" w:rsidRPr="008273C6" w:rsidRDefault="00C87869" w:rsidP="007F6DA1">
            <w:pPr>
              <w:spacing w:line="240" w:lineRule="auto"/>
              <w:jc w:val="center"/>
              <w:rPr>
                <w:color w:val="000000"/>
              </w:rPr>
            </w:pPr>
            <w:r w:rsidRPr="008273C6">
              <w:rPr>
                <w:color w:val="000000"/>
              </w:rPr>
              <w:t>0.19</w:t>
            </w:r>
          </w:p>
        </w:tc>
        <w:tc>
          <w:tcPr>
            <w:tcW w:w="992" w:type="dxa"/>
            <w:tcBorders>
              <w:top w:val="nil"/>
              <w:left w:val="nil"/>
              <w:bottom w:val="nil"/>
              <w:right w:val="nil"/>
            </w:tcBorders>
            <w:shd w:val="clear" w:color="auto" w:fill="auto"/>
            <w:noWrap/>
            <w:vAlign w:val="bottom"/>
            <w:hideMark/>
          </w:tcPr>
          <w:p w14:paraId="70CFD4C1" w14:textId="77777777" w:rsidR="00C87869" w:rsidRPr="008273C6" w:rsidRDefault="00C87869" w:rsidP="007F6DA1">
            <w:pPr>
              <w:spacing w:line="240" w:lineRule="auto"/>
              <w:jc w:val="center"/>
              <w:rPr>
                <w:color w:val="000000"/>
              </w:rPr>
            </w:pPr>
            <w:r w:rsidRPr="008273C6">
              <w:rPr>
                <w:color w:val="000000"/>
              </w:rPr>
              <w:t>8.09</w:t>
            </w:r>
          </w:p>
        </w:tc>
        <w:tc>
          <w:tcPr>
            <w:tcW w:w="993" w:type="dxa"/>
            <w:tcBorders>
              <w:top w:val="nil"/>
              <w:left w:val="nil"/>
              <w:bottom w:val="nil"/>
              <w:right w:val="nil"/>
            </w:tcBorders>
            <w:shd w:val="clear" w:color="auto" w:fill="auto"/>
            <w:noWrap/>
            <w:vAlign w:val="bottom"/>
            <w:hideMark/>
          </w:tcPr>
          <w:p w14:paraId="7021D4BD" w14:textId="77777777" w:rsidR="00C87869" w:rsidRPr="008273C6" w:rsidRDefault="00C87869" w:rsidP="007F6DA1">
            <w:pPr>
              <w:spacing w:line="240" w:lineRule="auto"/>
              <w:jc w:val="center"/>
              <w:rPr>
                <w:color w:val="000000"/>
              </w:rPr>
            </w:pPr>
            <w:r w:rsidRPr="008273C6">
              <w:rPr>
                <w:color w:val="000000"/>
              </w:rPr>
              <w:t>63.0%</w:t>
            </w:r>
          </w:p>
        </w:tc>
      </w:tr>
      <w:tr w:rsidR="00C87869" w:rsidRPr="008273C6" w14:paraId="31ED36CA" w14:textId="77777777" w:rsidTr="007F6DA1">
        <w:trPr>
          <w:trHeight w:val="288"/>
        </w:trPr>
        <w:tc>
          <w:tcPr>
            <w:tcW w:w="4536" w:type="dxa"/>
            <w:tcBorders>
              <w:top w:val="nil"/>
              <w:left w:val="nil"/>
              <w:bottom w:val="nil"/>
              <w:right w:val="nil"/>
            </w:tcBorders>
            <w:shd w:val="clear" w:color="auto" w:fill="auto"/>
            <w:noWrap/>
            <w:vAlign w:val="bottom"/>
            <w:hideMark/>
          </w:tcPr>
          <w:p w14:paraId="4B1FB1A7" w14:textId="77777777" w:rsidR="00C87869" w:rsidRPr="008273C6" w:rsidRDefault="00C87869" w:rsidP="008D2B66">
            <w:pPr>
              <w:spacing w:line="240" w:lineRule="auto"/>
              <w:rPr>
                <w:color w:val="000000"/>
              </w:rPr>
            </w:pPr>
            <w:r w:rsidRPr="008273C6">
              <w:rPr>
                <w:color w:val="000000"/>
              </w:rPr>
              <w:t>Second serve quality (%)</w:t>
            </w:r>
          </w:p>
        </w:tc>
        <w:tc>
          <w:tcPr>
            <w:tcW w:w="1560" w:type="dxa"/>
            <w:tcBorders>
              <w:top w:val="nil"/>
              <w:left w:val="nil"/>
              <w:bottom w:val="nil"/>
              <w:right w:val="nil"/>
            </w:tcBorders>
            <w:shd w:val="clear" w:color="auto" w:fill="auto"/>
            <w:noWrap/>
            <w:vAlign w:val="bottom"/>
            <w:hideMark/>
          </w:tcPr>
          <w:p w14:paraId="19EF3454" w14:textId="77777777" w:rsidR="00C87869" w:rsidRPr="008273C6" w:rsidRDefault="00C87869" w:rsidP="007F6DA1">
            <w:pPr>
              <w:spacing w:line="240" w:lineRule="auto"/>
              <w:jc w:val="center"/>
              <w:rPr>
                <w:color w:val="000000"/>
              </w:rPr>
            </w:pPr>
            <w:r w:rsidRPr="008273C6">
              <w:rPr>
                <w:color w:val="000000"/>
              </w:rPr>
              <w:t>23.2</w:t>
            </w:r>
            <w:r>
              <w:rPr>
                <w:color w:val="000000"/>
              </w:rPr>
              <w:t xml:space="preserve"> ± 10.9%</w:t>
            </w:r>
          </w:p>
        </w:tc>
        <w:tc>
          <w:tcPr>
            <w:tcW w:w="1701" w:type="dxa"/>
            <w:tcBorders>
              <w:top w:val="nil"/>
              <w:left w:val="nil"/>
              <w:bottom w:val="nil"/>
              <w:right w:val="nil"/>
            </w:tcBorders>
            <w:shd w:val="clear" w:color="auto" w:fill="auto"/>
            <w:noWrap/>
            <w:vAlign w:val="bottom"/>
            <w:hideMark/>
          </w:tcPr>
          <w:p w14:paraId="08B73A22" w14:textId="77777777" w:rsidR="00C87869" w:rsidRPr="008273C6" w:rsidRDefault="00C87869" w:rsidP="007F6DA1">
            <w:pPr>
              <w:spacing w:line="240" w:lineRule="auto"/>
              <w:jc w:val="center"/>
              <w:rPr>
                <w:color w:val="000000"/>
              </w:rPr>
            </w:pPr>
            <w:r w:rsidRPr="008273C6">
              <w:rPr>
                <w:color w:val="000000"/>
              </w:rPr>
              <w:t>20.3</w:t>
            </w:r>
            <w:r>
              <w:rPr>
                <w:color w:val="000000"/>
              </w:rPr>
              <w:t xml:space="preserve"> ± 9.8%</w:t>
            </w:r>
          </w:p>
        </w:tc>
        <w:tc>
          <w:tcPr>
            <w:tcW w:w="850" w:type="dxa"/>
            <w:tcBorders>
              <w:top w:val="nil"/>
              <w:left w:val="nil"/>
              <w:bottom w:val="nil"/>
              <w:right w:val="nil"/>
            </w:tcBorders>
            <w:shd w:val="clear" w:color="auto" w:fill="auto"/>
            <w:noWrap/>
            <w:vAlign w:val="bottom"/>
            <w:hideMark/>
          </w:tcPr>
          <w:p w14:paraId="783DE5FE" w14:textId="77777777" w:rsidR="00C87869" w:rsidRPr="008273C6" w:rsidRDefault="00C87869" w:rsidP="007F6DA1">
            <w:pPr>
              <w:spacing w:line="240" w:lineRule="auto"/>
              <w:jc w:val="center"/>
              <w:rPr>
                <w:color w:val="000000"/>
              </w:rPr>
            </w:pPr>
            <w:r w:rsidRPr="008273C6">
              <w:rPr>
                <w:color w:val="000000"/>
              </w:rPr>
              <w:t>0.14</w:t>
            </w:r>
          </w:p>
        </w:tc>
        <w:tc>
          <w:tcPr>
            <w:tcW w:w="992" w:type="dxa"/>
            <w:tcBorders>
              <w:top w:val="nil"/>
              <w:left w:val="nil"/>
              <w:bottom w:val="nil"/>
              <w:right w:val="nil"/>
            </w:tcBorders>
            <w:shd w:val="clear" w:color="auto" w:fill="auto"/>
            <w:noWrap/>
            <w:vAlign w:val="bottom"/>
            <w:hideMark/>
          </w:tcPr>
          <w:p w14:paraId="79AD3196" w14:textId="77777777" w:rsidR="00C87869" w:rsidRPr="008273C6" w:rsidRDefault="00C87869" w:rsidP="007F6DA1">
            <w:pPr>
              <w:spacing w:line="240" w:lineRule="auto"/>
              <w:jc w:val="center"/>
              <w:rPr>
                <w:color w:val="000000"/>
              </w:rPr>
            </w:pPr>
            <w:r w:rsidRPr="008273C6">
              <w:rPr>
                <w:color w:val="000000"/>
              </w:rPr>
              <w:t>6.36</w:t>
            </w:r>
          </w:p>
        </w:tc>
        <w:tc>
          <w:tcPr>
            <w:tcW w:w="993" w:type="dxa"/>
            <w:tcBorders>
              <w:top w:val="nil"/>
              <w:left w:val="nil"/>
              <w:bottom w:val="nil"/>
              <w:right w:val="nil"/>
            </w:tcBorders>
            <w:shd w:val="clear" w:color="auto" w:fill="auto"/>
            <w:noWrap/>
            <w:vAlign w:val="bottom"/>
            <w:hideMark/>
          </w:tcPr>
          <w:p w14:paraId="0454527D" w14:textId="77777777" w:rsidR="00C87869" w:rsidRPr="008273C6" w:rsidRDefault="00C87869" w:rsidP="007F6DA1">
            <w:pPr>
              <w:spacing w:line="240" w:lineRule="auto"/>
              <w:jc w:val="center"/>
              <w:rPr>
                <w:color w:val="000000"/>
              </w:rPr>
            </w:pPr>
            <w:r w:rsidRPr="008273C6">
              <w:rPr>
                <w:color w:val="000000"/>
              </w:rPr>
              <w:t>59.0%</w:t>
            </w:r>
          </w:p>
        </w:tc>
      </w:tr>
      <w:tr w:rsidR="00C87869" w:rsidRPr="008273C6" w14:paraId="47AA22C0" w14:textId="77777777" w:rsidTr="007F6DA1">
        <w:trPr>
          <w:trHeight w:val="288"/>
        </w:trPr>
        <w:tc>
          <w:tcPr>
            <w:tcW w:w="4536" w:type="dxa"/>
            <w:tcBorders>
              <w:top w:val="nil"/>
              <w:left w:val="nil"/>
              <w:bottom w:val="nil"/>
              <w:right w:val="nil"/>
            </w:tcBorders>
            <w:shd w:val="clear" w:color="auto" w:fill="auto"/>
            <w:noWrap/>
            <w:vAlign w:val="bottom"/>
            <w:hideMark/>
          </w:tcPr>
          <w:p w14:paraId="745BB1C1" w14:textId="77777777" w:rsidR="00C87869" w:rsidRPr="008273C6" w:rsidRDefault="00C87869" w:rsidP="008D2B66">
            <w:pPr>
              <w:spacing w:line="240" w:lineRule="auto"/>
              <w:rPr>
                <w:color w:val="000000"/>
              </w:rPr>
            </w:pPr>
            <w:r w:rsidRPr="008273C6">
              <w:rPr>
                <w:color w:val="000000"/>
              </w:rPr>
              <w:t>Second serve-return effectiveness (%)</w:t>
            </w:r>
          </w:p>
        </w:tc>
        <w:tc>
          <w:tcPr>
            <w:tcW w:w="1560" w:type="dxa"/>
            <w:tcBorders>
              <w:top w:val="nil"/>
              <w:left w:val="nil"/>
              <w:bottom w:val="nil"/>
              <w:right w:val="nil"/>
            </w:tcBorders>
            <w:shd w:val="clear" w:color="auto" w:fill="auto"/>
            <w:noWrap/>
            <w:vAlign w:val="bottom"/>
            <w:hideMark/>
          </w:tcPr>
          <w:p w14:paraId="7CBF392A" w14:textId="77777777" w:rsidR="00C87869" w:rsidRPr="008273C6" w:rsidRDefault="00C87869" w:rsidP="007F6DA1">
            <w:pPr>
              <w:spacing w:line="240" w:lineRule="auto"/>
              <w:jc w:val="center"/>
              <w:rPr>
                <w:color w:val="000000"/>
              </w:rPr>
            </w:pPr>
            <w:r w:rsidRPr="008273C6">
              <w:rPr>
                <w:color w:val="000000"/>
              </w:rPr>
              <w:t>77.1</w:t>
            </w:r>
            <w:r>
              <w:rPr>
                <w:color w:val="000000"/>
              </w:rPr>
              <w:t xml:space="preserve"> ± 11.6%</w:t>
            </w:r>
          </w:p>
        </w:tc>
        <w:tc>
          <w:tcPr>
            <w:tcW w:w="1701" w:type="dxa"/>
            <w:tcBorders>
              <w:top w:val="nil"/>
              <w:left w:val="nil"/>
              <w:bottom w:val="nil"/>
              <w:right w:val="nil"/>
            </w:tcBorders>
            <w:shd w:val="clear" w:color="auto" w:fill="auto"/>
            <w:noWrap/>
            <w:vAlign w:val="bottom"/>
            <w:hideMark/>
          </w:tcPr>
          <w:p w14:paraId="4F00EA6E" w14:textId="77777777" w:rsidR="00C87869" w:rsidRPr="008273C6" w:rsidRDefault="00C87869" w:rsidP="007F6DA1">
            <w:pPr>
              <w:spacing w:line="240" w:lineRule="auto"/>
              <w:jc w:val="center"/>
              <w:rPr>
                <w:color w:val="000000"/>
              </w:rPr>
            </w:pPr>
            <w:r w:rsidRPr="008273C6">
              <w:rPr>
                <w:color w:val="000000"/>
              </w:rPr>
              <w:t>74.3</w:t>
            </w:r>
            <w:r>
              <w:rPr>
                <w:color w:val="000000"/>
              </w:rPr>
              <w:t xml:space="preserve"> ± 12.3%</w:t>
            </w:r>
          </w:p>
        </w:tc>
        <w:tc>
          <w:tcPr>
            <w:tcW w:w="850" w:type="dxa"/>
            <w:tcBorders>
              <w:top w:val="nil"/>
              <w:left w:val="nil"/>
              <w:bottom w:val="nil"/>
              <w:right w:val="nil"/>
            </w:tcBorders>
            <w:shd w:val="clear" w:color="auto" w:fill="auto"/>
            <w:noWrap/>
            <w:vAlign w:val="bottom"/>
            <w:hideMark/>
          </w:tcPr>
          <w:p w14:paraId="712E66A2" w14:textId="77777777" w:rsidR="00C87869" w:rsidRPr="008273C6" w:rsidRDefault="00C87869" w:rsidP="007F6DA1">
            <w:pPr>
              <w:spacing w:line="240" w:lineRule="auto"/>
              <w:jc w:val="center"/>
              <w:rPr>
                <w:color w:val="000000"/>
              </w:rPr>
            </w:pPr>
            <w:r w:rsidRPr="008273C6">
              <w:rPr>
                <w:color w:val="000000"/>
              </w:rPr>
              <w:t>0.12</w:t>
            </w:r>
          </w:p>
        </w:tc>
        <w:tc>
          <w:tcPr>
            <w:tcW w:w="992" w:type="dxa"/>
            <w:tcBorders>
              <w:top w:val="nil"/>
              <w:left w:val="nil"/>
              <w:bottom w:val="nil"/>
              <w:right w:val="nil"/>
            </w:tcBorders>
            <w:shd w:val="clear" w:color="auto" w:fill="auto"/>
            <w:noWrap/>
            <w:vAlign w:val="bottom"/>
            <w:hideMark/>
          </w:tcPr>
          <w:p w14:paraId="1C244B8A" w14:textId="77777777" w:rsidR="00C87869" w:rsidRPr="008273C6" w:rsidRDefault="00C87869" w:rsidP="007F6DA1">
            <w:pPr>
              <w:spacing w:line="240" w:lineRule="auto"/>
              <w:jc w:val="center"/>
              <w:rPr>
                <w:color w:val="000000"/>
              </w:rPr>
            </w:pPr>
            <w:r w:rsidRPr="008273C6">
              <w:rPr>
                <w:color w:val="000000"/>
              </w:rPr>
              <w:t>5.30</w:t>
            </w:r>
          </w:p>
        </w:tc>
        <w:tc>
          <w:tcPr>
            <w:tcW w:w="993" w:type="dxa"/>
            <w:tcBorders>
              <w:top w:val="nil"/>
              <w:left w:val="nil"/>
              <w:bottom w:val="nil"/>
              <w:right w:val="nil"/>
            </w:tcBorders>
            <w:shd w:val="clear" w:color="auto" w:fill="auto"/>
            <w:noWrap/>
            <w:vAlign w:val="bottom"/>
            <w:hideMark/>
          </w:tcPr>
          <w:p w14:paraId="3772BC2F" w14:textId="77777777" w:rsidR="00C87869" w:rsidRPr="008273C6" w:rsidRDefault="00C87869" w:rsidP="007F6DA1">
            <w:pPr>
              <w:spacing w:line="240" w:lineRule="auto"/>
              <w:jc w:val="center"/>
              <w:rPr>
                <w:color w:val="000000"/>
              </w:rPr>
            </w:pPr>
            <w:r w:rsidRPr="008273C6">
              <w:rPr>
                <w:color w:val="000000"/>
              </w:rPr>
              <w:t>57.5%</w:t>
            </w:r>
          </w:p>
        </w:tc>
      </w:tr>
      <w:tr w:rsidR="00C87869" w:rsidRPr="008273C6" w14:paraId="446BBC22" w14:textId="77777777" w:rsidTr="007F6DA1">
        <w:trPr>
          <w:trHeight w:val="288"/>
        </w:trPr>
        <w:tc>
          <w:tcPr>
            <w:tcW w:w="4536" w:type="dxa"/>
            <w:tcBorders>
              <w:top w:val="nil"/>
              <w:left w:val="nil"/>
              <w:bottom w:val="nil"/>
              <w:right w:val="nil"/>
            </w:tcBorders>
            <w:shd w:val="clear" w:color="auto" w:fill="auto"/>
            <w:noWrap/>
            <w:vAlign w:val="bottom"/>
            <w:hideMark/>
          </w:tcPr>
          <w:p w14:paraId="65040B1F" w14:textId="77777777" w:rsidR="00C87869" w:rsidRPr="008273C6" w:rsidRDefault="00C87869" w:rsidP="008D2B66">
            <w:pPr>
              <w:spacing w:line="240" w:lineRule="auto"/>
              <w:rPr>
                <w:color w:val="000000"/>
              </w:rPr>
            </w:pPr>
            <w:r w:rsidRPr="008273C6">
              <w:rPr>
                <w:color w:val="000000"/>
              </w:rPr>
              <w:t>B3 Attacking (%)</w:t>
            </w:r>
          </w:p>
        </w:tc>
        <w:tc>
          <w:tcPr>
            <w:tcW w:w="1560" w:type="dxa"/>
            <w:tcBorders>
              <w:top w:val="nil"/>
              <w:left w:val="nil"/>
              <w:bottom w:val="nil"/>
              <w:right w:val="nil"/>
            </w:tcBorders>
            <w:shd w:val="clear" w:color="auto" w:fill="auto"/>
            <w:noWrap/>
            <w:vAlign w:val="bottom"/>
            <w:hideMark/>
          </w:tcPr>
          <w:p w14:paraId="672B8943" w14:textId="77777777" w:rsidR="00C87869" w:rsidRPr="008273C6" w:rsidRDefault="00C87869" w:rsidP="007F6DA1">
            <w:pPr>
              <w:spacing w:line="240" w:lineRule="auto"/>
              <w:jc w:val="center"/>
              <w:rPr>
                <w:color w:val="000000"/>
              </w:rPr>
            </w:pPr>
            <w:r w:rsidRPr="008273C6">
              <w:rPr>
                <w:color w:val="000000"/>
              </w:rPr>
              <w:t>25.3</w:t>
            </w:r>
            <w:r>
              <w:rPr>
                <w:color w:val="000000"/>
              </w:rPr>
              <w:t xml:space="preserve"> ± 11.2%</w:t>
            </w:r>
          </w:p>
        </w:tc>
        <w:tc>
          <w:tcPr>
            <w:tcW w:w="1701" w:type="dxa"/>
            <w:tcBorders>
              <w:top w:val="nil"/>
              <w:left w:val="nil"/>
              <w:bottom w:val="nil"/>
              <w:right w:val="nil"/>
            </w:tcBorders>
            <w:shd w:val="clear" w:color="auto" w:fill="auto"/>
            <w:noWrap/>
            <w:vAlign w:val="bottom"/>
            <w:hideMark/>
          </w:tcPr>
          <w:p w14:paraId="0C3DC9DA" w14:textId="77777777" w:rsidR="00C87869" w:rsidRPr="008273C6" w:rsidRDefault="00C87869" w:rsidP="007F6DA1">
            <w:pPr>
              <w:spacing w:line="240" w:lineRule="auto"/>
              <w:jc w:val="center"/>
              <w:rPr>
                <w:color w:val="000000"/>
              </w:rPr>
            </w:pPr>
            <w:r w:rsidRPr="008273C6">
              <w:rPr>
                <w:color w:val="000000"/>
              </w:rPr>
              <w:t>23.9</w:t>
            </w:r>
            <w:r>
              <w:rPr>
                <w:color w:val="000000"/>
              </w:rPr>
              <w:t xml:space="preserve"> ± 10.7%</w:t>
            </w:r>
          </w:p>
        </w:tc>
        <w:tc>
          <w:tcPr>
            <w:tcW w:w="850" w:type="dxa"/>
            <w:tcBorders>
              <w:top w:val="nil"/>
              <w:left w:val="nil"/>
              <w:bottom w:val="nil"/>
              <w:right w:val="nil"/>
            </w:tcBorders>
            <w:shd w:val="clear" w:color="auto" w:fill="auto"/>
            <w:noWrap/>
            <w:vAlign w:val="bottom"/>
            <w:hideMark/>
          </w:tcPr>
          <w:p w14:paraId="397562FF" w14:textId="77777777" w:rsidR="00C87869" w:rsidRPr="008273C6" w:rsidRDefault="00C87869" w:rsidP="007F6DA1">
            <w:pPr>
              <w:spacing w:line="240" w:lineRule="auto"/>
              <w:jc w:val="center"/>
              <w:rPr>
                <w:color w:val="000000"/>
              </w:rPr>
            </w:pPr>
            <w:r w:rsidRPr="008273C6">
              <w:rPr>
                <w:color w:val="000000"/>
              </w:rPr>
              <w:t>0.07</w:t>
            </w:r>
          </w:p>
        </w:tc>
        <w:tc>
          <w:tcPr>
            <w:tcW w:w="992" w:type="dxa"/>
            <w:tcBorders>
              <w:top w:val="nil"/>
              <w:left w:val="nil"/>
              <w:bottom w:val="nil"/>
              <w:right w:val="nil"/>
            </w:tcBorders>
            <w:shd w:val="clear" w:color="auto" w:fill="auto"/>
            <w:noWrap/>
            <w:vAlign w:val="bottom"/>
            <w:hideMark/>
          </w:tcPr>
          <w:p w14:paraId="6763B051" w14:textId="77777777" w:rsidR="00C87869" w:rsidRPr="008273C6" w:rsidRDefault="00C87869" w:rsidP="007F6DA1">
            <w:pPr>
              <w:spacing w:line="240" w:lineRule="auto"/>
              <w:jc w:val="center"/>
              <w:rPr>
                <w:color w:val="000000"/>
              </w:rPr>
            </w:pPr>
            <w:r w:rsidRPr="008273C6">
              <w:rPr>
                <w:color w:val="000000"/>
              </w:rPr>
              <w:t>2.83</w:t>
            </w:r>
          </w:p>
        </w:tc>
        <w:tc>
          <w:tcPr>
            <w:tcW w:w="993" w:type="dxa"/>
            <w:tcBorders>
              <w:top w:val="nil"/>
              <w:left w:val="nil"/>
              <w:bottom w:val="nil"/>
              <w:right w:val="nil"/>
            </w:tcBorders>
            <w:shd w:val="clear" w:color="auto" w:fill="auto"/>
            <w:noWrap/>
            <w:vAlign w:val="bottom"/>
            <w:hideMark/>
          </w:tcPr>
          <w:p w14:paraId="767011E7" w14:textId="77777777" w:rsidR="00C87869" w:rsidRPr="008273C6" w:rsidRDefault="00C87869" w:rsidP="007F6DA1">
            <w:pPr>
              <w:spacing w:line="240" w:lineRule="auto"/>
              <w:jc w:val="center"/>
              <w:rPr>
                <w:color w:val="000000"/>
              </w:rPr>
            </w:pPr>
            <w:r w:rsidRPr="008273C6">
              <w:rPr>
                <w:color w:val="000000"/>
              </w:rPr>
              <w:t>54.0%</w:t>
            </w:r>
          </w:p>
        </w:tc>
      </w:tr>
      <w:tr w:rsidR="00C87869" w:rsidRPr="008273C6" w14:paraId="17CC0F7C" w14:textId="77777777" w:rsidTr="007F6DA1">
        <w:trPr>
          <w:trHeight w:val="288"/>
        </w:trPr>
        <w:tc>
          <w:tcPr>
            <w:tcW w:w="4536" w:type="dxa"/>
            <w:tcBorders>
              <w:top w:val="nil"/>
              <w:left w:val="nil"/>
              <w:bottom w:val="nil"/>
              <w:right w:val="nil"/>
            </w:tcBorders>
            <w:shd w:val="clear" w:color="auto" w:fill="auto"/>
            <w:noWrap/>
            <w:vAlign w:val="bottom"/>
            <w:hideMark/>
          </w:tcPr>
          <w:p w14:paraId="741D4FDF" w14:textId="77777777" w:rsidR="00C87869" w:rsidRPr="008273C6" w:rsidRDefault="00C87869" w:rsidP="008D2B66">
            <w:pPr>
              <w:spacing w:line="240" w:lineRule="auto"/>
              <w:rPr>
                <w:color w:val="000000"/>
              </w:rPr>
            </w:pPr>
            <w:r w:rsidRPr="008273C6">
              <w:rPr>
                <w:color w:val="000000"/>
              </w:rPr>
              <w:t>B3 Neutral (%)</w:t>
            </w:r>
          </w:p>
        </w:tc>
        <w:tc>
          <w:tcPr>
            <w:tcW w:w="1560" w:type="dxa"/>
            <w:tcBorders>
              <w:top w:val="nil"/>
              <w:left w:val="nil"/>
              <w:bottom w:val="nil"/>
              <w:right w:val="nil"/>
            </w:tcBorders>
            <w:shd w:val="clear" w:color="auto" w:fill="auto"/>
            <w:noWrap/>
            <w:vAlign w:val="bottom"/>
            <w:hideMark/>
          </w:tcPr>
          <w:p w14:paraId="238E10F4" w14:textId="77777777" w:rsidR="00C87869" w:rsidRPr="008273C6" w:rsidRDefault="00C87869" w:rsidP="007F6DA1">
            <w:pPr>
              <w:spacing w:line="240" w:lineRule="auto"/>
              <w:jc w:val="center"/>
              <w:rPr>
                <w:color w:val="000000"/>
              </w:rPr>
            </w:pPr>
            <w:r w:rsidRPr="008273C6">
              <w:rPr>
                <w:color w:val="000000"/>
              </w:rPr>
              <w:t>65.4</w:t>
            </w:r>
            <w:r>
              <w:rPr>
                <w:color w:val="000000"/>
              </w:rPr>
              <w:t xml:space="preserve"> ± 12.0%</w:t>
            </w:r>
          </w:p>
        </w:tc>
        <w:tc>
          <w:tcPr>
            <w:tcW w:w="1701" w:type="dxa"/>
            <w:tcBorders>
              <w:top w:val="nil"/>
              <w:left w:val="nil"/>
              <w:bottom w:val="nil"/>
              <w:right w:val="nil"/>
            </w:tcBorders>
            <w:shd w:val="clear" w:color="auto" w:fill="auto"/>
            <w:noWrap/>
            <w:vAlign w:val="bottom"/>
            <w:hideMark/>
          </w:tcPr>
          <w:p w14:paraId="1C2D2C8C" w14:textId="77777777" w:rsidR="00C87869" w:rsidRPr="008273C6" w:rsidRDefault="00C87869" w:rsidP="007F6DA1">
            <w:pPr>
              <w:spacing w:line="240" w:lineRule="auto"/>
              <w:jc w:val="center"/>
              <w:rPr>
                <w:color w:val="000000"/>
              </w:rPr>
            </w:pPr>
            <w:r w:rsidRPr="008273C6">
              <w:rPr>
                <w:color w:val="000000"/>
              </w:rPr>
              <w:t>66.9</w:t>
            </w:r>
            <w:r>
              <w:rPr>
                <w:color w:val="000000"/>
              </w:rPr>
              <w:t xml:space="preserve"> ± 11.9%</w:t>
            </w:r>
          </w:p>
        </w:tc>
        <w:tc>
          <w:tcPr>
            <w:tcW w:w="850" w:type="dxa"/>
            <w:tcBorders>
              <w:top w:val="nil"/>
              <w:left w:val="nil"/>
              <w:bottom w:val="nil"/>
              <w:right w:val="nil"/>
            </w:tcBorders>
            <w:shd w:val="clear" w:color="auto" w:fill="auto"/>
            <w:noWrap/>
            <w:vAlign w:val="bottom"/>
            <w:hideMark/>
          </w:tcPr>
          <w:p w14:paraId="0C12AA6A" w14:textId="77777777" w:rsidR="00C87869" w:rsidRPr="008273C6" w:rsidRDefault="00C87869" w:rsidP="007F6DA1">
            <w:pPr>
              <w:spacing w:line="240" w:lineRule="auto"/>
              <w:jc w:val="center"/>
              <w:rPr>
                <w:color w:val="000000"/>
              </w:rPr>
            </w:pPr>
            <w:r w:rsidRPr="008273C6">
              <w:rPr>
                <w:color w:val="000000"/>
              </w:rPr>
              <w:t>0.06</w:t>
            </w:r>
          </w:p>
        </w:tc>
        <w:tc>
          <w:tcPr>
            <w:tcW w:w="992" w:type="dxa"/>
            <w:tcBorders>
              <w:top w:val="nil"/>
              <w:left w:val="nil"/>
              <w:bottom w:val="nil"/>
              <w:right w:val="nil"/>
            </w:tcBorders>
            <w:shd w:val="clear" w:color="auto" w:fill="auto"/>
            <w:noWrap/>
            <w:vAlign w:val="bottom"/>
            <w:hideMark/>
          </w:tcPr>
          <w:p w14:paraId="432056C9" w14:textId="77777777" w:rsidR="00C87869" w:rsidRPr="008273C6" w:rsidRDefault="00C87869" w:rsidP="007F6DA1">
            <w:pPr>
              <w:spacing w:line="240" w:lineRule="auto"/>
              <w:jc w:val="center"/>
              <w:rPr>
                <w:color w:val="000000"/>
              </w:rPr>
            </w:pPr>
            <w:r w:rsidRPr="008273C6">
              <w:rPr>
                <w:color w:val="000000"/>
              </w:rPr>
              <w:t>-2.92</w:t>
            </w:r>
          </w:p>
        </w:tc>
        <w:tc>
          <w:tcPr>
            <w:tcW w:w="993" w:type="dxa"/>
            <w:tcBorders>
              <w:top w:val="nil"/>
              <w:left w:val="nil"/>
              <w:bottom w:val="nil"/>
              <w:right w:val="nil"/>
            </w:tcBorders>
            <w:shd w:val="clear" w:color="auto" w:fill="auto"/>
            <w:noWrap/>
            <w:vAlign w:val="bottom"/>
            <w:hideMark/>
          </w:tcPr>
          <w:p w14:paraId="4AAE324A" w14:textId="77777777" w:rsidR="00C87869" w:rsidRPr="008273C6" w:rsidRDefault="00C87869" w:rsidP="007F6DA1">
            <w:pPr>
              <w:spacing w:line="240" w:lineRule="auto"/>
              <w:jc w:val="center"/>
              <w:rPr>
                <w:color w:val="000000"/>
              </w:rPr>
            </w:pPr>
            <w:r w:rsidRPr="008273C6">
              <w:rPr>
                <w:color w:val="000000"/>
              </w:rPr>
              <w:t>44.6%</w:t>
            </w:r>
          </w:p>
        </w:tc>
      </w:tr>
      <w:tr w:rsidR="00C87869" w:rsidRPr="008273C6" w14:paraId="4C3E2331" w14:textId="77777777" w:rsidTr="007F6DA1">
        <w:trPr>
          <w:trHeight w:val="288"/>
        </w:trPr>
        <w:tc>
          <w:tcPr>
            <w:tcW w:w="4536" w:type="dxa"/>
            <w:tcBorders>
              <w:top w:val="nil"/>
              <w:left w:val="nil"/>
              <w:bottom w:val="nil"/>
              <w:right w:val="nil"/>
            </w:tcBorders>
            <w:shd w:val="clear" w:color="auto" w:fill="auto"/>
            <w:noWrap/>
            <w:vAlign w:val="bottom"/>
            <w:hideMark/>
          </w:tcPr>
          <w:p w14:paraId="0A7AD048" w14:textId="77777777" w:rsidR="00C87869" w:rsidRPr="008273C6" w:rsidRDefault="00C87869" w:rsidP="008D2B66">
            <w:pPr>
              <w:spacing w:line="240" w:lineRule="auto"/>
              <w:rPr>
                <w:color w:val="000000"/>
              </w:rPr>
            </w:pPr>
            <w:r w:rsidRPr="008273C6">
              <w:rPr>
                <w:color w:val="000000"/>
              </w:rPr>
              <w:t>B3 FH (%)</w:t>
            </w:r>
          </w:p>
        </w:tc>
        <w:tc>
          <w:tcPr>
            <w:tcW w:w="1560" w:type="dxa"/>
            <w:tcBorders>
              <w:top w:val="nil"/>
              <w:left w:val="nil"/>
              <w:bottom w:val="nil"/>
              <w:right w:val="nil"/>
            </w:tcBorders>
            <w:shd w:val="clear" w:color="auto" w:fill="auto"/>
            <w:noWrap/>
            <w:vAlign w:val="bottom"/>
            <w:hideMark/>
          </w:tcPr>
          <w:p w14:paraId="24951188" w14:textId="77777777" w:rsidR="00C87869" w:rsidRPr="008273C6" w:rsidRDefault="00C87869" w:rsidP="007F6DA1">
            <w:pPr>
              <w:spacing w:line="240" w:lineRule="auto"/>
              <w:jc w:val="center"/>
              <w:rPr>
                <w:color w:val="000000"/>
              </w:rPr>
            </w:pPr>
            <w:r w:rsidRPr="008273C6">
              <w:rPr>
                <w:color w:val="000000"/>
              </w:rPr>
              <w:t>65.3</w:t>
            </w:r>
            <w:r>
              <w:rPr>
                <w:color w:val="000000"/>
              </w:rPr>
              <w:t xml:space="preserve"> ± 12.5%</w:t>
            </w:r>
          </w:p>
        </w:tc>
        <w:tc>
          <w:tcPr>
            <w:tcW w:w="1701" w:type="dxa"/>
            <w:tcBorders>
              <w:top w:val="nil"/>
              <w:left w:val="nil"/>
              <w:bottom w:val="nil"/>
              <w:right w:val="nil"/>
            </w:tcBorders>
            <w:shd w:val="clear" w:color="auto" w:fill="auto"/>
            <w:noWrap/>
            <w:vAlign w:val="bottom"/>
            <w:hideMark/>
          </w:tcPr>
          <w:p w14:paraId="05CE4ACD" w14:textId="77777777" w:rsidR="00C87869" w:rsidRPr="008273C6" w:rsidRDefault="00C87869" w:rsidP="007F6DA1">
            <w:pPr>
              <w:spacing w:line="240" w:lineRule="auto"/>
              <w:jc w:val="center"/>
              <w:rPr>
                <w:color w:val="000000"/>
              </w:rPr>
            </w:pPr>
            <w:r w:rsidRPr="008273C6">
              <w:rPr>
                <w:color w:val="000000"/>
              </w:rPr>
              <w:t>64.5</w:t>
            </w:r>
            <w:r>
              <w:rPr>
                <w:color w:val="000000"/>
              </w:rPr>
              <w:t xml:space="preserve"> ± 12.2%</w:t>
            </w:r>
          </w:p>
        </w:tc>
        <w:tc>
          <w:tcPr>
            <w:tcW w:w="850" w:type="dxa"/>
            <w:tcBorders>
              <w:top w:val="nil"/>
              <w:left w:val="nil"/>
              <w:bottom w:val="nil"/>
              <w:right w:val="nil"/>
            </w:tcBorders>
            <w:shd w:val="clear" w:color="auto" w:fill="auto"/>
            <w:noWrap/>
            <w:vAlign w:val="bottom"/>
            <w:hideMark/>
          </w:tcPr>
          <w:p w14:paraId="56185D62" w14:textId="77777777" w:rsidR="00C87869" w:rsidRPr="008273C6" w:rsidRDefault="00C87869" w:rsidP="007F6DA1">
            <w:pPr>
              <w:spacing w:line="240" w:lineRule="auto"/>
              <w:jc w:val="center"/>
              <w:rPr>
                <w:color w:val="000000"/>
              </w:rPr>
            </w:pPr>
            <w:r w:rsidRPr="008273C6">
              <w:rPr>
                <w:color w:val="000000"/>
              </w:rPr>
              <w:t>0.03</w:t>
            </w:r>
          </w:p>
        </w:tc>
        <w:tc>
          <w:tcPr>
            <w:tcW w:w="992" w:type="dxa"/>
            <w:tcBorders>
              <w:top w:val="nil"/>
              <w:left w:val="nil"/>
              <w:bottom w:val="nil"/>
              <w:right w:val="nil"/>
            </w:tcBorders>
            <w:shd w:val="clear" w:color="auto" w:fill="auto"/>
            <w:noWrap/>
            <w:vAlign w:val="bottom"/>
            <w:hideMark/>
          </w:tcPr>
          <w:p w14:paraId="7FC35A4E" w14:textId="77777777" w:rsidR="00C87869" w:rsidRPr="008273C6" w:rsidRDefault="00C87869" w:rsidP="007F6DA1">
            <w:pPr>
              <w:spacing w:line="240" w:lineRule="auto"/>
              <w:jc w:val="center"/>
              <w:rPr>
                <w:color w:val="000000"/>
              </w:rPr>
            </w:pPr>
            <w:r w:rsidRPr="008273C6">
              <w:rPr>
                <w:color w:val="000000"/>
              </w:rPr>
              <w:t>1.34</w:t>
            </w:r>
          </w:p>
        </w:tc>
        <w:tc>
          <w:tcPr>
            <w:tcW w:w="993" w:type="dxa"/>
            <w:tcBorders>
              <w:top w:val="nil"/>
              <w:left w:val="nil"/>
              <w:bottom w:val="nil"/>
              <w:right w:val="nil"/>
            </w:tcBorders>
            <w:shd w:val="clear" w:color="auto" w:fill="auto"/>
            <w:noWrap/>
            <w:vAlign w:val="bottom"/>
            <w:hideMark/>
          </w:tcPr>
          <w:p w14:paraId="046C5D26" w14:textId="77777777" w:rsidR="00C87869" w:rsidRPr="008273C6" w:rsidRDefault="00C87869" w:rsidP="007F6DA1">
            <w:pPr>
              <w:spacing w:line="240" w:lineRule="auto"/>
              <w:jc w:val="center"/>
              <w:rPr>
                <w:color w:val="000000"/>
              </w:rPr>
            </w:pPr>
            <w:r w:rsidRPr="008273C6">
              <w:rPr>
                <w:color w:val="000000"/>
              </w:rPr>
              <w:t>53.0%</w:t>
            </w:r>
          </w:p>
        </w:tc>
      </w:tr>
      <w:tr w:rsidR="00C87869" w:rsidRPr="008273C6" w14:paraId="124238C5" w14:textId="77777777" w:rsidTr="007F6DA1">
        <w:trPr>
          <w:trHeight w:val="288"/>
        </w:trPr>
        <w:tc>
          <w:tcPr>
            <w:tcW w:w="4536" w:type="dxa"/>
            <w:tcBorders>
              <w:top w:val="nil"/>
              <w:left w:val="nil"/>
              <w:bottom w:val="nil"/>
              <w:right w:val="nil"/>
            </w:tcBorders>
            <w:shd w:val="clear" w:color="auto" w:fill="auto"/>
            <w:noWrap/>
            <w:vAlign w:val="bottom"/>
            <w:hideMark/>
          </w:tcPr>
          <w:p w14:paraId="06D8E4F9" w14:textId="77777777" w:rsidR="00C87869" w:rsidRPr="008273C6" w:rsidRDefault="00C87869" w:rsidP="008D2B66">
            <w:pPr>
              <w:spacing w:line="240" w:lineRule="auto"/>
              <w:rPr>
                <w:color w:val="000000"/>
              </w:rPr>
            </w:pPr>
            <w:r w:rsidRPr="008273C6">
              <w:rPr>
                <w:color w:val="000000"/>
              </w:rPr>
              <w:t>B3 Defensive (%)</w:t>
            </w:r>
          </w:p>
        </w:tc>
        <w:tc>
          <w:tcPr>
            <w:tcW w:w="1560" w:type="dxa"/>
            <w:tcBorders>
              <w:top w:val="nil"/>
              <w:left w:val="nil"/>
              <w:bottom w:val="nil"/>
              <w:right w:val="nil"/>
            </w:tcBorders>
            <w:shd w:val="clear" w:color="auto" w:fill="auto"/>
            <w:noWrap/>
            <w:vAlign w:val="bottom"/>
            <w:hideMark/>
          </w:tcPr>
          <w:p w14:paraId="49D4D396" w14:textId="77777777" w:rsidR="00C87869" w:rsidRPr="008273C6" w:rsidRDefault="00C87869" w:rsidP="007F6DA1">
            <w:pPr>
              <w:spacing w:line="240" w:lineRule="auto"/>
              <w:jc w:val="center"/>
              <w:rPr>
                <w:color w:val="000000"/>
              </w:rPr>
            </w:pPr>
            <w:r w:rsidRPr="008273C6">
              <w:rPr>
                <w:color w:val="000000"/>
              </w:rPr>
              <w:t>9.3</w:t>
            </w:r>
            <w:r>
              <w:rPr>
                <w:color w:val="000000"/>
              </w:rPr>
              <w:t xml:space="preserve"> ± 6.7%</w:t>
            </w:r>
          </w:p>
        </w:tc>
        <w:tc>
          <w:tcPr>
            <w:tcW w:w="1701" w:type="dxa"/>
            <w:tcBorders>
              <w:top w:val="nil"/>
              <w:left w:val="nil"/>
              <w:bottom w:val="nil"/>
              <w:right w:val="nil"/>
            </w:tcBorders>
            <w:shd w:val="clear" w:color="auto" w:fill="auto"/>
            <w:noWrap/>
            <w:vAlign w:val="bottom"/>
            <w:hideMark/>
          </w:tcPr>
          <w:p w14:paraId="04C60500" w14:textId="77777777" w:rsidR="00C87869" w:rsidRPr="008273C6" w:rsidRDefault="00C87869" w:rsidP="007F6DA1">
            <w:pPr>
              <w:spacing w:line="240" w:lineRule="auto"/>
              <w:jc w:val="center"/>
              <w:rPr>
                <w:color w:val="000000"/>
              </w:rPr>
            </w:pPr>
            <w:r w:rsidRPr="008273C6">
              <w:rPr>
                <w:color w:val="000000"/>
              </w:rPr>
              <w:t>9.2</w:t>
            </w:r>
            <w:r>
              <w:rPr>
                <w:color w:val="000000"/>
              </w:rPr>
              <w:t xml:space="preserve"> ± 6.5%</w:t>
            </w:r>
          </w:p>
        </w:tc>
        <w:tc>
          <w:tcPr>
            <w:tcW w:w="850" w:type="dxa"/>
            <w:tcBorders>
              <w:top w:val="nil"/>
              <w:left w:val="nil"/>
              <w:bottom w:val="nil"/>
              <w:right w:val="nil"/>
            </w:tcBorders>
            <w:shd w:val="clear" w:color="auto" w:fill="auto"/>
            <w:noWrap/>
            <w:vAlign w:val="bottom"/>
            <w:hideMark/>
          </w:tcPr>
          <w:p w14:paraId="3BBA8CDE" w14:textId="77777777" w:rsidR="00C87869" w:rsidRPr="008273C6" w:rsidRDefault="00C87869" w:rsidP="007F6DA1">
            <w:pPr>
              <w:spacing w:line="240" w:lineRule="auto"/>
              <w:jc w:val="center"/>
              <w:rPr>
                <w:color w:val="000000"/>
              </w:rPr>
            </w:pPr>
            <w:r w:rsidRPr="008273C6">
              <w:rPr>
                <w:color w:val="000000"/>
              </w:rPr>
              <w:t>0.003</w:t>
            </w:r>
          </w:p>
        </w:tc>
        <w:tc>
          <w:tcPr>
            <w:tcW w:w="992" w:type="dxa"/>
            <w:tcBorders>
              <w:top w:val="nil"/>
              <w:left w:val="nil"/>
              <w:bottom w:val="nil"/>
              <w:right w:val="nil"/>
            </w:tcBorders>
            <w:shd w:val="clear" w:color="auto" w:fill="auto"/>
            <w:noWrap/>
            <w:vAlign w:val="bottom"/>
            <w:hideMark/>
          </w:tcPr>
          <w:p w14:paraId="7EBAFF81" w14:textId="77777777" w:rsidR="00C87869" w:rsidRPr="008273C6" w:rsidRDefault="00C87869" w:rsidP="007F6DA1">
            <w:pPr>
              <w:spacing w:line="240" w:lineRule="auto"/>
              <w:jc w:val="center"/>
              <w:rPr>
                <w:color w:val="000000"/>
              </w:rPr>
            </w:pPr>
            <w:r w:rsidRPr="008273C6">
              <w:rPr>
                <w:color w:val="000000"/>
              </w:rPr>
              <w:t>0.14</w:t>
            </w:r>
          </w:p>
        </w:tc>
        <w:tc>
          <w:tcPr>
            <w:tcW w:w="993" w:type="dxa"/>
            <w:tcBorders>
              <w:top w:val="nil"/>
              <w:left w:val="nil"/>
              <w:bottom w:val="nil"/>
              <w:right w:val="nil"/>
            </w:tcBorders>
            <w:shd w:val="clear" w:color="auto" w:fill="auto"/>
            <w:noWrap/>
            <w:vAlign w:val="bottom"/>
            <w:hideMark/>
          </w:tcPr>
          <w:p w14:paraId="66E8F66A" w14:textId="77777777" w:rsidR="00C87869" w:rsidRPr="008273C6" w:rsidRDefault="00C87869" w:rsidP="007F6DA1">
            <w:pPr>
              <w:spacing w:line="240" w:lineRule="auto"/>
              <w:jc w:val="center"/>
              <w:rPr>
                <w:color w:val="000000"/>
              </w:rPr>
            </w:pPr>
            <w:r w:rsidRPr="008273C6">
              <w:rPr>
                <w:color w:val="000000"/>
              </w:rPr>
              <w:t>47.8%</w:t>
            </w:r>
          </w:p>
        </w:tc>
      </w:tr>
      <w:tr w:rsidR="00C87869" w:rsidRPr="008273C6" w14:paraId="26235640" w14:textId="77777777" w:rsidTr="007F6DA1">
        <w:trPr>
          <w:trHeight w:val="288"/>
        </w:trPr>
        <w:tc>
          <w:tcPr>
            <w:tcW w:w="4536" w:type="dxa"/>
            <w:tcBorders>
              <w:top w:val="nil"/>
              <w:left w:val="nil"/>
              <w:right w:val="nil"/>
            </w:tcBorders>
            <w:shd w:val="clear" w:color="auto" w:fill="auto"/>
            <w:noWrap/>
            <w:vAlign w:val="bottom"/>
            <w:hideMark/>
          </w:tcPr>
          <w:p w14:paraId="1188A580" w14:textId="77777777" w:rsidR="00C87869" w:rsidRPr="008273C6" w:rsidRDefault="00C87869" w:rsidP="008D2B66">
            <w:pPr>
              <w:spacing w:line="240" w:lineRule="auto"/>
              <w:rPr>
                <w:color w:val="000000"/>
              </w:rPr>
            </w:pPr>
            <w:r w:rsidRPr="008273C6">
              <w:rPr>
                <w:color w:val="000000"/>
              </w:rPr>
              <w:t>Double faults (%)</w:t>
            </w:r>
          </w:p>
        </w:tc>
        <w:tc>
          <w:tcPr>
            <w:tcW w:w="1560" w:type="dxa"/>
            <w:tcBorders>
              <w:top w:val="nil"/>
              <w:left w:val="nil"/>
              <w:right w:val="nil"/>
            </w:tcBorders>
            <w:shd w:val="clear" w:color="auto" w:fill="auto"/>
            <w:noWrap/>
            <w:vAlign w:val="bottom"/>
            <w:hideMark/>
          </w:tcPr>
          <w:p w14:paraId="4241E15D" w14:textId="77777777" w:rsidR="00C87869" w:rsidRPr="008273C6" w:rsidRDefault="00C87869" w:rsidP="007F6DA1">
            <w:pPr>
              <w:spacing w:line="240" w:lineRule="auto"/>
              <w:jc w:val="center"/>
              <w:rPr>
                <w:color w:val="000000"/>
              </w:rPr>
            </w:pPr>
            <w:r w:rsidRPr="008273C6">
              <w:rPr>
                <w:color w:val="000000"/>
              </w:rPr>
              <w:t>3.3</w:t>
            </w:r>
            <w:r>
              <w:rPr>
                <w:color w:val="000000"/>
              </w:rPr>
              <w:t xml:space="preserve"> ± 2.4%</w:t>
            </w:r>
          </w:p>
        </w:tc>
        <w:tc>
          <w:tcPr>
            <w:tcW w:w="1701" w:type="dxa"/>
            <w:tcBorders>
              <w:top w:val="nil"/>
              <w:left w:val="nil"/>
              <w:right w:val="nil"/>
            </w:tcBorders>
            <w:shd w:val="clear" w:color="auto" w:fill="auto"/>
            <w:noWrap/>
            <w:vAlign w:val="bottom"/>
            <w:hideMark/>
          </w:tcPr>
          <w:p w14:paraId="746F79A9" w14:textId="77777777" w:rsidR="00C87869" w:rsidRPr="008273C6" w:rsidRDefault="00C87869" w:rsidP="007F6DA1">
            <w:pPr>
              <w:spacing w:line="240" w:lineRule="auto"/>
              <w:jc w:val="center"/>
              <w:rPr>
                <w:color w:val="000000"/>
              </w:rPr>
            </w:pPr>
            <w:r w:rsidRPr="008273C6">
              <w:rPr>
                <w:color w:val="000000"/>
              </w:rPr>
              <w:t>4.1</w:t>
            </w:r>
            <w:r>
              <w:rPr>
                <w:color w:val="000000"/>
              </w:rPr>
              <w:t xml:space="preserve"> ± 2.9%</w:t>
            </w:r>
          </w:p>
        </w:tc>
        <w:tc>
          <w:tcPr>
            <w:tcW w:w="850" w:type="dxa"/>
            <w:tcBorders>
              <w:top w:val="nil"/>
              <w:left w:val="nil"/>
              <w:right w:val="nil"/>
            </w:tcBorders>
            <w:shd w:val="clear" w:color="auto" w:fill="auto"/>
            <w:noWrap/>
            <w:vAlign w:val="bottom"/>
            <w:hideMark/>
          </w:tcPr>
          <w:p w14:paraId="739B302B" w14:textId="77777777" w:rsidR="00C87869" w:rsidRPr="008273C6" w:rsidRDefault="00C87869" w:rsidP="007F6DA1">
            <w:pPr>
              <w:spacing w:line="240" w:lineRule="auto"/>
              <w:jc w:val="center"/>
              <w:rPr>
                <w:color w:val="000000"/>
              </w:rPr>
            </w:pPr>
            <w:r w:rsidRPr="008273C6">
              <w:rPr>
                <w:color w:val="000000"/>
              </w:rPr>
              <w:t>-0.14</w:t>
            </w:r>
          </w:p>
        </w:tc>
        <w:tc>
          <w:tcPr>
            <w:tcW w:w="992" w:type="dxa"/>
            <w:tcBorders>
              <w:top w:val="nil"/>
              <w:left w:val="nil"/>
              <w:right w:val="nil"/>
            </w:tcBorders>
            <w:shd w:val="clear" w:color="auto" w:fill="auto"/>
            <w:noWrap/>
            <w:vAlign w:val="bottom"/>
            <w:hideMark/>
          </w:tcPr>
          <w:p w14:paraId="2393D17E" w14:textId="77777777" w:rsidR="00C87869" w:rsidRPr="008273C6" w:rsidRDefault="00C87869" w:rsidP="007F6DA1">
            <w:pPr>
              <w:spacing w:line="240" w:lineRule="auto"/>
              <w:jc w:val="center"/>
              <w:rPr>
                <w:color w:val="000000"/>
              </w:rPr>
            </w:pPr>
            <w:r w:rsidRPr="008273C6">
              <w:rPr>
                <w:color w:val="000000"/>
              </w:rPr>
              <w:t>-5.89</w:t>
            </w:r>
          </w:p>
        </w:tc>
        <w:tc>
          <w:tcPr>
            <w:tcW w:w="993" w:type="dxa"/>
            <w:tcBorders>
              <w:top w:val="nil"/>
              <w:left w:val="nil"/>
              <w:right w:val="nil"/>
            </w:tcBorders>
            <w:shd w:val="clear" w:color="auto" w:fill="auto"/>
            <w:noWrap/>
            <w:vAlign w:val="bottom"/>
            <w:hideMark/>
          </w:tcPr>
          <w:p w14:paraId="78D88997" w14:textId="77777777" w:rsidR="00C87869" w:rsidRPr="008273C6" w:rsidRDefault="00C87869" w:rsidP="007F6DA1">
            <w:pPr>
              <w:spacing w:line="240" w:lineRule="auto"/>
              <w:jc w:val="center"/>
              <w:rPr>
                <w:color w:val="000000"/>
              </w:rPr>
            </w:pPr>
            <w:r w:rsidRPr="008273C6">
              <w:rPr>
                <w:color w:val="000000"/>
              </w:rPr>
              <w:t>43.1%</w:t>
            </w:r>
          </w:p>
        </w:tc>
      </w:tr>
      <w:tr w:rsidR="00C87869" w:rsidRPr="008273C6" w14:paraId="7B36F710" w14:textId="77777777" w:rsidTr="007F6DA1">
        <w:trPr>
          <w:trHeight w:val="288"/>
        </w:trPr>
        <w:tc>
          <w:tcPr>
            <w:tcW w:w="4536" w:type="dxa"/>
            <w:tcBorders>
              <w:top w:val="nil"/>
              <w:left w:val="nil"/>
              <w:bottom w:val="single" w:sz="4" w:space="0" w:color="auto"/>
              <w:right w:val="nil"/>
            </w:tcBorders>
            <w:shd w:val="clear" w:color="auto" w:fill="auto"/>
            <w:noWrap/>
            <w:vAlign w:val="bottom"/>
            <w:hideMark/>
          </w:tcPr>
          <w:p w14:paraId="34B09A69" w14:textId="77777777" w:rsidR="00C87869" w:rsidRPr="008273C6" w:rsidRDefault="00C87869" w:rsidP="008D2B66">
            <w:pPr>
              <w:spacing w:line="240" w:lineRule="auto"/>
              <w:rPr>
                <w:color w:val="000000"/>
              </w:rPr>
            </w:pPr>
            <w:r w:rsidRPr="008273C6">
              <w:rPr>
                <w:color w:val="000000"/>
              </w:rPr>
              <w:t>Forced errors (%)</w:t>
            </w:r>
          </w:p>
        </w:tc>
        <w:tc>
          <w:tcPr>
            <w:tcW w:w="1560" w:type="dxa"/>
            <w:tcBorders>
              <w:top w:val="nil"/>
              <w:left w:val="nil"/>
              <w:bottom w:val="single" w:sz="4" w:space="0" w:color="auto"/>
              <w:right w:val="nil"/>
            </w:tcBorders>
            <w:shd w:val="clear" w:color="auto" w:fill="auto"/>
            <w:noWrap/>
            <w:vAlign w:val="bottom"/>
            <w:hideMark/>
          </w:tcPr>
          <w:p w14:paraId="76207AB8" w14:textId="77777777" w:rsidR="00C87869" w:rsidRPr="008273C6" w:rsidRDefault="00C87869" w:rsidP="007F6DA1">
            <w:pPr>
              <w:spacing w:line="240" w:lineRule="auto"/>
              <w:jc w:val="center"/>
              <w:rPr>
                <w:color w:val="000000"/>
              </w:rPr>
            </w:pPr>
            <w:r w:rsidRPr="008273C6">
              <w:rPr>
                <w:color w:val="000000"/>
              </w:rPr>
              <w:t>9.8</w:t>
            </w:r>
            <w:r>
              <w:rPr>
                <w:color w:val="000000"/>
              </w:rPr>
              <w:t xml:space="preserve"> ± 4.1%</w:t>
            </w:r>
          </w:p>
        </w:tc>
        <w:tc>
          <w:tcPr>
            <w:tcW w:w="1701" w:type="dxa"/>
            <w:tcBorders>
              <w:top w:val="nil"/>
              <w:left w:val="nil"/>
              <w:bottom w:val="single" w:sz="4" w:space="0" w:color="auto"/>
              <w:right w:val="nil"/>
            </w:tcBorders>
            <w:shd w:val="clear" w:color="auto" w:fill="auto"/>
            <w:noWrap/>
            <w:vAlign w:val="bottom"/>
            <w:hideMark/>
          </w:tcPr>
          <w:p w14:paraId="5710D71C" w14:textId="77777777" w:rsidR="00C87869" w:rsidRPr="008273C6" w:rsidRDefault="00C87869" w:rsidP="007F6DA1">
            <w:pPr>
              <w:spacing w:line="240" w:lineRule="auto"/>
              <w:jc w:val="center"/>
              <w:rPr>
                <w:color w:val="000000"/>
              </w:rPr>
            </w:pPr>
            <w:r w:rsidRPr="008273C6">
              <w:rPr>
                <w:color w:val="000000"/>
              </w:rPr>
              <w:t>11.1</w:t>
            </w:r>
            <w:r>
              <w:rPr>
                <w:color w:val="000000"/>
              </w:rPr>
              <w:t xml:space="preserve"> ± 4.3%</w:t>
            </w:r>
          </w:p>
        </w:tc>
        <w:tc>
          <w:tcPr>
            <w:tcW w:w="850" w:type="dxa"/>
            <w:tcBorders>
              <w:top w:val="nil"/>
              <w:left w:val="nil"/>
              <w:bottom w:val="single" w:sz="4" w:space="0" w:color="auto"/>
              <w:right w:val="nil"/>
            </w:tcBorders>
            <w:shd w:val="clear" w:color="auto" w:fill="auto"/>
            <w:noWrap/>
            <w:vAlign w:val="bottom"/>
            <w:hideMark/>
          </w:tcPr>
          <w:p w14:paraId="3C192729" w14:textId="77777777" w:rsidR="00C87869" w:rsidRPr="008273C6" w:rsidRDefault="00C87869" w:rsidP="007F6DA1">
            <w:pPr>
              <w:spacing w:line="240" w:lineRule="auto"/>
              <w:jc w:val="center"/>
              <w:rPr>
                <w:color w:val="000000"/>
              </w:rPr>
            </w:pPr>
            <w:r w:rsidRPr="008273C6">
              <w:rPr>
                <w:color w:val="000000"/>
              </w:rPr>
              <w:t>-0.15</w:t>
            </w:r>
          </w:p>
        </w:tc>
        <w:tc>
          <w:tcPr>
            <w:tcW w:w="992" w:type="dxa"/>
            <w:tcBorders>
              <w:top w:val="nil"/>
              <w:left w:val="nil"/>
              <w:bottom w:val="single" w:sz="4" w:space="0" w:color="auto"/>
              <w:right w:val="nil"/>
            </w:tcBorders>
            <w:shd w:val="clear" w:color="auto" w:fill="auto"/>
            <w:noWrap/>
            <w:vAlign w:val="bottom"/>
            <w:hideMark/>
          </w:tcPr>
          <w:p w14:paraId="2C002F81" w14:textId="77777777" w:rsidR="00C87869" w:rsidRPr="008273C6" w:rsidRDefault="00C87869" w:rsidP="007F6DA1">
            <w:pPr>
              <w:spacing w:line="240" w:lineRule="auto"/>
              <w:jc w:val="center"/>
              <w:rPr>
                <w:color w:val="000000"/>
              </w:rPr>
            </w:pPr>
            <w:r w:rsidRPr="008273C6">
              <w:rPr>
                <w:color w:val="000000"/>
              </w:rPr>
              <w:t>-6.91</w:t>
            </w:r>
          </w:p>
        </w:tc>
        <w:tc>
          <w:tcPr>
            <w:tcW w:w="993" w:type="dxa"/>
            <w:tcBorders>
              <w:top w:val="nil"/>
              <w:left w:val="nil"/>
              <w:bottom w:val="single" w:sz="4" w:space="0" w:color="auto"/>
              <w:right w:val="nil"/>
            </w:tcBorders>
            <w:shd w:val="clear" w:color="auto" w:fill="auto"/>
            <w:noWrap/>
            <w:vAlign w:val="bottom"/>
            <w:hideMark/>
          </w:tcPr>
          <w:p w14:paraId="1E2B3903" w14:textId="77777777" w:rsidR="00C87869" w:rsidRPr="008273C6" w:rsidRDefault="00C87869" w:rsidP="007F6DA1">
            <w:pPr>
              <w:spacing w:line="240" w:lineRule="auto"/>
              <w:jc w:val="center"/>
              <w:rPr>
                <w:color w:val="000000"/>
              </w:rPr>
            </w:pPr>
            <w:r w:rsidRPr="008273C6">
              <w:rPr>
                <w:color w:val="000000"/>
              </w:rPr>
              <w:t>39.4%</w:t>
            </w:r>
          </w:p>
        </w:tc>
      </w:tr>
    </w:tbl>
    <w:p w14:paraId="06B10BE4" w14:textId="730E1041" w:rsidR="00C87869" w:rsidRPr="00006D4B" w:rsidRDefault="0029344C" w:rsidP="00C87869">
      <w:pPr>
        <w:pStyle w:val="Paragraph"/>
        <w:spacing w:before="0" w:line="276" w:lineRule="auto"/>
        <w:rPr>
          <w:b/>
          <w:bCs/>
        </w:rPr>
      </w:pPr>
      <w:r w:rsidRPr="0029344C">
        <w:t>Note:</w:t>
      </w:r>
      <w:r w:rsidRPr="0029344C">
        <w:rPr>
          <w:vertAlign w:val="superscript"/>
        </w:rPr>
        <w:t xml:space="preserve">+ </w:t>
      </w:r>
      <w:r w:rsidR="00C87869" w:rsidRPr="0029344C">
        <w:t xml:space="preserve">Identical </w:t>
      </w:r>
      <w:r w:rsidR="00E17FDD">
        <w:t>PWOL</w:t>
      </w:r>
      <w:r w:rsidR="00C87869" w:rsidRPr="0029344C">
        <w:t xml:space="preserve"> as serve return point won% = 100 – opponent’s serve points won%</w:t>
      </w:r>
      <w:r w:rsidR="00123AED">
        <w:t>.</w:t>
      </w:r>
    </w:p>
    <w:p w14:paraId="18B5A7B9" w14:textId="5D3E36E7" w:rsidR="00C87869" w:rsidRPr="002B6FC6" w:rsidRDefault="00C87869" w:rsidP="00F16979">
      <w:pPr>
        <w:pStyle w:val="Paragraph"/>
        <w:jc w:val="both"/>
      </w:pPr>
      <w:r w:rsidRPr="002B6FC6">
        <w:lastRenderedPageBreak/>
        <w:t xml:space="preserve">Table 3 shows the mean and standard deviation of all performance indicators for winning and losing players, for women. Each of the statistical methods identified baseline points won, first serve points won, points won of 0-4 rally length and </w:t>
      </w:r>
      <w:r w:rsidR="00A25A86" w:rsidRPr="002B6FC6">
        <w:t>Winners:UE</w:t>
      </w:r>
      <w:r w:rsidRPr="002B6FC6">
        <w:t xml:space="preserve"> Ratio as the most strongly associated with success amongst all performance indicators. In contrast, forced errors is most strongly associated with losing. Ball three performance indicators were least associated with match outcome, alongside double faults. Compared to men, points won of 5-8 rally length are more associated with winning (PWOL = 67.8% for men, 73.9% for women), whilst break points won are less important (PWOL = 73.2% for men, 68.8% for women).</w:t>
      </w:r>
    </w:p>
    <w:p w14:paraId="0BF01164" w14:textId="77777777" w:rsidR="00C87869" w:rsidRDefault="00C87869" w:rsidP="00C87869">
      <w:pPr>
        <w:spacing w:line="360" w:lineRule="auto"/>
      </w:pPr>
    </w:p>
    <w:p w14:paraId="13D7F11D" w14:textId="297C893C" w:rsidR="00C87869" w:rsidRPr="00E33BB3" w:rsidRDefault="00C87869" w:rsidP="00C87869">
      <w:pPr>
        <w:spacing w:line="360" w:lineRule="auto"/>
        <w:rPr>
          <w:i/>
          <w:iCs/>
          <w:vertAlign w:val="subscript"/>
        </w:rPr>
      </w:pPr>
      <w:r w:rsidRPr="00E33BB3">
        <w:t xml:space="preserve">Table 3. Women's </w:t>
      </w:r>
      <w:r w:rsidR="00E33BB3">
        <w:t>indicators</w:t>
      </w:r>
      <w:r w:rsidRPr="00E33BB3">
        <w:t xml:space="preserve"> (presented as mean ± sd), point-biserial correlations with match outcome, t values and PWOL values; sorted by </w:t>
      </w:r>
      <w:r w:rsidRPr="00E33BB3">
        <w:rPr>
          <w:i/>
          <w:iCs/>
        </w:rPr>
        <w:t>r</w:t>
      </w:r>
      <w:r w:rsidRPr="00E33BB3">
        <w:rPr>
          <w:i/>
          <w:iCs/>
          <w:vertAlign w:val="subscript"/>
        </w:rPr>
        <w:t>pb</w:t>
      </w:r>
    </w:p>
    <w:tbl>
      <w:tblPr>
        <w:tblW w:w="10502" w:type="dxa"/>
        <w:jc w:val="center"/>
        <w:tblLook w:val="04A0" w:firstRow="1" w:lastRow="0" w:firstColumn="1" w:lastColumn="0" w:noHBand="0" w:noVBand="1"/>
      </w:tblPr>
      <w:tblGrid>
        <w:gridCol w:w="4535"/>
        <w:gridCol w:w="1573"/>
        <w:gridCol w:w="1701"/>
        <w:gridCol w:w="850"/>
        <w:gridCol w:w="851"/>
        <w:gridCol w:w="992"/>
      </w:tblGrid>
      <w:tr w:rsidR="00C87869" w:rsidRPr="00E33BB3" w14:paraId="741A0FA5" w14:textId="77777777" w:rsidTr="007F6DA1">
        <w:trPr>
          <w:trHeight w:val="397"/>
          <w:jc w:val="center"/>
        </w:trPr>
        <w:tc>
          <w:tcPr>
            <w:tcW w:w="4535" w:type="dxa"/>
            <w:tcBorders>
              <w:top w:val="single" w:sz="4" w:space="0" w:color="auto"/>
              <w:left w:val="nil"/>
              <w:bottom w:val="single" w:sz="4" w:space="0" w:color="auto"/>
              <w:right w:val="nil"/>
            </w:tcBorders>
            <w:shd w:val="clear" w:color="auto" w:fill="auto"/>
            <w:noWrap/>
            <w:vAlign w:val="center"/>
            <w:hideMark/>
          </w:tcPr>
          <w:p w14:paraId="5E499975" w14:textId="77777777" w:rsidR="00C87869" w:rsidRPr="00E33BB3" w:rsidRDefault="00C87869" w:rsidP="007F6DA1">
            <w:pPr>
              <w:spacing w:line="240" w:lineRule="auto"/>
              <w:rPr>
                <w:color w:val="000000"/>
              </w:rPr>
            </w:pPr>
            <w:r w:rsidRPr="00E33BB3">
              <w:rPr>
                <w:color w:val="000000"/>
              </w:rPr>
              <w:t>Performance indicator</w:t>
            </w:r>
          </w:p>
        </w:tc>
        <w:tc>
          <w:tcPr>
            <w:tcW w:w="1573" w:type="dxa"/>
            <w:tcBorders>
              <w:top w:val="single" w:sz="4" w:space="0" w:color="auto"/>
              <w:left w:val="nil"/>
              <w:bottom w:val="single" w:sz="4" w:space="0" w:color="auto"/>
              <w:right w:val="nil"/>
            </w:tcBorders>
            <w:shd w:val="clear" w:color="auto" w:fill="auto"/>
            <w:noWrap/>
            <w:vAlign w:val="center"/>
            <w:hideMark/>
          </w:tcPr>
          <w:p w14:paraId="489118FC" w14:textId="77777777" w:rsidR="00C87869" w:rsidRPr="00E33BB3" w:rsidRDefault="00C87869" w:rsidP="007F6DA1">
            <w:pPr>
              <w:spacing w:line="240" w:lineRule="auto"/>
              <w:jc w:val="center"/>
              <w:rPr>
                <w:color w:val="000000"/>
              </w:rPr>
            </w:pPr>
            <w:r w:rsidRPr="00E33BB3">
              <w:rPr>
                <w:color w:val="000000"/>
              </w:rPr>
              <w:t>Winning players</w:t>
            </w:r>
          </w:p>
        </w:tc>
        <w:tc>
          <w:tcPr>
            <w:tcW w:w="1701" w:type="dxa"/>
            <w:tcBorders>
              <w:top w:val="single" w:sz="4" w:space="0" w:color="auto"/>
              <w:left w:val="nil"/>
              <w:bottom w:val="single" w:sz="4" w:space="0" w:color="auto"/>
              <w:right w:val="nil"/>
            </w:tcBorders>
            <w:shd w:val="clear" w:color="auto" w:fill="auto"/>
            <w:noWrap/>
            <w:vAlign w:val="center"/>
            <w:hideMark/>
          </w:tcPr>
          <w:p w14:paraId="01786294" w14:textId="77777777" w:rsidR="00C87869" w:rsidRPr="00E33BB3" w:rsidRDefault="00C87869" w:rsidP="007F6DA1">
            <w:pPr>
              <w:spacing w:line="240" w:lineRule="auto"/>
              <w:jc w:val="center"/>
              <w:rPr>
                <w:color w:val="000000"/>
              </w:rPr>
            </w:pPr>
            <w:r w:rsidRPr="00E33BB3">
              <w:rPr>
                <w:color w:val="000000"/>
              </w:rPr>
              <w:t>Losing players</w:t>
            </w:r>
          </w:p>
        </w:tc>
        <w:tc>
          <w:tcPr>
            <w:tcW w:w="850" w:type="dxa"/>
            <w:tcBorders>
              <w:top w:val="single" w:sz="4" w:space="0" w:color="auto"/>
              <w:left w:val="nil"/>
              <w:bottom w:val="single" w:sz="4" w:space="0" w:color="auto"/>
              <w:right w:val="nil"/>
            </w:tcBorders>
            <w:shd w:val="clear" w:color="auto" w:fill="auto"/>
            <w:noWrap/>
            <w:vAlign w:val="center"/>
            <w:hideMark/>
          </w:tcPr>
          <w:p w14:paraId="026A71E1" w14:textId="77777777" w:rsidR="00C87869" w:rsidRPr="00E33BB3" w:rsidRDefault="00C87869" w:rsidP="007F6DA1">
            <w:pPr>
              <w:spacing w:line="240" w:lineRule="auto"/>
              <w:jc w:val="center"/>
              <w:rPr>
                <w:i/>
                <w:iCs/>
                <w:color w:val="000000"/>
              </w:rPr>
            </w:pPr>
            <w:r w:rsidRPr="00E33BB3">
              <w:rPr>
                <w:i/>
                <w:iCs/>
                <w:color w:val="000000"/>
              </w:rPr>
              <w:t>r</w:t>
            </w:r>
            <w:r w:rsidRPr="00E33BB3">
              <w:rPr>
                <w:i/>
                <w:iCs/>
                <w:color w:val="000000"/>
                <w:vertAlign w:val="subscript"/>
              </w:rPr>
              <w:t>pb</w:t>
            </w:r>
          </w:p>
        </w:tc>
        <w:tc>
          <w:tcPr>
            <w:tcW w:w="851" w:type="dxa"/>
            <w:tcBorders>
              <w:top w:val="single" w:sz="4" w:space="0" w:color="auto"/>
              <w:left w:val="nil"/>
              <w:bottom w:val="single" w:sz="4" w:space="0" w:color="auto"/>
              <w:right w:val="nil"/>
            </w:tcBorders>
            <w:shd w:val="clear" w:color="auto" w:fill="auto"/>
            <w:noWrap/>
            <w:vAlign w:val="center"/>
            <w:hideMark/>
          </w:tcPr>
          <w:p w14:paraId="489F7B5D" w14:textId="77777777" w:rsidR="00C87869" w:rsidRPr="00E33BB3" w:rsidRDefault="00C87869" w:rsidP="007F6DA1">
            <w:pPr>
              <w:spacing w:line="240" w:lineRule="auto"/>
              <w:jc w:val="center"/>
              <w:rPr>
                <w:i/>
                <w:iCs/>
                <w:color w:val="000000"/>
              </w:rPr>
            </w:pPr>
            <w:r w:rsidRPr="00E33BB3">
              <w:rPr>
                <w:i/>
                <w:iCs/>
                <w:color w:val="000000"/>
              </w:rPr>
              <w:t>t</w:t>
            </w:r>
          </w:p>
        </w:tc>
        <w:tc>
          <w:tcPr>
            <w:tcW w:w="992" w:type="dxa"/>
            <w:tcBorders>
              <w:top w:val="single" w:sz="4" w:space="0" w:color="auto"/>
              <w:left w:val="nil"/>
              <w:bottom w:val="single" w:sz="4" w:space="0" w:color="auto"/>
              <w:right w:val="nil"/>
            </w:tcBorders>
            <w:shd w:val="clear" w:color="auto" w:fill="auto"/>
            <w:noWrap/>
            <w:vAlign w:val="center"/>
            <w:hideMark/>
          </w:tcPr>
          <w:p w14:paraId="294C6DB9" w14:textId="77777777" w:rsidR="00C87869" w:rsidRPr="00E33BB3" w:rsidRDefault="00C87869" w:rsidP="007F6DA1">
            <w:pPr>
              <w:spacing w:line="240" w:lineRule="auto"/>
              <w:jc w:val="center"/>
              <w:rPr>
                <w:color w:val="000000"/>
              </w:rPr>
            </w:pPr>
            <w:r w:rsidRPr="00E33BB3">
              <w:rPr>
                <w:color w:val="000000"/>
              </w:rPr>
              <w:t>PWOL</w:t>
            </w:r>
          </w:p>
        </w:tc>
      </w:tr>
      <w:tr w:rsidR="00C87869" w:rsidRPr="0082334F" w14:paraId="0DDEBF72" w14:textId="77777777" w:rsidTr="007F6DA1">
        <w:trPr>
          <w:trHeight w:val="288"/>
          <w:jc w:val="center"/>
        </w:trPr>
        <w:tc>
          <w:tcPr>
            <w:tcW w:w="4535" w:type="dxa"/>
            <w:tcBorders>
              <w:top w:val="nil"/>
              <w:left w:val="nil"/>
              <w:bottom w:val="nil"/>
              <w:right w:val="nil"/>
            </w:tcBorders>
            <w:shd w:val="clear" w:color="auto" w:fill="auto"/>
            <w:noWrap/>
            <w:vAlign w:val="bottom"/>
            <w:hideMark/>
          </w:tcPr>
          <w:p w14:paraId="26D72B0C" w14:textId="77777777" w:rsidR="00C87869" w:rsidRPr="00BE6AAD" w:rsidRDefault="00C87869" w:rsidP="008D2B66">
            <w:pPr>
              <w:spacing w:line="240" w:lineRule="auto"/>
              <w:rPr>
                <w:color w:val="000000"/>
              </w:rPr>
            </w:pPr>
            <w:r w:rsidRPr="00BE6AAD">
              <w:rPr>
                <w:color w:val="000000"/>
              </w:rPr>
              <w:t>Baseline points won (%)</w:t>
            </w:r>
          </w:p>
        </w:tc>
        <w:tc>
          <w:tcPr>
            <w:tcW w:w="1573" w:type="dxa"/>
            <w:tcBorders>
              <w:top w:val="nil"/>
              <w:left w:val="nil"/>
              <w:bottom w:val="nil"/>
              <w:right w:val="nil"/>
            </w:tcBorders>
            <w:shd w:val="clear" w:color="auto" w:fill="auto"/>
            <w:noWrap/>
            <w:vAlign w:val="bottom"/>
            <w:hideMark/>
          </w:tcPr>
          <w:p w14:paraId="279B39D0" w14:textId="77777777" w:rsidR="00C87869" w:rsidRPr="00BE6AAD" w:rsidRDefault="00C87869" w:rsidP="007F6DA1">
            <w:pPr>
              <w:spacing w:line="240" w:lineRule="auto"/>
              <w:jc w:val="center"/>
              <w:rPr>
                <w:color w:val="000000"/>
              </w:rPr>
            </w:pPr>
            <w:r w:rsidRPr="00BE6AAD">
              <w:rPr>
                <w:color w:val="000000"/>
              </w:rPr>
              <w:t>5</w:t>
            </w:r>
            <w:r>
              <w:rPr>
                <w:color w:val="000000"/>
              </w:rPr>
              <w:t>5.7</w:t>
            </w:r>
            <w:r w:rsidRPr="0082334F">
              <w:rPr>
                <w:color w:val="000000"/>
              </w:rPr>
              <w:t xml:space="preserve"> ± </w:t>
            </w:r>
            <w:r>
              <w:rPr>
                <w:color w:val="000000"/>
              </w:rPr>
              <w:t>4.7</w:t>
            </w:r>
            <w:r w:rsidRPr="00BE6AAD">
              <w:rPr>
                <w:color w:val="000000"/>
              </w:rPr>
              <w:t>%</w:t>
            </w:r>
          </w:p>
        </w:tc>
        <w:tc>
          <w:tcPr>
            <w:tcW w:w="1701" w:type="dxa"/>
            <w:tcBorders>
              <w:top w:val="nil"/>
              <w:left w:val="nil"/>
              <w:bottom w:val="nil"/>
              <w:right w:val="nil"/>
            </w:tcBorders>
            <w:shd w:val="clear" w:color="auto" w:fill="auto"/>
            <w:noWrap/>
            <w:vAlign w:val="bottom"/>
            <w:hideMark/>
          </w:tcPr>
          <w:p w14:paraId="09059ADC" w14:textId="77777777" w:rsidR="00C87869" w:rsidRPr="00BE6AAD" w:rsidRDefault="00C87869" w:rsidP="007F6DA1">
            <w:pPr>
              <w:spacing w:line="240" w:lineRule="auto"/>
              <w:jc w:val="center"/>
              <w:rPr>
                <w:color w:val="000000"/>
              </w:rPr>
            </w:pPr>
            <w:r w:rsidRPr="00BE6AAD">
              <w:rPr>
                <w:color w:val="000000"/>
              </w:rPr>
              <w:t>44</w:t>
            </w:r>
            <w:r>
              <w:rPr>
                <w:color w:val="000000"/>
              </w:rPr>
              <w:t>.3</w:t>
            </w:r>
            <w:r w:rsidRPr="0082334F">
              <w:rPr>
                <w:color w:val="000000"/>
              </w:rPr>
              <w:t xml:space="preserve"> ± </w:t>
            </w:r>
            <w:r>
              <w:rPr>
                <w:color w:val="000000"/>
              </w:rPr>
              <w:t>4.6</w:t>
            </w:r>
            <w:r w:rsidRPr="00BE6AAD">
              <w:rPr>
                <w:color w:val="000000"/>
              </w:rPr>
              <w:t>%</w:t>
            </w:r>
          </w:p>
        </w:tc>
        <w:tc>
          <w:tcPr>
            <w:tcW w:w="850" w:type="dxa"/>
            <w:tcBorders>
              <w:top w:val="nil"/>
              <w:left w:val="nil"/>
              <w:bottom w:val="nil"/>
              <w:right w:val="nil"/>
            </w:tcBorders>
            <w:shd w:val="clear" w:color="auto" w:fill="auto"/>
            <w:noWrap/>
            <w:vAlign w:val="bottom"/>
            <w:hideMark/>
          </w:tcPr>
          <w:p w14:paraId="3712A989" w14:textId="77777777" w:rsidR="00C87869" w:rsidRPr="00BE6AAD" w:rsidRDefault="00C87869" w:rsidP="007F6DA1">
            <w:pPr>
              <w:spacing w:line="240" w:lineRule="auto"/>
              <w:jc w:val="center"/>
              <w:rPr>
                <w:color w:val="000000"/>
              </w:rPr>
            </w:pPr>
            <w:r w:rsidRPr="00BE6AAD">
              <w:rPr>
                <w:color w:val="000000"/>
              </w:rPr>
              <w:t>0.78</w:t>
            </w:r>
          </w:p>
        </w:tc>
        <w:tc>
          <w:tcPr>
            <w:tcW w:w="851" w:type="dxa"/>
            <w:tcBorders>
              <w:top w:val="nil"/>
              <w:left w:val="nil"/>
              <w:bottom w:val="nil"/>
              <w:right w:val="nil"/>
            </w:tcBorders>
            <w:shd w:val="clear" w:color="auto" w:fill="auto"/>
            <w:noWrap/>
            <w:vAlign w:val="bottom"/>
            <w:hideMark/>
          </w:tcPr>
          <w:p w14:paraId="61FECEC6" w14:textId="77777777" w:rsidR="00C87869" w:rsidRPr="00BE6AAD" w:rsidRDefault="00C87869" w:rsidP="007F6DA1">
            <w:pPr>
              <w:spacing w:line="240" w:lineRule="auto"/>
              <w:jc w:val="center"/>
              <w:rPr>
                <w:color w:val="000000"/>
              </w:rPr>
            </w:pPr>
            <w:r w:rsidRPr="00BE6AAD">
              <w:rPr>
                <w:color w:val="000000"/>
              </w:rPr>
              <w:t>29.70</w:t>
            </w:r>
          </w:p>
        </w:tc>
        <w:tc>
          <w:tcPr>
            <w:tcW w:w="992" w:type="dxa"/>
            <w:tcBorders>
              <w:top w:val="nil"/>
              <w:left w:val="nil"/>
              <w:bottom w:val="nil"/>
              <w:right w:val="nil"/>
            </w:tcBorders>
            <w:shd w:val="clear" w:color="auto" w:fill="auto"/>
            <w:noWrap/>
            <w:vAlign w:val="bottom"/>
            <w:hideMark/>
          </w:tcPr>
          <w:p w14:paraId="074F7240" w14:textId="77777777" w:rsidR="00C87869" w:rsidRPr="00BE6AAD" w:rsidRDefault="00C87869" w:rsidP="007F6DA1">
            <w:pPr>
              <w:spacing w:line="240" w:lineRule="auto"/>
              <w:jc w:val="center"/>
              <w:rPr>
                <w:color w:val="000000"/>
              </w:rPr>
            </w:pPr>
            <w:r w:rsidRPr="00BE6AAD">
              <w:rPr>
                <w:color w:val="000000"/>
              </w:rPr>
              <w:t>9</w:t>
            </w:r>
            <w:r>
              <w:rPr>
                <w:color w:val="000000"/>
              </w:rPr>
              <w:t>0.9</w:t>
            </w:r>
            <w:r w:rsidRPr="00BE6AAD">
              <w:rPr>
                <w:color w:val="000000"/>
              </w:rPr>
              <w:t>%</w:t>
            </w:r>
          </w:p>
        </w:tc>
      </w:tr>
      <w:tr w:rsidR="00C87869" w:rsidRPr="0082334F" w14:paraId="4BBBFEAB" w14:textId="77777777" w:rsidTr="007F6DA1">
        <w:trPr>
          <w:trHeight w:val="288"/>
          <w:jc w:val="center"/>
        </w:trPr>
        <w:tc>
          <w:tcPr>
            <w:tcW w:w="4535" w:type="dxa"/>
            <w:tcBorders>
              <w:top w:val="nil"/>
              <w:left w:val="nil"/>
              <w:bottom w:val="nil"/>
              <w:right w:val="nil"/>
            </w:tcBorders>
            <w:shd w:val="clear" w:color="auto" w:fill="auto"/>
            <w:noWrap/>
            <w:vAlign w:val="bottom"/>
            <w:hideMark/>
          </w:tcPr>
          <w:p w14:paraId="356322C0" w14:textId="77777777" w:rsidR="00C87869" w:rsidRPr="00BE6AAD" w:rsidRDefault="00C87869" w:rsidP="008D2B66">
            <w:pPr>
              <w:spacing w:line="240" w:lineRule="auto"/>
              <w:rPr>
                <w:color w:val="000000"/>
              </w:rPr>
            </w:pPr>
            <w:r w:rsidRPr="00BE6AAD">
              <w:rPr>
                <w:color w:val="000000"/>
              </w:rPr>
              <w:t>First serve-return points won (%)</w:t>
            </w:r>
            <w:r w:rsidRPr="002C670F">
              <w:rPr>
                <w:color w:val="000000"/>
                <w:vertAlign w:val="superscript"/>
              </w:rPr>
              <w:t>+</w:t>
            </w:r>
          </w:p>
        </w:tc>
        <w:tc>
          <w:tcPr>
            <w:tcW w:w="1573" w:type="dxa"/>
            <w:tcBorders>
              <w:top w:val="nil"/>
              <w:left w:val="nil"/>
              <w:bottom w:val="nil"/>
              <w:right w:val="nil"/>
            </w:tcBorders>
            <w:shd w:val="clear" w:color="auto" w:fill="auto"/>
            <w:noWrap/>
            <w:vAlign w:val="bottom"/>
            <w:hideMark/>
          </w:tcPr>
          <w:p w14:paraId="3738EB47" w14:textId="77777777" w:rsidR="00C87869" w:rsidRPr="00BE6AAD" w:rsidRDefault="00C87869" w:rsidP="007F6DA1">
            <w:pPr>
              <w:spacing w:line="240" w:lineRule="auto"/>
              <w:jc w:val="center"/>
              <w:rPr>
                <w:color w:val="000000"/>
              </w:rPr>
            </w:pPr>
            <w:r w:rsidRPr="00BE6AAD">
              <w:rPr>
                <w:color w:val="000000"/>
              </w:rPr>
              <w:t>4</w:t>
            </w:r>
            <w:r>
              <w:rPr>
                <w:color w:val="000000"/>
              </w:rPr>
              <w:t>0.9</w:t>
            </w:r>
            <w:r w:rsidRPr="0082334F">
              <w:rPr>
                <w:color w:val="000000"/>
              </w:rPr>
              <w:t xml:space="preserve"> ± </w:t>
            </w:r>
            <w:r w:rsidRPr="00BE6AAD">
              <w:rPr>
                <w:color w:val="000000"/>
              </w:rPr>
              <w:t>9</w:t>
            </w:r>
            <w:r>
              <w:rPr>
                <w:color w:val="000000"/>
              </w:rPr>
              <w:t>.4</w:t>
            </w:r>
            <w:r w:rsidRPr="00BE6AAD">
              <w:rPr>
                <w:color w:val="000000"/>
              </w:rPr>
              <w:t>%</w:t>
            </w:r>
          </w:p>
        </w:tc>
        <w:tc>
          <w:tcPr>
            <w:tcW w:w="1701" w:type="dxa"/>
            <w:tcBorders>
              <w:top w:val="nil"/>
              <w:left w:val="nil"/>
              <w:bottom w:val="nil"/>
              <w:right w:val="nil"/>
            </w:tcBorders>
            <w:shd w:val="clear" w:color="auto" w:fill="auto"/>
            <w:noWrap/>
            <w:vAlign w:val="bottom"/>
            <w:hideMark/>
          </w:tcPr>
          <w:p w14:paraId="1DA6E03B" w14:textId="77777777" w:rsidR="00C87869" w:rsidRPr="00BE6AAD" w:rsidRDefault="00C87869" w:rsidP="007F6DA1">
            <w:pPr>
              <w:spacing w:line="240" w:lineRule="auto"/>
              <w:jc w:val="center"/>
              <w:rPr>
                <w:color w:val="000000"/>
              </w:rPr>
            </w:pPr>
            <w:r>
              <w:rPr>
                <w:color w:val="000000"/>
              </w:rPr>
              <w:t>29.6</w:t>
            </w:r>
            <w:r w:rsidRPr="0082334F">
              <w:rPr>
                <w:color w:val="000000"/>
              </w:rPr>
              <w:t xml:space="preserve"> ± </w:t>
            </w:r>
            <w:r>
              <w:rPr>
                <w:color w:val="000000"/>
              </w:rPr>
              <w:t>8.8</w:t>
            </w:r>
            <w:r w:rsidRPr="00BE6AAD">
              <w:rPr>
                <w:color w:val="000000"/>
              </w:rPr>
              <w:t>%</w:t>
            </w:r>
          </w:p>
        </w:tc>
        <w:tc>
          <w:tcPr>
            <w:tcW w:w="850" w:type="dxa"/>
            <w:tcBorders>
              <w:top w:val="nil"/>
              <w:left w:val="nil"/>
              <w:bottom w:val="nil"/>
              <w:right w:val="nil"/>
            </w:tcBorders>
            <w:shd w:val="clear" w:color="auto" w:fill="auto"/>
            <w:noWrap/>
            <w:vAlign w:val="bottom"/>
            <w:hideMark/>
          </w:tcPr>
          <w:p w14:paraId="25F4FE51" w14:textId="77777777" w:rsidR="00C87869" w:rsidRPr="00BE6AAD" w:rsidRDefault="00C87869" w:rsidP="007F6DA1">
            <w:pPr>
              <w:spacing w:line="240" w:lineRule="auto"/>
              <w:jc w:val="center"/>
              <w:rPr>
                <w:color w:val="000000"/>
              </w:rPr>
            </w:pPr>
            <w:r w:rsidRPr="00BE6AAD">
              <w:rPr>
                <w:color w:val="000000"/>
              </w:rPr>
              <w:t>0.53</w:t>
            </w:r>
          </w:p>
        </w:tc>
        <w:tc>
          <w:tcPr>
            <w:tcW w:w="851" w:type="dxa"/>
            <w:tcBorders>
              <w:top w:val="nil"/>
              <w:left w:val="nil"/>
              <w:bottom w:val="nil"/>
              <w:right w:val="nil"/>
            </w:tcBorders>
            <w:shd w:val="clear" w:color="auto" w:fill="auto"/>
            <w:noWrap/>
            <w:vAlign w:val="bottom"/>
            <w:hideMark/>
          </w:tcPr>
          <w:p w14:paraId="42CD3CD2" w14:textId="77777777" w:rsidR="00C87869" w:rsidRPr="00BE6AAD" w:rsidRDefault="00C87869" w:rsidP="007F6DA1">
            <w:pPr>
              <w:spacing w:line="240" w:lineRule="auto"/>
              <w:jc w:val="center"/>
              <w:rPr>
                <w:color w:val="000000"/>
              </w:rPr>
            </w:pPr>
            <w:r w:rsidRPr="00BE6AAD">
              <w:rPr>
                <w:color w:val="000000"/>
              </w:rPr>
              <w:t>23.13</w:t>
            </w:r>
          </w:p>
        </w:tc>
        <w:tc>
          <w:tcPr>
            <w:tcW w:w="992" w:type="dxa"/>
            <w:tcBorders>
              <w:top w:val="nil"/>
              <w:left w:val="nil"/>
              <w:bottom w:val="nil"/>
              <w:right w:val="nil"/>
            </w:tcBorders>
            <w:shd w:val="clear" w:color="auto" w:fill="auto"/>
            <w:noWrap/>
            <w:vAlign w:val="bottom"/>
            <w:hideMark/>
          </w:tcPr>
          <w:p w14:paraId="56A3247F" w14:textId="77777777" w:rsidR="00C87869" w:rsidRPr="00BE6AAD" w:rsidRDefault="00C87869" w:rsidP="007F6DA1">
            <w:pPr>
              <w:spacing w:line="240" w:lineRule="auto"/>
              <w:jc w:val="center"/>
              <w:rPr>
                <w:color w:val="000000"/>
              </w:rPr>
            </w:pPr>
            <w:r w:rsidRPr="00BE6AAD">
              <w:rPr>
                <w:color w:val="000000"/>
              </w:rPr>
              <w:t>8</w:t>
            </w:r>
            <w:r>
              <w:rPr>
                <w:color w:val="000000"/>
              </w:rPr>
              <w:t>3.7</w:t>
            </w:r>
            <w:r w:rsidRPr="00BE6AAD">
              <w:rPr>
                <w:color w:val="000000"/>
              </w:rPr>
              <w:t>%</w:t>
            </w:r>
          </w:p>
        </w:tc>
      </w:tr>
      <w:tr w:rsidR="00C87869" w:rsidRPr="0082334F" w14:paraId="1B5DDC12" w14:textId="77777777" w:rsidTr="007F6DA1">
        <w:trPr>
          <w:trHeight w:val="288"/>
          <w:jc w:val="center"/>
        </w:trPr>
        <w:tc>
          <w:tcPr>
            <w:tcW w:w="4535" w:type="dxa"/>
            <w:tcBorders>
              <w:top w:val="nil"/>
              <w:left w:val="nil"/>
              <w:bottom w:val="nil"/>
              <w:right w:val="nil"/>
            </w:tcBorders>
            <w:shd w:val="clear" w:color="auto" w:fill="auto"/>
            <w:noWrap/>
            <w:vAlign w:val="bottom"/>
            <w:hideMark/>
          </w:tcPr>
          <w:p w14:paraId="0625BA7F" w14:textId="77777777" w:rsidR="00C87869" w:rsidRPr="00BE6AAD" w:rsidRDefault="00C87869" w:rsidP="008D2B66">
            <w:pPr>
              <w:spacing w:line="240" w:lineRule="auto"/>
              <w:rPr>
                <w:color w:val="000000"/>
              </w:rPr>
            </w:pPr>
            <w:r w:rsidRPr="00BE6AAD">
              <w:rPr>
                <w:color w:val="000000"/>
              </w:rPr>
              <w:t>First serve points won (%)</w:t>
            </w:r>
            <w:r w:rsidRPr="002C670F">
              <w:rPr>
                <w:color w:val="000000"/>
                <w:vertAlign w:val="superscript"/>
              </w:rPr>
              <w:t>+</w:t>
            </w:r>
          </w:p>
        </w:tc>
        <w:tc>
          <w:tcPr>
            <w:tcW w:w="1573" w:type="dxa"/>
            <w:tcBorders>
              <w:top w:val="nil"/>
              <w:left w:val="nil"/>
              <w:bottom w:val="nil"/>
              <w:right w:val="nil"/>
            </w:tcBorders>
            <w:shd w:val="clear" w:color="auto" w:fill="auto"/>
            <w:noWrap/>
            <w:vAlign w:val="bottom"/>
            <w:hideMark/>
          </w:tcPr>
          <w:p w14:paraId="70703B7A" w14:textId="77777777" w:rsidR="00C87869" w:rsidRPr="00BE6AAD" w:rsidRDefault="00C87869" w:rsidP="007F6DA1">
            <w:pPr>
              <w:spacing w:line="240" w:lineRule="auto"/>
              <w:jc w:val="center"/>
              <w:rPr>
                <w:color w:val="000000"/>
              </w:rPr>
            </w:pPr>
            <w:r>
              <w:rPr>
                <w:color w:val="000000"/>
              </w:rPr>
              <w:t>70.4</w:t>
            </w:r>
            <w:r w:rsidRPr="0082334F">
              <w:rPr>
                <w:color w:val="000000"/>
              </w:rPr>
              <w:t xml:space="preserve"> ± </w:t>
            </w:r>
            <w:r>
              <w:rPr>
                <w:color w:val="000000"/>
              </w:rPr>
              <w:t>8.8</w:t>
            </w:r>
            <w:r w:rsidRPr="00BE6AAD">
              <w:rPr>
                <w:color w:val="000000"/>
              </w:rPr>
              <w:t>%</w:t>
            </w:r>
          </w:p>
        </w:tc>
        <w:tc>
          <w:tcPr>
            <w:tcW w:w="1701" w:type="dxa"/>
            <w:tcBorders>
              <w:top w:val="nil"/>
              <w:left w:val="nil"/>
              <w:bottom w:val="nil"/>
              <w:right w:val="nil"/>
            </w:tcBorders>
            <w:shd w:val="clear" w:color="auto" w:fill="auto"/>
            <w:noWrap/>
            <w:vAlign w:val="bottom"/>
            <w:hideMark/>
          </w:tcPr>
          <w:p w14:paraId="1CA6B102" w14:textId="77777777" w:rsidR="00C87869" w:rsidRPr="00BE6AAD" w:rsidRDefault="00C87869" w:rsidP="007F6DA1">
            <w:pPr>
              <w:spacing w:line="240" w:lineRule="auto"/>
              <w:jc w:val="center"/>
              <w:rPr>
                <w:color w:val="000000"/>
              </w:rPr>
            </w:pPr>
            <w:r>
              <w:rPr>
                <w:color w:val="000000"/>
              </w:rPr>
              <w:t>59.1</w:t>
            </w:r>
            <w:r w:rsidRPr="0082334F">
              <w:rPr>
                <w:color w:val="000000"/>
              </w:rPr>
              <w:t xml:space="preserve"> ± </w:t>
            </w:r>
            <w:r>
              <w:rPr>
                <w:color w:val="000000"/>
              </w:rPr>
              <w:t>9.4</w:t>
            </w:r>
            <w:r w:rsidRPr="00BE6AAD">
              <w:rPr>
                <w:color w:val="000000"/>
              </w:rPr>
              <w:t>%</w:t>
            </w:r>
          </w:p>
        </w:tc>
        <w:tc>
          <w:tcPr>
            <w:tcW w:w="850" w:type="dxa"/>
            <w:tcBorders>
              <w:top w:val="nil"/>
              <w:left w:val="nil"/>
              <w:bottom w:val="nil"/>
              <w:right w:val="nil"/>
            </w:tcBorders>
            <w:shd w:val="clear" w:color="auto" w:fill="auto"/>
            <w:noWrap/>
            <w:vAlign w:val="bottom"/>
            <w:hideMark/>
          </w:tcPr>
          <w:p w14:paraId="41E14C9A" w14:textId="77777777" w:rsidR="00C87869" w:rsidRPr="00BE6AAD" w:rsidRDefault="00C87869" w:rsidP="007F6DA1">
            <w:pPr>
              <w:spacing w:line="240" w:lineRule="auto"/>
              <w:jc w:val="center"/>
              <w:rPr>
                <w:color w:val="000000"/>
              </w:rPr>
            </w:pPr>
            <w:r w:rsidRPr="00BE6AAD">
              <w:rPr>
                <w:color w:val="000000"/>
              </w:rPr>
              <w:t>0.</w:t>
            </w:r>
            <w:r>
              <w:rPr>
                <w:color w:val="000000"/>
              </w:rPr>
              <w:t>53</w:t>
            </w:r>
          </w:p>
        </w:tc>
        <w:tc>
          <w:tcPr>
            <w:tcW w:w="851" w:type="dxa"/>
            <w:tcBorders>
              <w:top w:val="nil"/>
              <w:left w:val="nil"/>
              <w:bottom w:val="nil"/>
              <w:right w:val="nil"/>
            </w:tcBorders>
            <w:shd w:val="clear" w:color="auto" w:fill="auto"/>
            <w:noWrap/>
            <w:vAlign w:val="bottom"/>
            <w:hideMark/>
          </w:tcPr>
          <w:p w14:paraId="7B449698" w14:textId="77777777" w:rsidR="00C87869" w:rsidRPr="00BE6AAD" w:rsidRDefault="00C87869" w:rsidP="007F6DA1">
            <w:pPr>
              <w:spacing w:line="240" w:lineRule="auto"/>
              <w:jc w:val="center"/>
              <w:rPr>
                <w:color w:val="000000"/>
              </w:rPr>
            </w:pPr>
            <w:r>
              <w:rPr>
                <w:color w:val="000000"/>
              </w:rPr>
              <w:t>23.14</w:t>
            </w:r>
          </w:p>
        </w:tc>
        <w:tc>
          <w:tcPr>
            <w:tcW w:w="992" w:type="dxa"/>
            <w:tcBorders>
              <w:top w:val="nil"/>
              <w:left w:val="nil"/>
              <w:bottom w:val="nil"/>
              <w:right w:val="nil"/>
            </w:tcBorders>
            <w:shd w:val="clear" w:color="auto" w:fill="auto"/>
            <w:noWrap/>
            <w:vAlign w:val="bottom"/>
            <w:hideMark/>
          </w:tcPr>
          <w:p w14:paraId="11523F94" w14:textId="77777777" w:rsidR="00C87869" w:rsidRPr="00BE6AAD" w:rsidRDefault="00C87869" w:rsidP="007F6DA1">
            <w:pPr>
              <w:spacing w:line="240" w:lineRule="auto"/>
              <w:jc w:val="center"/>
              <w:rPr>
                <w:color w:val="000000"/>
              </w:rPr>
            </w:pPr>
            <w:r>
              <w:rPr>
                <w:color w:val="000000"/>
              </w:rPr>
              <w:t>83.7</w:t>
            </w:r>
            <w:r w:rsidRPr="00BE6AAD">
              <w:rPr>
                <w:color w:val="000000"/>
              </w:rPr>
              <w:t>%</w:t>
            </w:r>
          </w:p>
        </w:tc>
      </w:tr>
      <w:tr w:rsidR="00C87869" w:rsidRPr="0082334F" w14:paraId="594A0D68" w14:textId="77777777" w:rsidTr="007F6DA1">
        <w:trPr>
          <w:trHeight w:val="288"/>
          <w:jc w:val="center"/>
        </w:trPr>
        <w:tc>
          <w:tcPr>
            <w:tcW w:w="4535" w:type="dxa"/>
            <w:tcBorders>
              <w:top w:val="nil"/>
              <w:left w:val="nil"/>
              <w:bottom w:val="nil"/>
              <w:right w:val="nil"/>
            </w:tcBorders>
            <w:shd w:val="clear" w:color="auto" w:fill="auto"/>
            <w:noWrap/>
            <w:vAlign w:val="bottom"/>
            <w:hideMark/>
          </w:tcPr>
          <w:p w14:paraId="7AD06711" w14:textId="77777777" w:rsidR="00C87869" w:rsidRPr="00BE6AAD" w:rsidRDefault="00C87869" w:rsidP="008D2B66">
            <w:pPr>
              <w:spacing w:line="240" w:lineRule="auto"/>
              <w:rPr>
                <w:color w:val="000000"/>
              </w:rPr>
            </w:pPr>
            <w:r w:rsidRPr="00BE6AAD">
              <w:rPr>
                <w:color w:val="000000"/>
              </w:rPr>
              <w:t>Points won of 0-4 rally length serving (%)</w:t>
            </w:r>
          </w:p>
        </w:tc>
        <w:tc>
          <w:tcPr>
            <w:tcW w:w="1573" w:type="dxa"/>
            <w:tcBorders>
              <w:top w:val="nil"/>
              <w:left w:val="nil"/>
              <w:bottom w:val="nil"/>
              <w:right w:val="nil"/>
            </w:tcBorders>
            <w:shd w:val="clear" w:color="auto" w:fill="auto"/>
            <w:noWrap/>
            <w:vAlign w:val="bottom"/>
            <w:hideMark/>
          </w:tcPr>
          <w:p w14:paraId="280EF0C9" w14:textId="77777777" w:rsidR="00C87869" w:rsidRPr="00BE6AAD" w:rsidRDefault="00C87869" w:rsidP="007F6DA1">
            <w:pPr>
              <w:spacing w:line="240" w:lineRule="auto"/>
              <w:jc w:val="center"/>
              <w:rPr>
                <w:color w:val="000000"/>
              </w:rPr>
            </w:pPr>
            <w:r w:rsidRPr="00BE6AAD">
              <w:rPr>
                <w:color w:val="000000"/>
              </w:rPr>
              <w:t>6</w:t>
            </w:r>
            <w:r>
              <w:rPr>
                <w:color w:val="000000"/>
              </w:rPr>
              <w:t>8.5</w:t>
            </w:r>
            <w:r w:rsidRPr="0082334F">
              <w:rPr>
                <w:color w:val="000000"/>
              </w:rPr>
              <w:t xml:space="preserve"> ± </w:t>
            </w:r>
            <w:r>
              <w:rPr>
                <w:color w:val="000000"/>
              </w:rPr>
              <w:t>8.7</w:t>
            </w:r>
            <w:r w:rsidRPr="00BE6AAD">
              <w:rPr>
                <w:color w:val="000000"/>
              </w:rPr>
              <w:t>%</w:t>
            </w:r>
          </w:p>
        </w:tc>
        <w:tc>
          <w:tcPr>
            <w:tcW w:w="1701" w:type="dxa"/>
            <w:tcBorders>
              <w:top w:val="nil"/>
              <w:left w:val="nil"/>
              <w:bottom w:val="nil"/>
              <w:right w:val="nil"/>
            </w:tcBorders>
            <w:shd w:val="clear" w:color="auto" w:fill="auto"/>
            <w:noWrap/>
            <w:vAlign w:val="bottom"/>
            <w:hideMark/>
          </w:tcPr>
          <w:p w14:paraId="6038215D" w14:textId="77777777" w:rsidR="00C87869" w:rsidRPr="00BE6AAD" w:rsidRDefault="00C87869" w:rsidP="007F6DA1">
            <w:pPr>
              <w:spacing w:line="240" w:lineRule="auto"/>
              <w:jc w:val="center"/>
              <w:rPr>
                <w:color w:val="000000"/>
              </w:rPr>
            </w:pPr>
            <w:r w:rsidRPr="00BE6AAD">
              <w:rPr>
                <w:color w:val="000000"/>
              </w:rPr>
              <w:t>5</w:t>
            </w:r>
            <w:r>
              <w:rPr>
                <w:color w:val="000000"/>
              </w:rPr>
              <w:t>7.9</w:t>
            </w:r>
            <w:r w:rsidRPr="0082334F">
              <w:rPr>
                <w:color w:val="000000"/>
              </w:rPr>
              <w:t xml:space="preserve"> ± </w:t>
            </w:r>
            <w:r>
              <w:rPr>
                <w:color w:val="000000"/>
              </w:rPr>
              <w:t>9.7</w:t>
            </w:r>
            <w:r w:rsidRPr="00BE6AAD">
              <w:rPr>
                <w:color w:val="000000"/>
              </w:rPr>
              <w:t>%</w:t>
            </w:r>
          </w:p>
        </w:tc>
        <w:tc>
          <w:tcPr>
            <w:tcW w:w="850" w:type="dxa"/>
            <w:tcBorders>
              <w:top w:val="nil"/>
              <w:left w:val="nil"/>
              <w:bottom w:val="nil"/>
              <w:right w:val="nil"/>
            </w:tcBorders>
            <w:shd w:val="clear" w:color="auto" w:fill="auto"/>
            <w:noWrap/>
            <w:vAlign w:val="bottom"/>
            <w:hideMark/>
          </w:tcPr>
          <w:p w14:paraId="6464DE86" w14:textId="77777777" w:rsidR="00C87869" w:rsidRPr="00BE6AAD" w:rsidRDefault="00C87869" w:rsidP="007F6DA1">
            <w:pPr>
              <w:spacing w:line="240" w:lineRule="auto"/>
              <w:jc w:val="center"/>
              <w:rPr>
                <w:color w:val="000000"/>
              </w:rPr>
            </w:pPr>
            <w:r w:rsidRPr="00BE6AAD">
              <w:rPr>
                <w:color w:val="000000"/>
              </w:rPr>
              <w:t>0.50</w:t>
            </w:r>
          </w:p>
        </w:tc>
        <w:tc>
          <w:tcPr>
            <w:tcW w:w="851" w:type="dxa"/>
            <w:tcBorders>
              <w:top w:val="nil"/>
              <w:left w:val="nil"/>
              <w:bottom w:val="nil"/>
              <w:right w:val="nil"/>
            </w:tcBorders>
            <w:shd w:val="clear" w:color="auto" w:fill="auto"/>
            <w:noWrap/>
            <w:vAlign w:val="bottom"/>
            <w:hideMark/>
          </w:tcPr>
          <w:p w14:paraId="0CB9B08C" w14:textId="77777777" w:rsidR="00C87869" w:rsidRPr="00BE6AAD" w:rsidRDefault="00C87869" w:rsidP="007F6DA1">
            <w:pPr>
              <w:spacing w:line="240" w:lineRule="auto"/>
              <w:jc w:val="center"/>
              <w:rPr>
                <w:color w:val="000000"/>
              </w:rPr>
            </w:pPr>
            <w:r w:rsidRPr="00BE6AAD">
              <w:rPr>
                <w:color w:val="000000"/>
              </w:rPr>
              <w:t>21.09</w:t>
            </w:r>
          </w:p>
        </w:tc>
        <w:tc>
          <w:tcPr>
            <w:tcW w:w="992" w:type="dxa"/>
            <w:tcBorders>
              <w:top w:val="nil"/>
              <w:left w:val="nil"/>
              <w:bottom w:val="nil"/>
              <w:right w:val="nil"/>
            </w:tcBorders>
            <w:shd w:val="clear" w:color="auto" w:fill="auto"/>
            <w:noWrap/>
            <w:vAlign w:val="bottom"/>
            <w:hideMark/>
          </w:tcPr>
          <w:p w14:paraId="4AB6939F" w14:textId="77777777" w:rsidR="00C87869" w:rsidRPr="00BE6AAD" w:rsidRDefault="00C87869" w:rsidP="007F6DA1">
            <w:pPr>
              <w:spacing w:line="240" w:lineRule="auto"/>
              <w:jc w:val="center"/>
              <w:rPr>
                <w:color w:val="000000"/>
              </w:rPr>
            </w:pPr>
            <w:r w:rsidRPr="00BE6AAD">
              <w:rPr>
                <w:color w:val="000000"/>
              </w:rPr>
              <w:t>8</w:t>
            </w:r>
            <w:r>
              <w:rPr>
                <w:color w:val="000000"/>
              </w:rPr>
              <w:t>1.5</w:t>
            </w:r>
            <w:r w:rsidRPr="00BE6AAD">
              <w:rPr>
                <w:color w:val="000000"/>
              </w:rPr>
              <w:t>%</w:t>
            </w:r>
          </w:p>
        </w:tc>
      </w:tr>
      <w:tr w:rsidR="00C87869" w:rsidRPr="0082334F" w14:paraId="48C4F550" w14:textId="77777777" w:rsidTr="007F6DA1">
        <w:trPr>
          <w:trHeight w:val="288"/>
          <w:jc w:val="center"/>
        </w:trPr>
        <w:tc>
          <w:tcPr>
            <w:tcW w:w="4535" w:type="dxa"/>
            <w:tcBorders>
              <w:top w:val="nil"/>
              <w:left w:val="nil"/>
              <w:bottom w:val="nil"/>
              <w:right w:val="nil"/>
            </w:tcBorders>
            <w:shd w:val="clear" w:color="auto" w:fill="auto"/>
            <w:noWrap/>
            <w:vAlign w:val="bottom"/>
            <w:hideMark/>
          </w:tcPr>
          <w:p w14:paraId="08F13609" w14:textId="77777777" w:rsidR="00C87869" w:rsidRPr="00BE6AAD" w:rsidRDefault="00C87869" w:rsidP="008D2B66">
            <w:pPr>
              <w:spacing w:line="240" w:lineRule="auto"/>
              <w:rPr>
                <w:color w:val="000000"/>
              </w:rPr>
            </w:pPr>
            <w:r w:rsidRPr="00BE6AAD">
              <w:rPr>
                <w:color w:val="000000"/>
              </w:rPr>
              <w:t>Points won of 0-4 rally length returning (%)</w:t>
            </w:r>
          </w:p>
        </w:tc>
        <w:tc>
          <w:tcPr>
            <w:tcW w:w="1573" w:type="dxa"/>
            <w:tcBorders>
              <w:top w:val="nil"/>
              <w:left w:val="nil"/>
              <w:bottom w:val="nil"/>
              <w:right w:val="nil"/>
            </w:tcBorders>
            <w:shd w:val="clear" w:color="auto" w:fill="auto"/>
            <w:noWrap/>
            <w:vAlign w:val="bottom"/>
            <w:hideMark/>
          </w:tcPr>
          <w:p w14:paraId="28B2B649" w14:textId="77777777" w:rsidR="00C87869" w:rsidRPr="00BE6AAD" w:rsidRDefault="00C87869" w:rsidP="007F6DA1">
            <w:pPr>
              <w:spacing w:line="240" w:lineRule="auto"/>
              <w:jc w:val="center"/>
              <w:rPr>
                <w:color w:val="000000"/>
              </w:rPr>
            </w:pPr>
            <w:r w:rsidRPr="00BE6AAD">
              <w:rPr>
                <w:color w:val="000000"/>
              </w:rPr>
              <w:t>42</w:t>
            </w:r>
            <w:r>
              <w:rPr>
                <w:color w:val="000000"/>
              </w:rPr>
              <w:t>.0</w:t>
            </w:r>
            <w:r w:rsidRPr="0082334F">
              <w:rPr>
                <w:color w:val="000000"/>
              </w:rPr>
              <w:t xml:space="preserve"> ± </w:t>
            </w:r>
            <w:r>
              <w:rPr>
                <w:color w:val="000000"/>
              </w:rPr>
              <w:t>9.7</w:t>
            </w:r>
            <w:r w:rsidRPr="00BE6AAD">
              <w:rPr>
                <w:color w:val="000000"/>
              </w:rPr>
              <w:t>%</w:t>
            </w:r>
          </w:p>
        </w:tc>
        <w:tc>
          <w:tcPr>
            <w:tcW w:w="1701" w:type="dxa"/>
            <w:tcBorders>
              <w:top w:val="nil"/>
              <w:left w:val="nil"/>
              <w:bottom w:val="nil"/>
              <w:right w:val="nil"/>
            </w:tcBorders>
            <w:shd w:val="clear" w:color="auto" w:fill="auto"/>
            <w:noWrap/>
            <w:vAlign w:val="bottom"/>
            <w:hideMark/>
          </w:tcPr>
          <w:p w14:paraId="6B07DF24" w14:textId="77777777" w:rsidR="00C87869" w:rsidRPr="00BE6AAD" w:rsidRDefault="00C87869" w:rsidP="007F6DA1">
            <w:pPr>
              <w:spacing w:line="240" w:lineRule="auto"/>
              <w:jc w:val="center"/>
              <w:rPr>
                <w:color w:val="000000"/>
              </w:rPr>
            </w:pPr>
            <w:r w:rsidRPr="00BE6AAD">
              <w:rPr>
                <w:color w:val="000000"/>
              </w:rPr>
              <w:t>3</w:t>
            </w:r>
            <w:r>
              <w:rPr>
                <w:color w:val="000000"/>
              </w:rPr>
              <w:t>1.5</w:t>
            </w:r>
            <w:r w:rsidRPr="0082334F">
              <w:rPr>
                <w:color w:val="000000"/>
              </w:rPr>
              <w:t xml:space="preserve"> ± </w:t>
            </w:r>
            <w:r>
              <w:rPr>
                <w:color w:val="000000"/>
              </w:rPr>
              <w:t>8.7</w:t>
            </w:r>
            <w:r w:rsidRPr="00BE6AAD">
              <w:rPr>
                <w:color w:val="000000"/>
              </w:rPr>
              <w:t>%</w:t>
            </w:r>
          </w:p>
        </w:tc>
        <w:tc>
          <w:tcPr>
            <w:tcW w:w="850" w:type="dxa"/>
            <w:tcBorders>
              <w:top w:val="nil"/>
              <w:left w:val="nil"/>
              <w:bottom w:val="nil"/>
              <w:right w:val="nil"/>
            </w:tcBorders>
            <w:shd w:val="clear" w:color="auto" w:fill="auto"/>
            <w:noWrap/>
            <w:vAlign w:val="bottom"/>
            <w:hideMark/>
          </w:tcPr>
          <w:p w14:paraId="28085301" w14:textId="77777777" w:rsidR="00C87869" w:rsidRPr="00BE6AAD" w:rsidRDefault="00C87869" w:rsidP="007F6DA1">
            <w:pPr>
              <w:spacing w:line="240" w:lineRule="auto"/>
              <w:jc w:val="center"/>
              <w:rPr>
                <w:color w:val="000000"/>
              </w:rPr>
            </w:pPr>
            <w:r w:rsidRPr="00BE6AAD">
              <w:rPr>
                <w:color w:val="000000"/>
              </w:rPr>
              <w:t>0.50</w:t>
            </w:r>
          </w:p>
        </w:tc>
        <w:tc>
          <w:tcPr>
            <w:tcW w:w="851" w:type="dxa"/>
            <w:tcBorders>
              <w:top w:val="nil"/>
              <w:left w:val="nil"/>
              <w:bottom w:val="nil"/>
              <w:right w:val="nil"/>
            </w:tcBorders>
            <w:shd w:val="clear" w:color="auto" w:fill="auto"/>
            <w:noWrap/>
            <w:vAlign w:val="bottom"/>
            <w:hideMark/>
          </w:tcPr>
          <w:p w14:paraId="626508A1" w14:textId="77777777" w:rsidR="00C87869" w:rsidRPr="00BE6AAD" w:rsidRDefault="00C87869" w:rsidP="007F6DA1">
            <w:pPr>
              <w:spacing w:line="240" w:lineRule="auto"/>
              <w:jc w:val="center"/>
              <w:rPr>
                <w:color w:val="000000"/>
              </w:rPr>
            </w:pPr>
            <w:r w:rsidRPr="00BE6AAD">
              <w:rPr>
                <w:color w:val="000000"/>
              </w:rPr>
              <w:t>21.05</w:t>
            </w:r>
          </w:p>
        </w:tc>
        <w:tc>
          <w:tcPr>
            <w:tcW w:w="992" w:type="dxa"/>
            <w:tcBorders>
              <w:top w:val="nil"/>
              <w:left w:val="nil"/>
              <w:bottom w:val="nil"/>
              <w:right w:val="nil"/>
            </w:tcBorders>
            <w:shd w:val="clear" w:color="auto" w:fill="auto"/>
            <w:noWrap/>
            <w:vAlign w:val="bottom"/>
            <w:hideMark/>
          </w:tcPr>
          <w:p w14:paraId="5908FC54" w14:textId="77777777" w:rsidR="00C87869" w:rsidRPr="00BE6AAD" w:rsidRDefault="00C87869" w:rsidP="007F6DA1">
            <w:pPr>
              <w:spacing w:line="240" w:lineRule="auto"/>
              <w:jc w:val="center"/>
              <w:rPr>
                <w:color w:val="000000"/>
              </w:rPr>
            </w:pPr>
            <w:r w:rsidRPr="00BE6AAD">
              <w:rPr>
                <w:color w:val="000000"/>
              </w:rPr>
              <w:t>8</w:t>
            </w:r>
            <w:r>
              <w:rPr>
                <w:color w:val="000000"/>
              </w:rPr>
              <w:t>1.5</w:t>
            </w:r>
            <w:r w:rsidRPr="00BE6AAD">
              <w:rPr>
                <w:color w:val="000000"/>
              </w:rPr>
              <w:t>%</w:t>
            </w:r>
          </w:p>
        </w:tc>
      </w:tr>
      <w:tr w:rsidR="00C87869" w:rsidRPr="0082334F" w14:paraId="4CB7772C" w14:textId="77777777" w:rsidTr="007F6DA1">
        <w:trPr>
          <w:trHeight w:val="288"/>
          <w:jc w:val="center"/>
        </w:trPr>
        <w:tc>
          <w:tcPr>
            <w:tcW w:w="4535" w:type="dxa"/>
            <w:tcBorders>
              <w:top w:val="nil"/>
              <w:left w:val="nil"/>
              <w:bottom w:val="nil"/>
              <w:right w:val="nil"/>
            </w:tcBorders>
            <w:shd w:val="clear" w:color="auto" w:fill="auto"/>
            <w:noWrap/>
            <w:vAlign w:val="bottom"/>
            <w:hideMark/>
          </w:tcPr>
          <w:p w14:paraId="4703CCE3" w14:textId="77777777" w:rsidR="00C87869" w:rsidRPr="00BE6AAD" w:rsidRDefault="00C87869" w:rsidP="008D2B66">
            <w:pPr>
              <w:spacing w:line="240" w:lineRule="auto"/>
              <w:rPr>
                <w:color w:val="000000"/>
              </w:rPr>
            </w:pPr>
            <w:r w:rsidRPr="00BE6AAD">
              <w:rPr>
                <w:color w:val="000000"/>
              </w:rPr>
              <w:t>Second serve points won (%)</w:t>
            </w:r>
            <w:r w:rsidRPr="002C670F">
              <w:rPr>
                <w:color w:val="000000"/>
                <w:vertAlign w:val="superscript"/>
              </w:rPr>
              <w:t>+</w:t>
            </w:r>
          </w:p>
        </w:tc>
        <w:tc>
          <w:tcPr>
            <w:tcW w:w="1573" w:type="dxa"/>
            <w:tcBorders>
              <w:top w:val="nil"/>
              <w:left w:val="nil"/>
              <w:bottom w:val="nil"/>
              <w:right w:val="nil"/>
            </w:tcBorders>
            <w:shd w:val="clear" w:color="auto" w:fill="auto"/>
            <w:noWrap/>
            <w:vAlign w:val="bottom"/>
            <w:hideMark/>
          </w:tcPr>
          <w:p w14:paraId="77D7FD99" w14:textId="77777777" w:rsidR="00C87869" w:rsidRPr="00BE6AAD" w:rsidRDefault="00C87869" w:rsidP="007F6DA1">
            <w:pPr>
              <w:spacing w:line="240" w:lineRule="auto"/>
              <w:jc w:val="center"/>
              <w:rPr>
                <w:color w:val="000000"/>
              </w:rPr>
            </w:pPr>
            <w:r w:rsidRPr="00BE6AAD">
              <w:rPr>
                <w:color w:val="000000"/>
              </w:rPr>
              <w:t>5</w:t>
            </w:r>
            <w:r>
              <w:rPr>
                <w:color w:val="000000"/>
              </w:rPr>
              <w:t>0.9</w:t>
            </w:r>
            <w:r w:rsidRPr="0082334F">
              <w:rPr>
                <w:color w:val="000000"/>
              </w:rPr>
              <w:t xml:space="preserve"> ± </w:t>
            </w:r>
            <w:r>
              <w:rPr>
                <w:color w:val="000000"/>
              </w:rPr>
              <w:t>10.5</w:t>
            </w:r>
            <w:r w:rsidRPr="00BE6AAD">
              <w:rPr>
                <w:color w:val="000000"/>
              </w:rPr>
              <w:t>%</w:t>
            </w:r>
          </w:p>
        </w:tc>
        <w:tc>
          <w:tcPr>
            <w:tcW w:w="1701" w:type="dxa"/>
            <w:tcBorders>
              <w:top w:val="nil"/>
              <w:left w:val="nil"/>
              <w:bottom w:val="nil"/>
              <w:right w:val="nil"/>
            </w:tcBorders>
            <w:shd w:val="clear" w:color="auto" w:fill="auto"/>
            <w:noWrap/>
            <w:vAlign w:val="bottom"/>
            <w:hideMark/>
          </w:tcPr>
          <w:p w14:paraId="3428CE52" w14:textId="77777777" w:rsidR="00C87869" w:rsidRPr="00BE6AAD" w:rsidRDefault="00C87869" w:rsidP="007F6DA1">
            <w:pPr>
              <w:spacing w:line="240" w:lineRule="auto"/>
              <w:jc w:val="center"/>
              <w:rPr>
                <w:color w:val="000000"/>
              </w:rPr>
            </w:pPr>
            <w:r w:rsidRPr="00BE6AAD">
              <w:rPr>
                <w:color w:val="000000"/>
              </w:rPr>
              <w:t>40</w:t>
            </w:r>
            <w:r>
              <w:rPr>
                <w:color w:val="000000"/>
              </w:rPr>
              <w:t>.1</w:t>
            </w:r>
            <w:r w:rsidRPr="0082334F">
              <w:rPr>
                <w:color w:val="000000"/>
              </w:rPr>
              <w:t xml:space="preserve"> ± </w:t>
            </w:r>
            <w:r w:rsidRPr="00BE6AAD">
              <w:rPr>
                <w:color w:val="000000"/>
              </w:rPr>
              <w:t>10</w:t>
            </w:r>
            <w:r>
              <w:rPr>
                <w:color w:val="000000"/>
              </w:rPr>
              <w:t>.3</w:t>
            </w:r>
            <w:r w:rsidRPr="00BE6AAD">
              <w:rPr>
                <w:color w:val="000000"/>
              </w:rPr>
              <w:t>%</w:t>
            </w:r>
          </w:p>
        </w:tc>
        <w:tc>
          <w:tcPr>
            <w:tcW w:w="850" w:type="dxa"/>
            <w:tcBorders>
              <w:top w:val="nil"/>
              <w:left w:val="nil"/>
              <w:bottom w:val="nil"/>
              <w:right w:val="nil"/>
            </w:tcBorders>
            <w:shd w:val="clear" w:color="auto" w:fill="auto"/>
            <w:noWrap/>
            <w:vAlign w:val="bottom"/>
            <w:hideMark/>
          </w:tcPr>
          <w:p w14:paraId="1C7FDD4F" w14:textId="77777777" w:rsidR="00C87869" w:rsidRPr="00BE6AAD" w:rsidRDefault="00C87869" w:rsidP="007F6DA1">
            <w:pPr>
              <w:spacing w:line="240" w:lineRule="auto"/>
              <w:jc w:val="center"/>
              <w:rPr>
                <w:color w:val="000000"/>
              </w:rPr>
            </w:pPr>
            <w:r w:rsidRPr="00BE6AAD">
              <w:rPr>
                <w:color w:val="000000"/>
              </w:rPr>
              <w:t>0.46</w:t>
            </w:r>
          </w:p>
        </w:tc>
        <w:tc>
          <w:tcPr>
            <w:tcW w:w="851" w:type="dxa"/>
            <w:tcBorders>
              <w:top w:val="nil"/>
              <w:left w:val="nil"/>
              <w:bottom w:val="nil"/>
              <w:right w:val="nil"/>
            </w:tcBorders>
            <w:shd w:val="clear" w:color="auto" w:fill="auto"/>
            <w:noWrap/>
            <w:vAlign w:val="bottom"/>
            <w:hideMark/>
          </w:tcPr>
          <w:p w14:paraId="7059D80B" w14:textId="77777777" w:rsidR="00C87869" w:rsidRPr="00BE6AAD" w:rsidRDefault="00C87869" w:rsidP="007F6DA1">
            <w:pPr>
              <w:spacing w:line="240" w:lineRule="auto"/>
              <w:jc w:val="center"/>
              <w:rPr>
                <w:color w:val="000000"/>
              </w:rPr>
            </w:pPr>
            <w:r w:rsidRPr="00BE6AAD">
              <w:rPr>
                <w:color w:val="000000"/>
              </w:rPr>
              <w:t>17.49</w:t>
            </w:r>
          </w:p>
        </w:tc>
        <w:tc>
          <w:tcPr>
            <w:tcW w:w="992" w:type="dxa"/>
            <w:tcBorders>
              <w:top w:val="nil"/>
              <w:left w:val="nil"/>
              <w:bottom w:val="nil"/>
              <w:right w:val="nil"/>
            </w:tcBorders>
            <w:shd w:val="clear" w:color="auto" w:fill="auto"/>
            <w:noWrap/>
            <w:vAlign w:val="bottom"/>
            <w:hideMark/>
          </w:tcPr>
          <w:p w14:paraId="41C20E9D" w14:textId="77777777" w:rsidR="00C87869" w:rsidRPr="00BE6AAD" w:rsidRDefault="00C87869" w:rsidP="007F6DA1">
            <w:pPr>
              <w:spacing w:line="240" w:lineRule="auto"/>
              <w:jc w:val="center"/>
              <w:rPr>
                <w:color w:val="000000"/>
              </w:rPr>
            </w:pPr>
            <w:r w:rsidRPr="00BE6AAD">
              <w:rPr>
                <w:color w:val="000000"/>
              </w:rPr>
              <w:t>7</w:t>
            </w:r>
            <w:r>
              <w:rPr>
                <w:color w:val="000000"/>
              </w:rPr>
              <w:t>5.5</w:t>
            </w:r>
            <w:r w:rsidRPr="00BE6AAD">
              <w:rPr>
                <w:color w:val="000000"/>
              </w:rPr>
              <w:t>%</w:t>
            </w:r>
          </w:p>
        </w:tc>
      </w:tr>
      <w:tr w:rsidR="00C87869" w:rsidRPr="0082334F" w14:paraId="3EEAC18C" w14:textId="77777777" w:rsidTr="007F6DA1">
        <w:trPr>
          <w:trHeight w:val="288"/>
          <w:jc w:val="center"/>
        </w:trPr>
        <w:tc>
          <w:tcPr>
            <w:tcW w:w="4535" w:type="dxa"/>
            <w:tcBorders>
              <w:top w:val="nil"/>
              <w:left w:val="nil"/>
              <w:bottom w:val="nil"/>
              <w:right w:val="nil"/>
            </w:tcBorders>
            <w:shd w:val="clear" w:color="auto" w:fill="auto"/>
            <w:noWrap/>
            <w:vAlign w:val="bottom"/>
            <w:hideMark/>
          </w:tcPr>
          <w:p w14:paraId="3563C088" w14:textId="77777777" w:rsidR="00C87869" w:rsidRPr="00BE6AAD" w:rsidRDefault="00C87869" w:rsidP="008D2B66">
            <w:pPr>
              <w:spacing w:line="240" w:lineRule="auto"/>
              <w:rPr>
                <w:color w:val="000000"/>
              </w:rPr>
            </w:pPr>
            <w:r w:rsidRPr="00BE6AAD">
              <w:rPr>
                <w:color w:val="000000"/>
              </w:rPr>
              <w:t>Second serve-return points won (%)</w:t>
            </w:r>
            <w:r w:rsidRPr="002C670F">
              <w:rPr>
                <w:color w:val="000000"/>
                <w:vertAlign w:val="superscript"/>
              </w:rPr>
              <w:t>+</w:t>
            </w:r>
          </w:p>
        </w:tc>
        <w:tc>
          <w:tcPr>
            <w:tcW w:w="1573" w:type="dxa"/>
            <w:tcBorders>
              <w:top w:val="nil"/>
              <w:left w:val="nil"/>
              <w:bottom w:val="nil"/>
              <w:right w:val="nil"/>
            </w:tcBorders>
            <w:shd w:val="clear" w:color="auto" w:fill="auto"/>
            <w:noWrap/>
            <w:vAlign w:val="bottom"/>
            <w:hideMark/>
          </w:tcPr>
          <w:p w14:paraId="4EDDEA50" w14:textId="77777777" w:rsidR="00C87869" w:rsidRPr="00BE6AAD" w:rsidRDefault="00C87869" w:rsidP="007F6DA1">
            <w:pPr>
              <w:spacing w:line="240" w:lineRule="auto"/>
              <w:jc w:val="center"/>
              <w:rPr>
                <w:color w:val="000000"/>
              </w:rPr>
            </w:pPr>
            <w:r>
              <w:rPr>
                <w:color w:val="000000"/>
              </w:rPr>
              <w:t>59.9</w:t>
            </w:r>
            <w:r w:rsidRPr="0082334F">
              <w:rPr>
                <w:color w:val="000000"/>
              </w:rPr>
              <w:t xml:space="preserve"> ± </w:t>
            </w:r>
            <w:r w:rsidRPr="00BE6AAD">
              <w:rPr>
                <w:color w:val="000000"/>
              </w:rPr>
              <w:t>1</w:t>
            </w:r>
            <w:r>
              <w:rPr>
                <w:color w:val="000000"/>
              </w:rPr>
              <w:t>0.3</w:t>
            </w:r>
            <w:r w:rsidRPr="00BE6AAD">
              <w:rPr>
                <w:color w:val="000000"/>
              </w:rPr>
              <w:t>%</w:t>
            </w:r>
          </w:p>
        </w:tc>
        <w:tc>
          <w:tcPr>
            <w:tcW w:w="1701" w:type="dxa"/>
            <w:tcBorders>
              <w:top w:val="nil"/>
              <w:left w:val="nil"/>
              <w:bottom w:val="nil"/>
              <w:right w:val="nil"/>
            </w:tcBorders>
            <w:shd w:val="clear" w:color="auto" w:fill="auto"/>
            <w:noWrap/>
            <w:vAlign w:val="bottom"/>
            <w:hideMark/>
          </w:tcPr>
          <w:p w14:paraId="3272CECA" w14:textId="77777777" w:rsidR="00C87869" w:rsidRPr="00BE6AAD" w:rsidRDefault="00C87869" w:rsidP="007F6DA1">
            <w:pPr>
              <w:spacing w:line="240" w:lineRule="auto"/>
              <w:jc w:val="center"/>
              <w:rPr>
                <w:color w:val="000000"/>
              </w:rPr>
            </w:pPr>
            <w:r w:rsidRPr="00BE6AAD">
              <w:rPr>
                <w:color w:val="000000"/>
              </w:rPr>
              <w:t>49</w:t>
            </w:r>
            <w:r>
              <w:rPr>
                <w:color w:val="000000"/>
              </w:rPr>
              <w:t>.1</w:t>
            </w:r>
            <w:r w:rsidRPr="0082334F">
              <w:rPr>
                <w:color w:val="000000"/>
              </w:rPr>
              <w:t xml:space="preserve"> ± </w:t>
            </w:r>
            <w:r w:rsidRPr="00BE6AAD">
              <w:rPr>
                <w:color w:val="000000"/>
              </w:rPr>
              <w:t>1</w:t>
            </w:r>
            <w:r>
              <w:rPr>
                <w:color w:val="000000"/>
              </w:rPr>
              <w:t>0.6</w:t>
            </w:r>
            <w:r w:rsidRPr="00BE6AAD">
              <w:rPr>
                <w:color w:val="000000"/>
              </w:rPr>
              <w:t>%</w:t>
            </w:r>
          </w:p>
        </w:tc>
        <w:tc>
          <w:tcPr>
            <w:tcW w:w="850" w:type="dxa"/>
            <w:tcBorders>
              <w:top w:val="nil"/>
              <w:left w:val="nil"/>
              <w:bottom w:val="nil"/>
              <w:right w:val="nil"/>
            </w:tcBorders>
            <w:shd w:val="clear" w:color="auto" w:fill="auto"/>
            <w:noWrap/>
            <w:vAlign w:val="bottom"/>
            <w:hideMark/>
          </w:tcPr>
          <w:p w14:paraId="7973D90C" w14:textId="77777777" w:rsidR="00C87869" w:rsidRPr="00BE6AAD" w:rsidRDefault="00C87869" w:rsidP="007F6DA1">
            <w:pPr>
              <w:spacing w:line="240" w:lineRule="auto"/>
              <w:jc w:val="center"/>
              <w:rPr>
                <w:color w:val="000000"/>
              </w:rPr>
            </w:pPr>
            <w:r w:rsidRPr="00BE6AAD">
              <w:rPr>
                <w:color w:val="000000"/>
              </w:rPr>
              <w:t>0.46</w:t>
            </w:r>
          </w:p>
        </w:tc>
        <w:tc>
          <w:tcPr>
            <w:tcW w:w="851" w:type="dxa"/>
            <w:tcBorders>
              <w:top w:val="nil"/>
              <w:left w:val="nil"/>
              <w:bottom w:val="nil"/>
              <w:right w:val="nil"/>
            </w:tcBorders>
            <w:shd w:val="clear" w:color="auto" w:fill="auto"/>
            <w:noWrap/>
            <w:vAlign w:val="bottom"/>
            <w:hideMark/>
          </w:tcPr>
          <w:p w14:paraId="6C5A8E01" w14:textId="77777777" w:rsidR="00C87869" w:rsidRPr="00BE6AAD" w:rsidRDefault="00C87869" w:rsidP="007F6DA1">
            <w:pPr>
              <w:spacing w:line="240" w:lineRule="auto"/>
              <w:jc w:val="center"/>
              <w:rPr>
                <w:color w:val="000000"/>
              </w:rPr>
            </w:pPr>
            <w:r w:rsidRPr="00BE6AAD">
              <w:rPr>
                <w:color w:val="000000"/>
              </w:rPr>
              <w:t>17.47</w:t>
            </w:r>
          </w:p>
        </w:tc>
        <w:tc>
          <w:tcPr>
            <w:tcW w:w="992" w:type="dxa"/>
            <w:tcBorders>
              <w:top w:val="nil"/>
              <w:left w:val="nil"/>
              <w:bottom w:val="nil"/>
              <w:right w:val="nil"/>
            </w:tcBorders>
            <w:shd w:val="clear" w:color="auto" w:fill="auto"/>
            <w:noWrap/>
            <w:vAlign w:val="bottom"/>
            <w:hideMark/>
          </w:tcPr>
          <w:p w14:paraId="6906A4BC" w14:textId="77777777" w:rsidR="00C87869" w:rsidRPr="00BE6AAD" w:rsidRDefault="00C87869" w:rsidP="007F6DA1">
            <w:pPr>
              <w:spacing w:line="240" w:lineRule="auto"/>
              <w:jc w:val="center"/>
              <w:rPr>
                <w:color w:val="000000"/>
              </w:rPr>
            </w:pPr>
            <w:r w:rsidRPr="00BE6AAD">
              <w:rPr>
                <w:color w:val="000000"/>
              </w:rPr>
              <w:t>75</w:t>
            </w:r>
            <w:r>
              <w:rPr>
                <w:color w:val="000000"/>
              </w:rPr>
              <w:t>.3</w:t>
            </w:r>
            <w:r w:rsidRPr="00BE6AAD">
              <w:rPr>
                <w:color w:val="000000"/>
              </w:rPr>
              <w:t>%</w:t>
            </w:r>
          </w:p>
        </w:tc>
      </w:tr>
      <w:tr w:rsidR="00C87869" w:rsidRPr="0082334F" w14:paraId="4F74ECD4" w14:textId="77777777" w:rsidTr="007F6DA1">
        <w:trPr>
          <w:trHeight w:val="288"/>
          <w:jc w:val="center"/>
        </w:trPr>
        <w:tc>
          <w:tcPr>
            <w:tcW w:w="4535" w:type="dxa"/>
            <w:tcBorders>
              <w:top w:val="nil"/>
              <w:left w:val="nil"/>
              <w:bottom w:val="nil"/>
              <w:right w:val="nil"/>
            </w:tcBorders>
            <w:shd w:val="clear" w:color="auto" w:fill="auto"/>
            <w:noWrap/>
            <w:vAlign w:val="bottom"/>
            <w:hideMark/>
          </w:tcPr>
          <w:p w14:paraId="4F0FFE5C" w14:textId="74D404A1" w:rsidR="00C87869" w:rsidRPr="00BE6AAD" w:rsidRDefault="00A25A86" w:rsidP="008D2B66">
            <w:pPr>
              <w:spacing w:line="240" w:lineRule="auto"/>
              <w:rPr>
                <w:color w:val="000000"/>
              </w:rPr>
            </w:pPr>
            <w:r>
              <w:rPr>
                <w:color w:val="000000"/>
              </w:rPr>
              <w:t>Winners:UE</w:t>
            </w:r>
            <w:r w:rsidR="00C87869" w:rsidRPr="00BE6AAD">
              <w:rPr>
                <w:color w:val="000000"/>
              </w:rPr>
              <w:t xml:space="preserve"> Ratio (%)</w:t>
            </w:r>
          </w:p>
        </w:tc>
        <w:tc>
          <w:tcPr>
            <w:tcW w:w="1573" w:type="dxa"/>
            <w:tcBorders>
              <w:top w:val="nil"/>
              <w:left w:val="nil"/>
              <w:bottom w:val="nil"/>
              <w:right w:val="nil"/>
            </w:tcBorders>
            <w:shd w:val="clear" w:color="auto" w:fill="auto"/>
            <w:noWrap/>
            <w:vAlign w:val="bottom"/>
            <w:hideMark/>
          </w:tcPr>
          <w:p w14:paraId="339DFBD8" w14:textId="77777777" w:rsidR="00C87869" w:rsidRPr="00BE6AAD" w:rsidRDefault="00C87869" w:rsidP="007F6DA1">
            <w:pPr>
              <w:spacing w:line="240" w:lineRule="auto"/>
              <w:jc w:val="center"/>
              <w:rPr>
                <w:color w:val="000000"/>
              </w:rPr>
            </w:pPr>
            <w:r w:rsidRPr="00BE6AAD">
              <w:rPr>
                <w:color w:val="000000"/>
              </w:rPr>
              <w:t>8</w:t>
            </w:r>
            <w:r>
              <w:rPr>
                <w:color w:val="000000"/>
              </w:rPr>
              <w:t>2.6</w:t>
            </w:r>
            <w:r w:rsidRPr="0082334F">
              <w:rPr>
                <w:color w:val="000000"/>
              </w:rPr>
              <w:t xml:space="preserve"> ± </w:t>
            </w:r>
            <w:r w:rsidRPr="00BE6AAD">
              <w:rPr>
                <w:color w:val="000000"/>
              </w:rPr>
              <w:t>4</w:t>
            </w:r>
            <w:r>
              <w:rPr>
                <w:color w:val="000000"/>
              </w:rPr>
              <w:t>0.9</w:t>
            </w:r>
            <w:r w:rsidRPr="00BE6AAD">
              <w:rPr>
                <w:color w:val="000000"/>
              </w:rPr>
              <w:t>%</w:t>
            </w:r>
          </w:p>
        </w:tc>
        <w:tc>
          <w:tcPr>
            <w:tcW w:w="1701" w:type="dxa"/>
            <w:tcBorders>
              <w:top w:val="nil"/>
              <w:left w:val="nil"/>
              <w:bottom w:val="nil"/>
              <w:right w:val="nil"/>
            </w:tcBorders>
            <w:shd w:val="clear" w:color="auto" w:fill="auto"/>
            <w:noWrap/>
            <w:vAlign w:val="bottom"/>
            <w:hideMark/>
          </w:tcPr>
          <w:p w14:paraId="4ED360F0" w14:textId="77777777" w:rsidR="00C87869" w:rsidRPr="00BE6AAD" w:rsidRDefault="00C87869" w:rsidP="007F6DA1">
            <w:pPr>
              <w:spacing w:line="240" w:lineRule="auto"/>
              <w:jc w:val="center"/>
              <w:rPr>
                <w:color w:val="000000"/>
              </w:rPr>
            </w:pPr>
            <w:r w:rsidRPr="00BE6AAD">
              <w:rPr>
                <w:color w:val="000000"/>
              </w:rPr>
              <w:t>50</w:t>
            </w:r>
            <w:r>
              <w:rPr>
                <w:color w:val="000000"/>
              </w:rPr>
              <w:t>.3</w:t>
            </w:r>
            <w:r w:rsidRPr="0082334F">
              <w:rPr>
                <w:color w:val="000000"/>
              </w:rPr>
              <w:t xml:space="preserve"> ± </w:t>
            </w:r>
            <w:r w:rsidRPr="00BE6AAD">
              <w:rPr>
                <w:color w:val="000000"/>
              </w:rPr>
              <w:t>2</w:t>
            </w:r>
            <w:r>
              <w:rPr>
                <w:color w:val="000000"/>
              </w:rPr>
              <w:t>2.7</w:t>
            </w:r>
            <w:r w:rsidRPr="00BE6AAD">
              <w:rPr>
                <w:color w:val="000000"/>
              </w:rPr>
              <w:t>%</w:t>
            </w:r>
          </w:p>
        </w:tc>
        <w:tc>
          <w:tcPr>
            <w:tcW w:w="850" w:type="dxa"/>
            <w:tcBorders>
              <w:top w:val="nil"/>
              <w:left w:val="nil"/>
              <w:bottom w:val="nil"/>
              <w:right w:val="nil"/>
            </w:tcBorders>
            <w:shd w:val="clear" w:color="auto" w:fill="auto"/>
            <w:noWrap/>
            <w:vAlign w:val="bottom"/>
            <w:hideMark/>
          </w:tcPr>
          <w:p w14:paraId="1E3ABE5E" w14:textId="77777777" w:rsidR="00C87869" w:rsidRPr="00BE6AAD" w:rsidRDefault="00C87869" w:rsidP="007F6DA1">
            <w:pPr>
              <w:spacing w:line="240" w:lineRule="auto"/>
              <w:jc w:val="center"/>
              <w:rPr>
                <w:color w:val="000000"/>
              </w:rPr>
            </w:pPr>
            <w:r w:rsidRPr="00BE6AAD">
              <w:rPr>
                <w:color w:val="000000"/>
              </w:rPr>
              <w:t>0.44</w:t>
            </w:r>
          </w:p>
        </w:tc>
        <w:tc>
          <w:tcPr>
            <w:tcW w:w="851" w:type="dxa"/>
            <w:tcBorders>
              <w:top w:val="nil"/>
              <w:left w:val="nil"/>
              <w:bottom w:val="nil"/>
              <w:right w:val="nil"/>
            </w:tcBorders>
            <w:shd w:val="clear" w:color="auto" w:fill="auto"/>
            <w:noWrap/>
            <w:vAlign w:val="bottom"/>
            <w:hideMark/>
          </w:tcPr>
          <w:p w14:paraId="4EA5D432" w14:textId="77777777" w:rsidR="00C87869" w:rsidRPr="00BE6AAD" w:rsidRDefault="00C87869" w:rsidP="007F6DA1">
            <w:pPr>
              <w:spacing w:line="240" w:lineRule="auto"/>
              <w:jc w:val="center"/>
              <w:rPr>
                <w:color w:val="000000"/>
              </w:rPr>
            </w:pPr>
            <w:r w:rsidRPr="00BE6AAD">
              <w:rPr>
                <w:color w:val="000000"/>
              </w:rPr>
              <w:t>18.05</w:t>
            </w:r>
          </w:p>
        </w:tc>
        <w:tc>
          <w:tcPr>
            <w:tcW w:w="992" w:type="dxa"/>
            <w:tcBorders>
              <w:top w:val="nil"/>
              <w:left w:val="nil"/>
              <w:bottom w:val="nil"/>
              <w:right w:val="nil"/>
            </w:tcBorders>
            <w:shd w:val="clear" w:color="auto" w:fill="auto"/>
            <w:noWrap/>
            <w:vAlign w:val="bottom"/>
            <w:hideMark/>
          </w:tcPr>
          <w:p w14:paraId="4ACA56E8" w14:textId="77777777" w:rsidR="00C87869" w:rsidRPr="00BE6AAD" w:rsidRDefault="00C87869" w:rsidP="007F6DA1">
            <w:pPr>
              <w:spacing w:line="240" w:lineRule="auto"/>
              <w:jc w:val="center"/>
              <w:rPr>
                <w:color w:val="000000"/>
              </w:rPr>
            </w:pPr>
            <w:r>
              <w:rPr>
                <w:color w:val="000000"/>
              </w:rPr>
              <w:t>79.9</w:t>
            </w:r>
            <w:r w:rsidRPr="00BE6AAD">
              <w:rPr>
                <w:color w:val="000000"/>
              </w:rPr>
              <w:t>%</w:t>
            </w:r>
          </w:p>
        </w:tc>
      </w:tr>
      <w:tr w:rsidR="00C87869" w:rsidRPr="0082334F" w14:paraId="579B6ECD" w14:textId="77777777" w:rsidTr="007F6DA1">
        <w:trPr>
          <w:trHeight w:val="288"/>
          <w:jc w:val="center"/>
        </w:trPr>
        <w:tc>
          <w:tcPr>
            <w:tcW w:w="4535" w:type="dxa"/>
            <w:tcBorders>
              <w:top w:val="nil"/>
              <w:left w:val="nil"/>
              <w:bottom w:val="nil"/>
              <w:right w:val="nil"/>
            </w:tcBorders>
            <w:shd w:val="clear" w:color="auto" w:fill="auto"/>
            <w:noWrap/>
            <w:vAlign w:val="bottom"/>
            <w:hideMark/>
          </w:tcPr>
          <w:p w14:paraId="53AE6618" w14:textId="77777777" w:rsidR="00C87869" w:rsidRPr="00BE6AAD" w:rsidRDefault="00C87869" w:rsidP="008D2B66">
            <w:pPr>
              <w:spacing w:line="240" w:lineRule="auto"/>
              <w:rPr>
                <w:color w:val="000000"/>
              </w:rPr>
            </w:pPr>
            <w:r w:rsidRPr="00BE6AAD">
              <w:rPr>
                <w:color w:val="000000"/>
              </w:rPr>
              <w:t>Points won of 5-8 rally length returning (%)</w:t>
            </w:r>
          </w:p>
        </w:tc>
        <w:tc>
          <w:tcPr>
            <w:tcW w:w="1573" w:type="dxa"/>
            <w:tcBorders>
              <w:top w:val="nil"/>
              <w:left w:val="nil"/>
              <w:bottom w:val="nil"/>
              <w:right w:val="nil"/>
            </w:tcBorders>
            <w:shd w:val="clear" w:color="auto" w:fill="auto"/>
            <w:noWrap/>
            <w:vAlign w:val="bottom"/>
            <w:hideMark/>
          </w:tcPr>
          <w:p w14:paraId="648F81D4" w14:textId="77777777" w:rsidR="00C87869" w:rsidRPr="00BE6AAD" w:rsidRDefault="00C87869" w:rsidP="007F6DA1">
            <w:pPr>
              <w:spacing w:line="240" w:lineRule="auto"/>
              <w:jc w:val="center"/>
              <w:rPr>
                <w:color w:val="000000"/>
              </w:rPr>
            </w:pPr>
            <w:r w:rsidRPr="00BE6AAD">
              <w:rPr>
                <w:color w:val="000000"/>
              </w:rPr>
              <w:t>5</w:t>
            </w:r>
            <w:r>
              <w:rPr>
                <w:color w:val="000000"/>
              </w:rPr>
              <w:t>6.7</w:t>
            </w:r>
            <w:r w:rsidRPr="0082334F">
              <w:rPr>
                <w:color w:val="000000"/>
              </w:rPr>
              <w:t xml:space="preserve"> ± </w:t>
            </w:r>
            <w:r w:rsidRPr="00BE6AAD">
              <w:rPr>
                <w:color w:val="000000"/>
              </w:rPr>
              <w:t>1</w:t>
            </w:r>
            <w:r>
              <w:rPr>
                <w:color w:val="000000"/>
              </w:rPr>
              <w:t>1.7</w:t>
            </w:r>
            <w:r w:rsidRPr="00BE6AAD">
              <w:rPr>
                <w:color w:val="000000"/>
              </w:rPr>
              <w:t>%</w:t>
            </w:r>
          </w:p>
        </w:tc>
        <w:tc>
          <w:tcPr>
            <w:tcW w:w="1701" w:type="dxa"/>
            <w:tcBorders>
              <w:top w:val="nil"/>
              <w:left w:val="nil"/>
              <w:bottom w:val="nil"/>
              <w:right w:val="nil"/>
            </w:tcBorders>
            <w:shd w:val="clear" w:color="auto" w:fill="auto"/>
            <w:noWrap/>
            <w:vAlign w:val="bottom"/>
            <w:hideMark/>
          </w:tcPr>
          <w:p w14:paraId="70749D6B" w14:textId="77777777" w:rsidR="00C87869" w:rsidRPr="00BE6AAD" w:rsidRDefault="00C87869" w:rsidP="007F6DA1">
            <w:pPr>
              <w:spacing w:line="240" w:lineRule="auto"/>
              <w:jc w:val="center"/>
              <w:rPr>
                <w:color w:val="000000"/>
              </w:rPr>
            </w:pPr>
            <w:r w:rsidRPr="00BE6AAD">
              <w:rPr>
                <w:color w:val="000000"/>
              </w:rPr>
              <w:t>45</w:t>
            </w:r>
            <w:r>
              <w:rPr>
                <w:color w:val="000000"/>
              </w:rPr>
              <w:t>.3</w:t>
            </w:r>
            <w:r w:rsidRPr="0082334F">
              <w:rPr>
                <w:color w:val="000000"/>
              </w:rPr>
              <w:t xml:space="preserve"> ± </w:t>
            </w:r>
            <w:r w:rsidRPr="00BE6AAD">
              <w:rPr>
                <w:color w:val="000000"/>
              </w:rPr>
              <w:t>1</w:t>
            </w:r>
            <w:r>
              <w:rPr>
                <w:color w:val="000000"/>
              </w:rPr>
              <w:t>2.3</w:t>
            </w:r>
            <w:r w:rsidRPr="00BE6AAD">
              <w:rPr>
                <w:color w:val="000000"/>
              </w:rPr>
              <w:t>%</w:t>
            </w:r>
          </w:p>
        </w:tc>
        <w:tc>
          <w:tcPr>
            <w:tcW w:w="850" w:type="dxa"/>
            <w:tcBorders>
              <w:top w:val="nil"/>
              <w:left w:val="nil"/>
              <w:bottom w:val="nil"/>
              <w:right w:val="nil"/>
            </w:tcBorders>
            <w:shd w:val="clear" w:color="auto" w:fill="auto"/>
            <w:noWrap/>
            <w:vAlign w:val="bottom"/>
            <w:hideMark/>
          </w:tcPr>
          <w:p w14:paraId="44C8184B" w14:textId="77777777" w:rsidR="00C87869" w:rsidRPr="00BE6AAD" w:rsidRDefault="00C87869" w:rsidP="007F6DA1">
            <w:pPr>
              <w:spacing w:line="240" w:lineRule="auto"/>
              <w:jc w:val="center"/>
              <w:rPr>
                <w:color w:val="000000"/>
              </w:rPr>
            </w:pPr>
            <w:r w:rsidRPr="00BE6AAD">
              <w:rPr>
                <w:color w:val="000000"/>
              </w:rPr>
              <w:t>0.43</w:t>
            </w:r>
          </w:p>
        </w:tc>
        <w:tc>
          <w:tcPr>
            <w:tcW w:w="851" w:type="dxa"/>
            <w:tcBorders>
              <w:top w:val="nil"/>
              <w:left w:val="nil"/>
              <w:bottom w:val="nil"/>
              <w:right w:val="nil"/>
            </w:tcBorders>
            <w:shd w:val="clear" w:color="auto" w:fill="auto"/>
            <w:noWrap/>
            <w:vAlign w:val="bottom"/>
            <w:hideMark/>
          </w:tcPr>
          <w:p w14:paraId="4B58C9D7" w14:textId="77777777" w:rsidR="00C87869" w:rsidRPr="00BE6AAD" w:rsidRDefault="00C87869" w:rsidP="007F6DA1">
            <w:pPr>
              <w:spacing w:line="240" w:lineRule="auto"/>
              <w:jc w:val="center"/>
              <w:rPr>
                <w:color w:val="000000"/>
              </w:rPr>
            </w:pPr>
            <w:r w:rsidRPr="00BE6AAD">
              <w:rPr>
                <w:color w:val="000000"/>
              </w:rPr>
              <w:t>15.91</w:t>
            </w:r>
          </w:p>
        </w:tc>
        <w:tc>
          <w:tcPr>
            <w:tcW w:w="992" w:type="dxa"/>
            <w:tcBorders>
              <w:top w:val="nil"/>
              <w:left w:val="nil"/>
              <w:bottom w:val="nil"/>
              <w:right w:val="nil"/>
            </w:tcBorders>
            <w:shd w:val="clear" w:color="auto" w:fill="auto"/>
            <w:noWrap/>
            <w:vAlign w:val="bottom"/>
            <w:hideMark/>
          </w:tcPr>
          <w:p w14:paraId="284419B8" w14:textId="77777777" w:rsidR="00C87869" w:rsidRPr="00BE6AAD" w:rsidRDefault="00C87869" w:rsidP="007F6DA1">
            <w:pPr>
              <w:spacing w:line="240" w:lineRule="auto"/>
              <w:jc w:val="center"/>
              <w:rPr>
                <w:color w:val="000000"/>
              </w:rPr>
            </w:pPr>
            <w:r w:rsidRPr="00BE6AAD">
              <w:rPr>
                <w:color w:val="000000"/>
              </w:rPr>
              <w:t>7</w:t>
            </w:r>
            <w:r>
              <w:rPr>
                <w:color w:val="000000"/>
              </w:rPr>
              <w:t>3.9</w:t>
            </w:r>
            <w:r w:rsidRPr="00BE6AAD">
              <w:rPr>
                <w:color w:val="000000"/>
              </w:rPr>
              <w:t>%</w:t>
            </w:r>
          </w:p>
        </w:tc>
      </w:tr>
      <w:tr w:rsidR="00C87869" w:rsidRPr="0082334F" w14:paraId="732DE548" w14:textId="77777777" w:rsidTr="007F6DA1">
        <w:trPr>
          <w:trHeight w:val="288"/>
          <w:jc w:val="center"/>
        </w:trPr>
        <w:tc>
          <w:tcPr>
            <w:tcW w:w="4535" w:type="dxa"/>
            <w:tcBorders>
              <w:top w:val="nil"/>
              <w:left w:val="nil"/>
              <w:bottom w:val="nil"/>
              <w:right w:val="nil"/>
            </w:tcBorders>
            <w:shd w:val="clear" w:color="auto" w:fill="auto"/>
            <w:noWrap/>
            <w:vAlign w:val="bottom"/>
            <w:hideMark/>
          </w:tcPr>
          <w:p w14:paraId="00F688D7" w14:textId="77777777" w:rsidR="00C87869" w:rsidRPr="00BE6AAD" w:rsidRDefault="00C87869" w:rsidP="008D2B66">
            <w:pPr>
              <w:spacing w:line="240" w:lineRule="auto"/>
              <w:rPr>
                <w:color w:val="000000"/>
              </w:rPr>
            </w:pPr>
            <w:r w:rsidRPr="00BE6AAD">
              <w:rPr>
                <w:color w:val="000000"/>
              </w:rPr>
              <w:t>Points won of 5-8 rally length serving (%)</w:t>
            </w:r>
          </w:p>
        </w:tc>
        <w:tc>
          <w:tcPr>
            <w:tcW w:w="1573" w:type="dxa"/>
            <w:tcBorders>
              <w:top w:val="nil"/>
              <w:left w:val="nil"/>
              <w:bottom w:val="nil"/>
              <w:right w:val="nil"/>
            </w:tcBorders>
            <w:shd w:val="clear" w:color="auto" w:fill="auto"/>
            <w:noWrap/>
            <w:vAlign w:val="bottom"/>
            <w:hideMark/>
          </w:tcPr>
          <w:p w14:paraId="0CEC55D5" w14:textId="77777777" w:rsidR="00C87869" w:rsidRPr="00BE6AAD" w:rsidRDefault="00C87869" w:rsidP="007F6DA1">
            <w:pPr>
              <w:spacing w:line="240" w:lineRule="auto"/>
              <w:jc w:val="center"/>
              <w:rPr>
                <w:color w:val="000000"/>
              </w:rPr>
            </w:pPr>
            <w:r w:rsidRPr="00BE6AAD">
              <w:rPr>
                <w:color w:val="000000"/>
              </w:rPr>
              <w:t>5</w:t>
            </w:r>
            <w:r>
              <w:rPr>
                <w:color w:val="000000"/>
              </w:rPr>
              <w:t>4.7</w:t>
            </w:r>
            <w:r w:rsidRPr="0082334F">
              <w:rPr>
                <w:color w:val="000000"/>
              </w:rPr>
              <w:t xml:space="preserve"> ± </w:t>
            </w:r>
            <w:r w:rsidRPr="00BE6AAD">
              <w:rPr>
                <w:color w:val="000000"/>
              </w:rPr>
              <w:t>12</w:t>
            </w:r>
            <w:r>
              <w:rPr>
                <w:color w:val="000000"/>
              </w:rPr>
              <w:t>.3</w:t>
            </w:r>
            <w:r w:rsidRPr="00BE6AAD">
              <w:rPr>
                <w:color w:val="000000"/>
              </w:rPr>
              <w:t>%</w:t>
            </w:r>
          </w:p>
        </w:tc>
        <w:tc>
          <w:tcPr>
            <w:tcW w:w="1701" w:type="dxa"/>
            <w:tcBorders>
              <w:top w:val="nil"/>
              <w:left w:val="nil"/>
              <w:bottom w:val="nil"/>
              <w:right w:val="nil"/>
            </w:tcBorders>
            <w:shd w:val="clear" w:color="auto" w:fill="auto"/>
            <w:noWrap/>
            <w:vAlign w:val="bottom"/>
            <w:hideMark/>
          </w:tcPr>
          <w:p w14:paraId="61A588EC" w14:textId="77777777" w:rsidR="00C87869" w:rsidRPr="00BE6AAD" w:rsidRDefault="00C87869" w:rsidP="007F6DA1">
            <w:pPr>
              <w:spacing w:line="240" w:lineRule="auto"/>
              <w:jc w:val="center"/>
              <w:rPr>
                <w:color w:val="000000"/>
              </w:rPr>
            </w:pPr>
            <w:r w:rsidRPr="00BE6AAD">
              <w:rPr>
                <w:color w:val="000000"/>
              </w:rPr>
              <w:t>43</w:t>
            </w:r>
            <w:r>
              <w:rPr>
                <w:color w:val="000000"/>
              </w:rPr>
              <w:t>.3</w:t>
            </w:r>
            <w:r w:rsidRPr="0082334F">
              <w:rPr>
                <w:color w:val="000000"/>
              </w:rPr>
              <w:t xml:space="preserve"> ± </w:t>
            </w:r>
            <w:r w:rsidRPr="00BE6AAD">
              <w:rPr>
                <w:color w:val="000000"/>
              </w:rPr>
              <w:t>1</w:t>
            </w:r>
            <w:r>
              <w:rPr>
                <w:color w:val="000000"/>
              </w:rPr>
              <w:t>1.7</w:t>
            </w:r>
            <w:r w:rsidRPr="00BE6AAD">
              <w:rPr>
                <w:color w:val="000000"/>
              </w:rPr>
              <w:t>%</w:t>
            </w:r>
          </w:p>
        </w:tc>
        <w:tc>
          <w:tcPr>
            <w:tcW w:w="850" w:type="dxa"/>
            <w:tcBorders>
              <w:top w:val="nil"/>
              <w:left w:val="nil"/>
              <w:bottom w:val="nil"/>
              <w:right w:val="nil"/>
            </w:tcBorders>
            <w:shd w:val="clear" w:color="auto" w:fill="auto"/>
            <w:noWrap/>
            <w:vAlign w:val="bottom"/>
            <w:hideMark/>
          </w:tcPr>
          <w:p w14:paraId="2682A216" w14:textId="77777777" w:rsidR="00C87869" w:rsidRPr="00BE6AAD" w:rsidRDefault="00C87869" w:rsidP="007F6DA1">
            <w:pPr>
              <w:spacing w:line="240" w:lineRule="auto"/>
              <w:jc w:val="center"/>
              <w:rPr>
                <w:color w:val="000000"/>
              </w:rPr>
            </w:pPr>
            <w:r w:rsidRPr="00BE6AAD">
              <w:rPr>
                <w:color w:val="000000"/>
              </w:rPr>
              <w:t>0.43</w:t>
            </w:r>
          </w:p>
        </w:tc>
        <w:tc>
          <w:tcPr>
            <w:tcW w:w="851" w:type="dxa"/>
            <w:tcBorders>
              <w:top w:val="nil"/>
              <w:left w:val="nil"/>
              <w:bottom w:val="nil"/>
              <w:right w:val="nil"/>
            </w:tcBorders>
            <w:shd w:val="clear" w:color="auto" w:fill="auto"/>
            <w:noWrap/>
            <w:vAlign w:val="bottom"/>
            <w:hideMark/>
          </w:tcPr>
          <w:p w14:paraId="7C90E7C7" w14:textId="77777777" w:rsidR="00C87869" w:rsidRPr="00BE6AAD" w:rsidRDefault="00C87869" w:rsidP="007F6DA1">
            <w:pPr>
              <w:spacing w:line="240" w:lineRule="auto"/>
              <w:jc w:val="center"/>
              <w:rPr>
                <w:color w:val="000000"/>
              </w:rPr>
            </w:pPr>
            <w:r w:rsidRPr="00BE6AAD">
              <w:rPr>
                <w:color w:val="000000"/>
              </w:rPr>
              <w:t>15.88</w:t>
            </w:r>
          </w:p>
        </w:tc>
        <w:tc>
          <w:tcPr>
            <w:tcW w:w="992" w:type="dxa"/>
            <w:tcBorders>
              <w:top w:val="nil"/>
              <w:left w:val="nil"/>
              <w:bottom w:val="nil"/>
              <w:right w:val="nil"/>
            </w:tcBorders>
            <w:shd w:val="clear" w:color="auto" w:fill="auto"/>
            <w:noWrap/>
            <w:vAlign w:val="bottom"/>
            <w:hideMark/>
          </w:tcPr>
          <w:p w14:paraId="5E18A990" w14:textId="77777777" w:rsidR="00C87869" w:rsidRPr="00BE6AAD" w:rsidRDefault="00C87869" w:rsidP="007F6DA1">
            <w:pPr>
              <w:spacing w:line="240" w:lineRule="auto"/>
              <w:jc w:val="center"/>
              <w:rPr>
                <w:color w:val="000000"/>
              </w:rPr>
            </w:pPr>
            <w:r w:rsidRPr="00BE6AAD">
              <w:rPr>
                <w:color w:val="000000"/>
              </w:rPr>
              <w:t>7</w:t>
            </w:r>
            <w:r>
              <w:rPr>
                <w:color w:val="000000"/>
              </w:rPr>
              <w:t>3.9</w:t>
            </w:r>
            <w:r w:rsidRPr="00BE6AAD">
              <w:rPr>
                <w:color w:val="000000"/>
              </w:rPr>
              <w:t>%</w:t>
            </w:r>
          </w:p>
        </w:tc>
      </w:tr>
      <w:tr w:rsidR="00C87869" w:rsidRPr="0082334F" w14:paraId="382D0000" w14:textId="77777777" w:rsidTr="007F6DA1">
        <w:trPr>
          <w:trHeight w:val="288"/>
          <w:jc w:val="center"/>
        </w:trPr>
        <w:tc>
          <w:tcPr>
            <w:tcW w:w="4535" w:type="dxa"/>
            <w:tcBorders>
              <w:top w:val="nil"/>
              <w:left w:val="nil"/>
              <w:bottom w:val="nil"/>
              <w:right w:val="nil"/>
            </w:tcBorders>
            <w:shd w:val="clear" w:color="auto" w:fill="auto"/>
            <w:noWrap/>
            <w:vAlign w:val="bottom"/>
            <w:hideMark/>
          </w:tcPr>
          <w:p w14:paraId="42C1F18B" w14:textId="77777777" w:rsidR="00C87869" w:rsidRPr="00BE6AAD" w:rsidRDefault="00C87869" w:rsidP="008D2B66">
            <w:pPr>
              <w:spacing w:line="240" w:lineRule="auto"/>
              <w:rPr>
                <w:color w:val="000000"/>
              </w:rPr>
            </w:pPr>
            <w:r w:rsidRPr="00BE6AAD">
              <w:rPr>
                <w:color w:val="000000"/>
              </w:rPr>
              <w:t>Break points won (%)</w:t>
            </w:r>
          </w:p>
        </w:tc>
        <w:tc>
          <w:tcPr>
            <w:tcW w:w="1573" w:type="dxa"/>
            <w:tcBorders>
              <w:top w:val="nil"/>
              <w:left w:val="nil"/>
              <w:bottom w:val="nil"/>
              <w:right w:val="nil"/>
            </w:tcBorders>
            <w:shd w:val="clear" w:color="auto" w:fill="auto"/>
            <w:noWrap/>
            <w:vAlign w:val="bottom"/>
            <w:hideMark/>
          </w:tcPr>
          <w:p w14:paraId="255C3B0A" w14:textId="77777777" w:rsidR="00C87869" w:rsidRPr="00BE6AAD" w:rsidRDefault="00C87869" w:rsidP="007F6DA1">
            <w:pPr>
              <w:spacing w:line="240" w:lineRule="auto"/>
              <w:jc w:val="center"/>
              <w:rPr>
                <w:color w:val="000000"/>
              </w:rPr>
            </w:pPr>
            <w:r w:rsidRPr="00BE6AAD">
              <w:rPr>
                <w:color w:val="000000"/>
              </w:rPr>
              <w:t>5</w:t>
            </w:r>
            <w:r>
              <w:rPr>
                <w:color w:val="000000"/>
              </w:rPr>
              <w:t>3.8</w:t>
            </w:r>
            <w:r w:rsidRPr="0082334F">
              <w:rPr>
                <w:color w:val="000000"/>
              </w:rPr>
              <w:t xml:space="preserve"> ± </w:t>
            </w:r>
            <w:r w:rsidRPr="00BE6AAD">
              <w:rPr>
                <w:color w:val="000000"/>
              </w:rPr>
              <w:t>18</w:t>
            </w:r>
            <w:r>
              <w:rPr>
                <w:color w:val="000000"/>
              </w:rPr>
              <w:t>.3</w:t>
            </w:r>
            <w:r w:rsidRPr="00BE6AAD">
              <w:rPr>
                <w:color w:val="000000"/>
              </w:rPr>
              <w:t>%</w:t>
            </w:r>
          </w:p>
        </w:tc>
        <w:tc>
          <w:tcPr>
            <w:tcW w:w="1701" w:type="dxa"/>
            <w:tcBorders>
              <w:top w:val="nil"/>
              <w:left w:val="nil"/>
              <w:bottom w:val="nil"/>
              <w:right w:val="nil"/>
            </w:tcBorders>
            <w:shd w:val="clear" w:color="auto" w:fill="auto"/>
            <w:noWrap/>
            <w:vAlign w:val="bottom"/>
            <w:hideMark/>
          </w:tcPr>
          <w:p w14:paraId="5E51A46E" w14:textId="77777777" w:rsidR="00C87869" w:rsidRPr="00BE6AAD" w:rsidRDefault="00C87869" w:rsidP="007F6DA1">
            <w:pPr>
              <w:spacing w:line="240" w:lineRule="auto"/>
              <w:jc w:val="center"/>
              <w:rPr>
                <w:color w:val="000000"/>
              </w:rPr>
            </w:pPr>
            <w:r>
              <w:rPr>
                <w:color w:val="000000"/>
              </w:rPr>
              <w:t>39.6</w:t>
            </w:r>
            <w:r w:rsidRPr="0082334F">
              <w:rPr>
                <w:color w:val="000000"/>
              </w:rPr>
              <w:t xml:space="preserve"> ± </w:t>
            </w:r>
            <w:r w:rsidRPr="00BE6AAD">
              <w:rPr>
                <w:color w:val="000000"/>
              </w:rPr>
              <w:t>2</w:t>
            </w:r>
            <w:r>
              <w:rPr>
                <w:color w:val="000000"/>
              </w:rPr>
              <w:t>4.9</w:t>
            </w:r>
            <w:r w:rsidRPr="00BE6AAD">
              <w:rPr>
                <w:color w:val="000000"/>
              </w:rPr>
              <w:t>%</w:t>
            </w:r>
          </w:p>
        </w:tc>
        <w:tc>
          <w:tcPr>
            <w:tcW w:w="850" w:type="dxa"/>
            <w:tcBorders>
              <w:top w:val="nil"/>
              <w:left w:val="nil"/>
              <w:bottom w:val="nil"/>
              <w:right w:val="nil"/>
            </w:tcBorders>
            <w:shd w:val="clear" w:color="auto" w:fill="auto"/>
            <w:noWrap/>
            <w:vAlign w:val="bottom"/>
            <w:hideMark/>
          </w:tcPr>
          <w:p w14:paraId="7D1DF9D5" w14:textId="77777777" w:rsidR="00C87869" w:rsidRPr="00BE6AAD" w:rsidRDefault="00C87869" w:rsidP="007F6DA1">
            <w:pPr>
              <w:spacing w:line="240" w:lineRule="auto"/>
              <w:jc w:val="center"/>
              <w:rPr>
                <w:color w:val="000000"/>
              </w:rPr>
            </w:pPr>
            <w:r w:rsidRPr="00BE6AAD">
              <w:rPr>
                <w:color w:val="000000"/>
              </w:rPr>
              <w:t>0.31</w:t>
            </w:r>
          </w:p>
        </w:tc>
        <w:tc>
          <w:tcPr>
            <w:tcW w:w="851" w:type="dxa"/>
            <w:tcBorders>
              <w:top w:val="nil"/>
              <w:left w:val="nil"/>
              <w:bottom w:val="nil"/>
              <w:right w:val="nil"/>
            </w:tcBorders>
            <w:shd w:val="clear" w:color="auto" w:fill="auto"/>
            <w:noWrap/>
            <w:vAlign w:val="bottom"/>
            <w:hideMark/>
          </w:tcPr>
          <w:p w14:paraId="02065379" w14:textId="77777777" w:rsidR="00C87869" w:rsidRPr="00BE6AAD" w:rsidRDefault="00C87869" w:rsidP="007F6DA1">
            <w:pPr>
              <w:spacing w:line="240" w:lineRule="auto"/>
              <w:jc w:val="center"/>
              <w:rPr>
                <w:color w:val="000000"/>
              </w:rPr>
            </w:pPr>
            <w:r w:rsidRPr="00BE6AAD">
              <w:rPr>
                <w:color w:val="000000"/>
              </w:rPr>
              <w:t>10.93</w:t>
            </w:r>
          </w:p>
        </w:tc>
        <w:tc>
          <w:tcPr>
            <w:tcW w:w="992" w:type="dxa"/>
            <w:tcBorders>
              <w:top w:val="nil"/>
              <w:left w:val="nil"/>
              <w:bottom w:val="nil"/>
              <w:right w:val="nil"/>
            </w:tcBorders>
            <w:shd w:val="clear" w:color="auto" w:fill="auto"/>
            <w:noWrap/>
            <w:vAlign w:val="bottom"/>
            <w:hideMark/>
          </w:tcPr>
          <w:p w14:paraId="47BCFC6F" w14:textId="77777777" w:rsidR="00C87869" w:rsidRPr="00BE6AAD" w:rsidRDefault="00C87869" w:rsidP="007F6DA1">
            <w:pPr>
              <w:spacing w:line="240" w:lineRule="auto"/>
              <w:jc w:val="center"/>
              <w:rPr>
                <w:color w:val="000000"/>
              </w:rPr>
            </w:pPr>
            <w:r>
              <w:rPr>
                <w:color w:val="000000"/>
              </w:rPr>
              <w:t>68.8</w:t>
            </w:r>
            <w:r w:rsidRPr="00BE6AAD">
              <w:rPr>
                <w:color w:val="000000"/>
              </w:rPr>
              <w:t>%</w:t>
            </w:r>
          </w:p>
        </w:tc>
      </w:tr>
      <w:tr w:rsidR="00C87869" w:rsidRPr="0082334F" w14:paraId="4E5C9DA7" w14:textId="77777777" w:rsidTr="007F6DA1">
        <w:trPr>
          <w:trHeight w:val="288"/>
          <w:jc w:val="center"/>
        </w:trPr>
        <w:tc>
          <w:tcPr>
            <w:tcW w:w="4535" w:type="dxa"/>
            <w:tcBorders>
              <w:top w:val="nil"/>
              <w:left w:val="nil"/>
              <w:bottom w:val="nil"/>
              <w:right w:val="nil"/>
            </w:tcBorders>
            <w:shd w:val="clear" w:color="auto" w:fill="auto"/>
            <w:noWrap/>
            <w:vAlign w:val="bottom"/>
            <w:hideMark/>
          </w:tcPr>
          <w:p w14:paraId="3165CA08" w14:textId="77777777" w:rsidR="00C87869" w:rsidRPr="00BE6AAD" w:rsidRDefault="00C87869" w:rsidP="008D2B66">
            <w:pPr>
              <w:spacing w:line="240" w:lineRule="auto"/>
              <w:rPr>
                <w:color w:val="000000"/>
              </w:rPr>
            </w:pPr>
            <w:r w:rsidRPr="00BE6AAD">
              <w:rPr>
                <w:color w:val="000000"/>
              </w:rPr>
              <w:t>First serve quality (%)</w:t>
            </w:r>
          </w:p>
        </w:tc>
        <w:tc>
          <w:tcPr>
            <w:tcW w:w="1573" w:type="dxa"/>
            <w:tcBorders>
              <w:top w:val="nil"/>
              <w:left w:val="nil"/>
              <w:bottom w:val="nil"/>
              <w:right w:val="nil"/>
            </w:tcBorders>
            <w:shd w:val="clear" w:color="auto" w:fill="auto"/>
            <w:noWrap/>
            <w:vAlign w:val="bottom"/>
            <w:hideMark/>
          </w:tcPr>
          <w:p w14:paraId="29045A11" w14:textId="77777777" w:rsidR="00C87869" w:rsidRPr="00BE6AAD" w:rsidRDefault="00C87869" w:rsidP="007F6DA1">
            <w:pPr>
              <w:spacing w:line="240" w:lineRule="auto"/>
              <w:jc w:val="center"/>
              <w:rPr>
                <w:color w:val="000000"/>
              </w:rPr>
            </w:pPr>
            <w:r w:rsidRPr="00BE6AAD">
              <w:rPr>
                <w:color w:val="000000"/>
              </w:rPr>
              <w:t>29</w:t>
            </w:r>
            <w:r>
              <w:rPr>
                <w:color w:val="000000"/>
              </w:rPr>
              <w:t>.1</w:t>
            </w:r>
            <w:r w:rsidRPr="0082334F">
              <w:rPr>
                <w:color w:val="000000"/>
              </w:rPr>
              <w:t xml:space="preserve"> ± </w:t>
            </w:r>
            <w:r>
              <w:rPr>
                <w:color w:val="000000"/>
              </w:rPr>
              <w:t>8.8</w:t>
            </w:r>
            <w:r w:rsidRPr="00BE6AAD">
              <w:rPr>
                <w:color w:val="000000"/>
              </w:rPr>
              <w:t>%</w:t>
            </w:r>
          </w:p>
        </w:tc>
        <w:tc>
          <w:tcPr>
            <w:tcW w:w="1701" w:type="dxa"/>
            <w:tcBorders>
              <w:top w:val="nil"/>
              <w:left w:val="nil"/>
              <w:bottom w:val="nil"/>
              <w:right w:val="nil"/>
            </w:tcBorders>
            <w:shd w:val="clear" w:color="auto" w:fill="auto"/>
            <w:noWrap/>
            <w:vAlign w:val="bottom"/>
            <w:hideMark/>
          </w:tcPr>
          <w:p w14:paraId="27000AC1" w14:textId="77777777" w:rsidR="00C87869" w:rsidRPr="00BE6AAD" w:rsidRDefault="00C87869" w:rsidP="007F6DA1">
            <w:pPr>
              <w:spacing w:line="240" w:lineRule="auto"/>
              <w:jc w:val="center"/>
              <w:rPr>
                <w:color w:val="000000"/>
              </w:rPr>
            </w:pPr>
            <w:r w:rsidRPr="00BE6AAD">
              <w:rPr>
                <w:color w:val="000000"/>
              </w:rPr>
              <w:t>2</w:t>
            </w:r>
            <w:r>
              <w:rPr>
                <w:color w:val="000000"/>
              </w:rPr>
              <w:t>4.2</w:t>
            </w:r>
            <w:r w:rsidRPr="0082334F">
              <w:rPr>
                <w:color w:val="000000"/>
              </w:rPr>
              <w:t xml:space="preserve"> ± </w:t>
            </w:r>
            <w:r>
              <w:rPr>
                <w:color w:val="000000"/>
              </w:rPr>
              <w:t>7.8</w:t>
            </w:r>
            <w:r w:rsidRPr="00BE6AAD">
              <w:rPr>
                <w:color w:val="000000"/>
              </w:rPr>
              <w:t>%</w:t>
            </w:r>
          </w:p>
        </w:tc>
        <w:tc>
          <w:tcPr>
            <w:tcW w:w="850" w:type="dxa"/>
            <w:tcBorders>
              <w:top w:val="nil"/>
              <w:left w:val="nil"/>
              <w:bottom w:val="nil"/>
              <w:right w:val="nil"/>
            </w:tcBorders>
            <w:shd w:val="clear" w:color="auto" w:fill="auto"/>
            <w:noWrap/>
            <w:vAlign w:val="bottom"/>
            <w:hideMark/>
          </w:tcPr>
          <w:p w14:paraId="47A95A04" w14:textId="77777777" w:rsidR="00C87869" w:rsidRPr="00BE6AAD" w:rsidRDefault="00C87869" w:rsidP="007F6DA1">
            <w:pPr>
              <w:spacing w:line="240" w:lineRule="auto"/>
              <w:jc w:val="center"/>
              <w:rPr>
                <w:color w:val="000000"/>
              </w:rPr>
            </w:pPr>
            <w:r w:rsidRPr="00BE6AAD">
              <w:rPr>
                <w:color w:val="000000"/>
              </w:rPr>
              <w:t>0.28</w:t>
            </w:r>
          </w:p>
        </w:tc>
        <w:tc>
          <w:tcPr>
            <w:tcW w:w="851" w:type="dxa"/>
            <w:tcBorders>
              <w:top w:val="nil"/>
              <w:left w:val="nil"/>
              <w:bottom w:val="nil"/>
              <w:right w:val="nil"/>
            </w:tcBorders>
            <w:shd w:val="clear" w:color="auto" w:fill="auto"/>
            <w:noWrap/>
            <w:vAlign w:val="bottom"/>
            <w:hideMark/>
          </w:tcPr>
          <w:p w14:paraId="46EF255E" w14:textId="77777777" w:rsidR="00C87869" w:rsidRPr="00BE6AAD" w:rsidRDefault="00C87869" w:rsidP="007F6DA1">
            <w:pPr>
              <w:spacing w:line="240" w:lineRule="auto"/>
              <w:jc w:val="center"/>
              <w:rPr>
                <w:color w:val="000000"/>
              </w:rPr>
            </w:pPr>
            <w:r w:rsidRPr="00BE6AAD">
              <w:rPr>
                <w:color w:val="000000"/>
              </w:rPr>
              <w:t>11.28</w:t>
            </w:r>
          </w:p>
        </w:tc>
        <w:tc>
          <w:tcPr>
            <w:tcW w:w="992" w:type="dxa"/>
            <w:tcBorders>
              <w:top w:val="nil"/>
              <w:left w:val="nil"/>
              <w:bottom w:val="nil"/>
              <w:right w:val="nil"/>
            </w:tcBorders>
            <w:shd w:val="clear" w:color="auto" w:fill="auto"/>
            <w:noWrap/>
            <w:vAlign w:val="bottom"/>
            <w:hideMark/>
          </w:tcPr>
          <w:p w14:paraId="5F795FC9" w14:textId="77777777" w:rsidR="00C87869" w:rsidRPr="00BE6AAD" w:rsidRDefault="00C87869" w:rsidP="007F6DA1">
            <w:pPr>
              <w:spacing w:line="240" w:lineRule="auto"/>
              <w:jc w:val="center"/>
              <w:rPr>
                <w:color w:val="000000"/>
              </w:rPr>
            </w:pPr>
            <w:r w:rsidRPr="00BE6AAD">
              <w:rPr>
                <w:color w:val="000000"/>
              </w:rPr>
              <w:t>68</w:t>
            </w:r>
            <w:r>
              <w:rPr>
                <w:color w:val="000000"/>
              </w:rPr>
              <w:t>.0</w:t>
            </w:r>
            <w:r w:rsidRPr="00BE6AAD">
              <w:rPr>
                <w:color w:val="000000"/>
              </w:rPr>
              <w:t>%</w:t>
            </w:r>
          </w:p>
        </w:tc>
      </w:tr>
      <w:tr w:rsidR="00C87869" w:rsidRPr="0082334F" w14:paraId="385CDEC6" w14:textId="77777777" w:rsidTr="007F6DA1">
        <w:trPr>
          <w:trHeight w:val="288"/>
          <w:jc w:val="center"/>
        </w:trPr>
        <w:tc>
          <w:tcPr>
            <w:tcW w:w="4535" w:type="dxa"/>
            <w:tcBorders>
              <w:top w:val="nil"/>
              <w:left w:val="nil"/>
              <w:bottom w:val="nil"/>
              <w:right w:val="nil"/>
            </w:tcBorders>
            <w:shd w:val="clear" w:color="auto" w:fill="auto"/>
            <w:noWrap/>
            <w:vAlign w:val="bottom"/>
            <w:hideMark/>
          </w:tcPr>
          <w:p w14:paraId="5218DE44" w14:textId="77777777" w:rsidR="00C87869" w:rsidRPr="00BE6AAD" w:rsidRDefault="00C87869" w:rsidP="008D2B66">
            <w:pPr>
              <w:spacing w:line="240" w:lineRule="auto"/>
              <w:rPr>
                <w:color w:val="000000"/>
              </w:rPr>
            </w:pPr>
            <w:r w:rsidRPr="00BE6AAD">
              <w:rPr>
                <w:color w:val="000000"/>
              </w:rPr>
              <w:t>First serve-return effectiveness (%)</w:t>
            </w:r>
          </w:p>
        </w:tc>
        <w:tc>
          <w:tcPr>
            <w:tcW w:w="1573" w:type="dxa"/>
            <w:tcBorders>
              <w:top w:val="nil"/>
              <w:left w:val="nil"/>
              <w:bottom w:val="nil"/>
              <w:right w:val="nil"/>
            </w:tcBorders>
            <w:shd w:val="clear" w:color="auto" w:fill="auto"/>
            <w:noWrap/>
            <w:vAlign w:val="bottom"/>
            <w:hideMark/>
          </w:tcPr>
          <w:p w14:paraId="1F13C54D" w14:textId="77777777" w:rsidR="00C87869" w:rsidRPr="00BE6AAD" w:rsidRDefault="00C87869" w:rsidP="007F6DA1">
            <w:pPr>
              <w:spacing w:line="240" w:lineRule="auto"/>
              <w:jc w:val="center"/>
              <w:rPr>
                <w:color w:val="000000"/>
              </w:rPr>
            </w:pPr>
            <w:r w:rsidRPr="00BE6AAD">
              <w:rPr>
                <w:color w:val="000000"/>
              </w:rPr>
              <w:t>60</w:t>
            </w:r>
            <w:r>
              <w:rPr>
                <w:color w:val="000000"/>
              </w:rPr>
              <w:t>.1</w:t>
            </w:r>
            <w:r w:rsidRPr="0082334F">
              <w:rPr>
                <w:color w:val="000000"/>
              </w:rPr>
              <w:t xml:space="preserve"> ± </w:t>
            </w:r>
            <w:r w:rsidRPr="00BE6AAD">
              <w:rPr>
                <w:color w:val="000000"/>
              </w:rPr>
              <w:t>1</w:t>
            </w:r>
            <w:r>
              <w:rPr>
                <w:color w:val="000000"/>
              </w:rPr>
              <w:t>3.6</w:t>
            </w:r>
            <w:r w:rsidRPr="00BE6AAD">
              <w:rPr>
                <w:color w:val="000000"/>
              </w:rPr>
              <w:t>%</w:t>
            </w:r>
          </w:p>
        </w:tc>
        <w:tc>
          <w:tcPr>
            <w:tcW w:w="1701" w:type="dxa"/>
            <w:tcBorders>
              <w:top w:val="nil"/>
              <w:left w:val="nil"/>
              <w:bottom w:val="nil"/>
              <w:right w:val="nil"/>
            </w:tcBorders>
            <w:shd w:val="clear" w:color="auto" w:fill="auto"/>
            <w:noWrap/>
            <w:vAlign w:val="bottom"/>
            <w:hideMark/>
          </w:tcPr>
          <w:p w14:paraId="5484D258" w14:textId="77777777" w:rsidR="00C87869" w:rsidRPr="00BE6AAD" w:rsidRDefault="00C87869" w:rsidP="007F6DA1">
            <w:pPr>
              <w:spacing w:line="240" w:lineRule="auto"/>
              <w:jc w:val="center"/>
              <w:rPr>
                <w:color w:val="000000"/>
              </w:rPr>
            </w:pPr>
            <w:r w:rsidRPr="00BE6AAD">
              <w:rPr>
                <w:color w:val="000000"/>
              </w:rPr>
              <w:t>52</w:t>
            </w:r>
            <w:r>
              <w:rPr>
                <w:color w:val="000000"/>
              </w:rPr>
              <w:t>.4</w:t>
            </w:r>
            <w:r w:rsidRPr="0082334F">
              <w:rPr>
                <w:color w:val="000000"/>
              </w:rPr>
              <w:t xml:space="preserve"> ± </w:t>
            </w:r>
            <w:r>
              <w:rPr>
                <w:color w:val="000000"/>
              </w:rPr>
              <w:t>14.5</w:t>
            </w:r>
            <w:r w:rsidRPr="00BE6AAD">
              <w:rPr>
                <w:color w:val="000000"/>
              </w:rPr>
              <w:t>%</w:t>
            </w:r>
          </w:p>
        </w:tc>
        <w:tc>
          <w:tcPr>
            <w:tcW w:w="850" w:type="dxa"/>
            <w:tcBorders>
              <w:top w:val="nil"/>
              <w:left w:val="nil"/>
              <w:bottom w:val="nil"/>
              <w:right w:val="nil"/>
            </w:tcBorders>
            <w:shd w:val="clear" w:color="auto" w:fill="auto"/>
            <w:noWrap/>
            <w:vAlign w:val="bottom"/>
            <w:hideMark/>
          </w:tcPr>
          <w:p w14:paraId="06865CBA" w14:textId="77777777" w:rsidR="00C87869" w:rsidRPr="00BE6AAD" w:rsidRDefault="00C87869" w:rsidP="007F6DA1">
            <w:pPr>
              <w:spacing w:line="240" w:lineRule="auto"/>
              <w:jc w:val="center"/>
              <w:rPr>
                <w:color w:val="000000"/>
              </w:rPr>
            </w:pPr>
            <w:r w:rsidRPr="00BE6AAD">
              <w:rPr>
                <w:color w:val="000000"/>
              </w:rPr>
              <w:t>0.26</w:t>
            </w:r>
          </w:p>
        </w:tc>
        <w:tc>
          <w:tcPr>
            <w:tcW w:w="851" w:type="dxa"/>
            <w:tcBorders>
              <w:top w:val="nil"/>
              <w:left w:val="nil"/>
              <w:bottom w:val="nil"/>
              <w:right w:val="nil"/>
            </w:tcBorders>
            <w:shd w:val="clear" w:color="auto" w:fill="auto"/>
            <w:noWrap/>
            <w:vAlign w:val="bottom"/>
            <w:hideMark/>
          </w:tcPr>
          <w:p w14:paraId="6BA00E7B" w14:textId="77777777" w:rsidR="00C87869" w:rsidRPr="00BE6AAD" w:rsidRDefault="00C87869" w:rsidP="007F6DA1">
            <w:pPr>
              <w:spacing w:line="240" w:lineRule="auto"/>
              <w:jc w:val="center"/>
              <w:rPr>
                <w:color w:val="000000"/>
              </w:rPr>
            </w:pPr>
            <w:r w:rsidRPr="00BE6AAD">
              <w:rPr>
                <w:color w:val="000000"/>
              </w:rPr>
              <w:t>10.48</w:t>
            </w:r>
          </w:p>
        </w:tc>
        <w:tc>
          <w:tcPr>
            <w:tcW w:w="992" w:type="dxa"/>
            <w:tcBorders>
              <w:top w:val="nil"/>
              <w:left w:val="nil"/>
              <w:bottom w:val="nil"/>
              <w:right w:val="nil"/>
            </w:tcBorders>
            <w:shd w:val="clear" w:color="auto" w:fill="auto"/>
            <w:noWrap/>
            <w:vAlign w:val="bottom"/>
            <w:hideMark/>
          </w:tcPr>
          <w:p w14:paraId="76586663" w14:textId="77777777" w:rsidR="00C87869" w:rsidRPr="00BE6AAD" w:rsidRDefault="00C87869" w:rsidP="007F6DA1">
            <w:pPr>
              <w:spacing w:line="240" w:lineRule="auto"/>
              <w:jc w:val="center"/>
              <w:rPr>
                <w:color w:val="000000"/>
              </w:rPr>
            </w:pPr>
            <w:r w:rsidRPr="00BE6AAD">
              <w:rPr>
                <w:color w:val="000000"/>
              </w:rPr>
              <w:t>66</w:t>
            </w:r>
            <w:r>
              <w:rPr>
                <w:color w:val="000000"/>
              </w:rPr>
              <w:t>.3</w:t>
            </w:r>
            <w:r w:rsidRPr="00BE6AAD">
              <w:rPr>
                <w:color w:val="000000"/>
              </w:rPr>
              <w:t>%</w:t>
            </w:r>
          </w:p>
        </w:tc>
      </w:tr>
      <w:tr w:rsidR="00C87869" w:rsidRPr="0082334F" w14:paraId="7B24479F" w14:textId="77777777" w:rsidTr="007F6DA1">
        <w:trPr>
          <w:trHeight w:val="288"/>
          <w:jc w:val="center"/>
        </w:trPr>
        <w:tc>
          <w:tcPr>
            <w:tcW w:w="4535" w:type="dxa"/>
            <w:tcBorders>
              <w:top w:val="nil"/>
              <w:left w:val="nil"/>
              <w:bottom w:val="nil"/>
              <w:right w:val="nil"/>
            </w:tcBorders>
            <w:shd w:val="clear" w:color="auto" w:fill="auto"/>
            <w:noWrap/>
            <w:vAlign w:val="bottom"/>
            <w:hideMark/>
          </w:tcPr>
          <w:p w14:paraId="5DDB20AE" w14:textId="77777777" w:rsidR="00C87869" w:rsidRPr="00BE6AAD" w:rsidRDefault="00C87869" w:rsidP="008D2B66">
            <w:pPr>
              <w:spacing w:line="240" w:lineRule="auto"/>
              <w:rPr>
                <w:color w:val="000000"/>
              </w:rPr>
            </w:pPr>
            <w:r w:rsidRPr="00BE6AAD">
              <w:rPr>
                <w:color w:val="000000"/>
              </w:rPr>
              <w:t>Points won of 9+ rally length returning (%)</w:t>
            </w:r>
          </w:p>
        </w:tc>
        <w:tc>
          <w:tcPr>
            <w:tcW w:w="1573" w:type="dxa"/>
            <w:tcBorders>
              <w:top w:val="nil"/>
              <w:left w:val="nil"/>
              <w:bottom w:val="nil"/>
              <w:right w:val="nil"/>
            </w:tcBorders>
            <w:shd w:val="clear" w:color="auto" w:fill="auto"/>
            <w:noWrap/>
            <w:vAlign w:val="bottom"/>
            <w:hideMark/>
          </w:tcPr>
          <w:p w14:paraId="3A818961" w14:textId="77777777" w:rsidR="00C87869" w:rsidRPr="00BE6AAD" w:rsidRDefault="00C87869" w:rsidP="007F6DA1">
            <w:pPr>
              <w:spacing w:line="240" w:lineRule="auto"/>
              <w:jc w:val="center"/>
              <w:rPr>
                <w:color w:val="000000"/>
              </w:rPr>
            </w:pPr>
            <w:r w:rsidRPr="00BE6AAD">
              <w:rPr>
                <w:color w:val="000000"/>
              </w:rPr>
              <w:t>58</w:t>
            </w:r>
            <w:r>
              <w:rPr>
                <w:color w:val="000000"/>
              </w:rPr>
              <w:t>.0</w:t>
            </w:r>
            <w:r w:rsidRPr="0082334F">
              <w:rPr>
                <w:color w:val="000000"/>
              </w:rPr>
              <w:t xml:space="preserve"> ± </w:t>
            </w:r>
            <w:r>
              <w:rPr>
                <w:color w:val="000000"/>
              </w:rPr>
              <w:t>19.8</w:t>
            </w:r>
            <w:r w:rsidRPr="00BE6AAD">
              <w:rPr>
                <w:color w:val="000000"/>
              </w:rPr>
              <w:t>%</w:t>
            </w:r>
          </w:p>
        </w:tc>
        <w:tc>
          <w:tcPr>
            <w:tcW w:w="1701" w:type="dxa"/>
            <w:tcBorders>
              <w:top w:val="nil"/>
              <w:left w:val="nil"/>
              <w:bottom w:val="nil"/>
              <w:right w:val="nil"/>
            </w:tcBorders>
            <w:shd w:val="clear" w:color="auto" w:fill="auto"/>
            <w:noWrap/>
            <w:vAlign w:val="bottom"/>
            <w:hideMark/>
          </w:tcPr>
          <w:p w14:paraId="168023BC" w14:textId="77777777" w:rsidR="00C87869" w:rsidRPr="00BE6AAD" w:rsidRDefault="00C87869" w:rsidP="007F6DA1">
            <w:pPr>
              <w:spacing w:line="240" w:lineRule="auto"/>
              <w:jc w:val="center"/>
              <w:rPr>
                <w:color w:val="000000"/>
              </w:rPr>
            </w:pPr>
            <w:r w:rsidRPr="00BE6AAD">
              <w:rPr>
                <w:color w:val="000000"/>
              </w:rPr>
              <w:t>4</w:t>
            </w:r>
            <w:r>
              <w:rPr>
                <w:color w:val="000000"/>
              </w:rPr>
              <w:t>7.5</w:t>
            </w:r>
            <w:r w:rsidRPr="0082334F">
              <w:rPr>
                <w:color w:val="000000"/>
              </w:rPr>
              <w:t xml:space="preserve"> ± </w:t>
            </w:r>
            <w:r>
              <w:rPr>
                <w:color w:val="000000"/>
              </w:rPr>
              <w:t>22.5</w:t>
            </w:r>
            <w:r w:rsidRPr="00BE6AAD">
              <w:rPr>
                <w:color w:val="000000"/>
              </w:rPr>
              <w:t>%</w:t>
            </w:r>
          </w:p>
        </w:tc>
        <w:tc>
          <w:tcPr>
            <w:tcW w:w="850" w:type="dxa"/>
            <w:tcBorders>
              <w:top w:val="nil"/>
              <w:left w:val="nil"/>
              <w:bottom w:val="nil"/>
              <w:right w:val="nil"/>
            </w:tcBorders>
            <w:shd w:val="clear" w:color="auto" w:fill="auto"/>
            <w:noWrap/>
            <w:vAlign w:val="bottom"/>
            <w:hideMark/>
          </w:tcPr>
          <w:p w14:paraId="4CE7A070" w14:textId="77777777" w:rsidR="00C87869" w:rsidRPr="00BE6AAD" w:rsidRDefault="00C87869" w:rsidP="007F6DA1">
            <w:pPr>
              <w:spacing w:line="240" w:lineRule="auto"/>
              <w:jc w:val="center"/>
              <w:rPr>
                <w:color w:val="000000"/>
              </w:rPr>
            </w:pPr>
            <w:r w:rsidRPr="00BE6AAD">
              <w:rPr>
                <w:color w:val="000000"/>
              </w:rPr>
              <w:t>0.24</w:t>
            </w:r>
          </w:p>
        </w:tc>
        <w:tc>
          <w:tcPr>
            <w:tcW w:w="851" w:type="dxa"/>
            <w:tcBorders>
              <w:top w:val="nil"/>
              <w:left w:val="nil"/>
              <w:bottom w:val="nil"/>
              <w:right w:val="nil"/>
            </w:tcBorders>
            <w:shd w:val="clear" w:color="auto" w:fill="auto"/>
            <w:noWrap/>
            <w:vAlign w:val="bottom"/>
            <w:hideMark/>
          </w:tcPr>
          <w:p w14:paraId="6D02CAEB" w14:textId="77777777" w:rsidR="00C87869" w:rsidRPr="00BE6AAD" w:rsidRDefault="00C87869" w:rsidP="007F6DA1">
            <w:pPr>
              <w:spacing w:line="240" w:lineRule="auto"/>
              <w:jc w:val="center"/>
              <w:rPr>
                <w:color w:val="000000"/>
              </w:rPr>
            </w:pPr>
            <w:r w:rsidRPr="00BE6AAD">
              <w:rPr>
                <w:color w:val="000000"/>
              </w:rPr>
              <w:t>8.06</w:t>
            </w:r>
          </w:p>
        </w:tc>
        <w:tc>
          <w:tcPr>
            <w:tcW w:w="992" w:type="dxa"/>
            <w:tcBorders>
              <w:top w:val="nil"/>
              <w:left w:val="nil"/>
              <w:bottom w:val="nil"/>
              <w:right w:val="nil"/>
            </w:tcBorders>
            <w:shd w:val="clear" w:color="auto" w:fill="auto"/>
            <w:noWrap/>
            <w:vAlign w:val="bottom"/>
            <w:hideMark/>
          </w:tcPr>
          <w:p w14:paraId="1F2F783C" w14:textId="77777777" w:rsidR="00C87869" w:rsidRPr="00BE6AAD" w:rsidRDefault="00C87869" w:rsidP="007F6DA1">
            <w:pPr>
              <w:spacing w:line="240" w:lineRule="auto"/>
              <w:jc w:val="center"/>
              <w:rPr>
                <w:color w:val="000000"/>
              </w:rPr>
            </w:pPr>
            <w:r w:rsidRPr="00BE6AAD">
              <w:rPr>
                <w:color w:val="000000"/>
              </w:rPr>
              <w:t>6</w:t>
            </w:r>
            <w:r>
              <w:rPr>
                <w:color w:val="000000"/>
              </w:rPr>
              <w:t>5.8</w:t>
            </w:r>
            <w:r w:rsidRPr="00BE6AAD">
              <w:rPr>
                <w:color w:val="000000"/>
              </w:rPr>
              <w:t>%</w:t>
            </w:r>
          </w:p>
        </w:tc>
      </w:tr>
      <w:tr w:rsidR="00C87869" w:rsidRPr="0082334F" w14:paraId="7A7457BA" w14:textId="77777777" w:rsidTr="007F6DA1">
        <w:trPr>
          <w:trHeight w:val="288"/>
          <w:jc w:val="center"/>
        </w:trPr>
        <w:tc>
          <w:tcPr>
            <w:tcW w:w="4535" w:type="dxa"/>
            <w:tcBorders>
              <w:top w:val="nil"/>
              <w:left w:val="nil"/>
              <w:bottom w:val="nil"/>
              <w:right w:val="nil"/>
            </w:tcBorders>
            <w:shd w:val="clear" w:color="auto" w:fill="auto"/>
            <w:noWrap/>
            <w:vAlign w:val="bottom"/>
            <w:hideMark/>
          </w:tcPr>
          <w:p w14:paraId="39DC96F3" w14:textId="77777777" w:rsidR="00C87869" w:rsidRPr="00BE6AAD" w:rsidRDefault="00C87869" w:rsidP="008D2B66">
            <w:pPr>
              <w:spacing w:line="240" w:lineRule="auto"/>
              <w:rPr>
                <w:color w:val="000000"/>
              </w:rPr>
            </w:pPr>
            <w:r w:rsidRPr="00BE6AAD">
              <w:rPr>
                <w:color w:val="000000"/>
              </w:rPr>
              <w:t>Points won of 9+ rally length serving (%)</w:t>
            </w:r>
          </w:p>
        </w:tc>
        <w:tc>
          <w:tcPr>
            <w:tcW w:w="1573" w:type="dxa"/>
            <w:tcBorders>
              <w:top w:val="nil"/>
              <w:left w:val="nil"/>
              <w:bottom w:val="nil"/>
              <w:right w:val="nil"/>
            </w:tcBorders>
            <w:shd w:val="clear" w:color="auto" w:fill="auto"/>
            <w:noWrap/>
            <w:vAlign w:val="bottom"/>
            <w:hideMark/>
          </w:tcPr>
          <w:p w14:paraId="5E97A93D" w14:textId="77777777" w:rsidR="00C87869" w:rsidRPr="00BE6AAD" w:rsidRDefault="00C87869" w:rsidP="007F6DA1">
            <w:pPr>
              <w:spacing w:line="240" w:lineRule="auto"/>
              <w:jc w:val="center"/>
              <w:rPr>
                <w:color w:val="000000"/>
              </w:rPr>
            </w:pPr>
            <w:r w:rsidRPr="00BE6AAD">
              <w:rPr>
                <w:color w:val="000000"/>
              </w:rPr>
              <w:t>51</w:t>
            </w:r>
            <w:r>
              <w:rPr>
                <w:color w:val="000000"/>
              </w:rPr>
              <w:t>.3</w:t>
            </w:r>
            <w:r w:rsidRPr="0082334F">
              <w:rPr>
                <w:color w:val="000000"/>
              </w:rPr>
              <w:t xml:space="preserve"> ± </w:t>
            </w:r>
            <w:r w:rsidRPr="00BE6AAD">
              <w:rPr>
                <w:color w:val="000000"/>
              </w:rPr>
              <w:t>2</w:t>
            </w:r>
            <w:r>
              <w:rPr>
                <w:color w:val="000000"/>
              </w:rPr>
              <w:t>2.6</w:t>
            </w:r>
            <w:r w:rsidRPr="00BE6AAD">
              <w:rPr>
                <w:color w:val="000000"/>
              </w:rPr>
              <w:t>%</w:t>
            </w:r>
          </w:p>
        </w:tc>
        <w:tc>
          <w:tcPr>
            <w:tcW w:w="1701" w:type="dxa"/>
            <w:tcBorders>
              <w:top w:val="nil"/>
              <w:left w:val="nil"/>
              <w:bottom w:val="nil"/>
              <w:right w:val="nil"/>
            </w:tcBorders>
            <w:shd w:val="clear" w:color="auto" w:fill="auto"/>
            <w:noWrap/>
            <w:vAlign w:val="bottom"/>
            <w:hideMark/>
          </w:tcPr>
          <w:p w14:paraId="7B447581" w14:textId="77777777" w:rsidR="00C87869" w:rsidRPr="00BE6AAD" w:rsidRDefault="00C87869" w:rsidP="007F6DA1">
            <w:pPr>
              <w:spacing w:line="240" w:lineRule="auto"/>
              <w:jc w:val="center"/>
              <w:rPr>
                <w:color w:val="000000"/>
              </w:rPr>
            </w:pPr>
            <w:r w:rsidRPr="00BE6AAD">
              <w:rPr>
                <w:color w:val="000000"/>
              </w:rPr>
              <w:t>41</w:t>
            </w:r>
            <w:r>
              <w:rPr>
                <w:color w:val="000000"/>
              </w:rPr>
              <w:t>.2</w:t>
            </w:r>
            <w:r w:rsidRPr="0082334F">
              <w:rPr>
                <w:color w:val="000000"/>
              </w:rPr>
              <w:t xml:space="preserve"> ± </w:t>
            </w:r>
            <w:r w:rsidRPr="00BE6AAD">
              <w:rPr>
                <w:color w:val="000000"/>
              </w:rPr>
              <w:t>19</w:t>
            </w:r>
            <w:r>
              <w:rPr>
                <w:color w:val="000000"/>
              </w:rPr>
              <w:t>.5</w:t>
            </w:r>
            <w:r w:rsidRPr="00BE6AAD">
              <w:rPr>
                <w:color w:val="000000"/>
              </w:rPr>
              <w:t>%</w:t>
            </w:r>
          </w:p>
        </w:tc>
        <w:tc>
          <w:tcPr>
            <w:tcW w:w="850" w:type="dxa"/>
            <w:tcBorders>
              <w:top w:val="nil"/>
              <w:left w:val="nil"/>
              <w:bottom w:val="nil"/>
              <w:right w:val="nil"/>
            </w:tcBorders>
            <w:shd w:val="clear" w:color="auto" w:fill="auto"/>
            <w:noWrap/>
            <w:vAlign w:val="bottom"/>
            <w:hideMark/>
          </w:tcPr>
          <w:p w14:paraId="0C5CC8BB" w14:textId="77777777" w:rsidR="00C87869" w:rsidRPr="00BE6AAD" w:rsidRDefault="00C87869" w:rsidP="007F6DA1">
            <w:pPr>
              <w:spacing w:line="240" w:lineRule="auto"/>
              <w:jc w:val="center"/>
              <w:rPr>
                <w:color w:val="000000"/>
              </w:rPr>
            </w:pPr>
            <w:r w:rsidRPr="00BE6AAD">
              <w:rPr>
                <w:color w:val="000000"/>
              </w:rPr>
              <w:t>0.23</w:t>
            </w:r>
          </w:p>
        </w:tc>
        <w:tc>
          <w:tcPr>
            <w:tcW w:w="851" w:type="dxa"/>
            <w:tcBorders>
              <w:top w:val="nil"/>
              <w:left w:val="nil"/>
              <w:bottom w:val="nil"/>
              <w:right w:val="nil"/>
            </w:tcBorders>
            <w:shd w:val="clear" w:color="auto" w:fill="auto"/>
            <w:noWrap/>
            <w:vAlign w:val="bottom"/>
            <w:hideMark/>
          </w:tcPr>
          <w:p w14:paraId="5E8D72F1" w14:textId="77777777" w:rsidR="00C87869" w:rsidRPr="00BE6AAD" w:rsidRDefault="00C87869" w:rsidP="007F6DA1">
            <w:pPr>
              <w:spacing w:line="240" w:lineRule="auto"/>
              <w:jc w:val="center"/>
              <w:rPr>
                <w:color w:val="000000"/>
              </w:rPr>
            </w:pPr>
            <w:r w:rsidRPr="00BE6AAD">
              <w:rPr>
                <w:color w:val="000000"/>
              </w:rPr>
              <w:t>8.00</w:t>
            </w:r>
          </w:p>
        </w:tc>
        <w:tc>
          <w:tcPr>
            <w:tcW w:w="992" w:type="dxa"/>
            <w:tcBorders>
              <w:top w:val="nil"/>
              <w:left w:val="nil"/>
              <w:bottom w:val="nil"/>
              <w:right w:val="nil"/>
            </w:tcBorders>
            <w:shd w:val="clear" w:color="auto" w:fill="auto"/>
            <w:noWrap/>
            <w:vAlign w:val="bottom"/>
            <w:hideMark/>
          </w:tcPr>
          <w:p w14:paraId="737F6C8D" w14:textId="77777777" w:rsidR="00C87869" w:rsidRPr="00BE6AAD" w:rsidRDefault="00C87869" w:rsidP="007F6DA1">
            <w:pPr>
              <w:spacing w:line="240" w:lineRule="auto"/>
              <w:jc w:val="center"/>
              <w:rPr>
                <w:color w:val="000000"/>
              </w:rPr>
            </w:pPr>
            <w:r w:rsidRPr="00BE6AAD">
              <w:rPr>
                <w:color w:val="000000"/>
              </w:rPr>
              <w:t>6</w:t>
            </w:r>
            <w:r>
              <w:rPr>
                <w:color w:val="000000"/>
              </w:rPr>
              <w:t>5.5</w:t>
            </w:r>
            <w:r w:rsidRPr="00BE6AAD">
              <w:rPr>
                <w:color w:val="000000"/>
              </w:rPr>
              <w:t>%</w:t>
            </w:r>
          </w:p>
        </w:tc>
      </w:tr>
      <w:tr w:rsidR="00C87869" w:rsidRPr="0082334F" w14:paraId="74A432B7" w14:textId="77777777" w:rsidTr="007F6DA1">
        <w:trPr>
          <w:trHeight w:val="288"/>
          <w:jc w:val="center"/>
        </w:trPr>
        <w:tc>
          <w:tcPr>
            <w:tcW w:w="4535" w:type="dxa"/>
            <w:tcBorders>
              <w:top w:val="nil"/>
              <w:left w:val="nil"/>
              <w:right w:val="nil"/>
            </w:tcBorders>
            <w:shd w:val="clear" w:color="auto" w:fill="auto"/>
            <w:noWrap/>
            <w:vAlign w:val="bottom"/>
            <w:hideMark/>
          </w:tcPr>
          <w:p w14:paraId="5C567A2C" w14:textId="77777777" w:rsidR="00C87869" w:rsidRPr="00BE6AAD" w:rsidRDefault="00C87869" w:rsidP="008D2B66">
            <w:pPr>
              <w:spacing w:line="240" w:lineRule="auto"/>
              <w:rPr>
                <w:color w:val="000000"/>
              </w:rPr>
            </w:pPr>
            <w:r w:rsidRPr="00BE6AAD">
              <w:rPr>
                <w:color w:val="000000"/>
              </w:rPr>
              <w:t>Aces (%)</w:t>
            </w:r>
          </w:p>
        </w:tc>
        <w:tc>
          <w:tcPr>
            <w:tcW w:w="1573" w:type="dxa"/>
            <w:tcBorders>
              <w:top w:val="nil"/>
              <w:left w:val="nil"/>
              <w:right w:val="nil"/>
            </w:tcBorders>
            <w:shd w:val="clear" w:color="auto" w:fill="auto"/>
            <w:noWrap/>
            <w:vAlign w:val="bottom"/>
            <w:hideMark/>
          </w:tcPr>
          <w:p w14:paraId="7C99D0B5" w14:textId="77777777" w:rsidR="00C87869" w:rsidRPr="00BE6AAD" w:rsidRDefault="00C87869" w:rsidP="007F6DA1">
            <w:pPr>
              <w:spacing w:line="240" w:lineRule="auto"/>
              <w:jc w:val="center"/>
              <w:rPr>
                <w:color w:val="000000"/>
              </w:rPr>
            </w:pPr>
            <w:r w:rsidRPr="00BE6AAD">
              <w:rPr>
                <w:color w:val="000000"/>
              </w:rPr>
              <w:t>5</w:t>
            </w:r>
            <w:r>
              <w:rPr>
                <w:color w:val="000000"/>
              </w:rPr>
              <w:t>.2</w:t>
            </w:r>
            <w:r w:rsidRPr="0082334F">
              <w:rPr>
                <w:color w:val="000000"/>
              </w:rPr>
              <w:t xml:space="preserve"> ± </w:t>
            </w:r>
            <w:r w:rsidRPr="00BE6AAD">
              <w:rPr>
                <w:color w:val="000000"/>
              </w:rPr>
              <w:t>4</w:t>
            </w:r>
            <w:r>
              <w:rPr>
                <w:color w:val="000000"/>
              </w:rPr>
              <w:t>.4</w:t>
            </w:r>
            <w:r w:rsidRPr="00BE6AAD">
              <w:rPr>
                <w:color w:val="000000"/>
              </w:rPr>
              <w:t>%</w:t>
            </w:r>
          </w:p>
        </w:tc>
        <w:tc>
          <w:tcPr>
            <w:tcW w:w="1701" w:type="dxa"/>
            <w:tcBorders>
              <w:top w:val="nil"/>
              <w:left w:val="nil"/>
              <w:right w:val="nil"/>
            </w:tcBorders>
            <w:shd w:val="clear" w:color="auto" w:fill="auto"/>
            <w:noWrap/>
            <w:vAlign w:val="bottom"/>
            <w:hideMark/>
          </w:tcPr>
          <w:p w14:paraId="33E8B115" w14:textId="77777777" w:rsidR="00C87869" w:rsidRPr="00BE6AAD" w:rsidRDefault="00C87869" w:rsidP="007F6DA1">
            <w:pPr>
              <w:spacing w:line="240" w:lineRule="auto"/>
              <w:jc w:val="center"/>
              <w:rPr>
                <w:color w:val="000000"/>
              </w:rPr>
            </w:pPr>
            <w:r w:rsidRPr="00BE6AAD">
              <w:rPr>
                <w:color w:val="000000"/>
              </w:rPr>
              <w:t>3</w:t>
            </w:r>
            <w:r>
              <w:rPr>
                <w:color w:val="000000"/>
              </w:rPr>
              <w:t>.4</w:t>
            </w:r>
            <w:r w:rsidRPr="0082334F">
              <w:rPr>
                <w:color w:val="000000"/>
              </w:rPr>
              <w:t xml:space="preserve"> ± </w:t>
            </w:r>
            <w:r w:rsidRPr="00BE6AAD">
              <w:rPr>
                <w:color w:val="000000"/>
              </w:rPr>
              <w:t>3</w:t>
            </w:r>
            <w:r>
              <w:rPr>
                <w:color w:val="000000"/>
              </w:rPr>
              <w:t>.4</w:t>
            </w:r>
            <w:r w:rsidRPr="00BE6AAD">
              <w:rPr>
                <w:color w:val="000000"/>
              </w:rPr>
              <w:t>%</w:t>
            </w:r>
          </w:p>
        </w:tc>
        <w:tc>
          <w:tcPr>
            <w:tcW w:w="850" w:type="dxa"/>
            <w:tcBorders>
              <w:top w:val="nil"/>
              <w:left w:val="nil"/>
              <w:right w:val="nil"/>
            </w:tcBorders>
            <w:shd w:val="clear" w:color="auto" w:fill="auto"/>
            <w:noWrap/>
            <w:vAlign w:val="bottom"/>
            <w:hideMark/>
          </w:tcPr>
          <w:p w14:paraId="00DE39BD" w14:textId="77777777" w:rsidR="00C87869" w:rsidRPr="00BE6AAD" w:rsidRDefault="00C87869" w:rsidP="007F6DA1">
            <w:pPr>
              <w:spacing w:line="240" w:lineRule="auto"/>
              <w:jc w:val="center"/>
              <w:rPr>
                <w:color w:val="000000"/>
              </w:rPr>
            </w:pPr>
            <w:r w:rsidRPr="00BE6AAD">
              <w:rPr>
                <w:color w:val="000000"/>
              </w:rPr>
              <w:t>0.23</w:t>
            </w:r>
          </w:p>
        </w:tc>
        <w:tc>
          <w:tcPr>
            <w:tcW w:w="851" w:type="dxa"/>
            <w:tcBorders>
              <w:top w:val="nil"/>
              <w:left w:val="nil"/>
              <w:right w:val="nil"/>
            </w:tcBorders>
            <w:shd w:val="clear" w:color="auto" w:fill="auto"/>
            <w:noWrap/>
            <w:vAlign w:val="bottom"/>
            <w:hideMark/>
          </w:tcPr>
          <w:p w14:paraId="6859C998" w14:textId="77777777" w:rsidR="00C87869" w:rsidRPr="00BE6AAD" w:rsidRDefault="00C87869" w:rsidP="007F6DA1">
            <w:pPr>
              <w:spacing w:line="240" w:lineRule="auto"/>
              <w:jc w:val="center"/>
              <w:rPr>
                <w:color w:val="000000"/>
              </w:rPr>
            </w:pPr>
            <w:r w:rsidRPr="00BE6AAD">
              <w:rPr>
                <w:color w:val="000000"/>
              </w:rPr>
              <w:t>8.56</w:t>
            </w:r>
          </w:p>
        </w:tc>
        <w:tc>
          <w:tcPr>
            <w:tcW w:w="992" w:type="dxa"/>
            <w:tcBorders>
              <w:top w:val="nil"/>
              <w:left w:val="nil"/>
              <w:right w:val="nil"/>
            </w:tcBorders>
            <w:shd w:val="clear" w:color="auto" w:fill="auto"/>
            <w:noWrap/>
            <w:vAlign w:val="bottom"/>
            <w:hideMark/>
          </w:tcPr>
          <w:p w14:paraId="5797C66D" w14:textId="77777777" w:rsidR="00C87869" w:rsidRPr="00BE6AAD" w:rsidRDefault="00C87869" w:rsidP="007F6DA1">
            <w:pPr>
              <w:spacing w:line="240" w:lineRule="auto"/>
              <w:jc w:val="center"/>
              <w:rPr>
                <w:color w:val="000000"/>
              </w:rPr>
            </w:pPr>
            <w:r w:rsidRPr="00BE6AAD">
              <w:rPr>
                <w:color w:val="000000"/>
              </w:rPr>
              <w:t>6</w:t>
            </w:r>
            <w:r>
              <w:rPr>
                <w:color w:val="000000"/>
              </w:rPr>
              <w:t>4.8</w:t>
            </w:r>
            <w:r w:rsidRPr="00BE6AAD">
              <w:rPr>
                <w:color w:val="000000"/>
              </w:rPr>
              <w:t>%</w:t>
            </w:r>
          </w:p>
        </w:tc>
      </w:tr>
      <w:tr w:rsidR="00C87869" w:rsidRPr="0082334F" w14:paraId="0007E4EE" w14:textId="77777777" w:rsidTr="007F6DA1">
        <w:trPr>
          <w:trHeight w:val="288"/>
          <w:jc w:val="center"/>
        </w:trPr>
        <w:tc>
          <w:tcPr>
            <w:tcW w:w="4535" w:type="dxa"/>
            <w:tcBorders>
              <w:left w:val="nil"/>
              <w:bottom w:val="nil"/>
              <w:right w:val="nil"/>
            </w:tcBorders>
            <w:shd w:val="clear" w:color="auto" w:fill="auto"/>
            <w:noWrap/>
            <w:vAlign w:val="bottom"/>
            <w:hideMark/>
          </w:tcPr>
          <w:p w14:paraId="5A3A7EA1" w14:textId="77777777" w:rsidR="00C87869" w:rsidRPr="00BE6AAD" w:rsidRDefault="00C87869" w:rsidP="008D2B66">
            <w:pPr>
              <w:spacing w:line="240" w:lineRule="auto"/>
              <w:rPr>
                <w:color w:val="000000"/>
              </w:rPr>
            </w:pPr>
            <w:r w:rsidRPr="00BE6AAD">
              <w:rPr>
                <w:color w:val="000000"/>
              </w:rPr>
              <w:t>Net points won (%)</w:t>
            </w:r>
          </w:p>
        </w:tc>
        <w:tc>
          <w:tcPr>
            <w:tcW w:w="1573" w:type="dxa"/>
            <w:tcBorders>
              <w:left w:val="nil"/>
              <w:bottom w:val="nil"/>
              <w:right w:val="nil"/>
            </w:tcBorders>
            <w:shd w:val="clear" w:color="auto" w:fill="auto"/>
            <w:noWrap/>
            <w:vAlign w:val="bottom"/>
            <w:hideMark/>
          </w:tcPr>
          <w:p w14:paraId="1118D2C3" w14:textId="77777777" w:rsidR="00C87869" w:rsidRPr="00BE6AAD" w:rsidRDefault="00C87869" w:rsidP="007F6DA1">
            <w:pPr>
              <w:spacing w:line="240" w:lineRule="auto"/>
              <w:jc w:val="center"/>
              <w:rPr>
                <w:color w:val="000000"/>
              </w:rPr>
            </w:pPr>
            <w:r>
              <w:rPr>
                <w:color w:val="000000"/>
              </w:rPr>
              <w:t>69.6 ± 18.9%</w:t>
            </w:r>
          </w:p>
        </w:tc>
        <w:tc>
          <w:tcPr>
            <w:tcW w:w="1701" w:type="dxa"/>
            <w:tcBorders>
              <w:left w:val="nil"/>
              <w:bottom w:val="nil"/>
              <w:right w:val="nil"/>
            </w:tcBorders>
            <w:shd w:val="clear" w:color="auto" w:fill="auto"/>
            <w:noWrap/>
            <w:vAlign w:val="bottom"/>
            <w:hideMark/>
          </w:tcPr>
          <w:p w14:paraId="005A4861" w14:textId="77777777" w:rsidR="00C87869" w:rsidRPr="00BE6AAD" w:rsidRDefault="00C87869" w:rsidP="007F6DA1">
            <w:pPr>
              <w:spacing w:line="240" w:lineRule="auto"/>
              <w:jc w:val="center"/>
              <w:rPr>
                <w:color w:val="000000"/>
              </w:rPr>
            </w:pPr>
            <w:r>
              <w:rPr>
                <w:color w:val="000000"/>
              </w:rPr>
              <w:t>61.4 ± 18.3%</w:t>
            </w:r>
          </w:p>
        </w:tc>
        <w:tc>
          <w:tcPr>
            <w:tcW w:w="850" w:type="dxa"/>
            <w:tcBorders>
              <w:left w:val="nil"/>
              <w:bottom w:val="nil"/>
              <w:right w:val="nil"/>
            </w:tcBorders>
            <w:shd w:val="clear" w:color="auto" w:fill="auto"/>
            <w:noWrap/>
            <w:vAlign w:val="bottom"/>
            <w:hideMark/>
          </w:tcPr>
          <w:p w14:paraId="229753EF" w14:textId="77777777" w:rsidR="00C87869" w:rsidRPr="00BE6AAD" w:rsidRDefault="00C87869" w:rsidP="007F6DA1">
            <w:pPr>
              <w:spacing w:line="240" w:lineRule="auto"/>
              <w:jc w:val="center"/>
              <w:rPr>
                <w:color w:val="000000"/>
              </w:rPr>
            </w:pPr>
            <w:r w:rsidRPr="008273C6">
              <w:rPr>
                <w:color w:val="000000"/>
              </w:rPr>
              <w:t>0.</w:t>
            </w:r>
            <w:r>
              <w:rPr>
                <w:color w:val="000000"/>
              </w:rPr>
              <w:t>22</w:t>
            </w:r>
          </w:p>
        </w:tc>
        <w:tc>
          <w:tcPr>
            <w:tcW w:w="851" w:type="dxa"/>
            <w:tcBorders>
              <w:left w:val="nil"/>
              <w:bottom w:val="nil"/>
              <w:right w:val="nil"/>
            </w:tcBorders>
            <w:shd w:val="clear" w:color="auto" w:fill="auto"/>
            <w:noWrap/>
            <w:vAlign w:val="bottom"/>
            <w:hideMark/>
          </w:tcPr>
          <w:p w14:paraId="227BAF20" w14:textId="77777777" w:rsidR="00C87869" w:rsidRPr="00BE6AAD" w:rsidRDefault="00C87869" w:rsidP="007F6DA1">
            <w:pPr>
              <w:spacing w:line="240" w:lineRule="auto"/>
              <w:jc w:val="center"/>
              <w:rPr>
                <w:color w:val="000000"/>
              </w:rPr>
            </w:pPr>
            <w:r>
              <w:rPr>
                <w:color w:val="000000"/>
              </w:rPr>
              <w:t>7.41</w:t>
            </w:r>
          </w:p>
        </w:tc>
        <w:tc>
          <w:tcPr>
            <w:tcW w:w="992" w:type="dxa"/>
            <w:tcBorders>
              <w:left w:val="nil"/>
              <w:bottom w:val="nil"/>
              <w:right w:val="nil"/>
            </w:tcBorders>
            <w:shd w:val="clear" w:color="auto" w:fill="auto"/>
            <w:noWrap/>
            <w:vAlign w:val="bottom"/>
            <w:hideMark/>
          </w:tcPr>
          <w:p w14:paraId="7DFA226F" w14:textId="77777777" w:rsidR="00C87869" w:rsidRPr="00BE6AAD" w:rsidRDefault="00C87869" w:rsidP="007F6DA1">
            <w:pPr>
              <w:spacing w:line="240" w:lineRule="auto"/>
              <w:jc w:val="center"/>
              <w:rPr>
                <w:color w:val="000000"/>
              </w:rPr>
            </w:pPr>
            <w:r>
              <w:rPr>
                <w:color w:val="000000"/>
              </w:rPr>
              <w:t>64.6</w:t>
            </w:r>
            <w:r w:rsidRPr="008273C6">
              <w:rPr>
                <w:color w:val="000000"/>
              </w:rPr>
              <w:t>%</w:t>
            </w:r>
          </w:p>
        </w:tc>
      </w:tr>
      <w:tr w:rsidR="00C87869" w:rsidRPr="0082334F" w14:paraId="0E14E3DD" w14:textId="77777777" w:rsidTr="007F6DA1">
        <w:trPr>
          <w:trHeight w:val="288"/>
          <w:jc w:val="center"/>
        </w:trPr>
        <w:tc>
          <w:tcPr>
            <w:tcW w:w="4535" w:type="dxa"/>
            <w:tcBorders>
              <w:top w:val="nil"/>
              <w:left w:val="nil"/>
              <w:bottom w:val="nil"/>
              <w:right w:val="nil"/>
            </w:tcBorders>
            <w:shd w:val="clear" w:color="auto" w:fill="auto"/>
            <w:noWrap/>
            <w:vAlign w:val="bottom"/>
            <w:hideMark/>
          </w:tcPr>
          <w:p w14:paraId="49E62174" w14:textId="77777777" w:rsidR="00C87869" w:rsidRPr="00BE6AAD" w:rsidRDefault="00C87869" w:rsidP="008D2B66">
            <w:pPr>
              <w:spacing w:line="240" w:lineRule="auto"/>
              <w:rPr>
                <w:color w:val="000000"/>
              </w:rPr>
            </w:pPr>
            <w:r w:rsidRPr="00BE6AAD">
              <w:rPr>
                <w:color w:val="000000"/>
              </w:rPr>
              <w:t>Second serve quality (%)</w:t>
            </w:r>
          </w:p>
        </w:tc>
        <w:tc>
          <w:tcPr>
            <w:tcW w:w="1573" w:type="dxa"/>
            <w:tcBorders>
              <w:top w:val="nil"/>
              <w:left w:val="nil"/>
              <w:bottom w:val="nil"/>
              <w:right w:val="nil"/>
            </w:tcBorders>
            <w:shd w:val="clear" w:color="auto" w:fill="auto"/>
            <w:noWrap/>
            <w:vAlign w:val="bottom"/>
            <w:hideMark/>
          </w:tcPr>
          <w:p w14:paraId="1C9E3251" w14:textId="77777777" w:rsidR="00C87869" w:rsidRPr="00BE6AAD" w:rsidRDefault="00C87869" w:rsidP="007F6DA1">
            <w:pPr>
              <w:spacing w:line="240" w:lineRule="auto"/>
              <w:jc w:val="center"/>
              <w:rPr>
                <w:color w:val="000000"/>
              </w:rPr>
            </w:pPr>
            <w:r w:rsidRPr="00BE6AAD">
              <w:rPr>
                <w:color w:val="000000"/>
              </w:rPr>
              <w:t>2</w:t>
            </w:r>
            <w:r>
              <w:rPr>
                <w:color w:val="000000"/>
              </w:rPr>
              <w:t>0.7</w:t>
            </w:r>
            <w:r w:rsidRPr="0082334F">
              <w:rPr>
                <w:color w:val="000000"/>
              </w:rPr>
              <w:t xml:space="preserve"> ± </w:t>
            </w:r>
            <w:r>
              <w:rPr>
                <w:color w:val="000000"/>
              </w:rPr>
              <w:t>9.5</w:t>
            </w:r>
            <w:r w:rsidRPr="00BE6AAD">
              <w:rPr>
                <w:color w:val="000000"/>
              </w:rPr>
              <w:t>%</w:t>
            </w:r>
          </w:p>
        </w:tc>
        <w:tc>
          <w:tcPr>
            <w:tcW w:w="1701" w:type="dxa"/>
            <w:tcBorders>
              <w:top w:val="nil"/>
              <w:left w:val="nil"/>
              <w:bottom w:val="nil"/>
              <w:right w:val="nil"/>
            </w:tcBorders>
            <w:shd w:val="clear" w:color="auto" w:fill="auto"/>
            <w:noWrap/>
            <w:vAlign w:val="bottom"/>
            <w:hideMark/>
          </w:tcPr>
          <w:p w14:paraId="7BFD0000" w14:textId="77777777" w:rsidR="00C87869" w:rsidRPr="00BE6AAD" w:rsidRDefault="00C87869" w:rsidP="007F6DA1">
            <w:pPr>
              <w:spacing w:line="240" w:lineRule="auto"/>
              <w:jc w:val="center"/>
              <w:rPr>
                <w:color w:val="000000"/>
              </w:rPr>
            </w:pPr>
            <w:r w:rsidRPr="00BE6AAD">
              <w:rPr>
                <w:color w:val="000000"/>
              </w:rPr>
              <w:t>1</w:t>
            </w:r>
            <w:r>
              <w:rPr>
                <w:color w:val="000000"/>
              </w:rPr>
              <w:t>6.6</w:t>
            </w:r>
            <w:r w:rsidRPr="0082334F">
              <w:rPr>
                <w:color w:val="000000"/>
              </w:rPr>
              <w:t xml:space="preserve"> ± </w:t>
            </w:r>
            <w:r w:rsidRPr="00BE6AAD">
              <w:rPr>
                <w:color w:val="000000"/>
              </w:rPr>
              <w:t>8</w:t>
            </w:r>
            <w:r>
              <w:rPr>
                <w:color w:val="000000"/>
              </w:rPr>
              <w:t>.5</w:t>
            </w:r>
            <w:r w:rsidRPr="00BE6AAD">
              <w:rPr>
                <w:color w:val="000000"/>
              </w:rPr>
              <w:t>%</w:t>
            </w:r>
          </w:p>
        </w:tc>
        <w:tc>
          <w:tcPr>
            <w:tcW w:w="850" w:type="dxa"/>
            <w:tcBorders>
              <w:top w:val="nil"/>
              <w:left w:val="nil"/>
              <w:bottom w:val="nil"/>
              <w:right w:val="nil"/>
            </w:tcBorders>
            <w:shd w:val="clear" w:color="auto" w:fill="auto"/>
            <w:noWrap/>
            <w:vAlign w:val="bottom"/>
            <w:hideMark/>
          </w:tcPr>
          <w:p w14:paraId="33F5F125" w14:textId="77777777" w:rsidR="00C87869" w:rsidRPr="00BE6AAD" w:rsidRDefault="00C87869" w:rsidP="007F6DA1">
            <w:pPr>
              <w:spacing w:line="240" w:lineRule="auto"/>
              <w:jc w:val="center"/>
              <w:rPr>
                <w:color w:val="000000"/>
              </w:rPr>
            </w:pPr>
            <w:r w:rsidRPr="00BE6AAD">
              <w:rPr>
                <w:color w:val="000000"/>
              </w:rPr>
              <w:t>0.22</w:t>
            </w:r>
          </w:p>
        </w:tc>
        <w:tc>
          <w:tcPr>
            <w:tcW w:w="851" w:type="dxa"/>
            <w:tcBorders>
              <w:top w:val="nil"/>
              <w:left w:val="nil"/>
              <w:bottom w:val="nil"/>
              <w:right w:val="nil"/>
            </w:tcBorders>
            <w:shd w:val="clear" w:color="auto" w:fill="auto"/>
            <w:noWrap/>
            <w:vAlign w:val="bottom"/>
            <w:hideMark/>
          </w:tcPr>
          <w:p w14:paraId="7D30D68E" w14:textId="77777777" w:rsidR="00C87869" w:rsidRPr="00BE6AAD" w:rsidRDefault="00C87869" w:rsidP="007F6DA1">
            <w:pPr>
              <w:spacing w:line="240" w:lineRule="auto"/>
              <w:jc w:val="center"/>
              <w:rPr>
                <w:color w:val="000000"/>
              </w:rPr>
            </w:pPr>
            <w:r w:rsidRPr="00BE6AAD">
              <w:rPr>
                <w:color w:val="000000"/>
              </w:rPr>
              <w:t>8.40</w:t>
            </w:r>
          </w:p>
        </w:tc>
        <w:tc>
          <w:tcPr>
            <w:tcW w:w="992" w:type="dxa"/>
            <w:tcBorders>
              <w:top w:val="nil"/>
              <w:left w:val="nil"/>
              <w:bottom w:val="nil"/>
              <w:right w:val="nil"/>
            </w:tcBorders>
            <w:shd w:val="clear" w:color="auto" w:fill="auto"/>
            <w:noWrap/>
            <w:vAlign w:val="bottom"/>
            <w:hideMark/>
          </w:tcPr>
          <w:p w14:paraId="55A3F5AD" w14:textId="77777777" w:rsidR="00C87869" w:rsidRPr="00BE6AAD" w:rsidRDefault="00C87869" w:rsidP="007F6DA1">
            <w:pPr>
              <w:spacing w:line="240" w:lineRule="auto"/>
              <w:jc w:val="center"/>
              <w:rPr>
                <w:color w:val="000000"/>
              </w:rPr>
            </w:pPr>
            <w:r w:rsidRPr="00BE6AAD">
              <w:rPr>
                <w:color w:val="000000"/>
              </w:rPr>
              <w:t>62</w:t>
            </w:r>
            <w:r>
              <w:rPr>
                <w:color w:val="000000"/>
              </w:rPr>
              <w:t>.2</w:t>
            </w:r>
            <w:r w:rsidRPr="00BE6AAD">
              <w:rPr>
                <w:color w:val="000000"/>
              </w:rPr>
              <w:t>%</w:t>
            </w:r>
          </w:p>
        </w:tc>
      </w:tr>
      <w:tr w:rsidR="00C87869" w:rsidRPr="0082334F" w14:paraId="3249D9EE" w14:textId="77777777" w:rsidTr="007F6DA1">
        <w:trPr>
          <w:trHeight w:val="288"/>
          <w:jc w:val="center"/>
        </w:trPr>
        <w:tc>
          <w:tcPr>
            <w:tcW w:w="4535" w:type="dxa"/>
            <w:tcBorders>
              <w:top w:val="nil"/>
              <w:left w:val="nil"/>
              <w:bottom w:val="nil"/>
              <w:right w:val="nil"/>
            </w:tcBorders>
            <w:shd w:val="clear" w:color="auto" w:fill="auto"/>
            <w:noWrap/>
            <w:vAlign w:val="bottom"/>
            <w:hideMark/>
          </w:tcPr>
          <w:p w14:paraId="52764BFB" w14:textId="77777777" w:rsidR="00C87869" w:rsidRPr="00BE6AAD" w:rsidRDefault="00C87869" w:rsidP="008D2B66">
            <w:pPr>
              <w:spacing w:line="240" w:lineRule="auto"/>
              <w:rPr>
                <w:color w:val="000000"/>
              </w:rPr>
            </w:pPr>
            <w:r w:rsidRPr="00BE6AAD">
              <w:rPr>
                <w:color w:val="000000"/>
              </w:rPr>
              <w:t>Second serve-return effectiveness (%)</w:t>
            </w:r>
          </w:p>
        </w:tc>
        <w:tc>
          <w:tcPr>
            <w:tcW w:w="1573" w:type="dxa"/>
            <w:tcBorders>
              <w:top w:val="nil"/>
              <w:left w:val="nil"/>
              <w:bottom w:val="nil"/>
              <w:right w:val="nil"/>
            </w:tcBorders>
            <w:shd w:val="clear" w:color="auto" w:fill="auto"/>
            <w:noWrap/>
            <w:vAlign w:val="bottom"/>
            <w:hideMark/>
          </w:tcPr>
          <w:p w14:paraId="1F4DCCF4" w14:textId="77777777" w:rsidR="00C87869" w:rsidRPr="00BE6AAD" w:rsidRDefault="00C87869" w:rsidP="007F6DA1">
            <w:pPr>
              <w:spacing w:line="240" w:lineRule="auto"/>
              <w:jc w:val="center"/>
              <w:rPr>
                <w:color w:val="000000"/>
              </w:rPr>
            </w:pPr>
            <w:r w:rsidRPr="00BE6AAD">
              <w:rPr>
                <w:color w:val="000000"/>
              </w:rPr>
              <w:t>80</w:t>
            </w:r>
            <w:r>
              <w:rPr>
                <w:color w:val="000000"/>
              </w:rPr>
              <w:t>.3</w:t>
            </w:r>
            <w:r w:rsidRPr="0082334F">
              <w:rPr>
                <w:color w:val="000000"/>
              </w:rPr>
              <w:t xml:space="preserve"> ± </w:t>
            </w:r>
            <w:r>
              <w:rPr>
                <w:color w:val="000000"/>
              </w:rPr>
              <w:t>10.2</w:t>
            </w:r>
            <w:r w:rsidRPr="00BE6AAD">
              <w:rPr>
                <w:color w:val="000000"/>
              </w:rPr>
              <w:t>%</w:t>
            </w:r>
          </w:p>
        </w:tc>
        <w:tc>
          <w:tcPr>
            <w:tcW w:w="1701" w:type="dxa"/>
            <w:tcBorders>
              <w:top w:val="nil"/>
              <w:left w:val="nil"/>
              <w:bottom w:val="nil"/>
              <w:right w:val="nil"/>
            </w:tcBorders>
            <w:shd w:val="clear" w:color="auto" w:fill="auto"/>
            <w:noWrap/>
            <w:vAlign w:val="bottom"/>
            <w:hideMark/>
          </w:tcPr>
          <w:p w14:paraId="06BC6E48" w14:textId="77777777" w:rsidR="00C87869" w:rsidRPr="00BE6AAD" w:rsidRDefault="00C87869" w:rsidP="007F6DA1">
            <w:pPr>
              <w:spacing w:line="240" w:lineRule="auto"/>
              <w:jc w:val="center"/>
              <w:rPr>
                <w:color w:val="000000"/>
              </w:rPr>
            </w:pPr>
            <w:r w:rsidRPr="00BE6AAD">
              <w:rPr>
                <w:color w:val="000000"/>
              </w:rPr>
              <w:t>76</w:t>
            </w:r>
            <w:r>
              <w:rPr>
                <w:color w:val="000000"/>
              </w:rPr>
              <w:t>.2</w:t>
            </w:r>
            <w:r w:rsidRPr="0082334F">
              <w:rPr>
                <w:color w:val="000000"/>
              </w:rPr>
              <w:t xml:space="preserve"> ± </w:t>
            </w:r>
            <w:r w:rsidRPr="00BE6AAD">
              <w:rPr>
                <w:color w:val="000000"/>
              </w:rPr>
              <w:t>11</w:t>
            </w:r>
            <w:r>
              <w:rPr>
                <w:color w:val="000000"/>
              </w:rPr>
              <w:t>.0</w:t>
            </w:r>
            <w:r w:rsidRPr="00BE6AAD">
              <w:rPr>
                <w:color w:val="000000"/>
              </w:rPr>
              <w:t>%</w:t>
            </w:r>
          </w:p>
        </w:tc>
        <w:tc>
          <w:tcPr>
            <w:tcW w:w="850" w:type="dxa"/>
            <w:tcBorders>
              <w:top w:val="nil"/>
              <w:left w:val="nil"/>
              <w:bottom w:val="nil"/>
              <w:right w:val="nil"/>
            </w:tcBorders>
            <w:shd w:val="clear" w:color="auto" w:fill="auto"/>
            <w:noWrap/>
            <w:vAlign w:val="bottom"/>
            <w:hideMark/>
          </w:tcPr>
          <w:p w14:paraId="05DF7822" w14:textId="77777777" w:rsidR="00C87869" w:rsidRPr="00BE6AAD" w:rsidRDefault="00C87869" w:rsidP="007F6DA1">
            <w:pPr>
              <w:spacing w:line="240" w:lineRule="auto"/>
              <w:jc w:val="center"/>
              <w:rPr>
                <w:color w:val="000000"/>
              </w:rPr>
            </w:pPr>
            <w:r w:rsidRPr="00BE6AAD">
              <w:rPr>
                <w:color w:val="000000"/>
              </w:rPr>
              <w:t>0.19</w:t>
            </w:r>
          </w:p>
        </w:tc>
        <w:tc>
          <w:tcPr>
            <w:tcW w:w="851" w:type="dxa"/>
            <w:tcBorders>
              <w:top w:val="nil"/>
              <w:left w:val="nil"/>
              <w:bottom w:val="nil"/>
              <w:right w:val="nil"/>
            </w:tcBorders>
            <w:shd w:val="clear" w:color="auto" w:fill="auto"/>
            <w:noWrap/>
            <w:vAlign w:val="bottom"/>
            <w:hideMark/>
          </w:tcPr>
          <w:p w14:paraId="691057C3" w14:textId="77777777" w:rsidR="00C87869" w:rsidRPr="00BE6AAD" w:rsidRDefault="00C87869" w:rsidP="007F6DA1">
            <w:pPr>
              <w:spacing w:line="240" w:lineRule="auto"/>
              <w:jc w:val="center"/>
              <w:rPr>
                <w:color w:val="000000"/>
              </w:rPr>
            </w:pPr>
            <w:r w:rsidRPr="00BE6AAD">
              <w:rPr>
                <w:color w:val="000000"/>
              </w:rPr>
              <w:t>7.10</w:t>
            </w:r>
          </w:p>
        </w:tc>
        <w:tc>
          <w:tcPr>
            <w:tcW w:w="992" w:type="dxa"/>
            <w:tcBorders>
              <w:top w:val="nil"/>
              <w:left w:val="nil"/>
              <w:bottom w:val="nil"/>
              <w:right w:val="nil"/>
            </w:tcBorders>
            <w:shd w:val="clear" w:color="auto" w:fill="auto"/>
            <w:noWrap/>
            <w:vAlign w:val="bottom"/>
            <w:hideMark/>
          </w:tcPr>
          <w:p w14:paraId="3303C283" w14:textId="77777777" w:rsidR="00C87869" w:rsidRPr="00BE6AAD" w:rsidRDefault="00C87869" w:rsidP="007F6DA1">
            <w:pPr>
              <w:spacing w:line="240" w:lineRule="auto"/>
              <w:jc w:val="center"/>
              <w:rPr>
                <w:color w:val="000000"/>
              </w:rPr>
            </w:pPr>
            <w:r w:rsidRPr="00BE6AAD">
              <w:rPr>
                <w:color w:val="000000"/>
              </w:rPr>
              <w:t>61</w:t>
            </w:r>
            <w:r>
              <w:rPr>
                <w:color w:val="000000"/>
              </w:rPr>
              <w:t>.4</w:t>
            </w:r>
            <w:r w:rsidRPr="00BE6AAD">
              <w:rPr>
                <w:color w:val="000000"/>
              </w:rPr>
              <w:t>%</w:t>
            </w:r>
          </w:p>
        </w:tc>
      </w:tr>
      <w:tr w:rsidR="00C87869" w:rsidRPr="0082334F" w14:paraId="06455AA7" w14:textId="77777777" w:rsidTr="007F6DA1">
        <w:trPr>
          <w:trHeight w:val="288"/>
          <w:jc w:val="center"/>
        </w:trPr>
        <w:tc>
          <w:tcPr>
            <w:tcW w:w="4535" w:type="dxa"/>
            <w:tcBorders>
              <w:top w:val="nil"/>
              <w:left w:val="nil"/>
              <w:bottom w:val="nil"/>
              <w:right w:val="nil"/>
            </w:tcBorders>
            <w:shd w:val="clear" w:color="auto" w:fill="auto"/>
            <w:noWrap/>
            <w:vAlign w:val="bottom"/>
            <w:hideMark/>
          </w:tcPr>
          <w:p w14:paraId="563A5E18" w14:textId="77777777" w:rsidR="00C87869" w:rsidRPr="00BE6AAD" w:rsidRDefault="00C87869" w:rsidP="008D2B66">
            <w:pPr>
              <w:spacing w:line="240" w:lineRule="auto"/>
              <w:rPr>
                <w:color w:val="000000"/>
              </w:rPr>
            </w:pPr>
            <w:r w:rsidRPr="00BE6AAD">
              <w:rPr>
                <w:color w:val="000000"/>
              </w:rPr>
              <w:t>B3 Attacking (%)</w:t>
            </w:r>
          </w:p>
        </w:tc>
        <w:tc>
          <w:tcPr>
            <w:tcW w:w="1573" w:type="dxa"/>
            <w:tcBorders>
              <w:top w:val="nil"/>
              <w:left w:val="nil"/>
              <w:bottom w:val="nil"/>
              <w:right w:val="nil"/>
            </w:tcBorders>
            <w:shd w:val="clear" w:color="auto" w:fill="auto"/>
            <w:noWrap/>
            <w:vAlign w:val="bottom"/>
            <w:hideMark/>
          </w:tcPr>
          <w:p w14:paraId="1838A85F" w14:textId="77777777" w:rsidR="00C87869" w:rsidRPr="00BE6AAD" w:rsidRDefault="00C87869" w:rsidP="007F6DA1">
            <w:pPr>
              <w:spacing w:line="240" w:lineRule="auto"/>
              <w:jc w:val="center"/>
              <w:rPr>
                <w:color w:val="000000"/>
              </w:rPr>
            </w:pPr>
            <w:r w:rsidRPr="00BE6AAD">
              <w:rPr>
                <w:color w:val="000000"/>
              </w:rPr>
              <w:t>1</w:t>
            </w:r>
            <w:r>
              <w:rPr>
                <w:color w:val="000000"/>
              </w:rPr>
              <w:t>6.8</w:t>
            </w:r>
            <w:r w:rsidRPr="0082334F">
              <w:rPr>
                <w:color w:val="000000"/>
              </w:rPr>
              <w:t xml:space="preserve"> ± </w:t>
            </w:r>
            <w:r>
              <w:rPr>
                <w:color w:val="000000"/>
              </w:rPr>
              <w:t>9.8</w:t>
            </w:r>
            <w:r w:rsidRPr="00BE6AAD">
              <w:rPr>
                <w:color w:val="000000"/>
              </w:rPr>
              <w:t>%</w:t>
            </w:r>
          </w:p>
        </w:tc>
        <w:tc>
          <w:tcPr>
            <w:tcW w:w="1701" w:type="dxa"/>
            <w:tcBorders>
              <w:top w:val="nil"/>
              <w:left w:val="nil"/>
              <w:bottom w:val="nil"/>
              <w:right w:val="nil"/>
            </w:tcBorders>
            <w:shd w:val="clear" w:color="auto" w:fill="auto"/>
            <w:noWrap/>
            <w:vAlign w:val="bottom"/>
            <w:hideMark/>
          </w:tcPr>
          <w:p w14:paraId="509FFC55" w14:textId="77777777" w:rsidR="00C87869" w:rsidRPr="00BE6AAD" w:rsidRDefault="00C87869" w:rsidP="007F6DA1">
            <w:pPr>
              <w:spacing w:line="240" w:lineRule="auto"/>
              <w:jc w:val="center"/>
              <w:rPr>
                <w:color w:val="000000"/>
              </w:rPr>
            </w:pPr>
            <w:r w:rsidRPr="00BE6AAD">
              <w:rPr>
                <w:color w:val="000000"/>
              </w:rPr>
              <w:t>14</w:t>
            </w:r>
            <w:r>
              <w:rPr>
                <w:color w:val="000000"/>
              </w:rPr>
              <w:t>.2</w:t>
            </w:r>
            <w:r w:rsidRPr="0082334F">
              <w:rPr>
                <w:color w:val="000000"/>
              </w:rPr>
              <w:t xml:space="preserve"> ± </w:t>
            </w:r>
            <w:r>
              <w:rPr>
                <w:color w:val="000000"/>
              </w:rPr>
              <w:t>8.8</w:t>
            </w:r>
            <w:r w:rsidRPr="00BE6AAD">
              <w:rPr>
                <w:color w:val="000000"/>
              </w:rPr>
              <w:t>%</w:t>
            </w:r>
          </w:p>
        </w:tc>
        <w:tc>
          <w:tcPr>
            <w:tcW w:w="850" w:type="dxa"/>
            <w:tcBorders>
              <w:top w:val="nil"/>
              <w:left w:val="nil"/>
              <w:bottom w:val="nil"/>
              <w:right w:val="nil"/>
            </w:tcBorders>
            <w:shd w:val="clear" w:color="auto" w:fill="auto"/>
            <w:noWrap/>
            <w:vAlign w:val="bottom"/>
            <w:hideMark/>
          </w:tcPr>
          <w:p w14:paraId="24A02F15" w14:textId="77777777" w:rsidR="00C87869" w:rsidRPr="00BE6AAD" w:rsidRDefault="00C87869" w:rsidP="007F6DA1">
            <w:pPr>
              <w:spacing w:line="240" w:lineRule="auto"/>
              <w:jc w:val="center"/>
              <w:rPr>
                <w:color w:val="000000"/>
              </w:rPr>
            </w:pPr>
            <w:r w:rsidRPr="00BE6AAD">
              <w:rPr>
                <w:color w:val="000000"/>
              </w:rPr>
              <w:t>0.14</w:t>
            </w:r>
          </w:p>
        </w:tc>
        <w:tc>
          <w:tcPr>
            <w:tcW w:w="851" w:type="dxa"/>
            <w:tcBorders>
              <w:top w:val="nil"/>
              <w:left w:val="nil"/>
              <w:bottom w:val="nil"/>
              <w:right w:val="nil"/>
            </w:tcBorders>
            <w:shd w:val="clear" w:color="auto" w:fill="auto"/>
            <w:noWrap/>
            <w:vAlign w:val="bottom"/>
            <w:hideMark/>
          </w:tcPr>
          <w:p w14:paraId="303B092E" w14:textId="77777777" w:rsidR="00C87869" w:rsidRPr="00BE6AAD" w:rsidRDefault="00C87869" w:rsidP="007F6DA1">
            <w:pPr>
              <w:spacing w:line="240" w:lineRule="auto"/>
              <w:jc w:val="center"/>
              <w:rPr>
                <w:color w:val="000000"/>
              </w:rPr>
            </w:pPr>
            <w:r w:rsidRPr="00BE6AAD">
              <w:rPr>
                <w:color w:val="000000"/>
              </w:rPr>
              <w:t>4.86</w:t>
            </w:r>
          </w:p>
        </w:tc>
        <w:tc>
          <w:tcPr>
            <w:tcW w:w="992" w:type="dxa"/>
            <w:tcBorders>
              <w:top w:val="nil"/>
              <w:left w:val="nil"/>
              <w:bottom w:val="nil"/>
              <w:right w:val="nil"/>
            </w:tcBorders>
            <w:shd w:val="clear" w:color="auto" w:fill="auto"/>
            <w:noWrap/>
            <w:vAlign w:val="bottom"/>
            <w:hideMark/>
          </w:tcPr>
          <w:p w14:paraId="63DBE74D" w14:textId="77777777" w:rsidR="00C87869" w:rsidRPr="00BE6AAD" w:rsidRDefault="00C87869" w:rsidP="007F6DA1">
            <w:pPr>
              <w:spacing w:line="240" w:lineRule="auto"/>
              <w:jc w:val="center"/>
              <w:rPr>
                <w:color w:val="000000"/>
              </w:rPr>
            </w:pPr>
            <w:r w:rsidRPr="00BE6AAD">
              <w:rPr>
                <w:color w:val="000000"/>
              </w:rPr>
              <w:t>57</w:t>
            </w:r>
            <w:r>
              <w:rPr>
                <w:color w:val="000000"/>
              </w:rPr>
              <w:t>.0</w:t>
            </w:r>
            <w:r w:rsidRPr="00BE6AAD">
              <w:rPr>
                <w:color w:val="000000"/>
              </w:rPr>
              <w:t>%</w:t>
            </w:r>
          </w:p>
        </w:tc>
      </w:tr>
      <w:tr w:rsidR="00C87869" w:rsidRPr="0082334F" w14:paraId="4C9E8E51" w14:textId="77777777" w:rsidTr="007F6DA1">
        <w:trPr>
          <w:trHeight w:val="288"/>
          <w:jc w:val="center"/>
        </w:trPr>
        <w:tc>
          <w:tcPr>
            <w:tcW w:w="4535" w:type="dxa"/>
            <w:tcBorders>
              <w:top w:val="nil"/>
              <w:left w:val="nil"/>
              <w:bottom w:val="nil"/>
              <w:right w:val="nil"/>
            </w:tcBorders>
            <w:shd w:val="clear" w:color="auto" w:fill="auto"/>
            <w:noWrap/>
            <w:vAlign w:val="bottom"/>
            <w:hideMark/>
          </w:tcPr>
          <w:p w14:paraId="2DB37ECD" w14:textId="77777777" w:rsidR="00C87869" w:rsidRPr="00BE6AAD" w:rsidRDefault="00C87869" w:rsidP="008D2B66">
            <w:pPr>
              <w:spacing w:line="240" w:lineRule="auto"/>
              <w:rPr>
                <w:color w:val="000000"/>
              </w:rPr>
            </w:pPr>
            <w:r w:rsidRPr="00BE6AAD">
              <w:rPr>
                <w:color w:val="000000"/>
              </w:rPr>
              <w:t>B3 FH (%)</w:t>
            </w:r>
          </w:p>
        </w:tc>
        <w:tc>
          <w:tcPr>
            <w:tcW w:w="1573" w:type="dxa"/>
            <w:tcBorders>
              <w:top w:val="nil"/>
              <w:left w:val="nil"/>
              <w:bottom w:val="nil"/>
              <w:right w:val="nil"/>
            </w:tcBorders>
            <w:shd w:val="clear" w:color="auto" w:fill="auto"/>
            <w:noWrap/>
            <w:vAlign w:val="bottom"/>
            <w:hideMark/>
          </w:tcPr>
          <w:p w14:paraId="5A1458E9" w14:textId="77777777" w:rsidR="00C87869" w:rsidRPr="00BE6AAD" w:rsidRDefault="00C87869" w:rsidP="007F6DA1">
            <w:pPr>
              <w:spacing w:line="240" w:lineRule="auto"/>
              <w:jc w:val="center"/>
              <w:rPr>
                <w:color w:val="000000"/>
              </w:rPr>
            </w:pPr>
            <w:r w:rsidRPr="00BE6AAD">
              <w:rPr>
                <w:color w:val="000000"/>
              </w:rPr>
              <w:t>5</w:t>
            </w:r>
            <w:r>
              <w:rPr>
                <w:color w:val="000000"/>
              </w:rPr>
              <w:t>6.8</w:t>
            </w:r>
            <w:r w:rsidRPr="0082334F">
              <w:rPr>
                <w:color w:val="000000"/>
              </w:rPr>
              <w:t xml:space="preserve"> ± </w:t>
            </w:r>
            <w:r w:rsidRPr="00BE6AAD">
              <w:rPr>
                <w:color w:val="000000"/>
              </w:rPr>
              <w:t>1</w:t>
            </w:r>
            <w:r>
              <w:rPr>
                <w:color w:val="000000"/>
              </w:rPr>
              <w:t>1.7</w:t>
            </w:r>
            <w:r w:rsidRPr="00BE6AAD">
              <w:rPr>
                <w:color w:val="000000"/>
              </w:rPr>
              <w:t>%</w:t>
            </w:r>
          </w:p>
        </w:tc>
        <w:tc>
          <w:tcPr>
            <w:tcW w:w="1701" w:type="dxa"/>
            <w:tcBorders>
              <w:top w:val="nil"/>
              <w:left w:val="nil"/>
              <w:bottom w:val="nil"/>
              <w:right w:val="nil"/>
            </w:tcBorders>
            <w:shd w:val="clear" w:color="auto" w:fill="auto"/>
            <w:noWrap/>
            <w:vAlign w:val="bottom"/>
            <w:hideMark/>
          </w:tcPr>
          <w:p w14:paraId="59A3C5B3" w14:textId="77777777" w:rsidR="00C87869" w:rsidRPr="00BE6AAD" w:rsidRDefault="00C87869" w:rsidP="007F6DA1">
            <w:pPr>
              <w:spacing w:line="240" w:lineRule="auto"/>
              <w:jc w:val="center"/>
              <w:rPr>
                <w:color w:val="000000"/>
              </w:rPr>
            </w:pPr>
            <w:r w:rsidRPr="00BE6AAD">
              <w:rPr>
                <w:color w:val="000000"/>
              </w:rPr>
              <w:t>55</w:t>
            </w:r>
            <w:r>
              <w:rPr>
                <w:color w:val="000000"/>
              </w:rPr>
              <w:t>.3</w:t>
            </w:r>
            <w:r w:rsidRPr="0082334F">
              <w:rPr>
                <w:color w:val="000000"/>
              </w:rPr>
              <w:t xml:space="preserve"> ± </w:t>
            </w:r>
            <w:r w:rsidRPr="00BE6AAD">
              <w:rPr>
                <w:color w:val="000000"/>
              </w:rPr>
              <w:t>11</w:t>
            </w:r>
            <w:r>
              <w:rPr>
                <w:color w:val="000000"/>
              </w:rPr>
              <w:t>.1</w:t>
            </w:r>
            <w:r w:rsidRPr="00BE6AAD">
              <w:rPr>
                <w:color w:val="000000"/>
              </w:rPr>
              <w:t>%</w:t>
            </w:r>
          </w:p>
        </w:tc>
        <w:tc>
          <w:tcPr>
            <w:tcW w:w="850" w:type="dxa"/>
            <w:tcBorders>
              <w:top w:val="nil"/>
              <w:left w:val="nil"/>
              <w:bottom w:val="nil"/>
              <w:right w:val="nil"/>
            </w:tcBorders>
            <w:shd w:val="clear" w:color="auto" w:fill="auto"/>
            <w:noWrap/>
            <w:vAlign w:val="bottom"/>
            <w:hideMark/>
          </w:tcPr>
          <w:p w14:paraId="7AE442CF" w14:textId="77777777" w:rsidR="00C87869" w:rsidRPr="00BE6AAD" w:rsidRDefault="00C87869" w:rsidP="007F6DA1">
            <w:pPr>
              <w:spacing w:line="240" w:lineRule="auto"/>
              <w:jc w:val="center"/>
              <w:rPr>
                <w:color w:val="000000"/>
              </w:rPr>
            </w:pPr>
            <w:r w:rsidRPr="00BE6AAD">
              <w:rPr>
                <w:color w:val="000000"/>
              </w:rPr>
              <w:t>0.07</w:t>
            </w:r>
          </w:p>
        </w:tc>
        <w:tc>
          <w:tcPr>
            <w:tcW w:w="851" w:type="dxa"/>
            <w:tcBorders>
              <w:top w:val="nil"/>
              <w:left w:val="nil"/>
              <w:bottom w:val="nil"/>
              <w:right w:val="nil"/>
            </w:tcBorders>
            <w:shd w:val="clear" w:color="auto" w:fill="auto"/>
            <w:noWrap/>
            <w:vAlign w:val="bottom"/>
            <w:hideMark/>
          </w:tcPr>
          <w:p w14:paraId="21E3F6C9" w14:textId="77777777" w:rsidR="00C87869" w:rsidRPr="00BE6AAD" w:rsidRDefault="00C87869" w:rsidP="007F6DA1">
            <w:pPr>
              <w:spacing w:line="240" w:lineRule="auto"/>
              <w:jc w:val="center"/>
              <w:rPr>
                <w:color w:val="000000"/>
              </w:rPr>
            </w:pPr>
            <w:r w:rsidRPr="00BE6AAD">
              <w:rPr>
                <w:color w:val="000000"/>
              </w:rPr>
              <w:t>2.47</w:t>
            </w:r>
          </w:p>
        </w:tc>
        <w:tc>
          <w:tcPr>
            <w:tcW w:w="992" w:type="dxa"/>
            <w:tcBorders>
              <w:top w:val="nil"/>
              <w:left w:val="nil"/>
              <w:bottom w:val="nil"/>
              <w:right w:val="nil"/>
            </w:tcBorders>
            <w:shd w:val="clear" w:color="auto" w:fill="auto"/>
            <w:noWrap/>
            <w:vAlign w:val="bottom"/>
            <w:hideMark/>
          </w:tcPr>
          <w:p w14:paraId="417F52F6" w14:textId="77777777" w:rsidR="00C87869" w:rsidRPr="00BE6AAD" w:rsidRDefault="00C87869" w:rsidP="007F6DA1">
            <w:pPr>
              <w:spacing w:line="240" w:lineRule="auto"/>
              <w:jc w:val="center"/>
              <w:rPr>
                <w:color w:val="000000"/>
              </w:rPr>
            </w:pPr>
            <w:r w:rsidRPr="00BE6AAD">
              <w:rPr>
                <w:color w:val="000000"/>
              </w:rPr>
              <w:t>5</w:t>
            </w:r>
            <w:r>
              <w:rPr>
                <w:color w:val="000000"/>
              </w:rPr>
              <w:t>2.7</w:t>
            </w:r>
            <w:r w:rsidRPr="00BE6AAD">
              <w:rPr>
                <w:color w:val="000000"/>
              </w:rPr>
              <w:t>%</w:t>
            </w:r>
          </w:p>
        </w:tc>
      </w:tr>
      <w:tr w:rsidR="00C87869" w:rsidRPr="0082334F" w14:paraId="7407574B" w14:textId="77777777" w:rsidTr="007F6DA1">
        <w:trPr>
          <w:trHeight w:val="288"/>
          <w:jc w:val="center"/>
        </w:trPr>
        <w:tc>
          <w:tcPr>
            <w:tcW w:w="4535" w:type="dxa"/>
            <w:tcBorders>
              <w:top w:val="nil"/>
              <w:left w:val="nil"/>
              <w:bottom w:val="nil"/>
              <w:right w:val="nil"/>
            </w:tcBorders>
            <w:shd w:val="clear" w:color="auto" w:fill="auto"/>
            <w:noWrap/>
            <w:vAlign w:val="bottom"/>
            <w:hideMark/>
          </w:tcPr>
          <w:p w14:paraId="79C6A94A" w14:textId="77777777" w:rsidR="00C87869" w:rsidRPr="00BE6AAD" w:rsidRDefault="00C87869" w:rsidP="008D2B66">
            <w:pPr>
              <w:spacing w:line="240" w:lineRule="auto"/>
              <w:rPr>
                <w:color w:val="000000"/>
              </w:rPr>
            </w:pPr>
            <w:r w:rsidRPr="00BE6AAD">
              <w:rPr>
                <w:color w:val="000000"/>
              </w:rPr>
              <w:t>B3 Defensive (%)</w:t>
            </w:r>
          </w:p>
        </w:tc>
        <w:tc>
          <w:tcPr>
            <w:tcW w:w="1573" w:type="dxa"/>
            <w:tcBorders>
              <w:top w:val="nil"/>
              <w:left w:val="nil"/>
              <w:bottom w:val="nil"/>
              <w:right w:val="nil"/>
            </w:tcBorders>
            <w:shd w:val="clear" w:color="auto" w:fill="auto"/>
            <w:noWrap/>
            <w:vAlign w:val="bottom"/>
            <w:hideMark/>
          </w:tcPr>
          <w:p w14:paraId="5559835A" w14:textId="77777777" w:rsidR="00C87869" w:rsidRPr="00BE6AAD" w:rsidRDefault="00C87869" w:rsidP="007F6DA1">
            <w:pPr>
              <w:spacing w:line="240" w:lineRule="auto"/>
              <w:jc w:val="center"/>
              <w:rPr>
                <w:color w:val="000000"/>
              </w:rPr>
            </w:pPr>
            <w:r w:rsidRPr="00BE6AAD">
              <w:rPr>
                <w:color w:val="000000"/>
              </w:rPr>
              <w:t>12</w:t>
            </w:r>
            <w:r>
              <w:rPr>
                <w:color w:val="000000"/>
              </w:rPr>
              <w:t>.1</w:t>
            </w:r>
            <w:r w:rsidRPr="0082334F">
              <w:rPr>
                <w:color w:val="000000"/>
              </w:rPr>
              <w:t xml:space="preserve"> ± </w:t>
            </w:r>
            <w:r>
              <w:rPr>
                <w:color w:val="000000"/>
              </w:rPr>
              <w:t>7.9</w:t>
            </w:r>
            <w:r w:rsidRPr="00BE6AAD">
              <w:rPr>
                <w:color w:val="000000"/>
              </w:rPr>
              <w:t>%</w:t>
            </w:r>
          </w:p>
        </w:tc>
        <w:tc>
          <w:tcPr>
            <w:tcW w:w="1701" w:type="dxa"/>
            <w:tcBorders>
              <w:top w:val="nil"/>
              <w:left w:val="nil"/>
              <w:bottom w:val="nil"/>
              <w:right w:val="nil"/>
            </w:tcBorders>
            <w:shd w:val="clear" w:color="auto" w:fill="auto"/>
            <w:noWrap/>
            <w:vAlign w:val="bottom"/>
            <w:hideMark/>
          </w:tcPr>
          <w:p w14:paraId="6610FD1E" w14:textId="77777777" w:rsidR="00C87869" w:rsidRPr="00BE6AAD" w:rsidRDefault="00C87869" w:rsidP="007F6DA1">
            <w:pPr>
              <w:spacing w:line="240" w:lineRule="auto"/>
              <w:jc w:val="center"/>
              <w:rPr>
                <w:color w:val="000000"/>
              </w:rPr>
            </w:pPr>
            <w:r w:rsidRPr="00BE6AAD">
              <w:rPr>
                <w:color w:val="000000"/>
              </w:rPr>
              <w:t>12</w:t>
            </w:r>
            <w:r>
              <w:rPr>
                <w:color w:val="000000"/>
              </w:rPr>
              <w:t>.4</w:t>
            </w:r>
            <w:r w:rsidRPr="0082334F">
              <w:rPr>
                <w:color w:val="000000"/>
              </w:rPr>
              <w:t xml:space="preserve"> ± </w:t>
            </w:r>
            <w:r w:rsidRPr="00BE6AAD">
              <w:rPr>
                <w:color w:val="000000"/>
              </w:rPr>
              <w:t>8</w:t>
            </w:r>
            <w:r>
              <w:rPr>
                <w:color w:val="000000"/>
              </w:rPr>
              <w:t>.1</w:t>
            </w:r>
            <w:r w:rsidRPr="00BE6AAD">
              <w:rPr>
                <w:color w:val="000000"/>
              </w:rPr>
              <w:t>%</w:t>
            </w:r>
          </w:p>
        </w:tc>
        <w:tc>
          <w:tcPr>
            <w:tcW w:w="850" w:type="dxa"/>
            <w:tcBorders>
              <w:top w:val="nil"/>
              <w:left w:val="nil"/>
              <w:bottom w:val="nil"/>
              <w:right w:val="nil"/>
            </w:tcBorders>
            <w:shd w:val="clear" w:color="auto" w:fill="auto"/>
            <w:noWrap/>
            <w:vAlign w:val="bottom"/>
            <w:hideMark/>
          </w:tcPr>
          <w:p w14:paraId="34CB578B" w14:textId="77777777" w:rsidR="00C87869" w:rsidRPr="00BE6AAD" w:rsidRDefault="00C87869" w:rsidP="007F6DA1">
            <w:pPr>
              <w:spacing w:line="240" w:lineRule="auto"/>
              <w:jc w:val="center"/>
              <w:rPr>
                <w:color w:val="000000"/>
              </w:rPr>
            </w:pPr>
            <w:r w:rsidRPr="00BE6AAD">
              <w:rPr>
                <w:color w:val="000000"/>
              </w:rPr>
              <w:t>-0.02</w:t>
            </w:r>
          </w:p>
        </w:tc>
        <w:tc>
          <w:tcPr>
            <w:tcW w:w="851" w:type="dxa"/>
            <w:tcBorders>
              <w:top w:val="nil"/>
              <w:left w:val="nil"/>
              <w:bottom w:val="nil"/>
              <w:right w:val="nil"/>
            </w:tcBorders>
            <w:shd w:val="clear" w:color="auto" w:fill="auto"/>
            <w:noWrap/>
            <w:vAlign w:val="bottom"/>
            <w:hideMark/>
          </w:tcPr>
          <w:p w14:paraId="77EA3BB2" w14:textId="77777777" w:rsidR="00C87869" w:rsidRPr="00BE6AAD" w:rsidRDefault="00C87869" w:rsidP="007F6DA1">
            <w:pPr>
              <w:spacing w:line="240" w:lineRule="auto"/>
              <w:jc w:val="center"/>
              <w:rPr>
                <w:color w:val="000000"/>
              </w:rPr>
            </w:pPr>
            <w:r w:rsidRPr="00BE6AAD">
              <w:rPr>
                <w:color w:val="000000"/>
              </w:rPr>
              <w:t>-0.62</w:t>
            </w:r>
          </w:p>
        </w:tc>
        <w:tc>
          <w:tcPr>
            <w:tcW w:w="992" w:type="dxa"/>
            <w:tcBorders>
              <w:top w:val="nil"/>
              <w:left w:val="nil"/>
              <w:bottom w:val="nil"/>
              <w:right w:val="nil"/>
            </w:tcBorders>
            <w:shd w:val="clear" w:color="auto" w:fill="auto"/>
            <w:noWrap/>
            <w:vAlign w:val="bottom"/>
            <w:hideMark/>
          </w:tcPr>
          <w:p w14:paraId="70011173" w14:textId="77777777" w:rsidR="00C87869" w:rsidRPr="00BE6AAD" w:rsidRDefault="00C87869" w:rsidP="007F6DA1">
            <w:pPr>
              <w:spacing w:line="240" w:lineRule="auto"/>
              <w:jc w:val="center"/>
              <w:rPr>
                <w:color w:val="000000"/>
              </w:rPr>
            </w:pPr>
            <w:r w:rsidRPr="00BE6AAD">
              <w:rPr>
                <w:color w:val="000000"/>
              </w:rPr>
              <w:t>4</w:t>
            </w:r>
            <w:r>
              <w:rPr>
                <w:color w:val="000000"/>
              </w:rPr>
              <w:t>8.5</w:t>
            </w:r>
            <w:r w:rsidRPr="00BE6AAD">
              <w:rPr>
                <w:color w:val="000000"/>
              </w:rPr>
              <w:t>%</w:t>
            </w:r>
          </w:p>
        </w:tc>
      </w:tr>
      <w:tr w:rsidR="00C87869" w:rsidRPr="0082334F" w14:paraId="6978D834" w14:textId="77777777" w:rsidTr="007F6DA1">
        <w:trPr>
          <w:trHeight w:val="288"/>
          <w:jc w:val="center"/>
        </w:trPr>
        <w:tc>
          <w:tcPr>
            <w:tcW w:w="4535" w:type="dxa"/>
            <w:tcBorders>
              <w:top w:val="nil"/>
              <w:left w:val="nil"/>
              <w:bottom w:val="nil"/>
              <w:right w:val="nil"/>
            </w:tcBorders>
            <w:shd w:val="clear" w:color="auto" w:fill="auto"/>
            <w:noWrap/>
            <w:vAlign w:val="bottom"/>
            <w:hideMark/>
          </w:tcPr>
          <w:p w14:paraId="58ACD573" w14:textId="77777777" w:rsidR="00C87869" w:rsidRPr="00BE6AAD" w:rsidRDefault="00C87869" w:rsidP="008D2B66">
            <w:pPr>
              <w:spacing w:line="240" w:lineRule="auto"/>
              <w:rPr>
                <w:color w:val="000000"/>
              </w:rPr>
            </w:pPr>
            <w:r w:rsidRPr="00BE6AAD">
              <w:rPr>
                <w:color w:val="000000"/>
              </w:rPr>
              <w:t>B3 Neutral (%)</w:t>
            </w:r>
          </w:p>
        </w:tc>
        <w:tc>
          <w:tcPr>
            <w:tcW w:w="1573" w:type="dxa"/>
            <w:tcBorders>
              <w:top w:val="nil"/>
              <w:left w:val="nil"/>
              <w:bottom w:val="nil"/>
              <w:right w:val="nil"/>
            </w:tcBorders>
            <w:shd w:val="clear" w:color="auto" w:fill="auto"/>
            <w:noWrap/>
            <w:vAlign w:val="bottom"/>
            <w:hideMark/>
          </w:tcPr>
          <w:p w14:paraId="79858AB2" w14:textId="77777777" w:rsidR="00C87869" w:rsidRPr="00BE6AAD" w:rsidRDefault="00C87869" w:rsidP="007F6DA1">
            <w:pPr>
              <w:spacing w:line="240" w:lineRule="auto"/>
              <w:jc w:val="center"/>
              <w:rPr>
                <w:color w:val="000000"/>
              </w:rPr>
            </w:pPr>
            <w:r w:rsidRPr="00BE6AAD">
              <w:rPr>
                <w:color w:val="000000"/>
              </w:rPr>
              <w:t>71</w:t>
            </w:r>
            <w:r>
              <w:rPr>
                <w:color w:val="000000"/>
              </w:rPr>
              <w:t>.0</w:t>
            </w:r>
            <w:r w:rsidRPr="0082334F">
              <w:rPr>
                <w:color w:val="000000"/>
              </w:rPr>
              <w:t xml:space="preserve"> ± </w:t>
            </w:r>
            <w:r w:rsidRPr="00BE6AAD">
              <w:rPr>
                <w:color w:val="000000"/>
              </w:rPr>
              <w:t>1</w:t>
            </w:r>
            <w:r>
              <w:rPr>
                <w:color w:val="000000"/>
              </w:rPr>
              <w:t>0.6</w:t>
            </w:r>
            <w:r w:rsidRPr="00BE6AAD">
              <w:rPr>
                <w:color w:val="000000"/>
              </w:rPr>
              <w:t>%</w:t>
            </w:r>
          </w:p>
        </w:tc>
        <w:tc>
          <w:tcPr>
            <w:tcW w:w="1701" w:type="dxa"/>
            <w:tcBorders>
              <w:top w:val="nil"/>
              <w:left w:val="nil"/>
              <w:bottom w:val="nil"/>
              <w:right w:val="nil"/>
            </w:tcBorders>
            <w:shd w:val="clear" w:color="auto" w:fill="auto"/>
            <w:noWrap/>
            <w:vAlign w:val="bottom"/>
            <w:hideMark/>
          </w:tcPr>
          <w:p w14:paraId="1326BA6A" w14:textId="77777777" w:rsidR="00C87869" w:rsidRPr="00BE6AAD" w:rsidRDefault="00C87869" w:rsidP="007F6DA1">
            <w:pPr>
              <w:spacing w:line="240" w:lineRule="auto"/>
              <w:jc w:val="center"/>
              <w:rPr>
                <w:color w:val="000000"/>
              </w:rPr>
            </w:pPr>
            <w:r w:rsidRPr="00BE6AAD">
              <w:rPr>
                <w:color w:val="000000"/>
              </w:rPr>
              <w:t>73</w:t>
            </w:r>
            <w:r>
              <w:rPr>
                <w:color w:val="000000"/>
              </w:rPr>
              <w:t>.3</w:t>
            </w:r>
            <w:r w:rsidRPr="0082334F">
              <w:rPr>
                <w:color w:val="000000"/>
              </w:rPr>
              <w:t xml:space="preserve"> ± </w:t>
            </w:r>
            <w:r w:rsidRPr="00BE6AAD">
              <w:rPr>
                <w:color w:val="000000"/>
              </w:rPr>
              <w:t>10</w:t>
            </w:r>
            <w:r>
              <w:rPr>
                <w:color w:val="000000"/>
              </w:rPr>
              <w:t>.4</w:t>
            </w:r>
            <w:r w:rsidRPr="00BE6AAD">
              <w:rPr>
                <w:color w:val="000000"/>
              </w:rPr>
              <w:t>%</w:t>
            </w:r>
          </w:p>
        </w:tc>
        <w:tc>
          <w:tcPr>
            <w:tcW w:w="850" w:type="dxa"/>
            <w:tcBorders>
              <w:top w:val="nil"/>
              <w:left w:val="nil"/>
              <w:bottom w:val="nil"/>
              <w:right w:val="nil"/>
            </w:tcBorders>
            <w:shd w:val="clear" w:color="auto" w:fill="auto"/>
            <w:noWrap/>
            <w:vAlign w:val="bottom"/>
            <w:hideMark/>
          </w:tcPr>
          <w:p w14:paraId="4FCA2FA0" w14:textId="77777777" w:rsidR="00C87869" w:rsidRPr="00BE6AAD" w:rsidRDefault="00C87869" w:rsidP="007F6DA1">
            <w:pPr>
              <w:spacing w:line="240" w:lineRule="auto"/>
              <w:jc w:val="center"/>
              <w:rPr>
                <w:color w:val="000000"/>
              </w:rPr>
            </w:pPr>
            <w:r w:rsidRPr="00BE6AAD">
              <w:rPr>
                <w:color w:val="000000"/>
              </w:rPr>
              <w:t>-0.11</w:t>
            </w:r>
          </w:p>
        </w:tc>
        <w:tc>
          <w:tcPr>
            <w:tcW w:w="851" w:type="dxa"/>
            <w:tcBorders>
              <w:top w:val="nil"/>
              <w:left w:val="nil"/>
              <w:bottom w:val="nil"/>
              <w:right w:val="nil"/>
            </w:tcBorders>
            <w:shd w:val="clear" w:color="auto" w:fill="auto"/>
            <w:noWrap/>
            <w:vAlign w:val="bottom"/>
            <w:hideMark/>
          </w:tcPr>
          <w:p w14:paraId="1A91F308" w14:textId="77777777" w:rsidR="00C87869" w:rsidRPr="00BE6AAD" w:rsidRDefault="00C87869" w:rsidP="007F6DA1">
            <w:pPr>
              <w:spacing w:line="240" w:lineRule="auto"/>
              <w:jc w:val="center"/>
              <w:rPr>
                <w:color w:val="000000"/>
              </w:rPr>
            </w:pPr>
            <w:r w:rsidRPr="00BE6AAD">
              <w:rPr>
                <w:color w:val="000000"/>
              </w:rPr>
              <w:t>-4.88</w:t>
            </w:r>
          </w:p>
        </w:tc>
        <w:tc>
          <w:tcPr>
            <w:tcW w:w="992" w:type="dxa"/>
            <w:tcBorders>
              <w:top w:val="nil"/>
              <w:left w:val="nil"/>
              <w:bottom w:val="nil"/>
              <w:right w:val="nil"/>
            </w:tcBorders>
            <w:shd w:val="clear" w:color="auto" w:fill="auto"/>
            <w:noWrap/>
            <w:vAlign w:val="bottom"/>
            <w:hideMark/>
          </w:tcPr>
          <w:p w14:paraId="6C252E94" w14:textId="77777777" w:rsidR="00C87869" w:rsidRPr="00BE6AAD" w:rsidRDefault="00C87869" w:rsidP="007F6DA1">
            <w:pPr>
              <w:spacing w:line="240" w:lineRule="auto"/>
              <w:jc w:val="center"/>
              <w:rPr>
                <w:color w:val="000000"/>
              </w:rPr>
            </w:pPr>
            <w:r w:rsidRPr="00BE6AAD">
              <w:rPr>
                <w:color w:val="000000"/>
              </w:rPr>
              <w:t>42</w:t>
            </w:r>
            <w:r>
              <w:rPr>
                <w:color w:val="000000"/>
              </w:rPr>
              <w:t>.1</w:t>
            </w:r>
            <w:r w:rsidRPr="00BE6AAD">
              <w:rPr>
                <w:color w:val="000000"/>
              </w:rPr>
              <w:t>%</w:t>
            </w:r>
          </w:p>
        </w:tc>
      </w:tr>
      <w:tr w:rsidR="00C87869" w:rsidRPr="0082334F" w14:paraId="7A975BD2" w14:textId="77777777" w:rsidTr="007F6DA1">
        <w:trPr>
          <w:trHeight w:val="288"/>
          <w:jc w:val="center"/>
        </w:trPr>
        <w:tc>
          <w:tcPr>
            <w:tcW w:w="4535" w:type="dxa"/>
            <w:tcBorders>
              <w:top w:val="nil"/>
              <w:left w:val="nil"/>
              <w:right w:val="nil"/>
            </w:tcBorders>
            <w:shd w:val="clear" w:color="auto" w:fill="auto"/>
            <w:noWrap/>
            <w:vAlign w:val="bottom"/>
            <w:hideMark/>
          </w:tcPr>
          <w:p w14:paraId="5C0B2712" w14:textId="77777777" w:rsidR="00C87869" w:rsidRPr="00BE6AAD" w:rsidRDefault="00C87869" w:rsidP="008D2B66">
            <w:pPr>
              <w:spacing w:line="240" w:lineRule="auto"/>
              <w:rPr>
                <w:color w:val="000000"/>
              </w:rPr>
            </w:pPr>
            <w:r w:rsidRPr="00BE6AAD">
              <w:rPr>
                <w:color w:val="000000"/>
              </w:rPr>
              <w:t>Double faults (%)</w:t>
            </w:r>
          </w:p>
        </w:tc>
        <w:tc>
          <w:tcPr>
            <w:tcW w:w="1573" w:type="dxa"/>
            <w:tcBorders>
              <w:top w:val="nil"/>
              <w:left w:val="nil"/>
              <w:right w:val="nil"/>
            </w:tcBorders>
            <w:shd w:val="clear" w:color="auto" w:fill="auto"/>
            <w:noWrap/>
            <w:vAlign w:val="bottom"/>
            <w:hideMark/>
          </w:tcPr>
          <w:p w14:paraId="32E6B1C2" w14:textId="77777777" w:rsidR="00C87869" w:rsidRPr="00BE6AAD" w:rsidRDefault="00C87869" w:rsidP="007F6DA1">
            <w:pPr>
              <w:spacing w:line="240" w:lineRule="auto"/>
              <w:jc w:val="center"/>
              <w:rPr>
                <w:color w:val="000000"/>
              </w:rPr>
            </w:pPr>
            <w:r>
              <w:rPr>
                <w:color w:val="000000"/>
              </w:rPr>
              <w:t>4.7</w:t>
            </w:r>
            <w:r w:rsidRPr="0082334F">
              <w:rPr>
                <w:color w:val="000000"/>
              </w:rPr>
              <w:t xml:space="preserve"> ± </w:t>
            </w:r>
            <w:r w:rsidRPr="00BE6AAD">
              <w:rPr>
                <w:color w:val="000000"/>
              </w:rPr>
              <w:t>3</w:t>
            </w:r>
            <w:r>
              <w:rPr>
                <w:color w:val="000000"/>
              </w:rPr>
              <w:t>.3</w:t>
            </w:r>
            <w:r w:rsidRPr="00BE6AAD">
              <w:rPr>
                <w:color w:val="000000"/>
              </w:rPr>
              <w:t>%</w:t>
            </w:r>
          </w:p>
        </w:tc>
        <w:tc>
          <w:tcPr>
            <w:tcW w:w="1701" w:type="dxa"/>
            <w:tcBorders>
              <w:top w:val="nil"/>
              <w:left w:val="nil"/>
              <w:right w:val="nil"/>
            </w:tcBorders>
            <w:shd w:val="clear" w:color="auto" w:fill="auto"/>
            <w:noWrap/>
            <w:vAlign w:val="bottom"/>
            <w:hideMark/>
          </w:tcPr>
          <w:p w14:paraId="573E3F9C" w14:textId="77777777" w:rsidR="00C87869" w:rsidRPr="00BE6AAD" w:rsidRDefault="00C87869" w:rsidP="007F6DA1">
            <w:pPr>
              <w:spacing w:line="240" w:lineRule="auto"/>
              <w:jc w:val="center"/>
              <w:rPr>
                <w:color w:val="000000"/>
              </w:rPr>
            </w:pPr>
            <w:r>
              <w:rPr>
                <w:color w:val="000000"/>
              </w:rPr>
              <w:t>5.8</w:t>
            </w:r>
            <w:r w:rsidRPr="0082334F">
              <w:rPr>
                <w:color w:val="000000"/>
              </w:rPr>
              <w:t xml:space="preserve"> ± </w:t>
            </w:r>
            <w:r>
              <w:rPr>
                <w:color w:val="000000"/>
              </w:rPr>
              <w:t>3.7</w:t>
            </w:r>
            <w:r w:rsidRPr="00BE6AAD">
              <w:rPr>
                <w:color w:val="000000"/>
              </w:rPr>
              <w:t>%</w:t>
            </w:r>
          </w:p>
        </w:tc>
        <w:tc>
          <w:tcPr>
            <w:tcW w:w="850" w:type="dxa"/>
            <w:tcBorders>
              <w:top w:val="nil"/>
              <w:left w:val="nil"/>
              <w:right w:val="nil"/>
            </w:tcBorders>
            <w:shd w:val="clear" w:color="auto" w:fill="auto"/>
            <w:noWrap/>
            <w:vAlign w:val="bottom"/>
            <w:hideMark/>
          </w:tcPr>
          <w:p w14:paraId="0A1B1F3D" w14:textId="77777777" w:rsidR="00C87869" w:rsidRPr="00BE6AAD" w:rsidRDefault="00C87869" w:rsidP="007F6DA1">
            <w:pPr>
              <w:spacing w:line="240" w:lineRule="auto"/>
              <w:jc w:val="center"/>
              <w:rPr>
                <w:color w:val="000000"/>
              </w:rPr>
            </w:pPr>
            <w:r w:rsidRPr="00BE6AAD">
              <w:rPr>
                <w:color w:val="000000"/>
              </w:rPr>
              <w:t>-0.16</w:t>
            </w:r>
          </w:p>
        </w:tc>
        <w:tc>
          <w:tcPr>
            <w:tcW w:w="851" w:type="dxa"/>
            <w:tcBorders>
              <w:top w:val="nil"/>
              <w:left w:val="nil"/>
              <w:right w:val="nil"/>
            </w:tcBorders>
            <w:shd w:val="clear" w:color="auto" w:fill="auto"/>
            <w:noWrap/>
            <w:vAlign w:val="bottom"/>
            <w:hideMark/>
          </w:tcPr>
          <w:p w14:paraId="4D8A1949" w14:textId="77777777" w:rsidR="00C87869" w:rsidRPr="00BE6AAD" w:rsidRDefault="00C87869" w:rsidP="007F6DA1">
            <w:pPr>
              <w:spacing w:line="240" w:lineRule="auto"/>
              <w:jc w:val="center"/>
              <w:rPr>
                <w:color w:val="000000"/>
              </w:rPr>
            </w:pPr>
            <w:r w:rsidRPr="00BE6AAD">
              <w:rPr>
                <w:color w:val="000000"/>
              </w:rPr>
              <w:t>-5.60</w:t>
            </w:r>
          </w:p>
        </w:tc>
        <w:tc>
          <w:tcPr>
            <w:tcW w:w="992" w:type="dxa"/>
            <w:tcBorders>
              <w:top w:val="nil"/>
              <w:left w:val="nil"/>
              <w:right w:val="nil"/>
            </w:tcBorders>
            <w:shd w:val="clear" w:color="auto" w:fill="auto"/>
            <w:noWrap/>
            <w:vAlign w:val="bottom"/>
            <w:hideMark/>
          </w:tcPr>
          <w:p w14:paraId="45F8F337" w14:textId="77777777" w:rsidR="00C87869" w:rsidRPr="00BE6AAD" w:rsidRDefault="00C87869" w:rsidP="007F6DA1">
            <w:pPr>
              <w:spacing w:line="240" w:lineRule="auto"/>
              <w:jc w:val="center"/>
              <w:rPr>
                <w:color w:val="000000"/>
              </w:rPr>
            </w:pPr>
            <w:r w:rsidRPr="00BE6AAD">
              <w:rPr>
                <w:color w:val="000000"/>
              </w:rPr>
              <w:t>42</w:t>
            </w:r>
            <w:r>
              <w:rPr>
                <w:color w:val="000000"/>
              </w:rPr>
              <w:t>.0</w:t>
            </w:r>
            <w:r w:rsidRPr="00BE6AAD">
              <w:rPr>
                <w:color w:val="000000"/>
              </w:rPr>
              <w:t>%</w:t>
            </w:r>
          </w:p>
        </w:tc>
      </w:tr>
      <w:tr w:rsidR="00C87869" w:rsidRPr="0082334F" w14:paraId="5D712799" w14:textId="77777777" w:rsidTr="007F6DA1">
        <w:trPr>
          <w:trHeight w:val="288"/>
          <w:jc w:val="center"/>
        </w:trPr>
        <w:tc>
          <w:tcPr>
            <w:tcW w:w="4535" w:type="dxa"/>
            <w:tcBorders>
              <w:top w:val="nil"/>
              <w:left w:val="nil"/>
              <w:bottom w:val="single" w:sz="4" w:space="0" w:color="auto"/>
              <w:right w:val="nil"/>
            </w:tcBorders>
            <w:shd w:val="clear" w:color="auto" w:fill="auto"/>
            <w:noWrap/>
            <w:vAlign w:val="bottom"/>
            <w:hideMark/>
          </w:tcPr>
          <w:p w14:paraId="1BAA7523" w14:textId="77777777" w:rsidR="00C87869" w:rsidRPr="00BE6AAD" w:rsidRDefault="00C87869" w:rsidP="008D2B66">
            <w:pPr>
              <w:spacing w:line="240" w:lineRule="auto"/>
              <w:rPr>
                <w:color w:val="000000"/>
              </w:rPr>
            </w:pPr>
            <w:r w:rsidRPr="00BE6AAD">
              <w:rPr>
                <w:color w:val="000000"/>
              </w:rPr>
              <w:t>Forced errors (%)</w:t>
            </w:r>
          </w:p>
        </w:tc>
        <w:tc>
          <w:tcPr>
            <w:tcW w:w="1573" w:type="dxa"/>
            <w:tcBorders>
              <w:top w:val="nil"/>
              <w:left w:val="nil"/>
              <w:bottom w:val="single" w:sz="4" w:space="0" w:color="auto"/>
              <w:right w:val="nil"/>
            </w:tcBorders>
            <w:shd w:val="clear" w:color="auto" w:fill="auto"/>
            <w:noWrap/>
            <w:vAlign w:val="bottom"/>
            <w:hideMark/>
          </w:tcPr>
          <w:p w14:paraId="755C7E21" w14:textId="77777777" w:rsidR="00C87869" w:rsidRPr="00BE6AAD" w:rsidRDefault="00C87869" w:rsidP="007F6DA1">
            <w:pPr>
              <w:spacing w:line="240" w:lineRule="auto"/>
              <w:jc w:val="center"/>
              <w:rPr>
                <w:color w:val="000000"/>
              </w:rPr>
            </w:pPr>
            <w:r w:rsidRPr="00BE6AAD">
              <w:rPr>
                <w:color w:val="000000"/>
              </w:rPr>
              <w:t>8</w:t>
            </w:r>
            <w:r>
              <w:rPr>
                <w:color w:val="000000"/>
              </w:rPr>
              <w:t>.4</w:t>
            </w:r>
            <w:r w:rsidRPr="0082334F">
              <w:rPr>
                <w:color w:val="000000"/>
              </w:rPr>
              <w:t xml:space="preserve"> ± </w:t>
            </w:r>
            <w:r>
              <w:rPr>
                <w:color w:val="000000"/>
              </w:rPr>
              <w:t>3.6</w:t>
            </w:r>
            <w:r w:rsidRPr="00BE6AAD">
              <w:rPr>
                <w:color w:val="000000"/>
              </w:rPr>
              <w:t>%</w:t>
            </w:r>
          </w:p>
        </w:tc>
        <w:tc>
          <w:tcPr>
            <w:tcW w:w="1701" w:type="dxa"/>
            <w:tcBorders>
              <w:top w:val="nil"/>
              <w:left w:val="nil"/>
              <w:bottom w:val="single" w:sz="4" w:space="0" w:color="auto"/>
              <w:right w:val="nil"/>
            </w:tcBorders>
            <w:shd w:val="clear" w:color="auto" w:fill="auto"/>
            <w:noWrap/>
            <w:vAlign w:val="bottom"/>
            <w:hideMark/>
          </w:tcPr>
          <w:p w14:paraId="785F9D97" w14:textId="77777777" w:rsidR="00C87869" w:rsidRPr="00BE6AAD" w:rsidRDefault="00C87869" w:rsidP="007F6DA1">
            <w:pPr>
              <w:spacing w:line="240" w:lineRule="auto"/>
              <w:jc w:val="center"/>
              <w:rPr>
                <w:color w:val="000000"/>
              </w:rPr>
            </w:pPr>
            <w:r>
              <w:rPr>
                <w:color w:val="000000"/>
              </w:rPr>
              <w:t>9.9</w:t>
            </w:r>
            <w:r w:rsidRPr="0082334F">
              <w:rPr>
                <w:color w:val="000000"/>
              </w:rPr>
              <w:t xml:space="preserve"> ± </w:t>
            </w:r>
            <w:r w:rsidRPr="00BE6AAD">
              <w:rPr>
                <w:color w:val="000000"/>
              </w:rPr>
              <w:t>4</w:t>
            </w:r>
            <w:r>
              <w:rPr>
                <w:color w:val="000000"/>
              </w:rPr>
              <w:t>.2</w:t>
            </w:r>
            <w:r w:rsidRPr="00BE6AAD">
              <w:rPr>
                <w:color w:val="000000"/>
              </w:rPr>
              <w:t>%</w:t>
            </w:r>
          </w:p>
        </w:tc>
        <w:tc>
          <w:tcPr>
            <w:tcW w:w="850" w:type="dxa"/>
            <w:tcBorders>
              <w:top w:val="nil"/>
              <w:left w:val="nil"/>
              <w:bottom w:val="single" w:sz="4" w:space="0" w:color="auto"/>
              <w:right w:val="nil"/>
            </w:tcBorders>
            <w:shd w:val="clear" w:color="auto" w:fill="auto"/>
            <w:noWrap/>
            <w:vAlign w:val="bottom"/>
            <w:hideMark/>
          </w:tcPr>
          <w:p w14:paraId="072D8F63" w14:textId="77777777" w:rsidR="00C87869" w:rsidRPr="00BE6AAD" w:rsidRDefault="00C87869" w:rsidP="007F6DA1">
            <w:pPr>
              <w:spacing w:line="240" w:lineRule="auto"/>
              <w:jc w:val="center"/>
              <w:rPr>
                <w:color w:val="000000"/>
              </w:rPr>
            </w:pPr>
            <w:r w:rsidRPr="00BE6AAD">
              <w:rPr>
                <w:color w:val="000000"/>
              </w:rPr>
              <w:t>-0.19</w:t>
            </w:r>
          </w:p>
        </w:tc>
        <w:tc>
          <w:tcPr>
            <w:tcW w:w="851" w:type="dxa"/>
            <w:tcBorders>
              <w:top w:val="nil"/>
              <w:left w:val="nil"/>
              <w:bottom w:val="single" w:sz="4" w:space="0" w:color="auto"/>
              <w:right w:val="nil"/>
            </w:tcBorders>
            <w:shd w:val="clear" w:color="auto" w:fill="auto"/>
            <w:noWrap/>
            <w:vAlign w:val="bottom"/>
            <w:hideMark/>
          </w:tcPr>
          <w:p w14:paraId="79E2813C" w14:textId="77777777" w:rsidR="00C87869" w:rsidRPr="00BE6AAD" w:rsidRDefault="00C87869" w:rsidP="007F6DA1">
            <w:pPr>
              <w:spacing w:line="240" w:lineRule="auto"/>
              <w:jc w:val="center"/>
              <w:rPr>
                <w:color w:val="000000"/>
              </w:rPr>
            </w:pPr>
            <w:r w:rsidRPr="00BE6AAD">
              <w:rPr>
                <w:color w:val="000000"/>
              </w:rPr>
              <w:t>-6.60</w:t>
            </w:r>
          </w:p>
        </w:tc>
        <w:tc>
          <w:tcPr>
            <w:tcW w:w="992" w:type="dxa"/>
            <w:tcBorders>
              <w:top w:val="nil"/>
              <w:left w:val="nil"/>
              <w:bottom w:val="single" w:sz="4" w:space="0" w:color="auto"/>
              <w:right w:val="nil"/>
            </w:tcBorders>
            <w:shd w:val="clear" w:color="auto" w:fill="auto"/>
            <w:noWrap/>
            <w:vAlign w:val="bottom"/>
            <w:hideMark/>
          </w:tcPr>
          <w:p w14:paraId="0184C473" w14:textId="77777777" w:rsidR="00C87869" w:rsidRPr="00BE6AAD" w:rsidRDefault="00C87869" w:rsidP="007F6DA1">
            <w:pPr>
              <w:spacing w:line="240" w:lineRule="auto"/>
              <w:jc w:val="center"/>
              <w:rPr>
                <w:color w:val="000000"/>
              </w:rPr>
            </w:pPr>
            <w:r>
              <w:rPr>
                <w:color w:val="000000"/>
              </w:rPr>
              <w:t>39.5</w:t>
            </w:r>
            <w:r w:rsidRPr="00BE6AAD">
              <w:rPr>
                <w:color w:val="000000"/>
              </w:rPr>
              <w:t>%</w:t>
            </w:r>
          </w:p>
        </w:tc>
      </w:tr>
    </w:tbl>
    <w:p w14:paraId="5908FEC9" w14:textId="2F378FE3" w:rsidR="00C87869" w:rsidRPr="0029344C" w:rsidRDefault="0029344C" w:rsidP="00C87869">
      <w:pPr>
        <w:pStyle w:val="Paragraph"/>
        <w:spacing w:before="0" w:line="276" w:lineRule="auto"/>
      </w:pPr>
      <w:r w:rsidRPr="0029344C">
        <w:t>Note:</w:t>
      </w:r>
      <w:r w:rsidR="00C87869" w:rsidRPr="0029344C">
        <w:rPr>
          <w:vertAlign w:val="superscript"/>
        </w:rPr>
        <w:t>+</w:t>
      </w:r>
      <w:r w:rsidR="00C87869" w:rsidRPr="0029344C">
        <w:t xml:space="preserve">Identical </w:t>
      </w:r>
      <w:r w:rsidR="00603B1B">
        <w:t>PWOL</w:t>
      </w:r>
      <w:r w:rsidR="00C87869" w:rsidRPr="0029344C">
        <w:t xml:space="preserve"> as serve return point won% = 100 – opponent’s serve points won%</w:t>
      </w:r>
      <w:r w:rsidR="00123AED">
        <w:t>.</w:t>
      </w:r>
    </w:p>
    <w:p w14:paraId="7807526F" w14:textId="77777777" w:rsidR="00C87869" w:rsidRDefault="00C87869" w:rsidP="0029344C">
      <w:pPr>
        <w:pStyle w:val="Paragraph"/>
        <w:jc w:val="both"/>
        <w:rPr>
          <w:b/>
          <w:bCs/>
          <w:i/>
          <w:iCs/>
        </w:rPr>
      </w:pPr>
      <w:r w:rsidRPr="00171974">
        <w:rPr>
          <w:b/>
          <w:bCs/>
          <w:i/>
          <w:iCs/>
        </w:rPr>
        <w:lastRenderedPageBreak/>
        <w:t>Agreement between methods</w:t>
      </w:r>
    </w:p>
    <w:p w14:paraId="4BF26BC7" w14:textId="2875B4D8" w:rsidR="00C87869" w:rsidRDefault="00C87869" w:rsidP="0029344C">
      <w:pPr>
        <w:pStyle w:val="Newparagraph"/>
        <w:ind w:firstLine="0"/>
        <w:jc w:val="both"/>
      </w:pPr>
      <w:r>
        <w:t>All Spearman’s rank-order correlation coefficients demonstrated excellent agreement between each of the methods</w:t>
      </w:r>
      <w:r w:rsidR="00100D73" w:rsidRPr="00100D73">
        <w:rPr>
          <w:vertAlign w:val="superscript"/>
        </w:rPr>
        <w:t>29</w:t>
      </w:r>
      <w:r w:rsidR="0029344C">
        <w:t>,</w:t>
      </w:r>
      <w:r>
        <w:t xml:space="preserve"> with </w:t>
      </w:r>
      <w:r w:rsidR="0029344C">
        <w:t xml:space="preserve">all </w:t>
      </w:r>
      <w:r>
        <w:t>values</w:t>
      </w:r>
      <w:r w:rsidR="0029344C">
        <w:t xml:space="preserve"> above 0.97. </w:t>
      </w:r>
      <w:r>
        <w:t>Overall, correlation</w:t>
      </w:r>
      <w:r w:rsidR="00E33BB3">
        <w:t>s</w:t>
      </w:r>
      <w:r>
        <w:t xml:space="preserve"> were slightly stronger for women compared to men.</w:t>
      </w:r>
    </w:p>
    <w:p w14:paraId="2E1D8A16" w14:textId="77777777" w:rsidR="00C87869" w:rsidRPr="00956ACF" w:rsidRDefault="00C87869" w:rsidP="00C87869">
      <w:pPr>
        <w:pStyle w:val="Newparagraph"/>
      </w:pPr>
    </w:p>
    <w:p w14:paraId="3E472AD6" w14:textId="509FCF09" w:rsidR="00C87869" w:rsidRPr="00956ACF" w:rsidRDefault="00C87869" w:rsidP="00C87869">
      <w:pPr>
        <w:spacing w:line="360" w:lineRule="auto"/>
        <w:rPr>
          <w:b/>
          <w:bCs/>
        </w:rPr>
      </w:pPr>
      <w:r w:rsidRPr="00956ACF">
        <w:rPr>
          <w:b/>
          <w:bCs/>
        </w:rPr>
        <w:t xml:space="preserve">Table 4. Spearman's rank-order correlation coefficients for </w:t>
      </w:r>
      <w:r w:rsidR="0029344C">
        <w:rPr>
          <w:b/>
          <w:bCs/>
        </w:rPr>
        <w:t>each pairwise comparison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gridCol w:w="2502"/>
        <w:gridCol w:w="2502"/>
      </w:tblGrid>
      <w:tr w:rsidR="00C87869" w:rsidRPr="00865D33" w14:paraId="7E6712CA" w14:textId="77777777" w:rsidTr="0029344C">
        <w:trPr>
          <w:trHeight w:val="361"/>
        </w:trPr>
        <w:tc>
          <w:tcPr>
            <w:tcW w:w="3904" w:type="dxa"/>
            <w:tcBorders>
              <w:top w:val="single" w:sz="4" w:space="0" w:color="auto"/>
              <w:bottom w:val="single" w:sz="4" w:space="0" w:color="auto"/>
            </w:tcBorders>
            <w:vAlign w:val="center"/>
          </w:tcPr>
          <w:p w14:paraId="4B431A19" w14:textId="77777777" w:rsidR="00C87869" w:rsidRPr="008278C7" w:rsidRDefault="00C87869" w:rsidP="0029344C">
            <w:pPr>
              <w:spacing w:line="240" w:lineRule="auto"/>
              <w:rPr>
                <w:sz w:val="24"/>
                <w:szCs w:val="24"/>
              </w:rPr>
            </w:pPr>
            <w:r w:rsidRPr="008278C7">
              <w:rPr>
                <w:sz w:val="24"/>
                <w:szCs w:val="24"/>
              </w:rPr>
              <w:t>Pairwise comparison</w:t>
            </w:r>
          </w:p>
        </w:tc>
        <w:tc>
          <w:tcPr>
            <w:tcW w:w="2502" w:type="dxa"/>
            <w:tcBorders>
              <w:top w:val="single" w:sz="4" w:space="0" w:color="auto"/>
              <w:bottom w:val="single" w:sz="4" w:space="0" w:color="auto"/>
            </w:tcBorders>
            <w:vAlign w:val="center"/>
          </w:tcPr>
          <w:p w14:paraId="684D206C" w14:textId="77777777" w:rsidR="00C87869" w:rsidRPr="008278C7" w:rsidRDefault="00C87869" w:rsidP="008D2B66">
            <w:pPr>
              <w:spacing w:line="240" w:lineRule="auto"/>
              <w:jc w:val="center"/>
              <w:rPr>
                <w:sz w:val="24"/>
                <w:szCs w:val="24"/>
              </w:rPr>
            </w:pPr>
            <w:r w:rsidRPr="008278C7">
              <w:rPr>
                <w:sz w:val="24"/>
                <w:szCs w:val="24"/>
              </w:rPr>
              <w:t>Men</w:t>
            </w:r>
          </w:p>
        </w:tc>
        <w:tc>
          <w:tcPr>
            <w:tcW w:w="2502" w:type="dxa"/>
            <w:tcBorders>
              <w:top w:val="single" w:sz="4" w:space="0" w:color="auto"/>
              <w:bottom w:val="single" w:sz="4" w:space="0" w:color="auto"/>
            </w:tcBorders>
            <w:vAlign w:val="center"/>
          </w:tcPr>
          <w:p w14:paraId="71E1CC49" w14:textId="77777777" w:rsidR="00C87869" w:rsidRPr="008278C7" w:rsidRDefault="00C87869" w:rsidP="008D2B66">
            <w:pPr>
              <w:spacing w:line="240" w:lineRule="auto"/>
              <w:jc w:val="center"/>
              <w:rPr>
                <w:sz w:val="24"/>
                <w:szCs w:val="24"/>
              </w:rPr>
            </w:pPr>
            <w:r w:rsidRPr="008278C7">
              <w:rPr>
                <w:sz w:val="24"/>
                <w:szCs w:val="24"/>
              </w:rPr>
              <w:t>Women</w:t>
            </w:r>
          </w:p>
        </w:tc>
      </w:tr>
      <w:tr w:rsidR="00C87869" w:rsidRPr="00865D33" w14:paraId="1B5EAF84" w14:textId="77777777" w:rsidTr="0029344C">
        <w:trPr>
          <w:trHeight w:val="507"/>
        </w:trPr>
        <w:tc>
          <w:tcPr>
            <w:tcW w:w="3904" w:type="dxa"/>
            <w:tcBorders>
              <w:top w:val="single" w:sz="4" w:space="0" w:color="auto"/>
            </w:tcBorders>
          </w:tcPr>
          <w:p w14:paraId="5348BC67" w14:textId="77777777" w:rsidR="00C87869" w:rsidRPr="0029344C" w:rsidRDefault="00C87869" w:rsidP="008D2B66">
            <w:pPr>
              <w:spacing w:line="240" w:lineRule="auto"/>
              <w:rPr>
                <w:sz w:val="24"/>
                <w:szCs w:val="24"/>
              </w:rPr>
            </w:pPr>
            <w:r w:rsidRPr="0029344C">
              <w:rPr>
                <w:i/>
                <w:iCs/>
                <w:sz w:val="24"/>
                <w:szCs w:val="24"/>
              </w:rPr>
              <w:t>r</w:t>
            </w:r>
            <w:r w:rsidRPr="0029344C">
              <w:rPr>
                <w:i/>
                <w:iCs/>
                <w:sz w:val="24"/>
                <w:szCs w:val="24"/>
                <w:vertAlign w:val="subscript"/>
              </w:rPr>
              <w:t>pb</w:t>
            </w:r>
            <w:r w:rsidRPr="0029344C">
              <w:rPr>
                <w:sz w:val="24"/>
                <w:szCs w:val="24"/>
                <w:vertAlign w:val="subscript"/>
              </w:rPr>
              <w:t xml:space="preserve"> </w:t>
            </w:r>
            <w:r w:rsidRPr="0029344C">
              <w:rPr>
                <w:sz w:val="24"/>
                <w:szCs w:val="24"/>
              </w:rPr>
              <w:t xml:space="preserve">and </w:t>
            </w:r>
            <w:r w:rsidRPr="0029344C">
              <w:rPr>
                <w:i/>
                <w:iCs/>
                <w:sz w:val="24"/>
                <w:szCs w:val="24"/>
              </w:rPr>
              <w:t>t</w:t>
            </w:r>
          </w:p>
        </w:tc>
        <w:tc>
          <w:tcPr>
            <w:tcW w:w="2502" w:type="dxa"/>
            <w:tcBorders>
              <w:top w:val="single" w:sz="4" w:space="0" w:color="auto"/>
            </w:tcBorders>
          </w:tcPr>
          <w:p w14:paraId="2870A059" w14:textId="77777777" w:rsidR="00C87869" w:rsidRPr="0029344C" w:rsidRDefault="00C87869" w:rsidP="008D2B66">
            <w:pPr>
              <w:spacing w:line="240" w:lineRule="auto"/>
              <w:jc w:val="center"/>
              <w:rPr>
                <w:sz w:val="24"/>
                <w:szCs w:val="24"/>
              </w:rPr>
            </w:pPr>
            <w:r w:rsidRPr="0029344C">
              <w:rPr>
                <w:sz w:val="24"/>
                <w:szCs w:val="24"/>
              </w:rPr>
              <w:t>1</w:t>
            </w:r>
          </w:p>
        </w:tc>
        <w:tc>
          <w:tcPr>
            <w:tcW w:w="2502" w:type="dxa"/>
            <w:tcBorders>
              <w:top w:val="single" w:sz="4" w:space="0" w:color="auto"/>
            </w:tcBorders>
          </w:tcPr>
          <w:p w14:paraId="03C44383" w14:textId="77777777" w:rsidR="00C87869" w:rsidRPr="0029344C" w:rsidRDefault="00C87869" w:rsidP="008D2B66">
            <w:pPr>
              <w:spacing w:line="240" w:lineRule="auto"/>
              <w:jc w:val="center"/>
              <w:rPr>
                <w:sz w:val="24"/>
                <w:szCs w:val="24"/>
              </w:rPr>
            </w:pPr>
            <w:r w:rsidRPr="0029344C">
              <w:rPr>
                <w:sz w:val="24"/>
                <w:szCs w:val="24"/>
              </w:rPr>
              <w:t>0.99</w:t>
            </w:r>
          </w:p>
        </w:tc>
      </w:tr>
      <w:tr w:rsidR="00C87869" w:rsidRPr="00865D33" w14:paraId="6360528C" w14:textId="77777777" w:rsidTr="0029344C">
        <w:trPr>
          <w:trHeight w:val="507"/>
        </w:trPr>
        <w:tc>
          <w:tcPr>
            <w:tcW w:w="3904" w:type="dxa"/>
          </w:tcPr>
          <w:p w14:paraId="1A8013E7" w14:textId="77777777" w:rsidR="00C87869" w:rsidRPr="0029344C" w:rsidRDefault="00C87869" w:rsidP="008D2B66">
            <w:pPr>
              <w:spacing w:line="240" w:lineRule="auto"/>
              <w:rPr>
                <w:sz w:val="24"/>
                <w:szCs w:val="24"/>
              </w:rPr>
            </w:pPr>
            <w:r w:rsidRPr="0029344C">
              <w:rPr>
                <w:i/>
                <w:iCs/>
                <w:sz w:val="24"/>
                <w:szCs w:val="24"/>
              </w:rPr>
              <w:t>r</w:t>
            </w:r>
            <w:r w:rsidRPr="0029344C">
              <w:rPr>
                <w:i/>
                <w:iCs/>
                <w:sz w:val="24"/>
                <w:szCs w:val="24"/>
                <w:vertAlign w:val="subscript"/>
              </w:rPr>
              <w:t>pb</w:t>
            </w:r>
            <w:r w:rsidRPr="0029344C">
              <w:rPr>
                <w:sz w:val="24"/>
                <w:szCs w:val="24"/>
              </w:rPr>
              <w:t xml:space="preserve"> and PWOL</w:t>
            </w:r>
          </w:p>
        </w:tc>
        <w:tc>
          <w:tcPr>
            <w:tcW w:w="2502" w:type="dxa"/>
          </w:tcPr>
          <w:p w14:paraId="3E883A31" w14:textId="77777777" w:rsidR="00C87869" w:rsidRPr="0029344C" w:rsidRDefault="00C87869" w:rsidP="008D2B66">
            <w:pPr>
              <w:spacing w:line="240" w:lineRule="auto"/>
              <w:jc w:val="center"/>
              <w:rPr>
                <w:sz w:val="24"/>
                <w:szCs w:val="24"/>
              </w:rPr>
            </w:pPr>
            <w:r w:rsidRPr="0029344C">
              <w:rPr>
                <w:sz w:val="24"/>
                <w:szCs w:val="24"/>
              </w:rPr>
              <w:t>0.97</w:t>
            </w:r>
          </w:p>
        </w:tc>
        <w:tc>
          <w:tcPr>
            <w:tcW w:w="2502" w:type="dxa"/>
          </w:tcPr>
          <w:p w14:paraId="0B2D4943" w14:textId="77777777" w:rsidR="00C87869" w:rsidRPr="0029344C" w:rsidRDefault="00C87869" w:rsidP="008D2B66">
            <w:pPr>
              <w:spacing w:line="240" w:lineRule="auto"/>
              <w:jc w:val="center"/>
              <w:rPr>
                <w:sz w:val="24"/>
                <w:szCs w:val="24"/>
              </w:rPr>
            </w:pPr>
            <w:r w:rsidRPr="0029344C">
              <w:rPr>
                <w:sz w:val="24"/>
                <w:szCs w:val="24"/>
              </w:rPr>
              <w:t>1</w:t>
            </w:r>
          </w:p>
        </w:tc>
      </w:tr>
      <w:tr w:rsidR="00C87869" w:rsidRPr="00865D33" w14:paraId="475DA948" w14:textId="77777777" w:rsidTr="0029344C">
        <w:trPr>
          <w:trHeight w:val="507"/>
        </w:trPr>
        <w:tc>
          <w:tcPr>
            <w:tcW w:w="3904" w:type="dxa"/>
            <w:tcBorders>
              <w:bottom w:val="single" w:sz="4" w:space="0" w:color="auto"/>
            </w:tcBorders>
          </w:tcPr>
          <w:p w14:paraId="014BC271" w14:textId="77777777" w:rsidR="00C87869" w:rsidRPr="0029344C" w:rsidRDefault="00C87869" w:rsidP="008D2B66">
            <w:pPr>
              <w:spacing w:line="240" w:lineRule="auto"/>
              <w:rPr>
                <w:sz w:val="24"/>
                <w:szCs w:val="24"/>
              </w:rPr>
            </w:pPr>
            <w:r w:rsidRPr="0029344C">
              <w:rPr>
                <w:i/>
                <w:iCs/>
                <w:sz w:val="24"/>
                <w:szCs w:val="24"/>
              </w:rPr>
              <w:t xml:space="preserve">t </w:t>
            </w:r>
            <w:r w:rsidRPr="0029344C">
              <w:rPr>
                <w:sz w:val="24"/>
                <w:szCs w:val="24"/>
              </w:rPr>
              <w:t>and PWOL</w:t>
            </w:r>
          </w:p>
        </w:tc>
        <w:tc>
          <w:tcPr>
            <w:tcW w:w="2502" w:type="dxa"/>
            <w:tcBorders>
              <w:bottom w:val="single" w:sz="4" w:space="0" w:color="auto"/>
            </w:tcBorders>
          </w:tcPr>
          <w:p w14:paraId="526F2D03" w14:textId="77777777" w:rsidR="00C87869" w:rsidRPr="0029344C" w:rsidRDefault="00C87869" w:rsidP="008D2B66">
            <w:pPr>
              <w:spacing w:line="240" w:lineRule="auto"/>
              <w:jc w:val="center"/>
              <w:rPr>
                <w:sz w:val="24"/>
                <w:szCs w:val="24"/>
              </w:rPr>
            </w:pPr>
            <w:r w:rsidRPr="0029344C">
              <w:rPr>
                <w:sz w:val="24"/>
                <w:szCs w:val="24"/>
              </w:rPr>
              <w:t>0.98</w:t>
            </w:r>
          </w:p>
        </w:tc>
        <w:tc>
          <w:tcPr>
            <w:tcW w:w="2502" w:type="dxa"/>
            <w:tcBorders>
              <w:bottom w:val="single" w:sz="4" w:space="0" w:color="auto"/>
            </w:tcBorders>
          </w:tcPr>
          <w:p w14:paraId="0E1E9C45" w14:textId="77777777" w:rsidR="00C87869" w:rsidRPr="0029344C" w:rsidRDefault="00C87869" w:rsidP="008D2B66">
            <w:pPr>
              <w:spacing w:line="240" w:lineRule="auto"/>
              <w:jc w:val="center"/>
              <w:rPr>
                <w:sz w:val="24"/>
                <w:szCs w:val="24"/>
              </w:rPr>
            </w:pPr>
            <w:r w:rsidRPr="0029344C">
              <w:rPr>
                <w:sz w:val="24"/>
                <w:szCs w:val="24"/>
              </w:rPr>
              <w:t>0.99</w:t>
            </w:r>
          </w:p>
        </w:tc>
      </w:tr>
    </w:tbl>
    <w:p w14:paraId="3C3B5C13" w14:textId="012BC906" w:rsidR="00F16979" w:rsidRPr="0029344C" w:rsidRDefault="00C87869" w:rsidP="007F6DA1">
      <w:r w:rsidRPr="0029344C">
        <w:t xml:space="preserve">Note: </w:t>
      </w:r>
      <w:r w:rsidR="0029344C">
        <w:t>A</w:t>
      </w:r>
      <w:r w:rsidRPr="0029344C">
        <w:t>ll correlations were significant at p</w:t>
      </w:r>
      <w:r w:rsidR="0029344C">
        <w:t xml:space="preserve"> </w:t>
      </w:r>
      <w:r w:rsidRPr="0029344C">
        <w:t>&lt;.001.</w:t>
      </w:r>
    </w:p>
    <w:p w14:paraId="034C4DAB" w14:textId="77777777" w:rsidR="00F16979" w:rsidRDefault="00F16979" w:rsidP="007F6DA1">
      <w:pPr>
        <w:rPr>
          <w:b/>
          <w:bCs/>
        </w:rPr>
      </w:pPr>
    </w:p>
    <w:p w14:paraId="710BC86A" w14:textId="23A745DE" w:rsidR="007F6DA1" w:rsidRPr="007F6DA1" w:rsidRDefault="00C87869" w:rsidP="007F6DA1">
      <w:pPr>
        <w:rPr>
          <w:b/>
          <w:bCs/>
        </w:rPr>
      </w:pPr>
      <w:r w:rsidRPr="007F6DA1">
        <w:rPr>
          <w:b/>
          <w:bCs/>
        </w:rPr>
        <w:t>Discussion</w:t>
      </w:r>
      <w:r w:rsidR="0029344C">
        <w:rPr>
          <w:b/>
          <w:bCs/>
        </w:rPr>
        <w:t xml:space="preserve"> </w:t>
      </w:r>
    </w:p>
    <w:p w14:paraId="226BF06D" w14:textId="216E8153" w:rsidR="00C87869" w:rsidRPr="0029344C" w:rsidRDefault="00C87869" w:rsidP="0029344C">
      <w:pPr>
        <w:jc w:val="both"/>
        <w:rPr>
          <w:b/>
          <w:bCs/>
          <w:color w:val="FF0000"/>
        </w:rPr>
      </w:pPr>
      <w:r w:rsidRPr="008810B7">
        <w:rPr>
          <w:color w:val="000000" w:themeColor="text1"/>
        </w:rPr>
        <w:t xml:space="preserve">The aim of this study was to provide further validation for </w:t>
      </w:r>
      <w:r w:rsidR="008810B7" w:rsidRPr="008810B7">
        <w:rPr>
          <w:color w:val="000000" w:themeColor="text1"/>
        </w:rPr>
        <w:t>the PWOL method</w:t>
      </w:r>
      <w:r w:rsidR="003B1C86" w:rsidRPr="003B1C86">
        <w:rPr>
          <w:color w:val="000000" w:themeColor="text1"/>
          <w:vertAlign w:val="superscript"/>
        </w:rPr>
        <w:t>8</w:t>
      </w:r>
      <w:r w:rsidR="008810B7" w:rsidRPr="008810B7">
        <w:rPr>
          <w:color w:val="000000" w:themeColor="text1"/>
        </w:rPr>
        <w:t xml:space="preserve"> in respect of </w:t>
      </w:r>
      <w:r w:rsidR="004333E1" w:rsidRPr="008810B7">
        <w:rPr>
          <w:color w:val="000000" w:themeColor="text1"/>
        </w:rPr>
        <w:t>hard</w:t>
      </w:r>
      <w:r w:rsidR="004333E1">
        <w:rPr>
          <w:color w:val="000000" w:themeColor="text1"/>
        </w:rPr>
        <w:t>-court</w:t>
      </w:r>
      <w:r w:rsidR="008810B7" w:rsidRPr="008810B7">
        <w:rPr>
          <w:color w:val="000000" w:themeColor="text1"/>
        </w:rPr>
        <w:t xml:space="preserve"> </w:t>
      </w:r>
      <w:r w:rsidR="008810B7" w:rsidRPr="00724B18">
        <w:rPr>
          <w:color w:val="000000" w:themeColor="text1"/>
        </w:rPr>
        <w:t xml:space="preserve">performance. </w:t>
      </w:r>
      <w:r w:rsidRPr="00724B18">
        <w:rPr>
          <w:color w:val="000000" w:themeColor="text1"/>
        </w:rPr>
        <w:t xml:space="preserve">Following an identical procedure to </w:t>
      </w:r>
      <w:r w:rsidR="008810B7" w:rsidRPr="00724B18">
        <w:rPr>
          <w:color w:val="000000" w:themeColor="text1"/>
        </w:rPr>
        <w:t>Fitzpatrick et al</w:t>
      </w:r>
      <w:r w:rsidR="003B1C86">
        <w:rPr>
          <w:color w:val="000000" w:themeColor="text1"/>
        </w:rPr>
        <w:t>.</w:t>
      </w:r>
      <w:r w:rsidR="003B1C86" w:rsidRPr="003B1C86">
        <w:rPr>
          <w:color w:val="000000" w:themeColor="text1"/>
          <w:vertAlign w:val="superscript"/>
        </w:rPr>
        <w:t>8</w:t>
      </w:r>
      <w:r w:rsidRPr="00724B18">
        <w:rPr>
          <w:color w:val="000000" w:themeColor="text1"/>
        </w:rPr>
        <w:t xml:space="preserve">, </w:t>
      </w:r>
      <w:r w:rsidR="008810B7" w:rsidRPr="00724B18">
        <w:rPr>
          <w:color w:val="000000" w:themeColor="text1"/>
        </w:rPr>
        <w:t>this study</w:t>
      </w:r>
      <w:r w:rsidRPr="00724B18">
        <w:rPr>
          <w:color w:val="000000" w:themeColor="text1"/>
        </w:rPr>
        <w:t xml:space="preserve"> compared traditional statistical methods; point-biserial correlations and paired </w:t>
      </w:r>
      <w:r w:rsidRPr="00724B18">
        <w:rPr>
          <w:i/>
          <w:iCs/>
          <w:color w:val="000000" w:themeColor="text1"/>
        </w:rPr>
        <w:t>t</w:t>
      </w:r>
      <w:r w:rsidRPr="00724B18">
        <w:rPr>
          <w:color w:val="000000" w:themeColor="text1"/>
        </w:rPr>
        <w:t>-tests</w:t>
      </w:r>
      <w:r w:rsidR="00724B18" w:rsidRPr="00724B18">
        <w:rPr>
          <w:color w:val="000000" w:themeColor="text1"/>
        </w:rPr>
        <w:t xml:space="preserve"> with the PWOL method</w:t>
      </w:r>
      <w:r w:rsidRPr="00724B18">
        <w:rPr>
          <w:color w:val="000000" w:themeColor="text1"/>
        </w:rPr>
        <w:t>. Spearman’s rank-order correlations demonstrated excellent agreement between the three methods (</w:t>
      </w:r>
      <w:r w:rsidRPr="005F5535">
        <w:rPr>
          <w:i/>
          <w:iCs/>
          <w:color w:val="000000" w:themeColor="text1"/>
        </w:rPr>
        <w:t>r</w:t>
      </w:r>
      <w:r w:rsidRPr="00724B18">
        <w:rPr>
          <w:color w:val="000000" w:themeColor="text1"/>
        </w:rPr>
        <w:t xml:space="preserve"> between 0.97 and </w:t>
      </w:r>
      <w:r w:rsidR="00724B18" w:rsidRPr="00724B18">
        <w:rPr>
          <w:color w:val="000000" w:themeColor="text1"/>
        </w:rPr>
        <w:t xml:space="preserve">1.00; </w:t>
      </w:r>
      <w:r w:rsidRPr="00724B18">
        <w:rPr>
          <w:color w:val="000000" w:themeColor="text1"/>
        </w:rPr>
        <w:t>p</w:t>
      </w:r>
      <w:r w:rsidR="00724B18" w:rsidRPr="00724B18">
        <w:rPr>
          <w:color w:val="000000" w:themeColor="text1"/>
        </w:rPr>
        <w:t xml:space="preserve"> </w:t>
      </w:r>
      <w:r w:rsidRPr="00724B18">
        <w:rPr>
          <w:color w:val="000000" w:themeColor="text1"/>
        </w:rPr>
        <w:t>&lt;</w:t>
      </w:r>
      <w:r w:rsidR="00724B18" w:rsidRPr="00724B18">
        <w:rPr>
          <w:color w:val="000000" w:themeColor="text1"/>
        </w:rPr>
        <w:t xml:space="preserve"> 0</w:t>
      </w:r>
      <w:r w:rsidRPr="00724B18">
        <w:rPr>
          <w:color w:val="000000" w:themeColor="text1"/>
        </w:rPr>
        <w:t>.001),</w:t>
      </w:r>
      <w:r w:rsidR="00724B18" w:rsidRPr="00724B18">
        <w:rPr>
          <w:color w:val="000000" w:themeColor="text1"/>
        </w:rPr>
        <w:t xml:space="preserve"> </w:t>
      </w:r>
      <w:r w:rsidRPr="00724B18">
        <w:rPr>
          <w:color w:val="000000" w:themeColor="text1"/>
        </w:rPr>
        <w:t xml:space="preserve">for </w:t>
      </w:r>
      <w:r w:rsidR="00724B18" w:rsidRPr="005F5535">
        <w:rPr>
          <w:color w:val="000000" w:themeColor="text1"/>
        </w:rPr>
        <w:t xml:space="preserve">both the </w:t>
      </w:r>
      <w:r w:rsidRPr="005F5535">
        <w:rPr>
          <w:color w:val="000000" w:themeColor="text1"/>
        </w:rPr>
        <w:t>men</w:t>
      </w:r>
      <w:r w:rsidR="00724B18" w:rsidRPr="005F5535">
        <w:rPr>
          <w:color w:val="000000" w:themeColor="text1"/>
        </w:rPr>
        <w:t>’s</w:t>
      </w:r>
      <w:r w:rsidRPr="005F5535">
        <w:rPr>
          <w:color w:val="000000" w:themeColor="text1"/>
        </w:rPr>
        <w:t xml:space="preserve"> and women’s </w:t>
      </w:r>
      <w:r w:rsidR="00724B18" w:rsidRPr="005F5535">
        <w:rPr>
          <w:color w:val="000000" w:themeColor="text1"/>
        </w:rPr>
        <w:t>analysis</w:t>
      </w:r>
      <w:r w:rsidRPr="005F5535">
        <w:rPr>
          <w:color w:val="000000" w:themeColor="text1"/>
        </w:rPr>
        <w:t xml:space="preserve">. This </w:t>
      </w:r>
      <w:r w:rsidR="005F5535" w:rsidRPr="005F5535">
        <w:rPr>
          <w:color w:val="000000" w:themeColor="text1"/>
        </w:rPr>
        <w:t xml:space="preserve">finding supports </w:t>
      </w:r>
      <w:r w:rsidRPr="005F5535">
        <w:rPr>
          <w:color w:val="000000" w:themeColor="text1"/>
        </w:rPr>
        <w:t>Fitzpatrick et al.</w:t>
      </w:r>
      <w:r w:rsidR="003B1C86" w:rsidRPr="003B1C86">
        <w:rPr>
          <w:color w:val="000000" w:themeColor="text1"/>
          <w:vertAlign w:val="superscript"/>
        </w:rPr>
        <w:t>8</w:t>
      </w:r>
      <w:r w:rsidRPr="005F5535">
        <w:rPr>
          <w:color w:val="000000" w:themeColor="text1"/>
        </w:rPr>
        <w:t xml:space="preserve"> </w:t>
      </w:r>
      <w:r w:rsidR="005F5535" w:rsidRPr="005F5535">
        <w:rPr>
          <w:color w:val="000000" w:themeColor="text1"/>
        </w:rPr>
        <w:t>within</w:t>
      </w:r>
      <w:r w:rsidRPr="005F5535">
        <w:rPr>
          <w:color w:val="000000" w:themeColor="text1"/>
        </w:rPr>
        <w:t xml:space="preserve"> elite clay court </w:t>
      </w:r>
      <w:r w:rsidR="005F5535" w:rsidRPr="005F5535">
        <w:rPr>
          <w:color w:val="000000" w:themeColor="text1"/>
        </w:rPr>
        <w:t>match play (</w:t>
      </w:r>
      <w:r w:rsidRPr="005F5535">
        <w:rPr>
          <w:color w:val="000000" w:themeColor="text1"/>
        </w:rPr>
        <w:t>rs 0.94</w:t>
      </w:r>
      <w:r w:rsidR="005F5535" w:rsidRPr="005F5535">
        <w:rPr>
          <w:color w:val="000000" w:themeColor="text1"/>
        </w:rPr>
        <w:t>-</w:t>
      </w:r>
      <w:r w:rsidRPr="005F5535">
        <w:rPr>
          <w:color w:val="000000" w:themeColor="text1"/>
        </w:rPr>
        <w:t>0.98</w:t>
      </w:r>
      <w:r w:rsidR="005F5535" w:rsidRPr="005F5535">
        <w:rPr>
          <w:color w:val="000000" w:themeColor="text1"/>
        </w:rPr>
        <w:t>)</w:t>
      </w:r>
      <w:r w:rsidRPr="005F5535">
        <w:rPr>
          <w:color w:val="000000" w:themeColor="text1"/>
        </w:rPr>
        <w:t xml:space="preserve"> and further valid</w:t>
      </w:r>
      <w:r w:rsidR="005F5535" w:rsidRPr="005F5535">
        <w:rPr>
          <w:color w:val="000000" w:themeColor="text1"/>
        </w:rPr>
        <w:t>ates the use of</w:t>
      </w:r>
      <w:r w:rsidRPr="005F5535">
        <w:rPr>
          <w:color w:val="000000" w:themeColor="text1"/>
        </w:rPr>
        <w:t xml:space="preserve"> the PWOL method. It was vitally important to </w:t>
      </w:r>
      <w:r w:rsidR="005F5535" w:rsidRPr="005F5535">
        <w:rPr>
          <w:color w:val="000000" w:themeColor="text1"/>
        </w:rPr>
        <w:t>confirm</w:t>
      </w:r>
      <w:r w:rsidRPr="005F5535">
        <w:rPr>
          <w:color w:val="000000" w:themeColor="text1"/>
        </w:rPr>
        <w:t xml:space="preserve"> validity considering; the use of a </w:t>
      </w:r>
      <w:r w:rsidR="005F5535" w:rsidRPr="005F5535">
        <w:rPr>
          <w:color w:val="000000" w:themeColor="text1"/>
        </w:rPr>
        <w:t>considerably larger</w:t>
      </w:r>
      <w:r w:rsidRPr="005F5535">
        <w:rPr>
          <w:color w:val="000000" w:themeColor="text1"/>
        </w:rPr>
        <w:t xml:space="preserve"> dataset, additional tournament levels </w:t>
      </w:r>
      <w:r w:rsidR="005F5535" w:rsidRPr="005F5535">
        <w:rPr>
          <w:color w:val="000000" w:themeColor="text1"/>
        </w:rPr>
        <w:t xml:space="preserve">(i.e., not </w:t>
      </w:r>
      <w:r w:rsidR="002756A0">
        <w:rPr>
          <w:color w:val="000000" w:themeColor="text1"/>
        </w:rPr>
        <w:t>only</w:t>
      </w:r>
      <w:r w:rsidR="005F5535" w:rsidRPr="005F5535">
        <w:rPr>
          <w:color w:val="000000" w:themeColor="text1"/>
        </w:rPr>
        <w:t xml:space="preserve"> Grand Slam</w:t>
      </w:r>
      <w:r w:rsidR="002756A0">
        <w:rPr>
          <w:color w:val="000000" w:themeColor="text1"/>
        </w:rPr>
        <w:t>s</w:t>
      </w:r>
      <w:r w:rsidR="005F5535" w:rsidRPr="005F5535">
        <w:rPr>
          <w:color w:val="000000" w:themeColor="text1"/>
        </w:rPr>
        <w:t>)</w:t>
      </w:r>
      <w:r w:rsidRPr="005F5535">
        <w:rPr>
          <w:color w:val="000000" w:themeColor="text1"/>
        </w:rPr>
        <w:t>, and</w:t>
      </w:r>
      <w:r w:rsidR="005F5535" w:rsidRPr="005F5535">
        <w:rPr>
          <w:color w:val="000000" w:themeColor="text1"/>
        </w:rPr>
        <w:t xml:space="preserve"> most importantly the use of</w:t>
      </w:r>
      <w:r w:rsidRPr="005F5535">
        <w:rPr>
          <w:color w:val="000000" w:themeColor="text1"/>
        </w:rPr>
        <w:t xml:space="preserve"> a different surface being played on</w:t>
      </w:r>
      <w:r w:rsidR="005F5535" w:rsidRPr="005F5535">
        <w:rPr>
          <w:color w:val="000000" w:themeColor="text1"/>
        </w:rPr>
        <w:t xml:space="preserve"> (i.e., </w:t>
      </w:r>
      <w:r w:rsidR="004333E1">
        <w:rPr>
          <w:color w:val="000000" w:themeColor="text1"/>
        </w:rPr>
        <w:t>h</w:t>
      </w:r>
      <w:r w:rsidR="005F5535" w:rsidRPr="005F5535">
        <w:rPr>
          <w:color w:val="000000" w:themeColor="text1"/>
        </w:rPr>
        <w:t>ard court)</w:t>
      </w:r>
      <w:r w:rsidRPr="005F5535">
        <w:rPr>
          <w:color w:val="000000" w:themeColor="text1"/>
        </w:rPr>
        <w:t xml:space="preserve">. </w:t>
      </w:r>
      <w:r w:rsidR="005F5535" w:rsidRPr="005F5535">
        <w:rPr>
          <w:color w:val="000000" w:themeColor="text1"/>
        </w:rPr>
        <w:t>Highlighting</w:t>
      </w:r>
      <w:r w:rsidRPr="005F5535">
        <w:rPr>
          <w:color w:val="000000" w:themeColor="text1"/>
        </w:rPr>
        <w:t xml:space="preserve"> PWOL to be valid for hard court </w:t>
      </w:r>
      <w:r w:rsidR="005F5535" w:rsidRPr="005F5535">
        <w:rPr>
          <w:color w:val="000000" w:themeColor="text1"/>
        </w:rPr>
        <w:t>match play reaffirms</w:t>
      </w:r>
      <w:r w:rsidRPr="005F5535">
        <w:rPr>
          <w:color w:val="000000" w:themeColor="text1"/>
        </w:rPr>
        <w:t xml:space="preserve"> the versatility of the method across the sport and, if harnessed appropriately, </w:t>
      </w:r>
      <w:r w:rsidR="005F5535" w:rsidRPr="005F5535">
        <w:rPr>
          <w:color w:val="000000" w:themeColor="text1"/>
        </w:rPr>
        <w:t>offers</w:t>
      </w:r>
      <w:r w:rsidRPr="005F5535">
        <w:rPr>
          <w:color w:val="000000" w:themeColor="text1"/>
        </w:rPr>
        <w:t xml:space="preserve"> vast potential for practical use within the performance analysis field across a multitude of sports. </w:t>
      </w:r>
      <w:r w:rsidR="005F5535" w:rsidRPr="005F5535">
        <w:rPr>
          <w:color w:val="000000" w:themeColor="text1"/>
        </w:rPr>
        <w:t>Specifically, PWOL can</w:t>
      </w:r>
      <w:r w:rsidRPr="005F5535">
        <w:rPr>
          <w:color w:val="000000" w:themeColor="text1"/>
        </w:rPr>
        <w:t xml:space="preserve"> identify performance indicators associated with success as effectively </w:t>
      </w:r>
      <w:r w:rsidRPr="005F5535">
        <w:rPr>
          <w:color w:val="000000" w:themeColor="text1"/>
        </w:rPr>
        <w:lastRenderedPageBreak/>
        <w:t>as more complex statistical methods</w:t>
      </w:r>
      <w:r w:rsidR="005F5535" w:rsidRPr="005F5535">
        <w:rPr>
          <w:color w:val="000000" w:themeColor="text1"/>
        </w:rPr>
        <w:t xml:space="preserve"> with a much simpler approach</w:t>
      </w:r>
      <w:r w:rsidRPr="005F5535">
        <w:rPr>
          <w:color w:val="000000" w:themeColor="text1"/>
        </w:rPr>
        <w:t xml:space="preserve">. Hence, elite coaches should consider using PWOL to make well-informed, </w:t>
      </w:r>
      <w:r w:rsidR="005F5535" w:rsidRPr="005F5535">
        <w:rPr>
          <w:color w:val="000000" w:themeColor="text1"/>
        </w:rPr>
        <w:t>objective</w:t>
      </w:r>
      <w:r w:rsidRPr="005F5535">
        <w:rPr>
          <w:color w:val="000000" w:themeColor="text1"/>
        </w:rPr>
        <w:t xml:space="preserve"> decisions for training and tactical match preparation.</w:t>
      </w:r>
    </w:p>
    <w:p w14:paraId="360E6798" w14:textId="41DAB845" w:rsidR="000C2D3B" w:rsidRPr="0029344C" w:rsidRDefault="00C87869" w:rsidP="0029344C">
      <w:pPr>
        <w:pStyle w:val="Newparagraph"/>
        <w:jc w:val="both"/>
        <w:rPr>
          <w:color w:val="FF0000"/>
        </w:rPr>
      </w:pPr>
      <w:r w:rsidRPr="00D93E78">
        <w:rPr>
          <w:color w:val="000000" w:themeColor="text1"/>
        </w:rPr>
        <w:t xml:space="preserve">A second aim was to identify KPIs on hard courts </w:t>
      </w:r>
      <w:r w:rsidR="00D93E78" w:rsidRPr="00D93E78">
        <w:rPr>
          <w:color w:val="000000" w:themeColor="text1"/>
        </w:rPr>
        <w:t>in</w:t>
      </w:r>
      <w:r w:rsidRPr="00D93E78">
        <w:rPr>
          <w:color w:val="000000" w:themeColor="text1"/>
        </w:rPr>
        <w:t xml:space="preserve"> </w:t>
      </w:r>
      <w:r w:rsidR="00D93E78" w:rsidRPr="00D93E78">
        <w:rPr>
          <w:color w:val="000000" w:themeColor="text1"/>
        </w:rPr>
        <w:t>comparison to those highlighted as important</w:t>
      </w:r>
      <w:r w:rsidRPr="00D93E78">
        <w:rPr>
          <w:color w:val="000000" w:themeColor="text1"/>
        </w:rPr>
        <w:t xml:space="preserve"> on clay and grass court surfaces.</w:t>
      </w:r>
      <w:r w:rsidR="003B1C86" w:rsidRPr="003B1C86">
        <w:rPr>
          <w:color w:val="000000" w:themeColor="text1"/>
          <w:vertAlign w:val="superscript"/>
        </w:rPr>
        <w:t>9</w:t>
      </w:r>
      <w:r w:rsidRPr="00D93E78">
        <w:rPr>
          <w:color w:val="000000" w:themeColor="text1"/>
        </w:rPr>
        <w:t xml:space="preserve"> Analysis </w:t>
      </w:r>
      <w:r w:rsidR="00D93E78" w:rsidRPr="00D93E78">
        <w:rPr>
          <w:color w:val="000000" w:themeColor="text1"/>
        </w:rPr>
        <w:t>identified</w:t>
      </w:r>
      <w:r w:rsidRPr="00D93E78">
        <w:rPr>
          <w:color w:val="000000" w:themeColor="text1"/>
        </w:rPr>
        <w:t xml:space="preserve"> the same performance indicators exhibited the highest PWOLs compared to other surfaces</w:t>
      </w:r>
      <w:r w:rsidR="00D93E78" w:rsidRPr="00D93E78">
        <w:rPr>
          <w:color w:val="000000" w:themeColor="text1"/>
        </w:rPr>
        <w:t xml:space="preserve">, including </w:t>
      </w:r>
      <w:r w:rsidRPr="00D93E78">
        <w:rPr>
          <w:color w:val="000000" w:themeColor="text1"/>
        </w:rPr>
        <w:t xml:space="preserve">baseline points won, first serve points won, and points won of 0-4 rally length. </w:t>
      </w:r>
      <w:r w:rsidR="00D93E78" w:rsidRPr="00D93E78">
        <w:rPr>
          <w:color w:val="000000" w:themeColor="text1"/>
        </w:rPr>
        <w:t>The Winner/UE Ratio</w:t>
      </w:r>
      <w:r w:rsidRPr="00D93E78">
        <w:rPr>
          <w:color w:val="000000" w:themeColor="text1"/>
        </w:rPr>
        <w:t xml:space="preserve"> was found to have the next highest PWOL and association with success, although the two statistical methods </w:t>
      </w:r>
      <w:r w:rsidRPr="00E56845">
        <w:rPr>
          <w:color w:val="000000" w:themeColor="text1"/>
        </w:rPr>
        <w:t>disagreed marginally. At the other end, forced errors and double faults similarly exhibited the lowest PWOL values, highlight</w:t>
      </w:r>
      <w:r w:rsidR="00D93E78" w:rsidRPr="00E56845">
        <w:rPr>
          <w:color w:val="000000" w:themeColor="text1"/>
        </w:rPr>
        <w:t>ing</w:t>
      </w:r>
      <w:r w:rsidRPr="00E56845">
        <w:rPr>
          <w:color w:val="000000" w:themeColor="text1"/>
        </w:rPr>
        <w:t xml:space="preserve"> their strong association with losing on all surfaces. </w:t>
      </w:r>
      <w:r w:rsidR="00E56845" w:rsidRPr="00E56845">
        <w:rPr>
          <w:color w:val="000000" w:themeColor="text1"/>
        </w:rPr>
        <w:t>C</w:t>
      </w:r>
      <w:r w:rsidRPr="00E56845">
        <w:rPr>
          <w:color w:val="000000" w:themeColor="text1"/>
        </w:rPr>
        <w:t>omparing the three surfaces, some key differences can be found; however, comparisons must be approached cautiously considering the smaller sample size</w:t>
      </w:r>
      <w:r w:rsidR="00E56845" w:rsidRPr="00E56845">
        <w:rPr>
          <w:color w:val="000000" w:themeColor="text1"/>
        </w:rPr>
        <w:t xml:space="preserve"> (2016 and 2017 Wimbledon and Roland Garros)</w:t>
      </w:r>
      <w:r w:rsidRPr="00E56845">
        <w:rPr>
          <w:color w:val="000000" w:themeColor="text1"/>
        </w:rPr>
        <w:t xml:space="preserve"> used </w:t>
      </w:r>
      <w:r w:rsidRPr="0047294E">
        <w:rPr>
          <w:color w:val="000000" w:themeColor="text1"/>
        </w:rPr>
        <w:t>by Fitzpatrick et al.</w:t>
      </w:r>
      <w:r w:rsidR="003B1C86" w:rsidRPr="003B1C86">
        <w:rPr>
          <w:color w:val="000000" w:themeColor="text1"/>
          <w:vertAlign w:val="superscript"/>
        </w:rPr>
        <w:t>9</w:t>
      </w:r>
      <w:r w:rsidRPr="0047294E">
        <w:rPr>
          <w:color w:val="000000" w:themeColor="text1"/>
        </w:rPr>
        <w:t>. Another key factor is the difference between the prevalence and importance of performance indicators</w:t>
      </w:r>
      <w:r w:rsidR="00D929A6" w:rsidRPr="0047294E">
        <w:rPr>
          <w:color w:val="000000" w:themeColor="text1"/>
        </w:rPr>
        <w:t xml:space="preserve">. </w:t>
      </w:r>
      <w:r w:rsidR="004955E0" w:rsidRPr="0047294E">
        <w:rPr>
          <w:color w:val="000000" w:themeColor="text1"/>
        </w:rPr>
        <w:t xml:space="preserve">A greater </w:t>
      </w:r>
      <w:r w:rsidRPr="0047294E">
        <w:rPr>
          <w:color w:val="000000" w:themeColor="text1"/>
        </w:rPr>
        <w:t xml:space="preserve">prevalence </w:t>
      </w:r>
      <w:r w:rsidR="00D7487A" w:rsidRPr="0047294E">
        <w:rPr>
          <w:color w:val="000000" w:themeColor="text1"/>
        </w:rPr>
        <w:t>on one surface compared to another</w:t>
      </w:r>
      <w:r w:rsidRPr="0047294E">
        <w:rPr>
          <w:color w:val="000000" w:themeColor="text1"/>
        </w:rPr>
        <w:t xml:space="preserve"> do</w:t>
      </w:r>
      <w:r w:rsidR="00D7487A" w:rsidRPr="0047294E">
        <w:rPr>
          <w:color w:val="000000" w:themeColor="text1"/>
        </w:rPr>
        <w:t>es</w:t>
      </w:r>
      <w:r w:rsidRPr="0047294E">
        <w:rPr>
          <w:color w:val="000000" w:themeColor="text1"/>
        </w:rPr>
        <w:t xml:space="preserve"> not </w:t>
      </w:r>
      <w:r w:rsidR="00552A4F" w:rsidRPr="0047294E">
        <w:rPr>
          <w:color w:val="000000" w:themeColor="text1"/>
        </w:rPr>
        <w:t xml:space="preserve">always </w:t>
      </w:r>
      <w:r w:rsidR="00871E41" w:rsidRPr="0047294E">
        <w:rPr>
          <w:color w:val="000000" w:themeColor="text1"/>
        </w:rPr>
        <w:t>mean greater importance on that surface</w:t>
      </w:r>
      <w:r w:rsidRPr="0047294E">
        <w:rPr>
          <w:color w:val="000000" w:themeColor="text1"/>
        </w:rPr>
        <w:t xml:space="preserve">, </w:t>
      </w:r>
      <w:r w:rsidR="000652A0" w:rsidRPr="0047294E">
        <w:rPr>
          <w:color w:val="000000" w:themeColor="text1"/>
        </w:rPr>
        <w:t>yet</w:t>
      </w:r>
      <w:r w:rsidR="005B270D" w:rsidRPr="0047294E">
        <w:rPr>
          <w:color w:val="000000" w:themeColor="text1"/>
        </w:rPr>
        <w:t xml:space="preserve"> </w:t>
      </w:r>
      <w:r w:rsidR="00265AD6" w:rsidRPr="0047294E">
        <w:rPr>
          <w:color w:val="000000" w:themeColor="text1"/>
        </w:rPr>
        <w:t>importance</w:t>
      </w:r>
      <w:r w:rsidR="005977CC" w:rsidRPr="0047294E">
        <w:rPr>
          <w:color w:val="000000" w:themeColor="text1"/>
        </w:rPr>
        <w:t xml:space="preserve"> of a performance indicator</w:t>
      </w:r>
      <w:r w:rsidR="00265AD6" w:rsidRPr="0047294E">
        <w:rPr>
          <w:color w:val="000000" w:themeColor="text1"/>
        </w:rPr>
        <w:t xml:space="preserve"> is enhanced if more prevalent</w:t>
      </w:r>
      <w:r w:rsidR="004356A3" w:rsidRPr="0047294E">
        <w:rPr>
          <w:color w:val="000000" w:themeColor="text1"/>
        </w:rPr>
        <w:t xml:space="preserve"> (i.e., high</w:t>
      </w:r>
      <w:r w:rsidR="00275B40" w:rsidRPr="0047294E">
        <w:rPr>
          <w:color w:val="000000" w:themeColor="text1"/>
        </w:rPr>
        <w:t>/low</w:t>
      </w:r>
      <w:r w:rsidR="004356A3" w:rsidRPr="0047294E">
        <w:rPr>
          <w:color w:val="000000" w:themeColor="text1"/>
        </w:rPr>
        <w:t xml:space="preserve"> PWOL + </w:t>
      </w:r>
      <w:r w:rsidR="00796863" w:rsidRPr="0047294E">
        <w:rPr>
          <w:color w:val="000000" w:themeColor="text1"/>
        </w:rPr>
        <w:t xml:space="preserve">high prevalence = </w:t>
      </w:r>
      <w:r w:rsidR="00CB2CCB" w:rsidRPr="0047294E">
        <w:rPr>
          <w:color w:val="000000" w:themeColor="text1"/>
        </w:rPr>
        <w:t>extreme importance)</w:t>
      </w:r>
      <w:r w:rsidRPr="0047294E">
        <w:rPr>
          <w:color w:val="000000" w:themeColor="text1"/>
        </w:rPr>
        <w:t>.</w:t>
      </w:r>
    </w:p>
    <w:p w14:paraId="750EA076" w14:textId="77777777" w:rsidR="000C2D3B" w:rsidRPr="0029344C" w:rsidRDefault="000C2D3B" w:rsidP="0029344C">
      <w:pPr>
        <w:pStyle w:val="Newparagraph"/>
        <w:ind w:firstLine="0"/>
        <w:jc w:val="both"/>
        <w:rPr>
          <w:color w:val="FF0000"/>
        </w:rPr>
      </w:pPr>
    </w:p>
    <w:p w14:paraId="0FF1C540" w14:textId="23457437" w:rsidR="00C87869" w:rsidRPr="00847048" w:rsidRDefault="00C87869" w:rsidP="0029344C">
      <w:pPr>
        <w:pStyle w:val="Newparagraph"/>
        <w:ind w:firstLine="0"/>
        <w:jc w:val="both"/>
        <w:rPr>
          <w:b/>
          <w:bCs/>
          <w:i/>
          <w:iCs/>
          <w:color w:val="000000" w:themeColor="text1"/>
        </w:rPr>
      </w:pPr>
      <w:r w:rsidRPr="00847048">
        <w:rPr>
          <w:b/>
          <w:bCs/>
          <w:color w:val="000000" w:themeColor="text1"/>
        </w:rPr>
        <w:t xml:space="preserve">Performance </w:t>
      </w:r>
      <w:r w:rsidR="00847048" w:rsidRPr="00847048">
        <w:rPr>
          <w:b/>
          <w:bCs/>
          <w:color w:val="000000" w:themeColor="text1"/>
        </w:rPr>
        <w:t>I</w:t>
      </w:r>
      <w:r w:rsidRPr="00847048">
        <w:rPr>
          <w:b/>
          <w:bCs/>
          <w:color w:val="000000" w:themeColor="text1"/>
        </w:rPr>
        <w:t xml:space="preserve">ndicators </w:t>
      </w:r>
      <w:r w:rsidR="00847048" w:rsidRPr="00847048">
        <w:rPr>
          <w:b/>
          <w:bCs/>
          <w:color w:val="000000" w:themeColor="text1"/>
        </w:rPr>
        <w:t>A</w:t>
      </w:r>
      <w:r w:rsidRPr="00847048">
        <w:rPr>
          <w:b/>
          <w:bCs/>
          <w:color w:val="000000" w:themeColor="text1"/>
        </w:rPr>
        <w:t xml:space="preserve">ssociated with </w:t>
      </w:r>
      <w:r w:rsidR="00847048" w:rsidRPr="00847048">
        <w:rPr>
          <w:b/>
          <w:bCs/>
          <w:color w:val="000000" w:themeColor="text1"/>
        </w:rPr>
        <w:t>W</w:t>
      </w:r>
      <w:r w:rsidRPr="00847048">
        <w:rPr>
          <w:b/>
          <w:bCs/>
          <w:color w:val="000000" w:themeColor="text1"/>
        </w:rPr>
        <w:t>inning</w:t>
      </w:r>
    </w:p>
    <w:p w14:paraId="4928F07B" w14:textId="4CB2968F" w:rsidR="00C87869" w:rsidRPr="0029344C" w:rsidRDefault="00C87869" w:rsidP="0029344C">
      <w:pPr>
        <w:pStyle w:val="Paragraph"/>
        <w:spacing w:before="0"/>
        <w:jc w:val="both"/>
        <w:rPr>
          <w:color w:val="FF0000"/>
        </w:rPr>
      </w:pPr>
      <w:r w:rsidRPr="004F4F89">
        <w:rPr>
          <w:color w:val="000000" w:themeColor="text1"/>
        </w:rPr>
        <w:t>O’Donoghue and Ingram</w:t>
      </w:r>
      <w:r w:rsidR="00910341" w:rsidRPr="00910341">
        <w:rPr>
          <w:color w:val="000000" w:themeColor="text1"/>
          <w:vertAlign w:val="superscript"/>
        </w:rPr>
        <w:t>30</w:t>
      </w:r>
      <w:r w:rsidRPr="004F4F89">
        <w:rPr>
          <w:color w:val="000000" w:themeColor="text1"/>
        </w:rPr>
        <w:t xml:space="preserve"> found women to have significantly more (p</w:t>
      </w:r>
      <w:r w:rsidR="00E56845" w:rsidRPr="004F4F89">
        <w:rPr>
          <w:color w:val="000000" w:themeColor="text1"/>
        </w:rPr>
        <w:t xml:space="preserve"> </w:t>
      </w:r>
      <w:r w:rsidRPr="004F4F89">
        <w:rPr>
          <w:color w:val="000000" w:themeColor="text1"/>
        </w:rPr>
        <w:t>&lt;</w:t>
      </w:r>
      <w:r w:rsidR="00E56845" w:rsidRPr="004F4F89">
        <w:rPr>
          <w:color w:val="000000" w:themeColor="text1"/>
        </w:rPr>
        <w:t xml:space="preserve"> 0</w:t>
      </w:r>
      <w:r w:rsidRPr="004F4F89">
        <w:rPr>
          <w:color w:val="000000" w:themeColor="text1"/>
        </w:rPr>
        <w:t xml:space="preserve">.001) baseline rallies than men across all Grand Slam events. Despite </w:t>
      </w:r>
      <w:r w:rsidRPr="00E56845">
        <w:rPr>
          <w:color w:val="000000" w:themeColor="text1"/>
        </w:rPr>
        <w:t>baseline points won having the strongest association with winning for both sexes, the additional prevalence for women suggests it may be a more important indicator within women’s tennis</w:t>
      </w:r>
      <w:r w:rsidR="00E56845" w:rsidRPr="00E56845">
        <w:rPr>
          <w:color w:val="000000" w:themeColor="text1"/>
        </w:rPr>
        <w:t>. Notably however</w:t>
      </w:r>
      <w:r w:rsidRPr="00E56845">
        <w:rPr>
          <w:color w:val="000000" w:themeColor="text1"/>
        </w:rPr>
        <w:t>, men’s tennis has seen a drastic change from serve and volley</w:t>
      </w:r>
      <w:r w:rsidR="00E56845" w:rsidRPr="00E56845">
        <w:rPr>
          <w:color w:val="000000" w:themeColor="text1"/>
        </w:rPr>
        <w:t xml:space="preserve"> tactics towards a more prominent</w:t>
      </w:r>
      <w:r w:rsidRPr="00E56845">
        <w:rPr>
          <w:color w:val="000000" w:themeColor="text1"/>
        </w:rPr>
        <w:t xml:space="preserve"> baseline game over the last few decades.</w:t>
      </w:r>
      <w:r w:rsidR="00910341" w:rsidRPr="00910341">
        <w:rPr>
          <w:color w:val="000000" w:themeColor="text1"/>
          <w:vertAlign w:val="superscript"/>
        </w:rPr>
        <w:t>31</w:t>
      </w:r>
      <w:r w:rsidRPr="00E56845">
        <w:rPr>
          <w:color w:val="000000" w:themeColor="text1"/>
        </w:rPr>
        <w:t xml:space="preserve"> </w:t>
      </w:r>
      <w:r w:rsidR="00E56845" w:rsidRPr="00062D7C">
        <w:t>To support this notion,</w:t>
      </w:r>
      <w:r w:rsidRPr="00062D7C">
        <w:t xml:space="preserve"> PWOL is greater for women than men on all </w:t>
      </w:r>
      <w:r w:rsidRPr="00062D7C">
        <w:lastRenderedPageBreak/>
        <w:t>surfaces</w:t>
      </w:r>
      <w:r w:rsidR="00A023CE" w:rsidRPr="00062D7C">
        <w:t xml:space="preserve"> for baseline points won</w:t>
      </w:r>
      <w:r w:rsidRPr="00062D7C">
        <w:t>; however, it is perhaps unexpected that clay does not have the greatest PWOL between each surface. For men and women, PWOL is higher on hard courts than clay, with grass courts also higher for women.</w:t>
      </w:r>
      <w:r w:rsidR="00910341" w:rsidRPr="00910341">
        <w:rPr>
          <w:vertAlign w:val="superscript"/>
        </w:rPr>
        <w:t>9</w:t>
      </w:r>
      <w:r w:rsidRPr="00062D7C">
        <w:t xml:space="preserve"> </w:t>
      </w:r>
      <w:r w:rsidRPr="00F8022B">
        <w:t>A possible explanation could be that a higher prevalence of baseline rallies</w:t>
      </w:r>
      <w:r w:rsidR="00A023CE" w:rsidRPr="00F8022B">
        <w:t xml:space="preserve"> on clay courts</w:t>
      </w:r>
      <w:r w:rsidR="00B92EE7" w:rsidRPr="00F8022B">
        <w:t xml:space="preserve">, </w:t>
      </w:r>
      <w:r w:rsidR="003A50E6" w:rsidRPr="00F8022B">
        <w:t xml:space="preserve">due to the slower ball </w:t>
      </w:r>
      <w:r w:rsidR="00331181" w:rsidRPr="00F8022B">
        <w:t>speed</w:t>
      </w:r>
      <w:r w:rsidR="003A50E6" w:rsidRPr="00F8022B">
        <w:t xml:space="preserve"> </w:t>
      </w:r>
      <w:r w:rsidR="00625FEB" w:rsidRPr="00F8022B">
        <w:t>off the surface</w:t>
      </w:r>
      <w:r w:rsidR="0047294E">
        <w:t>,</w:t>
      </w:r>
      <w:r w:rsidR="00625FEB" w:rsidRPr="00F8022B">
        <w:t xml:space="preserve"> </w:t>
      </w:r>
      <w:r w:rsidR="00D04C4C" w:rsidRPr="00F8022B">
        <w:t>resulting in</w:t>
      </w:r>
      <w:r w:rsidR="00F378E6" w:rsidRPr="00F8022B">
        <w:t xml:space="preserve"> more time </w:t>
      </w:r>
      <w:r w:rsidR="00E03938" w:rsidRPr="00F8022B">
        <w:t>to retrieve each shot</w:t>
      </w:r>
      <w:r w:rsidR="00910341" w:rsidRPr="00910341">
        <w:rPr>
          <w:vertAlign w:val="superscript"/>
        </w:rPr>
        <w:t>30</w:t>
      </w:r>
      <w:r w:rsidRPr="00F8022B">
        <w:t xml:space="preserve"> </w:t>
      </w:r>
      <w:r w:rsidR="00B9413C" w:rsidRPr="00F8022B">
        <w:t>increases the chances of pa</w:t>
      </w:r>
      <w:r w:rsidR="001E29E7" w:rsidRPr="00F8022B">
        <w:t>rity in points won (i.e.</w:t>
      </w:r>
      <w:r w:rsidR="002D7949">
        <w:t>,</w:t>
      </w:r>
      <w:r w:rsidR="001E29E7" w:rsidRPr="00F8022B">
        <w:t xml:space="preserve"> </w:t>
      </w:r>
      <w:r w:rsidR="00E92ED8" w:rsidRPr="00F8022B">
        <w:t>50/50 split) as the advantage of serv</w:t>
      </w:r>
      <w:r w:rsidR="00835249" w:rsidRPr="00F8022B">
        <w:t xml:space="preserve">ing decreases exponentially </w:t>
      </w:r>
      <w:r w:rsidR="00633254" w:rsidRPr="00F8022B">
        <w:t>the longer a point continues</w:t>
      </w:r>
      <w:r w:rsidRPr="00F8022B">
        <w:t>.</w:t>
      </w:r>
      <w:r w:rsidR="00910341" w:rsidRPr="00910341">
        <w:rPr>
          <w:vertAlign w:val="superscript"/>
        </w:rPr>
        <w:t>32</w:t>
      </w:r>
    </w:p>
    <w:p w14:paraId="429E7C6B" w14:textId="1BA9BDEF" w:rsidR="00C87869" w:rsidRPr="0029344C" w:rsidRDefault="00C87869" w:rsidP="0029344C">
      <w:pPr>
        <w:pStyle w:val="Newparagraph"/>
        <w:jc w:val="both"/>
        <w:rPr>
          <w:color w:val="FF0000"/>
        </w:rPr>
      </w:pPr>
      <w:r w:rsidRPr="003A50E6">
        <w:rPr>
          <w:color w:val="000000" w:themeColor="text1"/>
        </w:rPr>
        <w:t xml:space="preserve">Almost half </w:t>
      </w:r>
      <w:r w:rsidR="003A50E6" w:rsidRPr="003A50E6">
        <w:rPr>
          <w:color w:val="000000" w:themeColor="text1"/>
        </w:rPr>
        <w:t>(</w:t>
      </w:r>
      <w:r w:rsidR="00F22D6E">
        <w:rPr>
          <w:color w:val="000000" w:themeColor="text1"/>
        </w:rPr>
        <w:t>46.3</w:t>
      </w:r>
      <w:r w:rsidR="003A50E6" w:rsidRPr="003A50E6">
        <w:rPr>
          <w:color w:val="000000" w:themeColor="text1"/>
        </w:rPr>
        <w:t>%)</w:t>
      </w:r>
      <w:r w:rsidR="003A50E6">
        <w:rPr>
          <w:color w:val="000000" w:themeColor="text1"/>
        </w:rPr>
        <w:t xml:space="preserve"> </w:t>
      </w:r>
      <w:r w:rsidRPr="003A50E6">
        <w:rPr>
          <w:color w:val="000000" w:themeColor="text1"/>
        </w:rPr>
        <w:t xml:space="preserve">of short points (i.e. 0-4 rally length) are 1 shot in rally length in the men’s game, over a third </w:t>
      </w:r>
      <w:r w:rsidR="003A50E6" w:rsidRPr="003A50E6">
        <w:rPr>
          <w:color w:val="000000" w:themeColor="text1"/>
        </w:rPr>
        <w:t>(</w:t>
      </w:r>
      <w:r w:rsidR="00F22D6E">
        <w:rPr>
          <w:color w:val="000000" w:themeColor="text1"/>
        </w:rPr>
        <w:t>36.3</w:t>
      </w:r>
      <w:r w:rsidR="003A50E6" w:rsidRPr="003A50E6">
        <w:rPr>
          <w:color w:val="000000" w:themeColor="text1"/>
        </w:rPr>
        <w:t xml:space="preserve">%) </w:t>
      </w:r>
      <w:r w:rsidRPr="003A50E6">
        <w:rPr>
          <w:color w:val="000000" w:themeColor="text1"/>
        </w:rPr>
        <w:t>for women, with points of 2 shot rally length most associated with success</w:t>
      </w:r>
      <w:r w:rsidR="0069185D" w:rsidRPr="0069185D">
        <w:rPr>
          <w:color w:val="000000" w:themeColor="text1"/>
          <w:vertAlign w:val="superscript"/>
        </w:rPr>
        <w:t>33</w:t>
      </w:r>
      <w:r w:rsidRPr="003A50E6">
        <w:rPr>
          <w:color w:val="000000" w:themeColor="text1"/>
        </w:rPr>
        <w:t>, highlighting the importance of the serve and serve-return. These KPIs are highly associated with winning across all surfaces for both sexes, with very little variation in PWOL between the three surfaces. However, a limitation of PWOL becomes present</w:t>
      </w:r>
      <w:r w:rsidR="004A32F7">
        <w:rPr>
          <w:color w:val="000000" w:themeColor="text1"/>
        </w:rPr>
        <w:t>,</w:t>
      </w:r>
      <w:r w:rsidR="003A50E6" w:rsidRPr="003A50E6">
        <w:rPr>
          <w:color w:val="000000" w:themeColor="text1"/>
        </w:rPr>
        <w:t xml:space="preserve"> whereby variations</w:t>
      </w:r>
      <w:r w:rsidR="003A50E6">
        <w:rPr>
          <w:color w:val="000000" w:themeColor="text1"/>
        </w:rPr>
        <w:t xml:space="preserve"> in</w:t>
      </w:r>
      <w:r w:rsidR="003A50E6" w:rsidRPr="003A50E6">
        <w:rPr>
          <w:color w:val="000000" w:themeColor="text1"/>
        </w:rPr>
        <w:t xml:space="preserve"> </w:t>
      </w:r>
      <w:r w:rsidRPr="003A50E6">
        <w:rPr>
          <w:color w:val="000000" w:themeColor="text1"/>
        </w:rPr>
        <w:t>stature</w:t>
      </w:r>
      <w:r w:rsidR="0069185D" w:rsidRPr="0069185D">
        <w:rPr>
          <w:color w:val="000000" w:themeColor="text1"/>
          <w:vertAlign w:val="superscript"/>
        </w:rPr>
        <w:t>34</w:t>
      </w:r>
      <w:r w:rsidR="003A50E6" w:rsidRPr="003A50E6">
        <w:rPr>
          <w:color w:val="000000" w:themeColor="text1"/>
        </w:rPr>
        <w:t xml:space="preserve">, </w:t>
      </w:r>
      <w:r w:rsidRPr="003A50E6">
        <w:rPr>
          <w:color w:val="000000" w:themeColor="text1"/>
        </w:rPr>
        <w:t>handedness</w:t>
      </w:r>
      <w:r w:rsidR="0069185D" w:rsidRPr="0069185D">
        <w:rPr>
          <w:color w:val="000000" w:themeColor="text1"/>
          <w:vertAlign w:val="superscript"/>
        </w:rPr>
        <w:t>20</w:t>
      </w:r>
      <w:r w:rsidRPr="003A50E6">
        <w:rPr>
          <w:color w:val="000000" w:themeColor="text1"/>
        </w:rPr>
        <w:t>, tournament level</w:t>
      </w:r>
      <w:r w:rsidR="0069185D" w:rsidRPr="0069185D">
        <w:rPr>
          <w:color w:val="000000" w:themeColor="text1"/>
          <w:vertAlign w:val="superscript"/>
        </w:rPr>
        <w:t>5</w:t>
      </w:r>
      <w:r w:rsidRPr="003A50E6">
        <w:rPr>
          <w:color w:val="000000" w:themeColor="text1"/>
        </w:rPr>
        <w:t>, and ball wear</w:t>
      </w:r>
      <w:r w:rsidR="0069185D" w:rsidRPr="0069185D">
        <w:rPr>
          <w:color w:val="000000" w:themeColor="text1"/>
          <w:vertAlign w:val="superscript"/>
        </w:rPr>
        <w:t>4</w:t>
      </w:r>
      <w:r w:rsidR="003A656C">
        <w:rPr>
          <w:color w:val="000000" w:themeColor="text1"/>
        </w:rPr>
        <w:t xml:space="preserve">, </w:t>
      </w:r>
      <w:r w:rsidR="003A50E6" w:rsidRPr="003A50E6">
        <w:rPr>
          <w:color w:val="000000" w:themeColor="text1"/>
        </w:rPr>
        <w:t xml:space="preserve">which </w:t>
      </w:r>
      <w:r w:rsidRPr="003A50E6">
        <w:rPr>
          <w:color w:val="000000" w:themeColor="text1"/>
        </w:rPr>
        <w:t>affect serve and serve-return performance</w:t>
      </w:r>
      <w:r w:rsidR="003A656C">
        <w:rPr>
          <w:color w:val="000000" w:themeColor="text1"/>
        </w:rPr>
        <w:t>,</w:t>
      </w:r>
      <w:r w:rsidRPr="003A50E6">
        <w:rPr>
          <w:color w:val="000000" w:themeColor="text1"/>
        </w:rPr>
        <w:t xml:space="preserve"> are </w:t>
      </w:r>
      <w:r w:rsidR="003A50E6" w:rsidRPr="003A50E6">
        <w:rPr>
          <w:color w:val="000000" w:themeColor="text1"/>
        </w:rPr>
        <w:t>overlooked</w:t>
      </w:r>
      <w:r w:rsidRPr="003A50E6">
        <w:rPr>
          <w:color w:val="000000" w:themeColor="text1"/>
        </w:rPr>
        <w:t xml:space="preserve">. </w:t>
      </w:r>
      <w:r w:rsidRPr="00715718">
        <w:rPr>
          <w:color w:val="000000" w:themeColor="text1"/>
        </w:rPr>
        <w:t>This may explain why serve equality and serve-return effectiveness have low</w:t>
      </w:r>
      <w:r w:rsidR="00715718" w:rsidRPr="00715718">
        <w:rPr>
          <w:color w:val="000000" w:themeColor="text1"/>
        </w:rPr>
        <w:t>er</w:t>
      </w:r>
      <w:r w:rsidRPr="00715718">
        <w:rPr>
          <w:color w:val="000000" w:themeColor="text1"/>
        </w:rPr>
        <w:t xml:space="preserve"> association with match outcome. </w:t>
      </w:r>
      <w:r w:rsidR="00715718" w:rsidRPr="00715718">
        <w:rPr>
          <w:color w:val="000000" w:themeColor="text1"/>
        </w:rPr>
        <w:t>Although unpublished, Venn</w:t>
      </w:r>
      <w:r w:rsidR="0069185D" w:rsidRPr="0069185D">
        <w:rPr>
          <w:color w:val="000000" w:themeColor="text1"/>
          <w:vertAlign w:val="superscript"/>
        </w:rPr>
        <w:t>35</w:t>
      </w:r>
      <w:r w:rsidR="00715718" w:rsidRPr="00715718">
        <w:rPr>
          <w:color w:val="000000" w:themeColor="text1"/>
        </w:rPr>
        <w:t xml:space="preserve"> provided further context to the serve-return strategy highlighting that </w:t>
      </w:r>
      <w:r w:rsidRPr="00715718">
        <w:rPr>
          <w:color w:val="000000" w:themeColor="text1"/>
        </w:rPr>
        <w:t>winning players hit more to external areas of the court while hitting central was most associated with losing.</w:t>
      </w:r>
    </w:p>
    <w:p w14:paraId="22EEC5A1" w14:textId="39056210" w:rsidR="0047294E" w:rsidRDefault="00C87869" w:rsidP="0047294E">
      <w:pPr>
        <w:pStyle w:val="Newparagraph"/>
        <w:jc w:val="both"/>
        <w:rPr>
          <w:color w:val="FF0000"/>
        </w:rPr>
      </w:pPr>
      <w:r w:rsidRPr="00715718">
        <w:rPr>
          <w:color w:val="000000" w:themeColor="text1"/>
        </w:rPr>
        <w:t xml:space="preserve">As on grass and clay courts, points won of 0-4 rally length </w:t>
      </w:r>
      <w:r w:rsidR="00520AF2">
        <w:rPr>
          <w:color w:val="000000" w:themeColor="text1"/>
        </w:rPr>
        <w:t>on hard</w:t>
      </w:r>
      <w:r w:rsidR="004F4F89">
        <w:rPr>
          <w:color w:val="000000" w:themeColor="text1"/>
        </w:rPr>
        <w:t xml:space="preserve"> </w:t>
      </w:r>
      <w:r w:rsidR="00520AF2">
        <w:rPr>
          <w:color w:val="000000" w:themeColor="text1"/>
        </w:rPr>
        <w:t xml:space="preserve">courts </w:t>
      </w:r>
      <w:r w:rsidRPr="00715718">
        <w:rPr>
          <w:color w:val="000000" w:themeColor="text1"/>
        </w:rPr>
        <w:t xml:space="preserve">were most associated with success </w:t>
      </w:r>
      <w:r w:rsidR="00715718" w:rsidRPr="00715718">
        <w:rPr>
          <w:color w:val="000000" w:themeColor="text1"/>
        </w:rPr>
        <w:t>compared to</w:t>
      </w:r>
      <w:r w:rsidRPr="00715718">
        <w:rPr>
          <w:color w:val="000000" w:themeColor="text1"/>
        </w:rPr>
        <w:t xml:space="preserve"> all </w:t>
      </w:r>
      <w:r w:rsidR="00715718" w:rsidRPr="00715718">
        <w:rPr>
          <w:color w:val="000000" w:themeColor="text1"/>
        </w:rPr>
        <w:t xml:space="preserve">other </w:t>
      </w:r>
      <w:r w:rsidRPr="00715718">
        <w:rPr>
          <w:color w:val="000000" w:themeColor="text1"/>
        </w:rPr>
        <w:t xml:space="preserve">rally length performance indicators. However, the scale of this </w:t>
      </w:r>
      <w:r w:rsidRPr="00D65053">
        <w:rPr>
          <w:color w:val="000000" w:themeColor="text1"/>
        </w:rPr>
        <w:t xml:space="preserve">association is much weaker for men, with a PWOL around 10% lower than on grass and 7% lower than clay. Rallies are </w:t>
      </w:r>
      <w:r w:rsidR="00715718" w:rsidRPr="00D65053">
        <w:rPr>
          <w:color w:val="000000" w:themeColor="text1"/>
        </w:rPr>
        <w:t xml:space="preserve">generally </w:t>
      </w:r>
      <w:r w:rsidRPr="00D65053">
        <w:rPr>
          <w:color w:val="000000" w:themeColor="text1"/>
        </w:rPr>
        <w:t>longe</w:t>
      </w:r>
      <w:r w:rsidR="00715718" w:rsidRPr="00D65053">
        <w:rPr>
          <w:color w:val="000000" w:themeColor="text1"/>
        </w:rPr>
        <w:t>st</w:t>
      </w:r>
      <w:r w:rsidRPr="00D65053">
        <w:rPr>
          <w:color w:val="000000" w:themeColor="text1"/>
        </w:rPr>
        <w:t xml:space="preserve"> on </w:t>
      </w:r>
      <w:r w:rsidR="00715718" w:rsidRPr="00D65053">
        <w:rPr>
          <w:color w:val="000000" w:themeColor="text1"/>
        </w:rPr>
        <w:t xml:space="preserve">clay and shortest on </w:t>
      </w:r>
      <w:r w:rsidR="00520AF2" w:rsidRPr="00D65053">
        <w:rPr>
          <w:color w:val="000000" w:themeColor="text1"/>
        </w:rPr>
        <w:t xml:space="preserve">grass </w:t>
      </w:r>
      <w:r w:rsidRPr="00D65053">
        <w:rPr>
          <w:color w:val="000000" w:themeColor="text1"/>
        </w:rPr>
        <w:t>courts</w:t>
      </w:r>
      <w:r w:rsidR="0069185D" w:rsidRPr="0069185D">
        <w:rPr>
          <w:color w:val="000000" w:themeColor="text1"/>
          <w:vertAlign w:val="superscript"/>
        </w:rPr>
        <w:t>30</w:t>
      </w:r>
      <w:r w:rsidRPr="00D65053">
        <w:rPr>
          <w:color w:val="000000" w:themeColor="text1"/>
        </w:rPr>
        <w:t>, so a PWOL lower</w:t>
      </w:r>
      <w:r w:rsidR="00520AF2" w:rsidRPr="00D65053">
        <w:rPr>
          <w:color w:val="000000" w:themeColor="text1"/>
        </w:rPr>
        <w:t xml:space="preserve"> on hard</w:t>
      </w:r>
      <w:r w:rsidR="00322141">
        <w:rPr>
          <w:color w:val="000000" w:themeColor="text1"/>
        </w:rPr>
        <w:t xml:space="preserve"> </w:t>
      </w:r>
      <w:r w:rsidR="00520AF2" w:rsidRPr="00D65053">
        <w:rPr>
          <w:color w:val="000000" w:themeColor="text1"/>
        </w:rPr>
        <w:t>compared to</w:t>
      </w:r>
      <w:r w:rsidRPr="00D65053">
        <w:rPr>
          <w:color w:val="000000" w:themeColor="text1"/>
        </w:rPr>
        <w:t xml:space="preserve"> clay </w:t>
      </w:r>
      <w:r w:rsidRPr="00F53E31">
        <w:rPr>
          <w:color w:val="000000" w:themeColor="text1"/>
        </w:rPr>
        <w:t xml:space="preserve">is particularly surprising. This could be due to definitional differences for </w:t>
      </w:r>
      <w:r w:rsidR="00520AF2" w:rsidRPr="00F53E31">
        <w:rPr>
          <w:color w:val="000000" w:themeColor="text1"/>
        </w:rPr>
        <w:t xml:space="preserve">rally </w:t>
      </w:r>
      <w:r w:rsidRPr="00F53E31">
        <w:rPr>
          <w:color w:val="000000" w:themeColor="text1"/>
        </w:rPr>
        <w:t>shot count; for example, if a rally ended in a</w:t>
      </w:r>
      <w:r w:rsidR="00D65053" w:rsidRPr="00F53E31">
        <w:rPr>
          <w:color w:val="000000" w:themeColor="text1"/>
        </w:rPr>
        <w:t xml:space="preserve">n </w:t>
      </w:r>
      <w:r w:rsidRPr="00F53E31">
        <w:rPr>
          <w:color w:val="000000" w:themeColor="text1"/>
        </w:rPr>
        <w:t xml:space="preserve">error on the 5th shot, it would be placed into the 5-8 rally length category </w:t>
      </w:r>
      <w:r w:rsidR="00D65053" w:rsidRPr="00F53E31">
        <w:rPr>
          <w:color w:val="000000" w:themeColor="text1"/>
        </w:rPr>
        <w:t>here;</w:t>
      </w:r>
      <w:r w:rsidRPr="00F53E31">
        <w:rPr>
          <w:color w:val="000000" w:themeColor="text1"/>
        </w:rPr>
        <w:t xml:space="preserve"> but may be </w:t>
      </w:r>
      <w:r w:rsidR="00F53E31" w:rsidRPr="00F53E31">
        <w:rPr>
          <w:color w:val="000000" w:themeColor="text1"/>
        </w:rPr>
        <w:t xml:space="preserve">classed as </w:t>
      </w:r>
      <w:r w:rsidRPr="00F53E31">
        <w:rPr>
          <w:color w:val="000000" w:themeColor="text1"/>
        </w:rPr>
        <w:t xml:space="preserve">0-4 </w:t>
      </w:r>
      <w:r w:rsidR="00F53E31" w:rsidRPr="00F53E31">
        <w:rPr>
          <w:color w:val="000000" w:themeColor="text1"/>
        </w:rPr>
        <w:t xml:space="preserve">in </w:t>
      </w:r>
      <w:r w:rsidRPr="00F53E31">
        <w:rPr>
          <w:color w:val="000000" w:themeColor="text1"/>
        </w:rPr>
        <w:t>rally length for Fitzpatrick et al.</w:t>
      </w:r>
      <w:r w:rsidR="0069185D" w:rsidRPr="0069185D">
        <w:rPr>
          <w:color w:val="000000" w:themeColor="text1"/>
          <w:vertAlign w:val="superscript"/>
        </w:rPr>
        <w:t>9</w:t>
      </w:r>
      <w:r w:rsidR="0069185D">
        <w:rPr>
          <w:color w:val="000000" w:themeColor="text1"/>
        </w:rPr>
        <w:t xml:space="preserve"> </w:t>
      </w:r>
      <w:r w:rsidR="009B5ECD">
        <w:rPr>
          <w:color w:val="000000" w:themeColor="text1"/>
        </w:rPr>
        <w:t>if the final shot is discounted due to the error</w:t>
      </w:r>
      <w:r w:rsidRPr="00F53E31">
        <w:rPr>
          <w:color w:val="000000" w:themeColor="text1"/>
        </w:rPr>
        <w:t xml:space="preserve">. </w:t>
      </w:r>
    </w:p>
    <w:p w14:paraId="269E45AE" w14:textId="40429134" w:rsidR="000C2D3B" w:rsidRPr="0047294E" w:rsidRDefault="00A25A86" w:rsidP="0047294E">
      <w:pPr>
        <w:pStyle w:val="Newparagraph"/>
        <w:jc w:val="both"/>
        <w:rPr>
          <w:color w:val="FF0000"/>
        </w:rPr>
      </w:pPr>
      <w:proofErr w:type="spellStart"/>
      <w:r w:rsidRPr="0047294E">
        <w:rPr>
          <w:color w:val="000000" w:themeColor="text1"/>
        </w:rPr>
        <w:lastRenderedPageBreak/>
        <w:t>Winners:UE</w:t>
      </w:r>
      <w:proofErr w:type="spellEnd"/>
      <w:r w:rsidR="00C87869" w:rsidRPr="0047294E">
        <w:rPr>
          <w:color w:val="000000" w:themeColor="text1"/>
        </w:rPr>
        <w:t xml:space="preserve"> Ratio was </w:t>
      </w:r>
      <w:r w:rsidR="00CC1D6F" w:rsidRPr="0047294E">
        <w:rPr>
          <w:color w:val="000000" w:themeColor="text1"/>
        </w:rPr>
        <w:t xml:space="preserve">used </w:t>
      </w:r>
      <w:r w:rsidR="00C87869" w:rsidRPr="0047294E">
        <w:rPr>
          <w:color w:val="000000" w:themeColor="text1"/>
        </w:rPr>
        <w:t>to combine two performance indicators and validate a common phrase used by tennis practitioners</w:t>
      </w:r>
      <w:r w:rsidR="00535386" w:rsidRPr="0047294E">
        <w:rPr>
          <w:color w:val="000000" w:themeColor="text1"/>
        </w:rPr>
        <w:t xml:space="preserve"> who</w:t>
      </w:r>
      <w:r w:rsidR="00C87869" w:rsidRPr="0047294E">
        <w:rPr>
          <w:color w:val="000000" w:themeColor="text1"/>
        </w:rPr>
        <w:t xml:space="preserve"> suggest hitting more winners than unforced errors in a match associat</w:t>
      </w:r>
      <w:r w:rsidR="0087539A" w:rsidRPr="0047294E">
        <w:rPr>
          <w:color w:val="000000" w:themeColor="text1"/>
        </w:rPr>
        <w:t>es</w:t>
      </w:r>
      <w:r w:rsidR="00C87869" w:rsidRPr="0047294E">
        <w:rPr>
          <w:color w:val="000000" w:themeColor="text1"/>
        </w:rPr>
        <w:t xml:space="preserve"> strongly with success.</w:t>
      </w:r>
      <w:r w:rsidR="0069185D" w:rsidRPr="0069185D">
        <w:rPr>
          <w:color w:val="000000" w:themeColor="text1"/>
          <w:vertAlign w:val="superscript"/>
        </w:rPr>
        <w:t>33</w:t>
      </w:r>
      <w:r w:rsidR="00C87869" w:rsidRPr="0047294E">
        <w:rPr>
          <w:color w:val="000000" w:themeColor="text1"/>
        </w:rPr>
        <w:t xml:space="preserve"> Results </w:t>
      </w:r>
      <w:r w:rsidR="00784F7C">
        <w:rPr>
          <w:color w:val="000000" w:themeColor="text1"/>
        </w:rPr>
        <w:t>support</w:t>
      </w:r>
      <w:r w:rsidR="00C87869" w:rsidRPr="0047294E">
        <w:rPr>
          <w:color w:val="000000" w:themeColor="text1"/>
        </w:rPr>
        <w:t xml:space="preserve"> this, identifying a strong association with winning. However, even for winning players, hitting more winners than unforced errors </w:t>
      </w:r>
      <w:r w:rsidR="0047294E" w:rsidRPr="0047294E">
        <w:rPr>
          <w:color w:val="000000" w:themeColor="text1"/>
        </w:rPr>
        <w:t>were</w:t>
      </w:r>
      <w:r w:rsidR="00C87869" w:rsidRPr="0047294E">
        <w:rPr>
          <w:color w:val="000000" w:themeColor="text1"/>
        </w:rPr>
        <w:t xml:space="preserve"> not attainable on average (89.1 ± 44.3 for men, 82.6 ± 40.9% for women). Therefore, instead of </w:t>
      </w:r>
      <w:r w:rsidR="00784F7C">
        <w:rPr>
          <w:color w:val="000000" w:themeColor="text1"/>
        </w:rPr>
        <w:t>requesting</w:t>
      </w:r>
      <w:r w:rsidR="00C87869" w:rsidRPr="0047294E">
        <w:rPr>
          <w:color w:val="000000" w:themeColor="text1"/>
        </w:rPr>
        <w:t xml:space="preserve"> a player hit</w:t>
      </w:r>
      <w:r w:rsidR="00784F7C">
        <w:rPr>
          <w:color w:val="000000" w:themeColor="text1"/>
        </w:rPr>
        <w:t>s</w:t>
      </w:r>
      <w:r w:rsidR="00C87869" w:rsidRPr="0047294E">
        <w:rPr>
          <w:color w:val="000000" w:themeColor="text1"/>
        </w:rPr>
        <w:t xml:space="preserve"> more winners</w:t>
      </w:r>
      <w:r w:rsidR="00784F7C">
        <w:rPr>
          <w:color w:val="000000" w:themeColor="text1"/>
        </w:rPr>
        <w:t xml:space="preserve"> the analysis </w:t>
      </w:r>
      <w:r w:rsidR="00C87869" w:rsidRPr="0047294E">
        <w:rPr>
          <w:color w:val="000000" w:themeColor="text1"/>
        </w:rPr>
        <w:t xml:space="preserve">can provide a benchmark </w:t>
      </w:r>
      <w:r w:rsidR="00784F7C">
        <w:rPr>
          <w:color w:val="000000" w:themeColor="text1"/>
        </w:rPr>
        <w:t>to</w:t>
      </w:r>
      <w:r w:rsidR="00C87869" w:rsidRPr="0047294E">
        <w:rPr>
          <w:color w:val="000000" w:themeColor="text1"/>
        </w:rPr>
        <w:t xml:space="preserve"> aim for (ratio of 9:10 for men and 4:5 for women) as a more realistic goal. Depending on playing style, this </w:t>
      </w:r>
      <w:r w:rsidR="00784F7C">
        <w:rPr>
          <w:color w:val="000000" w:themeColor="text1"/>
        </w:rPr>
        <w:t>offers</w:t>
      </w:r>
      <w:r w:rsidR="00C87869" w:rsidRPr="0047294E">
        <w:rPr>
          <w:color w:val="000000" w:themeColor="text1"/>
        </w:rPr>
        <w:t xml:space="preserve"> an aggressive baseliner/serve and volleyer the freedom to keep attacking, or a defensive counterpuncher the knowledge that unforced errors are acceptable as long as a good ratio is met.</w:t>
      </w:r>
    </w:p>
    <w:p w14:paraId="526EBF60" w14:textId="77777777" w:rsidR="0029344C" w:rsidRPr="0029344C" w:rsidRDefault="0029344C" w:rsidP="0029344C">
      <w:pPr>
        <w:pStyle w:val="Newparagraph"/>
        <w:jc w:val="both"/>
        <w:rPr>
          <w:color w:val="FF0000"/>
        </w:rPr>
      </w:pPr>
    </w:p>
    <w:p w14:paraId="3B6090C3" w14:textId="0574E4A0" w:rsidR="00C87869" w:rsidRPr="002D0573" w:rsidRDefault="00C87869" w:rsidP="0029344C">
      <w:pPr>
        <w:pStyle w:val="Newparagraph"/>
        <w:ind w:firstLine="0"/>
        <w:jc w:val="both"/>
        <w:rPr>
          <w:b/>
          <w:bCs/>
          <w:i/>
          <w:iCs/>
          <w:color w:val="000000" w:themeColor="text1"/>
        </w:rPr>
      </w:pPr>
      <w:r w:rsidRPr="002D0573">
        <w:rPr>
          <w:b/>
          <w:bCs/>
          <w:color w:val="000000" w:themeColor="text1"/>
        </w:rPr>
        <w:t xml:space="preserve">Performance </w:t>
      </w:r>
      <w:r w:rsidR="002D0573" w:rsidRPr="002D0573">
        <w:rPr>
          <w:b/>
          <w:bCs/>
          <w:color w:val="000000" w:themeColor="text1"/>
        </w:rPr>
        <w:t>I</w:t>
      </w:r>
      <w:r w:rsidRPr="002D0573">
        <w:rPr>
          <w:b/>
          <w:bCs/>
          <w:color w:val="000000" w:themeColor="text1"/>
        </w:rPr>
        <w:t xml:space="preserve">ndicators </w:t>
      </w:r>
      <w:r w:rsidR="002D0573" w:rsidRPr="002D0573">
        <w:rPr>
          <w:b/>
          <w:bCs/>
          <w:color w:val="000000" w:themeColor="text1"/>
        </w:rPr>
        <w:t>A</w:t>
      </w:r>
      <w:r w:rsidRPr="002D0573">
        <w:rPr>
          <w:b/>
          <w:bCs/>
          <w:color w:val="000000" w:themeColor="text1"/>
        </w:rPr>
        <w:t xml:space="preserve">ssociated with </w:t>
      </w:r>
      <w:r w:rsidR="002D0573" w:rsidRPr="002D0573">
        <w:rPr>
          <w:b/>
          <w:bCs/>
          <w:color w:val="000000" w:themeColor="text1"/>
        </w:rPr>
        <w:t>L</w:t>
      </w:r>
      <w:r w:rsidRPr="002D0573">
        <w:rPr>
          <w:b/>
          <w:bCs/>
          <w:color w:val="000000" w:themeColor="text1"/>
        </w:rPr>
        <w:t>osing</w:t>
      </w:r>
    </w:p>
    <w:p w14:paraId="7B09AB27" w14:textId="7B600400" w:rsidR="000C2D3B" w:rsidRDefault="00C87869" w:rsidP="0029344C">
      <w:pPr>
        <w:pStyle w:val="Paragraph"/>
        <w:spacing w:before="0"/>
        <w:jc w:val="both"/>
        <w:rPr>
          <w:color w:val="FF0000"/>
        </w:rPr>
      </w:pPr>
      <w:r w:rsidRPr="00A459B8">
        <w:rPr>
          <w:color w:val="000000" w:themeColor="text1"/>
        </w:rPr>
        <w:t>Forced errors was the only performance indicator strongly associated with losing</w:t>
      </w:r>
      <w:r w:rsidR="0047294E">
        <w:rPr>
          <w:color w:val="000000" w:themeColor="text1"/>
        </w:rPr>
        <w:t xml:space="preserve"> (i.e., PWOL &lt; 40%</w:t>
      </w:r>
      <w:r w:rsidR="00B162F4">
        <w:rPr>
          <w:color w:val="000000" w:themeColor="text1"/>
        </w:rPr>
        <w:t>)</w:t>
      </w:r>
      <w:r w:rsidR="00B162F4" w:rsidRPr="00B162F4">
        <w:rPr>
          <w:color w:val="000000" w:themeColor="text1"/>
          <w:vertAlign w:val="superscript"/>
        </w:rPr>
        <w:t>8</w:t>
      </w:r>
      <w:r w:rsidRPr="00A459B8">
        <w:rPr>
          <w:color w:val="000000" w:themeColor="text1"/>
        </w:rPr>
        <w:t xml:space="preserve"> </w:t>
      </w:r>
      <w:r w:rsidRPr="0047294E">
        <w:rPr>
          <w:color w:val="000000" w:themeColor="text1"/>
        </w:rPr>
        <w:t xml:space="preserve">for both sexes. This largely follows expectations, considering </w:t>
      </w:r>
      <w:r w:rsidR="00B93D61">
        <w:rPr>
          <w:color w:val="000000" w:themeColor="text1"/>
        </w:rPr>
        <w:t>it</w:t>
      </w:r>
      <w:r w:rsidRPr="0047294E">
        <w:rPr>
          <w:color w:val="000000" w:themeColor="text1"/>
        </w:rPr>
        <w:t xml:space="preserve"> result</w:t>
      </w:r>
      <w:r w:rsidR="00B93D61">
        <w:rPr>
          <w:color w:val="000000" w:themeColor="text1"/>
        </w:rPr>
        <w:t>s</w:t>
      </w:r>
      <w:r w:rsidRPr="0047294E">
        <w:rPr>
          <w:color w:val="000000" w:themeColor="text1"/>
        </w:rPr>
        <w:t xml:space="preserve"> in losing the point directly. On grass and clay, </w:t>
      </w:r>
      <w:r w:rsidR="00A459B8" w:rsidRPr="0047294E">
        <w:rPr>
          <w:color w:val="000000" w:themeColor="text1"/>
        </w:rPr>
        <w:t>f</w:t>
      </w:r>
      <w:r w:rsidRPr="0047294E">
        <w:rPr>
          <w:color w:val="000000" w:themeColor="text1"/>
        </w:rPr>
        <w:t xml:space="preserve">orced </w:t>
      </w:r>
      <w:r w:rsidR="00A459B8" w:rsidRPr="0047294E">
        <w:rPr>
          <w:color w:val="000000" w:themeColor="text1"/>
        </w:rPr>
        <w:t>e</w:t>
      </w:r>
      <w:r w:rsidRPr="0047294E">
        <w:rPr>
          <w:color w:val="000000" w:themeColor="text1"/>
        </w:rPr>
        <w:t>rrors were considerably more important</w:t>
      </w:r>
      <w:r w:rsidR="00653E6E" w:rsidRPr="0047294E">
        <w:rPr>
          <w:color w:val="000000" w:themeColor="text1"/>
        </w:rPr>
        <w:t xml:space="preserve"> (i.e.</w:t>
      </w:r>
      <w:r w:rsidR="00B93D61">
        <w:rPr>
          <w:color w:val="000000" w:themeColor="text1"/>
        </w:rPr>
        <w:t>,</w:t>
      </w:r>
      <w:r w:rsidR="00653E6E" w:rsidRPr="0047294E">
        <w:rPr>
          <w:color w:val="000000" w:themeColor="text1"/>
        </w:rPr>
        <w:t xml:space="preserve"> </w:t>
      </w:r>
      <w:r w:rsidR="004C7DD5" w:rsidRPr="0047294E">
        <w:rPr>
          <w:color w:val="000000" w:themeColor="text1"/>
        </w:rPr>
        <w:t>more associated with losing)</w:t>
      </w:r>
      <w:r w:rsidRPr="0047294E">
        <w:rPr>
          <w:color w:val="000000" w:themeColor="text1"/>
        </w:rPr>
        <w:t xml:space="preserve"> for men than women – mostly attributed to </w:t>
      </w:r>
      <w:r w:rsidR="00A459B8" w:rsidRPr="0047294E">
        <w:rPr>
          <w:color w:val="000000" w:themeColor="text1"/>
        </w:rPr>
        <w:t>game style</w:t>
      </w:r>
      <w:r w:rsidRPr="0047294E">
        <w:rPr>
          <w:color w:val="000000" w:themeColor="text1"/>
        </w:rPr>
        <w:t xml:space="preserve"> differences, where men </w:t>
      </w:r>
      <w:r w:rsidR="00A459B8" w:rsidRPr="0047294E">
        <w:rPr>
          <w:color w:val="000000" w:themeColor="text1"/>
        </w:rPr>
        <w:t xml:space="preserve">are </w:t>
      </w:r>
      <w:r w:rsidRPr="0047294E">
        <w:rPr>
          <w:color w:val="000000" w:themeColor="text1"/>
        </w:rPr>
        <w:t xml:space="preserve">naturally </w:t>
      </w:r>
      <w:r w:rsidR="00A459B8" w:rsidRPr="0047294E">
        <w:rPr>
          <w:color w:val="000000" w:themeColor="text1"/>
        </w:rPr>
        <w:t>more</w:t>
      </w:r>
      <w:r w:rsidRPr="0047294E">
        <w:rPr>
          <w:color w:val="000000" w:themeColor="text1"/>
        </w:rPr>
        <w:t xml:space="preserve"> power</w:t>
      </w:r>
      <w:r w:rsidR="00A459B8" w:rsidRPr="0047294E">
        <w:rPr>
          <w:color w:val="000000" w:themeColor="text1"/>
        </w:rPr>
        <w:t>ful in general than women</w:t>
      </w:r>
      <w:r w:rsidRPr="0047294E">
        <w:rPr>
          <w:color w:val="000000" w:themeColor="text1"/>
        </w:rPr>
        <w:t>, resulting in more tactical variety and more forced errors</w:t>
      </w:r>
      <w:r w:rsidR="0056471E" w:rsidRPr="0047294E">
        <w:rPr>
          <w:color w:val="000000" w:themeColor="text1"/>
        </w:rPr>
        <w:t>.</w:t>
      </w:r>
      <w:r w:rsidR="00B162F4" w:rsidRPr="00B162F4">
        <w:rPr>
          <w:color w:val="000000" w:themeColor="text1"/>
          <w:vertAlign w:val="superscript"/>
        </w:rPr>
        <w:t>8</w:t>
      </w:r>
      <w:r w:rsidR="0056471E" w:rsidRPr="0047294E">
        <w:rPr>
          <w:color w:val="000000" w:themeColor="text1"/>
        </w:rPr>
        <w:t xml:space="preserve"> On </w:t>
      </w:r>
      <w:r w:rsidR="00847048" w:rsidRPr="0047294E">
        <w:rPr>
          <w:color w:val="000000" w:themeColor="text1"/>
        </w:rPr>
        <w:t>hard courts</w:t>
      </w:r>
      <w:r w:rsidR="0056471E" w:rsidRPr="0047294E">
        <w:rPr>
          <w:color w:val="000000" w:themeColor="text1"/>
        </w:rPr>
        <w:t xml:space="preserve">, the forced error has a </w:t>
      </w:r>
      <w:r w:rsidRPr="0047294E">
        <w:rPr>
          <w:color w:val="000000" w:themeColor="text1"/>
        </w:rPr>
        <w:t xml:space="preserve">similar association </w:t>
      </w:r>
      <w:r w:rsidRPr="00CB5C29">
        <w:rPr>
          <w:color w:val="000000" w:themeColor="text1"/>
        </w:rPr>
        <w:t>with losing</w:t>
      </w:r>
      <w:r w:rsidR="0056471E" w:rsidRPr="00CB5C29">
        <w:rPr>
          <w:color w:val="000000" w:themeColor="text1"/>
        </w:rPr>
        <w:t xml:space="preserve"> for both sexes</w:t>
      </w:r>
      <w:r w:rsidR="00847048">
        <w:rPr>
          <w:color w:val="000000" w:themeColor="text1"/>
        </w:rPr>
        <w:t xml:space="preserve"> (Men = 39.4%, Women = 39.5%)</w:t>
      </w:r>
      <w:r w:rsidR="00A459B8">
        <w:rPr>
          <w:color w:val="000000" w:themeColor="text1"/>
        </w:rPr>
        <w:t>; h</w:t>
      </w:r>
      <w:r w:rsidRPr="00CB5C29">
        <w:rPr>
          <w:color w:val="000000" w:themeColor="text1"/>
        </w:rPr>
        <w:t xml:space="preserve">owever, this largely stems from </w:t>
      </w:r>
      <w:r w:rsidR="0056471E" w:rsidRPr="00CB5C29">
        <w:rPr>
          <w:color w:val="000000" w:themeColor="text1"/>
        </w:rPr>
        <w:t>the variation</w:t>
      </w:r>
      <w:r w:rsidRPr="00CB5C29">
        <w:rPr>
          <w:color w:val="000000" w:themeColor="text1"/>
        </w:rPr>
        <w:t xml:space="preserve"> in the men’s game between surfaces</w:t>
      </w:r>
      <w:r w:rsidR="00A459B8">
        <w:rPr>
          <w:color w:val="000000" w:themeColor="text1"/>
        </w:rPr>
        <w:t>. H</w:t>
      </w:r>
      <w:r w:rsidRPr="00CB5C29">
        <w:rPr>
          <w:color w:val="000000" w:themeColor="text1"/>
        </w:rPr>
        <w:t>ard courts attain</w:t>
      </w:r>
      <w:r w:rsidR="00601AFE">
        <w:rPr>
          <w:color w:val="000000" w:themeColor="text1"/>
        </w:rPr>
        <w:t>ed</w:t>
      </w:r>
      <w:r w:rsidRPr="00CB5C29">
        <w:rPr>
          <w:color w:val="000000" w:themeColor="text1"/>
        </w:rPr>
        <w:t xml:space="preserve"> a PWOL 12% and 17% higher than grass and clay, </w:t>
      </w:r>
      <w:r w:rsidR="00730B04">
        <w:rPr>
          <w:color w:val="000000" w:themeColor="text1"/>
        </w:rPr>
        <w:t xml:space="preserve">respectively, </w:t>
      </w:r>
      <w:r w:rsidRPr="00CB5C29">
        <w:rPr>
          <w:color w:val="000000" w:themeColor="text1"/>
        </w:rPr>
        <w:t xml:space="preserve">while minimal </w:t>
      </w:r>
      <w:r w:rsidR="0056471E" w:rsidRPr="00CB5C29">
        <w:rPr>
          <w:color w:val="000000" w:themeColor="text1"/>
        </w:rPr>
        <w:t>variation is evident</w:t>
      </w:r>
      <w:r w:rsidRPr="00CB5C29">
        <w:rPr>
          <w:color w:val="000000" w:themeColor="text1"/>
        </w:rPr>
        <w:t xml:space="preserve"> </w:t>
      </w:r>
      <w:r w:rsidRPr="00847048">
        <w:rPr>
          <w:color w:val="000000" w:themeColor="text1"/>
        </w:rPr>
        <w:t>for women</w:t>
      </w:r>
      <w:r w:rsidR="0056471E" w:rsidRPr="00847048">
        <w:rPr>
          <w:color w:val="000000" w:themeColor="text1"/>
        </w:rPr>
        <w:t xml:space="preserve"> between surfaces</w:t>
      </w:r>
      <w:r w:rsidRPr="00847048">
        <w:rPr>
          <w:color w:val="000000" w:themeColor="text1"/>
        </w:rPr>
        <w:t>. Forced errors tend to be very subjectively judged</w:t>
      </w:r>
      <w:r w:rsidR="00847048" w:rsidRPr="00847048">
        <w:rPr>
          <w:color w:val="000000" w:themeColor="text1"/>
        </w:rPr>
        <w:t xml:space="preserve"> often requiring a contextual evaluation of situation in relation to court type characteristics (e.g., player court position, speed</w:t>
      </w:r>
      <w:r w:rsidR="00A459B8">
        <w:rPr>
          <w:color w:val="000000" w:themeColor="text1"/>
        </w:rPr>
        <w:t xml:space="preserve"> and bounce height</w:t>
      </w:r>
      <w:r w:rsidR="00847048" w:rsidRPr="00847048">
        <w:rPr>
          <w:color w:val="000000" w:themeColor="text1"/>
        </w:rPr>
        <w:t xml:space="preserve"> of ball received, opposition court position, among others)</w:t>
      </w:r>
      <w:r w:rsidRPr="00847048">
        <w:rPr>
          <w:color w:val="000000" w:themeColor="text1"/>
        </w:rPr>
        <w:t xml:space="preserve">; hence, some disparity of results can be understood between </w:t>
      </w:r>
      <w:r w:rsidR="00847048" w:rsidRPr="00847048">
        <w:rPr>
          <w:color w:val="000000" w:themeColor="text1"/>
        </w:rPr>
        <w:t xml:space="preserve">studies although </w:t>
      </w:r>
      <w:r w:rsidRPr="00847048">
        <w:rPr>
          <w:color w:val="000000" w:themeColor="text1"/>
        </w:rPr>
        <w:t xml:space="preserve">such a large difference is </w:t>
      </w:r>
      <w:r w:rsidRPr="00847048">
        <w:rPr>
          <w:color w:val="000000" w:themeColor="text1"/>
        </w:rPr>
        <w:lastRenderedPageBreak/>
        <w:t>surprising.</w:t>
      </w:r>
    </w:p>
    <w:p w14:paraId="595D9E34" w14:textId="77777777" w:rsidR="0029344C" w:rsidRPr="0029344C" w:rsidRDefault="0029344C" w:rsidP="0029344C">
      <w:pPr>
        <w:pStyle w:val="Newparagraph"/>
      </w:pPr>
    </w:p>
    <w:p w14:paraId="5CD43473" w14:textId="409FE080" w:rsidR="000C2D3B" w:rsidRPr="00847048" w:rsidRDefault="00C87869" w:rsidP="0029344C">
      <w:pPr>
        <w:pStyle w:val="Paragraph"/>
        <w:spacing w:before="0"/>
        <w:jc w:val="both"/>
        <w:rPr>
          <w:b/>
          <w:bCs/>
          <w:color w:val="000000" w:themeColor="text1"/>
        </w:rPr>
      </w:pPr>
      <w:r w:rsidRPr="00847048">
        <w:rPr>
          <w:b/>
          <w:bCs/>
          <w:color w:val="000000" w:themeColor="text1"/>
        </w:rPr>
        <w:t xml:space="preserve">Performance </w:t>
      </w:r>
      <w:r w:rsidR="00847048" w:rsidRPr="00847048">
        <w:rPr>
          <w:b/>
          <w:bCs/>
          <w:color w:val="000000" w:themeColor="text1"/>
        </w:rPr>
        <w:t>I</w:t>
      </w:r>
      <w:r w:rsidRPr="00847048">
        <w:rPr>
          <w:b/>
          <w:bCs/>
          <w:color w:val="000000" w:themeColor="text1"/>
        </w:rPr>
        <w:t xml:space="preserve">ndicators </w:t>
      </w:r>
      <w:r w:rsidR="00847048" w:rsidRPr="00847048">
        <w:rPr>
          <w:b/>
          <w:bCs/>
          <w:color w:val="000000" w:themeColor="text1"/>
        </w:rPr>
        <w:t>L</w:t>
      </w:r>
      <w:r w:rsidRPr="00847048">
        <w:rPr>
          <w:b/>
          <w:bCs/>
          <w:color w:val="000000" w:themeColor="text1"/>
        </w:rPr>
        <w:t xml:space="preserve">east </w:t>
      </w:r>
      <w:r w:rsidR="00847048" w:rsidRPr="00847048">
        <w:rPr>
          <w:b/>
          <w:bCs/>
          <w:color w:val="000000" w:themeColor="text1"/>
        </w:rPr>
        <w:t>A</w:t>
      </w:r>
      <w:r w:rsidRPr="00847048">
        <w:rPr>
          <w:b/>
          <w:bCs/>
          <w:color w:val="000000" w:themeColor="text1"/>
        </w:rPr>
        <w:t xml:space="preserve">ssociated with </w:t>
      </w:r>
      <w:r w:rsidR="00847048" w:rsidRPr="00847048">
        <w:rPr>
          <w:b/>
          <w:bCs/>
          <w:color w:val="000000" w:themeColor="text1"/>
        </w:rPr>
        <w:t>M</w:t>
      </w:r>
      <w:r w:rsidRPr="00847048">
        <w:rPr>
          <w:b/>
          <w:bCs/>
          <w:color w:val="000000" w:themeColor="text1"/>
        </w:rPr>
        <w:t xml:space="preserve">atch </w:t>
      </w:r>
      <w:r w:rsidR="00847048" w:rsidRPr="00847048">
        <w:rPr>
          <w:b/>
          <w:bCs/>
          <w:color w:val="000000" w:themeColor="text1"/>
        </w:rPr>
        <w:t>O</w:t>
      </w:r>
      <w:r w:rsidRPr="00847048">
        <w:rPr>
          <w:b/>
          <w:bCs/>
          <w:color w:val="000000" w:themeColor="text1"/>
        </w:rPr>
        <w:t>utcome</w:t>
      </w:r>
    </w:p>
    <w:p w14:paraId="3050A167" w14:textId="77619436" w:rsidR="00C87869" w:rsidRPr="009B2CF7" w:rsidRDefault="00C87869" w:rsidP="0029344C">
      <w:pPr>
        <w:pStyle w:val="Paragraph"/>
        <w:spacing w:before="0"/>
        <w:jc w:val="both"/>
        <w:rPr>
          <w:b/>
          <w:bCs/>
          <w:color w:val="000000" w:themeColor="text1"/>
        </w:rPr>
      </w:pPr>
      <w:r w:rsidRPr="009B2CF7">
        <w:rPr>
          <w:color w:val="000000" w:themeColor="text1"/>
        </w:rPr>
        <w:t>All Ball Three indicators (B3 Attacking, B3 Neutral, B3 Defensive and B3 FH) exhibited PWOLs between 44.6% and 54</w:t>
      </w:r>
      <w:r w:rsidR="009B2CF7" w:rsidRPr="009B2CF7">
        <w:rPr>
          <w:color w:val="000000" w:themeColor="text1"/>
        </w:rPr>
        <w:t>.0</w:t>
      </w:r>
      <w:r w:rsidRPr="009B2CF7">
        <w:rPr>
          <w:color w:val="000000" w:themeColor="text1"/>
        </w:rPr>
        <w:t>% for men and 42.1 and 57</w:t>
      </w:r>
      <w:r w:rsidR="009B2CF7" w:rsidRPr="009B2CF7">
        <w:rPr>
          <w:color w:val="000000" w:themeColor="text1"/>
        </w:rPr>
        <w:t>.0</w:t>
      </w:r>
      <w:r w:rsidRPr="009B2CF7">
        <w:rPr>
          <w:color w:val="000000" w:themeColor="text1"/>
        </w:rPr>
        <w:t>% for women, highlighting the anecdotal importance placed on ‘serve plus one’ may be misguided, as also found by.</w:t>
      </w:r>
      <w:r w:rsidR="00B162F4" w:rsidRPr="00B162F4">
        <w:rPr>
          <w:color w:val="000000" w:themeColor="text1"/>
          <w:vertAlign w:val="superscript"/>
        </w:rPr>
        <w:t>33</w:t>
      </w:r>
      <w:r w:rsidRPr="009B2CF7">
        <w:rPr>
          <w:color w:val="000000" w:themeColor="text1"/>
        </w:rPr>
        <w:t xml:space="preserve"> </w:t>
      </w:r>
      <w:r w:rsidR="00BF4CF9">
        <w:rPr>
          <w:color w:val="000000" w:themeColor="text1"/>
        </w:rPr>
        <w:t xml:space="preserve">The consensus of </w:t>
      </w:r>
      <w:r w:rsidRPr="009B2CF7">
        <w:rPr>
          <w:color w:val="000000" w:themeColor="text1"/>
        </w:rPr>
        <w:t xml:space="preserve">being in an attacking situation on ball three more often would contribute significantly towards winning matches, and vice versa for defensive situations, </w:t>
      </w:r>
      <w:r w:rsidR="00BF4CF9">
        <w:rPr>
          <w:color w:val="000000" w:themeColor="text1"/>
        </w:rPr>
        <w:t>was disproved by the</w:t>
      </w:r>
      <w:r w:rsidRPr="009B2CF7">
        <w:rPr>
          <w:color w:val="000000" w:themeColor="text1"/>
        </w:rPr>
        <w:t xml:space="preserve"> PWOLs suggest</w:t>
      </w:r>
      <w:r w:rsidR="00BF4CF9">
        <w:rPr>
          <w:color w:val="000000" w:themeColor="text1"/>
        </w:rPr>
        <w:t>ing</w:t>
      </w:r>
      <w:r w:rsidRPr="009B2CF7">
        <w:rPr>
          <w:color w:val="000000" w:themeColor="text1"/>
        </w:rPr>
        <w:t xml:space="preserve"> a lack of importance. Similarly, the forehand is commonly favoured over the backhand as the stronger shot</w:t>
      </w:r>
      <w:r w:rsidR="00D32D14">
        <w:rPr>
          <w:color w:val="000000" w:themeColor="text1"/>
        </w:rPr>
        <w:t xml:space="preserve"> and </w:t>
      </w:r>
      <w:r w:rsidRPr="009B2CF7">
        <w:rPr>
          <w:color w:val="000000" w:themeColor="text1"/>
        </w:rPr>
        <w:t xml:space="preserve">hitting more forehands on ball three </w:t>
      </w:r>
      <w:r w:rsidR="00D32D14">
        <w:rPr>
          <w:color w:val="000000" w:themeColor="text1"/>
        </w:rPr>
        <w:t>would logically</w:t>
      </w:r>
      <w:r w:rsidRPr="009B2CF7">
        <w:rPr>
          <w:color w:val="000000" w:themeColor="text1"/>
        </w:rPr>
        <w:t xml:space="preserve"> be advantageous, but this is disproven.</w:t>
      </w:r>
    </w:p>
    <w:p w14:paraId="204CC67C" w14:textId="07F02105" w:rsidR="00C87869" w:rsidRPr="009B2CF7" w:rsidRDefault="00C87869" w:rsidP="0029344C">
      <w:pPr>
        <w:pStyle w:val="Newparagraph"/>
        <w:jc w:val="both"/>
        <w:rPr>
          <w:color w:val="000000" w:themeColor="text1"/>
        </w:rPr>
      </w:pPr>
      <w:r w:rsidRPr="009B2CF7">
        <w:rPr>
          <w:color w:val="000000" w:themeColor="text1"/>
        </w:rPr>
        <w:t>With points won of 0-4 rally length strongly associated with success on all surfaces, Fitzpatrick et al.</w:t>
      </w:r>
      <w:r w:rsidR="00B162F4" w:rsidRPr="00B162F4">
        <w:rPr>
          <w:color w:val="000000" w:themeColor="text1"/>
          <w:vertAlign w:val="superscript"/>
        </w:rPr>
        <w:t>9</w:t>
      </w:r>
      <w:r w:rsidR="00B162F4">
        <w:rPr>
          <w:color w:val="000000" w:themeColor="text1"/>
        </w:rPr>
        <w:t xml:space="preserve"> </w:t>
      </w:r>
      <w:r w:rsidRPr="009B2CF7">
        <w:rPr>
          <w:color w:val="000000" w:themeColor="text1"/>
        </w:rPr>
        <w:t>suggested that serve and/or serve-return quality determined the outcome of a large proportion of points. However, serve quality and serve-return effectiveness are shown to have a minimal impact on winning for both sexes. Winning</w:t>
      </w:r>
      <w:r w:rsidR="00D32D14">
        <w:rPr>
          <w:color w:val="000000" w:themeColor="text1"/>
        </w:rPr>
        <w:t xml:space="preserve"> or high quality</w:t>
      </w:r>
      <w:r w:rsidRPr="009B2CF7">
        <w:rPr>
          <w:color w:val="000000" w:themeColor="text1"/>
        </w:rPr>
        <w:t xml:space="preserve"> players</w:t>
      </w:r>
      <w:r w:rsidR="00D32D14">
        <w:rPr>
          <w:color w:val="000000" w:themeColor="text1"/>
        </w:rPr>
        <w:t xml:space="preserve"> </w:t>
      </w:r>
      <w:r w:rsidRPr="009B2CF7">
        <w:rPr>
          <w:color w:val="000000" w:themeColor="text1"/>
        </w:rPr>
        <w:t xml:space="preserve">have previously been proven to outperform losing </w:t>
      </w:r>
      <w:r w:rsidR="00D32D14">
        <w:rPr>
          <w:color w:val="000000" w:themeColor="text1"/>
        </w:rPr>
        <w:t xml:space="preserve">or lower quality </w:t>
      </w:r>
      <w:r w:rsidRPr="009B2CF7">
        <w:rPr>
          <w:color w:val="000000" w:themeColor="text1"/>
        </w:rPr>
        <w:t>players</w:t>
      </w:r>
      <w:r w:rsidR="00D32D14">
        <w:rPr>
          <w:color w:val="000000" w:themeColor="text1"/>
        </w:rPr>
        <w:t xml:space="preserve"> </w:t>
      </w:r>
      <w:r w:rsidRPr="009B2CF7">
        <w:rPr>
          <w:color w:val="000000" w:themeColor="text1"/>
        </w:rPr>
        <w:t>in all serve parameters on all surfaces</w:t>
      </w:r>
      <w:r w:rsidR="00B162F4" w:rsidRPr="00B162F4">
        <w:rPr>
          <w:color w:val="000000" w:themeColor="text1"/>
          <w:vertAlign w:val="superscript"/>
        </w:rPr>
        <w:t>12-14,16-19,21,31,36-39</w:t>
      </w:r>
      <w:r w:rsidRPr="009B2CF7">
        <w:rPr>
          <w:color w:val="000000" w:themeColor="text1"/>
        </w:rPr>
        <w:t>; therefore, results further validate the idea that higher prevalence does not always mean greater importance.</w:t>
      </w:r>
    </w:p>
    <w:p w14:paraId="3C674343" w14:textId="7097A1FA" w:rsidR="00C87869" w:rsidRPr="009B2CF7" w:rsidRDefault="00C87869" w:rsidP="0029344C">
      <w:pPr>
        <w:pStyle w:val="Newparagraph"/>
        <w:jc w:val="both"/>
        <w:rPr>
          <w:color w:val="000000" w:themeColor="text1"/>
        </w:rPr>
      </w:pPr>
      <w:r w:rsidRPr="009B2CF7">
        <w:rPr>
          <w:color w:val="000000" w:themeColor="text1"/>
        </w:rPr>
        <w:t>Previous research has found players of higher qualit</w:t>
      </w:r>
      <w:r w:rsidR="00100F09">
        <w:rPr>
          <w:color w:val="000000" w:themeColor="text1"/>
        </w:rPr>
        <w:t>y</w:t>
      </w:r>
      <w:r w:rsidRPr="009B2CF7">
        <w:rPr>
          <w:color w:val="000000" w:themeColor="text1"/>
        </w:rPr>
        <w:t xml:space="preserve"> serve significantly fewer double faults </w:t>
      </w:r>
      <w:r w:rsidR="009B2CF7" w:rsidRPr="009B2CF7">
        <w:rPr>
          <w:color w:val="000000" w:themeColor="text1"/>
        </w:rPr>
        <w:t xml:space="preserve">and more aces </w:t>
      </w:r>
      <w:r w:rsidRPr="009B2CF7">
        <w:rPr>
          <w:color w:val="000000" w:themeColor="text1"/>
        </w:rPr>
        <w:t>than lower-quality players</w:t>
      </w:r>
      <w:r w:rsidR="009F2578">
        <w:rPr>
          <w:color w:val="000000" w:themeColor="text1"/>
        </w:rPr>
        <w:t>.</w:t>
      </w:r>
      <w:r w:rsidR="009F2578" w:rsidRPr="009F2578">
        <w:rPr>
          <w:color w:val="000000" w:themeColor="text1"/>
          <w:vertAlign w:val="superscript"/>
        </w:rPr>
        <w:t>16,17,19,37</w:t>
      </w:r>
      <w:r w:rsidRPr="009B2CF7">
        <w:rPr>
          <w:color w:val="000000" w:themeColor="text1"/>
        </w:rPr>
        <w:t xml:space="preserve"> For men, PWOLs suggest serving is most important on grass, which is unsurprising considering the </w:t>
      </w:r>
      <w:r w:rsidR="00D32D14">
        <w:rPr>
          <w:color w:val="000000" w:themeColor="text1"/>
        </w:rPr>
        <w:t>greater</w:t>
      </w:r>
      <w:r w:rsidRPr="009B2CF7">
        <w:rPr>
          <w:color w:val="000000" w:themeColor="text1"/>
        </w:rPr>
        <w:t xml:space="preserve"> surface speeds.</w:t>
      </w:r>
      <w:r w:rsidR="009F2578" w:rsidRPr="009F2578">
        <w:rPr>
          <w:color w:val="000000" w:themeColor="text1"/>
          <w:vertAlign w:val="superscript"/>
        </w:rPr>
        <w:t>11</w:t>
      </w:r>
      <w:r w:rsidRPr="009B2CF7">
        <w:rPr>
          <w:color w:val="000000" w:themeColor="text1"/>
        </w:rPr>
        <w:t xml:space="preserve"> However, for women, aces </w:t>
      </w:r>
      <w:r w:rsidR="009B2CF7" w:rsidRPr="009B2CF7">
        <w:rPr>
          <w:color w:val="000000" w:themeColor="text1"/>
        </w:rPr>
        <w:t>have</w:t>
      </w:r>
      <w:r w:rsidRPr="009B2CF7">
        <w:rPr>
          <w:color w:val="000000" w:themeColor="text1"/>
        </w:rPr>
        <w:t xml:space="preserve"> a </w:t>
      </w:r>
      <w:r w:rsidR="00D32D14">
        <w:rPr>
          <w:color w:val="000000" w:themeColor="text1"/>
        </w:rPr>
        <w:t xml:space="preserve">hard court </w:t>
      </w:r>
      <w:r w:rsidRPr="009B2CF7">
        <w:rPr>
          <w:color w:val="000000" w:themeColor="text1"/>
        </w:rPr>
        <w:t>PWOL 8% higher than grass and clay. Mecheri et al.</w:t>
      </w:r>
      <w:r w:rsidR="009F2578" w:rsidRPr="009F2578">
        <w:rPr>
          <w:color w:val="000000" w:themeColor="text1"/>
          <w:vertAlign w:val="superscript"/>
        </w:rPr>
        <w:t>11</w:t>
      </w:r>
      <w:r w:rsidRPr="009B2CF7">
        <w:rPr>
          <w:color w:val="000000" w:themeColor="text1"/>
        </w:rPr>
        <w:t xml:space="preserve"> found equal efficiency between flat, high velocity serves and high spin intensity, slower velocity serves. More research is required in this area, but it may be that women are able to use </w:t>
      </w:r>
      <w:r w:rsidRPr="009B2CF7">
        <w:rPr>
          <w:color w:val="000000" w:themeColor="text1"/>
        </w:rPr>
        <w:lastRenderedPageBreak/>
        <w:t>high spin intensity serves to greater effect on hard courts than any other surface, with winning players utilising this more.</w:t>
      </w:r>
    </w:p>
    <w:p w14:paraId="77D12A40" w14:textId="1CBEB334" w:rsidR="000C2D3B" w:rsidRPr="00B729F3" w:rsidRDefault="00C87869" w:rsidP="0029344C">
      <w:pPr>
        <w:pStyle w:val="Newparagraph"/>
        <w:jc w:val="both"/>
        <w:rPr>
          <w:color w:val="FF0000"/>
        </w:rPr>
      </w:pPr>
      <w:r w:rsidRPr="009B2CF7">
        <w:rPr>
          <w:color w:val="000000" w:themeColor="text1"/>
        </w:rPr>
        <w:t xml:space="preserve">With </w:t>
      </w:r>
      <w:r w:rsidRPr="00B729F3">
        <w:rPr>
          <w:color w:val="000000" w:themeColor="text1"/>
        </w:rPr>
        <w:t>rally length longer on hard</w:t>
      </w:r>
      <w:r w:rsidR="009B2CF7" w:rsidRPr="00B729F3">
        <w:rPr>
          <w:color w:val="000000" w:themeColor="text1"/>
        </w:rPr>
        <w:t xml:space="preserve"> courts</w:t>
      </w:r>
      <w:r w:rsidRPr="00B729F3">
        <w:rPr>
          <w:color w:val="000000" w:themeColor="text1"/>
        </w:rPr>
        <w:t xml:space="preserve">, it was expected for points won of 9+ </w:t>
      </w:r>
      <w:r w:rsidR="009B2CF7" w:rsidRPr="00B729F3">
        <w:rPr>
          <w:color w:val="000000" w:themeColor="text1"/>
        </w:rPr>
        <w:t>shots</w:t>
      </w:r>
      <w:r w:rsidRPr="00B729F3">
        <w:rPr>
          <w:color w:val="000000" w:themeColor="text1"/>
        </w:rPr>
        <w:t xml:space="preserve"> to be more associated with winning than on grass, but</w:t>
      </w:r>
      <w:r w:rsidR="009B2CF7" w:rsidRPr="00B729F3">
        <w:rPr>
          <w:color w:val="000000" w:themeColor="text1"/>
        </w:rPr>
        <w:t xml:space="preserve"> </w:t>
      </w:r>
      <w:r w:rsidRPr="00B729F3">
        <w:rPr>
          <w:color w:val="000000" w:themeColor="text1"/>
        </w:rPr>
        <w:t xml:space="preserve">for women, a PWOL 10% higher than clay </w:t>
      </w:r>
      <w:r w:rsidR="009B2CF7" w:rsidRPr="00B729F3">
        <w:rPr>
          <w:color w:val="000000" w:themeColor="text1"/>
        </w:rPr>
        <w:t>was identified</w:t>
      </w:r>
      <w:r w:rsidRPr="00B729F3">
        <w:rPr>
          <w:color w:val="000000" w:themeColor="text1"/>
        </w:rPr>
        <w:t xml:space="preserve">. Net points won has a small association with winning, </w:t>
      </w:r>
      <w:r w:rsidR="00F276B0" w:rsidRPr="00B729F3">
        <w:rPr>
          <w:color w:val="000000" w:themeColor="text1"/>
        </w:rPr>
        <w:t>potentially due to the lack of prevalence of professional tennis</w:t>
      </w:r>
      <w:r w:rsidR="00B729F3">
        <w:rPr>
          <w:color w:val="000000" w:themeColor="text1"/>
        </w:rPr>
        <w:t xml:space="preserve"> </w:t>
      </w:r>
      <w:r w:rsidRPr="00B729F3">
        <w:rPr>
          <w:color w:val="000000" w:themeColor="text1"/>
        </w:rPr>
        <w:t xml:space="preserve">while baseline points won has the strongest association, further accentuating the move towards a baseline </w:t>
      </w:r>
      <w:r w:rsidR="009B2CF7" w:rsidRPr="00B729F3">
        <w:rPr>
          <w:color w:val="000000" w:themeColor="text1"/>
        </w:rPr>
        <w:t>game style</w:t>
      </w:r>
      <w:r w:rsidRPr="00B729F3">
        <w:rPr>
          <w:color w:val="000000" w:themeColor="text1"/>
        </w:rPr>
        <w:t xml:space="preserve"> in recent times. Previous research identified winners performed better than losers on break points</w:t>
      </w:r>
      <w:r w:rsidR="00D0208D" w:rsidRPr="00B729F3">
        <w:rPr>
          <w:color w:val="000000" w:themeColor="text1"/>
          <w:vertAlign w:val="superscript"/>
        </w:rPr>
        <w:t>39-40</w:t>
      </w:r>
      <w:r w:rsidRPr="00B729F3">
        <w:rPr>
          <w:color w:val="000000" w:themeColor="text1"/>
        </w:rPr>
        <w:t>, and results strongly agreed, with winners winning a greater percentage of break points</w:t>
      </w:r>
      <w:r w:rsidR="009B2CF7" w:rsidRPr="00B729F3">
        <w:rPr>
          <w:color w:val="000000" w:themeColor="text1"/>
        </w:rPr>
        <w:t xml:space="preserve"> (</w:t>
      </w:r>
      <w:r w:rsidR="00A0017F" w:rsidRPr="00B729F3">
        <w:rPr>
          <w:color w:val="000000" w:themeColor="text1"/>
        </w:rPr>
        <w:t xml:space="preserve">Men = 48.3%, Women = 53.8%) </w:t>
      </w:r>
      <w:r w:rsidRPr="00B729F3">
        <w:rPr>
          <w:color w:val="000000" w:themeColor="text1"/>
        </w:rPr>
        <w:t>than losers</w:t>
      </w:r>
      <w:r w:rsidR="009B2CF7" w:rsidRPr="00B729F3">
        <w:rPr>
          <w:color w:val="000000" w:themeColor="text1"/>
        </w:rPr>
        <w:t xml:space="preserve"> (</w:t>
      </w:r>
      <w:r w:rsidR="00A0017F" w:rsidRPr="00B729F3">
        <w:rPr>
          <w:color w:val="000000" w:themeColor="text1"/>
        </w:rPr>
        <w:t>Men = 31.7</w:t>
      </w:r>
      <w:r w:rsidR="002208EB" w:rsidRPr="00B729F3">
        <w:rPr>
          <w:color w:val="000000" w:themeColor="text1"/>
        </w:rPr>
        <w:t>%, Women = 39.6</w:t>
      </w:r>
      <w:r w:rsidR="009B2CF7" w:rsidRPr="00B729F3">
        <w:rPr>
          <w:color w:val="000000" w:themeColor="text1"/>
        </w:rPr>
        <w:t>%)</w:t>
      </w:r>
      <w:r w:rsidRPr="00B729F3">
        <w:rPr>
          <w:color w:val="000000" w:themeColor="text1"/>
        </w:rPr>
        <w:t>. This results in relatively strong associations with success across all surfaces, although lower for women due to a greater likelihood of breaking and being broken</w:t>
      </w:r>
      <w:r w:rsidR="001065ED" w:rsidRPr="00B729F3">
        <w:rPr>
          <w:color w:val="000000" w:themeColor="text1"/>
        </w:rPr>
        <w:t xml:space="preserve">, </w:t>
      </w:r>
      <w:r w:rsidRPr="00B729F3">
        <w:rPr>
          <w:color w:val="000000" w:themeColor="text1"/>
        </w:rPr>
        <w:t xml:space="preserve">with </w:t>
      </w:r>
      <w:r w:rsidR="009B2CF7" w:rsidRPr="00B729F3">
        <w:rPr>
          <w:color w:val="000000" w:themeColor="text1"/>
        </w:rPr>
        <w:t>increased</w:t>
      </w:r>
      <w:r w:rsidRPr="00B729F3">
        <w:rPr>
          <w:color w:val="000000" w:themeColor="text1"/>
        </w:rPr>
        <w:t xml:space="preserve"> time to react and hit more effective returns</w:t>
      </w:r>
      <w:r w:rsidR="009139BA" w:rsidRPr="00B729F3">
        <w:rPr>
          <w:color w:val="000000" w:themeColor="text1"/>
        </w:rPr>
        <w:t xml:space="preserve"> by virtue of slower serve speeds</w:t>
      </w:r>
      <w:r w:rsidRPr="00B729F3">
        <w:rPr>
          <w:color w:val="000000" w:themeColor="text1"/>
        </w:rPr>
        <w:t>.</w:t>
      </w:r>
    </w:p>
    <w:p w14:paraId="7026B999" w14:textId="77777777" w:rsidR="0029344C" w:rsidRPr="00B729F3" w:rsidRDefault="0029344C" w:rsidP="0029344C">
      <w:pPr>
        <w:pStyle w:val="Newparagraph"/>
        <w:jc w:val="both"/>
        <w:rPr>
          <w:color w:val="FF0000"/>
        </w:rPr>
      </w:pPr>
    </w:p>
    <w:p w14:paraId="57559595" w14:textId="564BBEAA" w:rsidR="000C2D3B" w:rsidRPr="00B729F3" w:rsidRDefault="009B2CF7" w:rsidP="0029344C">
      <w:pPr>
        <w:pStyle w:val="Newparagraph"/>
        <w:ind w:firstLine="0"/>
        <w:jc w:val="both"/>
        <w:rPr>
          <w:b/>
          <w:bCs/>
          <w:color w:val="000000" w:themeColor="text1"/>
        </w:rPr>
      </w:pPr>
      <w:r w:rsidRPr="00B729F3">
        <w:rPr>
          <w:b/>
          <w:bCs/>
          <w:color w:val="000000" w:themeColor="text1"/>
        </w:rPr>
        <w:t xml:space="preserve">Future Directions and </w:t>
      </w:r>
      <w:r w:rsidR="00C87869" w:rsidRPr="00B729F3">
        <w:rPr>
          <w:b/>
          <w:bCs/>
          <w:color w:val="000000" w:themeColor="text1"/>
        </w:rPr>
        <w:t>Conclusion</w:t>
      </w:r>
    </w:p>
    <w:p w14:paraId="509002EF" w14:textId="0405682C" w:rsidR="00606067" w:rsidRDefault="00C87869" w:rsidP="00606067">
      <w:pPr>
        <w:pStyle w:val="Newparagraph"/>
        <w:ind w:firstLine="0"/>
        <w:jc w:val="both"/>
        <w:rPr>
          <w:b/>
          <w:bCs/>
          <w:color w:val="000000" w:themeColor="text1"/>
        </w:rPr>
      </w:pPr>
      <w:r w:rsidRPr="00B729F3">
        <w:rPr>
          <w:color w:val="000000" w:themeColor="text1"/>
        </w:rPr>
        <w:t xml:space="preserve">Baseline points won, first serve points won, points won of 0-4 rally lengths, and </w:t>
      </w:r>
      <w:r w:rsidR="00A25A86" w:rsidRPr="00B729F3">
        <w:rPr>
          <w:color w:val="000000" w:themeColor="text1"/>
        </w:rPr>
        <w:t>Winners:UE</w:t>
      </w:r>
      <w:r w:rsidRPr="00B729F3">
        <w:rPr>
          <w:color w:val="000000" w:themeColor="text1"/>
        </w:rPr>
        <w:t xml:space="preserve"> Ratio had the strongest associations with winning for both sexes in elite hard court </w:t>
      </w:r>
      <w:r w:rsidR="00F77636" w:rsidRPr="00B729F3">
        <w:rPr>
          <w:color w:val="000000" w:themeColor="text1"/>
        </w:rPr>
        <w:t>match play</w:t>
      </w:r>
      <w:r w:rsidRPr="00B729F3">
        <w:rPr>
          <w:color w:val="000000" w:themeColor="text1"/>
        </w:rPr>
        <w:t xml:space="preserve">, with forced errors most associated with losing. </w:t>
      </w:r>
      <w:r w:rsidR="00F77636" w:rsidRPr="00B729F3">
        <w:rPr>
          <w:color w:val="000000" w:themeColor="text1"/>
        </w:rPr>
        <w:t>Like</w:t>
      </w:r>
      <w:r w:rsidRPr="00B729F3">
        <w:rPr>
          <w:color w:val="000000" w:themeColor="text1"/>
        </w:rPr>
        <w:t xml:space="preserve"> grass and clay</w:t>
      </w:r>
      <w:r w:rsidR="00E7766F" w:rsidRPr="00B729F3">
        <w:rPr>
          <w:color w:val="000000" w:themeColor="text1"/>
          <w:vertAlign w:val="superscript"/>
        </w:rPr>
        <w:t>9</w:t>
      </w:r>
      <w:r w:rsidRPr="00B729F3">
        <w:rPr>
          <w:color w:val="000000" w:themeColor="text1"/>
        </w:rPr>
        <w:t xml:space="preserve">, </w:t>
      </w:r>
      <w:r w:rsidR="00F77636" w:rsidRPr="00B729F3">
        <w:rPr>
          <w:color w:val="000000" w:themeColor="text1"/>
        </w:rPr>
        <w:t>players should focus</w:t>
      </w:r>
      <w:r w:rsidRPr="00B729F3">
        <w:rPr>
          <w:color w:val="000000" w:themeColor="text1"/>
        </w:rPr>
        <w:t xml:space="preserve"> on baseline play, short points, and point-ending strategies during training</w:t>
      </w:r>
      <w:r w:rsidR="006079ED" w:rsidRPr="00B729F3">
        <w:rPr>
          <w:color w:val="000000" w:themeColor="text1"/>
        </w:rPr>
        <w:t>, using the high prevalence of baseline rallies and short points in the current game to their advantage</w:t>
      </w:r>
      <w:r w:rsidRPr="00B729F3">
        <w:rPr>
          <w:color w:val="000000" w:themeColor="text1"/>
        </w:rPr>
        <w:t>. Any emphasis on ball three should be</w:t>
      </w:r>
      <w:r w:rsidRPr="00F77636">
        <w:rPr>
          <w:color w:val="000000" w:themeColor="text1"/>
        </w:rPr>
        <w:t xml:space="preserve"> carefully approached as it </w:t>
      </w:r>
      <w:r w:rsidR="00632135">
        <w:rPr>
          <w:color w:val="000000" w:themeColor="text1"/>
        </w:rPr>
        <w:t>appears</w:t>
      </w:r>
      <w:r w:rsidR="00632135" w:rsidRPr="00F77636">
        <w:rPr>
          <w:color w:val="000000" w:themeColor="text1"/>
        </w:rPr>
        <w:t xml:space="preserve"> </w:t>
      </w:r>
      <w:r w:rsidRPr="00F77636">
        <w:rPr>
          <w:color w:val="000000" w:themeColor="text1"/>
        </w:rPr>
        <w:t xml:space="preserve">to have limited effect on the match outcome. Whilst winning points on serve is greatly important, aces, </w:t>
      </w:r>
      <w:r w:rsidR="00B56ACF">
        <w:rPr>
          <w:color w:val="000000" w:themeColor="text1"/>
        </w:rPr>
        <w:t xml:space="preserve">serve </w:t>
      </w:r>
      <w:r w:rsidRPr="00F77636">
        <w:rPr>
          <w:color w:val="000000" w:themeColor="text1"/>
        </w:rPr>
        <w:t xml:space="preserve">quality, and double faults lack importance, suggesting players should take a match-by-match approach focusing on </w:t>
      </w:r>
      <w:r w:rsidR="00F77636" w:rsidRPr="00F77636">
        <w:rPr>
          <w:color w:val="000000" w:themeColor="text1"/>
        </w:rPr>
        <w:t>tactical planning in relation to opposition</w:t>
      </w:r>
      <w:r w:rsidRPr="00F77636">
        <w:rPr>
          <w:color w:val="000000" w:themeColor="text1"/>
        </w:rPr>
        <w:t xml:space="preserve"> strengths and weaknesses</w:t>
      </w:r>
      <w:r w:rsidR="00F77636" w:rsidRPr="00F77636">
        <w:rPr>
          <w:color w:val="000000" w:themeColor="text1"/>
        </w:rPr>
        <w:t>.</w:t>
      </w:r>
    </w:p>
    <w:p w14:paraId="38998C35" w14:textId="3595B1E8" w:rsidR="00C87869" w:rsidRPr="00606067" w:rsidRDefault="00C87869" w:rsidP="00606067">
      <w:pPr>
        <w:pStyle w:val="Newparagraph"/>
        <w:jc w:val="both"/>
        <w:rPr>
          <w:b/>
          <w:bCs/>
          <w:color w:val="000000" w:themeColor="text1"/>
        </w:rPr>
      </w:pPr>
      <w:r w:rsidRPr="00F77636">
        <w:rPr>
          <w:color w:val="000000" w:themeColor="text1"/>
        </w:rPr>
        <w:lastRenderedPageBreak/>
        <w:t>With hard court</w:t>
      </w:r>
      <w:r w:rsidR="00F77636" w:rsidRPr="00F77636">
        <w:rPr>
          <w:color w:val="000000" w:themeColor="text1"/>
        </w:rPr>
        <w:t xml:space="preserve"> tournaments</w:t>
      </w:r>
      <w:r w:rsidRPr="00F77636">
        <w:rPr>
          <w:color w:val="000000" w:themeColor="text1"/>
        </w:rPr>
        <w:t xml:space="preserve"> played from January to March and August to November through a normal ATP and WTA calendar year</w:t>
      </w:r>
      <w:r w:rsidR="00F77636" w:rsidRPr="00F77636">
        <w:rPr>
          <w:color w:val="000000" w:themeColor="text1"/>
        </w:rPr>
        <w:t>, encapsulating 2/4</w:t>
      </w:r>
      <w:r w:rsidRPr="00F77636">
        <w:rPr>
          <w:color w:val="000000" w:themeColor="text1"/>
        </w:rPr>
        <w:t xml:space="preserve"> major Grand Slams, </w:t>
      </w:r>
      <w:r w:rsidR="00F77636" w:rsidRPr="00F77636">
        <w:rPr>
          <w:color w:val="000000" w:themeColor="text1"/>
        </w:rPr>
        <w:t>6/9</w:t>
      </w:r>
      <w:r w:rsidRPr="00F77636">
        <w:rPr>
          <w:color w:val="000000" w:themeColor="text1"/>
        </w:rPr>
        <w:t xml:space="preserve"> ATP 1000 events, and </w:t>
      </w:r>
      <w:r w:rsidR="00F77636" w:rsidRPr="00F77636">
        <w:rPr>
          <w:color w:val="000000" w:themeColor="text1"/>
        </w:rPr>
        <w:t>7/10</w:t>
      </w:r>
      <w:r w:rsidRPr="00F77636">
        <w:rPr>
          <w:color w:val="000000" w:themeColor="text1"/>
        </w:rPr>
        <w:t xml:space="preserve"> WTA 1000 events</w:t>
      </w:r>
      <w:r w:rsidR="00F77636" w:rsidRPr="00F77636">
        <w:rPr>
          <w:color w:val="000000" w:themeColor="text1"/>
        </w:rPr>
        <w:t>,</w:t>
      </w:r>
      <w:r w:rsidRPr="00F77636">
        <w:rPr>
          <w:color w:val="000000" w:themeColor="text1"/>
        </w:rPr>
        <w:t xml:space="preserve"> a</w:t>
      </w:r>
      <w:r w:rsidR="00F77636" w:rsidRPr="00F77636">
        <w:rPr>
          <w:color w:val="000000" w:themeColor="text1"/>
        </w:rPr>
        <w:t xml:space="preserve">n </w:t>
      </w:r>
      <w:r w:rsidRPr="00F77636">
        <w:rPr>
          <w:color w:val="000000" w:themeColor="text1"/>
        </w:rPr>
        <w:t>analysis of elite match-play</w:t>
      </w:r>
      <w:r w:rsidR="00F77636" w:rsidRPr="00F77636">
        <w:rPr>
          <w:color w:val="000000" w:themeColor="text1"/>
        </w:rPr>
        <w:t xml:space="preserve"> highlighting KPIs</w:t>
      </w:r>
      <w:r w:rsidRPr="00F77636">
        <w:rPr>
          <w:color w:val="000000" w:themeColor="text1"/>
        </w:rPr>
        <w:t xml:space="preserve"> on the surface</w:t>
      </w:r>
      <w:r w:rsidR="00F77636" w:rsidRPr="00F77636">
        <w:rPr>
          <w:color w:val="000000" w:themeColor="text1"/>
        </w:rPr>
        <w:t xml:space="preserve"> </w:t>
      </w:r>
      <w:r w:rsidRPr="00F77636">
        <w:rPr>
          <w:color w:val="000000" w:themeColor="text1"/>
        </w:rPr>
        <w:t xml:space="preserve">was </w:t>
      </w:r>
      <w:r w:rsidR="00632135">
        <w:rPr>
          <w:color w:val="000000" w:themeColor="text1"/>
        </w:rPr>
        <w:t>warranted</w:t>
      </w:r>
      <w:r w:rsidRPr="00F77636">
        <w:rPr>
          <w:color w:val="000000" w:themeColor="text1"/>
        </w:rPr>
        <w:t xml:space="preserve">. The transfer of </w:t>
      </w:r>
      <w:r w:rsidR="00F77636" w:rsidRPr="00F77636">
        <w:rPr>
          <w:color w:val="000000" w:themeColor="text1"/>
        </w:rPr>
        <w:t>game style</w:t>
      </w:r>
      <w:r w:rsidRPr="00F77636">
        <w:rPr>
          <w:color w:val="000000" w:themeColor="text1"/>
        </w:rPr>
        <w:t xml:space="preserve"> across the three surfaces does not need to drastically change, apart from a slightly greater emphasis on </w:t>
      </w:r>
      <w:r w:rsidR="00606067">
        <w:rPr>
          <w:color w:val="000000" w:themeColor="text1"/>
        </w:rPr>
        <w:t xml:space="preserve">1) </w:t>
      </w:r>
      <w:r w:rsidRPr="00F77636">
        <w:rPr>
          <w:color w:val="000000" w:themeColor="text1"/>
        </w:rPr>
        <w:t xml:space="preserve">baseline points for both sexes on hard court and </w:t>
      </w:r>
      <w:r w:rsidR="00606067">
        <w:rPr>
          <w:color w:val="000000" w:themeColor="text1"/>
        </w:rPr>
        <w:t xml:space="preserve">2) </w:t>
      </w:r>
      <w:r w:rsidRPr="00F77636">
        <w:rPr>
          <w:color w:val="000000" w:themeColor="text1"/>
        </w:rPr>
        <w:t xml:space="preserve">serving for men on grass </w:t>
      </w:r>
      <w:r w:rsidRPr="004F4F89">
        <w:rPr>
          <w:color w:val="000000" w:themeColor="text1"/>
        </w:rPr>
        <w:t xml:space="preserve">court. Although </w:t>
      </w:r>
      <w:r w:rsidR="00F77636" w:rsidRPr="004F4F89">
        <w:rPr>
          <w:color w:val="000000" w:themeColor="text1"/>
        </w:rPr>
        <w:t xml:space="preserve">separated </w:t>
      </w:r>
      <w:r w:rsidRPr="004F4F89">
        <w:rPr>
          <w:color w:val="000000" w:themeColor="text1"/>
        </w:rPr>
        <w:t xml:space="preserve">comparisons between surfaces do provide useful </w:t>
      </w:r>
      <w:r w:rsidR="00632135" w:rsidRPr="004F4F89">
        <w:rPr>
          <w:color w:val="000000" w:themeColor="text1"/>
        </w:rPr>
        <w:t>in</w:t>
      </w:r>
      <w:r w:rsidR="00632135">
        <w:rPr>
          <w:color w:val="000000" w:themeColor="text1"/>
        </w:rPr>
        <w:t>sight</w:t>
      </w:r>
      <w:r w:rsidRPr="004F4F89">
        <w:rPr>
          <w:color w:val="000000" w:themeColor="text1"/>
        </w:rPr>
        <w:t xml:space="preserve">, a much larger-scale </w:t>
      </w:r>
      <w:r w:rsidR="00632135">
        <w:rPr>
          <w:color w:val="000000" w:themeColor="text1"/>
        </w:rPr>
        <w:t>analysis</w:t>
      </w:r>
      <w:r w:rsidR="00632135" w:rsidRPr="004F4F89">
        <w:rPr>
          <w:color w:val="000000" w:themeColor="text1"/>
        </w:rPr>
        <w:t xml:space="preserve"> </w:t>
      </w:r>
      <w:r w:rsidRPr="004F4F89">
        <w:rPr>
          <w:color w:val="000000" w:themeColor="text1"/>
        </w:rPr>
        <w:t xml:space="preserve">using PWOL </w:t>
      </w:r>
      <w:r w:rsidR="00F77636" w:rsidRPr="004F4F89">
        <w:rPr>
          <w:color w:val="000000" w:themeColor="text1"/>
        </w:rPr>
        <w:t>across the same calendar period</w:t>
      </w:r>
      <w:r w:rsidR="00BD4F6D">
        <w:rPr>
          <w:color w:val="000000" w:themeColor="text1"/>
        </w:rPr>
        <w:t xml:space="preserve">, </w:t>
      </w:r>
      <w:r w:rsidR="00F77636" w:rsidRPr="004F4F89">
        <w:rPr>
          <w:color w:val="000000" w:themeColor="text1"/>
        </w:rPr>
        <w:t xml:space="preserve">utilising </w:t>
      </w:r>
      <w:r w:rsidR="00632135">
        <w:rPr>
          <w:color w:val="000000" w:themeColor="text1"/>
        </w:rPr>
        <w:t>identical</w:t>
      </w:r>
      <w:r w:rsidR="00F77636" w:rsidRPr="004F4F89">
        <w:rPr>
          <w:color w:val="000000" w:themeColor="text1"/>
        </w:rPr>
        <w:t xml:space="preserve"> indicators and associated definitions</w:t>
      </w:r>
      <w:r w:rsidR="00BD4F6D">
        <w:rPr>
          <w:color w:val="000000" w:themeColor="text1"/>
        </w:rPr>
        <w:t>,</w:t>
      </w:r>
      <w:r w:rsidR="00F77636" w:rsidRPr="004F4F89">
        <w:rPr>
          <w:color w:val="000000" w:themeColor="text1"/>
        </w:rPr>
        <w:t xml:space="preserve"> </w:t>
      </w:r>
      <w:r w:rsidRPr="004F4F89">
        <w:rPr>
          <w:color w:val="000000" w:themeColor="text1"/>
        </w:rPr>
        <w:t xml:space="preserve">is required for grass and clay </w:t>
      </w:r>
      <w:r w:rsidR="00F77636" w:rsidRPr="004F4F89">
        <w:rPr>
          <w:color w:val="000000" w:themeColor="text1"/>
        </w:rPr>
        <w:t>to</w:t>
      </w:r>
      <w:r w:rsidRPr="004F4F89">
        <w:rPr>
          <w:color w:val="000000" w:themeColor="text1"/>
        </w:rPr>
        <w:t xml:space="preserve"> </w:t>
      </w:r>
      <w:r w:rsidR="00F77636" w:rsidRPr="004F4F89">
        <w:rPr>
          <w:color w:val="000000" w:themeColor="text1"/>
        </w:rPr>
        <w:t>ensure cross-</w:t>
      </w:r>
      <w:r w:rsidRPr="004F4F89">
        <w:rPr>
          <w:color w:val="000000" w:themeColor="text1"/>
        </w:rPr>
        <w:t xml:space="preserve">comparison validity. </w:t>
      </w:r>
      <w:r w:rsidR="00F77636" w:rsidRPr="004F4F89">
        <w:rPr>
          <w:color w:val="000000" w:themeColor="text1"/>
        </w:rPr>
        <w:t>Consequently</w:t>
      </w:r>
      <w:r w:rsidRPr="004F4F89">
        <w:rPr>
          <w:color w:val="000000" w:themeColor="text1"/>
        </w:rPr>
        <w:t xml:space="preserve">, PWOL </w:t>
      </w:r>
      <w:r w:rsidR="00632135">
        <w:rPr>
          <w:color w:val="000000" w:themeColor="text1"/>
        </w:rPr>
        <w:t>could</w:t>
      </w:r>
      <w:r w:rsidR="00632135" w:rsidRPr="004F4F89">
        <w:rPr>
          <w:color w:val="000000" w:themeColor="text1"/>
        </w:rPr>
        <w:t xml:space="preserve"> </w:t>
      </w:r>
      <w:r w:rsidRPr="004F4F89">
        <w:rPr>
          <w:color w:val="000000" w:themeColor="text1"/>
        </w:rPr>
        <w:t xml:space="preserve">be used to </w:t>
      </w:r>
      <w:r w:rsidR="004F4F89" w:rsidRPr="004F4F89">
        <w:rPr>
          <w:color w:val="000000" w:themeColor="text1"/>
        </w:rPr>
        <w:t>delve into contextual variables</w:t>
      </w:r>
      <w:r w:rsidR="005F4317">
        <w:rPr>
          <w:color w:val="000000" w:themeColor="text1"/>
        </w:rPr>
        <w:t xml:space="preserve"> </w:t>
      </w:r>
      <w:r w:rsidRPr="004F4F89">
        <w:rPr>
          <w:color w:val="000000" w:themeColor="text1"/>
        </w:rPr>
        <w:t>such as handedness, tournament level, pressure points, and stature. PWOL has vast possibilities within tennis</w:t>
      </w:r>
      <w:r w:rsidR="004F4F89" w:rsidRPr="004F4F89">
        <w:rPr>
          <w:color w:val="000000" w:themeColor="text1"/>
        </w:rPr>
        <w:t xml:space="preserve"> (and </w:t>
      </w:r>
      <w:r w:rsidR="00632135">
        <w:rPr>
          <w:color w:val="000000" w:themeColor="text1"/>
        </w:rPr>
        <w:t xml:space="preserve">potentially </w:t>
      </w:r>
      <w:r w:rsidR="004F4F89" w:rsidRPr="004F4F89">
        <w:rPr>
          <w:color w:val="000000" w:themeColor="text1"/>
        </w:rPr>
        <w:t xml:space="preserve">wider sports application) </w:t>
      </w:r>
      <w:r w:rsidRPr="004F4F89">
        <w:rPr>
          <w:color w:val="000000" w:themeColor="text1"/>
        </w:rPr>
        <w:t>with doubles and wheelchair tennis yet to be explored</w:t>
      </w:r>
      <w:r w:rsidR="00632135">
        <w:rPr>
          <w:color w:val="000000" w:themeColor="text1"/>
        </w:rPr>
        <w:t>,</w:t>
      </w:r>
      <w:r w:rsidRPr="004F4F89">
        <w:rPr>
          <w:color w:val="000000" w:themeColor="text1"/>
        </w:rPr>
        <w:t xml:space="preserve"> </w:t>
      </w:r>
      <w:r w:rsidR="004F4F89" w:rsidRPr="004F4F89">
        <w:rPr>
          <w:color w:val="000000" w:themeColor="text1"/>
        </w:rPr>
        <w:t>ultimately aim</w:t>
      </w:r>
      <w:r w:rsidR="00632135">
        <w:rPr>
          <w:color w:val="000000" w:themeColor="text1"/>
        </w:rPr>
        <w:t>ing</w:t>
      </w:r>
      <w:r w:rsidR="004F4F89" w:rsidRPr="004F4F89">
        <w:rPr>
          <w:color w:val="000000" w:themeColor="text1"/>
        </w:rPr>
        <w:t xml:space="preserve"> </w:t>
      </w:r>
      <w:r w:rsidR="00632135">
        <w:rPr>
          <w:color w:val="000000" w:themeColor="text1"/>
        </w:rPr>
        <w:t xml:space="preserve">to </w:t>
      </w:r>
      <w:r w:rsidRPr="004F4F89">
        <w:rPr>
          <w:color w:val="000000" w:themeColor="text1"/>
        </w:rPr>
        <w:t>aid</w:t>
      </w:r>
      <w:r w:rsidR="004F4F89" w:rsidRPr="004F4F89">
        <w:rPr>
          <w:color w:val="000000" w:themeColor="text1"/>
        </w:rPr>
        <w:t xml:space="preserve"> decision</w:t>
      </w:r>
      <w:r w:rsidR="00CD5580">
        <w:rPr>
          <w:color w:val="000000" w:themeColor="text1"/>
        </w:rPr>
        <w:t>-</w:t>
      </w:r>
      <w:r w:rsidRPr="004F4F89">
        <w:rPr>
          <w:color w:val="000000" w:themeColor="text1"/>
        </w:rPr>
        <w:t xml:space="preserve">making </w:t>
      </w:r>
      <w:r w:rsidR="004F4F89" w:rsidRPr="004F4F89">
        <w:rPr>
          <w:color w:val="000000" w:themeColor="text1"/>
        </w:rPr>
        <w:t>regarding</w:t>
      </w:r>
      <w:r w:rsidRPr="004F4F89">
        <w:rPr>
          <w:color w:val="000000" w:themeColor="text1"/>
        </w:rPr>
        <w:t xml:space="preserve"> training and competitive </w:t>
      </w:r>
      <w:r w:rsidR="004F4F89" w:rsidRPr="004F4F89">
        <w:rPr>
          <w:color w:val="000000" w:themeColor="text1"/>
        </w:rPr>
        <w:t>strategies</w:t>
      </w:r>
      <w:r w:rsidRPr="004F4F89">
        <w:rPr>
          <w:color w:val="000000" w:themeColor="text1"/>
        </w:rPr>
        <w:t>.</w:t>
      </w:r>
    </w:p>
    <w:p w14:paraId="1420F680" w14:textId="77777777" w:rsidR="00E46D28" w:rsidRPr="0029344C" w:rsidRDefault="00E46D28" w:rsidP="00C87869">
      <w:pPr>
        <w:spacing w:after="160"/>
        <w:ind w:left="720" w:hanging="720"/>
        <w:rPr>
          <w:color w:val="FF0000"/>
        </w:rPr>
      </w:pPr>
    </w:p>
    <w:p w14:paraId="73A3CFC2" w14:textId="77777777" w:rsidR="003E6E3B" w:rsidRDefault="003E6E3B" w:rsidP="00C87869">
      <w:pPr>
        <w:spacing w:after="160"/>
        <w:ind w:left="720" w:hanging="720"/>
        <w:rPr>
          <w:b/>
          <w:bCs/>
        </w:rPr>
      </w:pPr>
    </w:p>
    <w:p w14:paraId="620AF2B8" w14:textId="77777777" w:rsidR="003E6E3B" w:rsidRDefault="003E6E3B" w:rsidP="00C87869">
      <w:pPr>
        <w:spacing w:after="160"/>
        <w:ind w:left="720" w:hanging="720"/>
        <w:rPr>
          <w:b/>
          <w:bCs/>
        </w:rPr>
      </w:pPr>
    </w:p>
    <w:p w14:paraId="1B8F8AA8" w14:textId="77777777" w:rsidR="003E6E3B" w:rsidRDefault="003E6E3B" w:rsidP="00C87869">
      <w:pPr>
        <w:spacing w:after="160"/>
        <w:ind w:left="720" w:hanging="720"/>
        <w:rPr>
          <w:b/>
          <w:bCs/>
        </w:rPr>
      </w:pPr>
    </w:p>
    <w:p w14:paraId="29B24729" w14:textId="77777777" w:rsidR="003E6E3B" w:rsidRDefault="003E6E3B" w:rsidP="00C87869">
      <w:pPr>
        <w:spacing w:after="160"/>
        <w:ind w:left="720" w:hanging="720"/>
        <w:rPr>
          <w:b/>
          <w:bCs/>
        </w:rPr>
      </w:pPr>
    </w:p>
    <w:p w14:paraId="129337BD" w14:textId="77777777" w:rsidR="003E6E3B" w:rsidRDefault="003E6E3B" w:rsidP="00C87869">
      <w:pPr>
        <w:spacing w:after="160"/>
        <w:ind w:left="720" w:hanging="720"/>
        <w:rPr>
          <w:b/>
          <w:bCs/>
        </w:rPr>
      </w:pPr>
    </w:p>
    <w:p w14:paraId="5D00398B" w14:textId="77777777" w:rsidR="003E6E3B" w:rsidRDefault="003E6E3B" w:rsidP="00C87869">
      <w:pPr>
        <w:spacing w:after="160"/>
        <w:ind w:left="720" w:hanging="720"/>
        <w:rPr>
          <w:b/>
          <w:bCs/>
        </w:rPr>
      </w:pPr>
    </w:p>
    <w:p w14:paraId="336A214A" w14:textId="77777777" w:rsidR="00562DE0" w:rsidRDefault="00562DE0" w:rsidP="004B2649">
      <w:pPr>
        <w:spacing w:after="160"/>
        <w:rPr>
          <w:b/>
          <w:bCs/>
        </w:rPr>
      </w:pPr>
    </w:p>
    <w:p w14:paraId="343BB6C8" w14:textId="77777777" w:rsidR="00562DE0" w:rsidRDefault="00562DE0" w:rsidP="004B2649">
      <w:pPr>
        <w:spacing w:after="160"/>
        <w:rPr>
          <w:b/>
          <w:bCs/>
        </w:rPr>
      </w:pPr>
    </w:p>
    <w:p w14:paraId="5AA198AF" w14:textId="77777777" w:rsidR="00562DE0" w:rsidRDefault="00562DE0" w:rsidP="004B2649">
      <w:pPr>
        <w:spacing w:after="160"/>
        <w:rPr>
          <w:b/>
          <w:bCs/>
        </w:rPr>
      </w:pPr>
    </w:p>
    <w:p w14:paraId="6D22430B" w14:textId="77777777" w:rsidR="00562DE0" w:rsidRDefault="00562DE0" w:rsidP="004B2649">
      <w:pPr>
        <w:spacing w:after="160"/>
        <w:rPr>
          <w:b/>
          <w:bCs/>
        </w:rPr>
      </w:pPr>
    </w:p>
    <w:p w14:paraId="19533ACA" w14:textId="77777777" w:rsidR="00562DE0" w:rsidRDefault="00562DE0" w:rsidP="004B2649">
      <w:pPr>
        <w:spacing w:after="160"/>
        <w:rPr>
          <w:b/>
          <w:bCs/>
        </w:rPr>
      </w:pPr>
    </w:p>
    <w:p w14:paraId="5357AA51" w14:textId="3B6E80E2" w:rsidR="00E46D28" w:rsidRPr="00E46D28" w:rsidRDefault="00E46D28" w:rsidP="004B2649">
      <w:pPr>
        <w:spacing w:after="160"/>
        <w:rPr>
          <w:b/>
          <w:bCs/>
        </w:rPr>
      </w:pPr>
      <w:r w:rsidRPr="00E46D28">
        <w:rPr>
          <w:b/>
          <w:bCs/>
        </w:rPr>
        <w:t>References</w:t>
      </w:r>
    </w:p>
    <w:p w14:paraId="13AB53FA" w14:textId="298B1FFE" w:rsidR="00020FC8" w:rsidRPr="007200DB" w:rsidRDefault="00562DE0" w:rsidP="00020FC8">
      <w:pPr>
        <w:pStyle w:val="ListParagraph"/>
        <w:numPr>
          <w:ilvl w:val="0"/>
          <w:numId w:val="26"/>
        </w:numPr>
        <w:spacing w:after="160" w:line="240" w:lineRule="auto"/>
        <w:jc w:val="both"/>
        <w:rPr>
          <w:color w:val="000000" w:themeColor="text1"/>
        </w:rPr>
      </w:pPr>
      <w:r w:rsidRPr="007200DB">
        <w:rPr>
          <w:color w:val="000000" w:themeColor="text1"/>
        </w:rPr>
        <w:t>Kovalchik</w:t>
      </w:r>
      <w:r w:rsidR="00020FC8" w:rsidRPr="007200DB">
        <w:rPr>
          <w:color w:val="000000" w:themeColor="text1"/>
        </w:rPr>
        <w:t xml:space="preserve"> </w:t>
      </w:r>
      <w:r w:rsidRPr="007200DB">
        <w:rPr>
          <w:color w:val="000000" w:themeColor="text1"/>
        </w:rPr>
        <w:t>SA and Reid</w:t>
      </w:r>
      <w:r w:rsidR="00020FC8" w:rsidRPr="007200DB">
        <w:rPr>
          <w:color w:val="000000" w:themeColor="text1"/>
        </w:rPr>
        <w:t xml:space="preserve"> </w:t>
      </w:r>
      <w:r w:rsidRPr="007200DB">
        <w:rPr>
          <w:color w:val="000000" w:themeColor="text1"/>
        </w:rPr>
        <w:t>M.</w:t>
      </w:r>
      <w:r w:rsidR="00020FC8" w:rsidRPr="007200DB">
        <w:rPr>
          <w:color w:val="000000" w:themeColor="text1"/>
        </w:rPr>
        <w:t xml:space="preserve"> </w:t>
      </w:r>
      <w:r w:rsidRPr="007200DB">
        <w:rPr>
          <w:color w:val="000000" w:themeColor="text1"/>
        </w:rPr>
        <w:t>Comparing Matchplay Characteristics and Physical Demands of Junior and Professional Tennis Athletes in the Era of Big Data</w:t>
      </w:r>
      <w:r w:rsidR="00020FC8" w:rsidRPr="007200DB">
        <w:rPr>
          <w:color w:val="000000" w:themeColor="text1"/>
        </w:rPr>
        <w:t>.</w:t>
      </w:r>
      <w:r w:rsidRPr="007200DB">
        <w:rPr>
          <w:color w:val="000000" w:themeColor="text1"/>
        </w:rPr>
        <w:t xml:space="preserve"> </w:t>
      </w:r>
      <w:r w:rsidRPr="007200DB">
        <w:rPr>
          <w:i/>
          <w:iCs/>
          <w:color w:val="000000" w:themeColor="text1"/>
        </w:rPr>
        <w:t>J Sports Sc</w:t>
      </w:r>
      <w:r w:rsidR="007200DB" w:rsidRPr="007200DB">
        <w:rPr>
          <w:i/>
          <w:iCs/>
          <w:color w:val="000000" w:themeColor="text1"/>
        </w:rPr>
        <w:t>i</w:t>
      </w:r>
      <w:r w:rsidRPr="007200DB">
        <w:rPr>
          <w:i/>
          <w:iCs/>
          <w:color w:val="000000" w:themeColor="text1"/>
        </w:rPr>
        <w:t xml:space="preserve"> Med</w:t>
      </w:r>
      <w:r w:rsidR="00020FC8" w:rsidRPr="007200DB">
        <w:rPr>
          <w:color w:val="000000" w:themeColor="text1"/>
        </w:rPr>
        <w:t xml:space="preserve"> 2017; </w:t>
      </w:r>
      <w:r w:rsidRPr="007200DB">
        <w:rPr>
          <w:color w:val="000000" w:themeColor="text1"/>
        </w:rPr>
        <w:t>16(4)</w:t>
      </w:r>
      <w:r w:rsidR="00020FC8" w:rsidRPr="007200DB">
        <w:rPr>
          <w:color w:val="000000" w:themeColor="text1"/>
        </w:rPr>
        <w:t xml:space="preserve">: </w:t>
      </w:r>
      <w:r w:rsidRPr="007200DB">
        <w:rPr>
          <w:color w:val="000000" w:themeColor="text1"/>
        </w:rPr>
        <w:t>489-497.</w:t>
      </w:r>
    </w:p>
    <w:p w14:paraId="4D224F96" w14:textId="3162D843" w:rsidR="00020FC8" w:rsidRPr="00020FC8" w:rsidRDefault="00562DE0" w:rsidP="00020FC8">
      <w:pPr>
        <w:pStyle w:val="ListParagraph"/>
        <w:numPr>
          <w:ilvl w:val="0"/>
          <w:numId w:val="26"/>
        </w:numPr>
        <w:spacing w:after="160" w:line="240" w:lineRule="auto"/>
        <w:jc w:val="both"/>
      </w:pPr>
      <w:r w:rsidRPr="00020FC8">
        <w:t>Briggs</w:t>
      </w:r>
      <w:r w:rsidR="00020FC8" w:rsidRPr="00020FC8">
        <w:t xml:space="preserve"> </w:t>
      </w:r>
      <w:r w:rsidRPr="00020FC8">
        <w:t xml:space="preserve">S. The tennis data revolution that can level the playing field' </w:t>
      </w:r>
      <w:r w:rsidRPr="00020FC8">
        <w:rPr>
          <w:i/>
          <w:iCs/>
        </w:rPr>
        <w:t>Telegraph</w:t>
      </w:r>
      <w:r w:rsidRPr="00020FC8">
        <w:t xml:space="preserve">. Available at: </w:t>
      </w:r>
      <w:hyperlink r:id="rId5" w:history="1">
        <w:r w:rsidR="00020FC8" w:rsidRPr="00020FC8">
          <w:rPr>
            <w:rStyle w:val="Hyperlink"/>
          </w:rPr>
          <w:t>https://www.telegraph.co.uk/tennis/2023/01/09/tennis-data-revolution-can-level-playing-field/</w:t>
        </w:r>
      </w:hyperlink>
      <w:r w:rsidR="00020FC8" w:rsidRPr="00020FC8">
        <w:t>, 2023.</w:t>
      </w:r>
    </w:p>
    <w:p w14:paraId="1C666D24" w14:textId="0BBE83B8" w:rsidR="00020FC8" w:rsidRPr="00020FC8" w:rsidRDefault="00562DE0" w:rsidP="00020FC8">
      <w:pPr>
        <w:pStyle w:val="ListParagraph"/>
        <w:numPr>
          <w:ilvl w:val="0"/>
          <w:numId w:val="26"/>
        </w:numPr>
        <w:spacing w:after="160" w:line="240" w:lineRule="auto"/>
        <w:jc w:val="both"/>
      </w:pPr>
      <w:proofErr w:type="spellStart"/>
      <w:r w:rsidRPr="00020FC8">
        <w:t>Carboch</w:t>
      </w:r>
      <w:proofErr w:type="spellEnd"/>
      <w:r w:rsidRPr="00020FC8">
        <w:t xml:space="preserve"> J, </w:t>
      </w:r>
      <w:proofErr w:type="spellStart"/>
      <w:r w:rsidRPr="00020FC8">
        <w:t>Siman</w:t>
      </w:r>
      <w:proofErr w:type="spellEnd"/>
      <w:r w:rsidRPr="00020FC8">
        <w:t xml:space="preserve"> J, </w:t>
      </w:r>
      <w:proofErr w:type="spellStart"/>
      <w:r w:rsidRPr="00020FC8">
        <w:t>Sklenarik</w:t>
      </w:r>
      <w:proofErr w:type="spellEnd"/>
      <w:r w:rsidRPr="00020FC8">
        <w:t xml:space="preserve"> M,</w:t>
      </w:r>
      <w:r w:rsidR="00020FC8" w:rsidRPr="00020FC8">
        <w:t xml:space="preserve"> et al.</w:t>
      </w:r>
      <w:r w:rsidRPr="00020FC8">
        <w:t xml:space="preserve"> Match Characteristics and Rally Pace of Male Tennis Matches in Three Grand Slam </w:t>
      </w:r>
      <w:r w:rsidRPr="007200DB">
        <w:rPr>
          <w:color w:val="000000" w:themeColor="text1"/>
        </w:rPr>
        <w:t>Tournaments</w:t>
      </w:r>
      <w:r w:rsidR="00020FC8" w:rsidRPr="007200DB">
        <w:rPr>
          <w:color w:val="000000" w:themeColor="text1"/>
        </w:rPr>
        <w:t>.</w:t>
      </w:r>
      <w:r w:rsidRPr="007200DB">
        <w:rPr>
          <w:color w:val="000000" w:themeColor="text1"/>
        </w:rPr>
        <w:t xml:space="preserve"> </w:t>
      </w:r>
      <w:r w:rsidRPr="007200DB">
        <w:rPr>
          <w:i/>
          <w:iCs/>
          <w:color w:val="000000" w:themeColor="text1"/>
        </w:rPr>
        <w:t>Phy</w:t>
      </w:r>
      <w:r w:rsidR="007200DB" w:rsidRPr="007200DB">
        <w:rPr>
          <w:i/>
          <w:iCs/>
          <w:color w:val="000000" w:themeColor="text1"/>
        </w:rPr>
        <w:t>s</w:t>
      </w:r>
      <w:r w:rsidRPr="007200DB">
        <w:rPr>
          <w:i/>
          <w:iCs/>
          <w:color w:val="000000" w:themeColor="text1"/>
        </w:rPr>
        <w:t xml:space="preserve"> Act Rev</w:t>
      </w:r>
      <w:r w:rsidR="00020FC8" w:rsidRPr="007200DB">
        <w:rPr>
          <w:i/>
          <w:iCs/>
          <w:color w:val="000000" w:themeColor="text1"/>
        </w:rPr>
        <w:t xml:space="preserve"> </w:t>
      </w:r>
      <w:r w:rsidR="00020FC8" w:rsidRPr="007200DB">
        <w:rPr>
          <w:color w:val="000000" w:themeColor="text1"/>
        </w:rPr>
        <w:t>2019</w:t>
      </w:r>
      <w:r w:rsidR="00020FC8" w:rsidRPr="00020FC8">
        <w:t>;</w:t>
      </w:r>
      <w:r w:rsidRPr="00020FC8">
        <w:t xml:space="preserve"> 7</w:t>
      </w:r>
      <w:r w:rsidR="00020FC8" w:rsidRPr="00020FC8">
        <w:t xml:space="preserve">: </w:t>
      </w:r>
      <w:r w:rsidRPr="00020FC8">
        <w:t>49-56.</w:t>
      </w:r>
    </w:p>
    <w:p w14:paraId="69FB9C4E" w14:textId="17E571B4" w:rsidR="00562DE0" w:rsidRPr="00A61714" w:rsidRDefault="00562DE0" w:rsidP="00562DE0">
      <w:pPr>
        <w:pStyle w:val="ListParagraph"/>
        <w:numPr>
          <w:ilvl w:val="0"/>
          <w:numId w:val="26"/>
        </w:numPr>
        <w:spacing w:after="160" w:line="240" w:lineRule="auto"/>
        <w:jc w:val="both"/>
      </w:pPr>
      <w:proofErr w:type="spellStart"/>
      <w:r w:rsidRPr="00A61714">
        <w:t>Carboch</w:t>
      </w:r>
      <w:proofErr w:type="spellEnd"/>
      <w:r w:rsidR="00020FC8" w:rsidRPr="00A61714">
        <w:t xml:space="preserve"> </w:t>
      </w:r>
      <w:r w:rsidRPr="00A61714">
        <w:t xml:space="preserve">J, </w:t>
      </w:r>
      <w:proofErr w:type="spellStart"/>
      <w:r w:rsidRPr="00A61714">
        <w:t>Blau</w:t>
      </w:r>
      <w:proofErr w:type="spellEnd"/>
      <w:r w:rsidRPr="00A61714">
        <w:t xml:space="preserve"> M, </w:t>
      </w:r>
      <w:proofErr w:type="spellStart"/>
      <w:r w:rsidRPr="00A61714">
        <w:t>Sklenarik</w:t>
      </w:r>
      <w:proofErr w:type="spellEnd"/>
      <w:r w:rsidRPr="00A61714">
        <w:t xml:space="preserve"> M</w:t>
      </w:r>
      <w:r w:rsidR="00020FC8" w:rsidRPr="00A61714">
        <w:t xml:space="preserve">, et al. </w:t>
      </w:r>
      <w:r w:rsidRPr="00A61714">
        <w:t xml:space="preserve">Ball change in tennis: How does it affect match characteristics and rally pace in Grand Slam </w:t>
      </w:r>
      <w:r w:rsidRPr="007200DB">
        <w:rPr>
          <w:color w:val="000000" w:themeColor="text1"/>
        </w:rPr>
        <w:t xml:space="preserve">tournaments? </w:t>
      </w:r>
      <w:r w:rsidRPr="007200DB">
        <w:rPr>
          <w:i/>
          <w:iCs/>
          <w:color w:val="000000" w:themeColor="text1"/>
        </w:rPr>
        <w:t>J Hum Sport Exerc</w:t>
      </w:r>
      <w:r w:rsidRPr="007200DB">
        <w:rPr>
          <w:color w:val="000000" w:themeColor="text1"/>
        </w:rPr>
        <w:t xml:space="preserve"> </w:t>
      </w:r>
      <w:r w:rsidR="00020FC8" w:rsidRPr="007200DB">
        <w:rPr>
          <w:color w:val="000000" w:themeColor="text1"/>
        </w:rPr>
        <w:t>2019</w:t>
      </w:r>
      <w:r w:rsidR="00A61714" w:rsidRPr="00A61714">
        <w:t xml:space="preserve">; </w:t>
      </w:r>
      <w:r w:rsidRPr="00A61714">
        <w:t>15(1)</w:t>
      </w:r>
      <w:r w:rsidR="00A61714" w:rsidRPr="00A61714">
        <w:t xml:space="preserve">: </w:t>
      </w:r>
      <w:r w:rsidRPr="00A61714">
        <w:t>153-162.</w:t>
      </w:r>
    </w:p>
    <w:p w14:paraId="55869DC8" w14:textId="642C951D" w:rsidR="00A61714" w:rsidRPr="00A61714" w:rsidRDefault="00562DE0" w:rsidP="00A61714">
      <w:pPr>
        <w:pStyle w:val="ListParagraph"/>
        <w:numPr>
          <w:ilvl w:val="0"/>
          <w:numId w:val="26"/>
        </w:numPr>
        <w:spacing w:after="160" w:line="240" w:lineRule="auto"/>
        <w:jc w:val="both"/>
      </w:pPr>
      <w:proofErr w:type="spellStart"/>
      <w:r w:rsidRPr="00A61714">
        <w:t>Carboch</w:t>
      </w:r>
      <w:proofErr w:type="spellEnd"/>
      <w:r w:rsidRPr="00A61714">
        <w:t xml:space="preserve"> J, </w:t>
      </w:r>
      <w:proofErr w:type="spellStart"/>
      <w:r w:rsidRPr="00A61714">
        <w:t>Sklenářik</w:t>
      </w:r>
      <w:proofErr w:type="spellEnd"/>
      <w:r w:rsidRPr="00A61714">
        <w:t xml:space="preserve"> M, </w:t>
      </w:r>
      <w:proofErr w:type="spellStart"/>
      <w:r w:rsidRPr="00A61714">
        <w:t>Kočíb</w:t>
      </w:r>
      <w:proofErr w:type="spellEnd"/>
      <w:r w:rsidRPr="00A61714">
        <w:t xml:space="preserve"> T, </w:t>
      </w:r>
      <w:r w:rsidR="00A61714" w:rsidRPr="00A61714">
        <w:t xml:space="preserve">et </w:t>
      </w:r>
      <w:r w:rsidR="00A61714" w:rsidRPr="000D6299">
        <w:rPr>
          <w:color w:val="000000" w:themeColor="text1"/>
        </w:rPr>
        <w:t xml:space="preserve">al. </w:t>
      </w:r>
      <w:r w:rsidRPr="000D6299">
        <w:rPr>
          <w:color w:val="000000" w:themeColor="text1"/>
        </w:rPr>
        <w:t>Game Characteristics in Professional Tennis at Different Levels of International Tournaments</w:t>
      </w:r>
      <w:r w:rsidR="00A61714" w:rsidRPr="000D6299">
        <w:rPr>
          <w:color w:val="000000" w:themeColor="text1"/>
        </w:rPr>
        <w:t xml:space="preserve">. </w:t>
      </w:r>
      <w:r w:rsidRPr="000D6299">
        <w:rPr>
          <w:i/>
          <w:iCs/>
          <w:color w:val="000000" w:themeColor="text1"/>
        </w:rPr>
        <w:t>Int</w:t>
      </w:r>
      <w:r w:rsidR="000D6299" w:rsidRPr="000D6299">
        <w:rPr>
          <w:i/>
          <w:iCs/>
          <w:color w:val="000000" w:themeColor="text1"/>
        </w:rPr>
        <w:t xml:space="preserve"> </w:t>
      </w:r>
      <w:r w:rsidRPr="000D6299">
        <w:rPr>
          <w:i/>
          <w:iCs/>
          <w:color w:val="000000" w:themeColor="text1"/>
        </w:rPr>
        <w:t>J</w:t>
      </w:r>
      <w:r w:rsidR="000D6299" w:rsidRPr="000D6299">
        <w:rPr>
          <w:i/>
          <w:iCs/>
          <w:color w:val="000000" w:themeColor="text1"/>
        </w:rPr>
        <w:t xml:space="preserve"> </w:t>
      </w:r>
      <w:proofErr w:type="spellStart"/>
      <w:r w:rsidRPr="000D6299">
        <w:rPr>
          <w:i/>
          <w:iCs/>
          <w:color w:val="000000" w:themeColor="text1"/>
        </w:rPr>
        <w:t>Appl</w:t>
      </w:r>
      <w:proofErr w:type="spellEnd"/>
      <w:r w:rsidRPr="000D6299">
        <w:rPr>
          <w:i/>
          <w:iCs/>
          <w:color w:val="000000" w:themeColor="text1"/>
        </w:rPr>
        <w:t xml:space="preserve"> </w:t>
      </w:r>
      <w:proofErr w:type="spellStart"/>
      <w:r w:rsidRPr="000D6299">
        <w:rPr>
          <w:i/>
          <w:iCs/>
          <w:color w:val="000000" w:themeColor="text1"/>
        </w:rPr>
        <w:t>Exer</w:t>
      </w:r>
      <w:r w:rsidR="000D6299" w:rsidRPr="000D6299">
        <w:rPr>
          <w:i/>
          <w:iCs/>
          <w:color w:val="000000" w:themeColor="text1"/>
        </w:rPr>
        <w:t>c</w:t>
      </w:r>
      <w:proofErr w:type="spellEnd"/>
      <w:r w:rsidRPr="000D6299">
        <w:rPr>
          <w:i/>
          <w:iCs/>
          <w:color w:val="000000" w:themeColor="text1"/>
        </w:rPr>
        <w:t xml:space="preserve"> </w:t>
      </w:r>
      <w:proofErr w:type="spellStart"/>
      <w:r w:rsidRPr="000D6299">
        <w:rPr>
          <w:i/>
          <w:iCs/>
          <w:color w:val="000000" w:themeColor="text1"/>
        </w:rPr>
        <w:t>Physio</w:t>
      </w:r>
      <w:r w:rsidR="000D6299" w:rsidRPr="000D6299">
        <w:rPr>
          <w:i/>
          <w:iCs/>
          <w:color w:val="000000" w:themeColor="text1"/>
        </w:rPr>
        <w:t>l</w:t>
      </w:r>
      <w:proofErr w:type="spellEnd"/>
      <w:r w:rsidRPr="000D6299">
        <w:rPr>
          <w:color w:val="000000" w:themeColor="text1"/>
        </w:rPr>
        <w:t xml:space="preserve"> </w:t>
      </w:r>
      <w:r w:rsidR="00A61714" w:rsidRPr="000D6299">
        <w:rPr>
          <w:color w:val="000000" w:themeColor="text1"/>
        </w:rPr>
        <w:t xml:space="preserve">2021; </w:t>
      </w:r>
      <w:r w:rsidRPr="000D6299">
        <w:rPr>
          <w:color w:val="000000" w:themeColor="text1"/>
        </w:rPr>
        <w:t>10(</w:t>
      </w:r>
      <w:r w:rsidRPr="00A61714">
        <w:t>1)</w:t>
      </w:r>
      <w:r w:rsidR="00A61714" w:rsidRPr="00A61714">
        <w:t xml:space="preserve">: </w:t>
      </w:r>
      <w:r w:rsidRPr="00A61714">
        <w:t>129-137.</w:t>
      </w:r>
    </w:p>
    <w:p w14:paraId="74D9E684" w14:textId="0C5A2F27" w:rsidR="00562DE0" w:rsidRPr="00A61714" w:rsidRDefault="00562DE0" w:rsidP="00562DE0">
      <w:pPr>
        <w:pStyle w:val="ListParagraph"/>
        <w:numPr>
          <w:ilvl w:val="0"/>
          <w:numId w:val="26"/>
        </w:numPr>
        <w:spacing w:after="160" w:line="240" w:lineRule="auto"/>
        <w:jc w:val="both"/>
      </w:pPr>
      <w:r w:rsidRPr="00A61714">
        <w:t>Martínez-Gallego</w:t>
      </w:r>
      <w:r w:rsidR="00A61714" w:rsidRPr="00A61714">
        <w:t xml:space="preserve"> </w:t>
      </w:r>
      <w:r w:rsidRPr="00A61714">
        <w:t>R, Guzmán JF, Crespo M,</w:t>
      </w:r>
      <w:r w:rsidR="00A61714" w:rsidRPr="00A61714">
        <w:t xml:space="preserve"> et al.</w:t>
      </w:r>
      <w:r w:rsidRPr="00A61714">
        <w:t xml:space="preserve"> Technical, tactical and movement analysis of men's professional tennis on hard </w:t>
      </w:r>
      <w:r w:rsidRPr="000D6299">
        <w:rPr>
          <w:color w:val="000000" w:themeColor="text1"/>
        </w:rPr>
        <w:t>courts</w:t>
      </w:r>
      <w:r w:rsidR="00A61714" w:rsidRPr="000D6299">
        <w:rPr>
          <w:color w:val="000000" w:themeColor="text1"/>
        </w:rPr>
        <w:t>.</w:t>
      </w:r>
      <w:r w:rsidRPr="000D6299">
        <w:rPr>
          <w:color w:val="000000" w:themeColor="text1"/>
        </w:rPr>
        <w:t xml:space="preserve"> </w:t>
      </w:r>
      <w:r w:rsidRPr="000D6299">
        <w:rPr>
          <w:i/>
          <w:iCs/>
          <w:color w:val="000000" w:themeColor="text1"/>
        </w:rPr>
        <w:t>J</w:t>
      </w:r>
      <w:r w:rsidR="000D6299" w:rsidRPr="000D6299">
        <w:rPr>
          <w:i/>
          <w:iCs/>
          <w:color w:val="000000" w:themeColor="text1"/>
        </w:rPr>
        <w:t xml:space="preserve"> </w:t>
      </w:r>
      <w:r w:rsidRPr="000D6299">
        <w:rPr>
          <w:i/>
          <w:iCs/>
          <w:color w:val="000000" w:themeColor="text1"/>
        </w:rPr>
        <w:t>Sports Med</w:t>
      </w:r>
      <w:r w:rsidR="000D6299" w:rsidRPr="000D6299">
        <w:rPr>
          <w:i/>
          <w:iCs/>
          <w:color w:val="000000" w:themeColor="text1"/>
        </w:rPr>
        <w:t xml:space="preserve"> </w:t>
      </w:r>
      <w:r w:rsidRPr="000D6299">
        <w:rPr>
          <w:i/>
          <w:iCs/>
          <w:color w:val="000000" w:themeColor="text1"/>
        </w:rPr>
        <w:t>Phys Fitness</w:t>
      </w:r>
      <w:r w:rsidRPr="000D6299">
        <w:rPr>
          <w:color w:val="000000" w:themeColor="text1"/>
        </w:rPr>
        <w:t xml:space="preserve"> </w:t>
      </w:r>
      <w:r w:rsidR="00A61714" w:rsidRPr="000D6299">
        <w:rPr>
          <w:color w:val="000000" w:themeColor="text1"/>
        </w:rPr>
        <w:t>2019</w:t>
      </w:r>
      <w:r w:rsidR="00A61714" w:rsidRPr="00A61714">
        <w:t xml:space="preserve">; </w:t>
      </w:r>
      <w:r w:rsidRPr="00A61714">
        <w:t>59(1)</w:t>
      </w:r>
      <w:r w:rsidR="00A61714" w:rsidRPr="00A61714">
        <w:t xml:space="preserve">: </w:t>
      </w:r>
      <w:r w:rsidRPr="00A61714">
        <w:t>50-56.</w:t>
      </w:r>
    </w:p>
    <w:p w14:paraId="638874D8" w14:textId="6920F507" w:rsidR="00A61714" w:rsidRPr="00A61714" w:rsidRDefault="00562DE0" w:rsidP="00A61714">
      <w:pPr>
        <w:pStyle w:val="ListParagraph"/>
        <w:numPr>
          <w:ilvl w:val="0"/>
          <w:numId w:val="26"/>
        </w:numPr>
        <w:spacing w:after="160" w:line="240" w:lineRule="auto"/>
        <w:jc w:val="both"/>
      </w:pPr>
      <w:r w:rsidRPr="00A61714">
        <w:t>Martínez-Gallego R, Crespo M, and Jiménez J.</w:t>
      </w:r>
      <w:r w:rsidR="00A61714" w:rsidRPr="00A61714">
        <w:t xml:space="preserve"> </w:t>
      </w:r>
      <w:r w:rsidRPr="00A61714">
        <w:t>Analysis of the differences in serve effectiveness between Billie Jean King Cup (former Fed Cup) and Davis Cup doubles tennis matches</w:t>
      </w:r>
      <w:r w:rsidR="00A61714" w:rsidRPr="00A61714">
        <w:t>.</w:t>
      </w:r>
      <w:r w:rsidRPr="00A61714">
        <w:t xml:space="preserve"> </w:t>
      </w:r>
      <w:r w:rsidRPr="007200DB">
        <w:rPr>
          <w:i/>
          <w:iCs/>
          <w:color w:val="000000" w:themeColor="text1"/>
        </w:rPr>
        <w:t>Int J</w:t>
      </w:r>
      <w:r w:rsidR="007200DB" w:rsidRPr="007200DB">
        <w:rPr>
          <w:i/>
          <w:iCs/>
          <w:color w:val="000000" w:themeColor="text1"/>
        </w:rPr>
        <w:t xml:space="preserve"> </w:t>
      </w:r>
      <w:r w:rsidRPr="007200DB">
        <w:rPr>
          <w:i/>
          <w:iCs/>
          <w:color w:val="000000" w:themeColor="text1"/>
        </w:rPr>
        <w:t>Sports Sci Coach</w:t>
      </w:r>
      <w:r w:rsidRPr="007200DB">
        <w:rPr>
          <w:color w:val="000000" w:themeColor="text1"/>
        </w:rPr>
        <w:t xml:space="preserve"> </w:t>
      </w:r>
      <w:r w:rsidR="00A61714" w:rsidRPr="00A61714">
        <w:t xml:space="preserve">2021; </w:t>
      </w:r>
      <w:r w:rsidRPr="00A61714">
        <w:t>16(3)</w:t>
      </w:r>
      <w:r w:rsidR="00A61714" w:rsidRPr="00A61714">
        <w:t>:</w:t>
      </w:r>
      <w:r w:rsidRPr="00A61714">
        <w:t xml:space="preserve"> 777-783.</w:t>
      </w:r>
    </w:p>
    <w:p w14:paraId="0A2A9E51" w14:textId="5747E788" w:rsidR="00562DE0" w:rsidRPr="00775D2B" w:rsidRDefault="00562DE0" w:rsidP="00562DE0">
      <w:pPr>
        <w:pStyle w:val="ListParagraph"/>
        <w:numPr>
          <w:ilvl w:val="0"/>
          <w:numId w:val="26"/>
        </w:numPr>
        <w:spacing w:after="160" w:line="240" w:lineRule="auto"/>
        <w:jc w:val="both"/>
      </w:pPr>
      <w:r w:rsidRPr="00775D2B">
        <w:t xml:space="preserve">Fitzpatrick A, Stone JA, </w:t>
      </w:r>
      <w:r w:rsidRPr="007200DB">
        <w:rPr>
          <w:color w:val="000000" w:themeColor="text1"/>
        </w:rPr>
        <w:t>Choppin S</w:t>
      </w:r>
      <w:r w:rsidR="00775D2B" w:rsidRPr="007200DB">
        <w:rPr>
          <w:color w:val="000000" w:themeColor="text1"/>
        </w:rPr>
        <w:t xml:space="preserve">, et al. </w:t>
      </w:r>
      <w:r w:rsidRPr="007200DB">
        <w:rPr>
          <w:color w:val="000000" w:themeColor="text1"/>
        </w:rPr>
        <w:t>A simple new method for identifying performance characteristics associated with success in elite tennis</w:t>
      </w:r>
      <w:r w:rsidR="00775D2B" w:rsidRPr="007200DB">
        <w:rPr>
          <w:color w:val="000000" w:themeColor="text1"/>
        </w:rPr>
        <w:t>.</w:t>
      </w:r>
      <w:r w:rsidRPr="007200DB">
        <w:rPr>
          <w:color w:val="000000" w:themeColor="text1"/>
        </w:rPr>
        <w:t xml:space="preserve"> </w:t>
      </w:r>
      <w:r w:rsidR="007200DB" w:rsidRPr="007200DB">
        <w:rPr>
          <w:i/>
          <w:iCs/>
          <w:color w:val="000000" w:themeColor="text1"/>
        </w:rPr>
        <w:t>Int J Sports Sci Coach</w:t>
      </w:r>
      <w:r w:rsidRPr="007200DB">
        <w:rPr>
          <w:color w:val="000000" w:themeColor="text1"/>
        </w:rPr>
        <w:t xml:space="preserve"> </w:t>
      </w:r>
      <w:r w:rsidR="00775D2B" w:rsidRPr="007200DB">
        <w:rPr>
          <w:color w:val="000000" w:themeColor="text1"/>
        </w:rPr>
        <w:t xml:space="preserve">2019; </w:t>
      </w:r>
      <w:r w:rsidRPr="007200DB">
        <w:rPr>
          <w:color w:val="000000" w:themeColor="text1"/>
        </w:rPr>
        <w:t>14(1)</w:t>
      </w:r>
      <w:r w:rsidR="00775D2B" w:rsidRPr="007200DB">
        <w:rPr>
          <w:color w:val="000000" w:themeColor="text1"/>
        </w:rPr>
        <w:t>: 4</w:t>
      </w:r>
      <w:r w:rsidRPr="007200DB">
        <w:rPr>
          <w:color w:val="000000" w:themeColor="text1"/>
        </w:rPr>
        <w:t>3-50.</w:t>
      </w:r>
    </w:p>
    <w:p w14:paraId="2FD665F1" w14:textId="4F21DD3D" w:rsidR="00775D2B" w:rsidRPr="00775D2B" w:rsidRDefault="00562DE0" w:rsidP="00775D2B">
      <w:pPr>
        <w:pStyle w:val="ListParagraph"/>
        <w:numPr>
          <w:ilvl w:val="0"/>
          <w:numId w:val="26"/>
        </w:numPr>
        <w:spacing w:after="160" w:line="240" w:lineRule="auto"/>
        <w:jc w:val="both"/>
      </w:pPr>
      <w:r w:rsidRPr="00775D2B">
        <w:t>Fitzpatrick A, Stone JA, Choppin S</w:t>
      </w:r>
      <w:r w:rsidR="00775D2B" w:rsidRPr="00775D2B">
        <w:t xml:space="preserve">, et al. </w:t>
      </w:r>
      <w:r w:rsidRPr="00775D2B">
        <w:t>Important performance characteristics in elite clay and grass court tennis match-play</w:t>
      </w:r>
      <w:r w:rsidR="00775D2B" w:rsidRPr="00775D2B">
        <w:t>.</w:t>
      </w:r>
      <w:r w:rsidRPr="00775D2B">
        <w:t xml:space="preserve"> </w:t>
      </w:r>
      <w:r w:rsidRPr="007200DB">
        <w:rPr>
          <w:i/>
          <w:iCs/>
          <w:color w:val="000000" w:themeColor="text1"/>
        </w:rPr>
        <w:t>Int J</w:t>
      </w:r>
      <w:r w:rsidR="007200DB" w:rsidRPr="007200DB">
        <w:rPr>
          <w:i/>
          <w:iCs/>
          <w:color w:val="000000" w:themeColor="text1"/>
        </w:rPr>
        <w:t xml:space="preserve"> </w:t>
      </w:r>
      <w:r w:rsidRPr="007200DB">
        <w:rPr>
          <w:i/>
          <w:iCs/>
          <w:color w:val="000000" w:themeColor="text1"/>
        </w:rPr>
        <w:t>Perfor</w:t>
      </w:r>
      <w:r w:rsidR="007200DB" w:rsidRPr="007200DB">
        <w:rPr>
          <w:i/>
          <w:iCs/>
          <w:color w:val="000000" w:themeColor="text1"/>
        </w:rPr>
        <w:t>m</w:t>
      </w:r>
      <w:r w:rsidRPr="007200DB">
        <w:rPr>
          <w:i/>
          <w:iCs/>
          <w:color w:val="000000" w:themeColor="text1"/>
        </w:rPr>
        <w:t xml:space="preserve"> Anal Sport</w:t>
      </w:r>
      <w:r w:rsidRPr="007200DB">
        <w:rPr>
          <w:color w:val="000000" w:themeColor="text1"/>
        </w:rPr>
        <w:t xml:space="preserve"> </w:t>
      </w:r>
      <w:r w:rsidR="00775D2B" w:rsidRPr="00775D2B">
        <w:t xml:space="preserve">2019; </w:t>
      </w:r>
      <w:r w:rsidRPr="00775D2B">
        <w:t>19(6)</w:t>
      </w:r>
      <w:r w:rsidR="00775D2B" w:rsidRPr="00775D2B">
        <w:t xml:space="preserve">: </w:t>
      </w:r>
      <w:r w:rsidRPr="00775D2B">
        <w:t>942-952.</w:t>
      </w:r>
    </w:p>
    <w:p w14:paraId="79E6BB20" w14:textId="07FE9788" w:rsidR="00562DE0" w:rsidRPr="00775D2B" w:rsidRDefault="00562DE0" w:rsidP="00562DE0">
      <w:pPr>
        <w:pStyle w:val="ListParagraph"/>
        <w:numPr>
          <w:ilvl w:val="0"/>
          <w:numId w:val="26"/>
        </w:numPr>
        <w:spacing w:after="160" w:line="240" w:lineRule="auto"/>
        <w:jc w:val="both"/>
      </w:pPr>
      <w:r w:rsidRPr="00775D2B">
        <w:t xml:space="preserve">Knight G and O'Donoghue P. The probability of winning break points in Grand Slam men's </w:t>
      </w:r>
      <w:r w:rsidRPr="000D6299">
        <w:rPr>
          <w:color w:val="000000" w:themeColor="text1"/>
        </w:rPr>
        <w:t>singles tennis</w:t>
      </w:r>
      <w:r w:rsidR="00775D2B" w:rsidRPr="000D6299">
        <w:rPr>
          <w:color w:val="000000" w:themeColor="text1"/>
        </w:rPr>
        <w:t>.</w:t>
      </w:r>
      <w:r w:rsidRPr="000D6299">
        <w:rPr>
          <w:color w:val="000000" w:themeColor="text1"/>
        </w:rPr>
        <w:t xml:space="preserve"> </w:t>
      </w:r>
      <w:proofErr w:type="spellStart"/>
      <w:r w:rsidRPr="000D6299">
        <w:rPr>
          <w:i/>
          <w:iCs/>
          <w:color w:val="000000" w:themeColor="text1"/>
        </w:rPr>
        <w:t>Eur</w:t>
      </w:r>
      <w:proofErr w:type="spellEnd"/>
      <w:r w:rsidRPr="000D6299">
        <w:rPr>
          <w:i/>
          <w:iCs/>
          <w:color w:val="000000" w:themeColor="text1"/>
        </w:rPr>
        <w:t xml:space="preserve"> J</w:t>
      </w:r>
      <w:r w:rsidR="000D6299" w:rsidRPr="000D6299">
        <w:rPr>
          <w:i/>
          <w:iCs/>
          <w:color w:val="000000" w:themeColor="text1"/>
        </w:rPr>
        <w:t xml:space="preserve"> </w:t>
      </w:r>
      <w:r w:rsidRPr="000D6299">
        <w:rPr>
          <w:i/>
          <w:iCs/>
          <w:color w:val="000000" w:themeColor="text1"/>
        </w:rPr>
        <w:t>Sport Sci</w:t>
      </w:r>
      <w:r w:rsidRPr="000D6299">
        <w:rPr>
          <w:color w:val="000000" w:themeColor="text1"/>
        </w:rPr>
        <w:t xml:space="preserve"> </w:t>
      </w:r>
      <w:r w:rsidR="00775D2B" w:rsidRPr="000D6299">
        <w:rPr>
          <w:color w:val="000000" w:themeColor="text1"/>
        </w:rPr>
        <w:t xml:space="preserve">2012; </w:t>
      </w:r>
      <w:r w:rsidRPr="000D6299">
        <w:rPr>
          <w:color w:val="000000" w:themeColor="text1"/>
        </w:rPr>
        <w:t>12</w:t>
      </w:r>
      <w:r w:rsidRPr="00775D2B">
        <w:t>(6)</w:t>
      </w:r>
      <w:r w:rsidR="00775D2B" w:rsidRPr="00775D2B">
        <w:t xml:space="preserve">: </w:t>
      </w:r>
      <w:r w:rsidRPr="00775D2B">
        <w:t>462-468.</w:t>
      </w:r>
    </w:p>
    <w:p w14:paraId="23A5BBCE" w14:textId="5580DA3B" w:rsidR="00562DE0" w:rsidRPr="00775D2B" w:rsidRDefault="00562DE0" w:rsidP="00562DE0">
      <w:pPr>
        <w:pStyle w:val="ListParagraph"/>
        <w:numPr>
          <w:ilvl w:val="0"/>
          <w:numId w:val="26"/>
        </w:numPr>
        <w:spacing w:after="160" w:line="240" w:lineRule="auto"/>
        <w:jc w:val="both"/>
      </w:pPr>
      <w:r w:rsidRPr="00775D2B">
        <w:t xml:space="preserve">Mecheri S, Rioult F, Mantel B, </w:t>
      </w:r>
      <w:r w:rsidR="00775D2B" w:rsidRPr="00775D2B">
        <w:t xml:space="preserve">et al. </w:t>
      </w:r>
      <w:r w:rsidRPr="00775D2B">
        <w:t xml:space="preserve">The serve impact in tennis: First large-scale study of big </w:t>
      </w:r>
      <w:r w:rsidRPr="00C35D8D">
        <w:rPr>
          <w:color w:val="000000" w:themeColor="text1"/>
        </w:rPr>
        <w:t>Hawk-Eye data</w:t>
      </w:r>
      <w:r w:rsidR="00775D2B" w:rsidRPr="00C35D8D">
        <w:rPr>
          <w:color w:val="000000" w:themeColor="text1"/>
        </w:rPr>
        <w:t>.</w:t>
      </w:r>
      <w:r w:rsidRPr="00C35D8D">
        <w:rPr>
          <w:color w:val="000000" w:themeColor="text1"/>
        </w:rPr>
        <w:t xml:space="preserve"> </w:t>
      </w:r>
      <w:r w:rsidRPr="00C35D8D">
        <w:rPr>
          <w:i/>
          <w:iCs/>
          <w:color w:val="000000" w:themeColor="text1"/>
        </w:rPr>
        <w:t>Stat Anal Data Mi</w:t>
      </w:r>
      <w:r w:rsidR="00C35D8D" w:rsidRPr="00C35D8D">
        <w:rPr>
          <w:i/>
          <w:iCs/>
          <w:color w:val="000000" w:themeColor="text1"/>
        </w:rPr>
        <w:t>n</w:t>
      </w:r>
      <w:r w:rsidRPr="00C35D8D">
        <w:rPr>
          <w:color w:val="000000" w:themeColor="text1"/>
        </w:rPr>
        <w:t xml:space="preserve"> </w:t>
      </w:r>
      <w:r w:rsidR="00775D2B" w:rsidRPr="00C35D8D">
        <w:rPr>
          <w:color w:val="000000" w:themeColor="text1"/>
        </w:rPr>
        <w:t xml:space="preserve">2016; </w:t>
      </w:r>
      <w:r w:rsidRPr="00775D2B">
        <w:t>9(5)</w:t>
      </w:r>
      <w:r w:rsidR="00775D2B" w:rsidRPr="00775D2B">
        <w:t xml:space="preserve">: </w:t>
      </w:r>
      <w:r w:rsidRPr="00775D2B">
        <w:t>310-325.</w:t>
      </w:r>
    </w:p>
    <w:p w14:paraId="28228702" w14:textId="3680CBA2" w:rsidR="00562DE0" w:rsidRPr="007D0F58" w:rsidRDefault="00562DE0" w:rsidP="00562DE0">
      <w:pPr>
        <w:pStyle w:val="ListParagraph"/>
        <w:numPr>
          <w:ilvl w:val="0"/>
          <w:numId w:val="26"/>
        </w:numPr>
        <w:spacing w:after="160" w:line="240" w:lineRule="auto"/>
        <w:jc w:val="both"/>
        <w:rPr>
          <w:color w:val="000000" w:themeColor="text1"/>
        </w:rPr>
      </w:pPr>
      <w:r w:rsidRPr="00775D2B">
        <w:t xml:space="preserve">Sánchez-Pay A, Ortega-Soto JA and Sánchez-Alcaraz BJ. Notational analysis in female </w:t>
      </w:r>
      <w:r w:rsidRPr="007D0F58">
        <w:rPr>
          <w:color w:val="000000" w:themeColor="text1"/>
        </w:rPr>
        <w:t>grand slam tennis competitions</w:t>
      </w:r>
      <w:r w:rsidR="00C35D8D" w:rsidRPr="007D0F58">
        <w:rPr>
          <w:color w:val="000000" w:themeColor="text1"/>
        </w:rPr>
        <w:t>.</w:t>
      </w:r>
      <w:r w:rsidRPr="007D0F58">
        <w:rPr>
          <w:color w:val="000000" w:themeColor="text1"/>
        </w:rPr>
        <w:t xml:space="preserve"> </w:t>
      </w:r>
      <w:r w:rsidR="00C35D8D" w:rsidRPr="007D0F58">
        <w:rPr>
          <w:i/>
          <w:iCs/>
          <w:color w:val="000000" w:themeColor="text1"/>
        </w:rPr>
        <w:t xml:space="preserve">Int J </w:t>
      </w:r>
      <w:proofErr w:type="spellStart"/>
      <w:r w:rsidR="00C35D8D" w:rsidRPr="007D0F58">
        <w:rPr>
          <w:i/>
          <w:iCs/>
          <w:color w:val="000000" w:themeColor="text1"/>
        </w:rPr>
        <w:t>Fundam</w:t>
      </w:r>
      <w:proofErr w:type="spellEnd"/>
      <w:r w:rsidR="00C35D8D" w:rsidRPr="007D0F58">
        <w:rPr>
          <w:i/>
          <w:iCs/>
          <w:color w:val="000000" w:themeColor="text1"/>
        </w:rPr>
        <w:t xml:space="preserve"> </w:t>
      </w:r>
      <w:proofErr w:type="spellStart"/>
      <w:r w:rsidR="00C35D8D" w:rsidRPr="007D0F58">
        <w:rPr>
          <w:i/>
          <w:iCs/>
          <w:color w:val="000000" w:themeColor="text1"/>
        </w:rPr>
        <w:t>Appli</w:t>
      </w:r>
      <w:proofErr w:type="spellEnd"/>
      <w:r w:rsidR="00C35D8D" w:rsidRPr="007D0F58">
        <w:rPr>
          <w:i/>
          <w:iCs/>
          <w:color w:val="000000" w:themeColor="text1"/>
        </w:rPr>
        <w:t xml:space="preserve"> </w:t>
      </w:r>
      <w:proofErr w:type="spellStart"/>
      <w:r w:rsidRPr="007D0F58">
        <w:rPr>
          <w:i/>
          <w:iCs/>
          <w:color w:val="000000" w:themeColor="text1"/>
        </w:rPr>
        <w:t>Kinesiol</w:t>
      </w:r>
      <w:proofErr w:type="spellEnd"/>
      <w:r w:rsidR="00775D2B" w:rsidRPr="007D0F58">
        <w:rPr>
          <w:color w:val="000000" w:themeColor="text1"/>
        </w:rPr>
        <w:t xml:space="preserve"> 2021;</w:t>
      </w:r>
      <w:r w:rsidRPr="007D0F58">
        <w:rPr>
          <w:color w:val="000000" w:themeColor="text1"/>
        </w:rPr>
        <w:t xml:space="preserve"> 53(1)</w:t>
      </w:r>
      <w:r w:rsidR="00775D2B" w:rsidRPr="007D0F58">
        <w:rPr>
          <w:color w:val="000000" w:themeColor="text1"/>
        </w:rPr>
        <w:t xml:space="preserve">: </w:t>
      </w:r>
      <w:r w:rsidRPr="007D0F58">
        <w:rPr>
          <w:color w:val="000000" w:themeColor="text1"/>
        </w:rPr>
        <w:t>154-161.</w:t>
      </w:r>
    </w:p>
    <w:p w14:paraId="4FA221E8" w14:textId="578AD373" w:rsidR="00562DE0" w:rsidRPr="007D0F58" w:rsidRDefault="00562DE0" w:rsidP="00562DE0">
      <w:pPr>
        <w:pStyle w:val="ListParagraph"/>
        <w:numPr>
          <w:ilvl w:val="0"/>
          <w:numId w:val="26"/>
        </w:numPr>
        <w:spacing w:after="160" w:line="240" w:lineRule="auto"/>
        <w:jc w:val="both"/>
        <w:rPr>
          <w:color w:val="000000" w:themeColor="text1"/>
        </w:rPr>
      </w:pPr>
      <w:r w:rsidRPr="007D0F58">
        <w:rPr>
          <w:color w:val="000000" w:themeColor="text1"/>
        </w:rPr>
        <w:t xml:space="preserve">Sánchez-Pay A, Ortega-Soto JA, </w:t>
      </w:r>
      <w:proofErr w:type="spellStart"/>
      <w:r w:rsidRPr="007D0F58">
        <w:rPr>
          <w:color w:val="000000" w:themeColor="text1"/>
        </w:rPr>
        <w:t>Courel</w:t>
      </w:r>
      <w:proofErr w:type="spellEnd"/>
      <w:r w:rsidRPr="007D0F58">
        <w:rPr>
          <w:color w:val="000000" w:themeColor="text1"/>
        </w:rPr>
        <w:t xml:space="preserve">-Ibáñez J, </w:t>
      </w:r>
      <w:r w:rsidR="00775D2B" w:rsidRPr="007D0F58">
        <w:rPr>
          <w:color w:val="000000" w:themeColor="text1"/>
        </w:rPr>
        <w:t>et al.</w:t>
      </w:r>
      <w:r w:rsidRPr="007D0F58">
        <w:rPr>
          <w:color w:val="000000" w:themeColor="text1"/>
        </w:rPr>
        <w:t xml:space="preserve"> </w:t>
      </w:r>
      <w:r w:rsidR="00E60D78" w:rsidRPr="007D0F58">
        <w:rPr>
          <w:color w:val="000000" w:themeColor="text1"/>
        </w:rPr>
        <w:t>Tennis s</w:t>
      </w:r>
      <w:r w:rsidRPr="007D0F58">
        <w:rPr>
          <w:color w:val="000000" w:themeColor="text1"/>
        </w:rPr>
        <w:t>ervice</w:t>
      </w:r>
      <w:r w:rsidR="00E60D78" w:rsidRPr="007D0F58">
        <w:rPr>
          <w:color w:val="000000" w:themeColor="text1"/>
        </w:rPr>
        <w:t xml:space="preserve"> performance</w:t>
      </w:r>
      <w:r w:rsidRPr="007D0F58">
        <w:rPr>
          <w:color w:val="000000" w:themeColor="text1"/>
        </w:rPr>
        <w:t xml:space="preserve"> in </w:t>
      </w:r>
      <w:r w:rsidR="00E60D78" w:rsidRPr="007D0F58">
        <w:rPr>
          <w:color w:val="000000" w:themeColor="text1"/>
        </w:rPr>
        <w:t xml:space="preserve">professional </w:t>
      </w:r>
      <w:r w:rsidRPr="007D0F58">
        <w:rPr>
          <w:color w:val="000000" w:themeColor="text1"/>
        </w:rPr>
        <w:t>women</w:t>
      </w:r>
      <w:r w:rsidR="00E60D78" w:rsidRPr="007D0F58">
        <w:rPr>
          <w:color w:val="000000" w:themeColor="text1"/>
        </w:rPr>
        <w:t xml:space="preserve"> players</w:t>
      </w:r>
      <w:r w:rsidRPr="007D0F58">
        <w:rPr>
          <w:color w:val="000000" w:themeColor="text1"/>
        </w:rPr>
        <w:t xml:space="preserve">: Influence of ranking </w:t>
      </w:r>
      <w:r w:rsidR="00E60D78" w:rsidRPr="007D0F58">
        <w:rPr>
          <w:color w:val="000000" w:themeColor="text1"/>
        </w:rPr>
        <w:t xml:space="preserve">position </w:t>
      </w:r>
      <w:r w:rsidRPr="007D0F58">
        <w:rPr>
          <w:color w:val="000000" w:themeColor="text1"/>
        </w:rPr>
        <w:t>and</w:t>
      </w:r>
      <w:r w:rsidR="00E60D78" w:rsidRPr="007D0F58">
        <w:rPr>
          <w:color w:val="000000" w:themeColor="text1"/>
        </w:rPr>
        <w:t xml:space="preserve"> opponents’ laterality</w:t>
      </w:r>
      <w:r w:rsidR="00775D2B" w:rsidRPr="007D0F58">
        <w:rPr>
          <w:color w:val="000000" w:themeColor="text1"/>
        </w:rPr>
        <w:t>.</w:t>
      </w:r>
      <w:r w:rsidRPr="007D0F58">
        <w:rPr>
          <w:color w:val="000000" w:themeColor="text1"/>
        </w:rPr>
        <w:t xml:space="preserve"> </w:t>
      </w:r>
      <w:r w:rsidR="007D0F58" w:rsidRPr="007D0F58">
        <w:rPr>
          <w:i/>
          <w:iCs/>
          <w:color w:val="000000" w:themeColor="text1"/>
        </w:rPr>
        <w:t xml:space="preserve">Rev Ind Med </w:t>
      </w:r>
      <w:proofErr w:type="spellStart"/>
      <w:r w:rsidR="007D0F58" w:rsidRPr="007D0F58">
        <w:rPr>
          <w:i/>
          <w:iCs/>
          <w:color w:val="000000" w:themeColor="text1"/>
        </w:rPr>
        <w:t>Cienc</w:t>
      </w:r>
      <w:proofErr w:type="spellEnd"/>
      <w:r w:rsidR="007D0F58" w:rsidRPr="007D0F58">
        <w:rPr>
          <w:i/>
          <w:iCs/>
          <w:color w:val="000000" w:themeColor="text1"/>
        </w:rPr>
        <w:t xml:space="preserve"> AC</w:t>
      </w:r>
      <w:r w:rsidRPr="007D0F58">
        <w:rPr>
          <w:i/>
          <w:iCs/>
          <w:color w:val="000000" w:themeColor="text1"/>
        </w:rPr>
        <w:t xml:space="preserve"> </w:t>
      </w:r>
      <w:r w:rsidR="00775D2B" w:rsidRPr="007D0F58">
        <w:rPr>
          <w:color w:val="000000" w:themeColor="text1"/>
        </w:rPr>
        <w:t xml:space="preserve">2022; </w:t>
      </w:r>
      <w:r w:rsidRPr="007D0F58">
        <w:rPr>
          <w:color w:val="000000" w:themeColor="text1"/>
        </w:rPr>
        <w:t>22(86)</w:t>
      </w:r>
      <w:r w:rsidR="00775D2B" w:rsidRPr="007D0F58">
        <w:rPr>
          <w:color w:val="000000" w:themeColor="text1"/>
        </w:rPr>
        <w:t xml:space="preserve">: </w:t>
      </w:r>
      <w:r w:rsidRPr="007D0F58">
        <w:rPr>
          <w:color w:val="000000" w:themeColor="text1"/>
        </w:rPr>
        <w:t>255-267.</w:t>
      </w:r>
    </w:p>
    <w:p w14:paraId="19FB9461" w14:textId="715F403F" w:rsidR="00562DE0" w:rsidRPr="00775D2B" w:rsidRDefault="00562DE0" w:rsidP="00562DE0">
      <w:pPr>
        <w:pStyle w:val="ListParagraph"/>
        <w:numPr>
          <w:ilvl w:val="0"/>
          <w:numId w:val="26"/>
        </w:numPr>
        <w:spacing w:after="160" w:line="240" w:lineRule="auto"/>
        <w:jc w:val="both"/>
      </w:pPr>
      <w:r w:rsidRPr="00775D2B">
        <w:t xml:space="preserve">Söğüt M. Height- </w:t>
      </w:r>
      <w:r w:rsidRPr="00C35D8D">
        <w:rPr>
          <w:color w:val="000000" w:themeColor="text1"/>
        </w:rPr>
        <w:t>and surface-related variations in match-play outcomes and rankings in professional men’s tennis</w:t>
      </w:r>
      <w:r w:rsidR="00775D2B" w:rsidRPr="00C35D8D">
        <w:rPr>
          <w:color w:val="000000" w:themeColor="text1"/>
        </w:rPr>
        <w:t>.</w:t>
      </w:r>
      <w:r w:rsidRPr="00C35D8D">
        <w:rPr>
          <w:color w:val="000000" w:themeColor="text1"/>
        </w:rPr>
        <w:t xml:space="preserve"> </w:t>
      </w:r>
      <w:r w:rsidRPr="00C35D8D">
        <w:rPr>
          <w:i/>
          <w:iCs/>
          <w:color w:val="000000" w:themeColor="text1"/>
        </w:rPr>
        <w:t>Ger J</w:t>
      </w:r>
      <w:r w:rsidR="00C35D8D" w:rsidRPr="00C35D8D">
        <w:rPr>
          <w:i/>
          <w:iCs/>
          <w:color w:val="000000" w:themeColor="text1"/>
        </w:rPr>
        <w:t xml:space="preserve"> </w:t>
      </w:r>
      <w:r w:rsidRPr="00C35D8D">
        <w:rPr>
          <w:i/>
          <w:iCs/>
          <w:color w:val="000000" w:themeColor="text1"/>
        </w:rPr>
        <w:t>Exerc Sport Res</w:t>
      </w:r>
      <w:r w:rsidRPr="00C35D8D">
        <w:rPr>
          <w:color w:val="000000" w:themeColor="text1"/>
        </w:rPr>
        <w:t xml:space="preserve"> </w:t>
      </w:r>
      <w:r w:rsidR="00775D2B" w:rsidRPr="00C35D8D">
        <w:rPr>
          <w:color w:val="000000" w:themeColor="text1"/>
        </w:rPr>
        <w:t xml:space="preserve">2019; </w:t>
      </w:r>
      <w:r w:rsidRPr="00C35D8D">
        <w:rPr>
          <w:color w:val="000000" w:themeColor="text1"/>
        </w:rPr>
        <w:t>49(3)</w:t>
      </w:r>
      <w:r w:rsidR="00775D2B" w:rsidRPr="00C35D8D">
        <w:rPr>
          <w:color w:val="000000" w:themeColor="text1"/>
        </w:rPr>
        <w:t xml:space="preserve">: </w:t>
      </w:r>
      <w:r w:rsidRPr="00C35D8D">
        <w:rPr>
          <w:color w:val="000000" w:themeColor="text1"/>
        </w:rPr>
        <w:t>332-338</w:t>
      </w:r>
      <w:r w:rsidRPr="00775D2B">
        <w:t>.</w:t>
      </w:r>
    </w:p>
    <w:p w14:paraId="63781192" w14:textId="4721BF13" w:rsidR="00562DE0" w:rsidRPr="00775D2B" w:rsidRDefault="00562DE0" w:rsidP="00562DE0">
      <w:pPr>
        <w:pStyle w:val="ListParagraph"/>
        <w:numPr>
          <w:ilvl w:val="0"/>
          <w:numId w:val="26"/>
        </w:numPr>
        <w:spacing w:after="160" w:line="240" w:lineRule="auto"/>
        <w:jc w:val="both"/>
      </w:pPr>
      <w:proofErr w:type="spellStart"/>
      <w:r w:rsidRPr="00775D2B">
        <w:t>Borderias</w:t>
      </w:r>
      <w:proofErr w:type="spellEnd"/>
      <w:r w:rsidRPr="00775D2B">
        <w:t xml:space="preserve"> M, Crespo M, Martínez-Gallego R, </w:t>
      </w:r>
      <w:r w:rsidR="00775D2B" w:rsidRPr="00775D2B">
        <w:t xml:space="preserve">et al. </w:t>
      </w:r>
      <w:r w:rsidRPr="00775D2B">
        <w:t>Comparison of the game structure and point ending during Grand Slam women's doubles tennis</w:t>
      </w:r>
      <w:r w:rsidR="00775D2B" w:rsidRPr="00775D2B">
        <w:t xml:space="preserve">. </w:t>
      </w:r>
      <w:r w:rsidR="007200DB" w:rsidRPr="007200DB">
        <w:rPr>
          <w:i/>
          <w:iCs/>
          <w:color w:val="000000" w:themeColor="text1"/>
        </w:rPr>
        <w:t>Int J Sports Sci Coach</w:t>
      </w:r>
      <w:r w:rsidRPr="00775D2B">
        <w:t xml:space="preserve"> </w:t>
      </w:r>
      <w:r w:rsidR="00775D2B" w:rsidRPr="00775D2B">
        <w:t xml:space="preserve">2023; </w:t>
      </w:r>
      <w:r w:rsidRPr="00775D2B">
        <w:t>18(4)</w:t>
      </w:r>
      <w:r w:rsidR="00775D2B" w:rsidRPr="00775D2B">
        <w:t xml:space="preserve">: </w:t>
      </w:r>
      <w:r w:rsidRPr="00775D2B">
        <w:t>1248-1255.</w:t>
      </w:r>
    </w:p>
    <w:p w14:paraId="1047010F" w14:textId="08E7A13A" w:rsidR="00562DE0" w:rsidRPr="00775D2B" w:rsidRDefault="00562DE0" w:rsidP="00562DE0">
      <w:pPr>
        <w:pStyle w:val="ListParagraph"/>
        <w:numPr>
          <w:ilvl w:val="0"/>
          <w:numId w:val="26"/>
        </w:numPr>
        <w:spacing w:after="160" w:line="240" w:lineRule="auto"/>
        <w:jc w:val="both"/>
      </w:pPr>
      <w:r w:rsidRPr="00775D2B">
        <w:t xml:space="preserve">Cui Y, Gómez M, Gonçalves B, </w:t>
      </w:r>
      <w:r w:rsidR="00775D2B" w:rsidRPr="00775D2B">
        <w:t>et al.</w:t>
      </w:r>
      <w:r w:rsidRPr="00775D2B">
        <w:t xml:space="preserve"> Effects of experience and relative quality in tennis match performance during four Grand Slams</w:t>
      </w:r>
      <w:r w:rsidR="00775D2B" w:rsidRPr="00775D2B">
        <w:t>.</w:t>
      </w:r>
      <w:r w:rsidRPr="00775D2B">
        <w:t xml:space="preserve"> </w:t>
      </w:r>
      <w:r w:rsidR="007200DB" w:rsidRPr="007200DB">
        <w:rPr>
          <w:i/>
          <w:iCs/>
          <w:color w:val="000000" w:themeColor="text1"/>
        </w:rPr>
        <w:t>Int J Perform Anal Sport</w:t>
      </w:r>
      <w:r w:rsidR="007200DB" w:rsidRPr="007200DB">
        <w:rPr>
          <w:color w:val="000000" w:themeColor="text1"/>
        </w:rPr>
        <w:t xml:space="preserve"> </w:t>
      </w:r>
      <w:r w:rsidR="00775D2B" w:rsidRPr="00775D2B">
        <w:t xml:space="preserve">2017; </w:t>
      </w:r>
      <w:r w:rsidRPr="00775D2B">
        <w:t>17(5)</w:t>
      </w:r>
      <w:r w:rsidR="00775D2B" w:rsidRPr="00775D2B">
        <w:t xml:space="preserve">: </w:t>
      </w:r>
      <w:r w:rsidRPr="00775D2B">
        <w:t>783-801.</w:t>
      </w:r>
    </w:p>
    <w:p w14:paraId="0F0048F6" w14:textId="66ACDCE6" w:rsidR="00562DE0" w:rsidRPr="00C32A95" w:rsidRDefault="00562DE0" w:rsidP="00562DE0">
      <w:pPr>
        <w:pStyle w:val="ListParagraph"/>
        <w:numPr>
          <w:ilvl w:val="0"/>
          <w:numId w:val="26"/>
        </w:numPr>
        <w:spacing w:after="160" w:line="240" w:lineRule="auto"/>
        <w:jc w:val="both"/>
      </w:pPr>
      <w:r w:rsidRPr="00C32A95">
        <w:lastRenderedPageBreak/>
        <w:t xml:space="preserve">Cui Y, Gómez M, Gonçalves B, </w:t>
      </w:r>
      <w:r w:rsidR="005C71AD" w:rsidRPr="00C32A95">
        <w:t>et al.</w:t>
      </w:r>
      <w:r w:rsidRPr="00C32A95">
        <w:t xml:space="preserve"> Performance profiles of professional female tennis players in </w:t>
      </w:r>
      <w:r w:rsidRPr="00C35D8D">
        <w:rPr>
          <w:color w:val="000000" w:themeColor="text1"/>
        </w:rPr>
        <w:t>grand slams</w:t>
      </w:r>
      <w:r w:rsidR="005C71AD" w:rsidRPr="00C35D8D">
        <w:rPr>
          <w:color w:val="000000" w:themeColor="text1"/>
        </w:rPr>
        <w:t>.</w:t>
      </w:r>
      <w:r w:rsidRPr="00C35D8D">
        <w:rPr>
          <w:color w:val="000000" w:themeColor="text1"/>
        </w:rPr>
        <w:t xml:space="preserve"> </w:t>
      </w:r>
      <w:proofErr w:type="spellStart"/>
      <w:r w:rsidRPr="00C35D8D">
        <w:rPr>
          <w:i/>
          <w:iCs/>
          <w:color w:val="000000" w:themeColor="text1"/>
        </w:rPr>
        <w:t>PLoS</w:t>
      </w:r>
      <w:proofErr w:type="spellEnd"/>
      <w:r w:rsidRPr="00C35D8D">
        <w:rPr>
          <w:i/>
          <w:iCs/>
          <w:color w:val="000000" w:themeColor="text1"/>
        </w:rPr>
        <w:t xml:space="preserve"> O</w:t>
      </w:r>
      <w:r w:rsidR="00C35D8D" w:rsidRPr="00C35D8D">
        <w:rPr>
          <w:i/>
          <w:iCs/>
          <w:color w:val="000000" w:themeColor="text1"/>
        </w:rPr>
        <w:t>ne</w:t>
      </w:r>
      <w:r w:rsidRPr="00C35D8D">
        <w:rPr>
          <w:color w:val="000000" w:themeColor="text1"/>
        </w:rPr>
        <w:t xml:space="preserve"> </w:t>
      </w:r>
      <w:r w:rsidR="005C71AD" w:rsidRPr="00C35D8D">
        <w:rPr>
          <w:color w:val="000000" w:themeColor="text1"/>
        </w:rPr>
        <w:t>2018</w:t>
      </w:r>
      <w:r w:rsidR="005C71AD" w:rsidRPr="00C32A95">
        <w:t xml:space="preserve">; </w:t>
      </w:r>
      <w:r w:rsidRPr="00C32A95">
        <w:t>13(7)</w:t>
      </w:r>
      <w:r w:rsidR="005C71AD" w:rsidRPr="00C32A95">
        <w:t>.</w:t>
      </w:r>
    </w:p>
    <w:p w14:paraId="18FBB4CD" w14:textId="21778418" w:rsidR="00562DE0" w:rsidRPr="00C32A95" w:rsidRDefault="00562DE0" w:rsidP="00562DE0">
      <w:pPr>
        <w:pStyle w:val="ListParagraph"/>
        <w:numPr>
          <w:ilvl w:val="0"/>
          <w:numId w:val="26"/>
        </w:numPr>
        <w:spacing w:after="160" w:line="240" w:lineRule="auto"/>
        <w:jc w:val="both"/>
      </w:pPr>
      <w:r w:rsidRPr="00C32A95">
        <w:t xml:space="preserve">Cui Y, Liu H, Liu H, </w:t>
      </w:r>
      <w:r w:rsidR="005C71AD" w:rsidRPr="00C32A95">
        <w:t>et al.</w:t>
      </w:r>
      <w:r w:rsidRPr="00C32A95">
        <w:t xml:space="preserve"> Data-driven analysis of point-by-point performance for male tennis player in Grand </w:t>
      </w:r>
      <w:r w:rsidRPr="002169FC">
        <w:rPr>
          <w:color w:val="000000" w:themeColor="text1"/>
        </w:rPr>
        <w:t>Slams</w:t>
      </w:r>
      <w:r w:rsidR="005C71AD" w:rsidRPr="002169FC">
        <w:rPr>
          <w:color w:val="000000" w:themeColor="text1"/>
        </w:rPr>
        <w:t>.</w:t>
      </w:r>
      <w:r w:rsidRPr="002169FC">
        <w:rPr>
          <w:color w:val="000000" w:themeColor="text1"/>
        </w:rPr>
        <w:t xml:space="preserve"> </w:t>
      </w:r>
      <w:proofErr w:type="spellStart"/>
      <w:r w:rsidRPr="002169FC">
        <w:rPr>
          <w:i/>
          <w:iCs/>
          <w:color w:val="000000" w:themeColor="text1"/>
        </w:rPr>
        <w:t>Motricidade</w:t>
      </w:r>
      <w:proofErr w:type="spellEnd"/>
      <w:r w:rsidR="001D630F" w:rsidRPr="002169FC">
        <w:rPr>
          <w:color w:val="000000" w:themeColor="text1"/>
        </w:rPr>
        <w:t xml:space="preserve"> </w:t>
      </w:r>
      <w:r w:rsidR="005C71AD" w:rsidRPr="002169FC">
        <w:rPr>
          <w:color w:val="000000" w:themeColor="text1"/>
        </w:rPr>
        <w:t xml:space="preserve">2019; </w:t>
      </w:r>
      <w:r w:rsidRPr="00C32A95">
        <w:t>15(1)</w:t>
      </w:r>
      <w:r w:rsidR="005C71AD" w:rsidRPr="00C32A95">
        <w:t>:</w:t>
      </w:r>
      <w:r w:rsidRPr="00C32A95">
        <w:t>49-61.</w:t>
      </w:r>
    </w:p>
    <w:p w14:paraId="0B53CF21" w14:textId="1DC75289" w:rsidR="00562DE0" w:rsidRPr="00C32A95" w:rsidRDefault="00562DE0" w:rsidP="00562DE0">
      <w:pPr>
        <w:pStyle w:val="ListParagraph"/>
        <w:numPr>
          <w:ilvl w:val="0"/>
          <w:numId w:val="26"/>
        </w:numPr>
        <w:spacing w:after="160" w:line="240" w:lineRule="auto"/>
        <w:jc w:val="both"/>
      </w:pPr>
      <w:r w:rsidRPr="00C32A95">
        <w:t>Kovalchik SA and Reid M.</w:t>
      </w:r>
      <w:r w:rsidR="00C32A95" w:rsidRPr="00C32A95">
        <w:t xml:space="preserve"> </w:t>
      </w:r>
      <w:r w:rsidRPr="00C32A95">
        <w:t xml:space="preserve">Comparing Matchplay Characteristics and Physical Demands of </w:t>
      </w:r>
      <w:r w:rsidRPr="007200DB">
        <w:rPr>
          <w:color w:val="000000" w:themeColor="text1"/>
        </w:rPr>
        <w:t>Junior and Professional Tennis Athletes in the Era of Big Data</w:t>
      </w:r>
      <w:r w:rsidR="00C32A95" w:rsidRPr="007200DB">
        <w:rPr>
          <w:color w:val="000000" w:themeColor="text1"/>
        </w:rPr>
        <w:t>.</w:t>
      </w:r>
      <w:r w:rsidRPr="007200DB">
        <w:rPr>
          <w:color w:val="000000" w:themeColor="text1"/>
        </w:rPr>
        <w:t xml:space="preserve"> </w:t>
      </w:r>
      <w:r w:rsidRPr="007200DB">
        <w:rPr>
          <w:i/>
          <w:iCs/>
          <w:color w:val="000000" w:themeColor="text1"/>
        </w:rPr>
        <w:t>J</w:t>
      </w:r>
      <w:r w:rsidR="007200DB" w:rsidRPr="007200DB">
        <w:rPr>
          <w:i/>
          <w:iCs/>
          <w:color w:val="000000" w:themeColor="text1"/>
        </w:rPr>
        <w:t xml:space="preserve"> </w:t>
      </w:r>
      <w:r w:rsidRPr="007200DB">
        <w:rPr>
          <w:i/>
          <w:iCs/>
          <w:color w:val="000000" w:themeColor="text1"/>
        </w:rPr>
        <w:t>Sports Sci</w:t>
      </w:r>
      <w:r w:rsidR="007200DB" w:rsidRPr="007200DB">
        <w:rPr>
          <w:i/>
          <w:iCs/>
          <w:color w:val="000000" w:themeColor="text1"/>
        </w:rPr>
        <w:t xml:space="preserve"> </w:t>
      </w:r>
      <w:r w:rsidRPr="007200DB">
        <w:rPr>
          <w:i/>
          <w:iCs/>
          <w:color w:val="000000" w:themeColor="text1"/>
        </w:rPr>
        <w:t>Med</w:t>
      </w:r>
      <w:r w:rsidRPr="007200DB">
        <w:rPr>
          <w:color w:val="000000" w:themeColor="text1"/>
        </w:rPr>
        <w:t xml:space="preserve"> </w:t>
      </w:r>
      <w:r w:rsidR="00C32A95" w:rsidRPr="007200DB">
        <w:rPr>
          <w:color w:val="000000" w:themeColor="text1"/>
        </w:rPr>
        <w:t xml:space="preserve">2017; </w:t>
      </w:r>
      <w:r w:rsidRPr="007200DB">
        <w:rPr>
          <w:color w:val="000000" w:themeColor="text1"/>
        </w:rPr>
        <w:t>16(4)</w:t>
      </w:r>
      <w:r w:rsidR="00C32A95" w:rsidRPr="007200DB">
        <w:rPr>
          <w:color w:val="000000" w:themeColor="text1"/>
        </w:rPr>
        <w:t xml:space="preserve">: </w:t>
      </w:r>
      <w:r w:rsidRPr="007200DB">
        <w:rPr>
          <w:color w:val="000000" w:themeColor="text1"/>
        </w:rPr>
        <w:t>489-497.</w:t>
      </w:r>
    </w:p>
    <w:p w14:paraId="2B78573A" w14:textId="2B142C41" w:rsidR="00C32A95" w:rsidRPr="00C32A95" w:rsidRDefault="00562DE0" w:rsidP="00C32A95">
      <w:pPr>
        <w:pStyle w:val="ListParagraph"/>
        <w:numPr>
          <w:ilvl w:val="0"/>
          <w:numId w:val="26"/>
        </w:numPr>
        <w:spacing w:after="160" w:line="240" w:lineRule="auto"/>
        <w:jc w:val="both"/>
      </w:pPr>
      <w:r w:rsidRPr="00C32A95">
        <w:t>Ma S, Liu C, Tan Y</w:t>
      </w:r>
      <w:r w:rsidR="00C32A95" w:rsidRPr="00C32A95">
        <w:t xml:space="preserve">, et al. </w:t>
      </w:r>
      <w:r w:rsidRPr="00C32A95">
        <w:t xml:space="preserve">Winning matches in Grand Slam men's singles: An analysis of player performance-related variables from </w:t>
      </w:r>
      <w:r w:rsidRPr="007200DB">
        <w:rPr>
          <w:color w:val="000000" w:themeColor="text1"/>
        </w:rPr>
        <w:t>1991 to 2008</w:t>
      </w:r>
      <w:r w:rsidR="00C32A95" w:rsidRPr="007200DB">
        <w:rPr>
          <w:color w:val="000000" w:themeColor="text1"/>
        </w:rPr>
        <w:t>.</w:t>
      </w:r>
      <w:r w:rsidRPr="007200DB">
        <w:rPr>
          <w:color w:val="000000" w:themeColor="text1"/>
        </w:rPr>
        <w:t xml:space="preserve"> </w:t>
      </w:r>
      <w:r w:rsidR="007200DB" w:rsidRPr="007200DB">
        <w:rPr>
          <w:i/>
          <w:iCs/>
          <w:color w:val="000000" w:themeColor="text1"/>
        </w:rPr>
        <w:t>J</w:t>
      </w:r>
      <w:r w:rsidRPr="007200DB">
        <w:rPr>
          <w:i/>
          <w:iCs/>
          <w:color w:val="000000" w:themeColor="text1"/>
        </w:rPr>
        <w:t xml:space="preserve"> Sports Sci</w:t>
      </w:r>
      <w:r w:rsidRPr="007200DB">
        <w:rPr>
          <w:color w:val="000000" w:themeColor="text1"/>
        </w:rPr>
        <w:t xml:space="preserve"> </w:t>
      </w:r>
      <w:r w:rsidR="00C32A95" w:rsidRPr="007200DB">
        <w:rPr>
          <w:color w:val="000000" w:themeColor="text1"/>
        </w:rPr>
        <w:t xml:space="preserve">2013; </w:t>
      </w:r>
      <w:r w:rsidRPr="007200DB">
        <w:rPr>
          <w:color w:val="000000" w:themeColor="text1"/>
        </w:rPr>
        <w:t>31</w:t>
      </w:r>
      <w:r w:rsidRPr="00C32A95">
        <w:t>(11)</w:t>
      </w:r>
      <w:r w:rsidR="00C32A95" w:rsidRPr="00C32A95">
        <w:t xml:space="preserve">: </w:t>
      </w:r>
      <w:r w:rsidRPr="00C32A95">
        <w:t>1147-1155.</w:t>
      </w:r>
    </w:p>
    <w:p w14:paraId="436FACDF" w14:textId="3AC37128" w:rsidR="00562DE0" w:rsidRPr="002547BB" w:rsidRDefault="00562DE0" w:rsidP="00562DE0">
      <w:pPr>
        <w:pStyle w:val="ListParagraph"/>
        <w:numPr>
          <w:ilvl w:val="0"/>
          <w:numId w:val="26"/>
        </w:numPr>
        <w:spacing w:after="160" w:line="240" w:lineRule="auto"/>
        <w:jc w:val="both"/>
      </w:pPr>
      <w:r w:rsidRPr="002547BB">
        <w:t xml:space="preserve">Martin C, Bideau B, Touzard P, </w:t>
      </w:r>
      <w:r w:rsidR="002547BB" w:rsidRPr="002547BB">
        <w:t xml:space="preserve">et al. </w:t>
      </w:r>
      <w:r w:rsidRPr="002547BB">
        <w:t>Identification of serve pacing strategies during five-set tennis matches</w:t>
      </w:r>
      <w:r w:rsidR="002547BB" w:rsidRPr="002547BB">
        <w:t>.</w:t>
      </w:r>
      <w:r w:rsidRPr="002547BB">
        <w:t xml:space="preserve"> </w:t>
      </w:r>
      <w:r w:rsidR="007200DB" w:rsidRPr="007200DB">
        <w:rPr>
          <w:i/>
          <w:iCs/>
          <w:color w:val="000000" w:themeColor="text1"/>
        </w:rPr>
        <w:t>Int J Sports Sci Coach</w:t>
      </w:r>
      <w:r w:rsidRPr="002547BB">
        <w:t xml:space="preserve"> </w:t>
      </w:r>
      <w:r w:rsidR="002547BB" w:rsidRPr="002547BB">
        <w:t xml:space="preserve">2019; </w:t>
      </w:r>
      <w:r w:rsidRPr="002547BB">
        <w:t>14(1)</w:t>
      </w:r>
      <w:r w:rsidR="002547BB" w:rsidRPr="002547BB">
        <w:t xml:space="preserve">: </w:t>
      </w:r>
      <w:r w:rsidRPr="002547BB">
        <w:t>32-42.</w:t>
      </w:r>
    </w:p>
    <w:p w14:paraId="2E47B11E" w14:textId="3B80DCE5" w:rsidR="00562DE0" w:rsidRPr="002547BB" w:rsidRDefault="00562DE0" w:rsidP="00562DE0">
      <w:pPr>
        <w:pStyle w:val="ListParagraph"/>
        <w:numPr>
          <w:ilvl w:val="0"/>
          <w:numId w:val="26"/>
        </w:numPr>
        <w:spacing w:after="160" w:line="240" w:lineRule="auto"/>
        <w:jc w:val="both"/>
      </w:pPr>
      <w:r w:rsidRPr="002547BB">
        <w:t xml:space="preserve">Prieto-Lage I, </w:t>
      </w:r>
      <w:proofErr w:type="spellStart"/>
      <w:r w:rsidRPr="002547BB">
        <w:t>Paramés</w:t>
      </w:r>
      <w:proofErr w:type="spellEnd"/>
      <w:r w:rsidRPr="002547BB">
        <w:t xml:space="preserve">-González A, </w:t>
      </w:r>
      <w:proofErr w:type="spellStart"/>
      <w:r w:rsidRPr="002547BB">
        <w:t>Argibay</w:t>
      </w:r>
      <w:proofErr w:type="spellEnd"/>
      <w:r w:rsidRPr="002547BB">
        <w:t xml:space="preserve">-González JC, </w:t>
      </w:r>
      <w:r w:rsidR="002547BB" w:rsidRPr="002169FC">
        <w:rPr>
          <w:color w:val="000000" w:themeColor="text1"/>
        </w:rPr>
        <w:t xml:space="preserve">et al. </w:t>
      </w:r>
      <w:r w:rsidRPr="002169FC">
        <w:rPr>
          <w:color w:val="000000" w:themeColor="text1"/>
        </w:rPr>
        <w:t>Match Analysis in Women’s Tennis on Clay, Grass and Hard Courts</w:t>
      </w:r>
      <w:r w:rsidR="002547BB" w:rsidRPr="002169FC">
        <w:rPr>
          <w:color w:val="000000" w:themeColor="text1"/>
        </w:rPr>
        <w:t>.</w:t>
      </w:r>
      <w:r w:rsidRPr="002169FC">
        <w:rPr>
          <w:color w:val="000000" w:themeColor="text1"/>
        </w:rPr>
        <w:t xml:space="preserve"> </w:t>
      </w:r>
      <w:r w:rsidRPr="002169FC">
        <w:rPr>
          <w:i/>
          <w:iCs/>
          <w:color w:val="000000" w:themeColor="text1"/>
        </w:rPr>
        <w:t>Int J</w:t>
      </w:r>
      <w:r w:rsidR="002169FC" w:rsidRPr="002169FC">
        <w:rPr>
          <w:i/>
          <w:iCs/>
          <w:color w:val="000000" w:themeColor="text1"/>
        </w:rPr>
        <w:t xml:space="preserve"> </w:t>
      </w:r>
      <w:r w:rsidRPr="002169FC">
        <w:rPr>
          <w:i/>
          <w:iCs/>
          <w:color w:val="000000" w:themeColor="text1"/>
        </w:rPr>
        <w:t>Enviro</w:t>
      </w:r>
      <w:r w:rsidR="002169FC" w:rsidRPr="002169FC">
        <w:rPr>
          <w:i/>
          <w:iCs/>
          <w:color w:val="000000" w:themeColor="text1"/>
        </w:rPr>
        <w:t>n</w:t>
      </w:r>
      <w:r w:rsidRPr="002169FC">
        <w:rPr>
          <w:i/>
          <w:iCs/>
          <w:color w:val="000000" w:themeColor="text1"/>
        </w:rPr>
        <w:t xml:space="preserve"> Res Public Health</w:t>
      </w:r>
      <w:r w:rsidRPr="002169FC">
        <w:rPr>
          <w:color w:val="000000" w:themeColor="text1"/>
        </w:rPr>
        <w:t xml:space="preserve"> </w:t>
      </w:r>
      <w:r w:rsidR="002547BB" w:rsidRPr="002169FC">
        <w:rPr>
          <w:color w:val="000000" w:themeColor="text1"/>
        </w:rPr>
        <w:t xml:space="preserve">2022; </w:t>
      </w:r>
      <w:r w:rsidRPr="002169FC">
        <w:rPr>
          <w:color w:val="000000" w:themeColor="text1"/>
        </w:rPr>
        <w:t>19(13)</w:t>
      </w:r>
      <w:r w:rsidR="002547BB" w:rsidRPr="002169FC">
        <w:rPr>
          <w:color w:val="000000" w:themeColor="text1"/>
        </w:rPr>
        <w:t xml:space="preserve">: </w:t>
      </w:r>
      <w:r w:rsidRPr="002169FC">
        <w:rPr>
          <w:color w:val="000000" w:themeColor="text1"/>
        </w:rPr>
        <w:t>7955.</w:t>
      </w:r>
    </w:p>
    <w:p w14:paraId="2D56EB1C" w14:textId="68CF1B15" w:rsidR="002547BB" w:rsidRPr="002547BB" w:rsidRDefault="00562DE0" w:rsidP="002547BB">
      <w:pPr>
        <w:pStyle w:val="ListParagraph"/>
        <w:numPr>
          <w:ilvl w:val="0"/>
          <w:numId w:val="26"/>
        </w:numPr>
        <w:spacing w:after="160" w:line="240" w:lineRule="auto"/>
        <w:jc w:val="both"/>
      </w:pPr>
      <w:proofErr w:type="spellStart"/>
      <w:r w:rsidRPr="002547BB">
        <w:t>Zainan</w:t>
      </w:r>
      <w:proofErr w:type="spellEnd"/>
      <w:r w:rsidRPr="002547BB">
        <w:t xml:space="preserve"> Abidin</w:t>
      </w:r>
      <w:r w:rsidR="002547BB" w:rsidRPr="002547BB">
        <w:t xml:space="preserve"> </w:t>
      </w:r>
      <w:r w:rsidRPr="002547BB">
        <w:t>AW and Ruslan NAS.</w:t>
      </w:r>
      <w:r w:rsidR="002547BB" w:rsidRPr="002547BB">
        <w:t xml:space="preserve"> </w:t>
      </w:r>
      <w:r w:rsidRPr="002547BB">
        <w:t xml:space="preserve">Exploring the Importance of Players' Characteristics and Performance on Serve and Return of Serve in Winning the Women's Singles Grand Slam Tennis </w:t>
      </w:r>
      <w:r w:rsidRPr="002169FC">
        <w:rPr>
          <w:color w:val="000000" w:themeColor="text1"/>
        </w:rPr>
        <w:t>Tournaments</w:t>
      </w:r>
      <w:r w:rsidR="002547BB" w:rsidRPr="002169FC">
        <w:rPr>
          <w:color w:val="000000" w:themeColor="text1"/>
        </w:rPr>
        <w:t>.</w:t>
      </w:r>
      <w:r w:rsidRPr="002169FC">
        <w:rPr>
          <w:color w:val="000000" w:themeColor="text1"/>
        </w:rPr>
        <w:t xml:space="preserve"> </w:t>
      </w:r>
      <w:r w:rsidRPr="002169FC">
        <w:rPr>
          <w:i/>
          <w:iCs/>
          <w:color w:val="000000" w:themeColor="text1"/>
        </w:rPr>
        <w:t>J</w:t>
      </w:r>
      <w:r w:rsidR="002169FC" w:rsidRPr="002169FC">
        <w:rPr>
          <w:i/>
          <w:iCs/>
          <w:color w:val="000000" w:themeColor="text1"/>
        </w:rPr>
        <w:t xml:space="preserve"> </w:t>
      </w:r>
      <w:r w:rsidRPr="002169FC">
        <w:rPr>
          <w:i/>
          <w:iCs/>
          <w:color w:val="000000" w:themeColor="text1"/>
        </w:rPr>
        <w:t>Phys</w:t>
      </w:r>
      <w:r w:rsidR="002169FC" w:rsidRPr="002169FC">
        <w:rPr>
          <w:i/>
          <w:iCs/>
          <w:color w:val="000000" w:themeColor="text1"/>
        </w:rPr>
        <w:t xml:space="preserve"> </w:t>
      </w:r>
      <w:r w:rsidR="002547BB" w:rsidRPr="002169FC">
        <w:rPr>
          <w:color w:val="000000" w:themeColor="text1"/>
        </w:rPr>
        <w:t>2020</w:t>
      </w:r>
      <w:r w:rsidR="002547BB" w:rsidRPr="002547BB">
        <w:t xml:space="preserve">; </w:t>
      </w:r>
      <w:r w:rsidRPr="002547BB">
        <w:t>1496(1)</w:t>
      </w:r>
      <w:r w:rsidR="002547BB" w:rsidRPr="002547BB">
        <w:t xml:space="preserve">: </w:t>
      </w:r>
      <w:r w:rsidRPr="002547BB">
        <w:t xml:space="preserve">12008. </w:t>
      </w:r>
    </w:p>
    <w:p w14:paraId="5B8D67EA" w14:textId="35A280C0" w:rsidR="002547BB" w:rsidRPr="002547BB" w:rsidRDefault="00562DE0" w:rsidP="002547BB">
      <w:pPr>
        <w:pStyle w:val="ListParagraph"/>
        <w:numPr>
          <w:ilvl w:val="0"/>
          <w:numId w:val="26"/>
        </w:numPr>
        <w:spacing w:after="160" w:line="240" w:lineRule="auto"/>
        <w:jc w:val="both"/>
      </w:pPr>
      <w:proofErr w:type="spellStart"/>
      <w:r w:rsidRPr="002547BB">
        <w:t>Vaverka</w:t>
      </w:r>
      <w:proofErr w:type="spellEnd"/>
      <w:r w:rsidRPr="002547BB">
        <w:t xml:space="preserve"> F, </w:t>
      </w:r>
      <w:proofErr w:type="spellStart"/>
      <w:r w:rsidRPr="002547BB">
        <w:t>Nykodym</w:t>
      </w:r>
      <w:proofErr w:type="spellEnd"/>
      <w:r w:rsidRPr="002547BB">
        <w:t xml:space="preserve"> J, </w:t>
      </w:r>
      <w:proofErr w:type="spellStart"/>
      <w:r w:rsidRPr="002547BB">
        <w:t>Hendl</w:t>
      </w:r>
      <w:proofErr w:type="spellEnd"/>
      <w:r w:rsidRPr="002547BB">
        <w:t xml:space="preserve"> J,</w:t>
      </w:r>
      <w:r w:rsidR="001D630F">
        <w:t xml:space="preserve"> </w:t>
      </w:r>
      <w:r w:rsidR="002547BB" w:rsidRPr="002547BB">
        <w:t xml:space="preserve">et al. </w:t>
      </w:r>
      <w:r w:rsidRPr="002547BB">
        <w:t>Association between serve speed and court surface in tennis</w:t>
      </w:r>
      <w:r w:rsidR="002547BB" w:rsidRPr="002547BB">
        <w:t>.</w:t>
      </w:r>
      <w:r w:rsidRPr="002547BB">
        <w:t xml:space="preserve"> </w:t>
      </w:r>
      <w:r w:rsidR="007200DB" w:rsidRPr="007200DB">
        <w:rPr>
          <w:i/>
          <w:iCs/>
          <w:color w:val="000000" w:themeColor="text1"/>
        </w:rPr>
        <w:t>Int J Perform Anal Sport</w:t>
      </w:r>
      <w:r w:rsidR="007200DB" w:rsidRPr="007200DB">
        <w:rPr>
          <w:color w:val="000000" w:themeColor="text1"/>
        </w:rPr>
        <w:t xml:space="preserve"> </w:t>
      </w:r>
      <w:r w:rsidR="002547BB" w:rsidRPr="002547BB">
        <w:t xml:space="preserve">2018; </w:t>
      </w:r>
      <w:r w:rsidRPr="002547BB">
        <w:t>18(2)</w:t>
      </w:r>
      <w:r w:rsidR="002547BB" w:rsidRPr="002547BB">
        <w:t xml:space="preserve">: </w:t>
      </w:r>
      <w:r w:rsidRPr="002547BB">
        <w:t>262-272.</w:t>
      </w:r>
    </w:p>
    <w:p w14:paraId="43528547" w14:textId="3F6C36EB" w:rsidR="00562DE0" w:rsidRPr="00F21FA6" w:rsidRDefault="00562DE0" w:rsidP="00562DE0">
      <w:pPr>
        <w:pStyle w:val="ListParagraph"/>
        <w:numPr>
          <w:ilvl w:val="0"/>
          <w:numId w:val="26"/>
        </w:numPr>
        <w:spacing w:after="160" w:line="240" w:lineRule="auto"/>
        <w:jc w:val="both"/>
      </w:pPr>
      <w:r w:rsidRPr="00F21FA6">
        <w:t xml:space="preserve">Fleiss JL, Levin B and Paik MC. </w:t>
      </w:r>
      <w:r w:rsidRPr="002169FC">
        <w:rPr>
          <w:i/>
          <w:iCs/>
          <w:color w:val="000000" w:themeColor="text1"/>
        </w:rPr>
        <w:t>Statistical Methods for Rates and Proportions</w:t>
      </w:r>
      <w:r w:rsidR="002169FC" w:rsidRPr="002169FC">
        <w:rPr>
          <w:color w:val="000000" w:themeColor="text1"/>
        </w:rPr>
        <w:t>. 3</w:t>
      </w:r>
      <w:r w:rsidR="002169FC" w:rsidRPr="002169FC">
        <w:rPr>
          <w:color w:val="000000" w:themeColor="text1"/>
          <w:vertAlign w:val="superscript"/>
        </w:rPr>
        <w:t>rd</w:t>
      </w:r>
      <w:r w:rsidR="002169FC" w:rsidRPr="002169FC">
        <w:rPr>
          <w:color w:val="000000" w:themeColor="text1"/>
        </w:rPr>
        <w:t xml:space="preserve"> </w:t>
      </w:r>
      <w:r w:rsidR="002169FC">
        <w:t xml:space="preserve">ed. </w:t>
      </w:r>
      <w:r w:rsidR="002B0F49">
        <w:t>John Wiley and Sons</w:t>
      </w:r>
      <w:r w:rsidR="002169FC">
        <w:t>, 2003, pp. 598-626.</w:t>
      </w:r>
    </w:p>
    <w:p w14:paraId="4FCFCB2F" w14:textId="7453AED7" w:rsidR="00562DE0" w:rsidRPr="00F21FA6" w:rsidRDefault="00562DE0" w:rsidP="00562DE0">
      <w:pPr>
        <w:pStyle w:val="ListParagraph"/>
        <w:numPr>
          <w:ilvl w:val="0"/>
          <w:numId w:val="26"/>
        </w:numPr>
        <w:spacing w:after="160" w:line="240" w:lineRule="auto"/>
        <w:jc w:val="both"/>
      </w:pPr>
      <w:r w:rsidRPr="002B0F49">
        <w:rPr>
          <w:color w:val="000000" w:themeColor="text1"/>
        </w:rPr>
        <w:t>Cowden RG. Competitive Performance Correlates of Mental Toughness in Tennis</w:t>
      </w:r>
      <w:r w:rsidR="00F21FA6" w:rsidRPr="002B0F49">
        <w:rPr>
          <w:color w:val="000000" w:themeColor="text1"/>
        </w:rPr>
        <w:t>.</w:t>
      </w:r>
      <w:r w:rsidRPr="002B0F49">
        <w:rPr>
          <w:color w:val="000000" w:themeColor="text1"/>
        </w:rPr>
        <w:t xml:space="preserve"> </w:t>
      </w:r>
      <w:r w:rsidRPr="002B0F49">
        <w:rPr>
          <w:i/>
          <w:iCs/>
          <w:color w:val="000000" w:themeColor="text1"/>
        </w:rPr>
        <w:t>Percep</w:t>
      </w:r>
      <w:r w:rsidR="002B0F49" w:rsidRPr="002B0F49">
        <w:rPr>
          <w:i/>
          <w:iCs/>
          <w:color w:val="000000" w:themeColor="text1"/>
        </w:rPr>
        <w:t>t</w:t>
      </w:r>
      <w:r w:rsidRPr="002B0F49">
        <w:rPr>
          <w:i/>
          <w:iCs/>
          <w:color w:val="000000" w:themeColor="text1"/>
        </w:rPr>
        <w:t xml:space="preserve"> Mot Skills</w:t>
      </w:r>
      <w:r w:rsidRPr="002B0F49">
        <w:rPr>
          <w:color w:val="000000" w:themeColor="text1"/>
        </w:rPr>
        <w:t xml:space="preserve"> </w:t>
      </w:r>
      <w:r w:rsidR="00F21FA6" w:rsidRPr="002B0F49">
        <w:rPr>
          <w:color w:val="000000" w:themeColor="text1"/>
        </w:rPr>
        <w:t>2016</w:t>
      </w:r>
      <w:r w:rsidR="00F21FA6" w:rsidRPr="00F21FA6">
        <w:t xml:space="preserve">; </w:t>
      </w:r>
      <w:r w:rsidRPr="00F21FA6">
        <w:t>123(1)</w:t>
      </w:r>
      <w:r w:rsidR="00F21FA6" w:rsidRPr="00F21FA6">
        <w:t xml:space="preserve">: </w:t>
      </w:r>
      <w:r w:rsidRPr="00F21FA6">
        <w:t>341-360.</w:t>
      </w:r>
    </w:p>
    <w:p w14:paraId="71B2B478" w14:textId="6792E622" w:rsidR="00562DE0" w:rsidRPr="00F21FA6" w:rsidRDefault="00562DE0" w:rsidP="00562DE0">
      <w:pPr>
        <w:pStyle w:val="ListParagraph"/>
        <w:numPr>
          <w:ilvl w:val="0"/>
          <w:numId w:val="26"/>
        </w:numPr>
        <w:spacing w:after="160" w:line="240" w:lineRule="auto"/>
        <w:jc w:val="both"/>
      </w:pPr>
      <w:r w:rsidRPr="00F21FA6">
        <w:t>Scanlan TA, Teramoto M, Delforce M,</w:t>
      </w:r>
      <w:r w:rsidR="00F21FA6" w:rsidRPr="00F21FA6">
        <w:t xml:space="preserve"> et al. </w:t>
      </w:r>
      <w:r w:rsidRPr="00F21FA6">
        <w:t>Do better things come in smaller packages? Reducing game duration slows game pace and alters statistics associated with winning in basketball</w:t>
      </w:r>
      <w:r w:rsidR="00F21FA6" w:rsidRPr="00F21FA6">
        <w:t>.</w:t>
      </w:r>
      <w:r w:rsidRPr="00F21FA6">
        <w:t xml:space="preserve"> </w:t>
      </w:r>
      <w:r w:rsidR="007200DB" w:rsidRPr="007200DB">
        <w:rPr>
          <w:i/>
          <w:iCs/>
          <w:color w:val="000000" w:themeColor="text1"/>
        </w:rPr>
        <w:t>Int J Perform Anal Sport</w:t>
      </w:r>
      <w:r w:rsidR="007200DB" w:rsidRPr="007200DB">
        <w:rPr>
          <w:color w:val="000000" w:themeColor="text1"/>
        </w:rPr>
        <w:t xml:space="preserve"> </w:t>
      </w:r>
      <w:r w:rsidR="00F21FA6" w:rsidRPr="00F21FA6">
        <w:t xml:space="preserve">2016; </w:t>
      </w:r>
      <w:r w:rsidRPr="00F21FA6">
        <w:t>16(1)</w:t>
      </w:r>
      <w:r w:rsidR="00F21FA6" w:rsidRPr="00F21FA6">
        <w:t xml:space="preserve">: </w:t>
      </w:r>
      <w:r w:rsidRPr="00F21FA6">
        <w:t>157-170.</w:t>
      </w:r>
    </w:p>
    <w:p w14:paraId="6FC25D19" w14:textId="6543D4C9" w:rsidR="00562DE0" w:rsidRPr="00F21FA6" w:rsidRDefault="00562DE0" w:rsidP="00562DE0">
      <w:pPr>
        <w:pStyle w:val="ListParagraph"/>
        <w:numPr>
          <w:ilvl w:val="0"/>
          <w:numId w:val="26"/>
        </w:numPr>
        <w:spacing w:after="160" w:line="240" w:lineRule="auto"/>
        <w:jc w:val="both"/>
      </w:pPr>
      <w:r w:rsidRPr="00F21FA6">
        <w:t>O'Donoghue P. Performance models of ladies' and men's singles tennis at the Australian Open</w:t>
      </w:r>
      <w:r w:rsidR="00F21FA6" w:rsidRPr="00F21FA6">
        <w:t>.</w:t>
      </w:r>
      <w:r w:rsidRPr="00F21FA6">
        <w:t xml:space="preserve"> </w:t>
      </w:r>
      <w:r w:rsidR="007200DB" w:rsidRPr="007200DB">
        <w:rPr>
          <w:i/>
          <w:iCs/>
          <w:color w:val="000000" w:themeColor="text1"/>
        </w:rPr>
        <w:t>Int J Perform Anal Sport</w:t>
      </w:r>
      <w:r w:rsidR="007200DB" w:rsidRPr="007200DB">
        <w:rPr>
          <w:color w:val="000000" w:themeColor="text1"/>
        </w:rPr>
        <w:t xml:space="preserve"> </w:t>
      </w:r>
      <w:r w:rsidR="00F21FA6" w:rsidRPr="00F21FA6">
        <w:t xml:space="preserve">2002; </w:t>
      </w:r>
      <w:r w:rsidRPr="00F21FA6">
        <w:t>2(1)</w:t>
      </w:r>
      <w:r w:rsidR="00F21FA6" w:rsidRPr="00F21FA6">
        <w:t xml:space="preserve">: </w:t>
      </w:r>
      <w:r w:rsidRPr="00F21FA6">
        <w:t>73-84.</w:t>
      </w:r>
    </w:p>
    <w:p w14:paraId="0E7A6B84" w14:textId="66A264F5" w:rsidR="00562DE0" w:rsidRPr="00F21FA6" w:rsidRDefault="00562DE0" w:rsidP="00562DE0">
      <w:pPr>
        <w:pStyle w:val="ListParagraph"/>
        <w:numPr>
          <w:ilvl w:val="0"/>
          <w:numId w:val="26"/>
        </w:numPr>
        <w:spacing w:after="160" w:line="240" w:lineRule="auto"/>
        <w:jc w:val="both"/>
      </w:pPr>
      <w:r w:rsidRPr="00F21FA6">
        <w:t>Hahs-Vaughn</w:t>
      </w:r>
      <w:r w:rsidR="00F21FA6" w:rsidRPr="00F21FA6">
        <w:t xml:space="preserve"> </w:t>
      </w:r>
      <w:r w:rsidRPr="00F21FA6">
        <w:t xml:space="preserve">DL and Lomax RG. </w:t>
      </w:r>
      <w:r w:rsidRPr="00F21FA6">
        <w:rPr>
          <w:i/>
          <w:iCs/>
        </w:rPr>
        <w:t>An introduction to statistical concepts. 3rd ed.</w:t>
      </w:r>
      <w:r w:rsidRPr="00F21FA6">
        <w:t xml:space="preserve"> New York, NY</w:t>
      </w:r>
      <w:r w:rsidRPr="00F21FA6">
        <w:rPr>
          <w:i/>
          <w:iCs/>
        </w:rPr>
        <w:t xml:space="preserve">: </w:t>
      </w:r>
      <w:r w:rsidRPr="00F21FA6">
        <w:t>Routledge.</w:t>
      </w:r>
      <w:r w:rsidR="00F21FA6" w:rsidRPr="00F21FA6">
        <w:t>, 2012.</w:t>
      </w:r>
    </w:p>
    <w:p w14:paraId="46D2B178" w14:textId="7B15E45F" w:rsidR="00F21FA6" w:rsidRPr="00F21FA6" w:rsidRDefault="00562DE0" w:rsidP="00F21FA6">
      <w:pPr>
        <w:pStyle w:val="ListParagraph"/>
        <w:numPr>
          <w:ilvl w:val="0"/>
          <w:numId w:val="26"/>
        </w:numPr>
        <w:spacing w:after="160" w:line="240" w:lineRule="auto"/>
        <w:jc w:val="both"/>
      </w:pPr>
      <w:r w:rsidRPr="00F21FA6">
        <w:t>O'Donoghue P</w:t>
      </w:r>
      <w:r w:rsidR="00F21FA6" w:rsidRPr="00F21FA6">
        <w:t xml:space="preserve"> </w:t>
      </w:r>
      <w:r w:rsidRPr="007200DB">
        <w:rPr>
          <w:color w:val="000000" w:themeColor="text1"/>
        </w:rPr>
        <w:t>and Ingram B. A notational analysis of elite tennis strategy</w:t>
      </w:r>
      <w:r w:rsidR="00F21FA6" w:rsidRPr="007200DB">
        <w:rPr>
          <w:color w:val="000000" w:themeColor="text1"/>
        </w:rPr>
        <w:t>.</w:t>
      </w:r>
      <w:r w:rsidRPr="007200DB">
        <w:rPr>
          <w:color w:val="000000" w:themeColor="text1"/>
        </w:rPr>
        <w:t xml:space="preserve"> </w:t>
      </w:r>
      <w:r w:rsidR="007200DB" w:rsidRPr="007200DB">
        <w:rPr>
          <w:i/>
          <w:iCs/>
          <w:color w:val="000000" w:themeColor="text1"/>
        </w:rPr>
        <w:t>J</w:t>
      </w:r>
      <w:r w:rsidRPr="007200DB">
        <w:rPr>
          <w:i/>
          <w:iCs/>
          <w:color w:val="000000" w:themeColor="text1"/>
        </w:rPr>
        <w:t xml:space="preserve"> Sports Sci</w:t>
      </w:r>
      <w:r w:rsidRPr="007200DB">
        <w:rPr>
          <w:color w:val="000000" w:themeColor="text1"/>
        </w:rPr>
        <w:t xml:space="preserve"> </w:t>
      </w:r>
      <w:r w:rsidR="00F21FA6" w:rsidRPr="007200DB">
        <w:rPr>
          <w:color w:val="000000" w:themeColor="text1"/>
        </w:rPr>
        <w:t xml:space="preserve">2001; </w:t>
      </w:r>
      <w:r w:rsidRPr="007200DB">
        <w:rPr>
          <w:color w:val="000000" w:themeColor="text1"/>
        </w:rPr>
        <w:t>19(2)</w:t>
      </w:r>
      <w:r w:rsidR="00F21FA6" w:rsidRPr="007200DB">
        <w:rPr>
          <w:color w:val="000000" w:themeColor="text1"/>
        </w:rPr>
        <w:t xml:space="preserve">: </w:t>
      </w:r>
      <w:r w:rsidRPr="007200DB">
        <w:rPr>
          <w:color w:val="000000" w:themeColor="text1"/>
        </w:rPr>
        <w:t>107-115.</w:t>
      </w:r>
    </w:p>
    <w:p w14:paraId="5C827D0B" w14:textId="04AD6724" w:rsidR="00562DE0" w:rsidRPr="002B0F49" w:rsidRDefault="00562DE0" w:rsidP="00562DE0">
      <w:pPr>
        <w:pStyle w:val="ListParagraph"/>
        <w:numPr>
          <w:ilvl w:val="0"/>
          <w:numId w:val="26"/>
        </w:numPr>
        <w:spacing w:after="160" w:line="240" w:lineRule="auto"/>
        <w:jc w:val="both"/>
        <w:rPr>
          <w:color w:val="000000" w:themeColor="text1"/>
        </w:rPr>
      </w:pPr>
      <w:proofErr w:type="spellStart"/>
      <w:r w:rsidRPr="002B0F49">
        <w:rPr>
          <w:color w:val="000000" w:themeColor="text1"/>
        </w:rPr>
        <w:t>Grambow</w:t>
      </w:r>
      <w:proofErr w:type="spellEnd"/>
      <w:r w:rsidRPr="002B0F49">
        <w:rPr>
          <w:color w:val="000000" w:themeColor="text1"/>
        </w:rPr>
        <w:t xml:space="preserve"> R, </w:t>
      </w:r>
      <w:proofErr w:type="spellStart"/>
      <w:r w:rsidRPr="002B0F49">
        <w:rPr>
          <w:color w:val="000000" w:themeColor="text1"/>
        </w:rPr>
        <w:t>O'Shannessy</w:t>
      </w:r>
      <w:proofErr w:type="spellEnd"/>
      <w:r w:rsidRPr="002B0F49">
        <w:rPr>
          <w:color w:val="000000" w:themeColor="text1"/>
        </w:rPr>
        <w:t xml:space="preserve"> C, Born P, </w:t>
      </w:r>
      <w:r w:rsidR="00FE3283" w:rsidRPr="002B0F49">
        <w:rPr>
          <w:color w:val="000000" w:themeColor="text1"/>
        </w:rPr>
        <w:t xml:space="preserve">et al. </w:t>
      </w:r>
      <w:r w:rsidRPr="002B0F49">
        <w:rPr>
          <w:color w:val="000000" w:themeColor="text1"/>
        </w:rPr>
        <w:t>Serve efficiency developments at Wimbledon between 2002 and 2015: A longitudinal approach to impact tomorrow’s tennis practice</w:t>
      </w:r>
      <w:r w:rsidR="00FE3283" w:rsidRPr="002B0F49">
        <w:rPr>
          <w:color w:val="000000" w:themeColor="text1"/>
        </w:rPr>
        <w:t>.</w:t>
      </w:r>
      <w:r w:rsidRPr="002B0F49">
        <w:rPr>
          <w:color w:val="000000" w:themeColor="text1"/>
        </w:rPr>
        <w:t xml:space="preserve"> </w:t>
      </w:r>
      <w:r w:rsidRPr="002B0F49">
        <w:rPr>
          <w:i/>
          <w:iCs/>
          <w:color w:val="000000" w:themeColor="text1"/>
        </w:rPr>
        <w:t>Hum Mov</w:t>
      </w:r>
      <w:r w:rsidR="00FE3283" w:rsidRPr="002B0F49">
        <w:rPr>
          <w:color w:val="000000" w:themeColor="text1"/>
        </w:rPr>
        <w:t xml:space="preserve"> 2020; </w:t>
      </w:r>
      <w:r w:rsidRPr="002B0F49">
        <w:rPr>
          <w:color w:val="000000" w:themeColor="text1"/>
        </w:rPr>
        <w:t>21(1)</w:t>
      </w:r>
      <w:r w:rsidR="00FE3283" w:rsidRPr="002B0F49">
        <w:rPr>
          <w:color w:val="000000" w:themeColor="text1"/>
        </w:rPr>
        <w:t xml:space="preserve">: </w:t>
      </w:r>
      <w:r w:rsidRPr="002B0F49">
        <w:rPr>
          <w:color w:val="000000" w:themeColor="text1"/>
        </w:rPr>
        <w:t>65-72.</w:t>
      </w:r>
    </w:p>
    <w:p w14:paraId="314C78C8" w14:textId="0E3661E5" w:rsidR="00FE3283" w:rsidRPr="002B0F49" w:rsidRDefault="00562DE0" w:rsidP="00FE3283">
      <w:pPr>
        <w:pStyle w:val="ListParagraph"/>
        <w:numPr>
          <w:ilvl w:val="0"/>
          <w:numId w:val="26"/>
        </w:numPr>
        <w:spacing w:after="160" w:line="240" w:lineRule="auto"/>
        <w:jc w:val="both"/>
        <w:rPr>
          <w:color w:val="000000" w:themeColor="text1"/>
        </w:rPr>
      </w:pPr>
      <w:r w:rsidRPr="002B0F49">
        <w:rPr>
          <w:color w:val="000000" w:themeColor="text1"/>
        </w:rPr>
        <w:t>Mlakar</w:t>
      </w:r>
      <w:r w:rsidR="00FE3283" w:rsidRPr="002B0F49">
        <w:rPr>
          <w:color w:val="000000" w:themeColor="text1"/>
        </w:rPr>
        <w:t xml:space="preserve"> </w:t>
      </w:r>
      <w:r w:rsidRPr="002B0F49">
        <w:rPr>
          <w:color w:val="000000" w:themeColor="text1"/>
        </w:rPr>
        <w:t>M</w:t>
      </w:r>
      <w:r w:rsidR="00FE3283" w:rsidRPr="002B0F49">
        <w:rPr>
          <w:color w:val="000000" w:themeColor="text1"/>
        </w:rPr>
        <w:t xml:space="preserve"> and </w:t>
      </w:r>
      <w:r w:rsidRPr="002B0F49">
        <w:rPr>
          <w:color w:val="000000" w:themeColor="text1"/>
        </w:rPr>
        <w:t>Kovalchik</w:t>
      </w:r>
      <w:r w:rsidR="00FE3283" w:rsidRPr="002B0F49">
        <w:rPr>
          <w:color w:val="000000" w:themeColor="text1"/>
        </w:rPr>
        <w:t xml:space="preserve"> </w:t>
      </w:r>
      <w:r w:rsidRPr="002B0F49">
        <w:rPr>
          <w:color w:val="000000" w:themeColor="text1"/>
        </w:rPr>
        <w:t>SA.</w:t>
      </w:r>
      <w:r w:rsidR="00FE3283" w:rsidRPr="002B0F49">
        <w:rPr>
          <w:color w:val="000000" w:themeColor="text1"/>
        </w:rPr>
        <w:t xml:space="preserve"> </w:t>
      </w:r>
      <w:r w:rsidRPr="002B0F49">
        <w:rPr>
          <w:color w:val="000000" w:themeColor="text1"/>
        </w:rPr>
        <w:t xml:space="preserve">Analysing time pressure in professional tennis. J Sports Anal </w:t>
      </w:r>
      <w:r w:rsidR="00FE3283" w:rsidRPr="002B0F49">
        <w:rPr>
          <w:color w:val="000000" w:themeColor="text1"/>
        </w:rPr>
        <w:t xml:space="preserve">2020; </w:t>
      </w:r>
      <w:r w:rsidRPr="002B0F49">
        <w:rPr>
          <w:color w:val="000000" w:themeColor="text1"/>
        </w:rPr>
        <w:t>6(2)</w:t>
      </w:r>
      <w:r w:rsidR="00FE3283" w:rsidRPr="002B0F49">
        <w:rPr>
          <w:color w:val="000000" w:themeColor="text1"/>
        </w:rPr>
        <w:t xml:space="preserve">: </w:t>
      </w:r>
      <w:r w:rsidRPr="002B0F49">
        <w:rPr>
          <w:color w:val="000000" w:themeColor="text1"/>
        </w:rPr>
        <w:t>147-154.</w:t>
      </w:r>
    </w:p>
    <w:p w14:paraId="56DC33CE" w14:textId="1C727F60" w:rsidR="00562DE0" w:rsidRPr="003F564E" w:rsidRDefault="00562DE0" w:rsidP="00562DE0">
      <w:pPr>
        <w:pStyle w:val="ListParagraph"/>
        <w:numPr>
          <w:ilvl w:val="0"/>
          <w:numId w:val="26"/>
        </w:numPr>
        <w:spacing w:after="160" w:line="240" w:lineRule="auto"/>
        <w:jc w:val="both"/>
      </w:pPr>
      <w:r w:rsidRPr="003F564E">
        <w:t>Fitzpatrick A, Stone JA, Choppin S</w:t>
      </w:r>
      <w:r w:rsidR="003F564E" w:rsidRPr="003F564E">
        <w:t xml:space="preserve">, et al. </w:t>
      </w:r>
      <w:r w:rsidRPr="003F564E">
        <w:t>Investigating the most important aspect of elite grass court tennis: Short points</w:t>
      </w:r>
      <w:r w:rsidR="003F564E" w:rsidRPr="003F564E">
        <w:t>.</w:t>
      </w:r>
      <w:r w:rsidRPr="003F564E">
        <w:t xml:space="preserve"> </w:t>
      </w:r>
      <w:r w:rsidR="007200DB" w:rsidRPr="007200DB">
        <w:rPr>
          <w:i/>
          <w:iCs/>
          <w:color w:val="000000" w:themeColor="text1"/>
        </w:rPr>
        <w:t>Int J Sports Sci Coach</w:t>
      </w:r>
      <w:r w:rsidR="003F564E" w:rsidRPr="003F564E">
        <w:t xml:space="preserve"> 2021; </w:t>
      </w:r>
      <w:r w:rsidRPr="003F564E">
        <w:t>16(5)</w:t>
      </w:r>
      <w:r w:rsidR="003F564E" w:rsidRPr="003F564E">
        <w:t xml:space="preserve">: </w:t>
      </w:r>
      <w:r w:rsidRPr="003F564E">
        <w:t>1178-1186.</w:t>
      </w:r>
    </w:p>
    <w:p w14:paraId="58BC37E2" w14:textId="041CD80E" w:rsidR="00562DE0" w:rsidRPr="003F564E" w:rsidRDefault="00562DE0" w:rsidP="00562DE0">
      <w:pPr>
        <w:pStyle w:val="ListParagraph"/>
        <w:numPr>
          <w:ilvl w:val="0"/>
          <w:numId w:val="26"/>
        </w:numPr>
        <w:spacing w:after="160" w:line="240" w:lineRule="auto"/>
        <w:jc w:val="both"/>
      </w:pPr>
      <w:r w:rsidRPr="003F564E">
        <w:t>Vaverka F</w:t>
      </w:r>
      <w:r w:rsidR="003F564E" w:rsidRPr="003F564E">
        <w:t xml:space="preserve"> and </w:t>
      </w:r>
      <w:r w:rsidRPr="003F564E">
        <w:t xml:space="preserve">Cernosek M. Association between body height and serve speed in elite tennis </w:t>
      </w:r>
      <w:r w:rsidRPr="002B0F49">
        <w:rPr>
          <w:color w:val="000000" w:themeColor="text1"/>
        </w:rPr>
        <w:t>players</w:t>
      </w:r>
      <w:r w:rsidR="003F564E" w:rsidRPr="002B0F49">
        <w:rPr>
          <w:color w:val="000000" w:themeColor="text1"/>
        </w:rPr>
        <w:t>.</w:t>
      </w:r>
      <w:r w:rsidRPr="002B0F49">
        <w:rPr>
          <w:color w:val="000000" w:themeColor="text1"/>
        </w:rPr>
        <w:t xml:space="preserve"> </w:t>
      </w:r>
      <w:r w:rsidRPr="002B0F49">
        <w:rPr>
          <w:i/>
          <w:iCs/>
          <w:color w:val="000000" w:themeColor="text1"/>
        </w:rPr>
        <w:t xml:space="preserve">Sports </w:t>
      </w:r>
      <w:proofErr w:type="spellStart"/>
      <w:r w:rsidRPr="002B0F49">
        <w:rPr>
          <w:i/>
          <w:iCs/>
          <w:color w:val="000000" w:themeColor="text1"/>
        </w:rPr>
        <w:t>Biomech</w:t>
      </w:r>
      <w:proofErr w:type="spellEnd"/>
      <w:r w:rsidRPr="002B0F49">
        <w:rPr>
          <w:color w:val="000000" w:themeColor="text1"/>
        </w:rPr>
        <w:t xml:space="preserve"> </w:t>
      </w:r>
      <w:r w:rsidR="003F564E" w:rsidRPr="002B0F49">
        <w:rPr>
          <w:color w:val="000000" w:themeColor="text1"/>
        </w:rPr>
        <w:t xml:space="preserve">2013; </w:t>
      </w:r>
      <w:r w:rsidRPr="003F564E">
        <w:t>12(1)</w:t>
      </w:r>
      <w:r w:rsidR="003F564E" w:rsidRPr="003F564E">
        <w:t xml:space="preserve">: </w:t>
      </w:r>
      <w:r w:rsidRPr="003F564E">
        <w:t>30-37.</w:t>
      </w:r>
    </w:p>
    <w:p w14:paraId="47B8AEF8" w14:textId="5C03B20C" w:rsidR="00562DE0" w:rsidRPr="003F564E" w:rsidRDefault="00562DE0" w:rsidP="00562DE0">
      <w:pPr>
        <w:pStyle w:val="ListParagraph"/>
        <w:numPr>
          <w:ilvl w:val="0"/>
          <w:numId w:val="26"/>
        </w:numPr>
        <w:spacing w:after="160" w:line="240" w:lineRule="auto"/>
        <w:jc w:val="both"/>
      </w:pPr>
      <w:r w:rsidRPr="003F564E">
        <w:t>Venn M. An investigation into serving and returning strategies during Davis Cup and Billie Jean King Cup match-play</w:t>
      </w:r>
      <w:r w:rsidR="003F564E" w:rsidRPr="003F564E">
        <w:t>. Undergraduate Thesis</w:t>
      </w:r>
      <w:r w:rsidRPr="003F564E">
        <w:t>, Sheffield Hallam University</w:t>
      </w:r>
      <w:r w:rsidR="003F564E" w:rsidRPr="003F564E">
        <w:t>, UK, 2021.</w:t>
      </w:r>
    </w:p>
    <w:p w14:paraId="131D4014" w14:textId="3F7D4ABE" w:rsidR="00562DE0" w:rsidRPr="002B0F49" w:rsidRDefault="00562DE0" w:rsidP="00562DE0">
      <w:pPr>
        <w:pStyle w:val="ListParagraph"/>
        <w:numPr>
          <w:ilvl w:val="0"/>
          <w:numId w:val="26"/>
        </w:numPr>
        <w:spacing w:after="160" w:line="240" w:lineRule="auto"/>
        <w:jc w:val="both"/>
        <w:rPr>
          <w:color w:val="000000" w:themeColor="text1"/>
        </w:rPr>
      </w:pPr>
      <w:r w:rsidRPr="003F564E">
        <w:t xml:space="preserve">Fernández-García ÁI, Blanca-Torres JC, Nikolaidis PT, </w:t>
      </w:r>
      <w:r w:rsidR="003F564E" w:rsidRPr="003F564E">
        <w:t xml:space="preserve">et al. </w:t>
      </w:r>
      <w:r w:rsidRPr="003F564E">
        <w:t xml:space="preserve">Differences in competition </w:t>
      </w:r>
      <w:r w:rsidRPr="002B0F49">
        <w:rPr>
          <w:color w:val="000000" w:themeColor="text1"/>
        </w:rPr>
        <w:t>statistics between winners and losers in male and female tennis players in Olympic Games</w:t>
      </w:r>
      <w:r w:rsidR="003F564E" w:rsidRPr="002B0F49">
        <w:rPr>
          <w:color w:val="000000" w:themeColor="text1"/>
        </w:rPr>
        <w:t>.</w:t>
      </w:r>
      <w:r w:rsidRPr="002B0F49">
        <w:rPr>
          <w:color w:val="000000" w:themeColor="text1"/>
        </w:rPr>
        <w:t xml:space="preserve"> </w:t>
      </w:r>
      <w:r w:rsidRPr="002B0F49">
        <w:rPr>
          <w:i/>
          <w:iCs/>
          <w:color w:val="000000" w:themeColor="text1"/>
        </w:rPr>
        <w:t>Ger J</w:t>
      </w:r>
      <w:r w:rsidR="002B0F49" w:rsidRPr="002B0F49">
        <w:rPr>
          <w:i/>
          <w:iCs/>
          <w:color w:val="000000" w:themeColor="text1"/>
        </w:rPr>
        <w:t xml:space="preserve"> </w:t>
      </w:r>
      <w:r w:rsidRPr="002B0F49">
        <w:rPr>
          <w:i/>
          <w:iCs/>
          <w:color w:val="000000" w:themeColor="text1"/>
        </w:rPr>
        <w:t>Exerc Sport Res</w:t>
      </w:r>
      <w:r w:rsidRPr="002B0F49">
        <w:rPr>
          <w:color w:val="000000" w:themeColor="text1"/>
        </w:rPr>
        <w:t xml:space="preserve"> </w:t>
      </w:r>
      <w:r w:rsidR="003F564E" w:rsidRPr="002B0F49">
        <w:rPr>
          <w:color w:val="000000" w:themeColor="text1"/>
        </w:rPr>
        <w:t xml:space="preserve">2019; </w:t>
      </w:r>
      <w:r w:rsidRPr="002B0F49">
        <w:rPr>
          <w:color w:val="000000" w:themeColor="text1"/>
        </w:rPr>
        <w:t>49(3)</w:t>
      </w:r>
      <w:r w:rsidR="003F564E" w:rsidRPr="002B0F49">
        <w:rPr>
          <w:color w:val="000000" w:themeColor="text1"/>
        </w:rPr>
        <w:t xml:space="preserve">: </w:t>
      </w:r>
      <w:r w:rsidRPr="002B0F49">
        <w:rPr>
          <w:color w:val="000000" w:themeColor="text1"/>
        </w:rPr>
        <w:t>313-318.</w:t>
      </w:r>
    </w:p>
    <w:p w14:paraId="64300CE4" w14:textId="277C80A6" w:rsidR="00562DE0" w:rsidRPr="003F564E" w:rsidRDefault="00562DE0" w:rsidP="00562DE0">
      <w:pPr>
        <w:pStyle w:val="ListParagraph"/>
        <w:numPr>
          <w:ilvl w:val="0"/>
          <w:numId w:val="26"/>
        </w:numPr>
        <w:spacing w:after="160" w:line="240" w:lineRule="auto"/>
        <w:jc w:val="both"/>
      </w:pPr>
      <w:proofErr w:type="spellStart"/>
      <w:r w:rsidRPr="002B0F49">
        <w:rPr>
          <w:color w:val="000000" w:themeColor="text1"/>
        </w:rPr>
        <w:t>Filipcic</w:t>
      </w:r>
      <w:proofErr w:type="spellEnd"/>
      <w:r w:rsidRPr="002B0F49">
        <w:rPr>
          <w:color w:val="000000" w:themeColor="text1"/>
        </w:rPr>
        <w:t xml:space="preserve"> A, </w:t>
      </w:r>
      <w:proofErr w:type="spellStart"/>
      <w:r w:rsidRPr="002B0F49">
        <w:rPr>
          <w:color w:val="000000" w:themeColor="text1"/>
        </w:rPr>
        <w:t>Zecic</w:t>
      </w:r>
      <w:proofErr w:type="spellEnd"/>
      <w:r w:rsidRPr="002B0F49">
        <w:rPr>
          <w:color w:val="000000" w:themeColor="text1"/>
        </w:rPr>
        <w:t xml:space="preserve"> M, Reid M, </w:t>
      </w:r>
      <w:r w:rsidR="003F564E" w:rsidRPr="002B0F49">
        <w:rPr>
          <w:color w:val="000000" w:themeColor="text1"/>
        </w:rPr>
        <w:t xml:space="preserve">et al. </w:t>
      </w:r>
      <w:r w:rsidRPr="002B0F49">
        <w:rPr>
          <w:color w:val="000000" w:themeColor="text1"/>
        </w:rPr>
        <w:t>Differences in performance indicators of elite tennis players in the period 1991-2010</w:t>
      </w:r>
      <w:r w:rsidR="003F564E" w:rsidRPr="002B0F49">
        <w:rPr>
          <w:color w:val="000000" w:themeColor="text1"/>
        </w:rPr>
        <w:t>.</w:t>
      </w:r>
      <w:r w:rsidRPr="002B0F49">
        <w:rPr>
          <w:color w:val="000000" w:themeColor="text1"/>
        </w:rPr>
        <w:t xml:space="preserve"> </w:t>
      </w:r>
      <w:r w:rsidRPr="002B0F49">
        <w:rPr>
          <w:i/>
          <w:iCs/>
          <w:color w:val="000000" w:themeColor="text1"/>
        </w:rPr>
        <w:t>J</w:t>
      </w:r>
      <w:r w:rsidR="002B0F49" w:rsidRPr="002B0F49">
        <w:rPr>
          <w:i/>
          <w:iCs/>
          <w:color w:val="000000" w:themeColor="text1"/>
        </w:rPr>
        <w:t xml:space="preserve"> </w:t>
      </w:r>
      <w:r w:rsidRPr="002B0F49">
        <w:rPr>
          <w:i/>
          <w:iCs/>
          <w:color w:val="000000" w:themeColor="text1"/>
        </w:rPr>
        <w:t xml:space="preserve">Phys </w:t>
      </w:r>
      <w:proofErr w:type="spellStart"/>
      <w:r w:rsidRPr="002B0F49">
        <w:rPr>
          <w:i/>
          <w:iCs/>
          <w:color w:val="000000" w:themeColor="text1"/>
        </w:rPr>
        <w:t>Educ</w:t>
      </w:r>
      <w:proofErr w:type="spellEnd"/>
      <w:r w:rsidRPr="002B0F49">
        <w:rPr>
          <w:i/>
          <w:iCs/>
          <w:color w:val="000000" w:themeColor="text1"/>
        </w:rPr>
        <w:t xml:space="preserve"> Sport</w:t>
      </w:r>
      <w:r w:rsidRPr="002B0F49">
        <w:rPr>
          <w:color w:val="000000" w:themeColor="text1"/>
        </w:rPr>
        <w:t xml:space="preserve"> </w:t>
      </w:r>
      <w:r w:rsidR="003F564E" w:rsidRPr="002B0F49">
        <w:rPr>
          <w:color w:val="000000" w:themeColor="text1"/>
        </w:rPr>
        <w:t xml:space="preserve">2015; </w:t>
      </w:r>
      <w:r w:rsidRPr="002B0F49">
        <w:rPr>
          <w:color w:val="000000" w:themeColor="text1"/>
        </w:rPr>
        <w:t>15</w:t>
      </w:r>
      <w:r w:rsidRPr="003F564E">
        <w:t>(4)</w:t>
      </w:r>
      <w:r w:rsidR="003F564E" w:rsidRPr="003F564E">
        <w:t xml:space="preserve">: </w:t>
      </w:r>
      <w:r w:rsidRPr="003F564E">
        <w:t>671.</w:t>
      </w:r>
    </w:p>
    <w:p w14:paraId="226B6790" w14:textId="62C830BD" w:rsidR="00562DE0" w:rsidRPr="003F564E" w:rsidRDefault="00562DE0" w:rsidP="00562DE0">
      <w:pPr>
        <w:pStyle w:val="ListParagraph"/>
        <w:numPr>
          <w:ilvl w:val="0"/>
          <w:numId w:val="26"/>
        </w:numPr>
        <w:spacing w:after="160" w:line="240" w:lineRule="auto"/>
        <w:jc w:val="both"/>
      </w:pPr>
      <w:proofErr w:type="spellStart"/>
      <w:r w:rsidRPr="003F564E">
        <w:lastRenderedPageBreak/>
        <w:t>Grambow</w:t>
      </w:r>
      <w:proofErr w:type="spellEnd"/>
      <w:r w:rsidRPr="003F564E">
        <w:t xml:space="preserve"> R, </w:t>
      </w:r>
      <w:proofErr w:type="spellStart"/>
      <w:r w:rsidRPr="003F564E">
        <w:t>O'Shannessy</w:t>
      </w:r>
      <w:proofErr w:type="spellEnd"/>
      <w:r w:rsidRPr="003F564E">
        <w:t xml:space="preserve"> C, Born P</w:t>
      </w:r>
      <w:r w:rsidR="003F564E" w:rsidRPr="003F564E">
        <w:t xml:space="preserve">, et al. </w:t>
      </w:r>
      <w:r w:rsidRPr="003F564E">
        <w:t xml:space="preserve">Serve efficiency development indicates an extended women’s tennis </w:t>
      </w:r>
      <w:r w:rsidRPr="002B0F49">
        <w:rPr>
          <w:color w:val="000000" w:themeColor="text1"/>
        </w:rPr>
        <w:t>world class cohort: Analysing 14 years of Ladies Wimbledon Championships – Implications for coaching</w:t>
      </w:r>
      <w:r w:rsidR="003F564E" w:rsidRPr="002B0F49">
        <w:rPr>
          <w:color w:val="000000" w:themeColor="text1"/>
        </w:rPr>
        <w:t>.</w:t>
      </w:r>
      <w:r w:rsidRPr="002B0F49">
        <w:rPr>
          <w:color w:val="000000" w:themeColor="text1"/>
        </w:rPr>
        <w:t xml:space="preserve"> </w:t>
      </w:r>
      <w:r w:rsidRPr="002B0F49">
        <w:rPr>
          <w:i/>
          <w:iCs/>
          <w:color w:val="000000" w:themeColor="text1"/>
        </w:rPr>
        <w:t>Hu</w:t>
      </w:r>
      <w:r w:rsidR="002B0F49" w:rsidRPr="002B0F49">
        <w:rPr>
          <w:i/>
          <w:iCs/>
          <w:color w:val="000000" w:themeColor="text1"/>
        </w:rPr>
        <w:t>m</w:t>
      </w:r>
      <w:r w:rsidRPr="002B0F49">
        <w:rPr>
          <w:i/>
          <w:iCs/>
          <w:color w:val="000000" w:themeColor="text1"/>
        </w:rPr>
        <w:t xml:space="preserve"> Mov</w:t>
      </w:r>
      <w:r w:rsidR="003F564E" w:rsidRPr="002B0F49">
        <w:rPr>
          <w:color w:val="000000" w:themeColor="text1"/>
        </w:rPr>
        <w:t xml:space="preserve"> 2021; </w:t>
      </w:r>
      <w:r w:rsidRPr="002B0F49">
        <w:rPr>
          <w:color w:val="000000" w:themeColor="text1"/>
        </w:rPr>
        <w:t>22(2)</w:t>
      </w:r>
      <w:r w:rsidR="003F564E" w:rsidRPr="002B0F49">
        <w:rPr>
          <w:color w:val="000000" w:themeColor="text1"/>
        </w:rPr>
        <w:t xml:space="preserve">: </w:t>
      </w:r>
      <w:r w:rsidRPr="003F564E">
        <w:t>43-52.</w:t>
      </w:r>
    </w:p>
    <w:p w14:paraId="0D70C5E6" w14:textId="39EF0458" w:rsidR="00562DE0" w:rsidRPr="003F564E" w:rsidRDefault="00562DE0" w:rsidP="00562DE0">
      <w:pPr>
        <w:pStyle w:val="ListParagraph"/>
        <w:numPr>
          <w:ilvl w:val="0"/>
          <w:numId w:val="26"/>
        </w:numPr>
        <w:spacing w:after="160" w:line="240" w:lineRule="auto"/>
        <w:jc w:val="both"/>
      </w:pPr>
      <w:proofErr w:type="spellStart"/>
      <w:r w:rsidRPr="003F564E">
        <w:t>Meffert</w:t>
      </w:r>
      <w:proofErr w:type="spellEnd"/>
      <w:r w:rsidRPr="003F564E">
        <w:t xml:space="preserve"> D, </w:t>
      </w:r>
      <w:proofErr w:type="spellStart"/>
      <w:r w:rsidRPr="003F564E">
        <w:t>O'Shannessy</w:t>
      </w:r>
      <w:proofErr w:type="spellEnd"/>
      <w:r w:rsidRPr="003F564E">
        <w:t xml:space="preserve"> C, Born P,</w:t>
      </w:r>
      <w:r w:rsidR="003F564E" w:rsidRPr="003F564E">
        <w:t xml:space="preserve"> et al. </w:t>
      </w:r>
      <w:r w:rsidRPr="003F564E">
        <w:t xml:space="preserve">Tennis serve performances at break points: Approaching practice </w:t>
      </w:r>
      <w:r w:rsidRPr="002B0F49">
        <w:rPr>
          <w:color w:val="000000" w:themeColor="text1"/>
        </w:rPr>
        <w:t>patterns for coaching</w:t>
      </w:r>
      <w:r w:rsidR="003F564E" w:rsidRPr="002B0F49">
        <w:rPr>
          <w:color w:val="000000" w:themeColor="text1"/>
        </w:rPr>
        <w:t>.</w:t>
      </w:r>
      <w:r w:rsidRPr="002B0F49">
        <w:rPr>
          <w:color w:val="000000" w:themeColor="text1"/>
        </w:rPr>
        <w:t xml:space="preserve"> </w:t>
      </w:r>
      <w:proofErr w:type="spellStart"/>
      <w:r w:rsidRPr="002B0F49">
        <w:rPr>
          <w:i/>
          <w:iCs/>
          <w:color w:val="000000" w:themeColor="text1"/>
        </w:rPr>
        <w:t>Eur</w:t>
      </w:r>
      <w:proofErr w:type="spellEnd"/>
      <w:r w:rsidR="002B0F49" w:rsidRPr="002B0F49">
        <w:rPr>
          <w:i/>
          <w:iCs/>
          <w:color w:val="000000" w:themeColor="text1"/>
        </w:rPr>
        <w:t xml:space="preserve"> </w:t>
      </w:r>
      <w:r w:rsidRPr="002B0F49">
        <w:rPr>
          <w:i/>
          <w:iCs/>
          <w:color w:val="000000" w:themeColor="text1"/>
        </w:rPr>
        <w:t>J</w:t>
      </w:r>
      <w:r w:rsidR="002B0F49" w:rsidRPr="002B0F49">
        <w:rPr>
          <w:i/>
          <w:iCs/>
          <w:color w:val="000000" w:themeColor="text1"/>
        </w:rPr>
        <w:t xml:space="preserve"> </w:t>
      </w:r>
      <w:r w:rsidRPr="002B0F49">
        <w:rPr>
          <w:i/>
          <w:iCs/>
          <w:color w:val="000000" w:themeColor="text1"/>
        </w:rPr>
        <w:t>Sport Sci</w:t>
      </w:r>
      <w:r w:rsidRPr="002B0F49">
        <w:rPr>
          <w:color w:val="000000" w:themeColor="text1"/>
        </w:rPr>
        <w:t xml:space="preserve"> </w:t>
      </w:r>
      <w:r w:rsidR="003F564E" w:rsidRPr="002B0F49">
        <w:rPr>
          <w:color w:val="000000" w:themeColor="text1"/>
        </w:rPr>
        <w:t xml:space="preserve">2018; </w:t>
      </w:r>
      <w:r w:rsidRPr="002B0F49">
        <w:rPr>
          <w:color w:val="000000" w:themeColor="text1"/>
        </w:rPr>
        <w:t>18(8)</w:t>
      </w:r>
      <w:r w:rsidR="003F564E" w:rsidRPr="002B0F49">
        <w:rPr>
          <w:color w:val="000000" w:themeColor="text1"/>
        </w:rPr>
        <w:t xml:space="preserve">: </w:t>
      </w:r>
      <w:r w:rsidRPr="002B0F49">
        <w:rPr>
          <w:color w:val="000000" w:themeColor="text1"/>
        </w:rPr>
        <w:t>1151</w:t>
      </w:r>
      <w:r w:rsidRPr="003F564E">
        <w:t>-1157.</w:t>
      </w:r>
    </w:p>
    <w:p w14:paraId="3A64C014" w14:textId="3439AD26" w:rsidR="00562DE0" w:rsidRPr="003F564E" w:rsidRDefault="00562DE0" w:rsidP="00562DE0">
      <w:pPr>
        <w:pStyle w:val="ListParagraph"/>
        <w:numPr>
          <w:ilvl w:val="0"/>
          <w:numId w:val="26"/>
        </w:numPr>
        <w:spacing w:after="160" w:line="240" w:lineRule="auto"/>
        <w:jc w:val="both"/>
      </w:pPr>
      <w:r w:rsidRPr="003F564E">
        <w:t>O'Donoghue P.</w:t>
      </w:r>
      <w:r w:rsidR="003F564E" w:rsidRPr="003F564E">
        <w:t xml:space="preserve"> </w:t>
      </w:r>
      <w:r w:rsidRPr="003F564E">
        <w:t>Break points in Grand Slam men's singles tennis</w:t>
      </w:r>
      <w:r w:rsidR="003F564E" w:rsidRPr="003F564E">
        <w:t>.</w:t>
      </w:r>
      <w:r w:rsidRPr="003F564E">
        <w:t xml:space="preserve"> </w:t>
      </w:r>
      <w:r w:rsidR="007200DB" w:rsidRPr="007200DB">
        <w:rPr>
          <w:i/>
          <w:iCs/>
          <w:color w:val="000000" w:themeColor="text1"/>
        </w:rPr>
        <w:t>Int J Perform Anal Sport</w:t>
      </w:r>
      <w:r w:rsidR="007200DB" w:rsidRPr="007200DB">
        <w:rPr>
          <w:color w:val="000000" w:themeColor="text1"/>
        </w:rPr>
        <w:t xml:space="preserve"> </w:t>
      </w:r>
      <w:r w:rsidR="003F564E" w:rsidRPr="003F564E">
        <w:t xml:space="preserve">2012; </w:t>
      </w:r>
      <w:r w:rsidRPr="003F564E">
        <w:t>12(1)</w:t>
      </w:r>
      <w:r w:rsidR="003F564E" w:rsidRPr="003F564E">
        <w:t xml:space="preserve">: </w:t>
      </w:r>
      <w:r w:rsidRPr="003F564E">
        <w:t>156-165.</w:t>
      </w:r>
    </w:p>
    <w:p w14:paraId="3D0CEED7" w14:textId="037F2F62" w:rsidR="00E049E5" w:rsidRDefault="00E049E5" w:rsidP="006635A6">
      <w:pPr>
        <w:spacing w:after="160" w:line="240" w:lineRule="auto"/>
        <w:ind w:left="720" w:hanging="720"/>
        <w:jc w:val="both"/>
      </w:pPr>
    </w:p>
    <w:sectPr w:rsidR="00E049E5" w:rsidSect="000B63DE">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7C87FE4"/>
    <w:multiLevelType w:val="hybridMultilevel"/>
    <w:tmpl w:val="42CC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0709C6"/>
    <w:multiLevelType w:val="hybridMultilevel"/>
    <w:tmpl w:val="5E64A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08676972">
    <w:abstractNumId w:val="15"/>
  </w:num>
  <w:num w:numId="2" w16cid:durableId="9600528">
    <w:abstractNumId w:val="20"/>
  </w:num>
  <w:num w:numId="3" w16cid:durableId="1102456352">
    <w:abstractNumId w:val="1"/>
  </w:num>
  <w:num w:numId="4" w16cid:durableId="2020228596">
    <w:abstractNumId w:val="2"/>
  </w:num>
  <w:num w:numId="5" w16cid:durableId="1157039162">
    <w:abstractNumId w:val="3"/>
  </w:num>
  <w:num w:numId="6" w16cid:durableId="204218390">
    <w:abstractNumId w:val="4"/>
  </w:num>
  <w:num w:numId="7" w16cid:durableId="128325392">
    <w:abstractNumId w:val="9"/>
  </w:num>
  <w:num w:numId="8" w16cid:durableId="2038769046">
    <w:abstractNumId w:val="5"/>
  </w:num>
  <w:num w:numId="9" w16cid:durableId="403647185">
    <w:abstractNumId w:val="7"/>
  </w:num>
  <w:num w:numId="10" w16cid:durableId="1769539032">
    <w:abstractNumId w:val="6"/>
  </w:num>
  <w:num w:numId="11" w16cid:durableId="1040670616">
    <w:abstractNumId w:val="10"/>
  </w:num>
  <w:num w:numId="12" w16cid:durableId="1160198449">
    <w:abstractNumId w:val="8"/>
  </w:num>
  <w:num w:numId="13" w16cid:durableId="1705521168">
    <w:abstractNumId w:val="17"/>
  </w:num>
  <w:num w:numId="14" w16cid:durableId="1010106585">
    <w:abstractNumId w:val="21"/>
  </w:num>
  <w:num w:numId="15" w16cid:durableId="767585499">
    <w:abstractNumId w:val="14"/>
  </w:num>
  <w:num w:numId="16" w16cid:durableId="1369719643">
    <w:abstractNumId w:val="16"/>
  </w:num>
  <w:num w:numId="17" w16cid:durableId="1983582998">
    <w:abstractNumId w:val="11"/>
  </w:num>
  <w:num w:numId="18" w16cid:durableId="271013892">
    <w:abstractNumId w:val="0"/>
  </w:num>
  <w:num w:numId="19" w16cid:durableId="2023622411">
    <w:abstractNumId w:val="12"/>
  </w:num>
  <w:num w:numId="20" w16cid:durableId="531844795">
    <w:abstractNumId w:val="18"/>
  </w:num>
  <w:num w:numId="21" w16cid:durableId="514271983">
    <w:abstractNumId w:val="22"/>
  </w:num>
  <w:num w:numId="22" w16cid:durableId="1697462787">
    <w:abstractNumId w:val="24"/>
  </w:num>
  <w:num w:numId="23" w16cid:durableId="1652557239">
    <w:abstractNumId w:val="13"/>
  </w:num>
  <w:num w:numId="24" w16cid:durableId="1618559184">
    <w:abstractNumId w:val="25"/>
  </w:num>
  <w:num w:numId="25" w16cid:durableId="1849709268">
    <w:abstractNumId w:val="19"/>
  </w:num>
  <w:num w:numId="26" w16cid:durableId="1239306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69"/>
    <w:rsid w:val="00004DE3"/>
    <w:rsid w:val="00013EC7"/>
    <w:rsid w:val="00020FC8"/>
    <w:rsid w:val="00027B32"/>
    <w:rsid w:val="00041B34"/>
    <w:rsid w:val="000604D4"/>
    <w:rsid w:val="00061E17"/>
    <w:rsid w:val="00062D7C"/>
    <w:rsid w:val="000652A0"/>
    <w:rsid w:val="00077B99"/>
    <w:rsid w:val="000B297B"/>
    <w:rsid w:val="000B4834"/>
    <w:rsid w:val="000B63DE"/>
    <w:rsid w:val="000C2D3B"/>
    <w:rsid w:val="000D6299"/>
    <w:rsid w:val="00100D73"/>
    <w:rsid w:val="00100F09"/>
    <w:rsid w:val="001065ED"/>
    <w:rsid w:val="001174C1"/>
    <w:rsid w:val="00123AED"/>
    <w:rsid w:val="00144321"/>
    <w:rsid w:val="00150CB5"/>
    <w:rsid w:val="001526BB"/>
    <w:rsid w:val="0018010B"/>
    <w:rsid w:val="001B69FA"/>
    <w:rsid w:val="001D4ADA"/>
    <w:rsid w:val="001D630F"/>
    <w:rsid w:val="001E29E7"/>
    <w:rsid w:val="002041FE"/>
    <w:rsid w:val="002042F7"/>
    <w:rsid w:val="00210E01"/>
    <w:rsid w:val="00214E0A"/>
    <w:rsid w:val="002169FC"/>
    <w:rsid w:val="002208EB"/>
    <w:rsid w:val="002252AD"/>
    <w:rsid w:val="00225354"/>
    <w:rsid w:val="00235BC2"/>
    <w:rsid w:val="002449FC"/>
    <w:rsid w:val="002547BB"/>
    <w:rsid w:val="00265AD6"/>
    <w:rsid w:val="002756A0"/>
    <w:rsid w:val="00275B40"/>
    <w:rsid w:val="0028715F"/>
    <w:rsid w:val="0029344C"/>
    <w:rsid w:val="002B0F49"/>
    <w:rsid w:val="002B6FC6"/>
    <w:rsid w:val="002C5536"/>
    <w:rsid w:val="002D0573"/>
    <w:rsid w:val="002D7949"/>
    <w:rsid w:val="002E29B9"/>
    <w:rsid w:val="00322141"/>
    <w:rsid w:val="00322A44"/>
    <w:rsid w:val="00331181"/>
    <w:rsid w:val="00384E10"/>
    <w:rsid w:val="0039720D"/>
    <w:rsid w:val="003A2410"/>
    <w:rsid w:val="003A50E6"/>
    <w:rsid w:val="003A656C"/>
    <w:rsid w:val="003B1C86"/>
    <w:rsid w:val="003B7A34"/>
    <w:rsid w:val="003D6CF3"/>
    <w:rsid w:val="003E6E3B"/>
    <w:rsid w:val="003F564E"/>
    <w:rsid w:val="003F5C40"/>
    <w:rsid w:val="00406F47"/>
    <w:rsid w:val="004333E1"/>
    <w:rsid w:val="004356A3"/>
    <w:rsid w:val="0045218D"/>
    <w:rsid w:val="00452EBE"/>
    <w:rsid w:val="00454D02"/>
    <w:rsid w:val="0046111E"/>
    <w:rsid w:val="0047294E"/>
    <w:rsid w:val="00473A0E"/>
    <w:rsid w:val="00481F08"/>
    <w:rsid w:val="004955E0"/>
    <w:rsid w:val="004A32F7"/>
    <w:rsid w:val="004B2649"/>
    <w:rsid w:val="004C1ECE"/>
    <w:rsid w:val="004C7DD5"/>
    <w:rsid w:val="004D363C"/>
    <w:rsid w:val="004D4669"/>
    <w:rsid w:val="004F4F89"/>
    <w:rsid w:val="0051749E"/>
    <w:rsid w:val="00520AF2"/>
    <w:rsid w:val="00535386"/>
    <w:rsid w:val="00535845"/>
    <w:rsid w:val="005525BA"/>
    <w:rsid w:val="00552A4F"/>
    <w:rsid w:val="00561A2C"/>
    <w:rsid w:val="00562DE0"/>
    <w:rsid w:val="00562F52"/>
    <w:rsid w:val="0056471E"/>
    <w:rsid w:val="005650EB"/>
    <w:rsid w:val="00574900"/>
    <w:rsid w:val="00580D9F"/>
    <w:rsid w:val="005846AB"/>
    <w:rsid w:val="005973DC"/>
    <w:rsid w:val="005977CC"/>
    <w:rsid w:val="005B270D"/>
    <w:rsid w:val="005C71AD"/>
    <w:rsid w:val="005F4317"/>
    <w:rsid w:val="005F5535"/>
    <w:rsid w:val="00601AFE"/>
    <w:rsid w:val="00603267"/>
    <w:rsid w:val="00603B1B"/>
    <w:rsid w:val="00605328"/>
    <w:rsid w:val="00606067"/>
    <w:rsid w:val="006079ED"/>
    <w:rsid w:val="006235D0"/>
    <w:rsid w:val="00625FEB"/>
    <w:rsid w:val="00632135"/>
    <w:rsid w:val="00633254"/>
    <w:rsid w:val="00634BA5"/>
    <w:rsid w:val="00650B5D"/>
    <w:rsid w:val="00653E6E"/>
    <w:rsid w:val="00654717"/>
    <w:rsid w:val="006635A6"/>
    <w:rsid w:val="00680097"/>
    <w:rsid w:val="00683CE6"/>
    <w:rsid w:val="0069185D"/>
    <w:rsid w:val="006A4381"/>
    <w:rsid w:val="006B0D71"/>
    <w:rsid w:val="006E2A75"/>
    <w:rsid w:val="006F6149"/>
    <w:rsid w:val="0070668A"/>
    <w:rsid w:val="00715718"/>
    <w:rsid w:val="00717228"/>
    <w:rsid w:val="007200DB"/>
    <w:rsid w:val="00724B18"/>
    <w:rsid w:val="00730B04"/>
    <w:rsid w:val="0073113F"/>
    <w:rsid w:val="00735F8C"/>
    <w:rsid w:val="00740DFB"/>
    <w:rsid w:val="00742496"/>
    <w:rsid w:val="0075198E"/>
    <w:rsid w:val="007718AF"/>
    <w:rsid w:val="0077300C"/>
    <w:rsid w:val="00775D2B"/>
    <w:rsid w:val="00777674"/>
    <w:rsid w:val="00784F7C"/>
    <w:rsid w:val="00796863"/>
    <w:rsid w:val="007A05F3"/>
    <w:rsid w:val="007C19BD"/>
    <w:rsid w:val="007D0F58"/>
    <w:rsid w:val="007E4906"/>
    <w:rsid w:val="007F6DA1"/>
    <w:rsid w:val="00812478"/>
    <w:rsid w:val="008278C7"/>
    <w:rsid w:val="00835249"/>
    <w:rsid w:val="00840016"/>
    <w:rsid w:val="00847048"/>
    <w:rsid w:val="00871E41"/>
    <w:rsid w:val="00873181"/>
    <w:rsid w:val="0087539A"/>
    <w:rsid w:val="008810B7"/>
    <w:rsid w:val="008D3B6A"/>
    <w:rsid w:val="008F18C5"/>
    <w:rsid w:val="00900F61"/>
    <w:rsid w:val="009016B9"/>
    <w:rsid w:val="00910341"/>
    <w:rsid w:val="00911A7A"/>
    <w:rsid w:val="009139BA"/>
    <w:rsid w:val="00920E70"/>
    <w:rsid w:val="00921269"/>
    <w:rsid w:val="00923C36"/>
    <w:rsid w:val="00956BF0"/>
    <w:rsid w:val="00963A68"/>
    <w:rsid w:val="00973387"/>
    <w:rsid w:val="009B2CF7"/>
    <w:rsid w:val="009B5ECD"/>
    <w:rsid w:val="009C788A"/>
    <w:rsid w:val="009E7B9F"/>
    <w:rsid w:val="009F2578"/>
    <w:rsid w:val="00A0017F"/>
    <w:rsid w:val="00A023CE"/>
    <w:rsid w:val="00A25A86"/>
    <w:rsid w:val="00A459B8"/>
    <w:rsid w:val="00A46DFF"/>
    <w:rsid w:val="00A61714"/>
    <w:rsid w:val="00A62CDC"/>
    <w:rsid w:val="00A71A40"/>
    <w:rsid w:val="00A86654"/>
    <w:rsid w:val="00A95C6B"/>
    <w:rsid w:val="00AA0F94"/>
    <w:rsid w:val="00AC3C1A"/>
    <w:rsid w:val="00AD4342"/>
    <w:rsid w:val="00AE1EB7"/>
    <w:rsid w:val="00B12E5D"/>
    <w:rsid w:val="00B1503A"/>
    <w:rsid w:val="00B162F4"/>
    <w:rsid w:val="00B3678C"/>
    <w:rsid w:val="00B56ACF"/>
    <w:rsid w:val="00B729F3"/>
    <w:rsid w:val="00B83AC4"/>
    <w:rsid w:val="00B86DD6"/>
    <w:rsid w:val="00B92EE7"/>
    <w:rsid w:val="00B93D61"/>
    <w:rsid w:val="00B9413C"/>
    <w:rsid w:val="00B9479F"/>
    <w:rsid w:val="00BA5CEE"/>
    <w:rsid w:val="00BD4F6D"/>
    <w:rsid w:val="00BF3A1F"/>
    <w:rsid w:val="00BF4B47"/>
    <w:rsid w:val="00BF4CF9"/>
    <w:rsid w:val="00C32A95"/>
    <w:rsid w:val="00C35D8D"/>
    <w:rsid w:val="00C43F95"/>
    <w:rsid w:val="00C50238"/>
    <w:rsid w:val="00C7089C"/>
    <w:rsid w:val="00C74CA1"/>
    <w:rsid w:val="00C77622"/>
    <w:rsid w:val="00C87869"/>
    <w:rsid w:val="00C96045"/>
    <w:rsid w:val="00CB132D"/>
    <w:rsid w:val="00CB2CCB"/>
    <w:rsid w:val="00CB5C29"/>
    <w:rsid w:val="00CC02C4"/>
    <w:rsid w:val="00CC1D6F"/>
    <w:rsid w:val="00CD3569"/>
    <w:rsid w:val="00CD5580"/>
    <w:rsid w:val="00CE1F07"/>
    <w:rsid w:val="00D0208D"/>
    <w:rsid w:val="00D04C4C"/>
    <w:rsid w:val="00D32D14"/>
    <w:rsid w:val="00D4487E"/>
    <w:rsid w:val="00D65053"/>
    <w:rsid w:val="00D71C6B"/>
    <w:rsid w:val="00D7487A"/>
    <w:rsid w:val="00D929A6"/>
    <w:rsid w:val="00D93E78"/>
    <w:rsid w:val="00DA1EA6"/>
    <w:rsid w:val="00DC19E4"/>
    <w:rsid w:val="00DC6BC3"/>
    <w:rsid w:val="00DD1B9D"/>
    <w:rsid w:val="00E03938"/>
    <w:rsid w:val="00E049E5"/>
    <w:rsid w:val="00E17F2E"/>
    <w:rsid w:val="00E17FDD"/>
    <w:rsid w:val="00E23D76"/>
    <w:rsid w:val="00E33BB3"/>
    <w:rsid w:val="00E40892"/>
    <w:rsid w:val="00E46D28"/>
    <w:rsid w:val="00E56845"/>
    <w:rsid w:val="00E60D78"/>
    <w:rsid w:val="00E60F5C"/>
    <w:rsid w:val="00E70F2A"/>
    <w:rsid w:val="00E7766F"/>
    <w:rsid w:val="00E92ED8"/>
    <w:rsid w:val="00F12983"/>
    <w:rsid w:val="00F16979"/>
    <w:rsid w:val="00F21FA6"/>
    <w:rsid w:val="00F22D6E"/>
    <w:rsid w:val="00F276B0"/>
    <w:rsid w:val="00F30784"/>
    <w:rsid w:val="00F378E6"/>
    <w:rsid w:val="00F404A9"/>
    <w:rsid w:val="00F53E31"/>
    <w:rsid w:val="00F77636"/>
    <w:rsid w:val="00F8022B"/>
    <w:rsid w:val="00F922FE"/>
    <w:rsid w:val="00F95B42"/>
    <w:rsid w:val="00FA27ED"/>
    <w:rsid w:val="00FC5071"/>
    <w:rsid w:val="00FD5D97"/>
    <w:rsid w:val="00FE3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03FF"/>
  <w15:chartTrackingRefBased/>
  <w15:docId w15:val="{1809D174-C98D-E541-B23C-A60A9A81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869"/>
    <w:pPr>
      <w:spacing w:line="480" w:lineRule="auto"/>
    </w:pPr>
    <w:rPr>
      <w:rFonts w:ascii="Times New Roman" w:eastAsia="Times New Roman" w:hAnsi="Times New Roman" w:cs="Times New Roman"/>
      <w:kern w:val="0"/>
      <w:lang w:eastAsia="en-GB"/>
      <w14:ligatures w14:val="none"/>
    </w:rPr>
  </w:style>
  <w:style w:type="paragraph" w:styleId="Heading1">
    <w:name w:val="heading 1"/>
    <w:basedOn w:val="Normal"/>
    <w:next w:val="Paragraph"/>
    <w:link w:val="Heading1Char"/>
    <w:qFormat/>
    <w:rsid w:val="00C87869"/>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C87869"/>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C87869"/>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C87869"/>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basedOn w:val="Normal"/>
    <w:qFormat/>
    <w:rsid w:val="00C87869"/>
    <w:pPr>
      <w:spacing w:before="240" w:line="360" w:lineRule="auto"/>
    </w:pPr>
    <w:rPr>
      <w:i/>
    </w:rPr>
  </w:style>
  <w:style w:type="character" w:styleId="CommentReference">
    <w:name w:val="annotation reference"/>
    <w:basedOn w:val="DefaultParagraphFont"/>
    <w:uiPriority w:val="99"/>
    <w:semiHidden/>
    <w:unhideWhenUsed/>
    <w:rsid w:val="00C87869"/>
    <w:rPr>
      <w:sz w:val="16"/>
      <w:szCs w:val="16"/>
    </w:rPr>
  </w:style>
  <w:style w:type="paragraph" w:styleId="CommentText">
    <w:name w:val="annotation text"/>
    <w:basedOn w:val="Normal"/>
    <w:link w:val="CommentTextChar"/>
    <w:unhideWhenUsed/>
    <w:rsid w:val="00C87869"/>
    <w:pPr>
      <w:spacing w:line="240" w:lineRule="auto"/>
    </w:pPr>
    <w:rPr>
      <w:sz w:val="20"/>
      <w:szCs w:val="20"/>
    </w:rPr>
  </w:style>
  <w:style w:type="character" w:customStyle="1" w:styleId="CommentTextChar">
    <w:name w:val="Comment Text Char"/>
    <w:basedOn w:val="DefaultParagraphFont"/>
    <w:link w:val="CommentText"/>
    <w:rsid w:val="00C87869"/>
    <w:rPr>
      <w:rFonts w:ascii="Times New Roman" w:eastAsia="Times New Roman" w:hAnsi="Times New Roman" w:cs="Times New Roman"/>
      <w:kern w:val="0"/>
      <w:sz w:val="20"/>
      <w:szCs w:val="20"/>
      <w:lang w:eastAsia="en-GB"/>
      <w14:ligatures w14:val="none"/>
    </w:rPr>
  </w:style>
  <w:style w:type="character" w:customStyle="1" w:styleId="Heading1Char">
    <w:name w:val="Heading 1 Char"/>
    <w:basedOn w:val="DefaultParagraphFont"/>
    <w:link w:val="Heading1"/>
    <w:rsid w:val="00C87869"/>
    <w:rPr>
      <w:rFonts w:ascii="Times New Roman" w:eastAsia="Times New Roman" w:hAnsi="Times New Roman" w:cs="Arial"/>
      <w:b/>
      <w:bCs/>
      <w:kern w:val="32"/>
      <w:szCs w:val="32"/>
      <w:lang w:eastAsia="en-GB"/>
      <w14:ligatures w14:val="none"/>
    </w:rPr>
  </w:style>
  <w:style w:type="character" w:customStyle="1" w:styleId="Heading2Char">
    <w:name w:val="Heading 2 Char"/>
    <w:basedOn w:val="DefaultParagraphFont"/>
    <w:link w:val="Heading2"/>
    <w:rsid w:val="00C87869"/>
    <w:rPr>
      <w:rFonts w:ascii="Times New Roman" w:eastAsia="Times New Roman" w:hAnsi="Times New Roman" w:cs="Arial"/>
      <w:b/>
      <w:bCs/>
      <w:i/>
      <w:iCs/>
      <w:kern w:val="0"/>
      <w:szCs w:val="28"/>
      <w:lang w:eastAsia="en-GB"/>
      <w14:ligatures w14:val="none"/>
    </w:rPr>
  </w:style>
  <w:style w:type="character" w:customStyle="1" w:styleId="Heading3Char">
    <w:name w:val="Heading 3 Char"/>
    <w:basedOn w:val="DefaultParagraphFont"/>
    <w:link w:val="Heading3"/>
    <w:rsid w:val="00C87869"/>
    <w:rPr>
      <w:rFonts w:ascii="Times New Roman" w:eastAsia="Times New Roman" w:hAnsi="Times New Roman" w:cs="Arial"/>
      <w:bCs/>
      <w:i/>
      <w:kern w:val="0"/>
      <w:szCs w:val="26"/>
      <w:lang w:eastAsia="en-GB"/>
      <w14:ligatures w14:val="none"/>
    </w:rPr>
  </w:style>
  <w:style w:type="character" w:customStyle="1" w:styleId="Heading4Char">
    <w:name w:val="Heading 4 Char"/>
    <w:basedOn w:val="DefaultParagraphFont"/>
    <w:link w:val="Heading4"/>
    <w:rsid w:val="00C87869"/>
    <w:rPr>
      <w:rFonts w:ascii="Times New Roman" w:eastAsia="Times New Roman" w:hAnsi="Times New Roman" w:cs="Times New Roman"/>
      <w:bCs/>
      <w:kern w:val="0"/>
      <w:szCs w:val="28"/>
      <w:lang w:eastAsia="en-GB"/>
      <w14:ligatures w14:val="none"/>
    </w:rPr>
  </w:style>
  <w:style w:type="paragraph" w:customStyle="1" w:styleId="Articletitle">
    <w:name w:val="Article title"/>
    <w:basedOn w:val="Normal"/>
    <w:next w:val="Normal"/>
    <w:qFormat/>
    <w:rsid w:val="00C87869"/>
    <w:pPr>
      <w:spacing w:after="120" w:line="360" w:lineRule="auto"/>
    </w:pPr>
    <w:rPr>
      <w:b/>
      <w:sz w:val="28"/>
    </w:rPr>
  </w:style>
  <w:style w:type="paragraph" w:customStyle="1" w:styleId="Authornames">
    <w:name w:val="Author names"/>
    <w:basedOn w:val="Normal"/>
    <w:next w:val="Normal"/>
    <w:qFormat/>
    <w:rsid w:val="00C87869"/>
    <w:pPr>
      <w:spacing w:before="240" w:line="360" w:lineRule="auto"/>
    </w:pPr>
    <w:rPr>
      <w:sz w:val="28"/>
    </w:rPr>
  </w:style>
  <w:style w:type="paragraph" w:customStyle="1" w:styleId="Receiveddates">
    <w:name w:val="Received dates"/>
    <w:basedOn w:val="Affiliation"/>
    <w:next w:val="Normal"/>
    <w:qFormat/>
    <w:rsid w:val="00C87869"/>
  </w:style>
  <w:style w:type="paragraph" w:customStyle="1" w:styleId="Abstract">
    <w:name w:val="Abstract"/>
    <w:basedOn w:val="Normal"/>
    <w:next w:val="Keywords"/>
    <w:qFormat/>
    <w:rsid w:val="00C87869"/>
    <w:pPr>
      <w:spacing w:before="360" w:after="300" w:line="360" w:lineRule="auto"/>
      <w:ind w:left="720" w:right="567"/>
    </w:pPr>
    <w:rPr>
      <w:sz w:val="22"/>
    </w:rPr>
  </w:style>
  <w:style w:type="paragraph" w:customStyle="1" w:styleId="Keywords">
    <w:name w:val="Keywords"/>
    <w:basedOn w:val="Normal"/>
    <w:next w:val="Paragraph"/>
    <w:qFormat/>
    <w:rsid w:val="00C87869"/>
    <w:pPr>
      <w:spacing w:before="240" w:after="240" w:line="360" w:lineRule="auto"/>
      <w:ind w:left="720" w:right="567"/>
    </w:pPr>
    <w:rPr>
      <w:sz w:val="22"/>
    </w:rPr>
  </w:style>
  <w:style w:type="paragraph" w:customStyle="1" w:styleId="Correspondencedetails">
    <w:name w:val="Correspondence details"/>
    <w:basedOn w:val="Normal"/>
    <w:qFormat/>
    <w:rsid w:val="00C87869"/>
    <w:pPr>
      <w:spacing w:before="240" w:line="360" w:lineRule="auto"/>
    </w:pPr>
  </w:style>
  <w:style w:type="paragraph" w:customStyle="1" w:styleId="Displayedquotation">
    <w:name w:val="Displayed quotation"/>
    <w:basedOn w:val="Normal"/>
    <w:qFormat/>
    <w:rsid w:val="00C87869"/>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C87869"/>
    <w:pPr>
      <w:widowControl/>
      <w:numPr>
        <w:numId w:val="13"/>
      </w:numPr>
      <w:spacing w:after="240"/>
      <w:contextualSpacing/>
    </w:pPr>
  </w:style>
  <w:style w:type="paragraph" w:customStyle="1" w:styleId="Displayedequation">
    <w:name w:val="Displayed equation"/>
    <w:basedOn w:val="Normal"/>
    <w:next w:val="Paragraph"/>
    <w:qFormat/>
    <w:rsid w:val="00C87869"/>
    <w:pPr>
      <w:tabs>
        <w:tab w:val="center" w:pos="4253"/>
        <w:tab w:val="right" w:pos="8222"/>
      </w:tabs>
      <w:spacing w:before="240" w:after="240"/>
      <w:jc w:val="center"/>
    </w:pPr>
  </w:style>
  <w:style w:type="paragraph" w:customStyle="1" w:styleId="Acknowledgements">
    <w:name w:val="Acknowledgements"/>
    <w:basedOn w:val="Normal"/>
    <w:next w:val="Normal"/>
    <w:qFormat/>
    <w:rsid w:val="00C87869"/>
    <w:pPr>
      <w:spacing w:before="120" w:line="360" w:lineRule="auto"/>
    </w:pPr>
    <w:rPr>
      <w:sz w:val="22"/>
    </w:rPr>
  </w:style>
  <w:style w:type="paragraph" w:customStyle="1" w:styleId="Tabletitle">
    <w:name w:val="Table title"/>
    <w:basedOn w:val="Normal"/>
    <w:next w:val="Normal"/>
    <w:qFormat/>
    <w:rsid w:val="00C87869"/>
    <w:pPr>
      <w:spacing w:before="240" w:line="360" w:lineRule="auto"/>
    </w:pPr>
  </w:style>
  <w:style w:type="paragraph" w:customStyle="1" w:styleId="Figurecaption">
    <w:name w:val="Figure caption"/>
    <w:basedOn w:val="Normal"/>
    <w:next w:val="Normal"/>
    <w:qFormat/>
    <w:rsid w:val="00C87869"/>
    <w:pPr>
      <w:spacing w:before="240" w:line="360" w:lineRule="auto"/>
    </w:pPr>
  </w:style>
  <w:style w:type="paragraph" w:customStyle="1" w:styleId="Footnotes">
    <w:name w:val="Footnotes"/>
    <w:basedOn w:val="Normal"/>
    <w:qFormat/>
    <w:rsid w:val="00C87869"/>
    <w:pPr>
      <w:spacing w:before="120" w:line="360" w:lineRule="auto"/>
      <w:ind w:left="482" w:hanging="482"/>
      <w:contextualSpacing/>
    </w:pPr>
    <w:rPr>
      <w:sz w:val="22"/>
    </w:rPr>
  </w:style>
  <w:style w:type="paragraph" w:customStyle="1" w:styleId="Notesoncontributors">
    <w:name w:val="Notes on contributors"/>
    <w:basedOn w:val="Normal"/>
    <w:qFormat/>
    <w:rsid w:val="00C87869"/>
    <w:pPr>
      <w:spacing w:before="240" w:line="360" w:lineRule="auto"/>
    </w:pPr>
    <w:rPr>
      <w:sz w:val="22"/>
    </w:rPr>
  </w:style>
  <w:style w:type="paragraph" w:customStyle="1" w:styleId="Normalparagraphstyle">
    <w:name w:val="Normal paragraph style"/>
    <w:basedOn w:val="Normal"/>
    <w:next w:val="Normal"/>
    <w:rsid w:val="00C87869"/>
  </w:style>
  <w:style w:type="paragraph" w:customStyle="1" w:styleId="Paragraph">
    <w:name w:val="Paragraph"/>
    <w:basedOn w:val="Normal"/>
    <w:next w:val="Newparagraph"/>
    <w:qFormat/>
    <w:rsid w:val="00C87869"/>
    <w:pPr>
      <w:widowControl w:val="0"/>
      <w:spacing w:before="240"/>
    </w:pPr>
  </w:style>
  <w:style w:type="paragraph" w:customStyle="1" w:styleId="Newparagraph">
    <w:name w:val="New paragraph"/>
    <w:basedOn w:val="Normal"/>
    <w:qFormat/>
    <w:rsid w:val="00C87869"/>
    <w:pPr>
      <w:ind w:firstLine="720"/>
    </w:pPr>
  </w:style>
  <w:style w:type="paragraph" w:styleId="NormalIndent">
    <w:name w:val="Normal Indent"/>
    <w:basedOn w:val="Normal"/>
    <w:rsid w:val="00C87869"/>
    <w:pPr>
      <w:ind w:left="720"/>
    </w:pPr>
  </w:style>
  <w:style w:type="paragraph" w:customStyle="1" w:styleId="References">
    <w:name w:val="References"/>
    <w:basedOn w:val="Normal"/>
    <w:qFormat/>
    <w:rsid w:val="00C87869"/>
    <w:pPr>
      <w:spacing w:before="120" w:line="360" w:lineRule="auto"/>
      <w:ind w:left="720" w:hanging="720"/>
      <w:contextualSpacing/>
    </w:pPr>
  </w:style>
  <w:style w:type="paragraph" w:customStyle="1" w:styleId="Subjectcodes">
    <w:name w:val="Subject codes"/>
    <w:basedOn w:val="Keywords"/>
    <w:next w:val="Paragraph"/>
    <w:qFormat/>
    <w:rsid w:val="00C87869"/>
  </w:style>
  <w:style w:type="paragraph" w:customStyle="1" w:styleId="Bulletedlist">
    <w:name w:val="Bulleted list"/>
    <w:basedOn w:val="Paragraph"/>
    <w:next w:val="Paragraph"/>
    <w:qFormat/>
    <w:rsid w:val="00C87869"/>
    <w:pPr>
      <w:widowControl/>
      <w:numPr>
        <w:numId w:val="14"/>
      </w:numPr>
      <w:spacing w:after="240"/>
      <w:contextualSpacing/>
    </w:pPr>
  </w:style>
  <w:style w:type="paragraph" w:styleId="FootnoteText">
    <w:name w:val="footnote text"/>
    <w:basedOn w:val="Normal"/>
    <w:link w:val="FootnoteTextChar"/>
    <w:autoRedefine/>
    <w:rsid w:val="00C87869"/>
    <w:pPr>
      <w:ind w:left="284" w:hanging="284"/>
    </w:pPr>
    <w:rPr>
      <w:sz w:val="22"/>
      <w:szCs w:val="20"/>
    </w:rPr>
  </w:style>
  <w:style w:type="character" w:customStyle="1" w:styleId="FootnoteTextChar">
    <w:name w:val="Footnote Text Char"/>
    <w:basedOn w:val="DefaultParagraphFont"/>
    <w:link w:val="FootnoteText"/>
    <w:rsid w:val="00C87869"/>
    <w:rPr>
      <w:rFonts w:ascii="Times New Roman" w:eastAsia="Times New Roman" w:hAnsi="Times New Roman" w:cs="Times New Roman"/>
      <w:kern w:val="0"/>
      <w:sz w:val="22"/>
      <w:szCs w:val="20"/>
      <w:lang w:eastAsia="en-GB"/>
      <w14:ligatures w14:val="none"/>
    </w:rPr>
  </w:style>
  <w:style w:type="character" w:styleId="FootnoteReference">
    <w:name w:val="footnote reference"/>
    <w:basedOn w:val="DefaultParagraphFont"/>
    <w:rsid w:val="00C87869"/>
    <w:rPr>
      <w:vertAlign w:val="superscript"/>
    </w:rPr>
  </w:style>
  <w:style w:type="paragraph" w:styleId="EndnoteText">
    <w:name w:val="endnote text"/>
    <w:basedOn w:val="Normal"/>
    <w:link w:val="EndnoteTextChar"/>
    <w:autoRedefine/>
    <w:rsid w:val="00C87869"/>
    <w:pPr>
      <w:ind w:left="284" w:hanging="284"/>
    </w:pPr>
    <w:rPr>
      <w:sz w:val="22"/>
      <w:szCs w:val="20"/>
    </w:rPr>
  </w:style>
  <w:style w:type="character" w:customStyle="1" w:styleId="EndnoteTextChar">
    <w:name w:val="Endnote Text Char"/>
    <w:basedOn w:val="DefaultParagraphFont"/>
    <w:link w:val="EndnoteText"/>
    <w:rsid w:val="00C87869"/>
    <w:rPr>
      <w:rFonts w:ascii="Times New Roman" w:eastAsia="Times New Roman" w:hAnsi="Times New Roman" w:cs="Times New Roman"/>
      <w:kern w:val="0"/>
      <w:sz w:val="22"/>
      <w:szCs w:val="20"/>
      <w:lang w:eastAsia="en-GB"/>
      <w14:ligatures w14:val="none"/>
    </w:rPr>
  </w:style>
  <w:style w:type="character" w:styleId="EndnoteReference">
    <w:name w:val="endnote reference"/>
    <w:basedOn w:val="DefaultParagraphFont"/>
    <w:rsid w:val="00C87869"/>
    <w:rPr>
      <w:vertAlign w:val="superscript"/>
    </w:rPr>
  </w:style>
  <w:style w:type="paragraph" w:styleId="Header">
    <w:name w:val="header"/>
    <w:basedOn w:val="Normal"/>
    <w:link w:val="HeaderChar"/>
    <w:rsid w:val="00C87869"/>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C87869"/>
    <w:rPr>
      <w:rFonts w:ascii="Times New Roman" w:eastAsia="Times New Roman" w:hAnsi="Times New Roman" w:cs="Times New Roman"/>
      <w:kern w:val="0"/>
      <w:lang w:eastAsia="en-GB"/>
      <w14:ligatures w14:val="none"/>
    </w:rPr>
  </w:style>
  <w:style w:type="paragraph" w:styleId="Footer">
    <w:name w:val="footer"/>
    <w:basedOn w:val="Normal"/>
    <w:link w:val="FooterChar"/>
    <w:rsid w:val="00C87869"/>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C87869"/>
    <w:rPr>
      <w:rFonts w:ascii="Times New Roman" w:eastAsia="Times New Roman" w:hAnsi="Times New Roman" w:cs="Times New Roman"/>
      <w:kern w:val="0"/>
      <w:lang w:eastAsia="en-GB"/>
      <w14:ligatures w14:val="none"/>
    </w:rPr>
  </w:style>
  <w:style w:type="paragraph" w:customStyle="1" w:styleId="Heading4Paragraph">
    <w:name w:val="Heading 4 + Paragraph"/>
    <w:basedOn w:val="Paragraph"/>
    <w:next w:val="Newparagraph"/>
    <w:qFormat/>
    <w:rsid w:val="00C87869"/>
    <w:pPr>
      <w:widowControl/>
      <w:spacing w:before="360"/>
    </w:pPr>
  </w:style>
  <w:style w:type="character" w:styleId="Hyperlink">
    <w:name w:val="Hyperlink"/>
    <w:basedOn w:val="DefaultParagraphFont"/>
    <w:unhideWhenUsed/>
    <w:rsid w:val="00C87869"/>
    <w:rPr>
      <w:color w:val="0563C1" w:themeColor="hyperlink"/>
      <w:u w:val="single"/>
    </w:rPr>
  </w:style>
  <w:style w:type="paragraph" w:styleId="NoSpacing">
    <w:name w:val="No Spacing"/>
    <w:link w:val="NoSpacingChar"/>
    <w:uiPriority w:val="1"/>
    <w:qFormat/>
    <w:rsid w:val="00C87869"/>
    <w:rPr>
      <w:rFonts w:eastAsiaTheme="minorEastAsia"/>
      <w:kern w:val="0"/>
      <w:sz w:val="22"/>
      <w:szCs w:val="22"/>
      <w:lang w:val="en-US"/>
      <w14:ligatures w14:val="none"/>
    </w:rPr>
  </w:style>
  <w:style w:type="character" w:customStyle="1" w:styleId="NoSpacingChar">
    <w:name w:val="No Spacing Char"/>
    <w:basedOn w:val="DefaultParagraphFont"/>
    <w:link w:val="NoSpacing"/>
    <w:uiPriority w:val="1"/>
    <w:rsid w:val="00C87869"/>
    <w:rPr>
      <w:rFonts w:eastAsiaTheme="minorEastAsia"/>
      <w:kern w:val="0"/>
      <w:sz w:val="22"/>
      <w:szCs w:val="22"/>
      <w:lang w:val="en-US"/>
      <w14:ligatures w14:val="none"/>
    </w:rPr>
  </w:style>
  <w:style w:type="character" w:styleId="FollowedHyperlink">
    <w:name w:val="FollowedHyperlink"/>
    <w:basedOn w:val="DefaultParagraphFont"/>
    <w:semiHidden/>
    <w:unhideWhenUsed/>
    <w:rsid w:val="00C87869"/>
    <w:rPr>
      <w:color w:val="954F72" w:themeColor="followedHyperlink"/>
      <w:u w:val="single"/>
    </w:rPr>
  </w:style>
  <w:style w:type="character" w:customStyle="1" w:styleId="cf01">
    <w:name w:val="cf01"/>
    <w:basedOn w:val="DefaultParagraphFont"/>
    <w:rsid w:val="00C87869"/>
    <w:rPr>
      <w:rFonts w:ascii="Segoe UI" w:hAnsi="Segoe UI" w:cs="Segoe UI" w:hint="default"/>
      <w:sz w:val="18"/>
      <w:szCs w:val="18"/>
    </w:rPr>
  </w:style>
  <w:style w:type="paragraph" w:styleId="ListParagraph">
    <w:name w:val="List Paragraph"/>
    <w:basedOn w:val="Normal"/>
    <w:uiPriority w:val="34"/>
    <w:qFormat/>
    <w:rsid w:val="00C87869"/>
    <w:pPr>
      <w:ind w:left="720"/>
      <w:contextualSpacing/>
    </w:pPr>
  </w:style>
  <w:style w:type="table" w:styleId="TableGrid">
    <w:name w:val="Table Grid"/>
    <w:basedOn w:val="TableNormal"/>
    <w:uiPriority w:val="39"/>
    <w:rsid w:val="00C878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C87869"/>
    <w:rPr>
      <w:rFonts w:ascii="Times New Roman" w:eastAsia="Times New Roman" w:hAnsi="Times New Roman" w:cs="Times New Roman"/>
      <w:kern w:val="0"/>
      <w:lang w:eastAsia="en-GB"/>
      <w14:ligatures w14:val="none"/>
    </w:rPr>
  </w:style>
  <w:style w:type="paragraph" w:styleId="CommentSubject">
    <w:name w:val="annotation subject"/>
    <w:basedOn w:val="CommentText"/>
    <w:next w:val="CommentText"/>
    <w:link w:val="CommentSubjectChar"/>
    <w:semiHidden/>
    <w:unhideWhenUsed/>
    <w:rsid w:val="00C87869"/>
    <w:rPr>
      <w:b/>
      <w:bCs/>
    </w:rPr>
  </w:style>
  <w:style w:type="character" w:customStyle="1" w:styleId="CommentSubjectChar">
    <w:name w:val="Comment Subject Char"/>
    <w:basedOn w:val="CommentTextChar"/>
    <w:link w:val="CommentSubject"/>
    <w:semiHidden/>
    <w:rsid w:val="00C87869"/>
    <w:rPr>
      <w:rFonts w:ascii="Times New Roman" w:eastAsia="Times New Roman" w:hAnsi="Times New Roman" w:cs="Times New Roman"/>
      <w:b/>
      <w:bCs/>
      <w:kern w:val="0"/>
      <w:sz w:val="20"/>
      <w:szCs w:val="20"/>
      <w:lang w:eastAsia="en-GB"/>
      <w14:ligatures w14:val="none"/>
    </w:rPr>
  </w:style>
  <w:style w:type="character" w:styleId="UnresolvedMention">
    <w:name w:val="Unresolved Mention"/>
    <w:basedOn w:val="DefaultParagraphFont"/>
    <w:uiPriority w:val="99"/>
    <w:semiHidden/>
    <w:unhideWhenUsed/>
    <w:rsid w:val="00E46D28"/>
    <w:rPr>
      <w:color w:val="605E5C"/>
      <w:shd w:val="clear" w:color="auto" w:fill="E1DFDD"/>
    </w:rPr>
  </w:style>
  <w:style w:type="character" w:styleId="LineNumber">
    <w:name w:val="line number"/>
    <w:basedOn w:val="DefaultParagraphFont"/>
    <w:uiPriority w:val="99"/>
    <w:semiHidden/>
    <w:unhideWhenUsed/>
    <w:rsid w:val="000B2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legraph.co.uk/tennis/2023/01/09/tennis-data-revolution-can-level-playing-fiel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22</Pages>
  <Words>6129</Words>
  <Characters>34936</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Nicholls</dc:creator>
  <cp:keywords/>
  <dc:description/>
  <cp:lastModifiedBy>Scott Nicholls</cp:lastModifiedBy>
  <cp:revision>78</cp:revision>
  <dcterms:created xsi:type="dcterms:W3CDTF">2023-11-20T14:46:00Z</dcterms:created>
  <dcterms:modified xsi:type="dcterms:W3CDTF">2024-02-19T15:21:00Z</dcterms:modified>
</cp:coreProperties>
</file>