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CB60" w14:textId="347540FC" w:rsidR="00496EF6" w:rsidRPr="00002445" w:rsidRDefault="000F5BA7">
      <w:pPr>
        <w:pStyle w:val="Title"/>
        <w:rPr>
          <w:rFonts w:ascii="Times New Roman" w:hAnsi="Times New Roman" w:cs="Times New Roman"/>
          <w:color w:val="auto"/>
        </w:rPr>
      </w:pPr>
      <w:r w:rsidRPr="00002445">
        <w:rPr>
          <w:rFonts w:ascii="Times New Roman" w:hAnsi="Times New Roman" w:cs="Times New Roman"/>
          <w:color w:val="auto"/>
        </w:rPr>
        <w:t>E</w:t>
      </w:r>
      <w:r w:rsidR="00397A23" w:rsidRPr="00002445">
        <w:rPr>
          <w:rFonts w:ascii="Times New Roman" w:hAnsi="Times New Roman" w:cs="Times New Roman"/>
          <w:color w:val="auto"/>
        </w:rPr>
        <w:t>conom</w:t>
      </w:r>
      <w:r w:rsidRPr="00002445">
        <w:rPr>
          <w:rFonts w:ascii="Times New Roman" w:hAnsi="Times New Roman" w:cs="Times New Roman"/>
          <w:color w:val="auto"/>
        </w:rPr>
        <w:t>ic Insecurit</w:t>
      </w:r>
      <w:r w:rsidR="00397A23" w:rsidRPr="00002445">
        <w:rPr>
          <w:rFonts w:ascii="Times New Roman" w:hAnsi="Times New Roman" w:cs="Times New Roman"/>
          <w:color w:val="auto"/>
        </w:rPr>
        <w:t xml:space="preserve">y, </w:t>
      </w:r>
      <w:r w:rsidR="00A60A02" w:rsidRPr="00002445">
        <w:rPr>
          <w:rFonts w:ascii="Times New Roman" w:hAnsi="Times New Roman" w:cs="Times New Roman"/>
          <w:color w:val="auto"/>
        </w:rPr>
        <w:t xml:space="preserve">Welfare Retrenchment </w:t>
      </w:r>
      <w:r w:rsidR="00397A23" w:rsidRPr="00002445">
        <w:rPr>
          <w:rFonts w:ascii="Times New Roman" w:hAnsi="Times New Roman" w:cs="Times New Roman"/>
          <w:color w:val="auto"/>
        </w:rPr>
        <w:t xml:space="preserve">and </w:t>
      </w:r>
      <w:r w:rsidR="00A60A02" w:rsidRPr="00002445">
        <w:rPr>
          <w:rFonts w:ascii="Times New Roman" w:hAnsi="Times New Roman" w:cs="Times New Roman"/>
          <w:color w:val="auto"/>
        </w:rPr>
        <w:t xml:space="preserve">Heroin Use </w:t>
      </w:r>
      <w:r w:rsidR="00397A23" w:rsidRPr="00002445">
        <w:rPr>
          <w:rFonts w:ascii="Times New Roman" w:hAnsi="Times New Roman" w:cs="Times New Roman"/>
          <w:color w:val="auto"/>
        </w:rPr>
        <w:t xml:space="preserve">between the 1970s and 2000: a multi-cohort </w:t>
      </w:r>
      <w:r w:rsidR="00F636F4" w:rsidRPr="00002445">
        <w:rPr>
          <w:rFonts w:ascii="Times New Roman" w:hAnsi="Times New Roman" w:cs="Times New Roman"/>
          <w:color w:val="auto"/>
        </w:rPr>
        <w:t>analysis</w:t>
      </w:r>
    </w:p>
    <w:p w14:paraId="08B268EB" w14:textId="77777777" w:rsidR="0078610C" w:rsidRPr="00002445" w:rsidRDefault="0078610C" w:rsidP="0078610C">
      <w:pPr>
        <w:pStyle w:val="BodyText"/>
        <w:jc w:val="center"/>
        <w:rPr>
          <w:rFonts w:ascii="Times New Roman" w:hAnsi="Times New Roman" w:cs="Times New Roman"/>
        </w:rPr>
      </w:pPr>
    </w:p>
    <w:p w14:paraId="377D446F" w14:textId="177543B0" w:rsidR="0078610C" w:rsidRPr="00002445" w:rsidRDefault="0078610C" w:rsidP="0078610C">
      <w:pPr>
        <w:pStyle w:val="BodyText"/>
        <w:jc w:val="center"/>
        <w:rPr>
          <w:rFonts w:ascii="Times New Roman" w:hAnsi="Times New Roman" w:cs="Times New Roman"/>
        </w:rPr>
      </w:pPr>
      <w:r w:rsidRPr="00002445">
        <w:rPr>
          <w:rFonts w:ascii="Times New Roman" w:hAnsi="Times New Roman" w:cs="Times New Roman"/>
        </w:rPr>
        <w:t>Phil Mike Jones, Emily Gray and Stephen Farrall</w:t>
      </w:r>
    </w:p>
    <w:p w14:paraId="43778AC7" w14:textId="77777777" w:rsidR="00F30D30" w:rsidRPr="00002445" w:rsidRDefault="00F30D30" w:rsidP="00F30D30">
      <w:pPr>
        <w:pStyle w:val="BodyText"/>
        <w:rPr>
          <w:rFonts w:ascii="Times New Roman" w:hAnsi="Times New Roman" w:cs="Times New Roman"/>
        </w:rPr>
      </w:pPr>
    </w:p>
    <w:p w14:paraId="2B2D15BC" w14:textId="77777777" w:rsidR="00F30D30" w:rsidRPr="00002445" w:rsidRDefault="00F30D30" w:rsidP="00F30D30">
      <w:pPr>
        <w:pStyle w:val="BodyText"/>
        <w:rPr>
          <w:rFonts w:ascii="Times New Roman" w:hAnsi="Times New Roman" w:cs="Times New Roman"/>
          <w:b/>
          <w:bCs/>
          <w:lang w:val="en-US"/>
        </w:rPr>
      </w:pPr>
      <w:bookmarkStart w:id="0" w:name="abstract"/>
      <w:r w:rsidRPr="00002445">
        <w:rPr>
          <w:rFonts w:ascii="Times New Roman" w:hAnsi="Times New Roman" w:cs="Times New Roman"/>
          <w:b/>
          <w:bCs/>
          <w:lang w:val="en-US"/>
        </w:rPr>
        <w:t>Abstract</w:t>
      </w:r>
    </w:p>
    <w:p w14:paraId="7BA7A782" w14:textId="3C216656" w:rsidR="00F30D30" w:rsidRPr="00002445" w:rsidRDefault="00F30D30" w:rsidP="00F30D30">
      <w:pPr>
        <w:pStyle w:val="BodyText"/>
        <w:rPr>
          <w:rFonts w:ascii="Times New Roman" w:hAnsi="Times New Roman" w:cs="Times New Roman"/>
          <w:lang w:val="en-US"/>
        </w:rPr>
      </w:pPr>
      <w:r w:rsidRPr="00002445">
        <w:rPr>
          <w:rFonts w:ascii="Times New Roman" w:hAnsi="Times New Roman" w:cs="Times New Roman"/>
          <w:lang w:val="en-US"/>
        </w:rPr>
        <w:t xml:space="preserve">Drug use, especially of drugs such as heroin which are likely to lead to addiction and increased risks of morbidities and deaths, </w:t>
      </w:r>
      <w:r w:rsidR="00B9272F" w:rsidRPr="00002445">
        <w:rPr>
          <w:rFonts w:ascii="Times New Roman" w:hAnsi="Times New Roman" w:cs="Times New Roman"/>
          <w:lang w:val="en-US"/>
        </w:rPr>
        <w:t>is a key concern for policy makers in many countries. The causes of drug use are sometimes presented as being individual-level factors, although it is often recognized that familial, community and regional processes can be at work too. Herein we explore the macro-level drivers of heroin use in Britain and the extent to which these were associated with a change in which social groups used heroin. W</w:t>
      </w:r>
      <w:r w:rsidRPr="00002445">
        <w:rPr>
          <w:rFonts w:ascii="Times New Roman" w:hAnsi="Times New Roman" w:cs="Times New Roman"/>
          <w:lang w:val="en-US"/>
        </w:rPr>
        <w:t>e first establish the extent to which there w</w:t>
      </w:r>
      <w:r w:rsidR="00B9272F" w:rsidRPr="00002445">
        <w:rPr>
          <w:rFonts w:ascii="Times New Roman" w:hAnsi="Times New Roman" w:cs="Times New Roman"/>
          <w:lang w:val="en-US"/>
        </w:rPr>
        <w:t>ere</w:t>
      </w:r>
      <w:r w:rsidRPr="00002445">
        <w:rPr>
          <w:rFonts w:ascii="Times New Roman" w:hAnsi="Times New Roman" w:cs="Times New Roman"/>
          <w:lang w:val="en-US"/>
        </w:rPr>
        <w:t xml:space="preserve"> indeed ‘new’ heroin user</w:t>
      </w:r>
      <w:r w:rsidR="00B9272F" w:rsidRPr="00002445">
        <w:rPr>
          <w:rFonts w:ascii="Times New Roman" w:hAnsi="Times New Roman" w:cs="Times New Roman"/>
          <w:lang w:val="en-US"/>
        </w:rPr>
        <w:t>s</w:t>
      </w:r>
      <w:r w:rsidRPr="00002445">
        <w:rPr>
          <w:rFonts w:ascii="Times New Roman" w:hAnsi="Times New Roman" w:cs="Times New Roman"/>
          <w:lang w:val="en-US"/>
        </w:rPr>
        <w:t>, drawn from social groups which had no</w:t>
      </w:r>
      <w:r w:rsidR="00B9272F" w:rsidRPr="00002445">
        <w:rPr>
          <w:rFonts w:ascii="Times New Roman" w:hAnsi="Times New Roman" w:cs="Times New Roman"/>
          <w:lang w:val="en-US"/>
        </w:rPr>
        <w:t>t</w:t>
      </w:r>
      <w:r w:rsidRPr="00002445">
        <w:rPr>
          <w:rFonts w:ascii="Times New Roman" w:hAnsi="Times New Roman" w:cs="Times New Roman"/>
          <w:lang w:val="en-US"/>
        </w:rPr>
        <w:t xml:space="preserve"> previously used this drug</w:t>
      </w:r>
      <w:r w:rsidR="00B9272F" w:rsidRPr="00002445">
        <w:rPr>
          <w:rFonts w:ascii="Times New Roman" w:hAnsi="Times New Roman" w:cs="Times New Roman"/>
          <w:lang w:val="en-US"/>
        </w:rPr>
        <w:t xml:space="preserve"> (such as the working class)</w:t>
      </w:r>
      <w:r w:rsidRPr="00002445">
        <w:rPr>
          <w:rFonts w:ascii="Times New Roman" w:hAnsi="Times New Roman" w:cs="Times New Roman"/>
          <w:lang w:val="en-US"/>
        </w:rPr>
        <w:t>. We use two large scale, longitudinal and nationally</w:t>
      </w:r>
      <w:r w:rsidR="00B9272F" w:rsidRPr="00002445">
        <w:rPr>
          <w:rFonts w:ascii="Times New Roman" w:hAnsi="Times New Roman" w:cs="Times New Roman"/>
          <w:lang w:val="en-US"/>
        </w:rPr>
        <w:t xml:space="preserve"> </w:t>
      </w:r>
      <w:r w:rsidRPr="00002445">
        <w:rPr>
          <w:rFonts w:ascii="Times New Roman" w:hAnsi="Times New Roman" w:cs="Times New Roman"/>
          <w:lang w:val="en-US"/>
        </w:rPr>
        <w:t xml:space="preserve">representative samples to establish that there was, indeed, a new social base of heroin users which emerged during the 1980s. Having found that this group did exist, we then explore the long–term </w:t>
      </w:r>
      <w:r w:rsidR="00783D9D" w:rsidRPr="00002445">
        <w:rPr>
          <w:rFonts w:ascii="Times New Roman" w:hAnsi="Times New Roman" w:cs="Times New Roman"/>
          <w:lang w:val="en-US"/>
        </w:rPr>
        <w:t>causal process</w:t>
      </w:r>
      <w:r w:rsidRPr="00002445">
        <w:rPr>
          <w:rFonts w:ascii="Times New Roman" w:hAnsi="Times New Roman" w:cs="Times New Roman"/>
          <w:lang w:val="en-US"/>
        </w:rPr>
        <w:t xml:space="preserve"> f</w:t>
      </w:r>
      <w:r w:rsidR="00B9272F" w:rsidRPr="00002445">
        <w:rPr>
          <w:rFonts w:ascii="Times New Roman" w:hAnsi="Times New Roman" w:cs="Times New Roman"/>
          <w:lang w:val="en-US"/>
        </w:rPr>
        <w:t>or</w:t>
      </w:r>
      <w:r w:rsidRPr="00002445">
        <w:rPr>
          <w:rFonts w:ascii="Times New Roman" w:hAnsi="Times New Roman" w:cs="Times New Roman"/>
          <w:lang w:val="en-US"/>
        </w:rPr>
        <w:t xml:space="preserve"> </w:t>
      </w:r>
      <w:r w:rsidR="00783D9D" w:rsidRPr="00002445">
        <w:rPr>
          <w:rFonts w:ascii="Times New Roman" w:hAnsi="Times New Roman" w:cs="Times New Roman"/>
          <w:lang w:val="en-US"/>
        </w:rPr>
        <w:t xml:space="preserve">the creation of </w:t>
      </w:r>
      <w:r w:rsidRPr="00002445">
        <w:rPr>
          <w:rFonts w:ascii="Times New Roman" w:hAnsi="Times New Roman" w:cs="Times New Roman"/>
          <w:lang w:val="en-US"/>
        </w:rPr>
        <w:t xml:space="preserve">this </w:t>
      </w:r>
      <w:r w:rsidR="00B9272F" w:rsidRPr="00002445">
        <w:rPr>
          <w:rFonts w:ascii="Times New Roman" w:hAnsi="Times New Roman" w:cs="Times New Roman"/>
          <w:lang w:val="en-US"/>
        </w:rPr>
        <w:t xml:space="preserve">‘new’ </w:t>
      </w:r>
      <w:r w:rsidRPr="00002445">
        <w:rPr>
          <w:rFonts w:ascii="Times New Roman" w:hAnsi="Times New Roman" w:cs="Times New Roman"/>
          <w:lang w:val="en-US"/>
        </w:rPr>
        <w:t>group</w:t>
      </w:r>
      <w:r w:rsidR="00B9272F" w:rsidRPr="00002445">
        <w:rPr>
          <w:rFonts w:ascii="Times New Roman" w:hAnsi="Times New Roman" w:cs="Times New Roman"/>
          <w:lang w:val="en-US"/>
        </w:rPr>
        <w:t xml:space="preserve"> of users. I</w:t>
      </w:r>
      <w:r w:rsidR="00783D9D" w:rsidRPr="00002445">
        <w:rPr>
          <w:rFonts w:ascii="Times New Roman" w:hAnsi="Times New Roman" w:cs="Times New Roman"/>
          <w:lang w:val="en-US"/>
        </w:rPr>
        <w:t>n</w:t>
      </w:r>
      <w:r w:rsidR="00B9272F" w:rsidRPr="00002445">
        <w:rPr>
          <w:rFonts w:ascii="Times New Roman" w:hAnsi="Times New Roman" w:cs="Times New Roman"/>
          <w:lang w:val="en-US"/>
        </w:rPr>
        <w:t xml:space="preserve"> so doing, we point to the geographically-uneven consequences of governmental social and economic policies</w:t>
      </w:r>
      <w:r w:rsidR="00783D9D" w:rsidRPr="00002445">
        <w:rPr>
          <w:rFonts w:ascii="Times New Roman" w:hAnsi="Times New Roman" w:cs="Times New Roman"/>
          <w:lang w:val="en-US"/>
        </w:rPr>
        <w:t xml:space="preserve"> which increased feelings </w:t>
      </w:r>
      <w:r w:rsidR="00B53EBE" w:rsidRPr="00002445">
        <w:rPr>
          <w:rFonts w:ascii="Times New Roman" w:hAnsi="Times New Roman" w:cs="Times New Roman"/>
          <w:lang w:val="en-US"/>
        </w:rPr>
        <w:t xml:space="preserve">of insecurity </w:t>
      </w:r>
      <w:r w:rsidR="00783D9D" w:rsidRPr="00002445">
        <w:rPr>
          <w:rFonts w:ascii="Times New Roman" w:hAnsi="Times New Roman" w:cs="Times New Roman"/>
          <w:lang w:val="en-US"/>
        </w:rPr>
        <w:t>and objective inequalities for those born in the mid- to late-1960s and early- to mid-1970s who grew up during what became</w:t>
      </w:r>
      <w:r w:rsidR="00767088" w:rsidRPr="00002445">
        <w:rPr>
          <w:rFonts w:ascii="Times New Roman" w:hAnsi="Times New Roman" w:cs="Times New Roman"/>
          <w:lang w:val="en-US"/>
        </w:rPr>
        <w:t xml:space="preserve"> Britain’s heroin epidemic of the 1980s</w:t>
      </w:r>
      <w:r w:rsidR="00B9272F" w:rsidRPr="00002445">
        <w:rPr>
          <w:rFonts w:ascii="Times New Roman" w:hAnsi="Times New Roman" w:cs="Times New Roman"/>
          <w:lang w:val="en-US"/>
        </w:rPr>
        <w:t xml:space="preserve">. </w:t>
      </w:r>
    </w:p>
    <w:bookmarkEnd w:id="0"/>
    <w:p w14:paraId="4FF6CB00" w14:textId="77777777" w:rsidR="00E408D0" w:rsidRPr="00002445" w:rsidRDefault="00E408D0" w:rsidP="00F30D30">
      <w:pPr>
        <w:pStyle w:val="BodyText"/>
        <w:rPr>
          <w:rFonts w:ascii="Times New Roman" w:hAnsi="Times New Roman" w:cs="Times New Roman"/>
          <w:bCs/>
          <w:lang w:val="en-US"/>
        </w:rPr>
      </w:pPr>
    </w:p>
    <w:p w14:paraId="69D21ABD" w14:textId="4539A835" w:rsidR="00F30D30" w:rsidRPr="00002445" w:rsidRDefault="00F30D30" w:rsidP="00F30D30">
      <w:pPr>
        <w:pStyle w:val="BodyText"/>
        <w:rPr>
          <w:rFonts w:ascii="Times New Roman" w:hAnsi="Times New Roman" w:cs="Times New Roman"/>
          <w:bCs/>
          <w:lang w:val="en-US"/>
        </w:rPr>
      </w:pPr>
      <w:r w:rsidRPr="00002445">
        <w:rPr>
          <w:rFonts w:ascii="Times New Roman" w:hAnsi="Times New Roman" w:cs="Times New Roman"/>
          <w:b/>
          <w:lang w:val="en-US"/>
        </w:rPr>
        <w:t>Keywords:</w:t>
      </w:r>
      <w:r w:rsidRPr="00002445">
        <w:rPr>
          <w:rFonts w:ascii="Times New Roman" w:hAnsi="Times New Roman" w:cs="Times New Roman"/>
          <w:bCs/>
          <w:lang w:val="en-US"/>
        </w:rPr>
        <w:t xml:space="preserve"> heroin; drug users; </w:t>
      </w:r>
      <w:r w:rsidR="00767088" w:rsidRPr="00002445">
        <w:rPr>
          <w:rFonts w:ascii="Times New Roman" w:hAnsi="Times New Roman" w:cs="Times New Roman"/>
          <w:bCs/>
          <w:lang w:val="en-US"/>
        </w:rPr>
        <w:t xml:space="preserve">inequalities; </w:t>
      </w:r>
      <w:r w:rsidRPr="00002445">
        <w:rPr>
          <w:rFonts w:ascii="Times New Roman" w:hAnsi="Times New Roman" w:cs="Times New Roman"/>
          <w:bCs/>
          <w:lang w:val="en-US"/>
        </w:rPr>
        <w:t>life-course</w:t>
      </w:r>
      <w:r w:rsidR="00767088" w:rsidRPr="00002445">
        <w:rPr>
          <w:rFonts w:ascii="Times New Roman" w:hAnsi="Times New Roman" w:cs="Times New Roman"/>
          <w:bCs/>
          <w:lang w:val="en-US"/>
        </w:rPr>
        <w:t>; Thatcherism</w:t>
      </w:r>
      <w:r w:rsidRPr="00002445">
        <w:rPr>
          <w:rFonts w:ascii="Times New Roman" w:hAnsi="Times New Roman" w:cs="Times New Roman"/>
          <w:bCs/>
          <w:lang w:val="en-US"/>
        </w:rPr>
        <w:t>.</w:t>
      </w:r>
    </w:p>
    <w:p w14:paraId="506BF864" w14:textId="1FAB7D06" w:rsidR="00002445" w:rsidRDefault="00002445">
      <w:pPr>
        <w:rPr>
          <w:rFonts w:ascii="Times New Roman" w:hAnsi="Times New Roman" w:cs="Times New Roman"/>
        </w:rPr>
      </w:pPr>
      <w:r>
        <w:rPr>
          <w:rFonts w:ascii="Times New Roman" w:hAnsi="Times New Roman" w:cs="Times New Roman"/>
        </w:rPr>
        <w:br w:type="page"/>
      </w:r>
    </w:p>
    <w:p w14:paraId="1E6F8E7E" w14:textId="124637F7" w:rsidR="00496EF6" w:rsidRPr="00002445" w:rsidRDefault="0078610C">
      <w:pPr>
        <w:pStyle w:val="Heading1"/>
        <w:rPr>
          <w:rFonts w:ascii="Times New Roman" w:hAnsi="Times New Roman" w:cs="Times New Roman"/>
          <w:color w:val="auto"/>
        </w:rPr>
      </w:pPr>
      <w:bookmarkStart w:id="1" w:name="introduction"/>
      <w:r w:rsidRPr="00002445">
        <w:rPr>
          <w:rStyle w:val="SectionNumber"/>
          <w:rFonts w:ascii="Times New Roman" w:hAnsi="Times New Roman" w:cs="Times New Roman"/>
          <w:color w:val="auto"/>
        </w:rPr>
        <w:lastRenderedPageBreak/>
        <w:t>1</w:t>
      </w:r>
      <w:r w:rsidRPr="00002445">
        <w:rPr>
          <w:rFonts w:ascii="Times New Roman" w:hAnsi="Times New Roman" w:cs="Times New Roman"/>
          <w:color w:val="auto"/>
        </w:rPr>
        <w:tab/>
        <w:t>Introduction</w:t>
      </w:r>
      <w:r w:rsidR="00570401" w:rsidRPr="00002445">
        <w:rPr>
          <w:rFonts w:ascii="Times New Roman" w:hAnsi="Times New Roman" w:cs="Times New Roman"/>
          <w:color w:val="auto"/>
        </w:rPr>
        <w:t xml:space="preserve"> </w:t>
      </w:r>
    </w:p>
    <w:p w14:paraId="3520D0BB" w14:textId="677B9137" w:rsidR="005676EC" w:rsidRPr="00002445" w:rsidRDefault="00A93545" w:rsidP="005170C3">
      <w:pPr>
        <w:pStyle w:val="BodyText"/>
        <w:rPr>
          <w:rFonts w:ascii="Times New Roman" w:hAnsi="Times New Roman" w:cs="Times New Roman"/>
        </w:rPr>
      </w:pPr>
      <w:r w:rsidRPr="00002445">
        <w:rPr>
          <w:rFonts w:ascii="Times New Roman" w:hAnsi="Times New Roman" w:cs="Times New Roman"/>
        </w:rPr>
        <w:t xml:space="preserve">There is growing evidence of an association between socio-economic context in childhood and later drug use. </w:t>
      </w:r>
      <w:r w:rsidR="008C562F" w:rsidRPr="00002445">
        <w:rPr>
          <w:rFonts w:ascii="Times New Roman" w:hAnsi="Times New Roman" w:cs="Times New Roman"/>
        </w:rPr>
        <w:t>Manhica et al</w:t>
      </w:r>
      <w:r w:rsidR="005E383C" w:rsidRPr="00002445">
        <w:rPr>
          <w:rFonts w:ascii="Times New Roman" w:hAnsi="Times New Roman" w:cs="Times New Roman"/>
        </w:rPr>
        <w:t>.</w:t>
      </w:r>
      <w:r w:rsidR="008C562F" w:rsidRPr="00002445">
        <w:rPr>
          <w:rFonts w:ascii="Times New Roman" w:hAnsi="Times New Roman" w:cs="Times New Roman"/>
        </w:rPr>
        <w:t xml:space="preserve"> (202</w:t>
      </w:r>
      <w:r w:rsidR="006F13A8" w:rsidRPr="00002445">
        <w:rPr>
          <w:rFonts w:ascii="Times New Roman" w:hAnsi="Times New Roman" w:cs="Times New Roman"/>
        </w:rPr>
        <w:t>1</w:t>
      </w:r>
      <w:r w:rsidR="008C562F" w:rsidRPr="00002445">
        <w:rPr>
          <w:rFonts w:ascii="Times New Roman" w:hAnsi="Times New Roman" w:cs="Times New Roman"/>
        </w:rPr>
        <w:t>) found that in a Swedish national birth cohort, exposure to poverty in the early years increased the risk of drug use the associated problems in adulthood. We contribute to this small body of work</w:t>
      </w:r>
      <w:r w:rsidR="00F91553" w:rsidRPr="00002445">
        <w:rPr>
          <w:rFonts w:ascii="Times New Roman" w:hAnsi="Times New Roman" w:cs="Times New Roman"/>
        </w:rPr>
        <w:t xml:space="preserve"> via the analysis of two British birth cohorts</w:t>
      </w:r>
      <w:r w:rsidR="008C562F" w:rsidRPr="00002445">
        <w:rPr>
          <w:rFonts w:ascii="Times New Roman" w:hAnsi="Times New Roman" w:cs="Times New Roman"/>
        </w:rPr>
        <w:t xml:space="preserve"> </w:t>
      </w:r>
      <w:r w:rsidR="00F91553" w:rsidRPr="00002445">
        <w:rPr>
          <w:rFonts w:ascii="Times New Roman" w:hAnsi="Times New Roman" w:cs="Times New Roman"/>
        </w:rPr>
        <w:t xml:space="preserve">born twelve years apart and seek to explore changes in socio-economic contexts over time which altered the exposure to risks associated with drug use. </w:t>
      </w:r>
      <w:r w:rsidR="005B5A9E" w:rsidRPr="00002445">
        <w:rPr>
          <w:rFonts w:ascii="Times New Roman" w:hAnsi="Times New Roman" w:cs="Times New Roman"/>
        </w:rPr>
        <w:t>W</w:t>
      </w:r>
      <w:r w:rsidR="00F91553" w:rsidRPr="00002445">
        <w:rPr>
          <w:rFonts w:ascii="Times New Roman" w:hAnsi="Times New Roman" w:cs="Times New Roman"/>
        </w:rPr>
        <w:t>e seek to answer questions such as</w:t>
      </w:r>
      <w:r w:rsidR="00B53EBE" w:rsidRPr="00002445">
        <w:rPr>
          <w:rFonts w:ascii="Times New Roman" w:hAnsi="Times New Roman" w:cs="Times New Roman"/>
        </w:rPr>
        <w:t>:</w:t>
      </w:r>
      <w:r w:rsidR="00F91553" w:rsidRPr="00002445">
        <w:rPr>
          <w:rFonts w:ascii="Times New Roman" w:hAnsi="Times New Roman" w:cs="Times New Roman"/>
        </w:rPr>
        <w:t xml:space="preserve"> W</w:t>
      </w:r>
      <w:r w:rsidR="005B5A9E" w:rsidRPr="00002445">
        <w:rPr>
          <w:rFonts w:ascii="Times New Roman" w:hAnsi="Times New Roman" w:cs="Times New Roman"/>
        </w:rPr>
        <w:t>hy do some people consume potent, highly addictive substances? Do the social groups in a society who use drugs such as heroin change over time, and if so, why might that be? In what ways, if any, might</w:t>
      </w:r>
      <w:r w:rsidR="00AF32C1" w:rsidRPr="00002445">
        <w:rPr>
          <w:rFonts w:ascii="Times New Roman" w:hAnsi="Times New Roman" w:cs="Times New Roman"/>
        </w:rPr>
        <w:t xml:space="preserve"> </w:t>
      </w:r>
      <w:r w:rsidR="005B5A9E" w:rsidRPr="00002445">
        <w:rPr>
          <w:rFonts w:ascii="Times New Roman" w:hAnsi="Times New Roman" w:cs="Times New Roman"/>
        </w:rPr>
        <w:t xml:space="preserve">widespread drug usage be a reflection of wider social and economic policies and their </w:t>
      </w:r>
      <w:r w:rsidR="0054269E" w:rsidRPr="00002445">
        <w:rPr>
          <w:rFonts w:ascii="Times New Roman" w:hAnsi="Times New Roman" w:cs="Times New Roman"/>
        </w:rPr>
        <w:t>e</w:t>
      </w:r>
      <w:r w:rsidR="005B5A9E" w:rsidRPr="00002445">
        <w:rPr>
          <w:rFonts w:ascii="Times New Roman" w:hAnsi="Times New Roman" w:cs="Times New Roman"/>
        </w:rPr>
        <w:t>ffects</w:t>
      </w:r>
      <w:r w:rsidR="003F4721" w:rsidRPr="00002445">
        <w:rPr>
          <w:rFonts w:ascii="Times New Roman" w:hAnsi="Times New Roman" w:cs="Times New Roman"/>
        </w:rPr>
        <w:t xml:space="preserve"> on inequality</w:t>
      </w:r>
      <w:r w:rsidR="00B53EBE" w:rsidRPr="00002445">
        <w:rPr>
          <w:rFonts w:ascii="Times New Roman" w:hAnsi="Times New Roman" w:cs="Times New Roman"/>
        </w:rPr>
        <w:t xml:space="preserve"> and insecurity</w:t>
      </w:r>
      <w:r w:rsidR="005B5A9E" w:rsidRPr="00002445">
        <w:rPr>
          <w:rFonts w:ascii="Times New Roman" w:hAnsi="Times New Roman" w:cs="Times New Roman"/>
        </w:rPr>
        <w:t xml:space="preserve">? </w:t>
      </w:r>
    </w:p>
    <w:p w14:paraId="65382BB2" w14:textId="7127DACE" w:rsidR="005B5A9E" w:rsidRPr="00002445" w:rsidRDefault="005B5A9E" w:rsidP="0016705E">
      <w:pPr>
        <w:pStyle w:val="BodyText"/>
        <w:rPr>
          <w:rFonts w:ascii="Times New Roman" w:hAnsi="Times New Roman" w:cs="Times New Roman"/>
        </w:rPr>
      </w:pPr>
      <w:r w:rsidRPr="00002445">
        <w:rPr>
          <w:rFonts w:ascii="Times New Roman" w:hAnsi="Times New Roman" w:cs="Times New Roman"/>
        </w:rPr>
        <w:t>This chapter seeks answers to those questions by examin</w:t>
      </w:r>
      <w:r w:rsidR="002F6C65" w:rsidRPr="00002445">
        <w:rPr>
          <w:rFonts w:ascii="Times New Roman" w:hAnsi="Times New Roman" w:cs="Times New Roman"/>
        </w:rPr>
        <w:t xml:space="preserve">ing </w:t>
      </w:r>
      <w:r w:rsidRPr="00002445">
        <w:rPr>
          <w:rFonts w:ascii="Times New Roman" w:hAnsi="Times New Roman" w:cs="Times New Roman"/>
        </w:rPr>
        <w:t>the experiences of people living in Britain</w:t>
      </w:r>
      <w:r w:rsidR="00E5453E" w:rsidRPr="00002445">
        <w:rPr>
          <w:rStyle w:val="FootnoteReference"/>
          <w:rFonts w:ascii="Times New Roman" w:hAnsi="Times New Roman" w:cs="Times New Roman"/>
        </w:rPr>
        <w:footnoteReference w:id="1"/>
      </w:r>
      <w:r w:rsidRPr="00002445">
        <w:rPr>
          <w:rFonts w:ascii="Times New Roman" w:hAnsi="Times New Roman" w:cs="Times New Roman"/>
        </w:rPr>
        <w:t xml:space="preserve"> during the 1970s and 1980s, </w:t>
      </w:r>
      <w:r w:rsidR="002F6C65" w:rsidRPr="00002445">
        <w:rPr>
          <w:rFonts w:ascii="Times New Roman" w:hAnsi="Times New Roman" w:cs="Times New Roman"/>
        </w:rPr>
        <w:t xml:space="preserve">with </w:t>
      </w:r>
      <w:r w:rsidRPr="00002445">
        <w:rPr>
          <w:rFonts w:ascii="Times New Roman" w:hAnsi="Times New Roman" w:cs="Times New Roman"/>
        </w:rPr>
        <w:t>a particular focus on the role of economic philosophy and the social welfare provisions which are deployed (or, in this case, withdrawn) to alleviate the needs caused by economic change. As such, the story we tell is about temporal change (in policies</w:t>
      </w:r>
      <w:r w:rsidR="003F4721" w:rsidRPr="00002445">
        <w:rPr>
          <w:rFonts w:ascii="Times New Roman" w:hAnsi="Times New Roman" w:cs="Times New Roman"/>
        </w:rPr>
        <w:t xml:space="preserve"> and their social outcomes</w:t>
      </w:r>
      <w:r w:rsidRPr="00002445">
        <w:rPr>
          <w:rFonts w:ascii="Times New Roman" w:hAnsi="Times New Roman" w:cs="Times New Roman"/>
        </w:rPr>
        <w:t xml:space="preserve">) </w:t>
      </w:r>
      <w:r w:rsidR="00CD1E3D" w:rsidRPr="00002445">
        <w:rPr>
          <w:rFonts w:ascii="Times New Roman" w:hAnsi="Times New Roman" w:cs="Times New Roman"/>
        </w:rPr>
        <w:t xml:space="preserve">and the ways in which these </w:t>
      </w:r>
      <w:r w:rsidR="002F6C65" w:rsidRPr="00002445">
        <w:rPr>
          <w:rFonts w:ascii="Times New Roman" w:hAnsi="Times New Roman" w:cs="Times New Roman"/>
        </w:rPr>
        <w:t xml:space="preserve">shifts </w:t>
      </w:r>
      <w:r w:rsidR="00CD1E3D" w:rsidRPr="00002445">
        <w:rPr>
          <w:rFonts w:ascii="Times New Roman" w:hAnsi="Times New Roman" w:cs="Times New Roman"/>
        </w:rPr>
        <w:t xml:space="preserve">affected drug use in that society. Our </w:t>
      </w:r>
      <w:r w:rsidR="00151DC7" w:rsidRPr="00002445">
        <w:rPr>
          <w:rFonts w:ascii="Times New Roman" w:hAnsi="Times New Roman" w:cs="Times New Roman"/>
        </w:rPr>
        <w:t xml:space="preserve">chapter </w:t>
      </w:r>
      <w:r w:rsidR="00CD1E3D" w:rsidRPr="00002445">
        <w:rPr>
          <w:rFonts w:ascii="Times New Roman" w:hAnsi="Times New Roman" w:cs="Times New Roman"/>
        </w:rPr>
        <w:t>starts by</w:t>
      </w:r>
      <w:r w:rsidR="00695CF7" w:rsidRPr="00002445">
        <w:rPr>
          <w:rFonts w:ascii="Times New Roman" w:hAnsi="Times New Roman" w:cs="Times New Roman"/>
        </w:rPr>
        <w:t xml:space="preserve"> </w:t>
      </w:r>
      <w:r w:rsidR="00B53EBE" w:rsidRPr="00002445">
        <w:rPr>
          <w:rFonts w:ascii="Times New Roman" w:hAnsi="Times New Roman" w:cs="Times New Roman"/>
        </w:rPr>
        <w:t xml:space="preserve">investigating </w:t>
      </w:r>
      <w:r w:rsidR="00695CF7" w:rsidRPr="00002445">
        <w:rPr>
          <w:rFonts w:ascii="Times New Roman" w:hAnsi="Times New Roman" w:cs="Times New Roman"/>
        </w:rPr>
        <w:t>which social groups use</w:t>
      </w:r>
      <w:r w:rsidR="002F6C65" w:rsidRPr="00002445">
        <w:rPr>
          <w:rFonts w:ascii="Times New Roman" w:hAnsi="Times New Roman" w:cs="Times New Roman"/>
        </w:rPr>
        <w:t>d</w:t>
      </w:r>
      <w:r w:rsidR="00695CF7" w:rsidRPr="00002445">
        <w:rPr>
          <w:rFonts w:ascii="Times New Roman" w:hAnsi="Times New Roman" w:cs="Times New Roman"/>
        </w:rPr>
        <w:t xml:space="preserve"> heroin</w:t>
      </w:r>
      <w:r w:rsidR="005A3C05" w:rsidRPr="00002445">
        <w:rPr>
          <w:rFonts w:ascii="Times New Roman" w:hAnsi="Times New Roman" w:cs="Times New Roman"/>
        </w:rPr>
        <w:t xml:space="preserve"> over time</w:t>
      </w:r>
      <w:r w:rsidR="00695CF7" w:rsidRPr="00002445">
        <w:rPr>
          <w:rFonts w:ascii="Times New Roman" w:hAnsi="Times New Roman" w:cs="Times New Roman"/>
        </w:rPr>
        <w:t xml:space="preserve">, before exploring the economic and social changes which </w:t>
      </w:r>
      <w:r w:rsidR="00E5453E" w:rsidRPr="00002445">
        <w:rPr>
          <w:rFonts w:ascii="Times New Roman" w:hAnsi="Times New Roman" w:cs="Times New Roman"/>
        </w:rPr>
        <w:t>Britain</w:t>
      </w:r>
      <w:r w:rsidR="00695CF7" w:rsidRPr="00002445">
        <w:rPr>
          <w:rFonts w:ascii="Times New Roman" w:hAnsi="Times New Roman" w:cs="Times New Roman"/>
        </w:rPr>
        <w:t xml:space="preserve"> experienced during the 1980s. We then outline our research strategy before outlining </w:t>
      </w:r>
      <w:r w:rsidR="008F745B" w:rsidRPr="00002445">
        <w:rPr>
          <w:rFonts w:ascii="Times New Roman" w:hAnsi="Times New Roman" w:cs="Times New Roman"/>
        </w:rPr>
        <w:t xml:space="preserve">our </w:t>
      </w:r>
      <w:r w:rsidR="00695CF7" w:rsidRPr="00002445">
        <w:rPr>
          <w:rFonts w:ascii="Times New Roman" w:hAnsi="Times New Roman" w:cs="Times New Roman"/>
        </w:rPr>
        <w:t>findings</w:t>
      </w:r>
      <w:r w:rsidR="00034C4E" w:rsidRPr="00002445">
        <w:rPr>
          <w:rFonts w:ascii="Times New Roman" w:hAnsi="Times New Roman" w:cs="Times New Roman"/>
        </w:rPr>
        <w:t>, namely that socio-economic restructuring was associated with</w:t>
      </w:r>
      <w:r w:rsidR="001B19F5" w:rsidRPr="00002445">
        <w:rPr>
          <w:rFonts w:ascii="Times New Roman" w:hAnsi="Times New Roman" w:cs="Times New Roman"/>
        </w:rPr>
        <w:t xml:space="preserve"> more widespread heroin use for the first time among the working class</w:t>
      </w:r>
      <w:r w:rsidR="005A3C05" w:rsidRPr="00002445">
        <w:rPr>
          <w:rFonts w:ascii="Times New Roman" w:hAnsi="Times New Roman" w:cs="Times New Roman"/>
        </w:rPr>
        <w:t xml:space="preserve">. </w:t>
      </w:r>
      <w:r w:rsidR="00750CB9" w:rsidRPr="00002445">
        <w:rPr>
          <w:rFonts w:ascii="Times New Roman" w:hAnsi="Times New Roman" w:cs="Times New Roman"/>
        </w:rPr>
        <w:t>These findings contribute to</w:t>
      </w:r>
      <w:r w:rsidR="00E0552D" w:rsidRPr="00002445">
        <w:rPr>
          <w:rFonts w:ascii="Times New Roman" w:hAnsi="Times New Roman" w:cs="Times New Roman"/>
        </w:rPr>
        <w:t xml:space="preserve"> understanding</w:t>
      </w:r>
      <w:r w:rsidR="00750CB9" w:rsidRPr="00002445">
        <w:rPr>
          <w:rFonts w:ascii="Times New Roman" w:hAnsi="Times New Roman" w:cs="Times New Roman"/>
        </w:rPr>
        <w:t xml:space="preserve"> how </w:t>
      </w:r>
      <w:r w:rsidR="00E0552D" w:rsidRPr="00002445">
        <w:rPr>
          <w:rFonts w:ascii="Times New Roman" w:hAnsi="Times New Roman" w:cs="Times New Roman"/>
        </w:rPr>
        <w:t>the unequal distribution of</w:t>
      </w:r>
      <w:r w:rsidR="00750CB9" w:rsidRPr="00002445">
        <w:rPr>
          <w:rFonts w:ascii="Times New Roman" w:hAnsi="Times New Roman" w:cs="Times New Roman"/>
        </w:rPr>
        <w:t xml:space="preserve"> economic insecurity </w:t>
      </w:r>
      <w:r w:rsidR="00E0552D" w:rsidRPr="00002445">
        <w:rPr>
          <w:rFonts w:ascii="Times New Roman" w:hAnsi="Times New Roman" w:cs="Times New Roman"/>
        </w:rPr>
        <w:t xml:space="preserve">between social groups </w:t>
      </w:r>
      <w:r w:rsidR="00B53EBE" w:rsidRPr="00002445">
        <w:rPr>
          <w:rFonts w:ascii="Times New Roman" w:hAnsi="Times New Roman" w:cs="Times New Roman"/>
        </w:rPr>
        <w:t xml:space="preserve">has </w:t>
      </w:r>
      <w:r w:rsidR="00E0552D" w:rsidRPr="00002445">
        <w:rPr>
          <w:rFonts w:ascii="Times New Roman" w:hAnsi="Times New Roman" w:cs="Times New Roman"/>
        </w:rPr>
        <w:t>severe effect</w:t>
      </w:r>
      <w:r w:rsidR="00B53EBE" w:rsidRPr="00002445">
        <w:rPr>
          <w:rFonts w:ascii="Times New Roman" w:hAnsi="Times New Roman" w:cs="Times New Roman"/>
        </w:rPr>
        <w:t>s</w:t>
      </w:r>
      <w:r w:rsidR="00E0552D" w:rsidRPr="00002445">
        <w:rPr>
          <w:rFonts w:ascii="Times New Roman" w:hAnsi="Times New Roman" w:cs="Times New Roman"/>
        </w:rPr>
        <w:t xml:space="preserve"> on drug use.</w:t>
      </w:r>
    </w:p>
    <w:p w14:paraId="79EE7187" w14:textId="77777777" w:rsidR="00DF50B8" w:rsidRPr="00002445" w:rsidRDefault="00DF50B8" w:rsidP="0016705E">
      <w:pPr>
        <w:pStyle w:val="BodyText"/>
        <w:rPr>
          <w:rFonts w:ascii="Times New Roman" w:hAnsi="Times New Roman" w:cs="Times New Roman"/>
        </w:rPr>
      </w:pPr>
    </w:p>
    <w:p w14:paraId="6EF5DE63" w14:textId="56BE03A2" w:rsidR="00496EF6" w:rsidRPr="00002445" w:rsidRDefault="0078610C">
      <w:pPr>
        <w:pStyle w:val="Heading1"/>
        <w:rPr>
          <w:rFonts w:ascii="Times New Roman" w:hAnsi="Times New Roman" w:cs="Times New Roman"/>
          <w:color w:val="auto"/>
        </w:rPr>
      </w:pPr>
      <w:bookmarkStart w:id="2" w:name="Xcd4315eb6bc591156bbde0fd66b07a97ee69d3e"/>
      <w:bookmarkEnd w:id="1"/>
      <w:r w:rsidRPr="00002445">
        <w:rPr>
          <w:rStyle w:val="SectionNumber"/>
          <w:rFonts w:ascii="Times New Roman" w:hAnsi="Times New Roman" w:cs="Times New Roman"/>
          <w:color w:val="auto"/>
        </w:rPr>
        <w:t>2</w:t>
      </w:r>
      <w:r w:rsidRPr="00002445">
        <w:rPr>
          <w:rFonts w:ascii="Times New Roman" w:hAnsi="Times New Roman" w:cs="Times New Roman"/>
          <w:color w:val="auto"/>
        </w:rPr>
        <w:tab/>
        <w:t>Social Class and Heroin Use at the End of the Twentieth Century</w:t>
      </w:r>
    </w:p>
    <w:p w14:paraId="173C8A66" w14:textId="4B88D631" w:rsidR="00496EF6" w:rsidRPr="00002445" w:rsidRDefault="0016668C">
      <w:pPr>
        <w:pStyle w:val="FirstParagraph"/>
        <w:rPr>
          <w:rFonts w:ascii="Times New Roman" w:hAnsi="Times New Roman" w:cs="Times New Roman"/>
        </w:rPr>
      </w:pPr>
      <w:r w:rsidRPr="00002445">
        <w:rPr>
          <w:rFonts w:ascii="Times New Roman" w:hAnsi="Times New Roman" w:cs="Times New Roman"/>
        </w:rPr>
        <w:t xml:space="preserve">What do we know about those who use heroin? </w:t>
      </w:r>
      <w:r w:rsidR="0078610C" w:rsidRPr="00002445">
        <w:rPr>
          <w:rFonts w:ascii="Times New Roman" w:hAnsi="Times New Roman" w:cs="Times New Roman"/>
        </w:rPr>
        <w:t>Much of the literature published in the 1970s and 1980s deal</w:t>
      </w:r>
      <w:r w:rsidR="007E750F" w:rsidRPr="00002445">
        <w:rPr>
          <w:rFonts w:ascii="Times New Roman" w:hAnsi="Times New Roman" w:cs="Times New Roman"/>
        </w:rPr>
        <w:t>t</w:t>
      </w:r>
      <w:r w:rsidR="0078610C" w:rsidRPr="00002445">
        <w:rPr>
          <w:rFonts w:ascii="Times New Roman" w:hAnsi="Times New Roman" w:cs="Times New Roman"/>
        </w:rPr>
        <w:t xml:space="preserve"> with the individual heroin user’s psychopathology or other deficiencies of the individual user</w:t>
      </w:r>
      <w:r w:rsidRPr="00002445">
        <w:rPr>
          <w:rFonts w:ascii="Times New Roman" w:hAnsi="Times New Roman" w:cs="Times New Roman"/>
        </w:rPr>
        <w:t>, and did not concern itself much with matters of social class or wider social and economic causal processes</w:t>
      </w:r>
      <w:r w:rsidR="0078610C" w:rsidRPr="00002445">
        <w:rPr>
          <w:rFonts w:ascii="Times New Roman" w:hAnsi="Times New Roman" w:cs="Times New Roman"/>
        </w:rPr>
        <w:t>. Th</w:t>
      </w:r>
      <w:r w:rsidRPr="00002445">
        <w:rPr>
          <w:rFonts w:ascii="Times New Roman" w:hAnsi="Times New Roman" w:cs="Times New Roman"/>
        </w:rPr>
        <w:t xml:space="preserve">ose </w:t>
      </w:r>
      <w:r w:rsidR="00151DC7" w:rsidRPr="00002445">
        <w:rPr>
          <w:rFonts w:ascii="Times New Roman" w:hAnsi="Times New Roman" w:cs="Times New Roman"/>
        </w:rPr>
        <w:t xml:space="preserve">studies </w:t>
      </w:r>
      <w:r w:rsidR="0078610C" w:rsidRPr="00002445">
        <w:rPr>
          <w:rFonts w:ascii="Times New Roman" w:hAnsi="Times New Roman" w:cs="Times New Roman"/>
        </w:rPr>
        <w:t>which d</w:t>
      </w:r>
      <w:r w:rsidR="007E750F" w:rsidRPr="00002445">
        <w:rPr>
          <w:rFonts w:ascii="Times New Roman" w:hAnsi="Times New Roman" w:cs="Times New Roman"/>
        </w:rPr>
        <w:t>id</w:t>
      </w:r>
      <w:r w:rsidR="0078610C" w:rsidRPr="00002445">
        <w:rPr>
          <w:rFonts w:ascii="Times New Roman" w:hAnsi="Times New Roman" w:cs="Times New Roman"/>
        </w:rPr>
        <w:t xml:space="preserve"> deal with social class d</w:t>
      </w:r>
      <w:r w:rsidR="007E750F" w:rsidRPr="00002445">
        <w:rPr>
          <w:rFonts w:ascii="Times New Roman" w:hAnsi="Times New Roman" w:cs="Times New Roman"/>
        </w:rPr>
        <w:t>id</w:t>
      </w:r>
      <w:r w:rsidR="0078610C" w:rsidRPr="00002445">
        <w:rPr>
          <w:rFonts w:ascii="Times New Roman" w:hAnsi="Times New Roman" w:cs="Times New Roman"/>
        </w:rPr>
        <w:t xml:space="preserve"> not suggest a clear consensus in the relationship between social class and heroin use, likely due to the idiosyncratic sampling methods used by some of these studies (in turn due to the hidden nature of heroin users themselves).</w:t>
      </w:r>
    </w:p>
    <w:p w14:paraId="58D2EB36" w14:textId="08DA1228" w:rsidR="00496EF6" w:rsidRPr="00002445" w:rsidRDefault="00061821">
      <w:pPr>
        <w:pStyle w:val="BodyText"/>
        <w:rPr>
          <w:rFonts w:ascii="Times New Roman" w:hAnsi="Times New Roman" w:cs="Times New Roman"/>
        </w:rPr>
      </w:pPr>
      <w:r w:rsidRPr="00002445">
        <w:rPr>
          <w:rFonts w:ascii="Times New Roman" w:hAnsi="Times New Roman" w:cs="Times New Roman"/>
        </w:rPr>
        <w:t xml:space="preserve">Bean (1971), for example, </w:t>
      </w:r>
      <w:r w:rsidR="0078610C" w:rsidRPr="00002445">
        <w:rPr>
          <w:rFonts w:ascii="Times New Roman" w:hAnsi="Times New Roman" w:cs="Times New Roman"/>
        </w:rPr>
        <w:t>stud</w:t>
      </w:r>
      <w:r w:rsidR="0016668C" w:rsidRPr="00002445">
        <w:rPr>
          <w:rFonts w:ascii="Times New Roman" w:hAnsi="Times New Roman" w:cs="Times New Roman"/>
        </w:rPr>
        <w:t>ied</w:t>
      </w:r>
      <w:r w:rsidR="0078610C" w:rsidRPr="00002445">
        <w:rPr>
          <w:rFonts w:ascii="Times New Roman" w:hAnsi="Times New Roman" w:cs="Times New Roman"/>
        </w:rPr>
        <w:t xml:space="preserve"> two courts in London’s West End</w:t>
      </w:r>
      <w:r w:rsidR="0016668C" w:rsidRPr="00002445">
        <w:rPr>
          <w:rFonts w:ascii="Times New Roman" w:hAnsi="Times New Roman" w:cs="Times New Roman"/>
        </w:rPr>
        <w:t xml:space="preserve"> in 1968</w:t>
      </w:r>
      <w:r w:rsidR="0078610C" w:rsidRPr="00002445">
        <w:rPr>
          <w:rFonts w:ascii="Times New Roman" w:hAnsi="Times New Roman" w:cs="Times New Roman"/>
        </w:rPr>
        <w:t>, one a Magistrate’s court and one a juvenile court. He report</w:t>
      </w:r>
      <w:r w:rsidRPr="00002445">
        <w:rPr>
          <w:rFonts w:ascii="Times New Roman" w:hAnsi="Times New Roman" w:cs="Times New Roman"/>
        </w:rPr>
        <w:t>ed</w:t>
      </w:r>
      <w:r w:rsidR="0078610C" w:rsidRPr="00002445">
        <w:rPr>
          <w:rFonts w:ascii="Times New Roman" w:hAnsi="Times New Roman" w:cs="Times New Roman"/>
        </w:rPr>
        <w:t xml:space="preserve"> that heroin usage was concentrated amongst the higher social </w:t>
      </w:r>
      <w:r w:rsidR="0059602B" w:rsidRPr="00002445">
        <w:rPr>
          <w:rFonts w:ascii="Times New Roman" w:hAnsi="Times New Roman" w:cs="Times New Roman"/>
        </w:rPr>
        <w:t>classes,</w:t>
      </w:r>
      <w:r w:rsidR="0078610C" w:rsidRPr="00002445">
        <w:rPr>
          <w:rFonts w:ascii="Times New Roman" w:hAnsi="Times New Roman" w:cs="Times New Roman"/>
        </w:rPr>
        <w:t xml:space="preserve"> but this is likely due to the fact that these courts were located in more affluent areas of London. Stimson </w:t>
      </w:r>
      <w:r w:rsidR="00DF4273" w:rsidRPr="00002445">
        <w:rPr>
          <w:rFonts w:ascii="Times New Roman" w:hAnsi="Times New Roman" w:cs="Times New Roman"/>
        </w:rPr>
        <w:t>&amp;</w:t>
      </w:r>
      <w:r w:rsidR="0078610C" w:rsidRPr="00002445">
        <w:rPr>
          <w:rFonts w:ascii="Times New Roman" w:hAnsi="Times New Roman" w:cs="Times New Roman"/>
        </w:rPr>
        <w:t xml:space="preserve"> Oppenheimer (1982) studied heroin users in treatment </w:t>
      </w:r>
      <w:r w:rsidR="0078610C" w:rsidRPr="00002445">
        <w:rPr>
          <w:rFonts w:ascii="Times New Roman" w:hAnsi="Times New Roman" w:cs="Times New Roman"/>
        </w:rPr>
        <w:lastRenderedPageBreak/>
        <w:t xml:space="preserve">centres in 1969 in London. They found that few users at this time were leading the ‘chaotic’ lifestyles associated with </w:t>
      </w:r>
      <w:r w:rsidRPr="00002445">
        <w:rPr>
          <w:rFonts w:ascii="Times New Roman" w:hAnsi="Times New Roman" w:cs="Times New Roman"/>
        </w:rPr>
        <w:t xml:space="preserve">later </w:t>
      </w:r>
      <w:r w:rsidR="0078610C" w:rsidRPr="00002445">
        <w:rPr>
          <w:rFonts w:ascii="Times New Roman" w:hAnsi="Times New Roman" w:cs="Times New Roman"/>
        </w:rPr>
        <w:t>heroin users, and most were ‘stable’ or ‘loners’ who were associated with the fewest hospital admissions and health complications, did not engage in criminal activity, and were residentially and economically stable. Hartnoll et al</w:t>
      </w:r>
      <w:r w:rsidR="00DF4273" w:rsidRPr="00002445">
        <w:rPr>
          <w:rFonts w:ascii="Times New Roman" w:hAnsi="Times New Roman" w:cs="Times New Roman"/>
        </w:rPr>
        <w:t>.</w:t>
      </w:r>
      <w:r w:rsidR="0078610C" w:rsidRPr="00002445">
        <w:rPr>
          <w:rFonts w:ascii="Times New Roman" w:hAnsi="Times New Roman" w:cs="Times New Roman"/>
        </w:rPr>
        <w:t xml:space="preserve"> (1985) also found that heroin usage in 1980-81 was concentrated in higher social classes, but their study was again based on courts in areas with higher social classes in north London</w:t>
      </w:r>
      <w:r w:rsidR="00BB3FEE" w:rsidRPr="00002445">
        <w:rPr>
          <w:rFonts w:ascii="Times New Roman" w:hAnsi="Times New Roman" w:cs="Times New Roman"/>
        </w:rPr>
        <w:t xml:space="preserve">. </w:t>
      </w:r>
    </w:p>
    <w:p w14:paraId="093DF46B" w14:textId="41A0A5A7" w:rsidR="00496EF6" w:rsidRPr="00002445" w:rsidRDefault="0078610C">
      <w:pPr>
        <w:pStyle w:val="BodyText"/>
        <w:rPr>
          <w:rFonts w:ascii="Times New Roman" w:hAnsi="Times New Roman" w:cs="Times New Roman"/>
        </w:rPr>
      </w:pPr>
      <w:r w:rsidRPr="00002445">
        <w:rPr>
          <w:rFonts w:ascii="Times New Roman" w:hAnsi="Times New Roman" w:cs="Times New Roman"/>
        </w:rPr>
        <w:t>Pearson’s study (1987), for which the data collection was in 1983-</w:t>
      </w:r>
      <w:r w:rsidR="00061821" w:rsidRPr="00002445">
        <w:rPr>
          <w:rFonts w:ascii="Times New Roman" w:hAnsi="Times New Roman" w:cs="Times New Roman"/>
        </w:rPr>
        <w:t>84, argued that until the early-</w:t>
      </w:r>
      <w:r w:rsidRPr="00002445">
        <w:rPr>
          <w:rFonts w:ascii="Times New Roman" w:hAnsi="Times New Roman" w:cs="Times New Roman"/>
        </w:rPr>
        <w:t>1970s there was no association between social class and heroin use</w:t>
      </w:r>
      <w:r w:rsidR="001B19F5" w:rsidRPr="00002445">
        <w:rPr>
          <w:rFonts w:ascii="Times New Roman" w:hAnsi="Times New Roman" w:cs="Times New Roman"/>
        </w:rPr>
        <w:t>,</w:t>
      </w:r>
      <w:r w:rsidRPr="00002445">
        <w:rPr>
          <w:rFonts w:ascii="Times New Roman" w:hAnsi="Times New Roman" w:cs="Times New Roman"/>
        </w:rPr>
        <w:t xml:space="preserve"> although there was between social class and cannabis and LSD use, such that it was ‘bohemian’, middle class youth and ‘</w:t>
      </w:r>
      <w:r w:rsidR="0054269E" w:rsidRPr="00002445">
        <w:rPr>
          <w:rFonts w:ascii="Times New Roman" w:hAnsi="Times New Roman" w:cs="Times New Roman"/>
        </w:rPr>
        <w:t>dropouts</w:t>
      </w:r>
      <w:r w:rsidR="00061821" w:rsidRPr="00002445">
        <w:rPr>
          <w:rFonts w:ascii="Times New Roman" w:hAnsi="Times New Roman" w:cs="Times New Roman"/>
        </w:rPr>
        <w:t>’ who used such drugs (1987</w:t>
      </w:r>
      <w:r w:rsidR="00C27FDD" w:rsidRPr="00002445">
        <w:rPr>
          <w:rFonts w:ascii="Times New Roman" w:hAnsi="Times New Roman" w:cs="Times New Roman"/>
        </w:rPr>
        <w:t xml:space="preserve">, </w:t>
      </w:r>
      <w:r w:rsidRPr="00002445">
        <w:rPr>
          <w:rFonts w:ascii="Times New Roman" w:hAnsi="Times New Roman" w:cs="Times New Roman"/>
        </w:rPr>
        <w:t>64). He argue</w:t>
      </w:r>
      <w:r w:rsidR="00061821" w:rsidRPr="00002445">
        <w:rPr>
          <w:rFonts w:ascii="Times New Roman" w:hAnsi="Times New Roman" w:cs="Times New Roman"/>
        </w:rPr>
        <w:t>d</w:t>
      </w:r>
      <w:r w:rsidRPr="00002445">
        <w:rPr>
          <w:rFonts w:ascii="Times New Roman" w:hAnsi="Times New Roman" w:cs="Times New Roman"/>
        </w:rPr>
        <w:t xml:space="preserve"> that 1979-1983 represented a turning point, whereby heroin started to be used by those living in working class areas.</w:t>
      </w:r>
      <w:r w:rsidR="0016668C" w:rsidRPr="00002445">
        <w:rPr>
          <w:rFonts w:ascii="Times New Roman" w:hAnsi="Times New Roman" w:cs="Times New Roman"/>
        </w:rPr>
        <w:t xml:space="preserve"> This he read as signalling that there was a ‘new’ type of heroin user – those who </w:t>
      </w:r>
      <w:r w:rsidR="0054269E" w:rsidRPr="00002445">
        <w:rPr>
          <w:rFonts w:ascii="Times New Roman" w:hAnsi="Times New Roman" w:cs="Times New Roman"/>
        </w:rPr>
        <w:t>lived in working-class</w:t>
      </w:r>
      <w:r w:rsidR="0016668C" w:rsidRPr="00002445">
        <w:rPr>
          <w:rFonts w:ascii="Times New Roman" w:hAnsi="Times New Roman" w:cs="Times New Roman"/>
        </w:rPr>
        <w:t xml:space="preserve"> areas in the rapidly de-industrializing heartlands. </w:t>
      </w:r>
    </w:p>
    <w:p w14:paraId="0A1D832B" w14:textId="17967718" w:rsidR="00496EF6" w:rsidRPr="00002445" w:rsidRDefault="0078610C">
      <w:pPr>
        <w:pStyle w:val="BodyText"/>
        <w:rPr>
          <w:rFonts w:ascii="Times New Roman" w:hAnsi="Times New Roman" w:cs="Times New Roman"/>
        </w:rPr>
      </w:pPr>
      <w:r w:rsidRPr="00002445">
        <w:rPr>
          <w:rFonts w:ascii="Times New Roman" w:hAnsi="Times New Roman" w:cs="Times New Roman"/>
        </w:rPr>
        <w:t>Parker et al</w:t>
      </w:r>
      <w:r w:rsidR="00C27FDD" w:rsidRPr="00002445">
        <w:rPr>
          <w:rFonts w:ascii="Times New Roman" w:hAnsi="Times New Roman" w:cs="Times New Roman"/>
        </w:rPr>
        <w:t>.</w:t>
      </w:r>
      <w:r w:rsidRPr="00002445">
        <w:rPr>
          <w:rFonts w:ascii="Times New Roman" w:hAnsi="Times New Roman" w:cs="Times New Roman"/>
        </w:rPr>
        <w:t xml:space="preserve"> (1988)</w:t>
      </w:r>
      <w:r w:rsidR="00061821" w:rsidRPr="00002445">
        <w:rPr>
          <w:rFonts w:ascii="Times New Roman" w:hAnsi="Times New Roman" w:cs="Times New Roman"/>
        </w:rPr>
        <w:t>,</w:t>
      </w:r>
      <w:r w:rsidRPr="00002445">
        <w:rPr>
          <w:rFonts w:ascii="Times New Roman" w:hAnsi="Times New Roman" w:cs="Times New Roman"/>
        </w:rPr>
        <w:t xml:space="preserve"> in a study based in north-west England </w:t>
      </w:r>
      <w:r w:rsidR="00DC616D" w:rsidRPr="00002445">
        <w:rPr>
          <w:rFonts w:ascii="Times New Roman" w:hAnsi="Times New Roman" w:cs="Times New Roman"/>
        </w:rPr>
        <w:t>(</w:t>
      </w:r>
      <w:r w:rsidR="001B19F5" w:rsidRPr="00002445">
        <w:rPr>
          <w:rFonts w:ascii="Times New Roman" w:hAnsi="Times New Roman" w:cs="Times New Roman"/>
        </w:rPr>
        <w:t xml:space="preserve">based on </w:t>
      </w:r>
      <w:r w:rsidR="0016668C" w:rsidRPr="00002445">
        <w:rPr>
          <w:rFonts w:ascii="Times New Roman" w:hAnsi="Times New Roman" w:cs="Times New Roman"/>
        </w:rPr>
        <w:t>interviews conducted</w:t>
      </w:r>
      <w:r w:rsidR="00DF15F7" w:rsidRPr="00002445">
        <w:rPr>
          <w:rFonts w:ascii="Times New Roman" w:hAnsi="Times New Roman" w:cs="Times New Roman"/>
        </w:rPr>
        <w:t xml:space="preserve"> in</w:t>
      </w:r>
      <w:r w:rsidR="0016668C" w:rsidRPr="00002445">
        <w:rPr>
          <w:rFonts w:ascii="Times New Roman" w:hAnsi="Times New Roman" w:cs="Times New Roman"/>
        </w:rPr>
        <w:t xml:space="preserve"> </w:t>
      </w:r>
      <w:r w:rsidRPr="00002445">
        <w:rPr>
          <w:rFonts w:ascii="Times New Roman" w:hAnsi="Times New Roman" w:cs="Times New Roman"/>
        </w:rPr>
        <w:t>July 1984</w:t>
      </w:r>
      <w:r w:rsidR="00DC616D" w:rsidRPr="00002445">
        <w:rPr>
          <w:rFonts w:ascii="Times New Roman" w:hAnsi="Times New Roman" w:cs="Times New Roman"/>
        </w:rPr>
        <w:t>-</w:t>
      </w:r>
      <w:r w:rsidRPr="00002445">
        <w:rPr>
          <w:rFonts w:ascii="Times New Roman" w:hAnsi="Times New Roman" w:cs="Times New Roman"/>
        </w:rPr>
        <w:t>June 1985</w:t>
      </w:r>
      <w:r w:rsidR="00DC616D" w:rsidRPr="00002445">
        <w:rPr>
          <w:rFonts w:ascii="Times New Roman" w:hAnsi="Times New Roman" w:cs="Times New Roman"/>
        </w:rPr>
        <w:t>)</w:t>
      </w:r>
      <w:r w:rsidR="00B53EBE" w:rsidRPr="00002445">
        <w:rPr>
          <w:rFonts w:ascii="Times New Roman" w:hAnsi="Times New Roman" w:cs="Times New Roman"/>
        </w:rPr>
        <w:t>,</w:t>
      </w:r>
      <w:r w:rsidRPr="00002445">
        <w:rPr>
          <w:rFonts w:ascii="Times New Roman" w:hAnsi="Times New Roman" w:cs="Times New Roman"/>
        </w:rPr>
        <w:t xml:space="preserve"> found that heroin users tended to be unemployed. However</w:t>
      </w:r>
      <w:r w:rsidR="00187DAA" w:rsidRPr="00002445">
        <w:rPr>
          <w:rFonts w:ascii="Times New Roman" w:hAnsi="Times New Roman" w:cs="Times New Roman"/>
        </w:rPr>
        <w:t>,</w:t>
      </w:r>
      <w:r w:rsidRPr="00002445">
        <w:rPr>
          <w:rFonts w:ascii="Times New Roman" w:hAnsi="Times New Roman" w:cs="Times New Roman"/>
        </w:rPr>
        <w:t xml:space="preserve"> this study used snowball sampling, starting with a group of known heroin users, and so it may have resulted in biases in the achieved sample. Reviewing three studies in northern En</w:t>
      </w:r>
      <w:r w:rsidR="00061821" w:rsidRPr="00002445">
        <w:rPr>
          <w:rFonts w:ascii="Times New Roman" w:hAnsi="Times New Roman" w:cs="Times New Roman"/>
        </w:rPr>
        <w:t>gland, Fazey et al</w:t>
      </w:r>
      <w:r w:rsidR="00C27FDD" w:rsidRPr="00002445">
        <w:rPr>
          <w:rFonts w:ascii="Times New Roman" w:hAnsi="Times New Roman" w:cs="Times New Roman"/>
        </w:rPr>
        <w:t>.</w:t>
      </w:r>
      <w:r w:rsidR="00061821" w:rsidRPr="00002445">
        <w:rPr>
          <w:rFonts w:ascii="Times New Roman" w:hAnsi="Times New Roman" w:cs="Times New Roman"/>
        </w:rPr>
        <w:t xml:space="preserve"> (1990) found</w:t>
      </w:r>
      <w:r w:rsidRPr="00002445">
        <w:rPr>
          <w:rFonts w:ascii="Times New Roman" w:hAnsi="Times New Roman" w:cs="Times New Roman"/>
        </w:rPr>
        <w:t xml:space="preserve"> a strong association between heroin use and markers of lower socio-economic status (such as unemployment, domestic over-crowding and coming from social classes IV and V). Seddon (2006) suggest</w:t>
      </w:r>
      <w:r w:rsidR="00061821" w:rsidRPr="00002445">
        <w:rPr>
          <w:rFonts w:ascii="Times New Roman" w:hAnsi="Times New Roman" w:cs="Times New Roman"/>
        </w:rPr>
        <w:t>ed</w:t>
      </w:r>
      <w:r w:rsidRPr="00002445">
        <w:rPr>
          <w:rFonts w:ascii="Times New Roman" w:hAnsi="Times New Roman" w:cs="Times New Roman"/>
        </w:rPr>
        <w:t xml:space="preserve"> that there was no association between heroin use and social class during the 1970s, but that this emerged during the 1980s. However, and critiquing this literature, Seddon notes there is little empirical evidence cited to support such claims. What literature there is tends to be based on notified or registered heroin users which had been reported to the Home Office, and few studies (such as Pearson’s own) actually asked the respondents to identify their social class.</w:t>
      </w:r>
    </w:p>
    <w:p w14:paraId="51FDD973" w14:textId="0263943C" w:rsidR="00496EF6" w:rsidRPr="00002445" w:rsidRDefault="0078610C">
      <w:pPr>
        <w:pStyle w:val="BodyText"/>
        <w:rPr>
          <w:rFonts w:ascii="Times New Roman" w:hAnsi="Times New Roman" w:cs="Times New Roman"/>
        </w:rPr>
      </w:pPr>
      <w:r w:rsidRPr="00002445">
        <w:rPr>
          <w:rFonts w:ascii="Times New Roman" w:hAnsi="Times New Roman" w:cs="Times New Roman"/>
        </w:rPr>
        <w:t xml:space="preserve">This does not, it must be said, make these studies’ claims about social class and heroin use invalid, but rather raises questions about the </w:t>
      </w:r>
      <w:r w:rsidR="00061821" w:rsidRPr="00002445">
        <w:rPr>
          <w:rFonts w:ascii="Times New Roman" w:hAnsi="Times New Roman" w:cs="Times New Roman"/>
        </w:rPr>
        <w:t>degree of certainty in their findings</w:t>
      </w:r>
      <w:r w:rsidR="00680D3C" w:rsidRPr="00002445">
        <w:rPr>
          <w:rFonts w:ascii="Times New Roman" w:hAnsi="Times New Roman" w:cs="Times New Roman"/>
        </w:rPr>
        <w:t>.</w:t>
      </w:r>
      <w:r w:rsidR="00C74C06" w:rsidRPr="00002445">
        <w:rPr>
          <w:rFonts w:ascii="Times New Roman" w:hAnsi="Times New Roman" w:cs="Times New Roman"/>
        </w:rPr>
        <w:t xml:space="preserve"> </w:t>
      </w:r>
      <w:r w:rsidRPr="00002445">
        <w:rPr>
          <w:rFonts w:ascii="Times New Roman" w:hAnsi="Times New Roman" w:cs="Times New Roman"/>
        </w:rPr>
        <w:t xml:space="preserve">None of these studies were nationally representative, relying instead on local data collection techniques based in particular cities or regions, and often relying on those in treatment or in contact with the courts for drug possession. Few of these studies conducted any sort of </w:t>
      </w:r>
      <w:r w:rsidR="006C16CB" w:rsidRPr="00002445">
        <w:rPr>
          <w:rFonts w:ascii="Times New Roman" w:hAnsi="Times New Roman" w:cs="Times New Roman"/>
        </w:rPr>
        <w:t>long-term</w:t>
      </w:r>
      <w:r w:rsidRPr="00002445">
        <w:rPr>
          <w:rFonts w:ascii="Times New Roman" w:hAnsi="Times New Roman" w:cs="Times New Roman"/>
        </w:rPr>
        <w:t xml:space="preserve"> follow up, and those which did (such as Chappie et al</w:t>
      </w:r>
      <w:r w:rsidR="00C27FDD" w:rsidRPr="00002445">
        <w:rPr>
          <w:rFonts w:ascii="Times New Roman" w:hAnsi="Times New Roman" w:cs="Times New Roman"/>
        </w:rPr>
        <w:t>.</w:t>
      </w:r>
      <w:r w:rsidR="003F4D9C" w:rsidRPr="00002445">
        <w:rPr>
          <w:rFonts w:ascii="Times New Roman" w:hAnsi="Times New Roman" w:cs="Times New Roman"/>
        </w:rPr>
        <w:t>,</w:t>
      </w:r>
      <w:r w:rsidR="00E7210F" w:rsidRPr="00002445">
        <w:rPr>
          <w:rFonts w:ascii="Times New Roman" w:hAnsi="Times New Roman" w:cs="Times New Roman"/>
        </w:rPr>
        <w:t xml:space="preserve"> </w:t>
      </w:r>
      <w:r w:rsidRPr="00002445">
        <w:rPr>
          <w:rFonts w:ascii="Times New Roman" w:hAnsi="Times New Roman" w:cs="Times New Roman"/>
        </w:rPr>
        <w:t xml:space="preserve">1972; Ogborne </w:t>
      </w:r>
      <w:r w:rsidR="003F4D9C" w:rsidRPr="00002445">
        <w:rPr>
          <w:rFonts w:ascii="Times New Roman" w:hAnsi="Times New Roman" w:cs="Times New Roman"/>
        </w:rPr>
        <w:t xml:space="preserve">&amp; </w:t>
      </w:r>
      <w:r w:rsidRPr="00002445">
        <w:rPr>
          <w:rFonts w:ascii="Times New Roman" w:hAnsi="Times New Roman" w:cs="Times New Roman"/>
        </w:rPr>
        <w:t>Stimson</w:t>
      </w:r>
      <w:r w:rsidR="003F4D9C" w:rsidRPr="00002445">
        <w:rPr>
          <w:rFonts w:ascii="Times New Roman" w:hAnsi="Times New Roman" w:cs="Times New Roman"/>
        </w:rPr>
        <w:t xml:space="preserve">, </w:t>
      </w:r>
      <w:r w:rsidRPr="00002445">
        <w:rPr>
          <w:rFonts w:ascii="Times New Roman" w:hAnsi="Times New Roman" w:cs="Times New Roman"/>
        </w:rPr>
        <w:t>197</w:t>
      </w:r>
      <w:r w:rsidR="003F4D9C" w:rsidRPr="00002445">
        <w:rPr>
          <w:rFonts w:ascii="Times New Roman" w:hAnsi="Times New Roman" w:cs="Times New Roman"/>
        </w:rPr>
        <w:t>5</w:t>
      </w:r>
      <w:r w:rsidRPr="00002445">
        <w:rPr>
          <w:rFonts w:ascii="Times New Roman" w:hAnsi="Times New Roman" w:cs="Times New Roman"/>
        </w:rPr>
        <w:t xml:space="preserve"> often did not focus on social class.</w:t>
      </w:r>
    </w:p>
    <w:p w14:paraId="7C10CB6B" w14:textId="3E720134" w:rsidR="00FE2274" w:rsidRPr="00002445" w:rsidRDefault="00FE2274" w:rsidP="00FE2274">
      <w:pPr>
        <w:pStyle w:val="BodyText"/>
        <w:rPr>
          <w:rFonts w:ascii="Times New Roman" w:hAnsi="Times New Roman" w:cs="Times New Roman"/>
        </w:rPr>
      </w:pPr>
      <w:r w:rsidRPr="00002445">
        <w:rPr>
          <w:rFonts w:ascii="Times New Roman" w:hAnsi="Times New Roman" w:cs="Times New Roman"/>
        </w:rPr>
        <w:t>More recently, Morgan’s report for the UK Home Office (2014) reviewed much of what is known about the heroin epidemic of the 1980s and 1990s. Like some of the literature reviewed above, Morgan (2014</w:t>
      </w:r>
      <w:r w:rsidR="003F4D9C" w:rsidRPr="00002445">
        <w:rPr>
          <w:rFonts w:ascii="Times New Roman" w:hAnsi="Times New Roman" w:cs="Times New Roman"/>
        </w:rPr>
        <w:t xml:space="preserve">, </w:t>
      </w:r>
      <w:r w:rsidRPr="00002445">
        <w:rPr>
          <w:rFonts w:ascii="Times New Roman" w:hAnsi="Times New Roman" w:cs="Times New Roman"/>
        </w:rPr>
        <w:t>24) notes that heroin was not used extensively in the UK prior to the 1970s and that those who did use heroin at this time tended to be exclusively located in London and were mainly from middle class backgrounds (citing Parker et al</w:t>
      </w:r>
      <w:r w:rsidR="003F4D9C" w:rsidRPr="00002445">
        <w:rPr>
          <w:rFonts w:ascii="Times New Roman" w:hAnsi="Times New Roman" w:cs="Times New Roman"/>
        </w:rPr>
        <w:t>.,</w:t>
      </w:r>
      <w:r w:rsidRPr="00002445">
        <w:rPr>
          <w:rFonts w:ascii="Times New Roman" w:hAnsi="Times New Roman" w:cs="Times New Roman"/>
        </w:rPr>
        <w:t xml:space="preserve"> 1988 to support this). On the subject of the relationship between heroin use and crime, Morgan argues that the relationship changed around 1977–78, such that there was an increasingly strong relationship between the two due to a new supply route opening up from Iran and Pakistan (Yates, 2002). This new supply route made heroin much easier to import into the UK, in turn making it more affordable and more widely available. The forms of heroin imported from Iran and Pakistan were also easier to consume for novice users, in that it could be smoked rather than injected. This made it more </w:t>
      </w:r>
      <w:r w:rsidRPr="00002445">
        <w:rPr>
          <w:rFonts w:ascii="Times New Roman" w:hAnsi="Times New Roman" w:cs="Times New Roman"/>
        </w:rPr>
        <w:lastRenderedPageBreak/>
        <w:t>accessible to those discouraged from injecting, perhaps supported by the myth that heroin was not addictive if consumed by smoking.</w:t>
      </w:r>
    </w:p>
    <w:p w14:paraId="52C96CAA" w14:textId="3650B6A6" w:rsidR="00496EF6" w:rsidRPr="00002445" w:rsidRDefault="0078610C" w:rsidP="00C74C06">
      <w:pPr>
        <w:pStyle w:val="BodyText"/>
        <w:rPr>
          <w:rFonts w:ascii="Times New Roman" w:hAnsi="Times New Roman" w:cs="Times New Roman"/>
        </w:rPr>
      </w:pPr>
      <w:r w:rsidRPr="00002445">
        <w:rPr>
          <w:rFonts w:ascii="Times New Roman" w:hAnsi="Times New Roman" w:cs="Times New Roman"/>
        </w:rPr>
        <w:t>Overall</w:t>
      </w:r>
      <w:r w:rsidR="0016668C" w:rsidRPr="00002445">
        <w:rPr>
          <w:rFonts w:ascii="Times New Roman" w:hAnsi="Times New Roman" w:cs="Times New Roman"/>
        </w:rPr>
        <w:t>,</w:t>
      </w:r>
      <w:r w:rsidRPr="00002445">
        <w:rPr>
          <w:rFonts w:ascii="Times New Roman" w:hAnsi="Times New Roman" w:cs="Times New Roman"/>
        </w:rPr>
        <w:t xml:space="preserve"> this literature </w:t>
      </w:r>
      <w:r w:rsidR="00061821" w:rsidRPr="00002445">
        <w:rPr>
          <w:rFonts w:ascii="Times New Roman" w:hAnsi="Times New Roman" w:cs="Times New Roman"/>
        </w:rPr>
        <w:t>suggests that up until the late-</w:t>
      </w:r>
      <w:r w:rsidRPr="00002445">
        <w:rPr>
          <w:rFonts w:ascii="Times New Roman" w:hAnsi="Times New Roman" w:cs="Times New Roman"/>
        </w:rPr>
        <w:t xml:space="preserve">1970s heroin users tended to come from the higher social classes. This fits with the narrative that heroin, up to this point, was not as readily available and so heroin </w:t>
      </w:r>
      <w:r w:rsidR="00061821" w:rsidRPr="00002445">
        <w:rPr>
          <w:rFonts w:ascii="Times New Roman" w:hAnsi="Times New Roman" w:cs="Times New Roman"/>
        </w:rPr>
        <w:t xml:space="preserve">users </w:t>
      </w:r>
      <w:r w:rsidRPr="00002445">
        <w:rPr>
          <w:rFonts w:ascii="Times New Roman" w:hAnsi="Times New Roman" w:cs="Times New Roman"/>
        </w:rPr>
        <w:t xml:space="preserve">were more likely to be those of </w:t>
      </w:r>
      <w:r w:rsidR="00061821" w:rsidRPr="00002445">
        <w:rPr>
          <w:rFonts w:ascii="Times New Roman" w:hAnsi="Times New Roman" w:cs="Times New Roman"/>
        </w:rPr>
        <w:t xml:space="preserve">a </w:t>
      </w:r>
      <w:r w:rsidRPr="00002445">
        <w:rPr>
          <w:rFonts w:ascii="Times New Roman" w:hAnsi="Times New Roman" w:cs="Times New Roman"/>
        </w:rPr>
        <w:t>higher social class with the financial resources and physical access to the drug</w:t>
      </w:r>
      <w:r w:rsidR="00061821" w:rsidRPr="00002445">
        <w:rPr>
          <w:rFonts w:ascii="Times New Roman" w:hAnsi="Times New Roman" w:cs="Times New Roman"/>
        </w:rPr>
        <w:t xml:space="preserve">. </w:t>
      </w:r>
    </w:p>
    <w:p w14:paraId="40F67384" w14:textId="77777777" w:rsidR="00DF50B8" w:rsidRPr="00002445" w:rsidRDefault="00DF50B8">
      <w:pPr>
        <w:pStyle w:val="BodyText"/>
        <w:rPr>
          <w:rFonts w:ascii="Times New Roman" w:hAnsi="Times New Roman" w:cs="Times New Roman"/>
        </w:rPr>
      </w:pPr>
    </w:p>
    <w:p w14:paraId="25296FF0" w14:textId="3F884C6B" w:rsidR="00496EF6" w:rsidRPr="00002445" w:rsidRDefault="0078610C">
      <w:pPr>
        <w:pStyle w:val="Heading1"/>
        <w:rPr>
          <w:rFonts w:ascii="Times New Roman" w:hAnsi="Times New Roman" w:cs="Times New Roman"/>
          <w:color w:val="auto"/>
        </w:rPr>
      </w:pPr>
      <w:bookmarkStart w:id="3" w:name="Xbe94c0074e931df46a136503fcb224591b0ddbb"/>
      <w:bookmarkStart w:id="4" w:name="_Hlk145521171"/>
      <w:bookmarkEnd w:id="2"/>
      <w:r w:rsidRPr="00002445">
        <w:rPr>
          <w:rStyle w:val="SectionNumber"/>
          <w:rFonts w:ascii="Times New Roman" w:hAnsi="Times New Roman" w:cs="Times New Roman"/>
          <w:color w:val="auto"/>
        </w:rPr>
        <w:t>3</w:t>
      </w:r>
      <w:r w:rsidRPr="00002445">
        <w:rPr>
          <w:rFonts w:ascii="Times New Roman" w:hAnsi="Times New Roman" w:cs="Times New Roman"/>
          <w:color w:val="auto"/>
        </w:rPr>
        <w:tab/>
      </w:r>
      <w:bookmarkStart w:id="5" w:name="critique"/>
      <w:bookmarkEnd w:id="3"/>
      <w:r w:rsidRPr="00002445">
        <w:rPr>
          <w:rFonts w:ascii="Times New Roman" w:hAnsi="Times New Roman" w:cs="Times New Roman"/>
          <w:color w:val="auto"/>
        </w:rPr>
        <w:t>Critique</w:t>
      </w:r>
    </w:p>
    <w:bookmarkEnd w:id="4"/>
    <w:p w14:paraId="5B2C6B42" w14:textId="0C443D08" w:rsidR="00496EF6" w:rsidRPr="00002445" w:rsidRDefault="0078610C">
      <w:pPr>
        <w:pStyle w:val="FirstParagraph"/>
        <w:rPr>
          <w:rFonts w:ascii="Times New Roman" w:hAnsi="Times New Roman" w:cs="Times New Roman"/>
        </w:rPr>
      </w:pPr>
      <w:r w:rsidRPr="00002445">
        <w:rPr>
          <w:rFonts w:ascii="Times New Roman" w:hAnsi="Times New Roman" w:cs="Times New Roman"/>
        </w:rPr>
        <w:t xml:space="preserve">The studies discussed </w:t>
      </w:r>
      <w:r w:rsidR="007C1A3A" w:rsidRPr="00002445">
        <w:rPr>
          <w:rFonts w:ascii="Times New Roman" w:hAnsi="Times New Roman" w:cs="Times New Roman"/>
        </w:rPr>
        <w:t>above</w:t>
      </w:r>
      <w:r w:rsidRPr="00002445">
        <w:rPr>
          <w:rFonts w:ascii="Times New Roman" w:hAnsi="Times New Roman" w:cs="Times New Roman"/>
        </w:rPr>
        <w:t xml:space="preserve"> undoubtedly had to grapple with the reality of drug use and the </w:t>
      </w:r>
      <w:r w:rsidR="002F6C65" w:rsidRPr="00002445">
        <w:rPr>
          <w:rFonts w:ascii="Times New Roman" w:hAnsi="Times New Roman" w:cs="Times New Roman"/>
        </w:rPr>
        <w:t>sometimes-chaotic</w:t>
      </w:r>
      <w:r w:rsidRPr="00002445">
        <w:rPr>
          <w:rFonts w:ascii="Times New Roman" w:hAnsi="Times New Roman" w:cs="Times New Roman"/>
        </w:rPr>
        <w:t xml:space="preserve"> lives of drug users in their study designs. Nevertheless, </w:t>
      </w:r>
      <w:r w:rsidR="002F6C65" w:rsidRPr="00002445">
        <w:rPr>
          <w:rFonts w:ascii="Times New Roman" w:hAnsi="Times New Roman" w:cs="Times New Roman"/>
        </w:rPr>
        <w:t>several</w:t>
      </w:r>
      <w:r w:rsidRPr="00002445">
        <w:rPr>
          <w:rFonts w:ascii="Times New Roman" w:hAnsi="Times New Roman" w:cs="Times New Roman"/>
        </w:rPr>
        <w:t xml:space="preserve"> gaps emerge</w:t>
      </w:r>
      <w:r w:rsidR="006A2E3D" w:rsidRPr="00002445">
        <w:rPr>
          <w:rFonts w:ascii="Times New Roman" w:hAnsi="Times New Roman" w:cs="Times New Roman"/>
        </w:rPr>
        <w:t>,</w:t>
      </w:r>
      <w:r w:rsidRPr="00002445">
        <w:rPr>
          <w:rFonts w:ascii="Times New Roman" w:hAnsi="Times New Roman" w:cs="Times New Roman"/>
        </w:rPr>
        <w:t xml:space="preserve"> which we outline now. The major critiques which we extend, and attempt to respond to, focus on: the dominant behaviouralist explanations employed; the relative paucity of studies of the long</w:t>
      </w:r>
      <w:r w:rsidR="007C1A3A" w:rsidRPr="00002445">
        <w:rPr>
          <w:rFonts w:ascii="Times New Roman" w:hAnsi="Times New Roman" w:cs="Times New Roman"/>
        </w:rPr>
        <w:t>-</w:t>
      </w:r>
      <w:r w:rsidRPr="00002445">
        <w:rPr>
          <w:rFonts w:ascii="Times New Roman" w:hAnsi="Times New Roman" w:cs="Times New Roman"/>
        </w:rPr>
        <w:t xml:space="preserve">term </w:t>
      </w:r>
      <w:r w:rsidR="007C1A3A" w:rsidRPr="00002445">
        <w:rPr>
          <w:rFonts w:ascii="Times New Roman" w:hAnsi="Times New Roman" w:cs="Times New Roman"/>
        </w:rPr>
        <w:t xml:space="preserve">heroin </w:t>
      </w:r>
      <w:r w:rsidRPr="00002445">
        <w:rPr>
          <w:rFonts w:ascii="Times New Roman" w:hAnsi="Times New Roman" w:cs="Times New Roman"/>
        </w:rPr>
        <w:t xml:space="preserve">use or the outcomes associated with its usage; and the </w:t>
      </w:r>
      <w:r w:rsidR="007C1A3A" w:rsidRPr="00002445">
        <w:rPr>
          <w:rFonts w:ascii="Times New Roman" w:hAnsi="Times New Roman" w:cs="Times New Roman"/>
        </w:rPr>
        <w:t>scarcity</w:t>
      </w:r>
      <w:r w:rsidRPr="00002445">
        <w:rPr>
          <w:rFonts w:ascii="Times New Roman" w:hAnsi="Times New Roman" w:cs="Times New Roman"/>
        </w:rPr>
        <w:t xml:space="preserve"> of high–quality long–term data relating to both heroin use and it</w:t>
      </w:r>
      <w:r w:rsidR="007C1A3A" w:rsidRPr="00002445">
        <w:rPr>
          <w:rFonts w:ascii="Times New Roman" w:hAnsi="Times New Roman" w:cs="Times New Roman"/>
        </w:rPr>
        <w:t>s effects</w:t>
      </w:r>
      <w:r w:rsidRPr="00002445">
        <w:rPr>
          <w:rFonts w:ascii="Times New Roman" w:hAnsi="Times New Roman" w:cs="Times New Roman"/>
        </w:rPr>
        <w:t>.</w:t>
      </w:r>
    </w:p>
    <w:p w14:paraId="49649EC7" w14:textId="58343D52" w:rsidR="00496EF6" w:rsidRPr="00002445" w:rsidRDefault="00C74C06">
      <w:pPr>
        <w:pStyle w:val="BodyText"/>
        <w:rPr>
          <w:rFonts w:ascii="Times New Roman" w:hAnsi="Times New Roman" w:cs="Times New Roman"/>
        </w:rPr>
      </w:pPr>
      <w:r w:rsidRPr="00002445">
        <w:rPr>
          <w:rFonts w:ascii="Times New Roman" w:hAnsi="Times New Roman" w:cs="Times New Roman"/>
        </w:rPr>
        <w:t>First, on the dominance of behavio</w:t>
      </w:r>
      <w:r w:rsidR="00002445" w:rsidRPr="00002445">
        <w:rPr>
          <w:rFonts w:ascii="Times New Roman" w:hAnsi="Times New Roman" w:cs="Times New Roman"/>
        </w:rPr>
        <w:t>u</w:t>
      </w:r>
      <w:r w:rsidRPr="00002445">
        <w:rPr>
          <w:rFonts w:ascii="Times New Roman" w:hAnsi="Times New Roman" w:cs="Times New Roman"/>
        </w:rPr>
        <w:t>ralism, we know that deviant behavio</w:t>
      </w:r>
      <w:r w:rsidR="006A2E3D" w:rsidRPr="00002445">
        <w:rPr>
          <w:rFonts w:ascii="Times New Roman" w:hAnsi="Times New Roman" w:cs="Times New Roman"/>
        </w:rPr>
        <w:t>u</w:t>
      </w:r>
      <w:r w:rsidRPr="00002445">
        <w:rPr>
          <w:rFonts w:ascii="Times New Roman" w:hAnsi="Times New Roman" w:cs="Times New Roman"/>
        </w:rPr>
        <w:t>r is not simply a result of individual choices, but strongly affected by social structure and policies. With regards to truancy</w:t>
      </w:r>
      <w:r w:rsidR="006A2E3D" w:rsidRPr="00002445">
        <w:rPr>
          <w:rFonts w:ascii="Times New Roman" w:hAnsi="Times New Roman" w:cs="Times New Roman"/>
        </w:rPr>
        <w:t xml:space="preserve"> from school</w:t>
      </w:r>
      <w:r w:rsidRPr="00002445">
        <w:rPr>
          <w:rFonts w:ascii="Times New Roman" w:hAnsi="Times New Roman" w:cs="Times New Roman"/>
        </w:rPr>
        <w:t xml:space="preserve">, for instance, Carlen and colleagues </w:t>
      </w:r>
      <w:r w:rsidR="0078610C" w:rsidRPr="00002445">
        <w:rPr>
          <w:rFonts w:ascii="Times New Roman" w:hAnsi="Times New Roman" w:cs="Times New Roman"/>
        </w:rPr>
        <w:t>(Carlen et al</w:t>
      </w:r>
      <w:r w:rsidR="00233604" w:rsidRPr="00002445">
        <w:rPr>
          <w:rFonts w:ascii="Times New Roman" w:hAnsi="Times New Roman" w:cs="Times New Roman"/>
        </w:rPr>
        <w:t>.</w:t>
      </w:r>
      <w:r w:rsidR="0078610C" w:rsidRPr="00002445">
        <w:rPr>
          <w:rFonts w:ascii="Times New Roman" w:hAnsi="Times New Roman" w:cs="Times New Roman"/>
        </w:rPr>
        <w:t>, 1992; Gleeson, 1994; and, more recently, Farrall et al</w:t>
      </w:r>
      <w:r w:rsidR="00233604" w:rsidRPr="00002445">
        <w:rPr>
          <w:rFonts w:ascii="Times New Roman" w:hAnsi="Times New Roman" w:cs="Times New Roman"/>
        </w:rPr>
        <w:t>.</w:t>
      </w:r>
      <w:r w:rsidR="0078610C" w:rsidRPr="00002445">
        <w:rPr>
          <w:rFonts w:ascii="Times New Roman" w:hAnsi="Times New Roman" w:cs="Times New Roman"/>
        </w:rPr>
        <w:t>, 2019</w:t>
      </w:r>
      <w:r w:rsidR="008F7A41">
        <w:rPr>
          <w:rFonts w:ascii="Times New Roman" w:hAnsi="Times New Roman" w:cs="Times New Roman"/>
        </w:rPr>
        <w:t>a</w:t>
      </w:r>
      <w:r w:rsidR="0078610C" w:rsidRPr="00002445">
        <w:rPr>
          <w:rFonts w:ascii="Times New Roman" w:hAnsi="Times New Roman" w:cs="Times New Roman"/>
        </w:rPr>
        <w:t>) highlight the role of policy</w:t>
      </w:r>
      <w:r w:rsidR="00233604" w:rsidRPr="00002445">
        <w:rPr>
          <w:rFonts w:ascii="Times New Roman" w:hAnsi="Times New Roman" w:cs="Times New Roman"/>
        </w:rPr>
        <w:t>-</w:t>
      </w:r>
      <w:r w:rsidR="0078610C" w:rsidRPr="00002445">
        <w:rPr>
          <w:rFonts w:ascii="Times New Roman" w:hAnsi="Times New Roman" w:cs="Times New Roman"/>
        </w:rPr>
        <w:t>making and political discourses in understanding individual</w:t>
      </w:r>
      <w:r w:rsidR="00233604" w:rsidRPr="00002445">
        <w:rPr>
          <w:rFonts w:ascii="Times New Roman" w:hAnsi="Times New Roman" w:cs="Times New Roman"/>
        </w:rPr>
        <w:t>-</w:t>
      </w:r>
      <w:r w:rsidR="0078610C" w:rsidRPr="00002445">
        <w:rPr>
          <w:rFonts w:ascii="Times New Roman" w:hAnsi="Times New Roman" w:cs="Times New Roman"/>
        </w:rPr>
        <w:t>level behaviours. Carlen et al</w:t>
      </w:r>
      <w:r w:rsidR="00233604" w:rsidRPr="00002445">
        <w:rPr>
          <w:rFonts w:ascii="Times New Roman" w:hAnsi="Times New Roman" w:cs="Times New Roman"/>
        </w:rPr>
        <w:t>.</w:t>
      </w:r>
      <w:r w:rsidR="0078610C" w:rsidRPr="00002445">
        <w:rPr>
          <w:rFonts w:ascii="Times New Roman" w:hAnsi="Times New Roman" w:cs="Times New Roman"/>
        </w:rPr>
        <w:t>’s work is an attempt to throw light on the structural causes of truancy as a counterpoint to the more common focus on individual</w:t>
      </w:r>
      <w:r w:rsidR="006A2E3D" w:rsidRPr="00002445">
        <w:rPr>
          <w:rFonts w:ascii="Times New Roman" w:hAnsi="Times New Roman" w:cs="Times New Roman"/>
        </w:rPr>
        <w:t>-</w:t>
      </w:r>
      <w:r w:rsidR="0078610C" w:rsidRPr="00002445">
        <w:rPr>
          <w:rFonts w:ascii="Times New Roman" w:hAnsi="Times New Roman" w:cs="Times New Roman"/>
        </w:rPr>
        <w:t xml:space="preserve">level failings. As Gleeson argues, the problem with behaviouralist explanations is that they “…purport to explain truancy in psychological terms, </w:t>
      </w:r>
      <w:r w:rsidR="00837AFB" w:rsidRPr="00002445">
        <w:rPr>
          <w:rFonts w:ascii="Times New Roman" w:hAnsi="Times New Roman" w:cs="Times New Roman"/>
        </w:rPr>
        <w:t xml:space="preserve">[but] </w:t>
      </w:r>
      <w:r w:rsidR="0078610C" w:rsidRPr="00002445">
        <w:rPr>
          <w:rFonts w:ascii="Times New Roman" w:hAnsi="Times New Roman" w:cs="Times New Roman"/>
        </w:rPr>
        <w:t>do little more than pathologise such stereotypes, fixing them in popular myt</w:t>
      </w:r>
      <w:r w:rsidR="007C1A3A" w:rsidRPr="00002445">
        <w:rPr>
          <w:rFonts w:ascii="Times New Roman" w:hAnsi="Times New Roman" w:cs="Times New Roman"/>
        </w:rPr>
        <w:t>h” (1994</w:t>
      </w:r>
      <w:r w:rsidR="00272A81" w:rsidRPr="00002445">
        <w:rPr>
          <w:rFonts w:ascii="Times New Roman" w:hAnsi="Times New Roman" w:cs="Times New Roman"/>
        </w:rPr>
        <w:t xml:space="preserve">, </w:t>
      </w:r>
      <w:r w:rsidR="0078610C" w:rsidRPr="00002445">
        <w:rPr>
          <w:rFonts w:ascii="Times New Roman" w:hAnsi="Times New Roman" w:cs="Times New Roman"/>
        </w:rPr>
        <w:t>16).</w:t>
      </w:r>
    </w:p>
    <w:p w14:paraId="6A08B78E" w14:textId="2EBB0825" w:rsidR="004D7680" w:rsidRPr="00002445" w:rsidRDefault="0078610C" w:rsidP="00C74C06">
      <w:pPr>
        <w:pStyle w:val="BodyText"/>
        <w:rPr>
          <w:rFonts w:ascii="Times New Roman" w:hAnsi="Times New Roman" w:cs="Times New Roman"/>
        </w:rPr>
      </w:pPr>
      <w:r w:rsidRPr="00002445">
        <w:rPr>
          <w:rFonts w:ascii="Times New Roman" w:hAnsi="Times New Roman" w:cs="Times New Roman"/>
        </w:rPr>
        <w:t>Indeed, Carlen et al</w:t>
      </w:r>
      <w:r w:rsidR="00233604" w:rsidRPr="00002445">
        <w:rPr>
          <w:rFonts w:ascii="Times New Roman" w:hAnsi="Times New Roman" w:cs="Times New Roman"/>
        </w:rPr>
        <w:t>.</w:t>
      </w:r>
      <w:r w:rsidRPr="00002445">
        <w:rPr>
          <w:rFonts w:ascii="Times New Roman" w:hAnsi="Times New Roman" w:cs="Times New Roman"/>
        </w:rPr>
        <w:t xml:space="preserve"> (1992) argue that psychological and behaviouralist explanations ignore “the political, economic and educational consequences of government policy which condition </w:t>
      </w:r>
      <w:r w:rsidR="007C1A3A" w:rsidRPr="00002445">
        <w:rPr>
          <w:rFonts w:ascii="Times New Roman" w:hAnsi="Times New Roman" w:cs="Times New Roman"/>
        </w:rPr>
        <w:t>such behaviour” (Gleeson, 1994</w:t>
      </w:r>
      <w:r w:rsidR="00272A81" w:rsidRPr="00002445">
        <w:rPr>
          <w:rFonts w:ascii="Times New Roman" w:hAnsi="Times New Roman" w:cs="Times New Roman"/>
        </w:rPr>
        <w:t xml:space="preserve">, </w:t>
      </w:r>
      <w:r w:rsidRPr="00002445">
        <w:rPr>
          <w:rFonts w:ascii="Times New Roman" w:hAnsi="Times New Roman" w:cs="Times New Roman"/>
        </w:rPr>
        <w:t>16). As such, studies such as those by Carlen et al</w:t>
      </w:r>
      <w:r w:rsidR="00272A81" w:rsidRPr="00002445">
        <w:rPr>
          <w:rFonts w:ascii="Times New Roman" w:hAnsi="Times New Roman" w:cs="Times New Roman"/>
        </w:rPr>
        <w:t>.</w:t>
      </w:r>
      <w:r w:rsidRPr="00002445">
        <w:rPr>
          <w:rFonts w:ascii="Times New Roman" w:hAnsi="Times New Roman" w:cs="Times New Roman"/>
        </w:rPr>
        <w:t xml:space="preserve"> </w:t>
      </w:r>
      <w:r w:rsidR="00151DC7" w:rsidRPr="00002445">
        <w:rPr>
          <w:rFonts w:ascii="Times New Roman" w:hAnsi="Times New Roman" w:cs="Times New Roman"/>
        </w:rPr>
        <w:t xml:space="preserve">(1992) </w:t>
      </w:r>
      <w:r w:rsidRPr="00002445">
        <w:rPr>
          <w:rFonts w:ascii="Times New Roman" w:hAnsi="Times New Roman" w:cs="Times New Roman"/>
        </w:rPr>
        <w:t>and Farrall et al</w:t>
      </w:r>
      <w:r w:rsidR="00233604" w:rsidRPr="00002445">
        <w:rPr>
          <w:rFonts w:ascii="Times New Roman" w:hAnsi="Times New Roman" w:cs="Times New Roman"/>
        </w:rPr>
        <w:t>.</w:t>
      </w:r>
      <w:r w:rsidRPr="00002445">
        <w:rPr>
          <w:rFonts w:ascii="Times New Roman" w:hAnsi="Times New Roman" w:cs="Times New Roman"/>
        </w:rPr>
        <w:t xml:space="preserve"> </w:t>
      </w:r>
      <w:r w:rsidR="00151DC7" w:rsidRPr="00002445">
        <w:rPr>
          <w:rFonts w:ascii="Times New Roman" w:hAnsi="Times New Roman" w:cs="Times New Roman"/>
        </w:rPr>
        <w:t>(2019</w:t>
      </w:r>
      <w:r w:rsidR="008F7A41">
        <w:rPr>
          <w:rFonts w:ascii="Times New Roman" w:hAnsi="Times New Roman" w:cs="Times New Roman"/>
        </w:rPr>
        <w:t>a</w:t>
      </w:r>
      <w:r w:rsidR="00151DC7" w:rsidRPr="00002445">
        <w:rPr>
          <w:rFonts w:ascii="Times New Roman" w:hAnsi="Times New Roman" w:cs="Times New Roman"/>
        </w:rPr>
        <w:t xml:space="preserve">) </w:t>
      </w:r>
      <w:r w:rsidRPr="00002445">
        <w:rPr>
          <w:rFonts w:ascii="Times New Roman" w:hAnsi="Times New Roman" w:cs="Times New Roman"/>
        </w:rPr>
        <w:t xml:space="preserve">highlight the fact that previous research into the causes of truancy from school have overlooked the effects of recession, unemployment and social security cuts on the labour market, communities, schools, parents and pupils, and instead favour a more atomistic approach. </w:t>
      </w:r>
      <w:r w:rsidR="006A2E3D" w:rsidRPr="00002445">
        <w:rPr>
          <w:rFonts w:ascii="Times New Roman" w:hAnsi="Times New Roman" w:cs="Times New Roman"/>
        </w:rPr>
        <w:t xml:space="preserve">Reflecting this criticism, our </w:t>
      </w:r>
      <w:r w:rsidRPr="00002445">
        <w:rPr>
          <w:rFonts w:ascii="Times New Roman" w:hAnsi="Times New Roman" w:cs="Times New Roman"/>
        </w:rPr>
        <w:t>approach here is to attempt to understand the decision to start taking drugs such as heroin as, in part, a function of both socio</w:t>
      </w:r>
      <w:r w:rsidR="006A2E3D" w:rsidRPr="00002445">
        <w:rPr>
          <w:rFonts w:ascii="Times New Roman" w:hAnsi="Times New Roman" w:cs="Times New Roman"/>
        </w:rPr>
        <w:t>-</w:t>
      </w:r>
      <w:r w:rsidRPr="00002445">
        <w:rPr>
          <w:rFonts w:ascii="Times New Roman" w:hAnsi="Times New Roman" w:cs="Times New Roman"/>
        </w:rPr>
        <w:t>economic class and historical ‘moment’.</w:t>
      </w:r>
      <w:r w:rsidR="00C74C06" w:rsidRPr="00002445">
        <w:rPr>
          <w:rFonts w:ascii="Times New Roman" w:hAnsi="Times New Roman" w:cs="Times New Roman"/>
        </w:rPr>
        <w:t xml:space="preserve"> </w:t>
      </w:r>
    </w:p>
    <w:p w14:paraId="5A7EA1C1" w14:textId="77777777" w:rsidR="000F5BA7" w:rsidRPr="00002445" w:rsidRDefault="004D7680" w:rsidP="00C74C06">
      <w:pPr>
        <w:pStyle w:val="BodyText"/>
        <w:rPr>
          <w:rFonts w:ascii="Times New Roman" w:hAnsi="Times New Roman" w:cs="Times New Roman"/>
        </w:rPr>
      </w:pPr>
      <w:r w:rsidRPr="00002445">
        <w:rPr>
          <w:rFonts w:ascii="Times New Roman" w:hAnsi="Times New Roman" w:cs="Times New Roman"/>
        </w:rPr>
        <w:t xml:space="preserve">Secondly, there are few studies which have developed insights into long-term use </w:t>
      </w:r>
      <w:r w:rsidR="006A2E3D" w:rsidRPr="00002445">
        <w:rPr>
          <w:rFonts w:ascii="Times New Roman" w:hAnsi="Times New Roman" w:cs="Times New Roman"/>
        </w:rPr>
        <w:t xml:space="preserve">of heroin </w:t>
      </w:r>
      <w:r w:rsidRPr="00002445">
        <w:rPr>
          <w:rFonts w:ascii="Times New Roman" w:hAnsi="Times New Roman" w:cs="Times New Roman"/>
        </w:rPr>
        <w:t xml:space="preserve">or the outcomes associated with it in the UK and which use an objective or consistent measure of social class. This therefore hampers the full assessment of the relationship between social class and heroin use over time. </w:t>
      </w:r>
    </w:p>
    <w:p w14:paraId="6B35E1EF" w14:textId="77777777" w:rsidR="00233604" w:rsidRPr="00002445" w:rsidRDefault="004D7680" w:rsidP="00C74C06">
      <w:pPr>
        <w:pStyle w:val="BodyText"/>
        <w:rPr>
          <w:rFonts w:ascii="Times New Roman" w:hAnsi="Times New Roman" w:cs="Times New Roman"/>
        </w:rPr>
      </w:pPr>
      <w:r w:rsidRPr="00002445">
        <w:rPr>
          <w:rFonts w:ascii="Times New Roman" w:hAnsi="Times New Roman" w:cs="Times New Roman"/>
        </w:rPr>
        <w:t>Thirdly, there is a scarcity of high-quality data</w:t>
      </w:r>
      <w:r w:rsidR="000F5BA7" w:rsidRPr="00002445">
        <w:rPr>
          <w:rFonts w:ascii="Times New Roman" w:hAnsi="Times New Roman" w:cs="Times New Roman"/>
        </w:rPr>
        <w:t xml:space="preserve">. Most of the studies rely on samples which are </w:t>
      </w:r>
      <w:r w:rsidR="000F5BA7" w:rsidRPr="00002445">
        <w:rPr>
          <w:rFonts w:ascii="Times New Roman" w:hAnsi="Times New Roman" w:cs="Times New Roman"/>
          <w:i/>
          <w:iCs/>
        </w:rPr>
        <w:t>not</w:t>
      </w:r>
      <w:r w:rsidR="000F5BA7" w:rsidRPr="00002445">
        <w:rPr>
          <w:rFonts w:ascii="Times New Roman" w:hAnsi="Times New Roman" w:cs="Times New Roman"/>
        </w:rPr>
        <w:t xml:space="preserve"> </w:t>
      </w:r>
      <w:r w:rsidRPr="00002445">
        <w:rPr>
          <w:rFonts w:ascii="Times New Roman" w:hAnsi="Times New Roman" w:cs="Times New Roman"/>
        </w:rPr>
        <w:t>nationally representative</w:t>
      </w:r>
      <w:r w:rsidR="000F5BA7" w:rsidRPr="00002445">
        <w:rPr>
          <w:rFonts w:ascii="Times New Roman" w:hAnsi="Times New Roman" w:cs="Times New Roman"/>
        </w:rPr>
        <w:t xml:space="preserve"> or which were </w:t>
      </w:r>
      <w:r w:rsidR="005F60BF" w:rsidRPr="00002445">
        <w:rPr>
          <w:rFonts w:ascii="Times New Roman" w:hAnsi="Times New Roman" w:cs="Times New Roman"/>
        </w:rPr>
        <w:t xml:space="preserve">not </w:t>
      </w:r>
      <w:r w:rsidR="000F5BA7" w:rsidRPr="00002445">
        <w:rPr>
          <w:rFonts w:ascii="Times New Roman" w:hAnsi="Times New Roman" w:cs="Times New Roman"/>
        </w:rPr>
        <w:t xml:space="preserve">followed up for very </w:t>
      </w:r>
      <w:r w:rsidR="005F60BF" w:rsidRPr="00002445">
        <w:rPr>
          <w:rFonts w:ascii="Times New Roman" w:hAnsi="Times New Roman" w:cs="Times New Roman"/>
        </w:rPr>
        <w:t>long</w:t>
      </w:r>
      <w:r w:rsidR="000F5BA7" w:rsidRPr="00002445">
        <w:rPr>
          <w:rFonts w:ascii="Times New Roman" w:hAnsi="Times New Roman" w:cs="Times New Roman"/>
        </w:rPr>
        <w:t>,</w:t>
      </w:r>
      <w:r w:rsidRPr="00002445">
        <w:rPr>
          <w:rFonts w:ascii="Times New Roman" w:hAnsi="Times New Roman" w:cs="Times New Roman"/>
        </w:rPr>
        <w:t xml:space="preserve"> which were collected via treatment centres or from within the criminal justice system, </w:t>
      </w:r>
      <w:r w:rsidR="000F5BA7" w:rsidRPr="00002445">
        <w:rPr>
          <w:rFonts w:ascii="Times New Roman" w:hAnsi="Times New Roman" w:cs="Times New Roman"/>
        </w:rPr>
        <w:t xml:space="preserve">both of </w:t>
      </w:r>
      <w:r w:rsidRPr="00002445">
        <w:rPr>
          <w:rFonts w:ascii="Times New Roman" w:hAnsi="Times New Roman" w:cs="Times New Roman"/>
        </w:rPr>
        <w:t>which ha</w:t>
      </w:r>
      <w:r w:rsidR="000F5BA7" w:rsidRPr="00002445">
        <w:rPr>
          <w:rFonts w:ascii="Times New Roman" w:hAnsi="Times New Roman" w:cs="Times New Roman"/>
        </w:rPr>
        <w:t>ve</w:t>
      </w:r>
      <w:r w:rsidRPr="00002445">
        <w:rPr>
          <w:rFonts w:ascii="Times New Roman" w:hAnsi="Times New Roman" w:cs="Times New Roman"/>
        </w:rPr>
        <w:t xml:space="preserve"> biases in arrest and sentencing outcomes</w:t>
      </w:r>
      <w:r w:rsidR="000F5BA7" w:rsidRPr="00002445">
        <w:rPr>
          <w:rFonts w:ascii="Times New Roman" w:hAnsi="Times New Roman" w:cs="Times New Roman"/>
        </w:rPr>
        <w:t xml:space="preserve">, or </w:t>
      </w:r>
      <w:r w:rsidR="005F60BF" w:rsidRPr="00002445">
        <w:rPr>
          <w:rFonts w:ascii="Times New Roman" w:hAnsi="Times New Roman" w:cs="Times New Roman"/>
        </w:rPr>
        <w:t xml:space="preserve">which </w:t>
      </w:r>
      <w:r w:rsidR="000F5BA7" w:rsidRPr="00002445">
        <w:rPr>
          <w:rFonts w:ascii="Times New Roman" w:hAnsi="Times New Roman" w:cs="Times New Roman"/>
        </w:rPr>
        <w:t>relied on snow-ball sampling</w:t>
      </w:r>
      <w:r w:rsidRPr="00002445">
        <w:rPr>
          <w:rFonts w:ascii="Times New Roman" w:hAnsi="Times New Roman" w:cs="Times New Roman"/>
        </w:rPr>
        <w:t xml:space="preserve">. </w:t>
      </w:r>
    </w:p>
    <w:p w14:paraId="63FD1E29" w14:textId="10F7455D" w:rsidR="00C74C06" w:rsidRPr="00002445" w:rsidRDefault="00233604" w:rsidP="00C74C06">
      <w:pPr>
        <w:pStyle w:val="BodyText"/>
        <w:rPr>
          <w:rFonts w:ascii="Times New Roman" w:hAnsi="Times New Roman" w:cs="Times New Roman"/>
        </w:rPr>
      </w:pPr>
      <w:r w:rsidRPr="00002445">
        <w:rPr>
          <w:rFonts w:ascii="Times New Roman" w:hAnsi="Times New Roman" w:cs="Times New Roman"/>
        </w:rPr>
        <w:lastRenderedPageBreak/>
        <w:t xml:space="preserve">In sum, </w:t>
      </w:r>
      <w:r w:rsidR="00C74C06" w:rsidRPr="00002445">
        <w:rPr>
          <w:rFonts w:ascii="Times New Roman" w:hAnsi="Times New Roman" w:cs="Times New Roman"/>
        </w:rPr>
        <w:t xml:space="preserve">there are few studies which have: </w:t>
      </w:r>
    </w:p>
    <w:p w14:paraId="007AE57D" w14:textId="42A92FF6" w:rsidR="00C74C06" w:rsidRPr="00002445" w:rsidRDefault="00C74C06" w:rsidP="00C74C06">
      <w:pPr>
        <w:pStyle w:val="BodyText"/>
        <w:numPr>
          <w:ilvl w:val="0"/>
          <w:numId w:val="5"/>
        </w:numPr>
        <w:rPr>
          <w:rFonts w:ascii="Times New Roman" w:hAnsi="Times New Roman" w:cs="Times New Roman"/>
        </w:rPr>
      </w:pPr>
      <w:r w:rsidRPr="00002445">
        <w:rPr>
          <w:rFonts w:ascii="Times New Roman" w:hAnsi="Times New Roman" w:cs="Times New Roman"/>
        </w:rPr>
        <w:t xml:space="preserve">explored </w:t>
      </w:r>
      <w:r w:rsidR="006A2E3D" w:rsidRPr="00002445">
        <w:rPr>
          <w:rFonts w:ascii="Times New Roman" w:hAnsi="Times New Roman" w:cs="Times New Roman"/>
        </w:rPr>
        <w:t xml:space="preserve">how macro developments such as </w:t>
      </w:r>
      <w:r w:rsidR="006A2E3D" w:rsidRPr="00002445">
        <w:rPr>
          <w:rFonts w:ascii="Times New Roman" w:hAnsi="Times New Roman" w:cs="Times New Roman"/>
          <w:i/>
        </w:rPr>
        <w:t>economic inequality</w:t>
      </w:r>
      <w:r w:rsidR="006A2E3D" w:rsidRPr="00002445">
        <w:rPr>
          <w:rFonts w:ascii="Times New Roman" w:hAnsi="Times New Roman" w:cs="Times New Roman"/>
        </w:rPr>
        <w:t xml:space="preserve"> and </w:t>
      </w:r>
      <w:r w:rsidRPr="00002445">
        <w:rPr>
          <w:rFonts w:ascii="Times New Roman" w:hAnsi="Times New Roman" w:cs="Times New Roman"/>
          <w:i/>
          <w:iCs/>
        </w:rPr>
        <w:t xml:space="preserve">social class </w:t>
      </w:r>
      <w:r w:rsidR="006A2E3D" w:rsidRPr="00002445">
        <w:rPr>
          <w:rFonts w:ascii="Times New Roman" w:hAnsi="Times New Roman" w:cs="Times New Roman"/>
          <w:iCs/>
        </w:rPr>
        <w:t>are correlated with</w:t>
      </w:r>
      <w:r w:rsidRPr="00002445">
        <w:rPr>
          <w:rFonts w:ascii="Times New Roman" w:hAnsi="Times New Roman" w:cs="Times New Roman"/>
          <w:i/>
          <w:iCs/>
        </w:rPr>
        <w:t xml:space="preserve"> heroin use</w:t>
      </w:r>
      <w:r w:rsidRPr="00002445">
        <w:rPr>
          <w:rFonts w:ascii="Times New Roman" w:hAnsi="Times New Roman" w:cs="Times New Roman"/>
        </w:rPr>
        <w:t xml:space="preserve"> and the extent to which this may or may not have changed over time; </w:t>
      </w:r>
    </w:p>
    <w:p w14:paraId="05C290AE" w14:textId="2AA17D33" w:rsidR="00C74C06" w:rsidRPr="00002445" w:rsidRDefault="00C74C06" w:rsidP="00C74C06">
      <w:pPr>
        <w:pStyle w:val="BodyText"/>
        <w:numPr>
          <w:ilvl w:val="0"/>
          <w:numId w:val="5"/>
        </w:numPr>
        <w:rPr>
          <w:rFonts w:ascii="Times New Roman" w:hAnsi="Times New Roman" w:cs="Times New Roman"/>
        </w:rPr>
      </w:pPr>
      <w:r w:rsidRPr="00002445">
        <w:rPr>
          <w:rFonts w:ascii="Times New Roman" w:hAnsi="Times New Roman" w:cs="Times New Roman"/>
        </w:rPr>
        <w:t xml:space="preserve">relied on </w:t>
      </w:r>
      <w:r w:rsidRPr="00002445">
        <w:rPr>
          <w:rFonts w:ascii="Times New Roman" w:hAnsi="Times New Roman" w:cs="Times New Roman"/>
          <w:i/>
          <w:iCs/>
        </w:rPr>
        <w:t>nationally</w:t>
      </w:r>
      <w:r w:rsidR="006A2E3D" w:rsidRPr="00002445">
        <w:rPr>
          <w:rFonts w:ascii="Times New Roman" w:hAnsi="Times New Roman" w:cs="Times New Roman"/>
          <w:i/>
          <w:iCs/>
        </w:rPr>
        <w:t>-</w:t>
      </w:r>
      <w:r w:rsidRPr="00002445">
        <w:rPr>
          <w:rFonts w:ascii="Times New Roman" w:hAnsi="Times New Roman" w:cs="Times New Roman"/>
          <w:i/>
          <w:iCs/>
        </w:rPr>
        <w:t>representative studies</w:t>
      </w:r>
      <w:r w:rsidRPr="00002445">
        <w:rPr>
          <w:rFonts w:ascii="Times New Roman" w:hAnsi="Times New Roman" w:cs="Times New Roman"/>
        </w:rPr>
        <w:t xml:space="preserve">; or </w:t>
      </w:r>
    </w:p>
    <w:p w14:paraId="14351365" w14:textId="104CC474" w:rsidR="00C74C06" w:rsidRPr="00002445" w:rsidRDefault="00C74C06" w:rsidP="00C74C06">
      <w:pPr>
        <w:pStyle w:val="BodyText"/>
        <w:numPr>
          <w:ilvl w:val="0"/>
          <w:numId w:val="5"/>
        </w:numPr>
        <w:rPr>
          <w:rFonts w:ascii="Times New Roman" w:hAnsi="Times New Roman" w:cs="Times New Roman"/>
        </w:rPr>
      </w:pPr>
      <w:r w:rsidRPr="00002445">
        <w:rPr>
          <w:rFonts w:ascii="Times New Roman" w:hAnsi="Times New Roman" w:cs="Times New Roman"/>
        </w:rPr>
        <w:t>conducted a follow</w:t>
      </w:r>
      <w:r w:rsidR="006A2E3D" w:rsidRPr="00002445">
        <w:rPr>
          <w:rFonts w:ascii="Times New Roman" w:hAnsi="Times New Roman" w:cs="Times New Roman"/>
        </w:rPr>
        <w:t>-</w:t>
      </w:r>
      <w:r w:rsidRPr="00002445">
        <w:rPr>
          <w:rFonts w:ascii="Times New Roman" w:hAnsi="Times New Roman" w:cs="Times New Roman"/>
        </w:rPr>
        <w:t xml:space="preserve">up of </w:t>
      </w:r>
      <w:r w:rsidRPr="00002445">
        <w:rPr>
          <w:rFonts w:ascii="Times New Roman" w:hAnsi="Times New Roman" w:cs="Times New Roman"/>
          <w:i/>
          <w:iCs/>
        </w:rPr>
        <w:t>more than a few years</w:t>
      </w:r>
      <w:r w:rsidRPr="00002445">
        <w:rPr>
          <w:rFonts w:ascii="Times New Roman" w:hAnsi="Times New Roman" w:cs="Times New Roman"/>
        </w:rPr>
        <w:t xml:space="preserve">. </w:t>
      </w:r>
    </w:p>
    <w:p w14:paraId="3FE71EA9" w14:textId="337369B8" w:rsidR="00496EF6" w:rsidRPr="00002445" w:rsidRDefault="0078610C">
      <w:pPr>
        <w:pStyle w:val="BodyText"/>
        <w:rPr>
          <w:rFonts w:ascii="Times New Roman" w:hAnsi="Times New Roman" w:cs="Times New Roman"/>
        </w:rPr>
      </w:pPr>
      <w:r w:rsidRPr="00002445">
        <w:rPr>
          <w:rFonts w:ascii="Times New Roman" w:hAnsi="Times New Roman" w:cs="Times New Roman"/>
        </w:rPr>
        <w:t>We try to address these gaps using existing data sets which started in the late</w:t>
      </w:r>
      <w:r w:rsidR="00987EBD" w:rsidRPr="00002445">
        <w:rPr>
          <w:rFonts w:ascii="Times New Roman" w:hAnsi="Times New Roman" w:cs="Times New Roman"/>
        </w:rPr>
        <w:t xml:space="preserve"> </w:t>
      </w:r>
      <w:r w:rsidRPr="00002445">
        <w:rPr>
          <w:rFonts w:ascii="Times New Roman" w:hAnsi="Times New Roman" w:cs="Times New Roman"/>
        </w:rPr>
        <w:t>1950s and very early</w:t>
      </w:r>
      <w:r w:rsidR="00987EBD" w:rsidRPr="00002445">
        <w:rPr>
          <w:rFonts w:ascii="Times New Roman" w:hAnsi="Times New Roman" w:cs="Times New Roman"/>
        </w:rPr>
        <w:t xml:space="preserve"> </w:t>
      </w:r>
      <w:r w:rsidRPr="00002445">
        <w:rPr>
          <w:rFonts w:ascii="Times New Roman" w:hAnsi="Times New Roman" w:cs="Times New Roman"/>
        </w:rPr>
        <w:t xml:space="preserve">1970s. In so doing we are able to address two specific research questions, namely: were there a new group of heroin users in the 1980s as suggested by Pearson (1987); and </w:t>
      </w:r>
      <w:r w:rsidR="00B1239F" w:rsidRPr="00002445">
        <w:rPr>
          <w:rFonts w:ascii="Times New Roman" w:hAnsi="Times New Roman" w:cs="Times New Roman"/>
        </w:rPr>
        <w:t xml:space="preserve">to what extent was this associated with the economic </w:t>
      </w:r>
      <w:r w:rsidR="0051690E" w:rsidRPr="00002445">
        <w:rPr>
          <w:rFonts w:ascii="Times New Roman" w:hAnsi="Times New Roman" w:cs="Times New Roman"/>
        </w:rPr>
        <w:t>restructuring (from industrial to service</w:t>
      </w:r>
      <w:r w:rsidR="00000476" w:rsidRPr="00002445">
        <w:rPr>
          <w:rFonts w:ascii="Times New Roman" w:hAnsi="Times New Roman" w:cs="Times New Roman"/>
        </w:rPr>
        <w:t xml:space="preserve"> sector</w:t>
      </w:r>
      <w:r w:rsidR="0051690E" w:rsidRPr="00002445">
        <w:rPr>
          <w:rFonts w:ascii="Times New Roman" w:hAnsi="Times New Roman" w:cs="Times New Roman"/>
        </w:rPr>
        <w:t>) taking place at this time</w:t>
      </w:r>
      <w:r w:rsidRPr="00002445">
        <w:rPr>
          <w:rFonts w:ascii="Times New Roman" w:hAnsi="Times New Roman" w:cs="Times New Roman"/>
        </w:rPr>
        <w:t>?</w:t>
      </w:r>
    </w:p>
    <w:p w14:paraId="2759C0DB" w14:textId="77777777" w:rsidR="00986315" w:rsidRPr="00002445" w:rsidRDefault="00986315">
      <w:pPr>
        <w:pStyle w:val="BodyText"/>
        <w:rPr>
          <w:rFonts w:ascii="Times New Roman" w:hAnsi="Times New Roman" w:cs="Times New Roman"/>
        </w:rPr>
      </w:pPr>
    </w:p>
    <w:p w14:paraId="2973E34B" w14:textId="196EA156" w:rsidR="00986315" w:rsidRPr="00002445" w:rsidRDefault="00986315" w:rsidP="005F60BF">
      <w:pPr>
        <w:pStyle w:val="Heading1"/>
        <w:ind w:left="720" w:hanging="720"/>
        <w:rPr>
          <w:rFonts w:ascii="Times New Roman" w:hAnsi="Times New Roman" w:cs="Times New Roman"/>
          <w:color w:val="auto"/>
        </w:rPr>
      </w:pPr>
      <w:r w:rsidRPr="00002445">
        <w:rPr>
          <w:rStyle w:val="SectionNumber"/>
          <w:rFonts w:ascii="Times New Roman" w:hAnsi="Times New Roman" w:cs="Times New Roman"/>
          <w:color w:val="auto"/>
        </w:rPr>
        <w:t>4</w:t>
      </w:r>
      <w:r w:rsidRPr="00002445">
        <w:rPr>
          <w:rFonts w:ascii="Times New Roman" w:hAnsi="Times New Roman" w:cs="Times New Roman"/>
          <w:color w:val="auto"/>
        </w:rPr>
        <w:tab/>
      </w:r>
      <w:r w:rsidR="006A2E3D" w:rsidRPr="00002445">
        <w:rPr>
          <w:rFonts w:ascii="Times New Roman" w:hAnsi="Times New Roman" w:cs="Times New Roman"/>
          <w:color w:val="auto"/>
        </w:rPr>
        <w:t xml:space="preserve">Economic insecurity, inequality and heroin: </w:t>
      </w:r>
      <w:r w:rsidRPr="00002445">
        <w:rPr>
          <w:rFonts w:ascii="Times New Roman" w:hAnsi="Times New Roman" w:cs="Times New Roman"/>
          <w:color w:val="auto"/>
        </w:rPr>
        <w:t>Developing a Political Sociology of Drug Use in Britain</w:t>
      </w:r>
    </w:p>
    <w:p w14:paraId="44F14AC9" w14:textId="05E86B43" w:rsidR="00986315" w:rsidRPr="00002445" w:rsidRDefault="00986315">
      <w:pPr>
        <w:pStyle w:val="BodyText"/>
        <w:rPr>
          <w:rFonts w:ascii="Times New Roman" w:hAnsi="Times New Roman" w:cs="Times New Roman"/>
        </w:rPr>
      </w:pPr>
      <w:r w:rsidRPr="00002445">
        <w:rPr>
          <w:rFonts w:ascii="Times New Roman" w:hAnsi="Times New Roman" w:cs="Times New Roman"/>
        </w:rPr>
        <w:t xml:space="preserve">Our account </w:t>
      </w:r>
      <w:r w:rsidR="006F0EB3" w:rsidRPr="00002445">
        <w:rPr>
          <w:rFonts w:ascii="Times New Roman" w:hAnsi="Times New Roman" w:cs="Times New Roman"/>
        </w:rPr>
        <w:t>identifies several</w:t>
      </w:r>
      <w:r w:rsidRPr="00002445">
        <w:rPr>
          <w:rFonts w:ascii="Times New Roman" w:hAnsi="Times New Roman" w:cs="Times New Roman"/>
        </w:rPr>
        <w:t xml:space="preserve"> factors in explaining why drug use increased during the 1980s, and why the social base of drug users changed in such a short period of time. The principle drivers</w:t>
      </w:r>
      <w:r w:rsidR="006A2E3D" w:rsidRPr="00002445">
        <w:rPr>
          <w:rFonts w:ascii="Times New Roman" w:hAnsi="Times New Roman" w:cs="Times New Roman"/>
        </w:rPr>
        <w:t>,</w:t>
      </w:r>
      <w:r w:rsidRPr="00002445">
        <w:rPr>
          <w:rFonts w:ascii="Times New Roman" w:hAnsi="Times New Roman" w:cs="Times New Roman"/>
        </w:rPr>
        <w:t xml:space="preserve"> we argue</w:t>
      </w:r>
      <w:r w:rsidR="006A2E3D" w:rsidRPr="00002445">
        <w:rPr>
          <w:rFonts w:ascii="Times New Roman" w:hAnsi="Times New Roman" w:cs="Times New Roman"/>
        </w:rPr>
        <w:t>,</w:t>
      </w:r>
      <w:r w:rsidRPr="00002445">
        <w:rPr>
          <w:rFonts w:ascii="Times New Roman" w:hAnsi="Times New Roman" w:cs="Times New Roman"/>
        </w:rPr>
        <w:t xml:space="preserve"> were:</w:t>
      </w:r>
    </w:p>
    <w:p w14:paraId="6F5B0C79" w14:textId="73E483A8" w:rsidR="00986315" w:rsidRPr="00002445" w:rsidRDefault="00986315" w:rsidP="00986315">
      <w:pPr>
        <w:pStyle w:val="BodyText"/>
        <w:numPr>
          <w:ilvl w:val="0"/>
          <w:numId w:val="3"/>
        </w:numPr>
        <w:rPr>
          <w:rFonts w:ascii="Times New Roman" w:hAnsi="Times New Roman" w:cs="Times New Roman"/>
        </w:rPr>
      </w:pPr>
      <w:r w:rsidRPr="00002445">
        <w:rPr>
          <w:rFonts w:ascii="Times New Roman" w:hAnsi="Times New Roman" w:cs="Times New Roman"/>
        </w:rPr>
        <w:t>Economic policies adopted from the early 1980s which withdrew support for the industrial sector, and which then, following the miners’ strike of 1984-1985, saw the rapid decline of employment in this sector (and which was heavily concentrated in northern England, South Wales, and central Scotland</w:t>
      </w:r>
      <w:r w:rsidR="00000476" w:rsidRPr="00002445">
        <w:rPr>
          <w:rFonts w:ascii="Times New Roman" w:hAnsi="Times New Roman" w:cs="Times New Roman"/>
        </w:rPr>
        <w:t>)</w:t>
      </w:r>
      <w:r w:rsidRPr="00002445">
        <w:rPr>
          <w:rFonts w:ascii="Times New Roman" w:hAnsi="Times New Roman" w:cs="Times New Roman"/>
        </w:rPr>
        <w:t>.</w:t>
      </w:r>
    </w:p>
    <w:p w14:paraId="730AC0AE" w14:textId="77777777" w:rsidR="00986315" w:rsidRPr="00002445" w:rsidRDefault="00986315" w:rsidP="00986315">
      <w:pPr>
        <w:pStyle w:val="BodyText"/>
        <w:numPr>
          <w:ilvl w:val="0"/>
          <w:numId w:val="3"/>
        </w:numPr>
        <w:rPr>
          <w:rFonts w:ascii="Times New Roman" w:hAnsi="Times New Roman" w:cs="Times New Roman"/>
        </w:rPr>
      </w:pPr>
      <w:r w:rsidRPr="00002445">
        <w:rPr>
          <w:rFonts w:ascii="Times New Roman" w:hAnsi="Times New Roman" w:cs="Times New Roman"/>
        </w:rPr>
        <w:t>The restriction of social welfare policies, which made the social security system in Britain much less generous than previously.</w:t>
      </w:r>
    </w:p>
    <w:p w14:paraId="5CE3D4B2" w14:textId="481859CB" w:rsidR="00986315" w:rsidRPr="00002445" w:rsidRDefault="00986315" w:rsidP="00986315">
      <w:pPr>
        <w:pStyle w:val="BodyText"/>
        <w:numPr>
          <w:ilvl w:val="0"/>
          <w:numId w:val="3"/>
        </w:numPr>
        <w:rPr>
          <w:rFonts w:ascii="Times New Roman" w:hAnsi="Times New Roman" w:cs="Times New Roman"/>
        </w:rPr>
      </w:pPr>
      <w:r w:rsidRPr="00002445">
        <w:rPr>
          <w:rFonts w:ascii="Times New Roman" w:hAnsi="Times New Roman" w:cs="Times New Roman"/>
        </w:rPr>
        <w:t>Wider geo-political changes which took place outside of Britain</w:t>
      </w:r>
      <w:r w:rsidR="00151DC7" w:rsidRPr="00002445">
        <w:rPr>
          <w:rFonts w:ascii="Times New Roman" w:hAnsi="Times New Roman" w:cs="Times New Roman"/>
        </w:rPr>
        <w:t xml:space="preserve"> (principally Iran and Pakistan)</w:t>
      </w:r>
      <w:r w:rsidRPr="00002445">
        <w:rPr>
          <w:rFonts w:ascii="Times New Roman" w:hAnsi="Times New Roman" w:cs="Times New Roman"/>
        </w:rPr>
        <w:t xml:space="preserve">, but which nevertheless affected the availability of drugs on the streets of some of the country’s inner-cities.   </w:t>
      </w:r>
    </w:p>
    <w:p w14:paraId="5667F8B7" w14:textId="77777777" w:rsidR="0016705E" w:rsidRPr="00002445" w:rsidRDefault="0016705E">
      <w:pPr>
        <w:pStyle w:val="BodyText"/>
        <w:rPr>
          <w:rFonts w:ascii="Times New Roman" w:hAnsi="Times New Roman" w:cs="Times New Roman"/>
        </w:rPr>
      </w:pPr>
    </w:p>
    <w:p w14:paraId="110A9309" w14:textId="4067A954" w:rsidR="00986315" w:rsidRPr="00002445" w:rsidRDefault="00986315" w:rsidP="00383B74">
      <w:pPr>
        <w:pStyle w:val="Heading2"/>
        <w:rPr>
          <w:rFonts w:ascii="Times New Roman" w:hAnsi="Times New Roman" w:cs="Times New Roman"/>
          <w:color w:val="auto"/>
        </w:rPr>
      </w:pPr>
      <w:r w:rsidRPr="00002445">
        <w:rPr>
          <w:rFonts w:ascii="Times New Roman" w:hAnsi="Times New Roman" w:cs="Times New Roman"/>
          <w:color w:val="auto"/>
        </w:rPr>
        <w:t xml:space="preserve">4.1 Changing Economic Philosophy </w:t>
      </w:r>
    </w:p>
    <w:p w14:paraId="46A9C9A9" w14:textId="00159CA7" w:rsidR="003C5368" w:rsidRPr="00002445" w:rsidRDefault="003C5368" w:rsidP="003C5368">
      <w:pPr>
        <w:pStyle w:val="BodyText"/>
        <w:rPr>
          <w:rFonts w:ascii="Times New Roman" w:hAnsi="Times New Roman" w:cs="Times New Roman"/>
        </w:rPr>
      </w:pPr>
      <w:r w:rsidRPr="00002445">
        <w:rPr>
          <w:rFonts w:ascii="Times New Roman" w:hAnsi="Times New Roman" w:cs="Times New Roman"/>
        </w:rPr>
        <w:t>Throughout the 1970s the UK faced considerable economic difficulties; for example inflation reached 24% in 1975 (Hay, 2009</w:t>
      </w:r>
      <w:r w:rsidR="00AB266C" w:rsidRPr="00002445">
        <w:rPr>
          <w:rFonts w:ascii="Times New Roman" w:hAnsi="Times New Roman" w:cs="Times New Roman"/>
        </w:rPr>
        <w:t xml:space="preserve">, </w:t>
      </w:r>
      <w:r w:rsidRPr="00002445">
        <w:rPr>
          <w:rFonts w:ascii="Times New Roman" w:hAnsi="Times New Roman" w:cs="Times New Roman"/>
        </w:rPr>
        <w:t>551) and stood at over 13% in 1979. Unemployment rates stabilized around 5% between 1976 and 1979 (Thompson</w:t>
      </w:r>
      <w:r w:rsidR="00AB266C" w:rsidRPr="00002445">
        <w:rPr>
          <w:rFonts w:ascii="Times New Roman" w:hAnsi="Times New Roman" w:cs="Times New Roman"/>
        </w:rPr>
        <w:t>,</w:t>
      </w:r>
      <w:r w:rsidRPr="00002445">
        <w:rPr>
          <w:rFonts w:ascii="Times New Roman" w:hAnsi="Times New Roman" w:cs="Times New Roman"/>
        </w:rPr>
        <w:t xml:space="preserve"> 2014</w:t>
      </w:r>
      <w:r w:rsidR="00AB266C" w:rsidRPr="00002445">
        <w:rPr>
          <w:rFonts w:ascii="Times New Roman" w:hAnsi="Times New Roman" w:cs="Times New Roman"/>
        </w:rPr>
        <w:t xml:space="preserve">, </w:t>
      </w:r>
      <w:r w:rsidRPr="00002445">
        <w:rPr>
          <w:rFonts w:ascii="Times New Roman" w:hAnsi="Times New Roman" w:cs="Times New Roman"/>
        </w:rPr>
        <w:t xml:space="preserve">45). Eventually, the breakdown of the unemployment-inflation relationship led governments to retreat from Keynesianism and to adopt monetarist policies, bringing with it welfare retrenchment (Tomlinson, 1990, and a topic we deal with in more detail in section 4.2). </w:t>
      </w:r>
    </w:p>
    <w:p w14:paraId="12AD0815" w14:textId="52FFA718" w:rsidR="005A01A1" w:rsidRPr="00002445" w:rsidRDefault="003C5368" w:rsidP="005A01A1">
      <w:pPr>
        <w:pStyle w:val="BodyText"/>
        <w:rPr>
          <w:rFonts w:ascii="Times New Roman" w:hAnsi="Times New Roman" w:cs="Times New Roman"/>
        </w:rPr>
      </w:pPr>
      <w:r w:rsidRPr="00002445">
        <w:rPr>
          <w:rFonts w:ascii="Times New Roman" w:hAnsi="Times New Roman" w:cs="Times New Roman"/>
        </w:rPr>
        <w:lastRenderedPageBreak/>
        <w:t>In 1979, the UK elected its first political administration</w:t>
      </w:r>
      <w:r w:rsidR="00271A2B" w:rsidRPr="00002445">
        <w:rPr>
          <w:rFonts w:ascii="Times New Roman" w:hAnsi="Times New Roman" w:cs="Times New Roman"/>
        </w:rPr>
        <w:t xml:space="preserve"> to fully try to embrace neo-liberal philosophies. L</w:t>
      </w:r>
      <w:r w:rsidR="00785E58" w:rsidRPr="00002445">
        <w:rPr>
          <w:rFonts w:ascii="Times New Roman" w:hAnsi="Times New Roman" w:cs="Times New Roman"/>
        </w:rPr>
        <w:t>ed by Margaret Thatcher</w:t>
      </w:r>
      <w:r w:rsidR="00271A2B" w:rsidRPr="00002445">
        <w:rPr>
          <w:rFonts w:ascii="Times New Roman" w:hAnsi="Times New Roman" w:cs="Times New Roman"/>
        </w:rPr>
        <w:t>, o</w:t>
      </w:r>
      <w:r w:rsidRPr="00002445">
        <w:rPr>
          <w:rFonts w:ascii="Times New Roman" w:hAnsi="Times New Roman" w:cs="Times New Roman"/>
        </w:rPr>
        <w:t>ne of the first things the incoming government did was to increase interest rates. This weaken</w:t>
      </w:r>
      <w:r w:rsidR="00785E58" w:rsidRPr="00002445">
        <w:rPr>
          <w:rFonts w:ascii="Times New Roman" w:hAnsi="Times New Roman" w:cs="Times New Roman"/>
        </w:rPr>
        <w:t>ed</w:t>
      </w:r>
      <w:r w:rsidRPr="00002445">
        <w:rPr>
          <w:rFonts w:ascii="Times New Roman" w:hAnsi="Times New Roman" w:cs="Times New Roman"/>
        </w:rPr>
        <w:t xml:space="preserve"> the UK’s manufacturing sector (Thompson, 2014</w:t>
      </w:r>
      <w:r w:rsidR="00AB266C" w:rsidRPr="00002445">
        <w:rPr>
          <w:rFonts w:ascii="Times New Roman" w:hAnsi="Times New Roman" w:cs="Times New Roman"/>
        </w:rPr>
        <w:t xml:space="preserve">, </w:t>
      </w:r>
      <w:r w:rsidRPr="00002445">
        <w:rPr>
          <w:rFonts w:ascii="Times New Roman" w:hAnsi="Times New Roman" w:cs="Times New Roman"/>
        </w:rPr>
        <w:t>38-9) and produced a dramatic decline in manufacturing output from 1979 to 1981 (Thompson, 2014</w:t>
      </w:r>
      <w:r w:rsidR="00AB266C" w:rsidRPr="00002445">
        <w:rPr>
          <w:rFonts w:ascii="Times New Roman" w:hAnsi="Times New Roman" w:cs="Times New Roman"/>
        </w:rPr>
        <w:t xml:space="preserve">, </w:t>
      </w:r>
      <w:r w:rsidRPr="00002445">
        <w:rPr>
          <w:rFonts w:ascii="Times New Roman" w:hAnsi="Times New Roman" w:cs="Times New Roman"/>
        </w:rPr>
        <w:t>38). As it happened, the economy saw negative growth for much of the early-1980s (Thompson, 2014</w:t>
      </w:r>
      <w:r w:rsidR="00AB266C" w:rsidRPr="00002445">
        <w:rPr>
          <w:rFonts w:ascii="Times New Roman" w:hAnsi="Times New Roman" w:cs="Times New Roman"/>
        </w:rPr>
        <w:t xml:space="preserve">, </w:t>
      </w:r>
      <w:r w:rsidRPr="00002445">
        <w:rPr>
          <w:rFonts w:ascii="Times New Roman" w:hAnsi="Times New Roman" w:cs="Times New Roman"/>
        </w:rPr>
        <w:t xml:space="preserve">39). </w:t>
      </w:r>
      <w:r w:rsidR="00785E58" w:rsidRPr="00002445">
        <w:rPr>
          <w:rFonts w:ascii="Times New Roman" w:hAnsi="Times New Roman" w:cs="Times New Roman"/>
        </w:rPr>
        <w:t>Th</w:t>
      </w:r>
      <w:r w:rsidRPr="00002445">
        <w:rPr>
          <w:rFonts w:ascii="Times New Roman" w:hAnsi="Times New Roman" w:cs="Times New Roman"/>
        </w:rPr>
        <w:t xml:space="preserve">e early Thatcher governments </w:t>
      </w:r>
      <w:r w:rsidR="00785E58" w:rsidRPr="00002445">
        <w:rPr>
          <w:rFonts w:ascii="Times New Roman" w:hAnsi="Times New Roman" w:cs="Times New Roman"/>
        </w:rPr>
        <w:t xml:space="preserve">tried to </w:t>
      </w:r>
      <w:r w:rsidRPr="00002445">
        <w:rPr>
          <w:rFonts w:ascii="Times New Roman" w:hAnsi="Times New Roman" w:cs="Times New Roman"/>
        </w:rPr>
        <w:t>reduc</w:t>
      </w:r>
      <w:r w:rsidR="00785E58" w:rsidRPr="00002445">
        <w:rPr>
          <w:rFonts w:ascii="Times New Roman" w:hAnsi="Times New Roman" w:cs="Times New Roman"/>
        </w:rPr>
        <w:t>e</w:t>
      </w:r>
      <w:r w:rsidRPr="00002445">
        <w:rPr>
          <w:rFonts w:ascii="Times New Roman" w:hAnsi="Times New Roman" w:cs="Times New Roman"/>
        </w:rPr>
        <w:t xml:space="preserve"> inflation </w:t>
      </w:r>
      <w:r w:rsidR="00785E58" w:rsidRPr="00002445">
        <w:rPr>
          <w:rFonts w:ascii="Times New Roman" w:hAnsi="Times New Roman" w:cs="Times New Roman"/>
        </w:rPr>
        <w:t xml:space="preserve">and retreated from </w:t>
      </w:r>
      <w:r w:rsidRPr="00002445">
        <w:rPr>
          <w:rFonts w:ascii="Times New Roman" w:hAnsi="Times New Roman" w:cs="Times New Roman"/>
        </w:rPr>
        <w:t xml:space="preserve">the goal of </w:t>
      </w:r>
      <w:r w:rsidR="00785E58" w:rsidRPr="00002445">
        <w:rPr>
          <w:rFonts w:ascii="Times New Roman" w:hAnsi="Times New Roman" w:cs="Times New Roman"/>
        </w:rPr>
        <w:t xml:space="preserve">maintaining </w:t>
      </w:r>
      <w:r w:rsidRPr="00002445">
        <w:rPr>
          <w:rFonts w:ascii="Times New Roman" w:hAnsi="Times New Roman" w:cs="Times New Roman"/>
        </w:rPr>
        <w:t xml:space="preserve">full employment, </w:t>
      </w:r>
      <w:r w:rsidR="00785E58" w:rsidRPr="00002445">
        <w:rPr>
          <w:rFonts w:ascii="Times New Roman" w:hAnsi="Times New Roman" w:cs="Times New Roman"/>
        </w:rPr>
        <w:t xml:space="preserve">resulting in a sharp rise in </w:t>
      </w:r>
      <w:r w:rsidRPr="00002445">
        <w:rPr>
          <w:rFonts w:ascii="Times New Roman" w:hAnsi="Times New Roman" w:cs="Times New Roman"/>
        </w:rPr>
        <w:t xml:space="preserve">unemployment (Figure 1). </w:t>
      </w:r>
      <w:r w:rsidR="00785E58" w:rsidRPr="00002445">
        <w:rPr>
          <w:rFonts w:ascii="Times New Roman" w:hAnsi="Times New Roman" w:cs="Times New Roman"/>
        </w:rPr>
        <w:t xml:space="preserve">Although </w:t>
      </w:r>
      <w:r w:rsidRPr="00002445">
        <w:rPr>
          <w:rFonts w:ascii="Times New Roman" w:hAnsi="Times New Roman" w:cs="Times New Roman"/>
        </w:rPr>
        <w:t xml:space="preserve">the Conservatives </w:t>
      </w:r>
      <w:r w:rsidR="00785E58" w:rsidRPr="00002445">
        <w:rPr>
          <w:rFonts w:ascii="Times New Roman" w:hAnsi="Times New Roman" w:cs="Times New Roman"/>
        </w:rPr>
        <w:t xml:space="preserve">had </w:t>
      </w:r>
      <w:r w:rsidRPr="00002445">
        <w:rPr>
          <w:rFonts w:ascii="Times New Roman" w:hAnsi="Times New Roman" w:cs="Times New Roman"/>
        </w:rPr>
        <w:t xml:space="preserve">abandoned their monetarist ideals </w:t>
      </w:r>
      <w:r w:rsidR="00785E58" w:rsidRPr="00002445">
        <w:rPr>
          <w:rFonts w:ascii="Times New Roman" w:hAnsi="Times New Roman" w:cs="Times New Roman"/>
        </w:rPr>
        <w:t xml:space="preserve">by 1984, </w:t>
      </w:r>
      <w:r w:rsidRPr="00002445">
        <w:rPr>
          <w:rFonts w:ascii="Times New Roman" w:hAnsi="Times New Roman" w:cs="Times New Roman"/>
        </w:rPr>
        <w:t>the UK</w:t>
      </w:r>
      <w:r w:rsidR="00785E58" w:rsidRPr="00002445">
        <w:rPr>
          <w:rFonts w:ascii="Times New Roman" w:hAnsi="Times New Roman" w:cs="Times New Roman"/>
        </w:rPr>
        <w:t>’s</w:t>
      </w:r>
      <w:r w:rsidRPr="00002445">
        <w:rPr>
          <w:rFonts w:ascii="Times New Roman" w:hAnsi="Times New Roman" w:cs="Times New Roman"/>
        </w:rPr>
        <w:t xml:space="preserve"> econom</w:t>
      </w:r>
      <w:r w:rsidR="00785E58" w:rsidRPr="00002445">
        <w:rPr>
          <w:rFonts w:ascii="Times New Roman" w:hAnsi="Times New Roman" w:cs="Times New Roman"/>
        </w:rPr>
        <w:t xml:space="preserve">ic </w:t>
      </w:r>
      <w:r w:rsidRPr="00002445">
        <w:rPr>
          <w:rFonts w:ascii="Times New Roman" w:hAnsi="Times New Roman" w:cs="Times New Roman"/>
        </w:rPr>
        <w:t xml:space="preserve">troubles persisted for many years with widespread economic disruption and unemployment. </w:t>
      </w:r>
      <w:r w:rsidR="00785E58" w:rsidRPr="00002445">
        <w:rPr>
          <w:rFonts w:ascii="Times New Roman" w:hAnsi="Times New Roman" w:cs="Times New Roman"/>
        </w:rPr>
        <w:t>As part of this process of economic restructuring, t</w:t>
      </w:r>
      <w:r w:rsidRPr="00002445">
        <w:rPr>
          <w:rFonts w:ascii="Times New Roman" w:hAnsi="Times New Roman" w:cs="Times New Roman"/>
        </w:rPr>
        <w:t xml:space="preserve">he National Union of Mineworkers </w:t>
      </w:r>
      <w:r w:rsidR="00785E58" w:rsidRPr="00002445">
        <w:rPr>
          <w:rFonts w:ascii="Times New Roman" w:hAnsi="Times New Roman" w:cs="Times New Roman"/>
        </w:rPr>
        <w:t xml:space="preserve">waged (and </w:t>
      </w:r>
      <w:r w:rsidRPr="00002445">
        <w:rPr>
          <w:rFonts w:ascii="Times New Roman" w:hAnsi="Times New Roman" w:cs="Times New Roman"/>
        </w:rPr>
        <w:t>lost</w:t>
      </w:r>
      <w:r w:rsidR="00785E58" w:rsidRPr="00002445">
        <w:rPr>
          <w:rFonts w:ascii="Times New Roman" w:hAnsi="Times New Roman" w:cs="Times New Roman"/>
        </w:rPr>
        <w:t>) a year-long strike (1984-1985)</w:t>
      </w:r>
      <w:r w:rsidRPr="00002445">
        <w:rPr>
          <w:rFonts w:ascii="Times New Roman" w:hAnsi="Times New Roman" w:cs="Times New Roman"/>
        </w:rPr>
        <w:t xml:space="preserve">, resulting in the closure of many mines and the loss of tens of thousands of jobs. </w:t>
      </w:r>
      <w:r w:rsidR="00987EBD" w:rsidRPr="00002445">
        <w:rPr>
          <w:rFonts w:ascii="Times New Roman" w:hAnsi="Times New Roman" w:cs="Times New Roman"/>
        </w:rPr>
        <w:t>Moreover</w:t>
      </w:r>
      <w:r w:rsidR="00785E58" w:rsidRPr="00002445">
        <w:rPr>
          <w:rFonts w:ascii="Times New Roman" w:hAnsi="Times New Roman" w:cs="Times New Roman"/>
        </w:rPr>
        <w:t>, the Conservative governments pursued programmes of</w:t>
      </w:r>
      <w:r w:rsidRPr="00002445">
        <w:rPr>
          <w:rFonts w:ascii="Times New Roman" w:hAnsi="Times New Roman" w:cs="Times New Roman"/>
        </w:rPr>
        <w:t xml:space="preserve"> privatisation and financial deregulation (1983-1986). The</w:t>
      </w:r>
      <w:r w:rsidR="007A5203" w:rsidRPr="00002445">
        <w:rPr>
          <w:rFonts w:ascii="Times New Roman" w:hAnsi="Times New Roman" w:cs="Times New Roman"/>
        </w:rPr>
        <w:t>se policies led to severe</w:t>
      </w:r>
      <w:r w:rsidRPr="00002445">
        <w:rPr>
          <w:rFonts w:ascii="Times New Roman" w:hAnsi="Times New Roman" w:cs="Times New Roman"/>
        </w:rPr>
        <w:t xml:space="preserve"> economic and social turbulence,</w:t>
      </w:r>
      <w:r w:rsidR="007A5203" w:rsidRPr="00002445">
        <w:rPr>
          <w:rFonts w:ascii="Times New Roman" w:hAnsi="Times New Roman" w:cs="Times New Roman"/>
        </w:rPr>
        <w:t xml:space="preserve"> which was,</w:t>
      </w:r>
      <w:r w:rsidRPr="00002445">
        <w:rPr>
          <w:rFonts w:ascii="Times New Roman" w:hAnsi="Times New Roman" w:cs="Times New Roman"/>
        </w:rPr>
        <w:t xml:space="preserve"> however, not evenly distributed across the UK. The communities most heavily impacted upon were those most reliant upon heavy industry and manufacturing</w:t>
      </w:r>
      <w:r w:rsidR="005A01A1" w:rsidRPr="00002445">
        <w:rPr>
          <w:rFonts w:ascii="Times New Roman" w:hAnsi="Times New Roman" w:cs="Times New Roman"/>
        </w:rPr>
        <w:t xml:space="preserve"> (such as coalmining, ship building, steel production, car manufacturing and the railway network)</w:t>
      </w:r>
      <w:r w:rsidRPr="00002445">
        <w:rPr>
          <w:rFonts w:ascii="Times New Roman" w:hAnsi="Times New Roman" w:cs="Times New Roman"/>
        </w:rPr>
        <w:t>, and which were located in the North of England, South Wales, and central Scotland. Accordingly, unemployment rate</w:t>
      </w:r>
      <w:r w:rsidR="005A01A1" w:rsidRPr="00002445">
        <w:rPr>
          <w:rFonts w:ascii="Times New Roman" w:hAnsi="Times New Roman" w:cs="Times New Roman"/>
        </w:rPr>
        <w:t>s</w:t>
      </w:r>
      <w:r w:rsidRPr="00002445">
        <w:rPr>
          <w:rFonts w:ascii="Times New Roman" w:hAnsi="Times New Roman" w:cs="Times New Roman"/>
        </w:rPr>
        <w:t xml:space="preserve"> rose </w:t>
      </w:r>
      <w:r w:rsidR="005A01A1" w:rsidRPr="00002445">
        <w:rPr>
          <w:rFonts w:ascii="Times New Roman" w:hAnsi="Times New Roman" w:cs="Times New Roman"/>
        </w:rPr>
        <w:t>further</w:t>
      </w:r>
      <w:r w:rsidRPr="00002445">
        <w:rPr>
          <w:rFonts w:ascii="Times New Roman" w:hAnsi="Times New Roman" w:cs="Times New Roman"/>
        </w:rPr>
        <w:t>, reaching almost 12% by the mid-1980s. Th</w:t>
      </w:r>
      <w:r w:rsidR="005A01A1" w:rsidRPr="00002445">
        <w:rPr>
          <w:rFonts w:ascii="Times New Roman" w:hAnsi="Times New Roman" w:cs="Times New Roman"/>
        </w:rPr>
        <w:t>is period of</w:t>
      </w:r>
      <w:r w:rsidRPr="00002445">
        <w:rPr>
          <w:rFonts w:ascii="Times New Roman" w:hAnsi="Times New Roman" w:cs="Times New Roman"/>
        </w:rPr>
        <w:t xml:space="preserve"> economic restructuring, almost always associated with processes of deindustrialisation (which had started in the late-1960s, Tomlinson, 1990)</w:t>
      </w:r>
      <w:r w:rsidR="005A01A1" w:rsidRPr="00002445">
        <w:rPr>
          <w:rFonts w:ascii="Times New Roman" w:hAnsi="Times New Roman" w:cs="Times New Roman"/>
        </w:rPr>
        <w:t>,</w:t>
      </w:r>
      <w:r w:rsidRPr="00002445">
        <w:rPr>
          <w:rFonts w:ascii="Times New Roman" w:hAnsi="Times New Roman" w:cs="Times New Roman"/>
        </w:rPr>
        <w:t xml:space="preserve"> was consistently associated with rising unemployment, which led to increasing social and political polarization (Walker </w:t>
      </w:r>
      <w:r w:rsidR="00783E33" w:rsidRPr="00002445">
        <w:rPr>
          <w:rFonts w:ascii="Times New Roman" w:hAnsi="Times New Roman" w:cs="Times New Roman"/>
        </w:rPr>
        <w:t>&amp;</w:t>
      </w:r>
      <w:r w:rsidRPr="00002445">
        <w:rPr>
          <w:rFonts w:ascii="Times New Roman" w:hAnsi="Times New Roman" w:cs="Times New Roman"/>
        </w:rPr>
        <w:t xml:space="preserve"> Walker, 1997).</w:t>
      </w:r>
      <w:r w:rsidR="005A01A1" w:rsidRPr="00002445">
        <w:rPr>
          <w:rFonts w:ascii="Times New Roman" w:hAnsi="Times New Roman" w:cs="Times New Roman"/>
        </w:rPr>
        <w:t xml:space="preserve"> In short, the economic restructuring which had started in the 1960s reached a zenith during the 1980s</w:t>
      </w:r>
      <w:r w:rsidR="001E2ADA" w:rsidRPr="00002445">
        <w:rPr>
          <w:rFonts w:ascii="Times New Roman" w:hAnsi="Times New Roman" w:cs="Times New Roman"/>
        </w:rPr>
        <w:t>, and f</w:t>
      </w:r>
      <w:r w:rsidR="005A01A1" w:rsidRPr="00002445">
        <w:rPr>
          <w:rFonts w:ascii="Times New Roman" w:hAnsi="Times New Roman" w:cs="Times New Roman"/>
        </w:rPr>
        <w:t>rom the mid</w:t>
      </w:r>
      <w:r w:rsidR="00987EBD" w:rsidRPr="00002445">
        <w:rPr>
          <w:rFonts w:ascii="Times New Roman" w:hAnsi="Times New Roman" w:cs="Times New Roman"/>
        </w:rPr>
        <w:t>-</w:t>
      </w:r>
      <w:r w:rsidR="005A01A1" w:rsidRPr="00002445">
        <w:rPr>
          <w:rFonts w:ascii="Times New Roman" w:hAnsi="Times New Roman" w:cs="Times New Roman"/>
        </w:rPr>
        <w:t xml:space="preserve"> to late-1980s the UK started the transition to a post-industrial nation. The official document </w:t>
      </w:r>
      <w:r w:rsidR="005A01A1" w:rsidRPr="00002445">
        <w:rPr>
          <w:rFonts w:ascii="Times New Roman" w:hAnsi="Times New Roman" w:cs="Times New Roman"/>
          <w:i/>
        </w:rPr>
        <w:t>Social Trends</w:t>
      </w:r>
      <w:r w:rsidR="005A01A1" w:rsidRPr="00002445">
        <w:rPr>
          <w:rFonts w:ascii="Times New Roman" w:hAnsi="Times New Roman" w:cs="Times New Roman"/>
        </w:rPr>
        <w:t xml:space="preserve"> for 2007 (Office for National Statistics 2007</w:t>
      </w:r>
      <w:r w:rsidR="00783E33" w:rsidRPr="00002445">
        <w:rPr>
          <w:rFonts w:ascii="Times New Roman" w:hAnsi="Times New Roman" w:cs="Times New Roman"/>
        </w:rPr>
        <w:t xml:space="preserve">, </w:t>
      </w:r>
      <w:r w:rsidR="005A01A1" w:rsidRPr="00002445">
        <w:rPr>
          <w:rFonts w:ascii="Times New Roman" w:hAnsi="Times New Roman" w:cs="Times New Roman"/>
        </w:rPr>
        <w:t>47) reports that</w:t>
      </w:r>
      <w:r w:rsidR="005E758C" w:rsidRPr="00002445">
        <w:rPr>
          <w:rFonts w:ascii="Times New Roman" w:hAnsi="Times New Roman" w:cs="Times New Roman"/>
        </w:rPr>
        <w:t xml:space="preserve"> the UK</w:t>
      </w:r>
      <w:r w:rsidR="005A01A1" w:rsidRPr="00002445">
        <w:rPr>
          <w:rFonts w:ascii="Times New Roman" w:hAnsi="Times New Roman" w:cs="Times New Roman"/>
        </w:rPr>
        <w:t>:</w:t>
      </w:r>
    </w:p>
    <w:p w14:paraId="131BD69D" w14:textId="4EA14BB1" w:rsidR="005A01A1" w:rsidRPr="00002445" w:rsidRDefault="005A01A1" w:rsidP="00BB6E3E">
      <w:pPr>
        <w:pStyle w:val="BodyText"/>
        <w:ind w:left="720"/>
        <w:rPr>
          <w:rFonts w:ascii="Times New Roman" w:hAnsi="Times New Roman" w:cs="Times New Roman"/>
        </w:rPr>
      </w:pPr>
      <w:r w:rsidRPr="00002445">
        <w:rPr>
          <w:rFonts w:ascii="Times New Roman" w:hAnsi="Times New Roman" w:cs="Times New Roman"/>
        </w:rPr>
        <w:t>Over the last 25 years has experienced structural change. […] the extraction and production industries, made up of agriculture and fishing, energy and water, manufacturing, and construction showed a combined fall of 43% from 8.2m jobs in 1981 to 4.7m jobs in 2006. Manufacturing alone accounted for 81% of this decline, with the number of employee jobs in this sector nearly halving from 5.9m in 1981 to 3m in 2006.</w:t>
      </w:r>
    </w:p>
    <w:p w14:paraId="7AAA39F3" w14:textId="0F45D0B2" w:rsidR="003C5368" w:rsidRPr="00002445" w:rsidRDefault="003C5368" w:rsidP="003C5368">
      <w:pPr>
        <w:pStyle w:val="BodyText"/>
        <w:rPr>
          <w:rFonts w:ascii="Times New Roman" w:hAnsi="Times New Roman" w:cs="Times New Roman"/>
        </w:rPr>
      </w:pPr>
    </w:p>
    <w:p w14:paraId="6F7E0C25" w14:textId="77777777" w:rsidR="003C5368" w:rsidRPr="00002445" w:rsidRDefault="003C5368" w:rsidP="003C5368">
      <w:pPr>
        <w:pStyle w:val="BodyText"/>
        <w:rPr>
          <w:rFonts w:ascii="Times New Roman" w:hAnsi="Times New Roman" w:cs="Times New Roman"/>
          <w:b/>
          <w:bCs/>
        </w:rPr>
      </w:pPr>
      <w:r w:rsidRPr="00002445">
        <w:rPr>
          <w:rFonts w:ascii="Times New Roman" w:hAnsi="Times New Roman" w:cs="Times New Roman"/>
          <w:b/>
          <w:bCs/>
        </w:rPr>
        <w:lastRenderedPageBreak/>
        <w:t>Figure 1. National Unemployment Rate (percent), 1970-2006</w:t>
      </w:r>
      <w:r w:rsidRPr="00002445">
        <w:rPr>
          <w:rFonts w:ascii="Times New Roman" w:hAnsi="Times New Roman" w:cs="Times New Roman"/>
          <w:b/>
          <w:bCs/>
          <w:noProof/>
        </w:rPr>
        <w:drawing>
          <wp:inline distT="0" distB="0" distL="0" distR="0" wp14:anchorId="1EA2ECA6" wp14:editId="6A6E7539">
            <wp:extent cx="5212080" cy="230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2145" cy="2318930"/>
                    </a:xfrm>
                    <a:prstGeom prst="rect">
                      <a:avLst/>
                    </a:prstGeom>
                    <a:noFill/>
                    <a:ln>
                      <a:noFill/>
                    </a:ln>
                  </pic:spPr>
                </pic:pic>
              </a:graphicData>
            </a:graphic>
          </wp:inline>
        </w:drawing>
      </w:r>
    </w:p>
    <w:p w14:paraId="3DEA3B9A" w14:textId="77777777" w:rsidR="003C5368" w:rsidRPr="00002445" w:rsidRDefault="003C5368" w:rsidP="003C5368">
      <w:pPr>
        <w:pStyle w:val="BodyText"/>
        <w:rPr>
          <w:rFonts w:ascii="Times New Roman" w:hAnsi="Times New Roman" w:cs="Times New Roman"/>
        </w:rPr>
      </w:pPr>
    </w:p>
    <w:p w14:paraId="171374C1" w14:textId="77777777" w:rsidR="00986315" w:rsidRPr="00002445" w:rsidRDefault="00986315">
      <w:pPr>
        <w:pStyle w:val="BodyText"/>
        <w:rPr>
          <w:rFonts w:ascii="Times New Roman" w:hAnsi="Times New Roman" w:cs="Times New Roman"/>
        </w:rPr>
      </w:pPr>
    </w:p>
    <w:p w14:paraId="5BEE0DFA" w14:textId="51A6D252" w:rsidR="00986315" w:rsidRPr="00002445" w:rsidRDefault="00986315" w:rsidP="00383B74">
      <w:pPr>
        <w:pStyle w:val="Heading2"/>
        <w:rPr>
          <w:rFonts w:ascii="Times New Roman" w:hAnsi="Times New Roman" w:cs="Times New Roman"/>
          <w:color w:val="auto"/>
        </w:rPr>
      </w:pPr>
      <w:r w:rsidRPr="00002445">
        <w:rPr>
          <w:rFonts w:ascii="Times New Roman" w:hAnsi="Times New Roman" w:cs="Times New Roman"/>
          <w:color w:val="auto"/>
        </w:rPr>
        <w:t xml:space="preserve">4.2 </w:t>
      </w:r>
      <w:r w:rsidR="007044FC" w:rsidRPr="00002445">
        <w:rPr>
          <w:rFonts w:ascii="Times New Roman" w:hAnsi="Times New Roman" w:cs="Times New Roman"/>
          <w:color w:val="auto"/>
        </w:rPr>
        <w:t>Welfare retrenchment</w:t>
      </w:r>
    </w:p>
    <w:p w14:paraId="0BD47B28" w14:textId="58A8D19C" w:rsidR="0016705E" w:rsidRPr="00002445" w:rsidRDefault="0016705E" w:rsidP="0016705E">
      <w:pPr>
        <w:pStyle w:val="BodyText"/>
        <w:rPr>
          <w:rFonts w:ascii="Times New Roman" w:hAnsi="Times New Roman" w:cs="Times New Roman"/>
        </w:rPr>
      </w:pPr>
      <w:r w:rsidRPr="00002445">
        <w:rPr>
          <w:rFonts w:ascii="Times New Roman" w:hAnsi="Times New Roman" w:cs="Times New Roman"/>
        </w:rPr>
        <w:t xml:space="preserve">The </w:t>
      </w:r>
      <w:r w:rsidR="001E2ADA" w:rsidRPr="00002445">
        <w:rPr>
          <w:rFonts w:ascii="Times New Roman" w:hAnsi="Times New Roman" w:cs="Times New Roman"/>
        </w:rPr>
        <w:t xml:space="preserve">same </w:t>
      </w:r>
      <w:r w:rsidR="00D07E87" w:rsidRPr="00002445">
        <w:rPr>
          <w:rFonts w:ascii="Times New Roman" w:hAnsi="Times New Roman" w:cs="Times New Roman"/>
        </w:rPr>
        <w:t xml:space="preserve">Conservative </w:t>
      </w:r>
      <w:r w:rsidR="001E2ADA" w:rsidRPr="00002445">
        <w:rPr>
          <w:rFonts w:ascii="Times New Roman" w:hAnsi="Times New Roman" w:cs="Times New Roman"/>
        </w:rPr>
        <w:t>administration</w:t>
      </w:r>
      <w:r w:rsidR="005E758C" w:rsidRPr="00002445">
        <w:rPr>
          <w:rFonts w:ascii="Times New Roman" w:hAnsi="Times New Roman" w:cs="Times New Roman"/>
        </w:rPr>
        <w:t>,</w:t>
      </w:r>
      <w:r w:rsidR="001E2ADA" w:rsidRPr="00002445">
        <w:rPr>
          <w:rFonts w:ascii="Times New Roman" w:hAnsi="Times New Roman" w:cs="Times New Roman"/>
        </w:rPr>
        <w:t xml:space="preserve"> simultaneously to the economic transformations it wrought on the </w:t>
      </w:r>
      <w:r w:rsidRPr="00002445">
        <w:rPr>
          <w:rFonts w:ascii="Times New Roman" w:hAnsi="Times New Roman" w:cs="Times New Roman"/>
        </w:rPr>
        <w:t xml:space="preserve">UK </w:t>
      </w:r>
      <w:r w:rsidR="001E2ADA" w:rsidRPr="00002445">
        <w:rPr>
          <w:rFonts w:ascii="Times New Roman" w:hAnsi="Times New Roman" w:cs="Times New Roman"/>
        </w:rPr>
        <w:t xml:space="preserve">economy, also sought to re-structure </w:t>
      </w:r>
      <w:r w:rsidR="007044FC" w:rsidRPr="00002445">
        <w:rPr>
          <w:rFonts w:ascii="Times New Roman" w:hAnsi="Times New Roman" w:cs="Times New Roman"/>
        </w:rPr>
        <w:t xml:space="preserve">both </w:t>
      </w:r>
      <w:r w:rsidR="001E2ADA" w:rsidRPr="00002445">
        <w:rPr>
          <w:rFonts w:ascii="Times New Roman" w:hAnsi="Times New Roman" w:cs="Times New Roman"/>
        </w:rPr>
        <w:t xml:space="preserve">the </w:t>
      </w:r>
      <w:r w:rsidRPr="00002445">
        <w:rPr>
          <w:rFonts w:ascii="Times New Roman" w:hAnsi="Times New Roman" w:cs="Times New Roman"/>
        </w:rPr>
        <w:t xml:space="preserve">social security </w:t>
      </w:r>
      <w:r w:rsidR="001E2ADA" w:rsidRPr="00002445">
        <w:rPr>
          <w:rFonts w:ascii="Times New Roman" w:hAnsi="Times New Roman" w:cs="Times New Roman"/>
        </w:rPr>
        <w:t>system</w:t>
      </w:r>
      <w:r w:rsidR="007044FC" w:rsidRPr="00002445">
        <w:rPr>
          <w:rFonts w:ascii="Times New Roman" w:hAnsi="Times New Roman" w:cs="Times New Roman"/>
        </w:rPr>
        <w:t xml:space="preserve"> and the social housing system</w:t>
      </w:r>
      <w:r w:rsidR="001E2ADA" w:rsidRPr="00002445">
        <w:rPr>
          <w:rFonts w:ascii="Times New Roman" w:hAnsi="Times New Roman" w:cs="Times New Roman"/>
        </w:rPr>
        <w:t xml:space="preserve">. The </w:t>
      </w:r>
      <w:r w:rsidR="007044FC" w:rsidRPr="00002445">
        <w:rPr>
          <w:rFonts w:ascii="Times New Roman" w:hAnsi="Times New Roman" w:cs="Times New Roman"/>
        </w:rPr>
        <w:t xml:space="preserve">social security </w:t>
      </w:r>
      <w:r w:rsidRPr="00002445">
        <w:rPr>
          <w:rFonts w:ascii="Times New Roman" w:hAnsi="Times New Roman" w:cs="Times New Roman"/>
        </w:rPr>
        <w:t xml:space="preserve">model established in the 1940s assumed a system in which individuals paid into a scheme which they could access in times of need. Social welfare benefits covered retirement, widowhood, sickness, unemployment, child-rearing, housing costs and low incomes, some of which were means-tested. From 1979, the Conservative government (under Thatcher) radically altered the approach to welfare provision. Mabbett </w:t>
      </w:r>
      <w:r w:rsidR="004E2C55" w:rsidRPr="00002445">
        <w:rPr>
          <w:rFonts w:ascii="Times New Roman" w:hAnsi="Times New Roman" w:cs="Times New Roman"/>
        </w:rPr>
        <w:t>(2013</w:t>
      </w:r>
      <w:r w:rsidR="00783E33" w:rsidRPr="00002445">
        <w:rPr>
          <w:rFonts w:ascii="Times New Roman" w:hAnsi="Times New Roman" w:cs="Times New Roman"/>
        </w:rPr>
        <w:t xml:space="preserve">, </w:t>
      </w:r>
      <w:r w:rsidR="004E2C55" w:rsidRPr="00002445">
        <w:rPr>
          <w:rFonts w:ascii="Times New Roman" w:hAnsi="Times New Roman" w:cs="Times New Roman"/>
        </w:rPr>
        <w:t xml:space="preserve">43) </w:t>
      </w:r>
      <w:r w:rsidRPr="00002445">
        <w:rPr>
          <w:rFonts w:ascii="Times New Roman" w:hAnsi="Times New Roman" w:cs="Times New Roman"/>
        </w:rPr>
        <w:t>argue</w:t>
      </w:r>
      <w:r w:rsidR="005E758C" w:rsidRPr="00002445">
        <w:rPr>
          <w:rFonts w:ascii="Times New Roman" w:hAnsi="Times New Roman" w:cs="Times New Roman"/>
        </w:rPr>
        <w:t>d</w:t>
      </w:r>
      <w:r w:rsidRPr="00002445">
        <w:rPr>
          <w:rFonts w:ascii="Times New Roman" w:hAnsi="Times New Roman" w:cs="Times New Roman"/>
        </w:rPr>
        <w:t xml:space="preserve"> that: </w:t>
      </w:r>
    </w:p>
    <w:p w14:paraId="71855BAF" w14:textId="2A22354B" w:rsidR="0016705E" w:rsidRPr="00002445" w:rsidRDefault="0016705E" w:rsidP="009A3674">
      <w:pPr>
        <w:pStyle w:val="BodyText"/>
        <w:ind w:left="720"/>
        <w:rPr>
          <w:rFonts w:ascii="Times New Roman" w:hAnsi="Times New Roman" w:cs="Times New Roman"/>
        </w:rPr>
      </w:pPr>
      <w:r w:rsidRPr="00002445">
        <w:rPr>
          <w:rFonts w:ascii="Times New Roman" w:hAnsi="Times New Roman" w:cs="Times New Roman"/>
        </w:rPr>
        <w:t>The Thatcher government had a plan for rolling back the state based on a clear philosophy: that everything that could be privatised would be privatised, leaving only a residual role for the state in securing the living standards of the population… The norm should be that the market is the principal provider of welfare.</w:t>
      </w:r>
    </w:p>
    <w:p w14:paraId="241B4495" w14:textId="4895D072" w:rsidR="0016705E" w:rsidRPr="00002445" w:rsidRDefault="0016705E" w:rsidP="0016705E">
      <w:pPr>
        <w:pStyle w:val="BodyText"/>
        <w:rPr>
          <w:rFonts w:ascii="Times New Roman" w:hAnsi="Times New Roman" w:cs="Times New Roman"/>
        </w:rPr>
      </w:pPr>
      <w:r w:rsidRPr="00002445">
        <w:rPr>
          <w:rFonts w:ascii="Times New Roman" w:hAnsi="Times New Roman" w:cs="Times New Roman"/>
        </w:rPr>
        <w:t>The Conservatives’ assumption was that poverty was</w:t>
      </w:r>
      <w:r w:rsidRPr="00002445">
        <w:rPr>
          <w:rFonts w:ascii="Times New Roman" w:hAnsi="Times New Roman" w:cs="Times New Roman"/>
          <w:i/>
        </w:rPr>
        <w:t xml:space="preserve"> </w:t>
      </w:r>
      <w:r w:rsidRPr="00002445">
        <w:rPr>
          <w:rFonts w:ascii="Times New Roman" w:hAnsi="Times New Roman" w:cs="Times New Roman"/>
          <w:iCs/>
        </w:rPr>
        <w:t xml:space="preserve">not </w:t>
      </w:r>
      <w:r w:rsidRPr="00002445">
        <w:rPr>
          <w:rFonts w:ascii="Times New Roman" w:hAnsi="Times New Roman" w:cs="Times New Roman"/>
        </w:rPr>
        <w:t xml:space="preserve">a problem; rather public expenditure on welfare was a problem for the economy (Hill </w:t>
      </w:r>
      <w:r w:rsidR="00EC040D" w:rsidRPr="00002445">
        <w:rPr>
          <w:rFonts w:ascii="Times New Roman" w:hAnsi="Times New Roman" w:cs="Times New Roman"/>
        </w:rPr>
        <w:t>&amp;</w:t>
      </w:r>
      <w:r w:rsidRPr="00002445">
        <w:rPr>
          <w:rFonts w:ascii="Times New Roman" w:hAnsi="Times New Roman" w:cs="Times New Roman"/>
        </w:rPr>
        <w:t xml:space="preserve"> Walker, 2014). From 1980 there was a raft of legislation which changed the welfare state. During the eleven years that Thatcher was in office (1979-1990) there were 15 Acts of Parliament reforming social security.</w:t>
      </w:r>
    </w:p>
    <w:p w14:paraId="4522D348" w14:textId="191F603F" w:rsidR="0016705E" w:rsidRPr="00002445" w:rsidRDefault="0016705E" w:rsidP="0016705E">
      <w:pPr>
        <w:pStyle w:val="BodyText"/>
        <w:rPr>
          <w:rFonts w:ascii="Times New Roman" w:hAnsi="Times New Roman" w:cs="Times New Roman"/>
        </w:rPr>
      </w:pPr>
      <w:r w:rsidRPr="00002445">
        <w:rPr>
          <w:rFonts w:ascii="Times New Roman" w:hAnsi="Times New Roman" w:cs="Times New Roman"/>
        </w:rPr>
        <w:t>Whilst the proportion of national expenditure on social security increased during the 1980s (due to the growing number of people who were dependent on financial support), the Conservatives reduced all forms of social security provision</w:t>
      </w:r>
      <w:r w:rsidR="00987EBD" w:rsidRPr="00002445">
        <w:rPr>
          <w:rFonts w:ascii="Times New Roman" w:hAnsi="Times New Roman" w:cs="Times New Roman"/>
        </w:rPr>
        <w:t>:</w:t>
      </w:r>
      <w:r w:rsidRPr="00002445">
        <w:rPr>
          <w:rFonts w:ascii="Times New Roman" w:hAnsi="Times New Roman" w:cs="Times New Roman"/>
        </w:rPr>
        <w:t xml:space="preserve"> so although the </w:t>
      </w:r>
      <w:r w:rsidR="005E758C" w:rsidRPr="00002445">
        <w:rPr>
          <w:rFonts w:ascii="Times New Roman" w:hAnsi="Times New Roman" w:cs="Times New Roman"/>
        </w:rPr>
        <w:t>cash value</w:t>
      </w:r>
      <w:r w:rsidRPr="00002445">
        <w:rPr>
          <w:rFonts w:ascii="Times New Roman" w:hAnsi="Times New Roman" w:cs="Times New Roman"/>
        </w:rPr>
        <w:t xml:space="preserve"> spent on the social security system rose, each claimant received a smaller amount. </w:t>
      </w:r>
      <w:r w:rsidR="007F58DB" w:rsidRPr="00002445">
        <w:rPr>
          <w:rFonts w:ascii="Times New Roman" w:hAnsi="Times New Roman" w:cs="Times New Roman"/>
        </w:rPr>
        <w:t>T</w:t>
      </w:r>
      <w:r w:rsidRPr="00002445">
        <w:rPr>
          <w:rFonts w:ascii="Times New Roman" w:hAnsi="Times New Roman" w:cs="Times New Roman"/>
        </w:rPr>
        <w:t xml:space="preserve">here were two Social Security Acts in 1980 and the minister introducing the first Bill admitted that the proposed changes would be “unpalatable” to many MPs (Hansard, 1979). </w:t>
      </w:r>
      <w:r w:rsidR="007F58DB" w:rsidRPr="00002445">
        <w:rPr>
          <w:rFonts w:ascii="Times New Roman" w:hAnsi="Times New Roman" w:cs="Times New Roman"/>
        </w:rPr>
        <w:t>T</w:t>
      </w:r>
      <w:r w:rsidRPr="00002445">
        <w:rPr>
          <w:rFonts w:ascii="Times New Roman" w:hAnsi="Times New Roman" w:cs="Times New Roman"/>
        </w:rPr>
        <w:t xml:space="preserve">he </w:t>
      </w:r>
      <w:r w:rsidR="007F58DB" w:rsidRPr="00002445">
        <w:rPr>
          <w:rFonts w:ascii="Times New Roman" w:hAnsi="Times New Roman" w:cs="Times New Roman"/>
        </w:rPr>
        <w:t xml:space="preserve">first 1980 </w:t>
      </w:r>
      <w:r w:rsidRPr="00002445">
        <w:rPr>
          <w:rFonts w:ascii="Times New Roman" w:hAnsi="Times New Roman" w:cs="Times New Roman"/>
        </w:rPr>
        <w:t xml:space="preserve">Social Security Act installed a much tighter and complex set of regulations on who could claim what and removed the discretionary system that operated Supplementary Benefits. The </w:t>
      </w:r>
      <w:r w:rsidR="007F58DB" w:rsidRPr="00002445">
        <w:rPr>
          <w:rFonts w:ascii="Times New Roman" w:hAnsi="Times New Roman" w:cs="Times New Roman"/>
        </w:rPr>
        <w:t xml:space="preserve">second </w:t>
      </w:r>
      <w:r w:rsidRPr="00002445">
        <w:rPr>
          <w:rFonts w:ascii="Times New Roman" w:hAnsi="Times New Roman" w:cs="Times New Roman"/>
        </w:rPr>
        <w:t xml:space="preserve">Social Security Act of </w:t>
      </w:r>
      <w:r w:rsidRPr="00002445">
        <w:rPr>
          <w:rFonts w:ascii="Times New Roman" w:hAnsi="Times New Roman" w:cs="Times New Roman"/>
        </w:rPr>
        <w:lastRenderedPageBreak/>
        <w:t>1980 introduced new uprating rules</w:t>
      </w:r>
      <w:r w:rsidR="00F757F2" w:rsidRPr="00002445">
        <w:rPr>
          <w:rStyle w:val="FootnoteReference"/>
          <w:rFonts w:ascii="Times New Roman" w:hAnsi="Times New Roman" w:cs="Times New Roman"/>
        </w:rPr>
        <w:footnoteReference w:id="2"/>
      </w:r>
      <w:r w:rsidRPr="00002445">
        <w:rPr>
          <w:rFonts w:ascii="Times New Roman" w:hAnsi="Times New Roman" w:cs="Times New Roman"/>
        </w:rPr>
        <w:t xml:space="preserve"> for unemployment and sickness benefits, reduced access to Sickness Benefit and cut benefits for those on strike. This Act also abolished earnings-related supplements, reducing family incomes (affecting children, Atkinson, 1989, by moving them onto supplementary benefit). Davidson notes that “cutting back benefit levels made savings, but it also allowed benefits to “wither on the vine” as their value diminished (2020</w:t>
      </w:r>
      <w:r w:rsidR="008A40C5" w:rsidRPr="00002445">
        <w:rPr>
          <w:rFonts w:ascii="Times New Roman" w:hAnsi="Times New Roman" w:cs="Times New Roman"/>
        </w:rPr>
        <w:t xml:space="preserve">, </w:t>
      </w:r>
      <w:r w:rsidRPr="00002445">
        <w:rPr>
          <w:rFonts w:ascii="Times New Roman" w:hAnsi="Times New Roman" w:cs="Times New Roman"/>
        </w:rPr>
        <w:t>215).</w:t>
      </w:r>
    </w:p>
    <w:p w14:paraId="7B52B4CC" w14:textId="1959B4DE" w:rsidR="00573498" w:rsidRPr="00002445" w:rsidRDefault="0016705E" w:rsidP="0016705E">
      <w:pPr>
        <w:pStyle w:val="BodyText"/>
        <w:rPr>
          <w:rFonts w:ascii="Times New Roman" w:hAnsi="Times New Roman" w:cs="Times New Roman"/>
        </w:rPr>
      </w:pPr>
      <w:r w:rsidRPr="00002445">
        <w:rPr>
          <w:rFonts w:ascii="Times New Roman" w:hAnsi="Times New Roman" w:cs="Times New Roman"/>
        </w:rPr>
        <w:t>Another technique to reduce the welfare budget, was a cut to social housing subsidies and to replace these with means-tested Housing Benefit (</w:t>
      </w:r>
      <w:r w:rsidR="007F58DB" w:rsidRPr="00002445">
        <w:rPr>
          <w:rFonts w:ascii="Times New Roman" w:hAnsi="Times New Roman" w:cs="Times New Roman"/>
        </w:rPr>
        <w:t xml:space="preserve">from </w:t>
      </w:r>
      <w:r w:rsidRPr="00002445">
        <w:rPr>
          <w:rFonts w:ascii="Times New Roman" w:hAnsi="Times New Roman" w:cs="Times New Roman"/>
        </w:rPr>
        <w:t>1982). New DHSS regulations introduced in 1983 placed limits on payments relating to ‘Board and Lodging’ for unemployed people under-25 years. Marwick (2003</w:t>
      </w:r>
      <w:r w:rsidR="008A40C5" w:rsidRPr="00002445">
        <w:rPr>
          <w:rFonts w:ascii="Times New Roman" w:hAnsi="Times New Roman" w:cs="Times New Roman"/>
        </w:rPr>
        <w:t xml:space="preserve">, </w:t>
      </w:r>
      <w:r w:rsidRPr="00002445">
        <w:rPr>
          <w:rFonts w:ascii="Times New Roman" w:hAnsi="Times New Roman" w:cs="Times New Roman"/>
        </w:rPr>
        <w:t>310-311) lists a variety of economically vulnerable groups (older unemployed men in former industrial areas, females in part-time positions, older people, younger people and single-parent families) as amongst those experiencing the sharpest cuts in welfare provision, resulting in increased deprivation, neglect, increasing atomisation and social divisions (Marwick, 2003</w:t>
      </w:r>
      <w:r w:rsidR="00D678C6" w:rsidRPr="00002445">
        <w:rPr>
          <w:rFonts w:ascii="Times New Roman" w:hAnsi="Times New Roman" w:cs="Times New Roman"/>
        </w:rPr>
        <w:t xml:space="preserve">, </w:t>
      </w:r>
      <w:r w:rsidRPr="00002445">
        <w:rPr>
          <w:rFonts w:ascii="Times New Roman" w:hAnsi="Times New Roman" w:cs="Times New Roman"/>
        </w:rPr>
        <w:t>372). Indeed, the 1986 Social Security Act reforms had the net effect of further reducing the benefits of those under 25 years of age, without children, and the unemployed (Timmins, 2001</w:t>
      </w:r>
      <w:r w:rsidR="00D678C6" w:rsidRPr="00002445">
        <w:rPr>
          <w:rFonts w:ascii="Times New Roman" w:hAnsi="Times New Roman" w:cs="Times New Roman"/>
        </w:rPr>
        <w:t xml:space="preserve">, </w:t>
      </w:r>
      <w:r w:rsidRPr="00002445">
        <w:rPr>
          <w:rFonts w:ascii="Times New Roman" w:hAnsi="Times New Roman" w:cs="Times New Roman"/>
        </w:rPr>
        <w:t>399). From April 1988 (following the 1986 Social Security Act, Black, 2004</w:t>
      </w:r>
      <w:r w:rsidR="00D678C6" w:rsidRPr="00002445">
        <w:rPr>
          <w:rFonts w:ascii="Times New Roman" w:hAnsi="Times New Roman" w:cs="Times New Roman"/>
        </w:rPr>
        <w:t xml:space="preserve">, </w:t>
      </w:r>
      <w:r w:rsidRPr="00002445">
        <w:rPr>
          <w:rFonts w:ascii="Times New Roman" w:hAnsi="Times New Roman" w:cs="Times New Roman"/>
        </w:rPr>
        <w:t>135), 16</w:t>
      </w:r>
      <w:r w:rsidR="00987EBD" w:rsidRPr="00002445">
        <w:rPr>
          <w:rFonts w:ascii="Times New Roman" w:hAnsi="Times New Roman" w:cs="Times New Roman"/>
        </w:rPr>
        <w:t>-</w:t>
      </w:r>
      <w:r w:rsidRPr="00002445">
        <w:rPr>
          <w:rFonts w:ascii="Times New Roman" w:hAnsi="Times New Roman" w:cs="Times New Roman"/>
        </w:rPr>
        <w:t>17</w:t>
      </w:r>
      <w:r w:rsidR="00DE70DA" w:rsidRPr="00002445">
        <w:rPr>
          <w:rFonts w:ascii="Times New Roman" w:hAnsi="Times New Roman" w:cs="Times New Roman"/>
        </w:rPr>
        <w:t>-</w:t>
      </w:r>
      <w:r w:rsidRPr="00002445">
        <w:rPr>
          <w:rFonts w:ascii="Times New Roman" w:hAnsi="Times New Roman" w:cs="Times New Roman"/>
        </w:rPr>
        <w:t>year</w:t>
      </w:r>
      <w:r w:rsidR="00DE70DA" w:rsidRPr="00002445">
        <w:rPr>
          <w:rFonts w:ascii="Times New Roman" w:hAnsi="Times New Roman" w:cs="Times New Roman"/>
        </w:rPr>
        <w:t>-</w:t>
      </w:r>
      <w:r w:rsidRPr="00002445">
        <w:rPr>
          <w:rFonts w:ascii="Times New Roman" w:hAnsi="Times New Roman" w:cs="Times New Roman"/>
        </w:rPr>
        <w:t>olds were no longer eligible for income support, instead needing to register for Youth Training Schemes (Timmins, 2001</w:t>
      </w:r>
      <w:r w:rsidR="00F4709C" w:rsidRPr="00002445">
        <w:rPr>
          <w:rFonts w:ascii="Times New Roman" w:hAnsi="Times New Roman" w:cs="Times New Roman"/>
        </w:rPr>
        <w:t xml:space="preserve">, </w:t>
      </w:r>
      <w:r w:rsidRPr="00002445">
        <w:rPr>
          <w:rFonts w:ascii="Times New Roman" w:hAnsi="Times New Roman" w:cs="Times New Roman"/>
        </w:rPr>
        <w:t>447; Cook, 1989). However, the Youth Training Scheme ignored the fact that many young people had left home after abuse, were released from care, or could not secure a Youth Training Scheme place. These young people ended up on the streets (Timmins, 2001</w:t>
      </w:r>
      <w:r w:rsidR="00F4709C" w:rsidRPr="00002445">
        <w:rPr>
          <w:rFonts w:ascii="Times New Roman" w:hAnsi="Times New Roman" w:cs="Times New Roman"/>
        </w:rPr>
        <w:t xml:space="preserve">, </w:t>
      </w:r>
      <w:r w:rsidRPr="00002445">
        <w:rPr>
          <w:rFonts w:ascii="Times New Roman" w:hAnsi="Times New Roman" w:cs="Times New Roman"/>
        </w:rPr>
        <w:t>447</w:t>
      </w:r>
      <w:r w:rsidR="00987EBD" w:rsidRPr="00002445">
        <w:rPr>
          <w:rFonts w:ascii="Times New Roman" w:hAnsi="Times New Roman" w:cs="Times New Roman"/>
        </w:rPr>
        <w:t>-</w:t>
      </w:r>
      <w:r w:rsidRPr="00002445">
        <w:rPr>
          <w:rFonts w:ascii="Times New Roman" w:hAnsi="Times New Roman" w:cs="Times New Roman"/>
        </w:rPr>
        <w:t>448). McGlone (1990) reports that the 1986 Social Security Act pursued the trend to ‘lesser eligibility’ and compelled young adults to accept low-wage jobs, particularly under-18s leaving school, who were excluded from the social security system, but were now eligible for places on Youth Training Schemes (Dominelli, 1988). Thane (2018) notes the impact of the increasingly complex welfare system was that significant numbers of eligible recipients failed to apply for support, causing further financial stress.</w:t>
      </w:r>
    </w:p>
    <w:p w14:paraId="0746413A" w14:textId="20A11042" w:rsidR="007044FC" w:rsidRPr="00002445" w:rsidRDefault="007044FC" w:rsidP="0016705E">
      <w:pPr>
        <w:pStyle w:val="BodyText"/>
        <w:rPr>
          <w:rFonts w:ascii="Times New Roman" w:hAnsi="Times New Roman" w:cs="Times New Roman"/>
        </w:rPr>
      </w:pPr>
      <w:r w:rsidRPr="00002445">
        <w:rPr>
          <w:rFonts w:ascii="Times New Roman" w:hAnsi="Times New Roman" w:cs="Times New Roman"/>
        </w:rPr>
        <w:t xml:space="preserve">The housing market was </w:t>
      </w:r>
      <w:r w:rsidR="00987EBD" w:rsidRPr="00002445">
        <w:rPr>
          <w:rFonts w:ascii="Times New Roman" w:hAnsi="Times New Roman" w:cs="Times New Roman"/>
        </w:rPr>
        <w:t xml:space="preserve">also </w:t>
      </w:r>
      <w:r w:rsidRPr="00002445">
        <w:rPr>
          <w:rFonts w:ascii="Times New Roman" w:hAnsi="Times New Roman" w:cs="Times New Roman"/>
        </w:rPr>
        <w:t xml:space="preserve">substantially re-organized by the Thatcher administration following the 1980 </w:t>
      </w:r>
      <w:r w:rsidR="00590A0B" w:rsidRPr="00002445">
        <w:rPr>
          <w:rFonts w:ascii="Times New Roman" w:hAnsi="Times New Roman" w:cs="Times New Roman"/>
        </w:rPr>
        <w:t xml:space="preserve">and subsequent </w:t>
      </w:r>
      <w:r w:rsidRPr="00002445">
        <w:rPr>
          <w:rFonts w:ascii="Times New Roman" w:hAnsi="Times New Roman" w:cs="Times New Roman"/>
        </w:rPr>
        <w:t>Housing Act</w:t>
      </w:r>
      <w:r w:rsidR="00590A0B" w:rsidRPr="00002445">
        <w:rPr>
          <w:rFonts w:ascii="Times New Roman" w:hAnsi="Times New Roman" w:cs="Times New Roman"/>
        </w:rPr>
        <w:t>s</w:t>
      </w:r>
      <w:r w:rsidRPr="00002445">
        <w:rPr>
          <w:rFonts w:ascii="Times New Roman" w:hAnsi="Times New Roman" w:cs="Times New Roman"/>
        </w:rPr>
        <w:t xml:space="preserve">. The 1980 Housing Act allowed for the sale of council housing to tenants, </w:t>
      </w:r>
      <w:r w:rsidR="00590A0B" w:rsidRPr="00002445">
        <w:rPr>
          <w:rFonts w:ascii="Times New Roman" w:hAnsi="Times New Roman" w:cs="Times New Roman"/>
        </w:rPr>
        <w:t xml:space="preserve">and subsequent Acts discouraged local councils from building new housing. This </w:t>
      </w:r>
      <w:r w:rsidRPr="00002445">
        <w:rPr>
          <w:rFonts w:ascii="Times New Roman" w:hAnsi="Times New Roman" w:cs="Times New Roman"/>
        </w:rPr>
        <w:t>result</w:t>
      </w:r>
      <w:r w:rsidR="00590A0B" w:rsidRPr="00002445">
        <w:rPr>
          <w:rFonts w:ascii="Times New Roman" w:hAnsi="Times New Roman" w:cs="Times New Roman"/>
        </w:rPr>
        <w:t xml:space="preserve">ed </w:t>
      </w:r>
      <w:r w:rsidRPr="00002445">
        <w:rPr>
          <w:rFonts w:ascii="Times New Roman" w:hAnsi="Times New Roman" w:cs="Times New Roman"/>
        </w:rPr>
        <w:t xml:space="preserve">in </w:t>
      </w:r>
      <w:r w:rsidR="00590A0B" w:rsidRPr="00002445">
        <w:rPr>
          <w:rFonts w:ascii="Times New Roman" w:hAnsi="Times New Roman" w:cs="Times New Roman"/>
        </w:rPr>
        <w:t>the</w:t>
      </w:r>
      <w:r w:rsidRPr="00002445">
        <w:rPr>
          <w:rFonts w:ascii="Times New Roman" w:hAnsi="Times New Roman" w:cs="Times New Roman"/>
        </w:rPr>
        <w:t xml:space="preserve"> residuali</w:t>
      </w:r>
      <w:r w:rsidR="00987EBD" w:rsidRPr="00002445">
        <w:rPr>
          <w:rFonts w:ascii="Times New Roman" w:hAnsi="Times New Roman" w:cs="Times New Roman"/>
        </w:rPr>
        <w:t>s</w:t>
      </w:r>
      <w:r w:rsidRPr="00002445">
        <w:rPr>
          <w:rFonts w:ascii="Times New Roman" w:hAnsi="Times New Roman" w:cs="Times New Roman"/>
        </w:rPr>
        <w:t xml:space="preserve">ation of housing stock </w:t>
      </w:r>
      <w:r w:rsidR="00590A0B" w:rsidRPr="00002445">
        <w:rPr>
          <w:rFonts w:ascii="Times New Roman" w:hAnsi="Times New Roman" w:cs="Times New Roman"/>
        </w:rPr>
        <w:t xml:space="preserve">(as the better-quality stock was bought by its tenants, and councils were left with poorer accommodation such as high-rise flats in harder to let estates). The economic downturn and the loss of jobs in manufacturing </w:t>
      </w:r>
      <w:r w:rsidRPr="00002445">
        <w:rPr>
          <w:rFonts w:ascii="Times New Roman" w:hAnsi="Times New Roman" w:cs="Times New Roman"/>
        </w:rPr>
        <w:t>increas</w:t>
      </w:r>
      <w:r w:rsidR="00590A0B" w:rsidRPr="00002445">
        <w:rPr>
          <w:rFonts w:ascii="Times New Roman" w:hAnsi="Times New Roman" w:cs="Times New Roman"/>
        </w:rPr>
        <w:t>ed</w:t>
      </w:r>
      <w:r w:rsidRPr="00002445">
        <w:rPr>
          <w:rFonts w:ascii="Times New Roman" w:hAnsi="Times New Roman" w:cs="Times New Roman"/>
        </w:rPr>
        <w:t xml:space="preserve"> reliance on this tenure type amongst the poorest sections of society (Farrall et al</w:t>
      </w:r>
      <w:r w:rsidR="00584AFA" w:rsidRPr="00002445">
        <w:rPr>
          <w:rFonts w:ascii="Times New Roman" w:hAnsi="Times New Roman" w:cs="Times New Roman"/>
        </w:rPr>
        <w:t>.</w:t>
      </w:r>
      <w:r w:rsidRPr="00002445">
        <w:rPr>
          <w:rFonts w:ascii="Times New Roman" w:hAnsi="Times New Roman" w:cs="Times New Roman"/>
        </w:rPr>
        <w:t>, 2016)</w:t>
      </w:r>
      <w:r w:rsidR="00590A0B" w:rsidRPr="00002445">
        <w:rPr>
          <w:rFonts w:ascii="Times New Roman" w:hAnsi="Times New Roman" w:cs="Times New Roman"/>
        </w:rPr>
        <w:t>, which, being geographically unevenly distributed in Britain, meant that disadvantaged housing estates were clustered together and housed communities where fewer people worked</w:t>
      </w:r>
      <w:r w:rsidRPr="00002445">
        <w:rPr>
          <w:rFonts w:ascii="Times New Roman" w:hAnsi="Times New Roman" w:cs="Times New Roman"/>
        </w:rPr>
        <w:t xml:space="preserve">. </w:t>
      </w:r>
      <w:r w:rsidR="00590A0B" w:rsidRPr="00002445">
        <w:rPr>
          <w:rFonts w:ascii="Times New Roman" w:hAnsi="Times New Roman" w:cs="Times New Roman"/>
        </w:rPr>
        <w:t>In short, working</w:t>
      </w:r>
      <w:r w:rsidR="00987EBD" w:rsidRPr="00002445">
        <w:rPr>
          <w:rFonts w:ascii="Times New Roman" w:hAnsi="Times New Roman" w:cs="Times New Roman"/>
        </w:rPr>
        <w:t>-</w:t>
      </w:r>
      <w:r w:rsidR="00590A0B" w:rsidRPr="00002445">
        <w:rPr>
          <w:rFonts w:ascii="Times New Roman" w:hAnsi="Times New Roman" w:cs="Times New Roman"/>
        </w:rPr>
        <w:t xml:space="preserve">class families were corralled into larger housing estates were worklessness was common and where poverty became endemic. </w:t>
      </w:r>
    </w:p>
    <w:p w14:paraId="612AFE05" w14:textId="52E7542F" w:rsidR="0016705E" w:rsidRPr="00002445" w:rsidRDefault="00590A0B" w:rsidP="0016705E">
      <w:pPr>
        <w:pStyle w:val="BodyText"/>
        <w:rPr>
          <w:rFonts w:ascii="Times New Roman" w:hAnsi="Times New Roman" w:cs="Times New Roman"/>
        </w:rPr>
      </w:pPr>
      <w:r w:rsidRPr="00002445">
        <w:rPr>
          <w:rFonts w:ascii="Times New Roman" w:hAnsi="Times New Roman" w:cs="Times New Roman"/>
        </w:rPr>
        <w:t>Welfare systems</w:t>
      </w:r>
      <w:r w:rsidR="007F58DB" w:rsidRPr="00002445">
        <w:rPr>
          <w:rFonts w:ascii="Times New Roman" w:hAnsi="Times New Roman" w:cs="Times New Roman"/>
        </w:rPr>
        <w:t>, of course,</w:t>
      </w:r>
      <w:r w:rsidR="0016705E" w:rsidRPr="00002445">
        <w:rPr>
          <w:rFonts w:ascii="Times New Roman" w:hAnsi="Times New Roman" w:cs="Times New Roman"/>
        </w:rPr>
        <w:t xml:space="preserve"> do not exist in a vacuum, and the context in which welfare was cut coincided with sustained efforts by the government to stigmatise welfare claimants as ‘scroungers’ and ‘cheats’ (Crewe </w:t>
      </w:r>
      <w:r w:rsidR="0002568A" w:rsidRPr="00002445">
        <w:rPr>
          <w:rFonts w:ascii="Times New Roman" w:hAnsi="Times New Roman" w:cs="Times New Roman"/>
        </w:rPr>
        <w:t>&amp;</w:t>
      </w:r>
      <w:r w:rsidR="0016705E" w:rsidRPr="00002445">
        <w:rPr>
          <w:rFonts w:ascii="Times New Roman" w:hAnsi="Times New Roman" w:cs="Times New Roman"/>
        </w:rPr>
        <w:t xml:space="preserve"> Searing, 1988)</w:t>
      </w:r>
      <w:r w:rsidR="005204ED" w:rsidRPr="00002445">
        <w:rPr>
          <w:rFonts w:ascii="Times New Roman" w:hAnsi="Times New Roman" w:cs="Times New Roman"/>
        </w:rPr>
        <w:t>,</w:t>
      </w:r>
      <w:r w:rsidR="0016705E" w:rsidRPr="00002445">
        <w:rPr>
          <w:rFonts w:ascii="Times New Roman" w:hAnsi="Times New Roman" w:cs="Times New Roman"/>
        </w:rPr>
        <w:t xml:space="preserve"> growing inequality (Goodman </w:t>
      </w:r>
      <w:r w:rsidR="0002568A" w:rsidRPr="00002445">
        <w:rPr>
          <w:rFonts w:ascii="Times New Roman" w:hAnsi="Times New Roman" w:cs="Times New Roman"/>
        </w:rPr>
        <w:t>&amp;</w:t>
      </w:r>
      <w:r w:rsidR="0016705E" w:rsidRPr="00002445">
        <w:rPr>
          <w:rFonts w:ascii="Times New Roman" w:hAnsi="Times New Roman" w:cs="Times New Roman"/>
        </w:rPr>
        <w:t xml:space="preserve"> Webb, 1994; Murie, 1997)</w:t>
      </w:r>
      <w:r w:rsidR="005204ED" w:rsidRPr="00002445">
        <w:rPr>
          <w:rFonts w:ascii="Times New Roman" w:hAnsi="Times New Roman" w:cs="Times New Roman"/>
        </w:rPr>
        <w:t xml:space="preserve">, </w:t>
      </w:r>
      <w:r w:rsidR="0016705E" w:rsidRPr="00002445">
        <w:rPr>
          <w:rFonts w:ascii="Times New Roman" w:hAnsi="Times New Roman" w:cs="Times New Roman"/>
        </w:rPr>
        <w:t xml:space="preserve">high unemployment (Albertson </w:t>
      </w:r>
      <w:r w:rsidR="0002568A" w:rsidRPr="00002445">
        <w:rPr>
          <w:rFonts w:ascii="Times New Roman" w:hAnsi="Times New Roman" w:cs="Times New Roman"/>
        </w:rPr>
        <w:t>&amp;</w:t>
      </w:r>
      <w:r w:rsidR="0016705E" w:rsidRPr="00002445">
        <w:rPr>
          <w:rFonts w:ascii="Times New Roman" w:hAnsi="Times New Roman" w:cs="Times New Roman"/>
        </w:rPr>
        <w:t xml:space="preserve"> Stepson, 2019) and decreasing and deteriorating social housing provision (JFR, 2009; Murie, 2014). </w:t>
      </w:r>
    </w:p>
    <w:p w14:paraId="1EA39EEF" w14:textId="0950B524" w:rsidR="0016705E" w:rsidRPr="00002445" w:rsidRDefault="0072504F">
      <w:pPr>
        <w:pStyle w:val="BodyText"/>
        <w:rPr>
          <w:rFonts w:ascii="Times New Roman" w:hAnsi="Times New Roman" w:cs="Times New Roman"/>
        </w:rPr>
      </w:pPr>
      <w:r w:rsidRPr="00002445">
        <w:rPr>
          <w:rFonts w:ascii="Times New Roman" w:hAnsi="Times New Roman" w:cs="Times New Roman"/>
        </w:rPr>
        <w:lastRenderedPageBreak/>
        <w:t xml:space="preserve">Taken together, the challenges faced by the economy throughout the 1980s and the cuts to social security budgets and the programme of welfare retrenchment meant </w:t>
      </w:r>
      <w:r w:rsidR="00EA5762" w:rsidRPr="00002445">
        <w:rPr>
          <w:rFonts w:ascii="Times New Roman" w:hAnsi="Times New Roman" w:cs="Times New Roman"/>
        </w:rPr>
        <w:t>a dramatic rise of insecurity for certain social groups: M</w:t>
      </w:r>
      <w:r w:rsidRPr="00002445">
        <w:rPr>
          <w:rFonts w:ascii="Times New Roman" w:hAnsi="Times New Roman" w:cs="Times New Roman"/>
        </w:rPr>
        <w:t>any young, more vulnerable individuals</w:t>
      </w:r>
      <w:r w:rsidR="005E758C" w:rsidRPr="00002445">
        <w:rPr>
          <w:rFonts w:ascii="Times New Roman" w:hAnsi="Times New Roman" w:cs="Times New Roman"/>
        </w:rPr>
        <w:t>,</w:t>
      </w:r>
      <w:r w:rsidRPr="00002445">
        <w:rPr>
          <w:rFonts w:ascii="Times New Roman" w:hAnsi="Times New Roman" w:cs="Times New Roman"/>
        </w:rPr>
        <w:t xml:space="preserve"> living in the </w:t>
      </w:r>
      <w:r w:rsidR="00E5453E" w:rsidRPr="00002445">
        <w:rPr>
          <w:rFonts w:ascii="Times New Roman" w:hAnsi="Times New Roman" w:cs="Times New Roman"/>
        </w:rPr>
        <w:t xml:space="preserve">Britain’s </w:t>
      </w:r>
      <w:r w:rsidRPr="00002445">
        <w:rPr>
          <w:rFonts w:ascii="Times New Roman" w:hAnsi="Times New Roman" w:cs="Times New Roman"/>
        </w:rPr>
        <w:t xml:space="preserve">former-industrial heartlands found themselves without secure (or any) employment, living in communities in which work had evaporated and in which </w:t>
      </w:r>
      <w:r w:rsidR="00485643" w:rsidRPr="00002445">
        <w:rPr>
          <w:rFonts w:ascii="Times New Roman" w:hAnsi="Times New Roman" w:cs="Times New Roman"/>
        </w:rPr>
        <w:t xml:space="preserve">their political voice and power was removed from them via the defeat of the trade unions movement and the relegation of their sectorial interests. This was a recipe for hopelessness, especially amongst young people born in the 1970s and who were growing up in such communities during the 1970s and 1980s. </w:t>
      </w:r>
    </w:p>
    <w:p w14:paraId="7A55DAFD" w14:textId="77777777" w:rsidR="00A66F6A" w:rsidRPr="00002445" w:rsidRDefault="00A66F6A">
      <w:pPr>
        <w:pStyle w:val="BodyText"/>
        <w:rPr>
          <w:rFonts w:ascii="Times New Roman" w:hAnsi="Times New Roman" w:cs="Times New Roman"/>
        </w:rPr>
      </w:pPr>
    </w:p>
    <w:p w14:paraId="6EBEC961" w14:textId="07DF71E7" w:rsidR="00A66F6A" w:rsidRPr="00002445" w:rsidRDefault="00A66F6A" w:rsidP="00383B74">
      <w:pPr>
        <w:pStyle w:val="Heading2"/>
        <w:rPr>
          <w:rFonts w:ascii="Times New Roman" w:hAnsi="Times New Roman" w:cs="Times New Roman"/>
          <w:color w:val="auto"/>
        </w:rPr>
      </w:pPr>
      <w:bookmarkStart w:id="6" w:name="_Hlk150180646"/>
      <w:r w:rsidRPr="00002445">
        <w:rPr>
          <w:rFonts w:ascii="Times New Roman" w:hAnsi="Times New Roman" w:cs="Times New Roman"/>
          <w:color w:val="auto"/>
        </w:rPr>
        <w:t xml:space="preserve">4.3 </w:t>
      </w:r>
      <w:r w:rsidR="00AD43DC" w:rsidRPr="00002445">
        <w:rPr>
          <w:rFonts w:ascii="Times New Roman" w:hAnsi="Times New Roman" w:cs="Times New Roman"/>
          <w:color w:val="auto"/>
        </w:rPr>
        <w:t>Social dislocations,</w:t>
      </w:r>
      <w:r w:rsidR="00F001C4" w:rsidRPr="00002445">
        <w:rPr>
          <w:rFonts w:ascii="Times New Roman" w:hAnsi="Times New Roman" w:cs="Times New Roman"/>
          <w:color w:val="auto"/>
        </w:rPr>
        <w:t xml:space="preserve"> individual</w:t>
      </w:r>
      <w:r w:rsidR="00AD43DC" w:rsidRPr="00002445">
        <w:rPr>
          <w:rFonts w:ascii="Times New Roman" w:hAnsi="Times New Roman" w:cs="Times New Roman"/>
          <w:color w:val="auto"/>
        </w:rPr>
        <w:t xml:space="preserve"> </w:t>
      </w:r>
      <w:r w:rsidR="00F001C4" w:rsidRPr="00002445">
        <w:rPr>
          <w:rFonts w:ascii="Times New Roman" w:hAnsi="Times New Roman" w:cs="Times New Roman"/>
          <w:color w:val="auto"/>
        </w:rPr>
        <w:t>loss</w:t>
      </w:r>
      <w:r w:rsidR="00AD43DC" w:rsidRPr="00002445">
        <w:rPr>
          <w:rFonts w:ascii="Times New Roman" w:hAnsi="Times New Roman" w:cs="Times New Roman"/>
          <w:color w:val="auto"/>
        </w:rPr>
        <w:t xml:space="preserve"> and heroin use</w:t>
      </w:r>
    </w:p>
    <w:p w14:paraId="286C3D6E" w14:textId="7841D2F5" w:rsidR="003E05DB" w:rsidRPr="00002445" w:rsidRDefault="005204ED" w:rsidP="00A66F6A">
      <w:pPr>
        <w:pStyle w:val="BodyText"/>
        <w:rPr>
          <w:rFonts w:ascii="Times New Roman" w:hAnsi="Times New Roman" w:cs="Times New Roman"/>
        </w:rPr>
      </w:pPr>
      <w:r w:rsidRPr="00002445">
        <w:rPr>
          <w:rFonts w:ascii="Times New Roman" w:hAnsi="Times New Roman" w:cs="Times New Roman"/>
        </w:rPr>
        <w:t>Against this period of social and economic turbulence described above, it is hardly surprising that drugs such as heroin, which ‘took the pain away’ and relieved the sense of despair, both expressions of normlessness and anomie (Durkheim, 1898</w:t>
      </w:r>
      <w:r w:rsidR="00E043B5" w:rsidRPr="00002445">
        <w:rPr>
          <w:rFonts w:ascii="Times New Roman" w:hAnsi="Times New Roman" w:cs="Times New Roman"/>
        </w:rPr>
        <w:t>;</w:t>
      </w:r>
      <w:r w:rsidRPr="00002445">
        <w:rPr>
          <w:rFonts w:ascii="Times New Roman" w:hAnsi="Times New Roman" w:cs="Times New Roman"/>
        </w:rPr>
        <w:t xml:space="preserve"> Merton, 1938</w:t>
      </w:r>
      <w:r w:rsidR="00E043B5" w:rsidRPr="00002445">
        <w:rPr>
          <w:rFonts w:ascii="Times New Roman" w:hAnsi="Times New Roman" w:cs="Times New Roman"/>
        </w:rPr>
        <w:t>;</w:t>
      </w:r>
      <w:r w:rsidRPr="00002445">
        <w:rPr>
          <w:rFonts w:ascii="Times New Roman" w:hAnsi="Times New Roman" w:cs="Times New Roman"/>
        </w:rPr>
        <w:t xml:space="preserve"> Agnew, 1985), started to emerge in some of these communities. </w:t>
      </w:r>
      <w:r w:rsidR="00A66F6A" w:rsidRPr="00002445">
        <w:rPr>
          <w:rFonts w:ascii="Times New Roman" w:hAnsi="Times New Roman" w:cs="Times New Roman"/>
        </w:rPr>
        <w:t xml:space="preserve">Our theorising </w:t>
      </w:r>
      <w:r w:rsidRPr="00002445">
        <w:rPr>
          <w:rFonts w:ascii="Times New Roman" w:hAnsi="Times New Roman" w:cs="Times New Roman"/>
        </w:rPr>
        <w:t xml:space="preserve">of why drug use increased as a consequence of the dislocations, </w:t>
      </w:r>
      <w:r w:rsidR="00A66F6A" w:rsidRPr="00002445">
        <w:rPr>
          <w:rFonts w:ascii="Times New Roman" w:hAnsi="Times New Roman" w:cs="Times New Roman"/>
        </w:rPr>
        <w:t xml:space="preserve">draws </w:t>
      </w:r>
      <w:r w:rsidR="00AB363F" w:rsidRPr="00002445">
        <w:rPr>
          <w:rFonts w:ascii="Times New Roman" w:hAnsi="Times New Roman" w:cs="Times New Roman"/>
        </w:rPr>
        <w:t xml:space="preserve">upon </w:t>
      </w:r>
      <w:r w:rsidR="006F0EB3" w:rsidRPr="00002445">
        <w:rPr>
          <w:rFonts w:ascii="Times New Roman" w:hAnsi="Times New Roman" w:cs="Times New Roman"/>
        </w:rPr>
        <w:t xml:space="preserve">on </w:t>
      </w:r>
      <w:r w:rsidR="00A66F6A" w:rsidRPr="00002445">
        <w:rPr>
          <w:rFonts w:ascii="Times New Roman" w:hAnsi="Times New Roman" w:cs="Times New Roman"/>
        </w:rPr>
        <w:t>Durkheim (1858-1917)</w:t>
      </w:r>
      <w:r w:rsidR="006F0EB3" w:rsidRPr="00002445">
        <w:rPr>
          <w:rFonts w:ascii="Times New Roman" w:hAnsi="Times New Roman" w:cs="Times New Roman"/>
        </w:rPr>
        <w:t xml:space="preserve">, who </w:t>
      </w:r>
      <w:r w:rsidR="00AB363F" w:rsidRPr="00002445">
        <w:rPr>
          <w:rFonts w:ascii="Times New Roman" w:hAnsi="Times New Roman" w:cs="Times New Roman"/>
        </w:rPr>
        <w:t xml:space="preserve">adopted </w:t>
      </w:r>
      <w:r w:rsidR="00A66F6A" w:rsidRPr="00002445">
        <w:rPr>
          <w:rFonts w:ascii="Times New Roman" w:hAnsi="Times New Roman" w:cs="Times New Roman"/>
        </w:rPr>
        <w:t xml:space="preserve">the term ‘anomie’ to refer to the weakening of social norms and sense of ‘dislocation’ which </w:t>
      </w:r>
      <w:r w:rsidR="00AB363F" w:rsidRPr="00002445">
        <w:rPr>
          <w:rFonts w:ascii="Times New Roman" w:hAnsi="Times New Roman" w:cs="Times New Roman"/>
        </w:rPr>
        <w:t xml:space="preserve">sudden social </w:t>
      </w:r>
      <w:bookmarkEnd w:id="6"/>
      <w:r w:rsidR="00AB363F" w:rsidRPr="00002445">
        <w:rPr>
          <w:rFonts w:ascii="Times New Roman" w:hAnsi="Times New Roman" w:cs="Times New Roman"/>
        </w:rPr>
        <w:t xml:space="preserve">change </w:t>
      </w:r>
      <w:r w:rsidR="00A66F6A" w:rsidRPr="00002445">
        <w:rPr>
          <w:rFonts w:ascii="Times New Roman" w:hAnsi="Times New Roman" w:cs="Times New Roman"/>
        </w:rPr>
        <w:t>brought about for individuals (</w:t>
      </w:r>
      <w:r w:rsidRPr="00002445">
        <w:rPr>
          <w:rFonts w:ascii="Times New Roman" w:hAnsi="Times New Roman" w:cs="Times New Roman"/>
        </w:rPr>
        <w:t>Durkheim</w:t>
      </w:r>
      <w:r w:rsidR="00B41C7A" w:rsidRPr="00002445">
        <w:rPr>
          <w:rFonts w:ascii="Times New Roman" w:hAnsi="Times New Roman" w:cs="Times New Roman"/>
        </w:rPr>
        <w:t>;</w:t>
      </w:r>
      <w:r w:rsidRPr="00002445">
        <w:rPr>
          <w:rFonts w:ascii="Times New Roman" w:hAnsi="Times New Roman" w:cs="Times New Roman"/>
        </w:rPr>
        <w:t xml:space="preserve"> </w:t>
      </w:r>
      <w:r w:rsidR="00A66F6A" w:rsidRPr="00002445">
        <w:rPr>
          <w:rFonts w:ascii="Times New Roman" w:hAnsi="Times New Roman" w:cs="Times New Roman"/>
        </w:rPr>
        <w:t xml:space="preserve">1897). It was, however, </w:t>
      </w:r>
      <w:r w:rsidR="00AB363F" w:rsidRPr="00002445">
        <w:rPr>
          <w:rFonts w:ascii="Times New Roman" w:hAnsi="Times New Roman" w:cs="Times New Roman"/>
        </w:rPr>
        <w:t xml:space="preserve">the </w:t>
      </w:r>
      <w:r w:rsidR="00A66F6A" w:rsidRPr="00002445">
        <w:rPr>
          <w:rFonts w:ascii="Times New Roman" w:hAnsi="Times New Roman" w:cs="Times New Roman"/>
        </w:rPr>
        <w:t>American sociologist Merton</w:t>
      </w:r>
      <w:r w:rsidR="00DF50B8" w:rsidRPr="00002445">
        <w:rPr>
          <w:rFonts w:ascii="Times New Roman" w:hAnsi="Times New Roman" w:cs="Times New Roman"/>
        </w:rPr>
        <w:t xml:space="preserve"> </w:t>
      </w:r>
      <w:r w:rsidR="003E05DB" w:rsidRPr="00002445">
        <w:rPr>
          <w:rFonts w:ascii="Times New Roman" w:hAnsi="Times New Roman" w:cs="Times New Roman"/>
        </w:rPr>
        <w:t xml:space="preserve">(1938) </w:t>
      </w:r>
      <w:r w:rsidR="00A66F6A" w:rsidRPr="00002445">
        <w:rPr>
          <w:rFonts w:ascii="Times New Roman" w:hAnsi="Times New Roman" w:cs="Times New Roman"/>
        </w:rPr>
        <w:t xml:space="preserve">who </w:t>
      </w:r>
      <w:r w:rsidR="00AB363F" w:rsidRPr="00002445">
        <w:rPr>
          <w:rFonts w:ascii="Times New Roman" w:hAnsi="Times New Roman" w:cs="Times New Roman"/>
        </w:rPr>
        <w:t xml:space="preserve">employed </w:t>
      </w:r>
      <w:r w:rsidR="00A66F6A" w:rsidRPr="00002445">
        <w:rPr>
          <w:rFonts w:ascii="Times New Roman" w:hAnsi="Times New Roman" w:cs="Times New Roman"/>
        </w:rPr>
        <w:t xml:space="preserve">Durkheim’s </w:t>
      </w:r>
      <w:r w:rsidR="00AB363F" w:rsidRPr="00002445">
        <w:rPr>
          <w:rFonts w:ascii="Times New Roman" w:hAnsi="Times New Roman" w:cs="Times New Roman"/>
        </w:rPr>
        <w:t xml:space="preserve">term </w:t>
      </w:r>
      <w:r w:rsidR="00A66F6A" w:rsidRPr="00002445">
        <w:rPr>
          <w:rFonts w:ascii="Times New Roman" w:hAnsi="Times New Roman" w:cs="Times New Roman"/>
        </w:rPr>
        <w:t xml:space="preserve">in such a way as to make it </w:t>
      </w:r>
      <w:r w:rsidR="006F0EB3" w:rsidRPr="00002445">
        <w:rPr>
          <w:rFonts w:ascii="Times New Roman" w:hAnsi="Times New Roman" w:cs="Times New Roman"/>
        </w:rPr>
        <w:t>operationalizable</w:t>
      </w:r>
      <w:r w:rsidR="00A66F6A" w:rsidRPr="00002445">
        <w:rPr>
          <w:rFonts w:ascii="Times New Roman" w:hAnsi="Times New Roman" w:cs="Times New Roman"/>
        </w:rPr>
        <w:t xml:space="preserve"> </w:t>
      </w:r>
      <w:r w:rsidR="00AB363F" w:rsidRPr="00002445">
        <w:rPr>
          <w:rFonts w:ascii="Times New Roman" w:hAnsi="Times New Roman" w:cs="Times New Roman"/>
        </w:rPr>
        <w:t xml:space="preserve">for </w:t>
      </w:r>
      <w:r w:rsidR="00A66F6A" w:rsidRPr="00002445">
        <w:rPr>
          <w:rFonts w:ascii="Times New Roman" w:hAnsi="Times New Roman" w:cs="Times New Roman"/>
        </w:rPr>
        <w:t>empirical stud</w:t>
      </w:r>
      <w:r w:rsidR="00AB363F" w:rsidRPr="00002445">
        <w:rPr>
          <w:rFonts w:ascii="Times New Roman" w:hAnsi="Times New Roman" w:cs="Times New Roman"/>
        </w:rPr>
        <w:t>y</w:t>
      </w:r>
      <w:r w:rsidR="00A66F6A" w:rsidRPr="00002445">
        <w:rPr>
          <w:rFonts w:ascii="Times New Roman" w:hAnsi="Times New Roman" w:cs="Times New Roman"/>
        </w:rPr>
        <w:t xml:space="preserve">. Merton’s use of </w:t>
      </w:r>
      <w:r w:rsidR="00AB363F" w:rsidRPr="00002445">
        <w:rPr>
          <w:rFonts w:ascii="Times New Roman" w:hAnsi="Times New Roman" w:cs="Times New Roman"/>
        </w:rPr>
        <w:t>anomie</w:t>
      </w:r>
      <w:r w:rsidR="00A66F6A" w:rsidRPr="00002445">
        <w:rPr>
          <w:rFonts w:ascii="Times New Roman" w:hAnsi="Times New Roman" w:cs="Times New Roman"/>
        </w:rPr>
        <w:t xml:space="preserve"> </w:t>
      </w:r>
      <w:r w:rsidR="00AB363F" w:rsidRPr="00002445">
        <w:rPr>
          <w:rFonts w:ascii="Times New Roman" w:hAnsi="Times New Roman" w:cs="Times New Roman"/>
        </w:rPr>
        <w:t>incorporated</w:t>
      </w:r>
      <w:r w:rsidR="00A66F6A" w:rsidRPr="00002445">
        <w:rPr>
          <w:rFonts w:ascii="Times New Roman" w:hAnsi="Times New Roman" w:cs="Times New Roman"/>
        </w:rPr>
        <w:t xml:space="preserve"> Marxist theories of crime causation, coupled with his own observations of US society</w:t>
      </w:r>
      <w:r w:rsidR="00AB363F" w:rsidRPr="00002445">
        <w:rPr>
          <w:rFonts w:ascii="Times New Roman" w:hAnsi="Times New Roman" w:cs="Times New Roman"/>
        </w:rPr>
        <w:t xml:space="preserve"> in the 1930s</w:t>
      </w:r>
      <w:r w:rsidR="00A66F6A" w:rsidRPr="00002445">
        <w:rPr>
          <w:rFonts w:ascii="Times New Roman" w:hAnsi="Times New Roman" w:cs="Times New Roman"/>
        </w:rPr>
        <w:t xml:space="preserve">, </w:t>
      </w:r>
      <w:r w:rsidR="00AB363F" w:rsidRPr="00002445">
        <w:rPr>
          <w:rFonts w:ascii="Times New Roman" w:hAnsi="Times New Roman" w:cs="Times New Roman"/>
        </w:rPr>
        <w:t xml:space="preserve">it’s </w:t>
      </w:r>
      <w:r w:rsidR="00A66F6A" w:rsidRPr="00002445">
        <w:rPr>
          <w:rFonts w:ascii="Times New Roman" w:hAnsi="Times New Roman" w:cs="Times New Roman"/>
        </w:rPr>
        <w:t xml:space="preserve">economy and (recorded) crime rates. Merton </w:t>
      </w:r>
      <w:r w:rsidR="00AB363F" w:rsidRPr="00002445">
        <w:rPr>
          <w:rFonts w:ascii="Times New Roman" w:hAnsi="Times New Roman" w:cs="Times New Roman"/>
        </w:rPr>
        <w:t>re</w:t>
      </w:r>
      <w:r w:rsidRPr="00002445">
        <w:rPr>
          <w:rFonts w:ascii="Times New Roman" w:hAnsi="Times New Roman" w:cs="Times New Roman"/>
        </w:rPr>
        <w:t>-</w:t>
      </w:r>
      <w:r w:rsidR="00AB363F" w:rsidRPr="00002445">
        <w:rPr>
          <w:rFonts w:ascii="Times New Roman" w:hAnsi="Times New Roman" w:cs="Times New Roman"/>
        </w:rPr>
        <w:t xml:space="preserve">theorised </w:t>
      </w:r>
      <w:r w:rsidR="00A66F6A" w:rsidRPr="00002445">
        <w:rPr>
          <w:rFonts w:ascii="Times New Roman" w:hAnsi="Times New Roman" w:cs="Times New Roman"/>
        </w:rPr>
        <w:t>anomie as a socially-based set of discontents which act to generate deviancy (</w:t>
      </w:r>
      <w:r w:rsidR="00AB363F" w:rsidRPr="00002445">
        <w:rPr>
          <w:rFonts w:ascii="Times New Roman" w:hAnsi="Times New Roman" w:cs="Times New Roman"/>
        </w:rPr>
        <w:t>and</w:t>
      </w:r>
      <w:r w:rsidR="00A66F6A" w:rsidRPr="00002445">
        <w:rPr>
          <w:rFonts w:ascii="Times New Roman" w:hAnsi="Times New Roman" w:cs="Times New Roman"/>
        </w:rPr>
        <w:t xml:space="preserve"> crime)</w:t>
      </w:r>
      <w:r w:rsidR="003E05DB" w:rsidRPr="00002445">
        <w:rPr>
          <w:rFonts w:ascii="Times New Roman" w:hAnsi="Times New Roman" w:cs="Times New Roman"/>
        </w:rPr>
        <w:t xml:space="preserve">. </w:t>
      </w:r>
      <w:r w:rsidR="00AB363F" w:rsidRPr="00002445">
        <w:rPr>
          <w:rFonts w:ascii="Times New Roman" w:hAnsi="Times New Roman" w:cs="Times New Roman"/>
        </w:rPr>
        <w:t xml:space="preserve">Following </w:t>
      </w:r>
      <w:r w:rsidR="00A66F6A" w:rsidRPr="00002445">
        <w:rPr>
          <w:rFonts w:ascii="Times New Roman" w:hAnsi="Times New Roman" w:cs="Times New Roman"/>
        </w:rPr>
        <w:t>Merto</w:t>
      </w:r>
      <w:r w:rsidR="003E05DB" w:rsidRPr="00002445">
        <w:rPr>
          <w:rFonts w:ascii="Times New Roman" w:hAnsi="Times New Roman" w:cs="Times New Roman"/>
        </w:rPr>
        <w:t xml:space="preserve">n, </w:t>
      </w:r>
      <w:r w:rsidR="00A66F6A" w:rsidRPr="00002445">
        <w:rPr>
          <w:rFonts w:ascii="Times New Roman" w:hAnsi="Times New Roman" w:cs="Times New Roman"/>
        </w:rPr>
        <w:t xml:space="preserve">we believe that the causes of crime are related to the cultural and structural processes in which individuals </w:t>
      </w:r>
      <w:r w:rsidR="00AB363F" w:rsidRPr="00002445">
        <w:rPr>
          <w:rFonts w:ascii="Times New Roman" w:hAnsi="Times New Roman" w:cs="Times New Roman"/>
        </w:rPr>
        <w:t>find themselves</w:t>
      </w:r>
      <w:r w:rsidR="003E05DB" w:rsidRPr="00002445">
        <w:rPr>
          <w:rFonts w:ascii="Times New Roman" w:hAnsi="Times New Roman" w:cs="Times New Roman"/>
        </w:rPr>
        <w:t xml:space="preserve">. </w:t>
      </w:r>
      <w:r w:rsidR="00AB363F" w:rsidRPr="00002445">
        <w:rPr>
          <w:rFonts w:ascii="Times New Roman" w:hAnsi="Times New Roman" w:cs="Times New Roman"/>
        </w:rPr>
        <w:t>S</w:t>
      </w:r>
      <w:r w:rsidR="00A66F6A" w:rsidRPr="00002445">
        <w:rPr>
          <w:rFonts w:ascii="Times New Roman" w:hAnsi="Times New Roman" w:cs="Times New Roman"/>
        </w:rPr>
        <w:t>tructural-level processes impede</w:t>
      </w:r>
      <w:r w:rsidR="00AB363F" w:rsidRPr="00002445">
        <w:rPr>
          <w:rFonts w:ascii="Times New Roman" w:hAnsi="Times New Roman" w:cs="Times New Roman"/>
        </w:rPr>
        <w:t xml:space="preserve"> (or in some cases, fully block</w:t>
      </w:r>
      <w:r w:rsidR="00A66F6A" w:rsidRPr="00002445">
        <w:rPr>
          <w:rFonts w:ascii="Times New Roman" w:hAnsi="Times New Roman" w:cs="Times New Roman"/>
        </w:rPr>
        <w:t xml:space="preserve">) the legal opportunities for </w:t>
      </w:r>
      <w:r w:rsidR="00AB363F" w:rsidRPr="00002445">
        <w:rPr>
          <w:rFonts w:ascii="Times New Roman" w:hAnsi="Times New Roman" w:cs="Times New Roman"/>
        </w:rPr>
        <w:t xml:space="preserve">individuals’ </w:t>
      </w:r>
      <w:r w:rsidR="00A66F6A" w:rsidRPr="00002445">
        <w:rPr>
          <w:rFonts w:ascii="Times New Roman" w:hAnsi="Times New Roman" w:cs="Times New Roman"/>
        </w:rPr>
        <w:t>social and economic advancement. As a result</w:t>
      </w:r>
      <w:r w:rsidR="00BE578C" w:rsidRPr="00002445">
        <w:rPr>
          <w:rFonts w:ascii="Times New Roman" w:hAnsi="Times New Roman" w:cs="Times New Roman"/>
        </w:rPr>
        <w:t>,</w:t>
      </w:r>
      <w:r w:rsidR="00A66F6A" w:rsidRPr="00002445">
        <w:rPr>
          <w:rFonts w:ascii="Times New Roman" w:hAnsi="Times New Roman" w:cs="Times New Roman"/>
        </w:rPr>
        <w:t xml:space="preserve"> some individuals </w:t>
      </w:r>
      <w:r w:rsidR="00AB363F" w:rsidRPr="00002445">
        <w:rPr>
          <w:rFonts w:ascii="Times New Roman" w:hAnsi="Times New Roman" w:cs="Times New Roman"/>
        </w:rPr>
        <w:t xml:space="preserve">will </w:t>
      </w:r>
      <w:r w:rsidR="00A66F6A" w:rsidRPr="00002445">
        <w:rPr>
          <w:rFonts w:ascii="Times New Roman" w:hAnsi="Times New Roman" w:cs="Times New Roman"/>
        </w:rPr>
        <w:t xml:space="preserve">resort to illegal activities to achieve success and/or status. In some cases, individuals </w:t>
      </w:r>
      <w:r w:rsidR="007052CB" w:rsidRPr="00002445">
        <w:rPr>
          <w:rFonts w:ascii="Times New Roman" w:hAnsi="Times New Roman" w:cs="Times New Roman"/>
        </w:rPr>
        <w:t xml:space="preserve">will </w:t>
      </w:r>
      <w:r w:rsidR="00A66F6A" w:rsidRPr="00002445">
        <w:rPr>
          <w:rFonts w:ascii="Times New Roman" w:hAnsi="Times New Roman" w:cs="Times New Roman"/>
        </w:rPr>
        <w:t xml:space="preserve">express their frustration at finding their routes to advancement ‘blocked’ through </w:t>
      </w:r>
      <w:r w:rsidR="007052CB" w:rsidRPr="00002445">
        <w:rPr>
          <w:rFonts w:ascii="Times New Roman" w:hAnsi="Times New Roman" w:cs="Times New Roman"/>
        </w:rPr>
        <w:t>deviant/</w:t>
      </w:r>
      <w:r w:rsidR="00A66F6A" w:rsidRPr="00002445">
        <w:rPr>
          <w:rFonts w:ascii="Times New Roman" w:hAnsi="Times New Roman" w:cs="Times New Roman"/>
        </w:rPr>
        <w:t>criminal behaviour (Agnew, 1985).</w:t>
      </w:r>
    </w:p>
    <w:p w14:paraId="1FE2A40F" w14:textId="032F1E7B" w:rsidR="003E05DB" w:rsidRPr="00002445" w:rsidRDefault="00A66F6A" w:rsidP="00A66F6A">
      <w:pPr>
        <w:pStyle w:val="BodyText"/>
        <w:rPr>
          <w:rFonts w:ascii="Times New Roman" w:hAnsi="Times New Roman" w:cs="Times New Roman"/>
        </w:rPr>
      </w:pPr>
      <w:r w:rsidRPr="00002445">
        <w:rPr>
          <w:rFonts w:ascii="Times New Roman" w:hAnsi="Times New Roman" w:cs="Times New Roman"/>
        </w:rPr>
        <w:t>Agnew</w:t>
      </w:r>
      <w:r w:rsidR="003E05DB" w:rsidRPr="00002445">
        <w:rPr>
          <w:rFonts w:ascii="Times New Roman" w:hAnsi="Times New Roman" w:cs="Times New Roman"/>
        </w:rPr>
        <w:t xml:space="preserve"> </w:t>
      </w:r>
      <w:r w:rsidR="007052CB" w:rsidRPr="00002445">
        <w:rPr>
          <w:rFonts w:ascii="Times New Roman" w:hAnsi="Times New Roman" w:cs="Times New Roman"/>
        </w:rPr>
        <w:t xml:space="preserve">(1985) </w:t>
      </w:r>
      <w:r w:rsidRPr="00002445">
        <w:rPr>
          <w:rFonts w:ascii="Times New Roman" w:hAnsi="Times New Roman" w:cs="Times New Roman"/>
        </w:rPr>
        <w:t xml:space="preserve">revised Durkheim and Merton’s </w:t>
      </w:r>
      <w:r w:rsidR="007052CB" w:rsidRPr="00002445">
        <w:rPr>
          <w:rFonts w:ascii="Times New Roman" w:hAnsi="Times New Roman" w:cs="Times New Roman"/>
        </w:rPr>
        <w:t xml:space="preserve">theorising </w:t>
      </w:r>
      <w:r w:rsidR="003E05DB" w:rsidRPr="00002445">
        <w:rPr>
          <w:rFonts w:ascii="Times New Roman" w:hAnsi="Times New Roman" w:cs="Times New Roman"/>
        </w:rPr>
        <w:t>by</w:t>
      </w:r>
      <w:r w:rsidR="00F03680" w:rsidRPr="00002445">
        <w:rPr>
          <w:rFonts w:ascii="Times New Roman" w:hAnsi="Times New Roman" w:cs="Times New Roman"/>
        </w:rPr>
        <w:t xml:space="preserve"> </w:t>
      </w:r>
      <w:r w:rsidRPr="00002445">
        <w:rPr>
          <w:rFonts w:ascii="Times New Roman" w:hAnsi="Times New Roman" w:cs="Times New Roman"/>
        </w:rPr>
        <w:t xml:space="preserve">arguing that </w:t>
      </w:r>
      <w:r w:rsidR="007052CB" w:rsidRPr="00002445">
        <w:rPr>
          <w:rFonts w:ascii="Times New Roman" w:hAnsi="Times New Roman" w:cs="Times New Roman"/>
        </w:rPr>
        <w:t xml:space="preserve">anomic </w:t>
      </w:r>
      <w:r w:rsidRPr="00002445">
        <w:rPr>
          <w:rFonts w:ascii="Times New Roman" w:hAnsi="Times New Roman" w:cs="Times New Roman"/>
        </w:rPr>
        <w:t xml:space="preserve">feelings </w:t>
      </w:r>
      <w:r w:rsidR="007052CB" w:rsidRPr="00002445">
        <w:rPr>
          <w:rFonts w:ascii="Times New Roman" w:hAnsi="Times New Roman" w:cs="Times New Roman"/>
        </w:rPr>
        <w:t>were</w:t>
      </w:r>
      <w:r w:rsidRPr="00002445">
        <w:rPr>
          <w:rFonts w:ascii="Times New Roman" w:hAnsi="Times New Roman" w:cs="Times New Roman"/>
        </w:rPr>
        <w:t xml:space="preserve"> also be provoked by </w:t>
      </w:r>
      <w:r w:rsidR="007052CB" w:rsidRPr="00002445">
        <w:rPr>
          <w:rFonts w:ascii="Times New Roman" w:hAnsi="Times New Roman" w:cs="Times New Roman"/>
        </w:rPr>
        <w:t xml:space="preserve">the </w:t>
      </w:r>
      <w:r w:rsidRPr="00002445">
        <w:rPr>
          <w:rFonts w:ascii="Times New Roman" w:hAnsi="Times New Roman" w:cs="Times New Roman"/>
        </w:rPr>
        <w:t xml:space="preserve">perception that one was ‘trapped’ in aversive situations. </w:t>
      </w:r>
      <w:r w:rsidR="003E05DB" w:rsidRPr="00002445">
        <w:rPr>
          <w:rFonts w:ascii="Times New Roman" w:hAnsi="Times New Roman" w:cs="Times New Roman"/>
        </w:rPr>
        <w:t xml:space="preserve">Similarly, </w:t>
      </w:r>
      <w:r w:rsidR="007052CB" w:rsidRPr="00002445">
        <w:rPr>
          <w:rFonts w:ascii="Times New Roman" w:hAnsi="Times New Roman" w:cs="Times New Roman"/>
        </w:rPr>
        <w:t xml:space="preserve">we </w:t>
      </w:r>
      <w:r w:rsidRPr="00002445">
        <w:rPr>
          <w:rFonts w:ascii="Times New Roman" w:hAnsi="Times New Roman" w:cs="Times New Roman"/>
        </w:rPr>
        <w:t>argu</w:t>
      </w:r>
      <w:r w:rsidR="007052CB" w:rsidRPr="00002445">
        <w:rPr>
          <w:rFonts w:ascii="Times New Roman" w:hAnsi="Times New Roman" w:cs="Times New Roman"/>
        </w:rPr>
        <w:t>e</w:t>
      </w:r>
      <w:r w:rsidRPr="00002445">
        <w:rPr>
          <w:rFonts w:ascii="Times New Roman" w:hAnsi="Times New Roman" w:cs="Times New Roman"/>
        </w:rPr>
        <w:t xml:space="preserve"> that structural-level processes prevent individuals from achieving what they desir</w:t>
      </w:r>
      <w:r w:rsidR="007052CB" w:rsidRPr="00002445">
        <w:rPr>
          <w:rFonts w:ascii="Times New Roman" w:hAnsi="Times New Roman" w:cs="Times New Roman"/>
        </w:rPr>
        <w:t>e</w:t>
      </w:r>
      <w:r w:rsidRPr="00002445">
        <w:rPr>
          <w:rFonts w:ascii="Times New Roman" w:hAnsi="Times New Roman" w:cs="Times New Roman"/>
        </w:rPr>
        <w:t xml:space="preserve">, and </w:t>
      </w:r>
      <w:r w:rsidR="007052CB" w:rsidRPr="00002445">
        <w:rPr>
          <w:rFonts w:ascii="Times New Roman" w:hAnsi="Times New Roman" w:cs="Times New Roman"/>
        </w:rPr>
        <w:t xml:space="preserve">hence </w:t>
      </w:r>
      <w:r w:rsidRPr="00002445">
        <w:rPr>
          <w:rFonts w:ascii="Times New Roman" w:hAnsi="Times New Roman" w:cs="Times New Roman"/>
        </w:rPr>
        <w:t>motivate the use of illegal activities to achieve these goals or</w:t>
      </w:r>
      <w:r w:rsidR="007052CB" w:rsidRPr="00002445">
        <w:rPr>
          <w:rFonts w:ascii="Times New Roman" w:hAnsi="Times New Roman" w:cs="Times New Roman"/>
        </w:rPr>
        <w:t>, in some cases,</w:t>
      </w:r>
      <w:r w:rsidRPr="00002445">
        <w:rPr>
          <w:rFonts w:ascii="Times New Roman" w:hAnsi="Times New Roman" w:cs="Times New Roman"/>
        </w:rPr>
        <w:t xml:space="preserve"> to simply express </w:t>
      </w:r>
      <w:r w:rsidR="007052CB" w:rsidRPr="00002445">
        <w:rPr>
          <w:rFonts w:ascii="Times New Roman" w:hAnsi="Times New Roman" w:cs="Times New Roman"/>
        </w:rPr>
        <w:t xml:space="preserve">their </w:t>
      </w:r>
      <w:r w:rsidRPr="00002445">
        <w:rPr>
          <w:rFonts w:ascii="Times New Roman" w:hAnsi="Times New Roman" w:cs="Times New Roman"/>
        </w:rPr>
        <w:t xml:space="preserve">frustration. Hence, </w:t>
      </w:r>
      <w:r w:rsidR="007052CB" w:rsidRPr="00002445">
        <w:rPr>
          <w:rFonts w:ascii="Times New Roman" w:hAnsi="Times New Roman" w:cs="Times New Roman"/>
        </w:rPr>
        <w:t xml:space="preserve">in our argument, </w:t>
      </w:r>
      <w:r w:rsidRPr="00002445">
        <w:rPr>
          <w:rFonts w:ascii="Times New Roman" w:hAnsi="Times New Roman" w:cs="Times New Roman"/>
        </w:rPr>
        <w:t xml:space="preserve">national and regional crime rates are not simply the ‘aggregating up’ of individual-level action, but rather </w:t>
      </w:r>
      <w:r w:rsidR="007052CB" w:rsidRPr="00002445">
        <w:rPr>
          <w:rFonts w:ascii="Times New Roman" w:hAnsi="Times New Roman" w:cs="Times New Roman"/>
        </w:rPr>
        <w:t xml:space="preserve">are </w:t>
      </w:r>
      <w:r w:rsidRPr="00002445">
        <w:rPr>
          <w:rFonts w:ascii="Times New Roman" w:hAnsi="Times New Roman" w:cs="Times New Roman"/>
        </w:rPr>
        <w:t>the outcome</w:t>
      </w:r>
      <w:r w:rsidR="007052CB" w:rsidRPr="00002445">
        <w:rPr>
          <w:rFonts w:ascii="Times New Roman" w:hAnsi="Times New Roman" w:cs="Times New Roman"/>
        </w:rPr>
        <w:t>s</w:t>
      </w:r>
      <w:r w:rsidRPr="00002445">
        <w:rPr>
          <w:rFonts w:ascii="Times New Roman" w:hAnsi="Times New Roman" w:cs="Times New Roman"/>
        </w:rPr>
        <w:t xml:space="preserve"> of th</w:t>
      </w:r>
      <w:r w:rsidR="007052CB" w:rsidRPr="00002445">
        <w:rPr>
          <w:rFonts w:ascii="Times New Roman" w:hAnsi="Times New Roman" w:cs="Times New Roman"/>
        </w:rPr>
        <w:t>os</w:t>
      </w:r>
      <w:r w:rsidRPr="00002445">
        <w:rPr>
          <w:rFonts w:ascii="Times New Roman" w:hAnsi="Times New Roman" w:cs="Times New Roman"/>
        </w:rPr>
        <w:t xml:space="preserve">e social forces that shape and mediate individual actions. Governments, therefore, ‘produce’ variations in crime rates </w:t>
      </w:r>
      <w:r w:rsidR="005651BD" w:rsidRPr="00002445">
        <w:rPr>
          <w:rFonts w:ascii="Times New Roman" w:hAnsi="Times New Roman" w:cs="Times New Roman"/>
        </w:rPr>
        <w:t xml:space="preserve">(and in our case, heroin use) </w:t>
      </w:r>
      <w:r w:rsidRPr="00002445">
        <w:rPr>
          <w:rFonts w:ascii="Times New Roman" w:hAnsi="Times New Roman" w:cs="Times New Roman"/>
        </w:rPr>
        <w:t xml:space="preserve">through the impacts </w:t>
      </w:r>
      <w:r w:rsidR="007052CB" w:rsidRPr="00002445">
        <w:rPr>
          <w:rFonts w:ascii="Times New Roman" w:hAnsi="Times New Roman" w:cs="Times New Roman"/>
        </w:rPr>
        <w:t xml:space="preserve">they have </w:t>
      </w:r>
      <w:r w:rsidRPr="00002445">
        <w:rPr>
          <w:rFonts w:ascii="Times New Roman" w:hAnsi="Times New Roman" w:cs="Times New Roman"/>
        </w:rPr>
        <w:t>on the</w:t>
      </w:r>
      <w:r w:rsidR="005651BD" w:rsidRPr="00002445">
        <w:rPr>
          <w:rFonts w:ascii="Times New Roman" w:hAnsi="Times New Roman" w:cs="Times New Roman"/>
        </w:rPr>
        <w:t>se underlying</w:t>
      </w:r>
      <w:r w:rsidRPr="00002445">
        <w:rPr>
          <w:rFonts w:ascii="Times New Roman" w:hAnsi="Times New Roman" w:cs="Times New Roman"/>
        </w:rPr>
        <w:t xml:space="preserve"> processes</w:t>
      </w:r>
      <w:r w:rsidR="00C35DCB" w:rsidRPr="00002445">
        <w:rPr>
          <w:rFonts w:ascii="Times New Roman" w:hAnsi="Times New Roman" w:cs="Times New Roman"/>
        </w:rPr>
        <w:t>.</w:t>
      </w:r>
    </w:p>
    <w:p w14:paraId="037B85A8" w14:textId="3109D53F" w:rsidR="00A66F6A" w:rsidRPr="00002445" w:rsidRDefault="00A66F6A" w:rsidP="00A66F6A">
      <w:pPr>
        <w:pStyle w:val="BodyText"/>
        <w:rPr>
          <w:rFonts w:ascii="Times New Roman" w:hAnsi="Times New Roman" w:cs="Times New Roman"/>
        </w:rPr>
      </w:pPr>
      <w:r w:rsidRPr="00002445">
        <w:rPr>
          <w:rFonts w:ascii="Times New Roman" w:hAnsi="Times New Roman" w:cs="Times New Roman"/>
        </w:rPr>
        <w:t xml:space="preserve">Our thinking is supported not just by structural sociology, but also by </w:t>
      </w:r>
      <w:r w:rsidR="00790D24" w:rsidRPr="00002445">
        <w:rPr>
          <w:rFonts w:ascii="Times New Roman" w:hAnsi="Times New Roman" w:cs="Times New Roman"/>
        </w:rPr>
        <w:t xml:space="preserve">psychotherapeutic </w:t>
      </w:r>
      <w:r w:rsidRPr="00002445">
        <w:rPr>
          <w:rFonts w:ascii="Times New Roman" w:hAnsi="Times New Roman" w:cs="Times New Roman"/>
        </w:rPr>
        <w:t>research on individual loss. The concept of the assumptive world refers to those beliefs that stabilise or orient people and give them a sense of purpose and meaning to their lives as well as providing feelings of belonging and connection to others. Parkes writes that the assumptive world “is the only world we know and it includes everything we know or think we know. It includes our interpretation of the past and our expectations of the future, our plans and our prejudices” (1971</w:t>
      </w:r>
      <w:r w:rsidR="00912419" w:rsidRPr="00002445">
        <w:rPr>
          <w:rFonts w:ascii="Times New Roman" w:hAnsi="Times New Roman" w:cs="Times New Roman"/>
        </w:rPr>
        <w:t xml:space="preserve">, </w:t>
      </w:r>
      <w:r w:rsidRPr="00002445">
        <w:rPr>
          <w:rFonts w:ascii="Times New Roman" w:hAnsi="Times New Roman" w:cs="Times New Roman"/>
        </w:rPr>
        <w:t>102). Beder</w:t>
      </w:r>
      <w:r w:rsidR="001D2EC8" w:rsidRPr="00002445">
        <w:rPr>
          <w:rFonts w:ascii="Times New Roman" w:hAnsi="Times New Roman" w:cs="Times New Roman"/>
        </w:rPr>
        <w:t xml:space="preserve"> (2004</w:t>
      </w:r>
      <w:r w:rsidR="00912419" w:rsidRPr="00002445">
        <w:rPr>
          <w:rFonts w:ascii="Times New Roman" w:hAnsi="Times New Roman" w:cs="Times New Roman"/>
        </w:rPr>
        <w:t xml:space="preserve">, </w:t>
      </w:r>
      <w:r w:rsidR="001D2EC8" w:rsidRPr="00002445">
        <w:rPr>
          <w:rFonts w:ascii="Times New Roman" w:hAnsi="Times New Roman" w:cs="Times New Roman"/>
        </w:rPr>
        <w:t>258)</w:t>
      </w:r>
      <w:r w:rsidRPr="00002445">
        <w:rPr>
          <w:rFonts w:ascii="Times New Roman" w:hAnsi="Times New Roman" w:cs="Times New Roman"/>
        </w:rPr>
        <w:t xml:space="preserve"> argues that the assumptive world: </w:t>
      </w:r>
    </w:p>
    <w:p w14:paraId="34C32751" w14:textId="2C621D0F" w:rsidR="00A66F6A" w:rsidRPr="00002445" w:rsidRDefault="00A66F6A" w:rsidP="00A66F6A">
      <w:pPr>
        <w:pStyle w:val="BodyText"/>
        <w:ind w:left="720"/>
        <w:rPr>
          <w:rFonts w:ascii="Times New Roman" w:hAnsi="Times New Roman" w:cs="Times New Roman"/>
        </w:rPr>
      </w:pPr>
      <w:r w:rsidRPr="00002445">
        <w:rPr>
          <w:rFonts w:ascii="Times New Roman" w:hAnsi="Times New Roman" w:cs="Times New Roman"/>
        </w:rPr>
        <w:lastRenderedPageBreak/>
        <w:t>is an organised schema reﬂecting all that a person assumes to be true about the world and the self on the basis of previous experiences; it refers to the assumptions, or beliefs that ground, secure, and orient people, that give a sense of reality, meaning and purpose to life.</w:t>
      </w:r>
    </w:p>
    <w:p w14:paraId="36270DE2" w14:textId="29B84696" w:rsidR="00FD5B65" w:rsidRPr="00002445" w:rsidRDefault="00A66F6A" w:rsidP="00FD5B65">
      <w:pPr>
        <w:pStyle w:val="BodyText"/>
        <w:rPr>
          <w:rFonts w:ascii="Times New Roman" w:hAnsi="Times New Roman" w:cs="Times New Roman"/>
        </w:rPr>
      </w:pPr>
      <w:r w:rsidRPr="00002445">
        <w:rPr>
          <w:rFonts w:ascii="Times New Roman" w:hAnsi="Times New Roman" w:cs="Times New Roman"/>
        </w:rPr>
        <w:t xml:space="preserve">In short, our assumptions about our social worlds make us think </w:t>
      </w:r>
      <w:r w:rsidR="00B80240" w:rsidRPr="00002445">
        <w:rPr>
          <w:rFonts w:ascii="Times New Roman" w:hAnsi="Times New Roman" w:cs="Times New Roman"/>
        </w:rPr>
        <w:t>it is</w:t>
      </w:r>
      <w:r w:rsidRPr="00002445">
        <w:rPr>
          <w:rFonts w:ascii="Times New Roman" w:hAnsi="Times New Roman" w:cs="Times New Roman"/>
        </w:rPr>
        <w:t xml:space="preserve"> understandable, worth caring about and investing in, and unthreatening to ourselves.</w:t>
      </w:r>
      <w:r w:rsidR="00FD5B65" w:rsidRPr="00002445">
        <w:rPr>
          <w:rFonts w:ascii="Times New Roman" w:hAnsi="Times New Roman" w:cs="Times New Roman"/>
        </w:rPr>
        <w:t xml:space="preserve"> </w:t>
      </w:r>
      <w:r w:rsidRPr="00002445">
        <w:rPr>
          <w:rFonts w:ascii="Times New Roman" w:hAnsi="Times New Roman" w:cs="Times New Roman"/>
        </w:rPr>
        <w:t xml:space="preserve">Applying this thinking (derived from sociological structuralism and psychotherapy) to economic restructuring and </w:t>
      </w:r>
      <w:r w:rsidR="005E758C" w:rsidRPr="00002445">
        <w:rPr>
          <w:rFonts w:ascii="Times New Roman" w:hAnsi="Times New Roman" w:cs="Times New Roman"/>
        </w:rPr>
        <w:t>heroin</w:t>
      </w:r>
      <w:r w:rsidR="00B80240" w:rsidRPr="00002445">
        <w:rPr>
          <w:rFonts w:ascii="Times New Roman" w:hAnsi="Times New Roman" w:cs="Times New Roman"/>
        </w:rPr>
        <w:t xml:space="preserve"> use</w:t>
      </w:r>
      <w:r w:rsidRPr="00002445">
        <w:rPr>
          <w:rFonts w:ascii="Times New Roman" w:hAnsi="Times New Roman" w:cs="Times New Roman"/>
        </w:rPr>
        <w:t xml:space="preserve">, we argue that economic restructuring produces a sense of anomie </w:t>
      </w:r>
      <w:r w:rsidR="005E758C" w:rsidRPr="00002445">
        <w:rPr>
          <w:rFonts w:ascii="Times New Roman" w:hAnsi="Times New Roman" w:cs="Times New Roman"/>
        </w:rPr>
        <w:t xml:space="preserve">in younger people </w:t>
      </w:r>
      <w:r w:rsidRPr="00002445">
        <w:rPr>
          <w:rFonts w:ascii="Times New Roman" w:hAnsi="Times New Roman" w:cs="Times New Roman"/>
        </w:rPr>
        <w:t xml:space="preserve">and serves to motivate </w:t>
      </w:r>
      <w:r w:rsidR="005E758C" w:rsidRPr="00002445">
        <w:rPr>
          <w:rFonts w:ascii="Times New Roman" w:hAnsi="Times New Roman" w:cs="Times New Roman"/>
        </w:rPr>
        <w:t>drug use</w:t>
      </w:r>
      <w:r w:rsidRPr="00002445">
        <w:rPr>
          <w:rFonts w:ascii="Times New Roman" w:hAnsi="Times New Roman" w:cs="Times New Roman"/>
        </w:rPr>
        <w:t>, especially if it involves widespread, long-term parental unemployment</w:t>
      </w:r>
      <w:r w:rsidR="00790D24" w:rsidRPr="00002445">
        <w:rPr>
          <w:rFonts w:ascii="Times New Roman" w:hAnsi="Times New Roman" w:cs="Times New Roman"/>
        </w:rPr>
        <w:t xml:space="preserve">, </w:t>
      </w:r>
      <w:r w:rsidRPr="00002445">
        <w:rPr>
          <w:rFonts w:ascii="Times New Roman" w:hAnsi="Times New Roman" w:cs="Times New Roman"/>
        </w:rPr>
        <w:t>the loss of career pathways</w:t>
      </w:r>
      <w:r w:rsidR="00790D24" w:rsidRPr="00002445">
        <w:rPr>
          <w:rFonts w:ascii="Times New Roman" w:hAnsi="Times New Roman" w:cs="Times New Roman"/>
        </w:rPr>
        <w:t>, secure housing and other social safety nets</w:t>
      </w:r>
      <w:r w:rsidRPr="00002445">
        <w:rPr>
          <w:rFonts w:ascii="Times New Roman" w:hAnsi="Times New Roman" w:cs="Times New Roman"/>
        </w:rPr>
        <w:t xml:space="preserve">. In this way, our theorising seeks to explain how and why economic restructuring provokes </w:t>
      </w:r>
      <w:r w:rsidR="004D115C" w:rsidRPr="00002445">
        <w:rPr>
          <w:rFonts w:ascii="Times New Roman" w:hAnsi="Times New Roman" w:cs="Times New Roman"/>
        </w:rPr>
        <w:t>drug use</w:t>
      </w:r>
      <w:r w:rsidRPr="00002445">
        <w:rPr>
          <w:rFonts w:ascii="Times New Roman" w:hAnsi="Times New Roman" w:cs="Times New Roman"/>
        </w:rPr>
        <w:t xml:space="preserve">, but avoids falling foul of the tendency to only be able to explain </w:t>
      </w:r>
      <w:r w:rsidRPr="00002445">
        <w:rPr>
          <w:rFonts w:ascii="Times New Roman" w:hAnsi="Times New Roman" w:cs="Times New Roman"/>
          <w:i/>
        </w:rPr>
        <w:t>increases</w:t>
      </w:r>
      <w:r w:rsidRPr="00002445">
        <w:rPr>
          <w:rFonts w:ascii="Times New Roman" w:hAnsi="Times New Roman" w:cs="Times New Roman"/>
        </w:rPr>
        <w:t xml:space="preserve"> in rates of offending, a problem which plagued many classical theories of offending.</w:t>
      </w:r>
      <w:bookmarkStart w:id="7" w:name="research-design-and-analytical-strategy"/>
      <w:bookmarkEnd w:id="5"/>
    </w:p>
    <w:p w14:paraId="28BDAB0A" w14:textId="77777777" w:rsidR="00DF50B8" w:rsidRPr="00002445" w:rsidRDefault="00DF50B8" w:rsidP="00FD5B65">
      <w:pPr>
        <w:pStyle w:val="BodyText"/>
        <w:rPr>
          <w:rFonts w:ascii="Times New Roman" w:hAnsi="Times New Roman" w:cs="Times New Roman"/>
        </w:rPr>
      </w:pPr>
    </w:p>
    <w:p w14:paraId="004C2069" w14:textId="5EBA7AAE" w:rsidR="000C5F1F" w:rsidRPr="00002445" w:rsidRDefault="000C5F1F" w:rsidP="000C5F1F">
      <w:pPr>
        <w:pStyle w:val="Heading2"/>
        <w:rPr>
          <w:rFonts w:ascii="Times New Roman" w:hAnsi="Times New Roman" w:cs="Times New Roman"/>
          <w:color w:val="auto"/>
        </w:rPr>
      </w:pPr>
      <w:r w:rsidRPr="00002445">
        <w:rPr>
          <w:rFonts w:ascii="Times New Roman" w:hAnsi="Times New Roman" w:cs="Times New Roman"/>
          <w:color w:val="auto"/>
        </w:rPr>
        <w:t xml:space="preserve">4.4 </w:t>
      </w:r>
      <w:r w:rsidR="00FD4638" w:rsidRPr="00002445">
        <w:rPr>
          <w:rFonts w:ascii="Times New Roman" w:hAnsi="Times New Roman" w:cs="Times New Roman"/>
          <w:color w:val="auto"/>
        </w:rPr>
        <w:t>Think</w:t>
      </w:r>
      <w:r w:rsidRPr="00002445">
        <w:rPr>
          <w:rFonts w:ascii="Times New Roman" w:hAnsi="Times New Roman" w:cs="Times New Roman"/>
          <w:color w:val="auto"/>
        </w:rPr>
        <w:t>ing</w:t>
      </w:r>
      <w:r w:rsidR="00FD4638" w:rsidRPr="00002445">
        <w:rPr>
          <w:rFonts w:ascii="Times New Roman" w:hAnsi="Times New Roman" w:cs="Times New Roman"/>
          <w:color w:val="auto"/>
        </w:rPr>
        <w:t xml:space="preserve">-Through </w:t>
      </w:r>
      <w:r w:rsidRPr="00002445">
        <w:rPr>
          <w:rFonts w:ascii="Times New Roman" w:hAnsi="Times New Roman" w:cs="Times New Roman"/>
          <w:color w:val="auto"/>
        </w:rPr>
        <w:t>how Economic Insecurity ‘Dr</w:t>
      </w:r>
      <w:r w:rsidR="00FD4638" w:rsidRPr="00002445">
        <w:rPr>
          <w:rFonts w:ascii="Times New Roman" w:hAnsi="Times New Roman" w:cs="Times New Roman"/>
          <w:color w:val="auto"/>
        </w:rPr>
        <w:t>o</w:t>
      </w:r>
      <w:r w:rsidRPr="00002445">
        <w:rPr>
          <w:rFonts w:ascii="Times New Roman" w:hAnsi="Times New Roman" w:cs="Times New Roman"/>
          <w:color w:val="auto"/>
        </w:rPr>
        <w:t xml:space="preserve">ve’ Heroin use </w:t>
      </w:r>
    </w:p>
    <w:p w14:paraId="679BCA5C" w14:textId="73EEBF19" w:rsidR="00C21455" w:rsidRPr="00002445" w:rsidRDefault="000C5F1F" w:rsidP="000C5F1F">
      <w:pPr>
        <w:pStyle w:val="BodyText"/>
        <w:rPr>
          <w:rFonts w:ascii="Times New Roman" w:hAnsi="Times New Roman" w:cs="Times New Roman"/>
        </w:rPr>
      </w:pPr>
      <w:r w:rsidRPr="00002445">
        <w:rPr>
          <w:rFonts w:ascii="Times New Roman" w:hAnsi="Times New Roman" w:cs="Times New Roman"/>
        </w:rPr>
        <w:t xml:space="preserve">We are not the first to argue or find that economic insecurity or deprivation are related to drug use. </w:t>
      </w:r>
      <w:r w:rsidR="00C21455" w:rsidRPr="00002445">
        <w:rPr>
          <w:rFonts w:ascii="Times New Roman" w:hAnsi="Times New Roman" w:cs="Times New Roman"/>
        </w:rPr>
        <w:t>For example, Sha</w:t>
      </w:r>
      <w:r w:rsidR="00CD2B59" w:rsidRPr="00002445">
        <w:rPr>
          <w:rFonts w:ascii="Times New Roman" w:hAnsi="Times New Roman" w:cs="Times New Roman"/>
        </w:rPr>
        <w:t>w</w:t>
      </w:r>
      <w:r w:rsidR="00C21455" w:rsidRPr="00002445">
        <w:rPr>
          <w:rFonts w:ascii="Times New Roman" w:hAnsi="Times New Roman" w:cs="Times New Roman"/>
        </w:rPr>
        <w:t xml:space="preserve"> et al</w:t>
      </w:r>
      <w:r w:rsidR="00F23D53" w:rsidRPr="00002445">
        <w:rPr>
          <w:rFonts w:ascii="Times New Roman" w:hAnsi="Times New Roman" w:cs="Times New Roman"/>
        </w:rPr>
        <w:t>.</w:t>
      </w:r>
      <w:r w:rsidR="00C21455" w:rsidRPr="00002445">
        <w:rPr>
          <w:rFonts w:ascii="Times New Roman" w:hAnsi="Times New Roman" w:cs="Times New Roman"/>
        </w:rPr>
        <w:t xml:space="preserve"> (2007</w:t>
      </w:r>
      <w:r w:rsidR="00F23D53" w:rsidRPr="00002445">
        <w:rPr>
          <w:rFonts w:ascii="Times New Roman" w:hAnsi="Times New Roman" w:cs="Times New Roman"/>
        </w:rPr>
        <w:t xml:space="preserve">, </w:t>
      </w:r>
      <w:r w:rsidR="00C21455" w:rsidRPr="00002445">
        <w:rPr>
          <w:rFonts w:ascii="Times New Roman" w:hAnsi="Times New Roman" w:cs="Times New Roman"/>
        </w:rPr>
        <w:t>10), following their review of studies in Britain, reported that</w:t>
      </w:r>
      <w:r w:rsidR="00CD2B59" w:rsidRPr="00002445">
        <w:rPr>
          <w:rFonts w:ascii="Times New Roman" w:hAnsi="Times New Roman" w:cs="Times New Roman"/>
        </w:rPr>
        <w:t>:</w:t>
      </w:r>
    </w:p>
    <w:p w14:paraId="2FEF6905" w14:textId="3F97C271" w:rsidR="00C21455" w:rsidRPr="00002445" w:rsidRDefault="00C21455" w:rsidP="00C21455">
      <w:pPr>
        <w:pStyle w:val="BodyText"/>
        <w:ind w:left="720"/>
        <w:rPr>
          <w:rFonts w:ascii="Times New Roman" w:hAnsi="Times New Roman" w:cs="Times New Roman"/>
        </w:rPr>
      </w:pPr>
      <w:r w:rsidRPr="00002445">
        <w:rPr>
          <w:rFonts w:ascii="Times New Roman" w:hAnsi="Times New Roman" w:cs="Times New Roman"/>
        </w:rPr>
        <w:t>“The individuals who are most at risk of developing problem drug use are those who are at the margins of society. They are individuals who are socially and economically marginalised and disaffected from school, family, work and standard forms of leisure.”</w:t>
      </w:r>
    </w:p>
    <w:p w14:paraId="484591F8" w14:textId="0F6CAEBD" w:rsidR="00C21455" w:rsidRPr="00002445" w:rsidRDefault="00C21455" w:rsidP="00FD4638">
      <w:pPr>
        <w:pStyle w:val="BodyText"/>
        <w:rPr>
          <w:rFonts w:ascii="Times New Roman" w:hAnsi="Times New Roman" w:cs="Times New Roman"/>
        </w:rPr>
      </w:pPr>
      <w:r w:rsidRPr="00002445">
        <w:rPr>
          <w:rFonts w:ascii="Times New Roman" w:hAnsi="Times New Roman" w:cs="Times New Roman"/>
        </w:rPr>
        <w:t xml:space="preserve">The question remains, however, why might economic deprivation (which we argue was caused by </w:t>
      </w:r>
      <w:r w:rsidRPr="00002445">
        <w:rPr>
          <w:rFonts w:ascii="Times New Roman" w:hAnsi="Times New Roman" w:cs="Times New Roman"/>
          <w:i/>
          <w:iCs/>
        </w:rPr>
        <w:t>both</w:t>
      </w:r>
      <w:r w:rsidRPr="00002445">
        <w:rPr>
          <w:rFonts w:ascii="Times New Roman" w:hAnsi="Times New Roman" w:cs="Times New Roman"/>
        </w:rPr>
        <w:t xml:space="preserve"> economic restructuring </w:t>
      </w:r>
      <w:r w:rsidRPr="00002445">
        <w:rPr>
          <w:rFonts w:ascii="Times New Roman" w:hAnsi="Times New Roman" w:cs="Times New Roman"/>
          <w:i/>
          <w:iCs/>
        </w:rPr>
        <w:t>and</w:t>
      </w:r>
      <w:r w:rsidRPr="00002445">
        <w:rPr>
          <w:rFonts w:ascii="Times New Roman" w:hAnsi="Times New Roman" w:cs="Times New Roman"/>
        </w:rPr>
        <w:t xml:space="preserve"> welfare retrenchment) be related to subsequent heroin use? </w:t>
      </w:r>
      <w:r w:rsidR="00185B26" w:rsidRPr="00002445">
        <w:rPr>
          <w:rFonts w:ascii="Times New Roman" w:hAnsi="Times New Roman" w:cs="Times New Roman"/>
        </w:rPr>
        <w:t xml:space="preserve">Pearson’s work (which collected data during the 1980s – the same time period we are principally interested in) proposed that area-level deprivation was associated with individual-level heroin use for a number of reasons (Pearson, 1987). </w:t>
      </w:r>
      <w:r w:rsidR="00590A0B" w:rsidRPr="00002445">
        <w:rPr>
          <w:rFonts w:ascii="Times New Roman" w:hAnsi="Times New Roman" w:cs="Times New Roman"/>
        </w:rPr>
        <w:t>T</w:t>
      </w:r>
      <w:r w:rsidR="00185B26" w:rsidRPr="00002445">
        <w:rPr>
          <w:rFonts w:ascii="Times New Roman" w:hAnsi="Times New Roman" w:cs="Times New Roman"/>
        </w:rPr>
        <w:t xml:space="preserve">he transformed housing market spatially concentrated those with the greatest housing needs (which would have included injecting drug users) together, reinforcing both social and economic deprivation and entrenched heroin use. </w:t>
      </w:r>
      <w:r w:rsidR="00117222" w:rsidRPr="00002445">
        <w:rPr>
          <w:rFonts w:ascii="Times New Roman" w:hAnsi="Times New Roman" w:cs="Times New Roman"/>
        </w:rPr>
        <w:t>This made heroin more readily available via user</w:t>
      </w:r>
      <w:r w:rsidR="00FD4638" w:rsidRPr="00002445">
        <w:rPr>
          <w:rFonts w:ascii="Times New Roman" w:hAnsi="Times New Roman" w:cs="Times New Roman"/>
        </w:rPr>
        <w:t>-</w:t>
      </w:r>
      <w:r w:rsidR="00117222" w:rsidRPr="00002445">
        <w:rPr>
          <w:rFonts w:ascii="Times New Roman" w:hAnsi="Times New Roman" w:cs="Times New Roman"/>
        </w:rPr>
        <w:t>, dealer</w:t>
      </w:r>
      <w:r w:rsidR="00FD4638" w:rsidRPr="00002445">
        <w:rPr>
          <w:rFonts w:ascii="Times New Roman" w:hAnsi="Times New Roman" w:cs="Times New Roman"/>
        </w:rPr>
        <w:t>-</w:t>
      </w:r>
      <w:r w:rsidR="00117222" w:rsidRPr="00002445">
        <w:rPr>
          <w:rFonts w:ascii="Times New Roman" w:hAnsi="Times New Roman" w:cs="Times New Roman"/>
        </w:rPr>
        <w:t xml:space="preserve"> and user</w:t>
      </w:r>
      <w:r w:rsidR="00FD4638" w:rsidRPr="00002445">
        <w:rPr>
          <w:rFonts w:ascii="Times New Roman" w:hAnsi="Times New Roman" w:cs="Times New Roman"/>
        </w:rPr>
        <w:t>/</w:t>
      </w:r>
      <w:r w:rsidR="00117222" w:rsidRPr="00002445">
        <w:rPr>
          <w:rFonts w:ascii="Times New Roman" w:hAnsi="Times New Roman" w:cs="Times New Roman"/>
        </w:rPr>
        <w:t>dealer</w:t>
      </w:r>
      <w:r w:rsidR="00FD4638" w:rsidRPr="00002445">
        <w:rPr>
          <w:rFonts w:ascii="Times New Roman" w:hAnsi="Times New Roman" w:cs="Times New Roman"/>
        </w:rPr>
        <w:t>-</w:t>
      </w:r>
      <w:r w:rsidR="00117222" w:rsidRPr="00002445">
        <w:rPr>
          <w:rFonts w:ascii="Times New Roman" w:hAnsi="Times New Roman" w:cs="Times New Roman"/>
        </w:rPr>
        <w:t xml:space="preserve">networks. Over time, and as both the demand for heroin increased and the financial profits for dealers emerged, heroin dealing became a way of establishing one’s status in communities in which other avenues for so doing (via work, ‘home-building’ and family formation for example) were in short supply. In communities in which work was absent, housing in short supply and the processes of starting and raising a family made harder, occasional heroin use was more likely to become entrenched use. The daily routines of frequent heroin users (seeking ways to pay for drugs, buying the drugs, using them and recovering from them) replaced the vacuum created by a lack of employment. </w:t>
      </w:r>
      <w:r w:rsidR="00FD4638" w:rsidRPr="00002445">
        <w:rPr>
          <w:rFonts w:ascii="Times New Roman" w:hAnsi="Times New Roman" w:cs="Times New Roman"/>
        </w:rPr>
        <w:t xml:space="preserve">As such, the involvement in the informal/illegal economy was not simply an </w:t>
      </w:r>
      <w:r w:rsidR="00FD4638" w:rsidRPr="00002445">
        <w:rPr>
          <w:rFonts w:ascii="Times New Roman" w:hAnsi="Times New Roman" w:cs="Times New Roman"/>
          <w:i/>
          <w:iCs/>
        </w:rPr>
        <w:t>economic</w:t>
      </w:r>
      <w:r w:rsidR="00FD4638" w:rsidRPr="00002445">
        <w:rPr>
          <w:rFonts w:ascii="Times New Roman" w:hAnsi="Times New Roman" w:cs="Times New Roman"/>
        </w:rPr>
        <w:t xml:space="preserve"> response to changes in the labour market wrought by economic policies but was also a </w:t>
      </w:r>
      <w:r w:rsidR="00FD4638" w:rsidRPr="00002445">
        <w:rPr>
          <w:rFonts w:ascii="Times New Roman" w:hAnsi="Times New Roman" w:cs="Times New Roman"/>
          <w:i/>
          <w:iCs/>
        </w:rPr>
        <w:t xml:space="preserve">cultural </w:t>
      </w:r>
      <w:r w:rsidR="00FD4638" w:rsidRPr="00002445">
        <w:rPr>
          <w:rFonts w:ascii="Times New Roman" w:hAnsi="Times New Roman" w:cs="Times New Roman"/>
        </w:rPr>
        <w:t>response in that users were seeking to create a meaningful daily structure and identity in the face of the loss of their assumptive worlds. In these ways</w:t>
      </w:r>
      <w:r w:rsidR="00117222" w:rsidRPr="00002445">
        <w:rPr>
          <w:rFonts w:ascii="Times New Roman" w:hAnsi="Times New Roman" w:cs="Times New Roman"/>
        </w:rPr>
        <w:t xml:space="preserve">, theft from homes and shops, prostitution, dealing and the supply of heroin to others both created new daily routines and reinforced deprivation. </w:t>
      </w:r>
      <w:r w:rsidR="00CD2B59" w:rsidRPr="00002445">
        <w:rPr>
          <w:rFonts w:ascii="Times New Roman" w:hAnsi="Times New Roman" w:cs="Times New Roman"/>
        </w:rPr>
        <w:t xml:space="preserve">Our earlier analyses of the two cohorts we examine in more depth below have suggested that welfare </w:t>
      </w:r>
      <w:r w:rsidR="00CD2B59" w:rsidRPr="00002445">
        <w:rPr>
          <w:rFonts w:ascii="Times New Roman" w:hAnsi="Times New Roman" w:cs="Times New Roman"/>
        </w:rPr>
        <w:lastRenderedPageBreak/>
        <w:t>retrenchment was associated with Class A</w:t>
      </w:r>
      <w:r w:rsidR="002356F4" w:rsidRPr="00002445">
        <w:rPr>
          <w:rStyle w:val="FootnoteReference"/>
          <w:rFonts w:ascii="Times New Roman" w:hAnsi="Times New Roman" w:cs="Times New Roman"/>
        </w:rPr>
        <w:footnoteReference w:id="3"/>
      </w:r>
      <w:r w:rsidR="00CD2B59" w:rsidRPr="00002445">
        <w:rPr>
          <w:rFonts w:ascii="Times New Roman" w:hAnsi="Times New Roman" w:cs="Times New Roman"/>
        </w:rPr>
        <w:t xml:space="preserve"> drug use (including heroin for both cohorts, but especially so those born in 1970, Gray et al</w:t>
      </w:r>
      <w:r w:rsidR="0094347E" w:rsidRPr="00002445">
        <w:rPr>
          <w:rFonts w:ascii="Times New Roman" w:hAnsi="Times New Roman" w:cs="Times New Roman"/>
        </w:rPr>
        <w:t>.</w:t>
      </w:r>
      <w:r w:rsidR="00CD2B59" w:rsidRPr="00002445">
        <w:rPr>
          <w:rFonts w:ascii="Times New Roman" w:hAnsi="Times New Roman" w:cs="Times New Roman"/>
        </w:rPr>
        <w:t xml:space="preserve">, </w:t>
      </w:r>
      <w:commentRangeStart w:id="8"/>
      <w:commentRangeStart w:id="9"/>
      <w:r w:rsidR="00CD2B59" w:rsidRPr="00002445">
        <w:rPr>
          <w:rFonts w:ascii="Times New Roman" w:hAnsi="Times New Roman" w:cs="Times New Roman"/>
        </w:rPr>
        <w:t>202</w:t>
      </w:r>
      <w:commentRangeEnd w:id="8"/>
      <w:r w:rsidR="008F7A41">
        <w:rPr>
          <w:rFonts w:ascii="Times New Roman" w:hAnsi="Times New Roman" w:cs="Times New Roman"/>
        </w:rPr>
        <w:t>2</w:t>
      </w:r>
      <w:r w:rsidR="009913F7" w:rsidRPr="00002445">
        <w:rPr>
          <w:rStyle w:val="CommentReference"/>
          <w:rFonts w:ascii="Times New Roman" w:hAnsi="Times New Roman" w:cs="Times New Roman"/>
        </w:rPr>
        <w:commentReference w:id="8"/>
      </w:r>
      <w:commentRangeEnd w:id="9"/>
      <w:r w:rsidR="00225B24">
        <w:rPr>
          <w:rStyle w:val="CommentReference"/>
        </w:rPr>
        <w:commentReference w:id="9"/>
      </w:r>
      <w:r w:rsidR="00CD2B59" w:rsidRPr="00002445">
        <w:rPr>
          <w:rFonts w:ascii="Times New Roman" w:hAnsi="Times New Roman" w:cs="Times New Roman"/>
        </w:rPr>
        <w:t xml:space="preserve">) and that changes in housing tenures were associated with negative life outcomes for the 1970 cohort, but not the 1958 cohort, </w:t>
      </w:r>
      <w:r w:rsidR="007461D4" w:rsidRPr="00002445">
        <w:rPr>
          <w:rFonts w:ascii="Times New Roman" w:hAnsi="Times New Roman" w:cs="Times New Roman"/>
        </w:rPr>
        <w:t>Farrall et al</w:t>
      </w:r>
      <w:r w:rsidR="0094347E" w:rsidRPr="00002445">
        <w:rPr>
          <w:rFonts w:ascii="Times New Roman" w:hAnsi="Times New Roman" w:cs="Times New Roman"/>
        </w:rPr>
        <w:t>.,</w:t>
      </w:r>
      <w:r w:rsidR="007461D4" w:rsidRPr="00002445">
        <w:rPr>
          <w:rFonts w:ascii="Times New Roman" w:hAnsi="Times New Roman" w:cs="Times New Roman"/>
        </w:rPr>
        <w:t xml:space="preserve"> 2019</w:t>
      </w:r>
      <w:r w:rsidR="008F7A41">
        <w:rPr>
          <w:rFonts w:ascii="Times New Roman" w:hAnsi="Times New Roman" w:cs="Times New Roman"/>
        </w:rPr>
        <w:t>b</w:t>
      </w:r>
      <w:r w:rsidR="00CD2B59" w:rsidRPr="00002445">
        <w:rPr>
          <w:rFonts w:ascii="Times New Roman" w:hAnsi="Times New Roman" w:cs="Times New Roman"/>
        </w:rPr>
        <w:t xml:space="preserve">). </w:t>
      </w:r>
      <w:r w:rsidR="00FD2C11" w:rsidRPr="00002445">
        <w:rPr>
          <w:rFonts w:ascii="Times New Roman" w:hAnsi="Times New Roman" w:cs="Times New Roman"/>
        </w:rPr>
        <w:t>Using just a cohort of people born in 1970, we also found that areal-level economic restructuring away from heavy industry was also associated with alienation from school, offending at age 16 years and offending as an adult (</w:t>
      </w:r>
      <w:r w:rsidR="00A1306D" w:rsidRPr="00002445">
        <w:rPr>
          <w:rFonts w:ascii="Times New Roman" w:hAnsi="Times New Roman" w:cs="Times New Roman"/>
        </w:rPr>
        <w:t>Farrall, Gray, &amp; Mike Jones, 2020</w:t>
      </w:r>
      <w:r w:rsidR="00FD2C11" w:rsidRPr="00002445">
        <w:rPr>
          <w:rFonts w:ascii="Times New Roman" w:hAnsi="Times New Roman" w:cs="Times New Roman"/>
        </w:rPr>
        <w:t>).</w:t>
      </w:r>
    </w:p>
    <w:p w14:paraId="6C984F51" w14:textId="77777777" w:rsidR="00C21455" w:rsidRPr="00002445" w:rsidRDefault="00C21455" w:rsidP="00C21455">
      <w:pPr>
        <w:pStyle w:val="BodyText"/>
        <w:rPr>
          <w:rFonts w:ascii="Times New Roman" w:hAnsi="Times New Roman" w:cs="Times New Roman"/>
        </w:rPr>
      </w:pPr>
    </w:p>
    <w:p w14:paraId="0CE17DDE" w14:textId="6C2AC915" w:rsidR="00496EF6" w:rsidRPr="00002445" w:rsidRDefault="0078610C" w:rsidP="00383B74">
      <w:pPr>
        <w:pStyle w:val="Heading1"/>
        <w:rPr>
          <w:rFonts w:ascii="Times New Roman" w:hAnsi="Times New Roman" w:cs="Times New Roman"/>
          <w:color w:val="auto"/>
        </w:rPr>
      </w:pPr>
      <w:r w:rsidRPr="00002445">
        <w:rPr>
          <w:rStyle w:val="SectionNumber"/>
          <w:rFonts w:ascii="Times New Roman" w:hAnsi="Times New Roman" w:cs="Times New Roman"/>
          <w:color w:val="auto"/>
        </w:rPr>
        <w:t>5</w:t>
      </w:r>
      <w:r w:rsidRPr="00002445">
        <w:rPr>
          <w:rFonts w:ascii="Times New Roman" w:hAnsi="Times New Roman" w:cs="Times New Roman"/>
          <w:color w:val="auto"/>
        </w:rPr>
        <w:tab/>
      </w:r>
      <w:r w:rsidR="004733CC" w:rsidRPr="00002445">
        <w:rPr>
          <w:rFonts w:ascii="Times New Roman" w:hAnsi="Times New Roman" w:cs="Times New Roman"/>
          <w:color w:val="auto"/>
        </w:rPr>
        <w:t xml:space="preserve">Multi-cohort </w:t>
      </w:r>
      <w:r w:rsidRPr="00002445">
        <w:rPr>
          <w:rFonts w:ascii="Times New Roman" w:hAnsi="Times New Roman" w:cs="Times New Roman"/>
          <w:color w:val="auto"/>
        </w:rPr>
        <w:t>design and analytical strategy</w:t>
      </w:r>
      <w:r w:rsidR="0016705E" w:rsidRPr="00002445">
        <w:rPr>
          <w:rFonts w:ascii="Times New Roman" w:hAnsi="Times New Roman" w:cs="Times New Roman"/>
          <w:color w:val="auto"/>
        </w:rPr>
        <w:t xml:space="preserve"> </w:t>
      </w:r>
    </w:p>
    <w:p w14:paraId="7D468B93" w14:textId="598A6B58" w:rsidR="00496EF6" w:rsidRPr="00002445" w:rsidRDefault="0078610C">
      <w:pPr>
        <w:pStyle w:val="FirstParagraph"/>
        <w:rPr>
          <w:rFonts w:ascii="Times New Roman" w:hAnsi="Times New Roman" w:cs="Times New Roman"/>
        </w:rPr>
      </w:pPr>
      <w:r w:rsidRPr="00002445">
        <w:rPr>
          <w:rFonts w:ascii="Times New Roman" w:hAnsi="Times New Roman" w:cs="Times New Roman"/>
        </w:rPr>
        <w:t xml:space="preserve">To explore changes in the socio–economic characteristics of those who used heroin over time, we required data sets with very specific research designs. </w:t>
      </w:r>
      <w:r w:rsidR="00290D37" w:rsidRPr="00002445">
        <w:rPr>
          <w:rFonts w:ascii="Times New Roman" w:hAnsi="Times New Roman" w:cs="Times New Roman"/>
        </w:rPr>
        <w:t>T</w:t>
      </w:r>
      <w:r w:rsidRPr="00002445">
        <w:rPr>
          <w:rFonts w:ascii="Times New Roman" w:hAnsi="Times New Roman" w:cs="Times New Roman"/>
        </w:rPr>
        <w:t xml:space="preserve">he 1958 National Child Development Study (NCDS) and the 1970 Birth Cohort Study (BCS70) represent good longitudinal studies with which to </w:t>
      </w:r>
      <w:r w:rsidR="00290D37" w:rsidRPr="00002445">
        <w:rPr>
          <w:rFonts w:ascii="Times New Roman" w:hAnsi="Times New Roman" w:cs="Times New Roman"/>
        </w:rPr>
        <w:t>examine these issues</w:t>
      </w:r>
      <w:r w:rsidRPr="00002445">
        <w:rPr>
          <w:rFonts w:ascii="Times New Roman" w:hAnsi="Times New Roman" w:cs="Times New Roman"/>
        </w:rPr>
        <w:t xml:space="preserve">. The </w:t>
      </w:r>
      <w:r w:rsidR="00B27E36" w:rsidRPr="00002445">
        <w:rPr>
          <w:rFonts w:ascii="Times New Roman" w:hAnsi="Times New Roman" w:cs="Times New Roman"/>
        </w:rPr>
        <w:t xml:space="preserve">individuals included in the </w:t>
      </w:r>
      <w:r w:rsidRPr="00002445">
        <w:rPr>
          <w:rFonts w:ascii="Times New Roman" w:hAnsi="Times New Roman" w:cs="Times New Roman"/>
        </w:rPr>
        <w:t xml:space="preserve">NCDS were born in </w:t>
      </w:r>
      <w:r w:rsidR="00290D37" w:rsidRPr="00002445">
        <w:rPr>
          <w:rFonts w:ascii="Times New Roman" w:hAnsi="Times New Roman" w:cs="Times New Roman"/>
        </w:rPr>
        <w:t xml:space="preserve">one week of March </w:t>
      </w:r>
      <w:r w:rsidRPr="00002445">
        <w:rPr>
          <w:rFonts w:ascii="Times New Roman" w:hAnsi="Times New Roman" w:cs="Times New Roman"/>
        </w:rPr>
        <w:t>1958</w:t>
      </w:r>
      <w:r w:rsidR="00E41F44" w:rsidRPr="00002445">
        <w:rPr>
          <w:rFonts w:ascii="Times New Roman" w:hAnsi="Times New Roman" w:cs="Times New Roman"/>
        </w:rPr>
        <w:t>. The</w:t>
      </w:r>
      <w:r w:rsidR="00151D21" w:rsidRPr="00002445">
        <w:rPr>
          <w:rFonts w:ascii="Times New Roman" w:hAnsi="Times New Roman" w:cs="Times New Roman"/>
        </w:rPr>
        <w:t xml:space="preserve"> </w:t>
      </w:r>
      <w:r w:rsidRPr="00002445">
        <w:rPr>
          <w:rFonts w:ascii="Times New Roman" w:hAnsi="Times New Roman" w:cs="Times New Roman"/>
        </w:rPr>
        <w:t xml:space="preserve">initial sample </w:t>
      </w:r>
      <w:r w:rsidR="00E41F44" w:rsidRPr="00002445">
        <w:rPr>
          <w:rFonts w:ascii="Times New Roman" w:hAnsi="Times New Roman" w:cs="Times New Roman"/>
        </w:rPr>
        <w:t xml:space="preserve">comprised </w:t>
      </w:r>
      <w:r w:rsidRPr="00002445">
        <w:rPr>
          <w:rFonts w:ascii="Times New Roman" w:hAnsi="Times New Roman" w:cs="Times New Roman"/>
        </w:rPr>
        <w:t>17,414</w:t>
      </w:r>
      <w:r w:rsidR="00E41F44" w:rsidRPr="00002445">
        <w:rPr>
          <w:rFonts w:ascii="Times New Roman" w:hAnsi="Times New Roman" w:cs="Times New Roman"/>
        </w:rPr>
        <w:t xml:space="preserve"> respondents</w:t>
      </w:r>
      <w:r w:rsidR="002822F6" w:rsidRPr="00002445">
        <w:rPr>
          <w:rFonts w:ascii="Times New Roman" w:hAnsi="Times New Roman" w:cs="Times New Roman"/>
        </w:rPr>
        <w:t xml:space="preserve"> born in all four countries of the UK, but only cases living in Britain were followed up after 1958</w:t>
      </w:r>
      <w:r w:rsidRPr="00002445">
        <w:rPr>
          <w:rFonts w:ascii="Times New Roman" w:hAnsi="Times New Roman" w:cs="Times New Roman"/>
        </w:rPr>
        <w:t xml:space="preserve">. Data were collected about and from the sample members in 1958 (birth), 1965 (aged 7), 1969 (11), 1974 (16), 1981 (23), 1991 (33), 2000 (42), and at various points since. The </w:t>
      </w:r>
      <w:r w:rsidR="00290D37" w:rsidRPr="00002445">
        <w:rPr>
          <w:rFonts w:ascii="Times New Roman" w:hAnsi="Times New Roman" w:cs="Times New Roman"/>
        </w:rPr>
        <w:t>study</w:t>
      </w:r>
      <w:r w:rsidRPr="00002445">
        <w:rPr>
          <w:rFonts w:ascii="Times New Roman" w:hAnsi="Times New Roman" w:cs="Times New Roman"/>
        </w:rPr>
        <w:t xml:space="preserve"> has maintained very good retention rates. This cohort is used to explore the characteristics of the ‘old’ heroin users because the 1958 cohort would, in all likelihood, have started to use heroin </w:t>
      </w:r>
      <w:r w:rsidR="00245384" w:rsidRPr="00002445">
        <w:rPr>
          <w:rFonts w:ascii="Times New Roman" w:hAnsi="Times New Roman" w:cs="Times New Roman"/>
        </w:rPr>
        <w:t>during</w:t>
      </w:r>
      <w:r w:rsidRPr="00002445">
        <w:rPr>
          <w:rFonts w:ascii="Times New Roman" w:hAnsi="Times New Roman" w:cs="Times New Roman"/>
        </w:rPr>
        <w:t xml:space="preserve"> the mid</w:t>
      </w:r>
      <w:r w:rsidR="00245384" w:rsidRPr="00002445">
        <w:rPr>
          <w:rFonts w:ascii="Times New Roman" w:hAnsi="Times New Roman" w:cs="Times New Roman"/>
        </w:rPr>
        <w:t>-</w:t>
      </w:r>
      <w:r w:rsidRPr="00002445">
        <w:rPr>
          <w:rFonts w:ascii="Times New Roman" w:hAnsi="Times New Roman" w:cs="Times New Roman"/>
        </w:rPr>
        <w:t>1970s for early–onset users, or late–1970s when they were in their early 20s (the average age of initiation being approximately 18–20</w:t>
      </w:r>
      <w:r w:rsidR="00245384" w:rsidRPr="00002445">
        <w:rPr>
          <w:rFonts w:ascii="Times New Roman" w:hAnsi="Times New Roman" w:cs="Times New Roman"/>
        </w:rPr>
        <w:t>,</w:t>
      </w:r>
      <w:r w:rsidRPr="00002445">
        <w:rPr>
          <w:rFonts w:ascii="Times New Roman" w:hAnsi="Times New Roman" w:cs="Times New Roman"/>
        </w:rPr>
        <w:t xml:space="preserve"> as noted by Morgan (2014</w:t>
      </w:r>
      <w:r w:rsidR="0094347E" w:rsidRPr="00002445">
        <w:rPr>
          <w:rFonts w:ascii="Times New Roman" w:hAnsi="Times New Roman" w:cs="Times New Roman"/>
        </w:rPr>
        <w:t xml:space="preserve">, </w:t>
      </w:r>
      <w:r w:rsidRPr="00002445">
        <w:rPr>
          <w:rFonts w:ascii="Times New Roman" w:hAnsi="Times New Roman" w:cs="Times New Roman"/>
        </w:rPr>
        <w:t>30).</w:t>
      </w:r>
    </w:p>
    <w:p w14:paraId="33C67E28" w14:textId="4661198E" w:rsidR="00496EF6" w:rsidRPr="00002445" w:rsidRDefault="0078610C">
      <w:pPr>
        <w:pStyle w:val="BodyText"/>
        <w:rPr>
          <w:rFonts w:ascii="Times New Roman" w:hAnsi="Times New Roman" w:cs="Times New Roman"/>
        </w:rPr>
      </w:pPr>
      <w:r w:rsidRPr="00002445">
        <w:rPr>
          <w:rFonts w:ascii="Times New Roman" w:hAnsi="Times New Roman" w:cs="Times New Roman"/>
        </w:rPr>
        <w:t>The BCS70 cohort, on the other hand, is used to explore the characteristics of the ‘new’ heroin users. The 1970 cohort were not likely to be us</w:t>
      </w:r>
      <w:r w:rsidR="007C1A3A" w:rsidRPr="00002445">
        <w:rPr>
          <w:rFonts w:ascii="Times New Roman" w:hAnsi="Times New Roman" w:cs="Times New Roman"/>
        </w:rPr>
        <w:t>ing heroin before the very late-</w:t>
      </w:r>
      <w:r w:rsidRPr="00002445">
        <w:rPr>
          <w:rFonts w:ascii="Times New Roman" w:hAnsi="Times New Roman" w:cs="Times New Roman"/>
        </w:rPr>
        <w:t xml:space="preserve">1980s, or perhaps mid–1980s for early onset users. This cohort had a slightly smaller sample size (16,135) than the </w:t>
      </w:r>
      <w:r w:rsidR="004A34FF" w:rsidRPr="00002445">
        <w:rPr>
          <w:rFonts w:ascii="Times New Roman" w:hAnsi="Times New Roman" w:cs="Times New Roman"/>
        </w:rPr>
        <w:t>NCDS and</w:t>
      </w:r>
      <w:r w:rsidRPr="00002445">
        <w:rPr>
          <w:rFonts w:ascii="Times New Roman" w:hAnsi="Times New Roman" w:cs="Times New Roman"/>
        </w:rPr>
        <w:t xml:space="preserve"> were born in one week of April 1970. </w:t>
      </w:r>
      <w:r w:rsidR="002822F6" w:rsidRPr="00002445">
        <w:rPr>
          <w:rFonts w:ascii="Times New Roman" w:hAnsi="Times New Roman" w:cs="Times New Roman"/>
        </w:rPr>
        <w:t xml:space="preserve">Again, the cases were initially collected in all four countries in the UK, with subsequent </w:t>
      </w:r>
      <w:r w:rsidR="00732AF9" w:rsidRPr="00002445">
        <w:rPr>
          <w:rFonts w:ascii="Times New Roman" w:hAnsi="Times New Roman" w:cs="Times New Roman"/>
        </w:rPr>
        <w:t>follow</w:t>
      </w:r>
      <w:r w:rsidR="008F1418" w:rsidRPr="00002445">
        <w:rPr>
          <w:rFonts w:ascii="Times New Roman" w:hAnsi="Times New Roman" w:cs="Times New Roman"/>
        </w:rPr>
        <w:t>-</w:t>
      </w:r>
      <w:r w:rsidR="00732AF9" w:rsidRPr="00002445">
        <w:rPr>
          <w:rFonts w:ascii="Times New Roman" w:hAnsi="Times New Roman" w:cs="Times New Roman"/>
        </w:rPr>
        <w:t xml:space="preserve">ups only taking place for those living in Britain. </w:t>
      </w:r>
      <w:r w:rsidRPr="00002445">
        <w:rPr>
          <w:rFonts w:ascii="Times New Roman" w:hAnsi="Times New Roman" w:cs="Times New Roman"/>
        </w:rPr>
        <w:t>Data was collected about the cohort members in 1970 (birth), 1975 (aged 5), 1980 (10), 1986 (16), 1996 (26), 2000 (30), and again since at various points. The sample has generally good response rates, with around two–thirds of cohort members successfully interviewed at sweeps since 2000, and the sample remains representative of the original births (Gerova, n.d.</w:t>
      </w:r>
      <w:r w:rsidR="001024E1" w:rsidRPr="00002445">
        <w:rPr>
          <w:rFonts w:ascii="Times New Roman" w:hAnsi="Times New Roman" w:cs="Times New Roman"/>
        </w:rPr>
        <w:t xml:space="preserve">, </w:t>
      </w:r>
      <w:r w:rsidRPr="00002445">
        <w:rPr>
          <w:rFonts w:ascii="Times New Roman" w:hAnsi="Times New Roman" w:cs="Times New Roman"/>
        </w:rPr>
        <w:t>7).</w:t>
      </w:r>
    </w:p>
    <w:p w14:paraId="64965851" w14:textId="1446E408" w:rsidR="00496EF6" w:rsidRPr="00002445" w:rsidRDefault="0078610C">
      <w:pPr>
        <w:pStyle w:val="BodyText"/>
        <w:rPr>
          <w:rFonts w:ascii="Times New Roman" w:hAnsi="Times New Roman" w:cs="Times New Roman"/>
        </w:rPr>
      </w:pPr>
      <w:r w:rsidRPr="00002445">
        <w:rPr>
          <w:rFonts w:ascii="Times New Roman" w:hAnsi="Times New Roman" w:cs="Times New Roman"/>
        </w:rPr>
        <w:t xml:space="preserve">This style of research design is described as the “pairing [of] strategically related longitudinal samples” (Almeida </w:t>
      </w:r>
      <w:r w:rsidR="004A34FF" w:rsidRPr="00002445">
        <w:rPr>
          <w:rFonts w:ascii="Times New Roman" w:hAnsi="Times New Roman" w:cs="Times New Roman"/>
        </w:rPr>
        <w:t>&amp;</w:t>
      </w:r>
      <w:r w:rsidRPr="00002445">
        <w:rPr>
          <w:rFonts w:ascii="Times New Roman" w:hAnsi="Times New Roman" w:cs="Times New Roman"/>
        </w:rPr>
        <w:t xml:space="preserve"> Wong, 2009</w:t>
      </w:r>
      <w:r w:rsidR="004A34FF" w:rsidRPr="00002445">
        <w:rPr>
          <w:rFonts w:ascii="Times New Roman" w:hAnsi="Times New Roman" w:cs="Times New Roman"/>
        </w:rPr>
        <w:t xml:space="preserve">, </w:t>
      </w:r>
      <w:r w:rsidRPr="00002445">
        <w:rPr>
          <w:rFonts w:ascii="Times New Roman" w:hAnsi="Times New Roman" w:cs="Times New Roman"/>
        </w:rPr>
        <w:t xml:space="preserve">16). </w:t>
      </w:r>
      <w:r w:rsidR="007C1A3A" w:rsidRPr="00002445">
        <w:rPr>
          <w:rFonts w:ascii="Times New Roman" w:hAnsi="Times New Roman" w:cs="Times New Roman"/>
        </w:rPr>
        <w:t>B</w:t>
      </w:r>
      <w:r w:rsidRPr="00002445">
        <w:rPr>
          <w:rFonts w:ascii="Times New Roman" w:hAnsi="Times New Roman" w:cs="Times New Roman"/>
        </w:rPr>
        <w:t xml:space="preserve">y using two cohort studies with respondents born twelve years apart, we aim to highlight “variations and differences within and between individuals as they develop in multidimensional social–historical contexts” (Almeida </w:t>
      </w:r>
      <w:r w:rsidR="004A34FF" w:rsidRPr="00002445">
        <w:rPr>
          <w:rFonts w:ascii="Times New Roman" w:hAnsi="Times New Roman" w:cs="Times New Roman"/>
        </w:rPr>
        <w:t>&amp;</w:t>
      </w:r>
      <w:r w:rsidRPr="00002445">
        <w:rPr>
          <w:rFonts w:ascii="Times New Roman" w:hAnsi="Times New Roman" w:cs="Times New Roman"/>
        </w:rPr>
        <w:t xml:space="preserve"> Wo</w:t>
      </w:r>
      <w:r w:rsidR="007C1A3A" w:rsidRPr="00002445">
        <w:rPr>
          <w:rFonts w:ascii="Times New Roman" w:hAnsi="Times New Roman" w:cs="Times New Roman"/>
        </w:rPr>
        <w:t>ng, 2009</w:t>
      </w:r>
      <w:r w:rsidR="004A34FF" w:rsidRPr="00002445">
        <w:rPr>
          <w:rFonts w:ascii="Times New Roman" w:hAnsi="Times New Roman" w:cs="Times New Roman"/>
        </w:rPr>
        <w:t xml:space="preserve">, </w:t>
      </w:r>
      <w:r w:rsidRPr="00002445">
        <w:rPr>
          <w:rFonts w:ascii="Times New Roman" w:hAnsi="Times New Roman" w:cs="Times New Roman"/>
        </w:rPr>
        <w:t xml:space="preserve">142). Both of these cohorts were interviewed using identical questionnaires and questions in the year 2000 (when they were 42 and 30 respectively). </w:t>
      </w:r>
      <w:r w:rsidR="004D115C" w:rsidRPr="00002445">
        <w:rPr>
          <w:rFonts w:ascii="Times New Roman" w:hAnsi="Times New Roman" w:cs="Times New Roman"/>
        </w:rPr>
        <w:t>The s</w:t>
      </w:r>
      <w:r w:rsidRPr="00002445">
        <w:rPr>
          <w:rFonts w:ascii="Times New Roman" w:hAnsi="Times New Roman" w:cs="Times New Roman"/>
        </w:rPr>
        <w:t xml:space="preserve">pecific survey questions we rely </w:t>
      </w:r>
      <w:r w:rsidRPr="00002445">
        <w:rPr>
          <w:rFonts w:ascii="Times New Roman" w:hAnsi="Times New Roman" w:cs="Times New Roman"/>
        </w:rPr>
        <w:lastRenderedPageBreak/>
        <w:t>on are outlined when discussing the analyses below.</w:t>
      </w:r>
      <w:r w:rsidR="00D330C4" w:rsidRPr="00002445">
        <w:rPr>
          <w:rFonts w:ascii="Times New Roman" w:hAnsi="Times New Roman" w:cs="Times New Roman"/>
        </w:rPr>
        <w:t xml:space="preserve"> </w:t>
      </w:r>
      <w:r w:rsidRPr="00002445">
        <w:rPr>
          <w:rFonts w:ascii="Times New Roman" w:hAnsi="Times New Roman" w:cs="Times New Roman"/>
        </w:rPr>
        <w:t>We start by exploring the social classes of the cohort members’ fathers and families when they were born in 1958 and 1970.</w:t>
      </w:r>
      <w:r w:rsidR="008F1418" w:rsidRPr="00002445">
        <w:rPr>
          <w:rStyle w:val="FootnoteReference"/>
          <w:rFonts w:ascii="Times New Roman" w:hAnsi="Times New Roman" w:cs="Times New Roman"/>
        </w:rPr>
        <w:footnoteReference w:id="4"/>
      </w:r>
      <w:r w:rsidRPr="00002445">
        <w:rPr>
          <w:rFonts w:ascii="Times New Roman" w:hAnsi="Times New Roman" w:cs="Times New Roman"/>
        </w:rPr>
        <w:t xml:space="preserve"> </w:t>
      </w:r>
    </w:p>
    <w:p w14:paraId="309AE4AA" w14:textId="1046F9A4" w:rsidR="00496EF6" w:rsidRPr="00002445" w:rsidRDefault="0078610C">
      <w:pPr>
        <w:pStyle w:val="FirstParagraph"/>
        <w:rPr>
          <w:rFonts w:ascii="Times New Roman" w:hAnsi="Times New Roman" w:cs="Times New Roman"/>
        </w:rPr>
      </w:pPr>
      <w:bookmarkStart w:id="10" w:name="X04442c04dfbdfa3359e61091ff15b8da4ae4187"/>
      <w:r w:rsidRPr="00002445">
        <w:rPr>
          <w:rFonts w:ascii="Times New Roman" w:hAnsi="Times New Roman" w:cs="Times New Roman"/>
        </w:rPr>
        <w:t>Like any study there are strengths and limitations of relying on the</w:t>
      </w:r>
      <w:r w:rsidR="007C1A3A" w:rsidRPr="00002445">
        <w:rPr>
          <w:rFonts w:ascii="Times New Roman" w:hAnsi="Times New Roman" w:cs="Times New Roman"/>
        </w:rPr>
        <w:t>se</w:t>
      </w:r>
      <w:r w:rsidRPr="00002445">
        <w:rPr>
          <w:rFonts w:ascii="Times New Roman" w:hAnsi="Times New Roman" w:cs="Times New Roman"/>
        </w:rPr>
        <w:t xml:space="preserve"> cohorts. The strengths are that they are nationally</w:t>
      </w:r>
      <w:r w:rsidR="008F1418" w:rsidRPr="00002445">
        <w:rPr>
          <w:rFonts w:ascii="Times New Roman" w:hAnsi="Times New Roman" w:cs="Times New Roman"/>
        </w:rPr>
        <w:t>-</w:t>
      </w:r>
      <w:r w:rsidRPr="00002445">
        <w:rPr>
          <w:rFonts w:ascii="Times New Roman" w:hAnsi="Times New Roman" w:cs="Times New Roman"/>
        </w:rPr>
        <w:t>representative samples drawn from beyond the criminal justice or health care systems and more than one local area; involve long</w:t>
      </w:r>
      <w:r w:rsidR="008F1418" w:rsidRPr="00002445">
        <w:rPr>
          <w:rFonts w:ascii="Times New Roman" w:hAnsi="Times New Roman" w:cs="Times New Roman"/>
        </w:rPr>
        <w:t>-</w:t>
      </w:r>
      <w:r w:rsidRPr="00002445">
        <w:rPr>
          <w:rFonts w:ascii="Times New Roman" w:hAnsi="Times New Roman" w:cs="Times New Roman"/>
        </w:rPr>
        <w:t>term follow</w:t>
      </w:r>
      <w:r w:rsidR="008F1418" w:rsidRPr="00002445">
        <w:rPr>
          <w:rFonts w:ascii="Times New Roman" w:hAnsi="Times New Roman" w:cs="Times New Roman"/>
        </w:rPr>
        <w:t>-</w:t>
      </w:r>
      <w:r w:rsidRPr="00002445">
        <w:rPr>
          <w:rFonts w:ascii="Times New Roman" w:hAnsi="Times New Roman" w:cs="Times New Roman"/>
        </w:rPr>
        <w:t xml:space="preserve">up beyond the peak age of conviction; </w:t>
      </w:r>
      <w:r w:rsidR="007C1A3A" w:rsidRPr="00002445">
        <w:rPr>
          <w:rFonts w:ascii="Times New Roman" w:hAnsi="Times New Roman" w:cs="Times New Roman"/>
        </w:rPr>
        <w:t>received identic</w:t>
      </w:r>
      <w:r w:rsidRPr="00002445">
        <w:rPr>
          <w:rFonts w:ascii="Times New Roman" w:hAnsi="Times New Roman" w:cs="Times New Roman"/>
        </w:rPr>
        <w:t>al survey instruments in the year 2000 (from which most of our analysis is drawn); include a wide range of additional variables which can be used to assess outcomes; include non</w:t>
      </w:r>
      <w:r w:rsidR="008F1418" w:rsidRPr="00002445">
        <w:rPr>
          <w:rFonts w:ascii="Times New Roman" w:hAnsi="Times New Roman" w:cs="Times New Roman"/>
        </w:rPr>
        <w:t>-</w:t>
      </w:r>
      <w:r w:rsidRPr="00002445">
        <w:rPr>
          <w:rFonts w:ascii="Times New Roman" w:hAnsi="Times New Roman" w:cs="Times New Roman"/>
        </w:rPr>
        <w:t>heroin users for comparison; track two generations of heroin users born twelve years apart and who we argue represent the ‘old’ and ‘new’ heroin users referred to by Pearson (1987); and provide data about a sufficiently large number of cases for tests of significance to be undertaken.</w:t>
      </w:r>
    </w:p>
    <w:p w14:paraId="24C558F8" w14:textId="2F39B077" w:rsidR="00496EF6" w:rsidRPr="00002445" w:rsidRDefault="0078610C">
      <w:pPr>
        <w:pStyle w:val="BodyText"/>
        <w:rPr>
          <w:rFonts w:ascii="Times New Roman" w:hAnsi="Times New Roman" w:cs="Times New Roman"/>
        </w:rPr>
      </w:pPr>
      <w:r w:rsidRPr="00002445">
        <w:rPr>
          <w:rFonts w:ascii="Times New Roman" w:hAnsi="Times New Roman" w:cs="Times New Roman"/>
        </w:rPr>
        <w:t xml:space="preserve">The major limitation of these studies </w:t>
      </w:r>
      <w:r w:rsidR="00137F91" w:rsidRPr="00002445">
        <w:rPr>
          <w:rFonts w:ascii="Times New Roman" w:hAnsi="Times New Roman" w:cs="Times New Roman"/>
        </w:rPr>
        <w:t>is</w:t>
      </w:r>
      <w:r w:rsidRPr="00002445">
        <w:rPr>
          <w:rFonts w:ascii="Times New Roman" w:hAnsi="Times New Roman" w:cs="Times New Roman"/>
        </w:rPr>
        <w:t xml:space="preserve"> that some heroin users in either cohort may have been lost to follow</w:t>
      </w:r>
      <w:r w:rsidR="008F1418" w:rsidRPr="00002445">
        <w:rPr>
          <w:rFonts w:ascii="Times New Roman" w:hAnsi="Times New Roman" w:cs="Times New Roman"/>
        </w:rPr>
        <w:t>-</w:t>
      </w:r>
      <w:r w:rsidRPr="00002445">
        <w:rPr>
          <w:rFonts w:ascii="Times New Roman" w:hAnsi="Times New Roman" w:cs="Times New Roman"/>
        </w:rPr>
        <w:t>up before the 2000 sweep which we use for the majority of our analyses. Some cohort members may have also been lost to follow</w:t>
      </w:r>
      <w:r w:rsidR="008F1418" w:rsidRPr="00002445">
        <w:rPr>
          <w:rFonts w:ascii="Times New Roman" w:hAnsi="Times New Roman" w:cs="Times New Roman"/>
        </w:rPr>
        <w:t>-</w:t>
      </w:r>
      <w:r w:rsidRPr="00002445">
        <w:rPr>
          <w:rFonts w:ascii="Times New Roman" w:hAnsi="Times New Roman" w:cs="Times New Roman"/>
        </w:rPr>
        <w:t xml:space="preserve">up or died before the year 2000 so it would not be possible to know if they </w:t>
      </w:r>
      <w:r w:rsidR="00290D37" w:rsidRPr="00002445">
        <w:rPr>
          <w:rFonts w:ascii="Times New Roman" w:hAnsi="Times New Roman" w:cs="Times New Roman"/>
        </w:rPr>
        <w:t xml:space="preserve">used </w:t>
      </w:r>
      <w:r w:rsidRPr="00002445">
        <w:rPr>
          <w:rFonts w:ascii="Times New Roman" w:hAnsi="Times New Roman" w:cs="Times New Roman"/>
        </w:rPr>
        <w:t>heroin or not</w:t>
      </w:r>
      <w:r w:rsidR="00A060B5" w:rsidRPr="00002445">
        <w:rPr>
          <w:rFonts w:ascii="Times New Roman" w:hAnsi="Times New Roman" w:cs="Times New Roman"/>
        </w:rPr>
        <w:t xml:space="preserve"> –</w:t>
      </w:r>
      <w:r w:rsidRPr="00002445">
        <w:rPr>
          <w:rFonts w:ascii="Times New Roman" w:hAnsi="Times New Roman" w:cs="Times New Roman"/>
        </w:rPr>
        <w:t xml:space="preserve"> cohort members are only asked in the year 2000 if they have ever used heroin so if an individual had been using in, say, 1990 but died before the year 2000 they wo</w:t>
      </w:r>
      <w:r w:rsidR="007C1A3A" w:rsidRPr="00002445">
        <w:rPr>
          <w:rFonts w:ascii="Times New Roman" w:hAnsi="Times New Roman" w:cs="Times New Roman"/>
        </w:rPr>
        <w:t>uld not be recorded as a user. However, w</w:t>
      </w:r>
      <w:r w:rsidRPr="00002445">
        <w:rPr>
          <w:rFonts w:ascii="Times New Roman" w:hAnsi="Times New Roman" w:cs="Times New Roman"/>
        </w:rPr>
        <w:t>e argue this is unlikely because the death rate</w:t>
      </w:r>
      <w:r w:rsidR="009F4D86" w:rsidRPr="00002445">
        <w:rPr>
          <w:rFonts w:ascii="Times New Roman" w:hAnsi="Times New Roman" w:cs="Times New Roman"/>
        </w:rPr>
        <w:t>s</w:t>
      </w:r>
      <w:r w:rsidRPr="00002445">
        <w:rPr>
          <w:rFonts w:ascii="Times New Roman" w:hAnsi="Times New Roman" w:cs="Times New Roman"/>
        </w:rPr>
        <w:t xml:space="preserve"> </w:t>
      </w:r>
      <w:r w:rsidR="00A060B5" w:rsidRPr="00002445">
        <w:rPr>
          <w:rFonts w:ascii="Times New Roman" w:hAnsi="Times New Roman" w:cs="Times New Roman"/>
        </w:rPr>
        <w:t xml:space="preserve">of </w:t>
      </w:r>
      <w:r w:rsidRPr="00002445">
        <w:rPr>
          <w:rFonts w:ascii="Times New Roman" w:hAnsi="Times New Roman" w:cs="Times New Roman"/>
        </w:rPr>
        <w:t xml:space="preserve">both </w:t>
      </w:r>
      <w:r w:rsidR="009F4D86" w:rsidRPr="00002445">
        <w:rPr>
          <w:rFonts w:ascii="Times New Roman" w:hAnsi="Times New Roman" w:cs="Times New Roman"/>
        </w:rPr>
        <w:t>cohort</w:t>
      </w:r>
      <w:r w:rsidRPr="00002445">
        <w:rPr>
          <w:rFonts w:ascii="Times New Roman" w:hAnsi="Times New Roman" w:cs="Times New Roman"/>
        </w:rPr>
        <w:t xml:space="preserve">s </w:t>
      </w:r>
      <w:r w:rsidR="009F4D86" w:rsidRPr="00002445">
        <w:rPr>
          <w:rFonts w:ascii="Times New Roman" w:hAnsi="Times New Roman" w:cs="Times New Roman"/>
        </w:rPr>
        <w:t>are</w:t>
      </w:r>
      <w:r w:rsidRPr="00002445">
        <w:rPr>
          <w:rFonts w:ascii="Times New Roman" w:hAnsi="Times New Roman" w:cs="Times New Roman"/>
        </w:rPr>
        <w:t xml:space="preserve"> low, reflecting the young age of the cohorts at the time of the 2000 sweep, suggesting that even if some did use heroin but were not recorded in the 2000 sweep this will have been limited to a very small number of cases</w:t>
      </w:r>
      <w:r w:rsidR="00551259" w:rsidRPr="00002445">
        <w:rPr>
          <w:rFonts w:ascii="Times New Roman" w:hAnsi="Times New Roman" w:cs="Times New Roman"/>
        </w:rPr>
        <w:t>. Moreover,</w:t>
      </w:r>
      <w:r w:rsidRPr="00002445">
        <w:rPr>
          <w:rFonts w:ascii="Times New Roman" w:hAnsi="Times New Roman" w:cs="Times New Roman"/>
        </w:rPr>
        <w:t xml:space="preserve"> both of the cohorts have very good rates of follow–up and the rates of recorded usage derived from the 2000 data are in line with other estimates of the extent of heroin usage at this time. Therefore</w:t>
      </w:r>
      <w:r w:rsidR="009F4D86" w:rsidRPr="00002445">
        <w:rPr>
          <w:rFonts w:ascii="Times New Roman" w:hAnsi="Times New Roman" w:cs="Times New Roman"/>
        </w:rPr>
        <w:t>,</w:t>
      </w:r>
      <w:r w:rsidRPr="00002445">
        <w:rPr>
          <w:rFonts w:ascii="Times New Roman" w:hAnsi="Times New Roman" w:cs="Times New Roman"/>
        </w:rPr>
        <w:t xml:space="preserve"> we argue that the findings we present below are not biased by selective attrition beyond the usual caveats surrounding research of this nature.</w:t>
      </w:r>
    </w:p>
    <w:p w14:paraId="059A87CF" w14:textId="657C8864" w:rsidR="00496EF6" w:rsidRPr="00002445" w:rsidRDefault="0078610C" w:rsidP="00383B74">
      <w:pPr>
        <w:pStyle w:val="Heading1"/>
        <w:rPr>
          <w:rFonts w:ascii="Times New Roman" w:hAnsi="Times New Roman" w:cs="Times New Roman"/>
          <w:color w:val="auto"/>
        </w:rPr>
      </w:pPr>
      <w:bookmarkStart w:id="11" w:name="Xde2a89c16808974971fd69d54eb13329d25e901"/>
      <w:bookmarkEnd w:id="7"/>
      <w:bookmarkEnd w:id="10"/>
      <w:r w:rsidRPr="00002445">
        <w:rPr>
          <w:rStyle w:val="SectionNumber"/>
          <w:rFonts w:ascii="Times New Roman" w:hAnsi="Times New Roman" w:cs="Times New Roman"/>
          <w:color w:val="auto"/>
        </w:rPr>
        <w:t>6</w:t>
      </w:r>
      <w:r w:rsidR="00383B74" w:rsidRPr="00002445">
        <w:rPr>
          <w:rFonts w:ascii="Times New Roman" w:hAnsi="Times New Roman" w:cs="Times New Roman"/>
          <w:color w:val="auto"/>
        </w:rPr>
        <w:tab/>
      </w:r>
      <w:r w:rsidRPr="00002445">
        <w:rPr>
          <w:rFonts w:ascii="Times New Roman" w:hAnsi="Times New Roman" w:cs="Times New Roman"/>
          <w:color w:val="auto"/>
        </w:rPr>
        <w:t xml:space="preserve">The numbers, relative </w:t>
      </w:r>
      <w:r w:rsidR="00B80240" w:rsidRPr="00002445">
        <w:rPr>
          <w:rFonts w:ascii="Times New Roman" w:hAnsi="Times New Roman" w:cs="Times New Roman"/>
          <w:color w:val="auto"/>
        </w:rPr>
        <w:t>incidence,</w:t>
      </w:r>
      <w:r w:rsidRPr="00002445">
        <w:rPr>
          <w:rFonts w:ascii="Times New Roman" w:hAnsi="Times New Roman" w:cs="Times New Roman"/>
          <w:color w:val="auto"/>
        </w:rPr>
        <w:t xml:space="preserve"> and characteristics of heroin users in each cohort</w:t>
      </w:r>
    </w:p>
    <w:p w14:paraId="426B3457" w14:textId="3BE2111E" w:rsidR="00496EF6" w:rsidRPr="00002445" w:rsidRDefault="0078610C">
      <w:pPr>
        <w:pStyle w:val="FirstParagraph"/>
        <w:rPr>
          <w:rFonts w:ascii="Times New Roman" w:hAnsi="Times New Roman" w:cs="Times New Roman"/>
        </w:rPr>
      </w:pPr>
      <w:r w:rsidRPr="00002445">
        <w:rPr>
          <w:rFonts w:ascii="Times New Roman" w:hAnsi="Times New Roman" w:cs="Times New Roman"/>
        </w:rPr>
        <w:t>In 2000, when the cohorts were 42 and 30 years old respectively, respondents in both the NCDS (n = 10</w:t>
      </w:r>
      <w:r w:rsidR="009F4D86" w:rsidRPr="00002445">
        <w:rPr>
          <w:rFonts w:ascii="Times New Roman" w:hAnsi="Times New Roman" w:cs="Times New Roman"/>
        </w:rPr>
        <w:t>,</w:t>
      </w:r>
      <w:r w:rsidRPr="00002445">
        <w:rPr>
          <w:rFonts w:ascii="Times New Roman" w:hAnsi="Times New Roman" w:cs="Times New Roman"/>
        </w:rPr>
        <w:t>203) and BCS70 (n = 10</w:t>
      </w:r>
      <w:r w:rsidR="009F4D86" w:rsidRPr="00002445">
        <w:rPr>
          <w:rFonts w:ascii="Times New Roman" w:hAnsi="Times New Roman" w:cs="Times New Roman"/>
        </w:rPr>
        <w:t>,</w:t>
      </w:r>
      <w:r w:rsidRPr="00002445">
        <w:rPr>
          <w:rFonts w:ascii="Times New Roman" w:hAnsi="Times New Roman" w:cs="Times New Roman"/>
        </w:rPr>
        <w:t>248) were asked the same questions about their previous drug consumption</w:t>
      </w:r>
      <w:r w:rsidR="009F4D86" w:rsidRPr="00002445">
        <w:rPr>
          <w:rFonts w:ascii="Times New Roman" w:hAnsi="Times New Roman" w:cs="Times New Roman"/>
        </w:rPr>
        <w:t xml:space="preserve">: </w:t>
      </w:r>
      <w:r w:rsidR="00290D37" w:rsidRPr="00002445">
        <w:rPr>
          <w:rFonts w:ascii="Times New Roman" w:hAnsi="Times New Roman" w:cs="Times New Roman"/>
        </w:rPr>
        <w:t xml:space="preserve">“Have you ever tried heroin?”. </w:t>
      </w:r>
      <w:r w:rsidRPr="00002445">
        <w:rPr>
          <w:rFonts w:ascii="Times New Roman" w:hAnsi="Times New Roman" w:cs="Times New Roman"/>
        </w:rPr>
        <w:t>Possible responses for the NCDS were: “Never”; “Yes, not in last 12 m</w:t>
      </w:r>
      <w:r w:rsidR="009F4D86" w:rsidRPr="00002445">
        <w:rPr>
          <w:rFonts w:ascii="Times New Roman" w:hAnsi="Times New Roman" w:cs="Times New Roman"/>
        </w:rPr>
        <w:t>o</w:t>
      </w:r>
      <w:r w:rsidRPr="00002445">
        <w:rPr>
          <w:rFonts w:ascii="Times New Roman" w:hAnsi="Times New Roman" w:cs="Times New Roman"/>
        </w:rPr>
        <w:t>nt</w:t>
      </w:r>
      <w:r w:rsidR="009F4D86" w:rsidRPr="00002445">
        <w:rPr>
          <w:rFonts w:ascii="Times New Roman" w:hAnsi="Times New Roman" w:cs="Times New Roman"/>
        </w:rPr>
        <w:t>h</w:t>
      </w:r>
      <w:r w:rsidRPr="00002445">
        <w:rPr>
          <w:rFonts w:ascii="Times New Roman" w:hAnsi="Times New Roman" w:cs="Times New Roman"/>
        </w:rPr>
        <w:t>s”; “Yes, in last 12 m</w:t>
      </w:r>
      <w:r w:rsidR="009F4D86" w:rsidRPr="00002445">
        <w:rPr>
          <w:rFonts w:ascii="Times New Roman" w:hAnsi="Times New Roman" w:cs="Times New Roman"/>
        </w:rPr>
        <w:t>o</w:t>
      </w:r>
      <w:r w:rsidRPr="00002445">
        <w:rPr>
          <w:rFonts w:ascii="Times New Roman" w:hAnsi="Times New Roman" w:cs="Times New Roman"/>
        </w:rPr>
        <w:t>nths”; and “Not answered” (Centre for Longitudinal Studies, 2008). Possible answers for the BCS70 were: “Don’t know”; “Never”; “Yes not in last 12 m</w:t>
      </w:r>
      <w:r w:rsidR="009F4D86" w:rsidRPr="00002445">
        <w:rPr>
          <w:rFonts w:ascii="Times New Roman" w:hAnsi="Times New Roman" w:cs="Times New Roman"/>
        </w:rPr>
        <w:t>o</w:t>
      </w:r>
      <w:r w:rsidRPr="00002445">
        <w:rPr>
          <w:rFonts w:ascii="Times New Roman" w:hAnsi="Times New Roman" w:cs="Times New Roman"/>
        </w:rPr>
        <w:t>nths”; “Yes in last 12 m</w:t>
      </w:r>
      <w:r w:rsidR="009F4D86" w:rsidRPr="00002445">
        <w:rPr>
          <w:rFonts w:ascii="Times New Roman" w:hAnsi="Times New Roman" w:cs="Times New Roman"/>
        </w:rPr>
        <w:t>o</w:t>
      </w:r>
      <w:r w:rsidRPr="00002445">
        <w:rPr>
          <w:rFonts w:ascii="Times New Roman" w:hAnsi="Times New Roman" w:cs="Times New Roman"/>
        </w:rPr>
        <w:t>nths”; and “Not answered” (Centre for Longitudinal Studies, 2016).</w:t>
      </w:r>
    </w:p>
    <w:p w14:paraId="18478236" w14:textId="52BFB1C2" w:rsidR="00496EF6" w:rsidRPr="00002445" w:rsidRDefault="0078610C">
      <w:pPr>
        <w:pStyle w:val="BodyText"/>
        <w:rPr>
          <w:rFonts w:ascii="Times New Roman" w:hAnsi="Times New Roman" w:cs="Times New Roman"/>
        </w:rPr>
      </w:pPr>
      <w:r w:rsidRPr="00002445">
        <w:rPr>
          <w:rFonts w:ascii="Times New Roman" w:hAnsi="Times New Roman" w:cs="Times New Roman"/>
        </w:rPr>
        <w:t>In the NCDS cohort there were 14 ‘current’ users of heroin (respondents who ha</w:t>
      </w:r>
      <w:r w:rsidR="009F4D86" w:rsidRPr="00002445">
        <w:rPr>
          <w:rFonts w:ascii="Times New Roman" w:hAnsi="Times New Roman" w:cs="Times New Roman"/>
        </w:rPr>
        <w:t>d</w:t>
      </w:r>
      <w:r w:rsidRPr="00002445">
        <w:rPr>
          <w:rFonts w:ascii="Times New Roman" w:hAnsi="Times New Roman" w:cs="Times New Roman"/>
        </w:rPr>
        <w:t xml:space="preserve"> used heroin in the past twelve months) in the year 2000, and 97 respondents who were previous heroin users (those who had used heroin but not in the last twelve months). In total there were therefore 111 </w:t>
      </w:r>
      <w:r w:rsidRPr="00002445">
        <w:rPr>
          <w:rFonts w:ascii="Times New Roman" w:hAnsi="Times New Roman" w:cs="Times New Roman"/>
        </w:rPr>
        <w:lastRenderedPageBreak/>
        <w:t xml:space="preserve">members of the NCDS </w:t>
      </w:r>
      <w:r w:rsidR="009F4D86" w:rsidRPr="00002445">
        <w:rPr>
          <w:rFonts w:ascii="Times New Roman" w:hAnsi="Times New Roman" w:cs="Times New Roman"/>
        </w:rPr>
        <w:t>cohort</w:t>
      </w:r>
      <w:r w:rsidRPr="00002445">
        <w:rPr>
          <w:rFonts w:ascii="Times New Roman" w:hAnsi="Times New Roman" w:cs="Times New Roman"/>
        </w:rPr>
        <w:t xml:space="preserve"> who had ever used heroin. There were 7 who did not know or did not answer, with the remaining 10</w:t>
      </w:r>
      <w:r w:rsidR="009F4D86" w:rsidRPr="00002445">
        <w:rPr>
          <w:rFonts w:ascii="Times New Roman" w:hAnsi="Times New Roman" w:cs="Times New Roman"/>
        </w:rPr>
        <w:t>,</w:t>
      </w:r>
      <w:r w:rsidRPr="00002445">
        <w:rPr>
          <w:rFonts w:ascii="Times New Roman" w:hAnsi="Times New Roman" w:cs="Times New Roman"/>
        </w:rPr>
        <w:t>085 respondents having never used heroin.</w:t>
      </w:r>
    </w:p>
    <w:p w14:paraId="1AF529B5" w14:textId="58DF6B4B" w:rsidR="00496EF6" w:rsidRPr="00002445" w:rsidRDefault="5CBE897B">
      <w:pPr>
        <w:pStyle w:val="BodyText"/>
        <w:rPr>
          <w:rFonts w:ascii="Times New Roman" w:hAnsi="Times New Roman" w:cs="Times New Roman"/>
        </w:rPr>
      </w:pPr>
      <w:r w:rsidRPr="00002445">
        <w:rPr>
          <w:rFonts w:ascii="Times New Roman" w:hAnsi="Times New Roman" w:cs="Times New Roman"/>
        </w:rPr>
        <w:t>In comparison in the BCS70 cohort</w:t>
      </w:r>
      <w:r w:rsidR="009F4D86" w:rsidRPr="00002445">
        <w:rPr>
          <w:rFonts w:ascii="Times New Roman" w:hAnsi="Times New Roman" w:cs="Times New Roman"/>
        </w:rPr>
        <w:t>,</w:t>
      </w:r>
      <w:r w:rsidRPr="00002445">
        <w:rPr>
          <w:rFonts w:ascii="Times New Roman" w:hAnsi="Times New Roman" w:cs="Times New Roman"/>
        </w:rPr>
        <w:t xml:space="preserve"> there are 40 ‘current’ users of heroin (i.e.</w:t>
      </w:r>
      <w:r w:rsidR="008A4A01" w:rsidRPr="00002445">
        <w:rPr>
          <w:rFonts w:ascii="Times New Roman" w:hAnsi="Times New Roman" w:cs="Times New Roman"/>
        </w:rPr>
        <w:t>,</w:t>
      </w:r>
      <w:r w:rsidRPr="00002445">
        <w:rPr>
          <w:rFonts w:ascii="Times New Roman" w:hAnsi="Times New Roman" w:cs="Times New Roman"/>
        </w:rPr>
        <w:t> those who were using within the last twelve months when asked in the y</w:t>
      </w:r>
      <w:r w:rsidR="009F4D86" w:rsidRPr="00002445">
        <w:rPr>
          <w:rFonts w:ascii="Times New Roman" w:hAnsi="Times New Roman" w:cs="Times New Roman"/>
        </w:rPr>
        <w:t>ear 2000), 132 respondents who we</w:t>
      </w:r>
      <w:r w:rsidRPr="00002445">
        <w:rPr>
          <w:rFonts w:ascii="Times New Roman" w:hAnsi="Times New Roman" w:cs="Times New Roman"/>
        </w:rPr>
        <w:t>re previous users, and therefore 172 respondents in the BCS70 cohort who had ever used heroin. Eight did not answer or did not know, leaving 10</w:t>
      </w:r>
      <w:r w:rsidR="000D7A76" w:rsidRPr="00002445">
        <w:rPr>
          <w:rFonts w:ascii="Times New Roman" w:hAnsi="Times New Roman" w:cs="Times New Roman"/>
        </w:rPr>
        <w:t>,</w:t>
      </w:r>
      <w:r w:rsidRPr="00002445">
        <w:rPr>
          <w:rFonts w:ascii="Times New Roman" w:hAnsi="Times New Roman" w:cs="Times New Roman"/>
        </w:rPr>
        <w:t>068 respondents who had never used heroin.</w:t>
      </w:r>
    </w:p>
    <w:p w14:paraId="0494B4A4" w14:textId="3B289B91" w:rsidR="00496EF6" w:rsidRPr="00002445" w:rsidRDefault="4C556BBD">
      <w:pPr>
        <w:pStyle w:val="BodyText"/>
        <w:rPr>
          <w:rFonts w:ascii="Times New Roman" w:hAnsi="Times New Roman" w:cs="Times New Roman"/>
        </w:rPr>
      </w:pPr>
      <w:r w:rsidRPr="00002445">
        <w:rPr>
          <w:rFonts w:ascii="Times New Roman" w:hAnsi="Times New Roman" w:cs="Times New Roman"/>
        </w:rPr>
        <w:t xml:space="preserve">There were more heroin users </w:t>
      </w:r>
      <w:r w:rsidR="00F2664C" w:rsidRPr="00002445">
        <w:rPr>
          <w:rFonts w:ascii="Times New Roman" w:hAnsi="Times New Roman" w:cs="Times New Roman"/>
        </w:rPr>
        <w:t xml:space="preserve">(‘current’ or ‘ever’) </w:t>
      </w:r>
      <w:r w:rsidRPr="00002445">
        <w:rPr>
          <w:rFonts w:ascii="Times New Roman" w:hAnsi="Times New Roman" w:cs="Times New Roman"/>
        </w:rPr>
        <w:t>in the BCS70 (n=172) than the NCDS (n=111)</w:t>
      </w:r>
      <w:r w:rsidR="00290D37" w:rsidRPr="00002445">
        <w:rPr>
          <w:rFonts w:ascii="Times New Roman" w:hAnsi="Times New Roman" w:cs="Times New Roman"/>
        </w:rPr>
        <w:t xml:space="preserve">. Therefore, in </w:t>
      </w:r>
      <w:r w:rsidR="5CBE897B" w:rsidRPr="00002445">
        <w:rPr>
          <w:rFonts w:ascii="Times New Roman" w:hAnsi="Times New Roman" w:cs="Times New Roman"/>
        </w:rPr>
        <w:t xml:space="preserve">the NCDS cohort approximately 1.1% of respondents had used heroin in their lifetime, compared to 1.7% for the BCS70 cohort. </w:t>
      </w:r>
      <w:r w:rsidR="0078610C" w:rsidRPr="00002445">
        <w:rPr>
          <w:rFonts w:ascii="Times New Roman" w:hAnsi="Times New Roman" w:cs="Times New Roman"/>
        </w:rPr>
        <w:t>In both the NCDS and BCS70 the majority of respondents who had used heroin were male. In the NCDS approximately 34% of previous users were women, while in the BCS70 appro</w:t>
      </w:r>
      <w:r w:rsidR="000D7A76" w:rsidRPr="00002445">
        <w:rPr>
          <w:rFonts w:ascii="Times New Roman" w:hAnsi="Times New Roman" w:cs="Times New Roman"/>
        </w:rPr>
        <w:t>ximately 24% of previous users we</w:t>
      </w:r>
      <w:r w:rsidR="0078610C" w:rsidRPr="00002445">
        <w:rPr>
          <w:rFonts w:ascii="Times New Roman" w:hAnsi="Times New Roman" w:cs="Times New Roman"/>
        </w:rPr>
        <w:t>re female. This suggests at some point between the two cohorts it became less common for females to use heroin.</w:t>
      </w:r>
    </w:p>
    <w:p w14:paraId="6DAD78F1" w14:textId="77777777" w:rsidR="00DF50B8" w:rsidRPr="00002445" w:rsidRDefault="00DF50B8">
      <w:pPr>
        <w:pStyle w:val="BodyText"/>
        <w:rPr>
          <w:rFonts w:ascii="Times New Roman" w:hAnsi="Times New Roman" w:cs="Times New Roman"/>
        </w:rPr>
      </w:pPr>
    </w:p>
    <w:p w14:paraId="4ADF7653" w14:textId="1B8E2EAE" w:rsidR="00496EF6" w:rsidRPr="00002445" w:rsidRDefault="0078610C">
      <w:pPr>
        <w:pStyle w:val="Heading1"/>
        <w:rPr>
          <w:rFonts w:ascii="Times New Roman" w:hAnsi="Times New Roman" w:cs="Times New Roman"/>
          <w:color w:val="auto"/>
        </w:rPr>
      </w:pPr>
      <w:bookmarkStart w:id="12" w:name="conditions-at-birth-and-young-childhood"/>
      <w:bookmarkEnd w:id="11"/>
      <w:r w:rsidRPr="00002445">
        <w:rPr>
          <w:rStyle w:val="SectionNumber"/>
          <w:rFonts w:ascii="Times New Roman" w:hAnsi="Times New Roman" w:cs="Times New Roman"/>
          <w:color w:val="auto"/>
        </w:rPr>
        <w:t>7</w:t>
      </w:r>
      <w:r w:rsidRPr="00002445">
        <w:rPr>
          <w:rFonts w:ascii="Times New Roman" w:hAnsi="Times New Roman" w:cs="Times New Roman"/>
          <w:color w:val="auto"/>
        </w:rPr>
        <w:tab/>
        <w:t>Conditions at birth and young childhood</w:t>
      </w:r>
    </w:p>
    <w:p w14:paraId="635BCC4D" w14:textId="7B794018" w:rsidR="00496EF6" w:rsidRPr="00002445" w:rsidRDefault="008345CF">
      <w:pPr>
        <w:pStyle w:val="FirstParagraph"/>
        <w:rPr>
          <w:rFonts w:ascii="Times New Roman" w:hAnsi="Times New Roman" w:cs="Times New Roman"/>
        </w:rPr>
      </w:pPr>
      <w:r w:rsidRPr="00002445">
        <w:rPr>
          <w:rFonts w:ascii="Times New Roman" w:hAnsi="Times New Roman" w:cs="Times New Roman"/>
        </w:rPr>
        <w:t>Reflecting th</w:t>
      </w:r>
      <w:r w:rsidR="00B7290D" w:rsidRPr="00002445">
        <w:rPr>
          <w:rFonts w:ascii="Times New Roman" w:hAnsi="Times New Roman" w:cs="Times New Roman"/>
        </w:rPr>
        <w:t>e book’s theme on unequal insecurity, t</w:t>
      </w:r>
      <w:r w:rsidR="00EC6DCA" w:rsidRPr="00002445">
        <w:rPr>
          <w:rFonts w:ascii="Times New Roman" w:hAnsi="Times New Roman" w:cs="Times New Roman"/>
        </w:rPr>
        <w:t xml:space="preserve">he main research interest of this chapter is to </w:t>
      </w:r>
      <w:r w:rsidR="00C4077A" w:rsidRPr="00002445">
        <w:rPr>
          <w:rFonts w:ascii="Times New Roman" w:hAnsi="Times New Roman" w:cs="Times New Roman"/>
        </w:rPr>
        <w:t xml:space="preserve">examine whether the economic and social disruptions generated by the Thatcherite social and economic policies and the related increase in economic insecurity </w:t>
      </w:r>
      <w:r w:rsidR="00D36034" w:rsidRPr="00002445">
        <w:rPr>
          <w:rFonts w:ascii="Times New Roman" w:hAnsi="Times New Roman" w:cs="Times New Roman"/>
        </w:rPr>
        <w:t xml:space="preserve">for certain social groups have had an impact on </w:t>
      </w:r>
      <w:r w:rsidRPr="00002445">
        <w:rPr>
          <w:rFonts w:ascii="Times New Roman" w:hAnsi="Times New Roman" w:cs="Times New Roman"/>
        </w:rPr>
        <w:t>the social</w:t>
      </w:r>
      <w:r w:rsidR="00D36034" w:rsidRPr="00002445">
        <w:rPr>
          <w:rFonts w:ascii="Times New Roman" w:hAnsi="Times New Roman" w:cs="Times New Roman"/>
        </w:rPr>
        <w:t xml:space="preserve"> </w:t>
      </w:r>
      <w:r w:rsidRPr="00002445">
        <w:rPr>
          <w:rFonts w:ascii="Times New Roman" w:hAnsi="Times New Roman" w:cs="Times New Roman"/>
        </w:rPr>
        <w:t xml:space="preserve">characteristics of </w:t>
      </w:r>
      <w:r w:rsidR="00D36034" w:rsidRPr="00002445">
        <w:rPr>
          <w:rFonts w:ascii="Times New Roman" w:hAnsi="Times New Roman" w:cs="Times New Roman"/>
        </w:rPr>
        <w:t>heroin use</w:t>
      </w:r>
      <w:r w:rsidRPr="00002445">
        <w:rPr>
          <w:rFonts w:ascii="Times New Roman" w:hAnsi="Times New Roman" w:cs="Times New Roman"/>
        </w:rPr>
        <w:t>rs.</w:t>
      </w:r>
      <w:r w:rsidR="00B7290D" w:rsidRPr="00002445">
        <w:rPr>
          <w:rFonts w:ascii="Times New Roman" w:hAnsi="Times New Roman" w:cs="Times New Roman"/>
        </w:rPr>
        <w:t xml:space="preserve"> To do so, we </w:t>
      </w:r>
      <w:r w:rsidR="00503922" w:rsidRPr="00002445">
        <w:rPr>
          <w:rFonts w:ascii="Times New Roman" w:hAnsi="Times New Roman" w:cs="Times New Roman"/>
        </w:rPr>
        <w:t xml:space="preserve">use the most consistent and comparable proxy for social status available in both the NCDS and BCS70, namely the question about social class of the respondent’s father at birth. </w:t>
      </w:r>
      <w:r w:rsidR="0078610C" w:rsidRPr="00002445">
        <w:rPr>
          <w:rFonts w:ascii="Times New Roman" w:hAnsi="Times New Roman" w:cs="Times New Roman"/>
        </w:rPr>
        <w:t xml:space="preserve">We also compare indicators of </w:t>
      </w:r>
      <w:r w:rsidR="00290D37" w:rsidRPr="00002445">
        <w:rPr>
          <w:rFonts w:ascii="Times New Roman" w:hAnsi="Times New Roman" w:cs="Times New Roman"/>
        </w:rPr>
        <w:t>macro-level economic restructuring to assess wider shifts in the economy and their impact on heroin usage</w:t>
      </w:r>
      <w:r w:rsidR="0078610C" w:rsidRPr="00002445">
        <w:rPr>
          <w:rFonts w:ascii="Times New Roman" w:hAnsi="Times New Roman" w:cs="Times New Roman"/>
        </w:rPr>
        <w:t>.</w:t>
      </w:r>
    </w:p>
    <w:p w14:paraId="3749ACED" w14:textId="77777777" w:rsidR="00DF50B8" w:rsidRPr="00002445" w:rsidRDefault="00DF50B8" w:rsidP="00DF50B8">
      <w:pPr>
        <w:pStyle w:val="BodyText"/>
        <w:rPr>
          <w:rFonts w:ascii="Times New Roman" w:hAnsi="Times New Roman" w:cs="Times New Roman"/>
        </w:rPr>
      </w:pPr>
    </w:p>
    <w:p w14:paraId="1CF9D2E4" w14:textId="2564872E" w:rsidR="00496EF6" w:rsidRPr="00002445" w:rsidRDefault="0078610C">
      <w:pPr>
        <w:pStyle w:val="Heading2"/>
        <w:rPr>
          <w:rFonts w:ascii="Times New Roman" w:hAnsi="Times New Roman" w:cs="Times New Roman"/>
          <w:color w:val="auto"/>
        </w:rPr>
      </w:pPr>
      <w:bookmarkStart w:id="13" w:name="family-social-class"/>
      <w:r w:rsidRPr="00002445">
        <w:rPr>
          <w:rStyle w:val="SectionNumber"/>
          <w:rFonts w:ascii="Times New Roman" w:hAnsi="Times New Roman" w:cs="Times New Roman"/>
          <w:color w:val="auto"/>
        </w:rPr>
        <w:t>7.1</w:t>
      </w:r>
      <w:r w:rsidRPr="00002445">
        <w:rPr>
          <w:rFonts w:ascii="Times New Roman" w:hAnsi="Times New Roman" w:cs="Times New Roman"/>
          <w:color w:val="auto"/>
        </w:rPr>
        <w:tab/>
        <w:t>Family social class</w:t>
      </w:r>
    </w:p>
    <w:p w14:paraId="089A128E" w14:textId="57AB5BBA" w:rsidR="00496EF6" w:rsidRPr="00002445" w:rsidRDefault="0078610C">
      <w:pPr>
        <w:pStyle w:val="FirstParagraph"/>
        <w:rPr>
          <w:rFonts w:ascii="Times New Roman" w:hAnsi="Times New Roman" w:cs="Times New Roman"/>
        </w:rPr>
      </w:pPr>
      <w:r w:rsidRPr="00002445">
        <w:rPr>
          <w:rFonts w:ascii="Times New Roman" w:hAnsi="Times New Roman" w:cs="Times New Roman"/>
        </w:rPr>
        <w:t>In the NCDS the social class of the respondent’s mother’s husband (or th</w:t>
      </w:r>
      <w:r w:rsidR="000D7A76" w:rsidRPr="00002445">
        <w:rPr>
          <w:rFonts w:ascii="Times New Roman" w:hAnsi="Times New Roman" w:cs="Times New Roman"/>
        </w:rPr>
        <w:t>e respondent’s mother if there wa</w:t>
      </w:r>
      <w:r w:rsidRPr="00002445">
        <w:rPr>
          <w:rFonts w:ascii="Times New Roman" w:hAnsi="Times New Roman" w:cs="Times New Roman"/>
        </w:rPr>
        <w:t xml:space="preserve">s no mother’s </w:t>
      </w:r>
      <w:r w:rsidR="00B238B5" w:rsidRPr="00002445">
        <w:rPr>
          <w:rFonts w:ascii="Times New Roman" w:hAnsi="Times New Roman" w:cs="Times New Roman"/>
        </w:rPr>
        <w:t>husband for the cohort member) wa</w:t>
      </w:r>
      <w:r w:rsidRPr="00002445">
        <w:rPr>
          <w:rFonts w:ascii="Times New Roman" w:hAnsi="Times New Roman" w:cs="Times New Roman"/>
        </w:rPr>
        <w:t xml:space="preserve">s </w:t>
      </w:r>
      <w:r w:rsidR="00B238B5" w:rsidRPr="00002445">
        <w:rPr>
          <w:rFonts w:ascii="Times New Roman" w:hAnsi="Times New Roman" w:cs="Times New Roman"/>
        </w:rPr>
        <w:t xml:space="preserve">used </w:t>
      </w:r>
      <w:r w:rsidRPr="00002445">
        <w:rPr>
          <w:rFonts w:ascii="Times New Roman" w:hAnsi="Times New Roman" w:cs="Times New Roman"/>
        </w:rPr>
        <w:t>as an indicator of familial social class</w:t>
      </w:r>
      <w:r w:rsidR="00B238B5" w:rsidRPr="00002445">
        <w:rPr>
          <w:rFonts w:ascii="Times New Roman" w:hAnsi="Times New Roman" w:cs="Times New Roman"/>
        </w:rPr>
        <w:t>.</w:t>
      </w:r>
      <w:r w:rsidRPr="00002445">
        <w:rPr>
          <w:rStyle w:val="FootnoteReference"/>
          <w:rFonts w:ascii="Times New Roman" w:hAnsi="Times New Roman" w:cs="Times New Roman"/>
        </w:rPr>
        <w:footnoteReference w:id="5"/>
      </w:r>
      <w:r w:rsidRPr="00002445">
        <w:rPr>
          <w:rFonts w:ascii="Times New Roman" w:hAnsi="Times New Roman" w:cs="Times New Roman"/>
        </w:rPr>
        <w:t xml:space="preserve"> The 1951 </w:t>
      </w:r>
      <w:r w:rsidR="00B238B5" w:rsidRPr="00002445">
        <w:rPr>
          <w:rFonts w:ascii="Times New Roman" w:hAnsi="Times New Roman" w:cs="Times New Roman"/>
        </w:rPr>
        <w:t xml:space="preserve">UK </w:t>
      </w:r>
      <w:r w:rsidRPr="00002445">
        <w:rPr>
          <w:rFonts w:ascii="Times New Roman" w:hAnsi="Times New Roman" w:cs="Times New Roman"/>
        </w:rPr>
        <w:t>General Register Office (GRO) social class groups</w:t>
      </w:r>
      <w:r w:rsidR="005D27A9" w:rsidRPr="00002445">
        <w:rPr>
          <w:rFonts w:ascii="Times New Roman" w:hAnsi="Times New Roman" w:cs="Times New Roman"/>
        </w:rPr>
        <w:t xml:space="preserve"> ca</w:t>
      </w:r>
      <w:r w:rsidRPr="00002445">
        <w:rPr>
          <w:rFonts w:ascii="Times New Roman" w:hAnsi="Times New Roman" w:cs="Times New Roman"/>
        </w:rPr>
        <w:t xml:space="preserve">tegorised </w:t>
      </w:r>
      <w:r w:rsidR="005D27A9" w:rsidRPr="00002445">
        <w:rPr>
          <w:rFonts w:ascii="Times New Roman" w:hAnsi="Times New Roman" w:cs="Times New Roman"/>
        </w:rPr>
        <w:t xml:space="preserve">Class V as </w:t>
      </w:r>
      <w:r w:rsidRPr="00002445">
        <w:rPr>
          <w:rFonts w:ascii="Times New Roman" w:hAnsi="Times New Roman" w:cs="Times New Roman"/>
        </w:rPr>
        <w:t xml:space="preserve">‘unskilled’ and Class I as </w:t>
      </w:r>
      <w:r w:rsidR="00B238B5" w:rsidRPr="00002445">
        <w:rPr>
          <w:rFonts w:ascii="Times New Roman" w:hAnsi="Times New Roman" w:cs="Times New Roman"/>
        </w:rPr>
        <w:t>‘</w:t>
      </w:r>
      <w:r w:rsidRPr="00002445">
        <w:rPr>
          <w:rFonts w:ascii="Times New Roman" w:hAnsi="Times New Roman" w:cs="Times New Roman"/>
        </w:rPr>
        <w:t>professional</w:t>
      </w:r>
      <w:r w:rsidR="00B238B5" w:rsidRPr="00002445">
        <w:rPr>
          <w:rFonts w:ascii="Times New Roman" w:hAnsi="Times New Roman" w:cs="Times New Roman"/>
        </w:rPr>
        <w:t>’</w:t>
      </w:r>
      <w:r w:rsidRPr="00002445">
        <w:rPr>
          <w:rFonts w:ascii="Times New Roman" w:hAnsi="Times New Roman" w:cs="Times New Roman"/>
        </w:rPr>
        <w:t>.</w:t>
      </w:r>
    </w:p>
    <w:p w14:paraId="229A9AAE" w14:textId="16262289" w:rsidR="00496EF6" w:rsidRPr="00002445" w:rsidRDefault="005D27A9">
      <w:pPr>
        <w:pStyle w:val="BodyText"/>
        <w:rPr>
          <w:rFonts w:ascii="Times New Roman" w:hAnsi="Times New Roman" w:cs="Times New Roman"/>
        </w:rPr>
      </w:pPr>
      <w:r w:rsidRPr="00002445">
        <w:rPr>
          <w:rFonts w:ascii="Times New Roman" w:hAnsi="Times New Roman" w:cs="Times New Roman"/>
        </w:rPr>
        <w:t>We</w:t>
      </w:r>
      <w:r w:rsidR="0078610C" w:rsidRPr="00002445">
        <w:rPr>
          <w:rFonts w:ascii="Times New Roman" w:hAnsi="Times New Roman" w:cs="Times New Roman"/>
        </w:rPr>
        <w:t xml:space="preserve"> remove</w:t>
      </w:r>
      <w:r w:rsidRPr="00002445">
        <w:rPr>
          <w:rFonts w:ascii="Times New Roman" w:hAnsi="Times New Roman" w:cs="Times New Roman"/>
        </w:rPr>
        <w:t>d</w:t>
      </w:r>
      <w:r w:rsidR="0078610C" w:rsidRPr="00002445">
        <w:rPr>
          <w:rFonts w:ascii="Times New Roman" w:hAnsi="Times New Roman" w:cs="Times New Roman"/>
        </w:rPr>
        <w:t xml:space="preserve"> students, retired, and ‘unemployed, sick’ as these had few cases and did not fit easily in rank order. Furthermore</w:t>
      </w:r>
      <w:r w:rsidR="00B238B5" w:rsidRPr="00002445">
        <w:rPr>
          <w:rFonts w:ascii="Times New Roman" w:hAnsi="Times New Roman" w:cs="Times New Roman"/>
        </w:rPr>
        <w:t>,</w:t>
      </w:r>
      <w:r w:rsidR="0078610C" w:rsidRPr="00002445">
        <w:rPr>
          <w:rFonts w:ascii="Times New Roman" w:hAnsi="Times New Roman" w:cs="Times New Roman"/>
        </w:rPr>
        <w:t xml:space="preserve"> we included those mothe</w:t>
      </w:r>
      <w:r w:rsidR="00B238B5" w:rsidRPr="00002445">
        <w:rPr>
          <w:rFonts w:ascii="Times New Roman" w:hAnsi="Times New Roman" w:cs="Times New Roman"/>
        </w:rPr>
        <w:t>rs recorded as ‘single, no husb</w:t>
      </w:r>
      <w:r w:rsidR="0078610C" w:rsidRPr="00002445">
        <w:rPr>
          <w:rFonts w:ascii="Times New Roman" w:hAnsi="Times New Roman" w:cs="Times New Roman"/>
        </w:rPr>
        <w:t xml:space="preserve">and’ to the lower end of the socio–economic scale as these mothers </w:t>
      </w:r>
      <w:r w:rsidR="002C6EAB" w:rsidRPr="00002445">
        <w:rPr>
          <w:rFonts w:ascii="Times New Roman" w:hAnsi="Times New Roman" w:cs="Times New Roman"/>
        </w:rPr>
        <w:t>were</w:t>
      </w:r>
      <w:r w:rsidR="0078610C" w:rsidRPr="00002445">
        <w:rPr>
          <w:rFonts w:ascii="Times New Roman" w:hAnsi="Times New Roman" w:cs="Times New Roman"/>
        </w:rPr>
        <w:t xml:space="preserve"> more likely to have reduced financial resources. In the NCDS</w:t>
      </w:r>
      <w:r w:rsidR="00651ACB" w:rsidRPr="00002445">
        <w:rPr>
          <w:rFonts w:ascii="Times New Roman" w:hAnsi="Times New Roman" w:cs="Times New Roman"/>
        </w:rPr>
        <w:t>, that is the survey of 42-year</w:t>
      </w:r>
      <w:r w:rsidR="008A4A01" w:rsidRPr="00002445">
        <w:rPr>
          <w:rFonts w:ascii="Times New Roman" w:hAnsi="Times New Roman" w:cs="Times New Roman"/>
        </w:rPr>
        <w:t>-</w:t>
      </w:r>
      <w:r w:rsidR="00651ACB" w:rsidRPr="00002445">
        <w:rPr>
          <w:rFonts w:ascii="Times New Roman" w:hAnsi="Times New Roman" w:cs="Times New Roman"/>
        </w:rPr>
        <w:t>old respondents in 2000,</w:t>
      </w:r>
      <w:r w:rsidR="0078610C" w:rsidRPr="00002445">
        <w:rPr>
          <w:rFonts w:ascii="Times New Roman" w:hAnsi="Times New Roman" w:cs="Times New Roman"/>
        </w:rPr>
        <w:t xml:space="preserve"> social class is distributed as in Table 1.</w:t>
      </w:r>
    </w:p>
    <w:p w14:paraId="49AC5687" w14:textId="77777777" w:rsidR="00E408D0" w:rsidRPr="00002445" w:rsidRDefault="00E408D0">
      <w:pPr>
        <w:pStyle w:val="BodyText"/>
        <w:rPr>
          <w:rFonts w:ascii="Times New Roman" w:hAnsi="Times New Roman" w:cs="Times New Roman"/>
        </w:rPr>
      </w:pPr>
    </w:p>
    <w:p w14:paraId="1923044D" w14:textId="71F54ECE" w:rsidR="00496EF6" w:rsidRPr="00002445" w:rsidRDefault="0078610C">
      <w:pPr>
        <w:pStyle w:val="TableCaption"/>
        <w:rPr>
          <w:rFonts w:ascii="Times New Roman" w:hAnsi="Times New Roman" w:cs="Times New Roman"/>
        </w:rPr>
      </w:pPr>
      <w:r w:rsidRPr="00002445">
        <w:rPr>
          <w:rFonts w:ascii="Times New Roman" w:hAnsi="Times New Roman" w:cs="Times New Roman"/>
        </w:rPr>
        <w:t>Table 1: NCDS social class of family</w:t>
      </w:r>
    </w:p>
    <w:tbl>
      <w:tblPr>
        <w:tblStyle w:val="Table"/>
        <w:tblW w:w="3105" w:type="pct"/>
        <w:tblLayout w:type="fixed"/>
        <w:tblLook w:val="0020" w:firstRow="1" w:lastRow="0" w:firstColumn="0" w:lastColumn="0" w:noHBand="0" w:noVBand="0"/>
      </w:tblPr>
      <w:tblGrid>
        <w:gridCol w:w="3402"/>
        <w:gridCol w:w="994"/>
        <w:gridCol w:w="1417"/>
      </w:tblGrid>
      <w:tr w:rsidR="00B238B5" w:rsidRPr="00002445" w14:paraId="1FBA8A40" w14:textId="77777777" w:rsidTr="00A57864">
        <w:tc>
          <w:tcPr>
            <w:tcW w:w="2926" w:type="pct"/>
            <w:tcBorders>
              <w:bottom w:val="single" w:sz="0" w:space="0" w:color="auto"/>
            </w:tcBorders>
            <w:vAlign w:val="bottom"/>
          </w:tcPr>
          <w:p w14:paraId="4473287E"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Class</w:t>
            </w:r>
          </w:p>
        </w:tc>
        <w:tc>
          <w:tcPr>
            <w:tcW w:w="855" w:type="pct"/>
            <w:tcBorders>
              <w:bottom w:val="single" w:sz="0" w:space="0" w:color="auto"/>
            </w:tcBorders>
            <w:vAlign w:val="bottom"/>
          </w:tcPr>
          <w:p w14:paraId="3FB8B379"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n</w:t>
            </w:r>
          </w:p>
        </w:tc>
        <w:tc>
          <w:tcPr>
            <w:tcW w:w="1219" w:type="pct"/>
            <w:tcBorders>
              <w:bottom w:val="single" w:sz="0" w:space="0" w:color="auto"/>
            </w:tcBorders>
            <w:vAlign w:val="bottom"/>
          </w:tcPr>
          <w:p w14:paraId="3284B4A6"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Percent</w:t>
            </w:r>
          </w:p>
        </w:tc>
      </w:tr>
      <w:tr w:rsidR="00CC519F" w:rsidRPr="00002445" w14:paraId="6ACFFEE5" w14:textId="77777777" w:rsidTr="00A57864">
        <w:tc>
          <w:tcPr>
            <w:tcW w:w="2926" w:type="pct"/>
          </w:tcPr>
          <w:p w14:paraId="2564F188"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I professional</w:t>
            </w:r>
          </w:p>
        </w:tc>
        <w:tc>
          <w:tcPr>
            <w:tcW w:w="855" w:type="pct"/>
          </w:tcPr>
          <w:p w14:paraId="2C92BEF5" w14:textId="77777777" w:rsidR="00CC519F" w:rsidRPr="00002445" w:rsidRDefault="00CC519F" w:rsidP="004D3CC2">
            <w:pPr>
              <w:pStyle w:val="Compact"/>
              <w:jc w:val="right"/>
              <w:rPr>
                <w:rFonts w:ascii="Times New Roman" w:hAnsi="Times New Roman" w:cs="Times New Roman"/>
              </w:rPr>
            </w:pPr>
            <w:r w:rsidRPr="00002445">
              <w:rPr>
                <w:rFonts w:ascii="Times New Roman" w:hAnsi="Times New Roman" w:cs="Times New Roman"/>
              </w:rPr>
              <w:t>746</w:t>
            </w:r>
          </w:p>
        </w:tc>
        <w:tc>
          <w:tcPr>
            <w:tcW w:w="1219" w:type="pct"/>
          </w:tcPr>
          <w:p w14:paraId="14B47A99" w14:textId="34206D58" w:rsidR="00CC519F" w:rsidRPr="00002445" w:rsidRDefault="00284324" w:rsidP="004D3CC2">
            <w:pPr>
              <w:pStyle w:val="Compact"/>
              <w:rPr>
                <w:rFonts w:ascii="Times New Roman" w:hAnsi="Times New Roman" w:cs="Times New Roman"/>
              </w:rPr>
            </w:pPr>
            <w:r w:rsidRPr="00002445">
              <w:rPr>
                <w:rFonts w:ascii="Times New Roman" w:hAnsi="Times New Roman" w:cs="Times New Roman"/>
              </w:rPr>
              <w:t xml:space="preserve">  </w:t>
            </w:r>
            <w:r w:rsidR="00CC519F" w:rsidRPr="00002445">
              <w:rPr>
                <w:rFonts w:ascii="Times New Roman" w:hAnsi="Times New Roman" w:cs="Times New Roman"/>
              </w:rPr>
              <w:t>4.5</w:t>
            </w:r>
          </w:p>
        </w:tc>
      </w:tr>
      <w:tr w:rsidR="00CC519F" w:rsidRPr="00002445" w14:paraId="6FE45959" w14:textId="77777777" w:rsidTr="00A57864">
        <w:tc>
          <w:tcPr>
            <w:tcW w:w="2926" w:type="pct"/>
          </w:tcPr>
          <w:p w14:paraId="71B41A89"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II managerial and technical</w:t>
            </w:r>
          </w:p>
        </w:tc>
        <w:tc>
          <w:tcPr>
            <w:tcW w:w="855" w:type="pct"/>
          </w:tcPr>
          <w:p w14:paraId="256AF0E8" w14:textId="77777777" w:rsidR="00CC519F" w:rsidRPr="00002445" w:rsidRDefault="00CC519F" w:rsidP="004D3CC2">
            <w:pPr>
              <w:pStyle w:val="Compact"/>
              <w:jc w:val="right"/>
              <w:rPr>
                <w:rFonts w:ascii="Times New Roman" w:hAnsi="Times New Roman" w:cs="Times New Roman"/>
              </w:rPr>
            </w:pPr>
            <w:r w:rsidRPr="00002445">
              <w:rPr>
                <w:rFonts w:ascii="Times New Roman" w:hAnsi="Times New Roman" w:cs="Times New Roman"/>
              </w:rPr>
              <w:t>2133</w:t>
            </w:r>
          </w:p>
        </w:tc>
        <w:tc>
          <w:tcPr>
            <w:tcW w:w="1219" w:type="pct"/>
          </w:tcPr>
          <w:p w14:paraId="12A8C6EE"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13.0</w:t>
            </w:r>
          </w:p>
        </w:tc>
      </w:tr>
      <w:tr w:rsidR="00B238B5" w:rsidRPr="00002445" w14:paraId="247ABD60" w14:textId="77777777" w:rsidTr="00A57864">
        <w:tc>
          <w:tcPr>
            <w:tcW w:w="2926" w:type="pct"/>
          </w:tcPr>
          <w:p w14:paraId="69CE75AC"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III</w:t>
            </w:r>
          </w:p>
        </w:tc>
        <w:tc>
          <w:tcPr>
            <w:tcW w:w="855" w:type="pct"/>
          </w:tcPr>
          <w:p w14:paraId="26664A27"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9981</w:t>
            </w:r>
          </w:p>
        </w:tc>
        <w:tc>
          <w:tcPr>
            <w:tcW w:w="1219" w:type="pct"/>
          </w:tcPr>
          <w:p w14:paraId="072D182F"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60.6</w:t>
            </w:r>
          </w:p>
        </w:tc>
      </w:tr>
      <w:tr w:rsidR="00CC519F" w:rsidRPr="00002445" w14:paraId="5AEA07DC" w14:textId="77777777" w:rsidTr="00A57864">
        <w:tblPrEx>
          <w:tblLook w:val="04A0" w:firstRow="1" w:lastRow="0" w:firstColumn="1" w:lastColumn="0" w:noHBand="0" w:noVBand="1"/>
        </w:tblPrEx>
        <w:tc>
          <w:tcPr>
            <w:tcW w:w="2926" w:type="pct"/>
          </w:tcPr>
          <w:p w14:paraId="695FC655"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 xml:space="preserve">IV partly </w:t>
            </w:r>
          </w:p>
        </w:tc>
        <w:tc>
          <w:tcPr>
            <w:tcW w:w="855" w:type="pct"/>
          </w:tcPr>
          <w:p w14:paraId="1A488C97" w14:textId="77777777" w:rsidR="00CC519F" w:rsidRPr="00002445" w:rsidRDefault="00CC519F" w:rsidP="004D3CC2">
            <w:pPr>
              <w:pStyle w:val="Compact"/>
              <w:jc w:val="right"/>
              <w:rPr>
                <w:rFonts w:ascii="Times New Roman" w:hAnsi="Times New Roman" w:cs="Times New Roman"/>
              </w:rPr>
            </w:pPr>
            <w:r w:rsidRPr="00002445">
              <w:rPr>
                <w:rFonts w:ascii="Times New Roman" w:hAnsi="Times New Roman" w:cs="Times New Roman"/>
              </w:rPr>
              <w:t>1995</w:t>
            </w:r>
          </w:p>
        </w:tc>
        <w:tc>
          <w:tcPr>
            <w:tcW w:w="1219" w:type="pct"/>
          </w:tcPr>
          <w:p w14:paraId="6C462AEF"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12.1</w:t>
            </w:r>
          </w:p>
        </w:tc>
      </w:tr>
      <w:tr w:rsidR="00CC519F" w:rsidRPr="00002445" w14:paraId="68128F6F" w14:textId="77777777" w:rsidTr="00A57864">
        <w:tblPrEx>
          <w:tblLook w:val="04A0" w:firstRow="1" w:lastRow="0" w:firstColumn="1" w:lastColumn="0" w:noHBand="0" w:noVBand="1"/>
        </w:tblPrEx>
        <w:tc>
          <w:tcPr>
            <w:tcW w:w="2926" w:type="pct"/>
          </w:tcPr>
          <w:p w14:paraId="1CE3EBD2"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V unskilled</w:t>
            </w:r>
          </w:p>
        </w:tc>
        <w:tc>
          <w:tcPr>
            <w:tcW w:w="855" w:type="pct"/>
          </w:tcPr>
          <w:p w14:paraId="6EDAA716" w14:textId="77777777" w:rsidR="00CC519F" w:rsidRPr="00002445" w:rsidRDefault="00CC519F" w:rsidP="00A57864">
            <w:pPr>
              <w:pStyle w:val="Compact"/>
              <w:jc w:val="right"/>
              <w:rPr>
                <w:rFonts w:ascii="Times New Roman" w:hAnsi="Times New Roman" w:cs="Times New Roman"/>
              </w:rPr>
            </w:pPr>
            <w:r w:rsidRPr="00002445">
              <w:rPr>
                <w:rFonts w:ascii="Times New Roman" w:hAnsi="Times New Roman" w:cs="Times New Roman"/>
              </w:rPr>
              <w:t>1616</w:t>
            </w:r>
          </w:p>
        </w:tc>
        <w:tc>
          <w:tcPr>
            <w:tcW w:w="1219" w:type="pct"/>
          </w:tcPr>
          <w:p w14:paraId="5548E1FD" w14:textId="7DA16203" w:rsidR="00CC519F" w:rsidRPr="00002445" w:rsidRDefault="00284324" w:rsidP="004D3CC2">
            <w:pPr>
              <w:pStyle w:val="Compact"/>
              <w:rPr>
                <w:rFonts w:ascii="Times New Roman" w:hAnsi="Times New Roman" w:cs="Times New Roman"/>
              </w:rPr>
            </w:pPr>
            <w:r w:rsidRPr="00002445">
              <w:rPr>
                <w:rFonts w:ascii="Times New Roman" w:hAnsi="Times New Roman" w:cs="Times New Roman"/>
              </w:rPr>
              <w:t xml:space="preserve">  </w:t>
            </w:r>
            <w:r w:rsidR="00CC519F" w:rsidRPr="00002445">
              <w:rPr>
                <w:rFonts w:ascii="Times New Roman" w:hAnsi="Times New Roman" w:cs="Times New Roman"/>
              </w:rPr>
              <w:t>9.8</w:t>
            </w:r>
          </w:p>
        </w:tc>
      </w:tr>
      <w:tr w:rsidR="005D3B48" w:rsidRPr="00002445" w14:paraId="4EC6A9FB" w14:textId="77777777" w:rsidTr="00A57864">
        <w:tblPrEx>
          <w:tblLook w:val="04A0" w:firstRow="1" w:lastRow="0" w:firstColumn="1" w:lastColumn="0" w:noHBand="0" w:noVBand="1"/>
        </w:tblPrEx>
        <w:tc>
          <w:tcPr>
            <w:tcW w:w="2926" w:type="pct"/>
          </w:tcPr>
          <w:p w14:paraId="4A6DCB51" w14:textId="56B18238" w:rsidR="005D3B48" w:rsidRPr="00002445" w:rsidRDefault="005D3B48" w:rsidP="004D3CC2">
            <w:pPr>
              <w:pStyle w:val="Compact"/>
              <w:rPr>
                <w:rFonts w:ascii="Times New Roman" w:hAnsi="Times New Roman" w:cs="Times New Roman"/>
              </w:rPr>
            </w:pPr>
            <w:r w:rsidRPr="00002445">
              <w:rPr>
                <w:rFonts w:ascii="Times New Roman" w:hAnsi="Times New Roman" w:cs="Times New Roman"/>
              </w:rPr>
              <w:t>TOTAL</w:t>
            </w:r>
          </w:p>
        </w:tc>
        <w:tc>
          <w:tcPr>
            <w:tcW w:w="855" w:type="pct"/>
          </w:tcPr>
          <w:p w14:paraId="711DBB4A" w14:textId="53C522C9" w:rsidR="005D3B48" w:rsidRPr="00002445" w:rsidRDefault="005D3B48" w:rsidP="00A57864">
            <w:pPr>
              <w:pStyle w:val="Compact"/>
              <w:jc w:val="right"/>
              <w:rPr>
                <w:rFonts w:ascii="Times New Roman" w:hAnsi="Times New Roman" w:cs="Times New Roman"/>
              </w:rPr>
            </w:pPr>
            <w:r w:rsidRPr="00002445">
              <w:rPr>
                <w:rFonts w:ascii="Times New Roman" w:hAnsi="Times New Roman" w:cs="Times New Roman"/>
              </w:rPr>
              <w:t>16471</w:t>
            </w:r>
          </w:p>
        </w:tc>
        <w:tc>
          <w:tcPr>
            <w:tcW w:w="1219" w:type="pct"/>
          </w:tcPr>
          <w:p w14:paraId="1CA70710" w14:textId="1B5DD776" w:rsidR="005D3B48" w:rsidRPr="00002445" w:rsidRDefault="005D3B48" w:rsidP="004D3CC2">
            <w:pPr>
              <w:pStyle w:val="Compact"/>
              <w:rPr>
                <w:rFonts w:ascii="Times New Roman" w:hAnsi="Times New Roman" w:cs="Times New Roman"/>
              </w:rPr>
            </w:pPr>
            <w:r w:rsidRPr="00002445">
              <w:rPr>
                <w:rFonts w:ascii="Times New Roman" w:hAnsi="Times New Roman" w:cs="Times New Roman"/>
              </w:rPr>
              <w:t>100</w:t>
            </w:r>
          </w:p>
        </w:tc>
      </w:tr>
    </w:tbl>
    <w:p w14:paraId="03411F85" w14:textId="77777777" w:rsidR="0049564F" w:rsidRPr="00002445" w:rsidRDefault="0049564F">
      <w:pPr>
        <w:rPr>
          <w:rFonts w:ascii="Times New Roman" w:hAnsi="Times New Roman" w:cs="Times New Roman"/>
        </w:rPr>
      </w:pPr>
    </w:p>
    <w:p w14:paraId="672A6659" w14:textId="13A6DB8B" w:rsidR="00496EF6" w:rsidRPr="00002445" w:rsidRDefault="0049564F">
      <w:pPr>
        <w:rPr>
          <w:rFonts w:ascii="Times New Roman" w:hAnsi="Times New Roman" w:cs="Times New Roman"/>
        </w:rPr>
      </w:pPr>
      <w:r w:rsidRPr="00002445">
        <w:rPr>
          <w:rFonts w:ascii="Times New Roman" w:hAnsi="Times New Roman" w:cs="Times New Roman"/>
        </w:rPr>
        <w:t>Table 1 shows that whilst 4.5% of the 1958 births were in social class I (the highest), there were over 7% of the heroin users in this cohort in that social class (Table 2). Similarly, for the 1958 births, whilst 18% of heroin users came from social class II, social class II itself only made up 13% of the total population (Tables 1 and 2). Overall, in the 1958 births, heroin use was skewed towards the upper social classes.</w:t>
      </w:r>
    </w:p>
    <w:p w14:paraId="3B63A8C3" w14:textId="77777777" w:rsidR="0049564F" w:rsidRPr="00002445" w:rsidRDefault="0049564F">
      <w:pPr>
        <w:rPr>
          <w:rFonts w:ascii="Times New Roman" w:hAnsi="Times New Roman" w:cs="Times New Roman"/>
        </w:rPr>
      </w:pPr>
    </w:p>
    <w:p w14:paraId="127902CD" w14:textId="7737AE75" w:rsidR="00496EF6" w:rsidRPr="00002445" w:rsidRDefault="0078610C">
      <w:pPr>
        <w:pStyle w:val="TableCaption"/>
        <w:rPr>
          <w:rFonts w:ascii="Times New Roman" w:hAnsi="Times New Roman" w:cs="Times New Roman"/>
        </w:rPr>
      </w:pPr>
      <w:r w:rsidRPr="00002445">
        <w:rPr>
          <w:rFonts w:ascii="Times New Roman" w:hAnsi="Times New Roman" w:cs="Times New Roman"/>
        </w:rPr>
        <w:t>Table 2: NCDS heroin user social class of family</w:t>
      </w:r>
      <w:r w:rsidR="0016705E" w:rsidRPr="00002445">
        <w:rPr>
          <w:rFonts w:ascii="Times New Roman" w:hAnsi="Times New Roman" w:cs="Times New Roman"/>
        </w:rPr>
        <w:t xml:space="preserve"> </w:t>
      </w:r>
    </w:p>
    <w:tbl>
      <w:tblPr>
        <w:tblStyle w:val="Table"/>
        <w:tblW w:w="2613" w:type="pct"/>
        <w:tblLook w:val="0020" w:firstRow="1" w:lastRow="0" w:firstColumn="0" w:lastColumn="0" w:noHBand="0" w:noVBand="0"/>
      </w:tblPr>
      <w:tblGrid>
        <w:gridCol w:w="3119"/>
        <w:gridCol w:w="759"/>
        <w:gridCol w:w="1014"/>
      </w:tblGrid>
      <w:tr w:rsidR="00C6466B" w:rsidRPr="00002445" w14:paraId="6800D3FB" w14:textId="77777777" w:rsidTr="00E408D0">
        <w:trPr>
          <w:trHeight w:val="344"/>
        </w:trPr>
        <w:tc>
          <w:tcPr>
            <w:tcW w:w="3188" w:type="pct"/>
            <w:tcBorders>
              <w:bottom w:val="single" w:sz="4" w:space="0" w:color="auto"/>
            </w:tcBorders>
            <w:vAlign w:val="bottom"/>
          </w:tcPr>
          <w:p w14:paraId="31BA914F"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Class</w:t>
            </w:r>
          </w:p>
        </w:tc>
        <w:tc>
          <w:tcPr>
            <w:tcW w:w="776" w:type="pct"/>
            <w:tcBorders>
              <w:bottom w:val="single" w:sz="4" w:space="0" w:color="auto"/>
            </w:tcBorders>
            <w:vAlign w:val="bottom"/>
          </w:tcPr>
          <w:p w14:paraId="36F0E267"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n</w:t>
            </w:r>
          </w:p>
        </w:tc>
        <w:tc>
          <w:tcPr>
            <w:tcW w:w="1036" w:type="pct"/>
            <w:tcBorders>
              <w:bottom w:val="single" w:sz="4" w:space="0" w:color="auto"/>
            </w:tcBorders>
            <w:vAlign w:val="bottom"/>
          </w:tcPr>
          <w:p w14:paraId="2C0EEC50"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Percent</w:t>
            </w:r>
          </w:p>
        </w:tc>
      </w:tr>
      <w:tr w:rsidR="00E408D0" w:rsidRPr="00002445" w14:paraId="2093D44C" w14:textId="77777777" w:rsidTr="00E408D0">
        <w:trPr>
          <w:trHeight w:val="371"/>
        </w:trPr>
        <w:tc>
          <w:tcPr>
            <w:tcW w:w="3188" w:type="pct"/>
            <w:tcBorders>
              <w:top w:val="single" w:sz="4" w:space="0" w:color="auto"/>
            </w:tcBorders>
          </w:tcPr>
          <w:p w14:paraId="162516AA" w14:textId="37D9655D" w:rsidR="00E408D0" w:rsidRPr="00002445" w:rsidRDefault="00E408D0" w:rsidP="00E408D0">
            <w:pPr>
              <w:pStyle w:val="Compact"/>
              <w:rPr>
                <w:rFonts w:ascii="Times New Roman" w:hAnsi="Times New Roman" w:cs="Times New Roman"/>
              </w:rPr>
            </w:pPr>
            <w:r w:rsidRPr="00002445">
              <w:rPr>
                <w:rFonts w:ascii="Times New Roman" w:hAnsi="Times New Roman" w:cs="Times New Roman"/>
              </w:rPr>
              <w:t>I professional</w:t>
            </w:r>
          </w:p>
        </w:tc>
        <w:tc>
          <w:tcPr>
            <w:tcW w:w="776" w:type="pct"/>
            <w:tcBorders>
              <w:top w:val="single" w:sz="4" w:space="0" w:color="auto"/>
            </w:tcBorders>
          </w:tcPr>
          <w:p w14:paraId="27E32A56" w14:textId="2A12795A" w:rsidR="00E408D0" w:rsidRPr="00002445" w:rsidRDefault="00E408D0" w:rsidP="00E408D0">
            <w:pPr>
              <w:pStyle w:val="Compact"/>
              <w:jc w:val="right"/>
              <w:rPr>
                <w:rFonts w:ascii="Times New Roman" w:hAnsi="Times New Roman" w:cs="Times New Roman"/>
              </w:rPr>
            </w:pPr>
            <w:r w:rsidRPr="00002445">
              <w:rPr>
                <w:rFonts w:ascii="Times New Roman" w:hAnsi="Times New Roman" w:cs="Times New Roman"/>
              </w:rPr>
              <w:t>8</w:t>
            </w:r>
          </w:p>
        </w:tc>
        <w:tc>
          <w:tcPr>
            <w:tcW w:w="1036" w:type="pct"/>
            <w:tcBorders>
              <w:top w:val="single" w:sz="4" w:space="0" w:color="auto"/>
            </w:tcBorders>
          </w:tcPr>
          <w:p w14:paraId="50DBF005" w14:textId="540314AA" w:rsidR="00E408D0" w:rsidRPr="00002445" w:rsidRDefault="00284324" w:rsidP="00E408D0">
            <w:pPr>
              <w:pStyle w:val="Compact"/>
              <w:rPr>
                <w:rFonts w:ascii="Times New Roman" w:hAnsi="Times New Roman" w:cs="Times New Roman"/>
              </w:rPr>
            </w:pPr>
            <w:r w:rsidRPr="00002445">
              <w:rPr>
                <w:rFonts w:ascii="Times New Roman" w:hAnsi="Times New Roman" w:cs="Times New Roman"/>
              </w:rPr>
              <w:t xml:space="preserve">  </w:t>
            </w:r>
            <w:r w:rsidR="00E408D0" w:rsidRPr="00002445">
              <w:rPr>
                <w:rFonts w:ascii="Times New Roman" w:hAnsi="Times New Roman" w:cs="Times New Roman"/>
              </w:rPr>
              <w:t>7.2</w:t>
            </w:r>
          </w:p>
        </w:tc>
      </w:tr>
      <w:tr w:rsidR="00E408D0" w:rsidRPr="00002445" w14:paraId="3B7A622D" w14:textId="77777777" w:rsidTr="0049564F">
        <w:trPr>
          <w:trHeight w:val="371"/>
        </w:trPr>
        <w:tc>
          <w:tcPr>
            <w:tcW w:w="3188" w:type="pct"/>
          </w:tcPr>
          <w:p w14:paraId="2F661710" w14:textId="6C553C81" w:rsidR="00E408D0" w:rsidRPr="00002445" w:rsidRDefault="00E408D0" w:rsidP="00E408D0">
            <w:pPr>
              <w:pStyle w:val="Compact"/>
              <w:rPr>
                <w:rFonts w:ascii="Times New Roman" w:hAnsi="Times New Roman" w:cs="Times New Roman"/>
              </w:rPr>
            </w:pPr>
            <w:r w:rsidRPr="00002445">
              <w:rPr>
                <w:rFonts w:ascii="Times New Roman" w:hAnsi="Times New Roman" w:cs="Times New Roman"/>
              </w:rPr>
              <w:t>II managerial and technical</w:t>
            </w:r>
          </w:p>
        </w:tc>
        <w:tc>
          <w:tcPr>
            <w:tcW w:w="776" w:type="pct"/>
          </w:tcPr>
          <w:p w14:paraId="7A8F95C7" w14:textId="1CFF1DD9" w:rsidR="00E408D0" w:rsidRPr="00002445" w:rsidRDefault="00E408D0" w:rsidP="00E408D0">
            <w:pPr>
              <w:pStyle w:val="Compact"/>
              <w:jc w:val="right"/>
              <w:rPr>
                <w:rFonts w:ascii="Times New Roman" w:hAnsi="Times New Roman" w:cs="Times New Roman"/>
              </w:rPr>
            </w:pPr>
            <w:r w:rsidRPr="00002445">
              <w:rPr>
                <w:rFonts w:ascii="Times New Roman" w:hAnsi="Times New Roman" w:cs="Times New Roman"/>
              </w:rPr>
              <w:t>20</w:t>
            </w:r>
          </w:p>
        </w:tc>
        <w:tc>
          <w:tcPr>
            <w:tcW w:w="1036" w:type="pct"/>
          </w:tcPr>
          <w:p w14:paraId="7171F2BE" w14:textId="0228CBF4" w:rsidR="00E408D0" w:rsidRPr="00002445" w:rsidRDefault="00E408D0" w:rsidP="00E408D0">
            <w:pPr>
              <w:pStyle w:val="Compact"/>
              <w:rPr>
                <w:rFonts w:ascii="Times New Roman" w:hAnsi="Times New Roman" w:cs="Times New Roman"/>
              </w:rPr>
            </w:pPr>
            <w:r w:rsidRPr="00002445">
              <w:rPr>
                <w:rFonts w:ascii="Times New Roman" w:hAnsi="Times New Roman" w:cs="Times New Roman"/>
              </w:rPr>
              <w:t>18.0</w:t>
            </w:r>
          </w:p>
        </w:tc>
      </w:tr>
      <w:tr w:rsidR="00C6466B" w:rsidRPr="00002445" w14:paraId="296BA37A" w14:textId="77777777" w:rsidTr="0049564F">
        <w:trPr>
          <w:trHeight w:val="330"/>
        </w:trPr>
        <w:tc>
          <w:tcPr>
            <w:tcW w:w="3188" w:type="pct"/>
          </w:tcPr>
          <w:p w14:paraId="6F98797B" w14:textId="185ED88D" w:rsidR="00C6466B" w:rsidRPr="00002445" w:rsidRDefault="00C6466B" w:rsidP="00C6466B">
            <w:pPr>
              <w:pStyle w:val="Compact"/>
              <w:rPr>
                <w:rFonts w:ascii="Times New Roman" w:hAnsi="Times New Roman" w:cs="Times New Roman"/>
              </w:rPr>
            </w:pPr>
            <w:r w:rsidRPr="00002445">
              <w:rPr>
                <w:rFonts w:ascii="Times New Roman" w:hAnsi="Times New Roman" w:cs="Times New Roman"/>
              </w:rPr>
              <w:t>III</w:t>
            </w:r>
          </w:p>
        </w:tc>
        <w:tc>
          <w:tcPr>
            <w:tcW w:w="776" w:type="pct"/>
          </w:tcPr>
          <w:p w14:paraId="46DE38F6" w14:textId="77777777" w:rsidR="00C6466B" w:rsidRPr="00002445" w:rsidRDefault="00C6466B" w:rsidP="00C6466B">
            <w:pPr>
              <w:pStyle w:val="Compact"/>
              <w:jc w:val="right"/>
              <w:rPr>
                <w:rFonts w:ascii="Times New Roman" w:hAnsi="Times New Roman" w:cs="Times New Roman"/>
              </w:rPr>
            </w:pPr>
            <w:r w:rsidRPr="00002445">
              <w:rPr>
                <w:rFonts w:ascii="Times New Roman" w:hAnsi="Times New Roman" w:cs="Times New Roman"/>
              </w:rPr>
              <w:t>65</w:t>
            </w:r>
          </w:p>
        </w:tc>
        <w:tc>
          <w:tcPr>
            <w:tcW w:w="1036" w:type="pct"/>
          </w:tcPr>
          <w:p w14:paraId="229A2391" w14:textId="77777777" w:rsidR="00C6466B" w:rsidRPr="00002445" w:rsidRDefault="00C6466B" w:rsidP="00C6466B">
            <w:pPr>
              <w:pStyle w:val="Compact"/>
              <w:rPr>
                <w:rFonts w:ascii="Times New Roman" w:hAnsi="Times New Roman" w:cs="Times New Roman"/>
              </w:rPr>
            </w:pPr>
            <w:r w:rsidRPr="00002445">
              <w:rPr>
                <w:rFonts w:ascii="Times New Roman" w:hAnsi="Times New Roman" w:cs="Times New Roman"/>
              </w:rPr>
              <w:t>58.6</w:t>
            </w:r>
          </w:p>
        </w:tc>
      </w:tr>
      <w:tr w:rsidR="00CC519F" w:rsidRPr="00002445" w14:paraId="15A64D1B" w14:textId="77777777" w:rsidTr="00695CF7">
        <w:trPr>
          <w:trHeight w:val="344"/>
        </w:trPr>
        <w:tc>
          <w:tcPr>
            <w:tcW w:w="3188" w:type="pct"/>
          </w:tcPr>
          <w:p w14:paraId="3A2AAACF"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 xml:space="preserve">IV partly </w:t>
            </w:r>
          </w:p>
        </w:tc>
        <w:tc>
          <w:tcPr>
            <w:tcW w:w="776" w:type="pct"/>
          </w:tcPr>
          <w:p w14:paraId="11E7A2D7" w14:textId="77777777" w:rsidR="00CC519F" w:rsidRPr="00002445" w:rsidRDefault="00CC519F" w:rsidP="004D3CC2">
            <w:pPr>
              <w:pStyle w:val="Compact"/>
              <w:jc w:val="right"/>
              <w:rPr>
                <w:rFonts w:ascii="Times New Roman" w:hAnsi="Times New Roman" w:cs="Times New Roman"/>
              </w:rPr>
            </w:pPr>
            <w:r w:rsidRPr="00002445">
              <w:rPr>
                <w:rFonts w:ascii="Times New Roman" w:hAnsi="Times New Roman" w:cs="Times New Roman"/>
              </w:rPr>
              <w:t>10</w:t>
            </w:r>
          </w:p>
        </w:tc>
        <w:tc>
          <w:tcPr>
            <w:tcW w:w="1036" w:type="pct"/>
          </w:tcPr>
          <w:p w14:paraId="7E5ECB33" w14:textId="4F5291FA" w:rsidR="00CC519F" w:rsidRPr="00002445" w:rsidRDefault="00284324" w:rsidP="004D3CC2">
            <w:pPr>
              <w:pStyle w:val="Compact"/>
              <w:rPr>
                <w:rFonts w:ascii="Times New Roman" w:hAnsi="Times New Roman" w:cs="Times New Roman"/>
              </w:rPr>
            </w:pPr>
            <w:r w:rsidRPr="00002445">
              <w:rPr>
                <w:rFonts w:ascii="Times New Roman" w:hAnsi="Times New Roman" w:cs="Times New Roman"/>
              </w:rPr>
              <w:t xml:space="preserve">  </w:t>
            </w:r>
            <w:r w:rsidR="00CC519F" w:rsidRPr="00002445">
              <w:rPr>
                <w:rFonts w:ascii="Times New Roman" w:hAnsi="Times New Roman" w:cs="Times New Roman"/>
              </w:rPr>
              <w:t>9.0</w:t>
            </w:r>
          </w:p>
        </w:tc>
      </w:tr>
      <w:tr w:rsidR="00CC519F" w:rsidRPr="00002445" w14:paraId="7478564F" w14:textId="77777777" w:rsidTr="00695CF7">
        <w:trPr>
          <w:trHeight w:val="330"/>
        </w:trPr>
        <w:tc>
          <w:tcPr>
            <w:tcW w:w="3188" w:type="pct"/>
          </w:tcPr>
          <w:p w14:paraId="216CABE6" w14:textId="77777777" w:rsidR="00CC519F" w:rsidRPr="00002445" w:rsidRDefault="00CC519F" w:rsidP="004D3CC2">
            <w:pPr>
              <w:pStyle w:val="Compact"/>
              <w:rPr>
                <w:rFonts w:ascii="Times New Roman" w:hAnsi="Times New Roman" w:cs="Times New Roman"/>
              </w:rPr>
            </w:pPr>
            <w:r w:rsidRPr="00002445">
              <w:rPr>
                <w:rFonts w:ascii="Times New Roman" w:hAnsi="Times New Roman" w:cs="Times New Roman"/>
              </w:rPr>
              <w:t>V unskilled</w:t>
            </w:r>
          </w:p>
        </w:tc>
        <w:tc>
          <w:tcPr>
            <w:tcW w:w="776" w:type="pct"/>
          </w:tcPr>
          <w:p w14:paraId="610B4BFA" w14:textId="77777777" w:rsidR="00CC519F" w:rsidRPr="00002445" w:rsidRDefault="00CC519F" w:rsidP="004D3CC2">
            <w:pPr>
              <w:pStyle w:val="Compact"/>
              <w:jc w:val="right"/>
              <w:rPr>
                <w:rFonts w:ascii="Times New Roman" w:hAnsi="Times New Roman" w:cs="Times New Roman"/>
              </w:rPr>
            </w:pPr>
            <w:r w:rsidRPr="00002445">
              <w:rPr>
                <w:rFonts w:ascii="Times New Roman" w:hAnsi="Times New Roman" w:cs="Times New Roman"/>
              </w:rPr>
              <w:t>8</w:t>
            </w:r>
          </w:p>
        </w:tc>
        <w:tc>
          <w:tcPr>
            <w:tcW w:w="1036" w:type="pct"/>
          </w:tcPr>
          <w:p w14:paraId="096EA338" w14:textId="5492CC15" w:rsidR="00CC519F" w:rsidRPr="00002445" w:rsidRDefault="00284324" w:rsidP="004D3CC2">
            <w:pPr>
              <w:pStyle w:val="Compact"/>
              <w:rPr>
                <w:rFonts w:ascii="Times New Roman" w:hAnsi="Times New Roman" w:cs="Times New Roman"/>
              </w:rPr>
            </w:pPr>
            <w:r w:rsidRPr="00002445">
              <w:rPr>
                <w:rFonts w:ascii="Times New Roman" w:hAnsi="Times New Roman" w:cs="Times New Roman"/>
              </w:rPr>
              <w:t xml:space="preserve">  </w:t>
            </w:r>
            <w:r w:rsidR="00CC519F" w:rsidRPr="00002445">
              <w:rPr>
                <w:rFonts w:ascii="Times New Roman" w:hAnsi="Times New Roman" w:cs="Times New Roman"/>
              </w:rPr>
              <w:t>7.2</w:t>
            </w:r>
          </w:p>
        </w:tc>
      </w:tr>
      <w:tr w:rsidR="005D3B48" w:rsidRPr="00002445" w14:paraId="505CA50E" w14:textId="77777777" w:rsidTr="00695CF7">
        <w:trPr>
          <w:trHeight w:val="330"/>
        </w:trPr>
        <w:tc>
          <w:tcPr>
            <w:tcW w:w="3188" w:type="pct"/>
          </w:tcPr>
          <w:p w14:paraId="03DA780B" w14:textId="74FBE2FC" w:rsidR="005D3B48" w:rsidRPr="00002445" w:rsidRDefault="005D3B48" w:rsidP="004D3CC2">
            <w:pPr>
              <w:pStyle w:val="Compact"/>
              <w:rPr>
                <w:rFonts w:ascii="Times New Roman" w:hAnsi="Times New Roman" w:cs="Times New Roman"/>
              </w:rPr>
            </w:pPr>
            <w:r w:rsidRPr="00002445">
              <w:rPr>
                <w:rFonts w:ascii="Times New Roman" w:hAnsi="Times New Roman" w:cs="Times New Roman"/>
              </w:rPr>
              <w:t>TOTAL</w:t>
            </w:r>
          </w:p>
        </w:tc>
        <w:tc>
          <w:tcPr>
            <w:tcW w:w="776" w:type="pct"/>
          </w:tcPr>
          <w:p w14:paraId="6F3BE302" w14:textId="2C6E672F" w:rsidR="005D3B48" w:rsidRPr="00002445" w:rsidRDefault="005D3B48" w:rsidP="004D3CC2">
            <w:pPr>
              <w:pStyle w:val="Compact"/>
              <w:jc w:val="right"/>
              <w:rPr>
                <w:rFonts w:ascii="Times New Roman" w:hAnsi="Times New Roman" w:cs="Times New Roman"/>
              </w:rPr>
            </w:pPr>
            <w:r w:rsidRPr="00002445">
              <w:rPr>
                <w:rFonts w:ascii="Times New Roman" w:hAnsi="Times New Roman" w:cs="Times New Roman"/>
              </w:rPr>
              <w:t>111</w:t>
            </w:r>
          </w:p>
        </w:tc>
        <w:tc>
          <w:tcPr>
            <w:tcW w:w="1036" w:type="pct"/>
          </w:tcPr>
          <w:p w14:paraId="6780B996" w14:textId="0BE12FC6" w:rsidR="005D3B48" w:rsidRPr="00002445" w:rsidRDefault="005D3B48" w:rsidP="004D3CC2">
            <w:pPr>
              <w:pStyle w:val="Compact"/>
              <w:rPr>
                <w:rFonts w:ascii="Times New Roman" w:hAnsi="Times New Roman" w:cs="Times New Roman"/>
              </w:rPr>
            </w:pPr>
            <w:r w:rsidRPr="00002445">
              <w:rPr>
                <w:rFonts w:ascii="Times New Roman" w:hAnsi="Times New Roman" w:cs="Times New Roman"/>
              </w:rPr>
              <w:t>100</w:t>
            </w:r>
          </w:p>
        </w:tc>
      </w:tr>
    </w:tbl>
    <w:p w14:paraId="046797EC" w14:textId="67C94BDA" w:rsidR="00496EF6" w:rsidRPr="00002445" w:rsidRDefault="0078610C">
      <w:pPr>
        <w:pStyle w:val="BodyText"/>
        <w:rPr>
          <w:rFonts w:ascii="Times New Roman" w:hAnsi="Times New Roman" w:cs="Times New Roman"/>
        </w:rPr>
      </w:pPr>
      <w:r w:rsidRPr="00002445">
        <w:rPr>
          <w:rFonts w:ascii="Times New Roman" w:hAnsi="Times New Roman" w:cs="Times New Roman"/>
        </w:rPr>
        <w:t>Compare this to the number and proportion of heroin users by social class in the NCDS cohort (Table 2). In the NCDS cohort</w:t>
      </w:r>
      <w:r w:rsidR="00152F09" w:rsidRPr="00002445">
        <w:rPr>
          <w:rFonts w:ascii="Times New Roman" w:hAnsi="Times New Roman" w:cs="Times New Roman"/>
        </w:rPr>
        <w:t>,</w:t>
      </w:r>
      <w:r w:rsidRPr="00002445">
        <w:rPr>
          <w:rFonts w:ascii="Times New Roman" w:hAnsi="Times New Roman" w:cs="Times New Roman"/>
        </w:rPr>
        <w:t xml:space="preserve"> heroin users were slightly more likely to come from a higher social class (II or I) than the cohort overall, and slightly </w:t>
      </w:r>
      <w:r w:rsidRPr="00002445">
        <w:rPr>
          <w:rFonts w:ascii="Times New Roman" w:hAnsi="Times New Roman" w:cs="Times New Roman"/>
          <w:i/>
        </w:rPr>
        <w:t>less</w:t>
      </w:r>
      <w:r w:rsidRPr="00002445">
        <w:rPr>
          <w:rFonts w:ascii="Times New Roman" w:hAnsi="Times New Roman" w:cs="Times New Roman"/>
        </w:rPr>
        <w:t xml:space="preserve"> likely to come from a lower social class (V, IV, or III). To test this formally we use a Mann–Whitney U non–parametric test (alternatively known as a Wilcoxon two–sample test) between groups (i.e.</w:t>
      </w:r>
      <w:r w:rsidR="008A4A01" w:rsidRPr="00002445">
        <w:rPr>
          <w:rFonts w:ascii="Times New Roman" w:hAnsi="Times New Roman" w:cs="Times New Roman"/>
        </w:rPr>
        <w:t>,</w:t>
      </w:r>
      <w:r w:rsidRPr="00002445">
        <w:rPr>
          <w:rFonts w:ascii="Times New Roman" w:hAnsi="Times New Roman" w:cs="Times New Roman"/>
        </w:rPr>
        <w:t> one group is heroin non–users and the other group is heroin users) with social class as an ordinal dependent variable. We specify a one–tailed test as our alternative hypothesis is directional, i.e.</w:t>
      </w:r>
      <w:r w:rsidR="008A4A01" w:rsidRPr="00002445">
        <w:rPr>
          <w:rFonts w:ascii="Times New Roman" w:hAnsi="Times New Roman" w:cs="Times New Roman"/>
        </w:rPr>
        <w:t>,</w:t>
      </w:r>
      <w:r w:rsidRPr="00002445">
        <w:rPr>
          <w:rFonts w:ascii="Times New Roman" w:hAnsi="Times New Roman" w:cs="Times New Roman"/>
        </w:rPr>
        <w:t xml:space="preserve"> that heroin users are more likely to be from a </w:t>
      </w:r>
      <w:r w:rsidRPr="00002445">
        <w:rPr>
          <w:rFonts w:ascii="Times New Roman" w:hAnsi="Times New Roman" w:cs="Times New Roman"/>
          <w:i/>
        </w:rPr>
        <w:t>higher</w:t>
      </w:r>
      <w:r w:rsidRPr="00002445">
        <w:rPr>
          <w:rFonts w:ascii="Times New Roman" w:hAnsi="Times New Roman" w:cs="Times New Roman"/>
        </w:rPr>
        <w:t xml:space="preserve"> social class</w:t>
      </w:r>
      <w:r w:rsidR="006E2A81" w:rsidRPr="00002445">
        <w:rPr>
          <w:rFonts w:ascii="Times New Roman" w:hAnsi="Times New Roman" w:cs="Times New Roman"/>
        </w:rPr>
        <w:t xml:space="preserve"> (as we are looking at cohorts that were not yet affected by the increased economic vulnerability created by Thatcher’s economic policies)</w:t>
      </w:r>
      <w:r w:rsidRPr="00002445">
        <w:rPr>
          <w:rFonts w:ascii="Times New Roman" w:hAnsi="Times New Roman" w:cs="Times New Roman"/>
        </w:rPr>
        <w:t>.</w:t>
      </w:r>
      <w:r w:rsidR="00152F09" w:rsidRPr="00002445">
        <w:rPr>
          <w:rFonts w:ascii="Times New Roman" w:hAnsi="Times New Roman" w:cs="Times New Roman"/>
        </w:rPr>
        <w:t xml:space="preserve"> </w:t>
      </w:r>
      <w:r w:rsidRPr="00002445">
        <w:rPr>
          <w:rFonts w:ascii="Times New Roman" w:hAnsi="Times New Roman" w:cs="Times New Roman"/>
        </w:rPr>
        <w:t xml:space="preserve">Under these assumptions the test is statistically significant, suggesting there is indeed evidence that heroin users were statistically significantly more likely to come from higher social class backgrounds in the NCDS cohort (U = 509022, p = 0.0298). </w:t>
      </w:r>
    </w:p>
    <w:p w14:paraId="413150F0" w14:textId="40F601F8" w:rsidR="00152F09" w:rsidRPr="00002445" w:rsidRDefault="00152F09" w:rsidP="00152F09">
      <w:pPr>
        <w:pStyle w:val="BodyText"/>
        <w:rPr>
          <w:rFonts w:ascii="Times New Roman" w:hAnsi="Times New Roman" w:cs="Times New Roman"/>
        </w:rPr>
      </w:pPr>
      <w:r w:rsidRPr="00002445">
        <w:rPr>
          <w:rFonts w:ascii="Times New Roman" w:hAnsi="Times New Roman" w:cs="Times New Roman"/>
        </w:rPr>
        <w:t>If we consider the social class of BCS70 cohort</w:t>
      </w:r>
      <w:r w:rsidR="006829DD" w:rsidRPr="00002445">
        <w:rPr>
          <w:rFonts w:ascii="Times New Roman" w:hAnsi="Times New Roman" w:cs="Times New Roman"/>
        </w:rPr>
        <w:t xml:space="preserve">, we would – according to our hypothesis – expect a turn-around in the social class characteristics of heroin users with a substantial increase </w:t>
      </w:r>
      <w:r w:rsidR="006829DD" w:rsidRPr="00002445">
        <w:rPr>
          <w:rFonts w:ascii="Times New Roman" w:hAnsi="Times New Roman" w:cs="Times New Roman"/>
        </w:rPr>
        <w:lastRenderedPageBreak/>
        <w:t xml:space="preserve">of lower-class users as compared to the NCDS cohort. The general distribution of the cohort is presented in </w:t>
      </w:r>
      <w:r w:rsidRPr="00002445">
        <w:rPr>
          <w:rFonts w:ascii="Times New Roman" w:hAnsi="Times New Roman" w:cs="Times New Roman"/>
        </w:rPr>
        <w:t>Table 3 which we can again compare to the distribution of social class of heroin users in the BCS70 (Table 4).</w:t>
      </w:r>
    </w:p>
    <w:p w14:paraId="5535B8BC" w14:textId="77777777" w:rsidR="004D115C" w:rsidRPr="00002445" w:rsidRDefault="004D115C">
      <w:pPr>
        <w:pStyle w:val="BodyText"/>
        <w:rPr>
          <w:rFonts w:ascii="Times New Roman" w:hAnsi="Times New Roman" w:cs="Times New Roman"/>
        </w:rPr>
      </w:pPr>
    </w:p>
    <w:p w14:paraId="028DFCC3" w14:textId="6C62BB21" w:rsidR="00496EF6" w:rsidRPr="00002445" w:rsidRDefault="0078610C">
      <w:pPr>
        <w:pStyle w:val="TableCaption"/>
        <w:rPr>
          <w:rFonts w:ascii="Times New Roman" w:hAnsi="Times New Roman" w:cs="Times New Roman"/>
        </w:rPr>
      </w:pPr>
      <w:r w:rsidRPr="00002445">
        <w:rPr>
          <w:rFonts w:ascii="Times New Roman" w:hAnsi="Times New Roman" w:cs="Times New Roman"/>
        </w:rPr>
        <w:t>Table 3: BCS70 social class of family</w:t>
      </w:r>
    </w:p>
    <w:tbl>
      <w:tblPr>
        <w:tblStyle w:val="Table"/>
        <w:tblW w:w="2726" w:type="pct"/>
        <w:tblLook w:val="0020" w:firstRow="1" w:lastRow="0" w:firstColumn="0" w:lastColumn="0" w:noHBand="0" w:noVBand="0"/>
      </w:tblPr>
      <w:tblGrid>
        <w:gridCol w:w="3136"/>
        <w:gridCol w:w="816"/>
        <w:gridCol w:w="1151"/>
      </w:tblGrid>
      <w:tr w:rsidR="00152F09" w:rsidRPr="00002445" w14:paraId="41750811" w14:textId="77777777" w:rsidTr="00461C26">
        <w:tc>
          <w:tcPr>
            <w:tcW w:w="3106" w:type="pct"/>
            <w:tcBorders>
              <w:bottom w:val="single" w:sz="4" w:space="0" w:color="auto"/>
            </w:tcBorders>
            <w:vAlign w:val="bottom"/>
          </w:tcPr>
          <w:p w14:paraId="51A37660"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Class</w:t>
            </w:r>
          </w:p>
        </w:tc>
        <w:tc>
          <w:tcPr>
            <w:tcW w:w="734" w:type="pct"/>
            <w:tcBorders>
              <w:bottom w:val="single" w:sz="4" w:space="0" w:color="auto"/>
            </w:tcBorders>
            <w:vAlign w:val="bottom"/>
          </w:tcPr>
          <w:p w14:paraId="1C46A445"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n</w:t>
            </w:r>
          </w:p>
        </w:tc>
        <w:tc>
          <w:tcPr>
            <w:tcW w:w="1160" w:type="pct"/>
            <w:tcBorders>
              <w:bottom w:val="single" w:sz="4" w:space="0" w:color="auto"/>
            </w:tcBorders>
            <w:vAlign w:val="bottom"/>
          </w:tcPr>
          <w:p w14:paraId="572F6853"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Percent</w:t>
            </w:r>
          </w:p>
        </w:tc>
      </w:tr>
      <w:tr w:rsidR="00E408D0" w:rsidRPr="00002445" w14:paraId="081E4824" w14:textId="77777777" w:rsidTr="00461C26">
        <w:tc>
          <w:tcPr>
            <w:tcW w:w="3106" w:type="pct"/>
          </w:tcPr>
          <w:p w14:paraId="3A7C4F75" w14:textId="754089B9" w:rsidR="00E408D0" w:rsidRPr="00002445" w:rsidRDefault="00E408D0" w:rsidP="00E408D0">
            <w:pPr>
              <w:pStyle w:val="Compact"/>
              <w:rPr>
                <w:rFonts w:ascii="Times New Roman" w:hAnsi="Times New Roman" w:cs="Times New Roman"/>
              </w:rPr>
            </w:pPr>
            <w:r w:rsidRPr="00002445">
              <w:rPr>
                <w:rFonts w:ascii="Times New Roman" w:hAnsi="Times New Roman" w:cs="Times New Roman"/>
              </w:rPr>
              <w:t>I professional</w:t>
            </w:r>
          </w:p>
        </w:tc>
        <w:tc>
          <w:tcPr>
            <w:tcW w:w="734" w:type="pct"/>
          </w:tcPr>
          <w:p w14:paraId="4E01132B" w14:textId="4F8E581B" w:rsidR="00E408D0" w:rsidRPr="00002445" w:rsidRDefault="00284324" w:rsidP="004B78C0">
            <w:pPr>
              <w:pStyle w:val="Compact"/>
              <w:jc w:val="right"/>
              <w:rPr>
                <w:rFonts w:ascii="Times New Roman" w:hAnsi="Times New Roman" w:cs="Times New Roman"/>
              </w:rPr>
            </w:pPr>
            <w:r w:rsidRPr="00002445">
              <w:rPr>
                <w:rFonts w:ascii="Times New Roman" w:hAnsi="Times New Roman" w:cs="Times New Roman"/>
              </w:rPr>
              <w:t xml:space="preserve">  856</w:t>
            </w:r>
          </w:p>
        </w:tc>
        <w:tc>
          <w:tcPr>
            <w:tcW w:w="1160" w:type="pct"/>
          </w:tcPr>
          <w:p w14:paraId="1A494665" w14:textId="5F61F73F" w:rsidR="00E408D0" w:rsidRPr="00002445" w:rsidRDefault="00284324" w:rsidP="00E408D0">
            <w:pPr>
              <w:pStyle w:val="Compact"/>
              <w:rPr>
                <w:rFonts w:ascii="Times New Roman" w:hAnsi="Times New Roman" w:cs="Times New Roman"/>
              </w:rPr>
            </w:pPr>
            <w:r w:rsidRPr="00002445">
              <w:rPr>
                <w:rFonts w:ascii="Times New Roman" w:hAnsi="Times New Roman" w:cs="Times New Roman"/>
              </w:rPr>
              <w:t xml:space="preserve">  5.1</w:t>
            </w:r>
          </w:p>
        </w:tc>
      </w:tr>
      <w:tr w:rsidR="00E408D0" w:rsidRPr="00002445" w14:paraId="10361BD4" w14:textId="77777777" w:rsidTr="00461C26">
        <w:tc>
          <w:tcPr>
            <w:tcW w:w="3106" w:type="pct"/>
          </w:tcPr>
          <w:p w14:paraId="50CBD4C4" w14:textId="2AA4C78D" w:rsidR="00E408D0" w:rsidRPr="00002445" w:rsidRDefault="00E408D0" w:rsidP="00E408D0">
            <w:pPr>
              <w:pStyle w:val="Compact"/>
              <w:rPr>
                <w:rFonts w:ascii="Times New Roman" w:hAnsi="Times New Roman" w:cs="Times New Roman"/>
              </w:rPr>
            </w:pPr>
            <w:r w:rsidRPr="00002445">
              <w:rPr>
                <w:rFonts w:ascii="Times New Roman" w:hAnsi="Times New Roman" w:cs="Times New Roman"/>
              </w:rPr>
              <w:t>II managerial and technical</w:t>
            </w:r>
          </w:p>
        </w:tc>
        <w:tc>
          <w:tcPr>
            <w:tcW w:w="734" w:type="pct"/>
          </w:tcPr>
          <w:p w14:paraId="36AE40F0" w14:textId="0E883AC0" w:rsidR="00E408D0" w:rsidRPr="00002445" w:rsidRDefault="00E408D0" w:rsidP="00E408D0">
            <w:pPr>
              <w:pStyle w:val="Compact"/>
              <w:jc w:val="right"/>
              <w:rPr>
                <w:rFonts w:ascii="Times New Roman" w:hAnsi="Times New Roman" w:cs="Times New Roman"/>
              </w:rPr>
            </w:pPr>
            <w:r w:rsidRPr="00002445">
              <w:rPr>
                <w:rFonts w:ascii="Times New Roman" w:hAnsi="Times New Roman" w:cs="Times New Roman"/>
              </w:rPr>
              <w:t>2245</w:t>
            </w:r>
          </w:p>
        </w:tc>
        <w:tc>
          <w:tcPr>
            <w:tcW w:w="1160" w:type="pct"/>
          </w:tcPr>
          <w:p w14:paraId="55FE19F1" w14:textId="1B429904" w:rsidR="00E408D0" w:rsidRPr="00002445" w:rsidRDefault="00E408D0" w:rsidP="00E408D0">
            <w:pPr>
              <w:pStyle w:val="Compact"/>
              <w:rPr>
                <w:rFonts w:ascii="Times New Roman" w:hAnsi="Times New Roman" w:cs="Times New Roman"/>
              </w:rPr>
            </w:pPr>
            <w:r w:rsidRPr="00002445">
              <w:rPr>
                <w:rFonts w:ascii="Times New Roman" w:hAnsi="Times New Roman" w:cs="Times New Roman"/>
              </w:rPr>
              <w:t>13.2</w:t>
            </w:r>
          </w:p>
        </w:tc>
      </w:tr>
      <w:tr w:rsidR="00461C26" w:rsidRPr="00002445" w14:paraId="67BB7AA1" w14:textId="77777777" w:rsidTr="00461C26">
        <w:tc>
          <w:tcPr>
            <w:tcW w:w="3106" w:type="pct"/>
          </w:tcPr>
          <w:p w14:paraId="53F53312" w14:textId="77777777" w:rsidR="00461C26" w:rsidRPr="00002445" w:rsidRDefault="00461C26" w:rsidP="00E321EF">
            <w:pPr>
              <w:pStyle w:val="Compact"/>
              <w:rPr>
                <w:rFonts w:ascii="Times New Roman" w:hAnsi="Times New Roman" w:cs="Times New Roman"/>
              </w:rPr>
            </w:pPr>
            <w:r w:rsidRPr="00002445">
              <w:rPr>
                <w:rFonts w:ascii="Times New Roman" w:hAnsi="Times New Roman" w:cs="Times New Roman"/>
              </w:rPr>
              <w:t>III</w:t>
            </w:r>
          </w:p>
        </w:tc>
        <w:tc>
          <w:tcPr>
            <w:tcW w:w="734" w:type="pct"/>
          </w:tcPr>
          <w:p w14:paraId="00B51508" w14:textId="77777777" w:rsidR="00461C26" w:rsidRPr="00002445" w:rsidRDefault="00461C26" w:rsidP="00E321EF">
            <w:pPr>
              <w:pStyle w:val="Compact"/>
              <w:jc w:val="right"/>
              <w:rPr>
                <w:rFonts w:ascii="Times New Roman" w:hAnsi="Times New Roman" w:cs="Times New Roman"/>
              </w:rPr>
            </w:pPr>
            <w:r w:rsidRPr="00002445">
              <w:rPr>
                <w:rFonts w:ascii="Times New Roman" w:hAnsi="Times New Roman" w:cs="Times New Roman"/>
              </w:rPr>
              <w:t>9941</w:t>
            </w:r>
          </w:p>
        </w:tc>
        <w:tc>
          <w:tcPr>
            <w:tcW w:w="1160" w:type="pct"/>
          </w:tcPr>
          <w:p w14:paraId="3DF47F11" w14:textId="77777777" w:rsidR="00461C26" w:rsidRPr="00002445" w:rsidRDefault="00461C26" w:rsidP="00E321EF">
            <w:pPr>
              <w:pStyle w:val="Compact"/>
              <w:rPr>
                <w:rFonts w:ascii="Times New Roman" w:hAnsi="Times New Roman" w:cs="Times New Roman"/>
              </w:rPr>
            </w:pPr>
            <w:r w:rsidRPr="00002445">
              <w:rPr>
                <w:rFonts w:ascii="Times New Roman" w:hAnsi="Times New Roman" w:cs="Times New Roman"/>
              </w:rPr>
              <w:t>58.3</w:t>
            </w:r>
          </w:p>
        </w:tc>
      </w:tr>
      <w:tr w:rsidR="00152F09" w:rsidRPr="00002445" w14:paraId="2B07AF39" w14:textId="77777777" w:rsidTr="00461C26">
        <w:tc>
          <w:tcPr>
            <w:tcW w:w="3106" w:type="pct"/>
          </w:tcPr>
          <w:p w14:paraId="327FF02A"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IV partly-skilled</w:t>
            </w:r>
          </w:p>
        </w:tc>
        <w:tc>
          <w:tcPr>
            <w:tcW w:w="734" w:type="pct"/>
          </w:tcPr>
          <w:p w14:paraId="192F8F87"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2881</w:t>
            </w:r>
          </w:p>
        </w:tc>
        <w:tc>
          <w:tcPr>
            <w:tcW w:w="1160" w:type="pct"/>
          </w:tcPr>
          <w:p w14:paraId="229D5B47"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16.9</w:t>
            </w:r>
          </w:p>
        </w:tc>
      </w:tr>
      <w:tr w:rsidR="00461C26" w:rsidRPr="00002445" w14:paraId="0951FCF0" w14:textId="77777777" w:rsidTr="00461C26">
        <w:tblPrEx>
          <w:tblLook w:val="04A0" w:firstRow="1" w:lastRow="0" w:firstColumn="1" w:lastColumn="0" w:noHBand="0" w:noVBand="1"/>
        </w:tblPrEx>
        <w:tc>
          <w:tcPr>
            <w:tcW w:w="3106" w:type="pct"/>
          </w:tcPr>
          <w:p w14:paraId="2409EDBB" w14:textId="77777777" w:rsidR="00461C26" w:rsidRPr="00002445" w:rsidRDefault="00461C26" w:rsidP="009A2AD2">
            <w:pPr>
              <w:pStyle w:val="Compact"/>
              <w:rPr>
                <w:rFonts w:ascii="Times New Roman" w:hAnsi="Times New Roman" w:cs="Times New Roman"/>
              </w:rPr>
            </w:pPr>
            <w:r w:rsidRPr="00002445">
              <w:rPr>
                <w:rFonts w:ascii="Times New Roman" w:hAnsi="Times New Roman" w:cs="Times New Roman"/>
              </w:rPr>
              <w:t>V unskilled</w:t>
            </w:r>
          </w:p>
        </w:tc>
        <w:tc>
          <w:tcPr>
            <w:tcW w:w="734" w:type="pct"/>
          </w:tcPr>
          <w:p w14:paraId="2BF1E7EA" w14:textId="77777777" w:rsidR="00461C26" w:rsidRPr="00002445" w:rsidRDefault="00461C26" w:rsidP="009A2AD2">
            <w:pPr>
              <w:pStyle w:val="Compact"/>
              <w:jc w:val="right"/>
              <w:rPr>
                <w:rFonts w:ascii="Times New Roman" w:hAnsi="Times New Roman" w:cs="Times New Roman"/>
              </w:rPr>
            </w:pPr>
            <w:r w:rsidRPr="00002445">
              <w:rPr>
                <w:rFonts w:ascii="Times New Roman" w:hAnsi="Times New Roman" w:cs="Times New Roman"/>
              </w:rPr>
              <w:t>1129</w:t>
            </w:r>
          </w:p>
        </w:tc>
        <w:tc>
          <w:tcPr>
            <w:tcW w:w="1160" w:type="pct"/>
          </w:tcPr>
          <w:p w14:paraId="7A5AD2B2" w14:textId="450CF981" w:rsidR="00461C26" w:rsidRPr="00002445" w:rsidRDefault="00284324" w:rsidP="009A2AD2">
            <w:pPr>
              <w:pStyle w:val="Compact"/>
              <w:rPr>
                <w:rFonts w:ascii="Times New Roman" w:hAnsi="Times New Roman" w:cs="Times New Roman"/>
              </w:rPr>
            </w:pPr>
            <w:r w:rsidRPr="00002445">
              <w:rPr>
                <w:rFonts w:ascii="Times New Roman" w:hAnsi="Times New Roman" w:cs="Times New Roman"/>
              </w:rPr>
              <w:t xml:space="preserve">  </w:t>
            </w:r>
            <w:r w:rsidR="00461C26" w:rsidRPr="00002445">
              <w:rPr>
                <w:rFonts w:ascii="Times New Roman" w:hAnsi="Times New Roman" w:cs="Times New Roman"/>
              </w:rPr>
              <w:t>6.6</w:t>
            </w:r>
          </w:p>
        </w:tc>
      </w:tr>
      <w:tr w:rsidR="005D3B48" w:rsidRPr="00002445" w14:paraId="064F22E1" w14:textId="77777777" w:rsidTr="00461C26">
        <w:tblPrEx>
          <w:tblLook w:val="04A0" w:firstRow="1" w:lastRow="0" w:firstColumn="1" w:lastColumn="0" w:noHBand="0" w:noVBand="1"/>
        </w:tblPrEx>
        <w:tc>
          <w:tcPr>
            <w:tcW w:w="3106" w:type="pct"/>
          </w:tcPr>
          <w:p w14:paraId="38D97F31" w14:textId="77137719" w:rsidR="005D3B48" w:rsidRPr="00002445" w:rsidRDefault="005D3B48" w:rsidP="009A2AD2">
            <w:pPr>
              <w:pStyle w:val="Compact"/>
              <w:rPr>
                <w:rFonts w:ascii="Times New Roman" w:hAnsi="Times New Roman" w:cs="Times New Roman"/>
              </w:rPr>
            </w:pPr>
            <w:r w:rsidRPr="00002445">
              <w:rPr>
                <w:rFonts w:ascii="Times New Roman" w:hAnsi="Times New Roman" w:cs="Times New Roman"/>
              </w:rPr>
              <w:t>TOTAL</w:t>
            </w:r>
          </w:p>
        </w:tc>
        <w:tc>
          <w:tcPr>
            <w:tcW w:w="734" w:type="pct"/>
          </w:tcPr>
          <w:p w14:paraId="0AF156BE" w14:textId="10132993" w:rsidR="005D3B48" w:rsidRPr="00002445" w:rsidRDefault="00492C90" w:rsidP="009A2AD2">
            <w:pPr>
              <w:pStyle w:val="Compact"/>
              <w:jc w:val="right"/>
              <w:rPr>
                <w:rFonts w:ascii="Times New Roman" w:hAnsi="Times New Roman" w:cs="Times New Roman"/>
              </w:rPr>
            </w:pPr>
            <w:r w:rsidRPr="00002445">
              <w:rPr>
                <w:rFonts w:ascii="Times New Roman" w:hAnsi="Times New Roman" w:cs="Times New Roman"/>
              </w:rPr>
              <w:t>17052</w:t>
            </w:r>
          </w:p>
        </w:tc>
        <w:tc>
          <w:tcPr>
            <w:tcW w:w="1160" w:type="pct"/>
          </w:tcPr>
          <w:p w14:paraId="67997CA1" w14:textId="174FC5AD" w:rsidR="005D3B48" w:rsidRPr="00002445" w:rsidRDefault="00492C90" w:rsidP="009A2AD2">
            <w:pPr>
              <w:pStyle w:val="Compact"/>
              <w:rPr>
                <w:rFonts w:ascii="Times New Roman" w:hAnsi="Times New Roman" w:cs="Times New Roman"/>
              </w:rPr>
            </w:pPr>
            <w:r w:rsidRPr="00002445">
              <w:rPr>
                <w:rFonts w:ascii="Times New Roman" w:hAnsi="Times New Roman" w:cs="Times New Roman"/>
              </w:rPr>
              <w:t>100</w:t>
            </w:r>
          </w:p>
        </w:tc>
      </w:tr>
      <w:tr w:rsidR="00461C26" w:rsidRPr="00002445" w14:paraId="1860639B" w14:textId="77777777" w:rsidTr="00461C26">
        <w:tblPrEx>
          <w:tblLook w:val="04A0" w:firstRow="1" w:lastRow="0" w:firstColumn="1" w:lastColumn="0" w:noHBand="0" w:noVBand="1"/>
        </w:tblPrEx>
        <w:tc>
          <w:tcPr>
            <w:tcW w:w="3106" w:type="pct"/>
          </w:tcPr>
          <w:p w14:paraId="6688513D" w14:textId="77777777" w:rsidR="00461C26" w:rsidRPr="00002445" w:rsidRDefault="00461C26" w:rsidP="009A2AD2">
            <w:pPr>
              <w:pStyle w:val="Compact"/>
              <w:rPr>
                <w:rFonts w:ascii="Times New Roman" w:hAnsi="Times New Roman" w:cs="Times New Roman"/>
              </w:rPr>
            </w:pPr>
          </w:p>
          <w:p w14:paraId="74207090" w14:textId="1BD8C849" w:rsidR="00695CF7" w:rsidRPr="00002445" w:rsidRDefault="00695CF7" w:rsidP="009A2AD2">
            <w:pPr>
              <w:pStyle w:val="Compact"/>
              <w:rPr>
                <w:rFonts w:ascii="Times New Roman" w:hAnsi="Times New Roman" w:cs="Times New Roman"/>
              </w:rPr>
            </w:pPr>
          </w:p>
        </w:tc>
        <w:tc>
          <w:tcPr>
            <w:tcW w:w="734" w:type="pct"/>
          </w:tcPr>
          <w:p w14:paraId="1B8B2DAA" w14:textId="77777777" w:rsidR="00461C26" w:rsidRPr="00002445" w:rsidRDefault="00461C26" w:rsidP="009A2AD2">
            <w:pPr>
              <w:pStyle w:val="Compact"/>
              <w:jc w:val="right"/>
              <w:rPr>
                <w:rFonts w:ascii="Times New Roman" w:hAnsi="Times New Roman" w:cs="Times New Roman"/>
              </w:rPr>
            </w:pPr>
          </w:p>
        </w:tc>
        <w:tc>
          <w:tcPr>
            <w:tcW w:w="1160" w:type="pct"/>
          </w:tcPr>
          <w:p w14:paraId="45639538" w14:textId="77777777" w:rsidR="00461C26" w:rsidRPr="00002445" w:rsidRDefault="00461C26" w:rsidP="009A2AD2">
            <w:pPr>
              <w:pStyle w:val="Compact"/>
              <w:rPr>
                <w:rFonts w:ascii="Times New Roman" w:hAnsi="Times New Roman" w:cs="Times New Roman"/>
              </w:rPr>
            </w:pPr>
          </w:p>
        </w:tc>
      </w:tr>
    </w:tbl>
    <w:p w14:paraId="1CA24E6A" w14:textId="77777777" w:rsidR="008F1418" w:rsidRPr="00002445" w:rsidRDefault="008F1418">
      <w:pPr>
        <w:pStyle w:val="TableCaption"/>
        <w:rPr>
          <w:rFonts w:ascii="Times New Roman" w:hAnsi="Times New Roman" w:cs="Times New Roman"/>
        </w:rPr>
      </w:pPr>
    </w:p>
    <w:p w14:paraId="2824D282" w14:textId="759CD4F2" w:rsidR="00496EF6" w:rsidRPr="00002445" w:rsidRDefault="0078610C">
      <w:pPr>
        <w:pStyle w:val="TableCaption"/>
        <w:rPr>
          <w:rFonts w:ascii="Times New Roman" w:hAnsi="Times New Roman" w:cs="Times New Roman"/>
        </w:rPr>
      </w:pPr>
      <w:r w:rsidRPr="00002445">
        <w:rPr>
          <w:rFonts w:ascii="Times New Roman" w:hAnsi="Times New Roman" w:cs="Times New Roman"/>
        </w:rPr>
        <w:t>Table 4: BCS70 heroin user social class of family</w:t>
      </w:r>
    </w:p>
    <w:tbl>
      <w:tblPr>
        <w:tblStyle w:val="Table"/>
        <w:tblW w:w="2465" w:type="pct"/>
        <w:tblLook w:val="0020" w:firstRow="1" w:lastRow="0" w:firstColumn="0" w:lastColumn="0" w:noHBand="0" w:noVBand="0"/>
      </w:tblPr>
      <w:tblGrid>
        <w:gridCol w:w="3010"/>
        <w:gridCol w:w="611"/>
        <w:gridCol w:w="993"/>
      </w:tblGrid>
      <w:tr w:rsidR="00152F09" w:rsidRPr="00002445" w14:paraId="6D06C56A" w14:textId="77777777" w:rsidTr="00761EF9">
        <w:tc>
          <w:tcPr>
            <w:tcW w:w="0" w:type="auto"/>
            <w:tcBorders>
              <w:bottom w:val="single" w:sz="0" w:space="0" w:color="auto"/>
            </w:tcBorders>
            <w:vAlign w:val="bottom"/>
          </w:tcPr>
          <w:p w14:paraId="69F9F736"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Class</w:t>
            </w:r>
          </w:p>
        </w:tc>
        <w:tc>
          <w:tcPr>
            <w:tcW w:w="0" w:type="auto"/>
            <w:tcBorders>
              <w:bottom w:val="single" w:sz="0" w:space="0" w:color="auto"/>
            </w:tcBorders>
            <w:vAlign w:val="bottom"/>
          </w:tcPr>
          <w:p w14:paraId="466BB158" w14:textId="75F4B418" w:rsidR="00496EF6" w:rsidRPr="00002445" w:rsidRDefault="00284324">
            <w:pPr>
              <w:pStyle w:val="Compact"/>
              <w:jc w:val="right"/>
              <w:rPr>
                <w:rFonts w:ascii="Times New Roman" w:hAnsi="Times New Roman" w:cs="Times New Roman"/>
              </w:rPr>
            </w:pPr>
            <w:r w:rsidRPr="00002445">
              <w:rPr>
                <w:rFonts w:ascii="Times New Roman" w:hAnsi="Times New Roman" w:cs="Times New Roman"/>
              </w:rPr>
              <w:t>n</w:t>
            </w:r>
          </w:p>
        </w:tc>
        <w:tc>
          <w:tcPr>
            <w:tcW w:w="0" w:type="auto"/>
            <w:tcBorders>
              <w:bottom w:val="single" w:sz="0" w:space="0" w:color="auto"/>
            </w:tcBorders>
            <w:vAlign w:val="bottom"/>
          </w:tcPr>
          <w:p w14:paraId="3C89DEE8"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Percent</w:t>
            </w:r>
          </w:p>
        </w:tc>
      </w:tr>
      <w:tr w:rsidR="00761EF9" w:rsidRPr="00002445" w14:paraId="4F0C97F6" w14:textId="77777777" w:rsidTr="00761EF9">
        <w:tc>
          <w:tcPr>
            <w:tcW w:w="0" w:type="auto"/>
          </w:tcPr>
          <w:p w14:paraId="4E4F1C52" w14:textId="77777777" w:rsidR="00761EF9" w:rsidRPr="00002445" w:rsidRDefault="00761EF9" w:rsidP="005419E9">
            <w:pPr>
              <w:pStyle w:val="Compact"/>
              <w:rPr>
                <w:rFonts w:ascii="Times New Roman" w:hAnsi="Times New Roman" w:cs="Times New Roman"/>
              </w:rPr>
            </w:pPr>
            <w:r w:rsidRPr="00002445">
              <w:rPr>
                <w:rFonts w:ascii="Times New Roman" w:hAnsi="Times New Roman" w:cs="Times New Roman"/>
              </w:rPr>
              <w:t>I professional</w:t>
            </w:r>
          </w:p>
        </w:tc>
        <w:tc>
          <w:tcPr>
            <w:tcW w:w="0" w:type="auto"/>
          </w:tcPr>
          <w:p w14:paraId="4BFE5E3D" w14:textId="77777777" w:rsidR="00761EF9" w:rsidRPr="00002445" w:rsidRDefault="00761EF9" w:rsidP="005419E9">
            <w:pPr>
              <w:pStyle w:val="Compact"/>
              <w:jc w:val="right"/>
              <w:rPr>
                <w:rFonts w:ascii="Times New Roman" w:hAnsi="Times New Roman" w:cs="Times New Roman"/>
              </w:rPr>
            </w:pPr>
            <w:r w:rsidRPr="00002445">
              <w:rPr>
                <w:rFonts w:ascii="Times New Roman" w:hAnsi="Times New Roman" w:cs="Times New Roman"/>
              </w:rPr>
              <w:t>12</w:t>
            </w:r>
          </w:p>
        </w:tc>
        <w:tc>
          <w:tcPr>
            <w:tcW w:w="0" w:type="auto"/>
          </w:tcPr>
          <w:p w14:paraId="78722BF0" w14:textId="26612DBB" w:rsidR="00761EF9" w:rsidRPr="00002445" w:rsidRDefault="00284324" w:rsidP="005419E9">
            <w:pPr>
              <w:pStyle w:val="Compact"/>
              <w:rPr>
                <w:rFonts w:ascii="Times New Roman" w:hAnsi="Times New Roman" w:cs="Times New Roman"/>
              </w:rPr>
            </w:pPr>
            <w:r w:rsidRPr="00002445">
              <w:rPr>
                <w:rFonts w:ascii="Times New Roman" w:hAnsi="Times New Roman" w:cs="Times New Roman"/>
              </w:rPr>
              <w:t xml:space="preserve">  </w:t>
            </w:r>
            <w:r w:rsidR="00761EF9" w:rsidRPr="00002445">
              <w:rPr>
                <w:rFonts w:ascii="Times New Roman" w:hAnsi="Times New Roman" w:cs="Times New Roman"/>
              </w:rPr>
              <w:t>7.0</w:t>
            </w:r>
          </w:p>
        </w:tc>
      </w:tr>
      <w:tr w:rsidR="00152F09" w:rsidRPr="00002445" w14:paraId="1EBD4353" w14:textId="77777777" w:rsidTr="00761EF9">
        <w:tc>
          <w:tcPr>
            <w:tcW w:w="0" w:type="auto"/>
          </w:tcPr>
          <w:p w14:paraId="2D88DFB2" w14:textId="529F7271" w:rsidR="00496EF6" w:rsidRPr="00002445" w:rsidRDefault="00152F09">
            <w:pPr>
              <w:pStyle w:val="Compact"/>
              <w:rPr>
                <w:rFonts w:ascii="Times New Roman" w:hAnsi="Times New Roman" w:cs="Times New Roman"/>
              </w:rPr>
            </w:pPr>
            <w:r w:rsidRPr="00002445">
              <w:rPr>
                <w:rFonts w:ascii="Times New Roman" w:hAnsi="Times New Roman" w:cs="Times New Roman"/>
              </w:rPr>
              <w:t>II managerial and t</w:t>
            </w:r>
            <w:r w:rsidR="0078610C" w:rsidRPr="00002445">
              <w:rPr>
                <w:rFonts w:ascii="Times New Roman" w:hAnsi="Times New Roman" w:cs="Times New Roman"/>
              </w:rPr>
              <w:t>echnical</w:t>
            </w:r>
          </w:p>
        </w:tc>
        <w:tc>
          <w:tcPr>
            <w:tcW w:w="0" w:type="auto"/>
          </w:tcPr>
          <w:p w14:paraId="2847A633"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19</w:t>
            </w:r>
          </w:p>
        </w:tc>
        <w:tc>
          <w:tcPr>
            <w:tcW w:w="0" w:type="auto"/>
          </w:tcPr>
          <w:p w14:paraId="7546A553"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11.0</w:t>
            </w:r>
          </w:p>
        </w:tc>
      </w:tr>
      <w:tr w:rsidR="00761EF9" w:rsidRPr="00002445" w14:paraId="5885683E" w14:textId="77777777" w:rsidTr="00761EF9">
        <w:tblPrEx>
          <w:tblLook w:val="04A0" w:firstRow="1" w:lastRow="0" w:firstColumn="1" w:lastColumn="0" w:noHBand="0" w:noVBand="1"/>
        </w:tblPrEx>
        <w:tc>
          <w:tcPr>
            <w:tcW w:w="0" w:type="auto"/>
          </w:tcPr>
          <w:p w14:paraId="44D918B6" w14:textId="77777777" w:rsidR="00761EF9" w:rsidRPr="00002445" w:rsidRDefault="00761EF9" w:rsidP="00B576ED">
            <w:pPr>
              <w:pStyle w:val="Compact"/>
              <w:rPr>
                <w:rFonts w:ascii="Times New Roman" w:hAnsi="Times New Roman" w:cs="Times New Roman"/>
              </w:rPr>
            </w:pPr>
            <w:r w:rsidRPr="00002445">
              <w:rPr>
                <w:rFonts w:ascii="Times New Roman" w:hAnsi="Times New Roman" w:cs="Times New Roman"/>
              </w:rPr>
              <w:t>III</w:t>
            </w:r>
          </w:p>
        </w:tc>
        <w:tc>
          <w:tcPr>
            <w:tcW w:w="0" w:type="auto"/>
          </w:tcPr>
          <w:p w14:paraId="5795E657" w14:textId="77777777" w:rsidR="00761EF9" w:rsidRPr="00002445" w:rsidRDefault="00761EF9" w:rsidP="00B576ED">
            <w:pPr>
              <w:pStyle w:val="Compact"/>
              <w:jc w:val="right"/>
              <w:rPr>
                <w:rFonts w:ascii="Times New Roman" w:hAnsi="Times New Roman" w:cs="Times New Roman"/>
              </w:rPr>
            </w:pPr>
            <w:r w:rsidRPr="00002445">
              <w:rPr>
                <w:rFonts w:ascii="Times New Roman" w:hAnsi="Times New Roman" w:cs="Times New Roman"/>
              </w:rPr>
              <w:t>102</w:t>
            </w:r>
          </w:p>
        </w:tc>
        <w:tc>
          <w:tcPr>
            <w:tcW w:w="0" w:type="auto"/>
          </w:tcPr>
          <w:p w14:paraId="2CB28AD9" w14:textId="77777777" w:rsidR="00761EF9" w:rsidRPr="00002445" w:rsidRDefault="00761EF9" w:rsidP="00B576ED">
            <w:pPr>
              <w:pStyle w:val="Compact"/>
              <w:rPr>
                <w:rFonts w:ascii="Times New Roman" w:hAnsi="Times New Roman" w:cs="Times New Roman"/>
              </w:rPr>
            </w:pPr>
            <w:r w:rsidRPr="00002445">
              <w:rPr>
                <w:rFonts w:ascii="Times New Roman" w:hAnsi="Times New Roman" w:cs="Times New Roman"/>
              </w:rPr>
              <w:t>59.3</w:t>
            </w:r>
          </w:p>
        </w:tc>
      </w:tr>
      <w:tr w:rsidR="00761EF9" w:rsidRPr="00002445" w14:paraId="228901ED" w14:textId="77777777" w:rsidTr="00761EF9">
        <w:tblPrEx>
          <w:tblLook w:val="04A0" w:firstRow="1" w:lastRow="0" w:firstColumn="1" w:lastColumn="0" w:noHBand="0" w:noVBand="1"/>
        </w:tblPrEx>
        <w:tc>
          <w:tcPr>
            <w:tcW w:w="0" w:type="auto"/>
          </w:tcPr>
          <w:p w14:paraId="3D3C5B46" w14:textId="77777777" w:rsidR="00761EF9" w:rsidRPr="00002445" w:rsidRDefault="00761EF9" w:rsidP="004B6CB8">
            <w:pPr>
              <w:pStyle w:val="Compact"/>
              <w:rPr>
                <w:rFonts w:ascii="Times New Roman" w:hAnsi="Times New Roman" w:cs="Times New Roman"/>
              </w:rPr>
            </w:pPr>
            <w:r w:rsidRPr="00002445">
              <w:rPr>
                <w:rFonts w:ascii="Times New Roman" w:hAnsi="Times New Roman" w:cs="Times New Roman"/>
              </w:rPr>
              <w:t>IV partly-skilled</w:t>
            </w:r>
          </w:p>
        </w:tc>
        <w:tc>
          <w:tcPr>
            <w:tcW w:w="0" w:type="auto"/>
          </w:tcPr>
          <w:p w14:paraId="4F8660E0" w14:textId="77777777" w:rsidR="00761EF9" w:rsidRPr="00002445" w:rsidRDefault="00761EF9" w:rsidP="004B6CB8">
            <w:pPr>
              <w:pStyle w:val="Compact"/>
              <w:jc w:val="right"/>
              <w:rPr>
                <w:rFonts w:ascii="Times New Roman" w:hAnsi="Times New Roman" w:cs="Times New Roman"/>
              </w:rPr>
            </w:pPr>
            <w:r w:rsidRPr="00002445">
              <w:rPr>
                <w:rFonts w:ascii="Times New Roman" w:hAnsi="Times New Roman" w:cs="Times New Roman"/>
              </w:rPr>
              <w:t>29</w:t>
            </w:r>
          </w:p>
        </w:tc>
        <w:tc>
          <w:tcPr>
            <w:tcW w:w="0" w:type="auto"/>
          </w:tcPr>
          <w:p w14:paraId="713F400C" w14:textId="77777777" w:rsidR="00761EF9" w:rsidRPr="00002445" w:rsidRDefault="00761EF9" w:rsidP="004B6CB8">
            <w:pPr>
              <w:pStyle w:val="Compact"/>
              <w:rPr>
                <w:rFonts w:ascii="Times New Roman" w:hAnsi="Times New Roman" w:cs="Times New Roman"/>
              </w:rPr>
            </w:pPr>
            <w:r w:rsidRPr="00002445">
              <w:rPr>
                <w:rFonts w:ascii="Times New Roman" w:hAnsi="Times New Roman" w:cs="Times New Roman"/>
              </w:rPr>
              <w:t>16.9</w:t>
            </w:r>
          </w:p>
        </w:tc>
      </w:tr>
      <w:tr w:rsidR="00761EF9" w:rsidRPr="00002445" w14:paraId="4DE610E7" w14:textId="77777777" w:rsidTr="00761EF9">
        <w:tblPrEx>
          <w:tblLook w:val="04A0" w:firstRow="1" w:lastRow="0" w:firstColumn="1" w:lastColumn="0" w:noHBand="0" w:noVBand="1"/>
        </w:tblPrEx>
        <w:tc>
          <w:tcPr>
            <w:tcW w:w="0" w:type="auto"/>
          </w:tcPr>
          <w:p w14:paraId="45758493" w14:textId="77777777" w:rsidR="00761EF9" w:rsidRPr="00002445" w:rsidRDefault="00761EF9" w:rsidP="00683C88">
            <w:pPr>
              <w:pStyle w:val="Compact"/>
              <w:rPr>
                <w:rFonts w:ascii="Times New Roman" w:hAnsi="Times New Roman" w:cs="Times New Roman"/>
              </w:rPr>
            </w:pPr>
            <w:r w:rsidRPr="00002445">
              <w:rPr>
                <w:rFonts w:ascii="Times New Roman" w:hAnsi="Times New Roman" w:cs="Times New Roman"/>
              </w:rPr>
              <w:t>V unskilled</w:t>
            </w:r>
          </w:p>
        </w:tc>
        <w:tc>
          <w:tcPr>
            <w:tcW w:w="0" w:type="auto"/>
          </w:tcPr>
          <w:p w14:paraId="486BC32F" w14:textId="77777777" w:rsidR="00761EF9" w:rsidRPr="00002445" w:rsidRDefault="00761EF9" w:rsidP="00683C88">
            <w:pPr>
              <w:pStyle w:val="Compact"/>
              <w:jc w:val="right"/>
              <w:rPr>
                <w:rFonts w:ascii="Times New Roman" w:hAnsi="Times New Roman" w:cs="Times New Roman"/>
              </w:rPr>
            </w:pPr>
            <w:r w:rsidRPr="00002445">
              <w:rPr>
                <w:rFonts w:ascii="Times New Roman" w:hAnsi="Times New Roman" w:cs="Times New Roman"/>
              </w:rPr>
              <w:t>10</w:t>
            </w:r>
          </w:p>
        </w:tc>
        <w:tc>
          <w:tcPr>
            <w:tcW w:w="0" w:type="auto"/>
          </w:tcPr>
          <w:p w14:paraId="692BBC5C" w14:textId="5B9310CA" w:rsidR="00761EF9" w:rsidRPr="00002445" w:rsidRDefault="00284324" w:rsidP="00683C88">
            <w:pPr>
              <w:pStyle w:val="Compact"/>
              <w:rPr>
                <w:rFonts w:ascii="Times New Roman" w:hAnsi="Times New Roman" w:cs="Times New Roman"/>
              </w:rPr>
            </w:pPr>
            <w:r w:rsidRPr="00002445">
              <w:rPr>
                <w:rFonts w:ascii="Times New Roman" w:hAnsi="Times New Roman" w:cs="Times New Roman"/>
              </w:rPr>
              <w:t xml:space="preserve">   </w:t>
            </w:r>
            <w:r w:rsidR="00761EF9" w:rsidRPr="00002445">
              <w:rPr>
                <w:rFonts w:ascii="Times New Roman" w:hAnsi="Times New Roman" w:cs="Times New Roman"/>
              </w:rPr>
              <w:t>5.8</w:t>
            </w:r>
          </w:p>
        </w:tc>
      </w:tr>
      <w:tr w:rsidR="005D3B48" w:rsidRPr="00002445" w14:paraId="44120506" w14:textId="77777777" w:rsidTr="00761EF9">
        <w:tblPrEx>
          <w:tblLook w:val="04A0" w:firstRow="1" w:lastRow="0" w:firstColumn="1" w:lastColumn="0" w:noHBand="0" w:noVBand="1"/>
        </w:tblPrEx>
        <w:tc>
          <w:tcPr>
            <w:tcW w:w="0" w:type="auto"/>
          </w:tcPr>
          <w:p w14:paraId="62D1B521" w14:textId="465BB699" w:rsidR="005D3B48" w:rsidRPr="00002445" w:rsidRDefault="005D3B48" w:rsidP="00683C88">
            <w:pPr>
              <w:pStyle w:val="Compact"/>
              <w:rPr>
                <w:rFonts w:ascii="Times New Roman" w:hAnsi="Times New Roman" w:cs="Times New Roman"/>
              </w:rPr>
            </w:pPr>
            <w:r w:rsidRPr="00002445">
              <w:rPr>
                <w:rFonts w:ascii="Times New Roman" w:hAnsi="Times New Roman" w:cs="Times New Roman"/>
              </w:rPr>
              <w:t>TOTAL</w:t>
            </w:r>
          </w:p>
        </w:tc>
        <w:tc>
          <w:tcPr>
            <w:tcW w:w="0" w:type="auto"/>
          </w:tcPr>
          <w:p w14:paraId="221E9C1D" w14:textId="27F14C70" w:rsidR="005D3B48" w:rsidRPr="00002445" w:rsidRDefault="005D3B48" w:rsidP="00683C88">
            <w:pPr>
              <w:pStyle w:val="Compact"/>
              <w:jc w:val="right"/>
              <w:rPr>
                <w:rFonts w:ascii="Times New Roman" w:hAnsi="Times New Roman" w:cs="Times New Roman"/>
              </w:rPr>
            </w:pPr>
            <w:r w:rsidRPr="00002445">
              <w:rPr>
                <w:rFonts w:ascii="Times New Roman" w:hAnsi="Times New Roman" w:cs="Times New Roman"/>
              </w:rPr>
              <w:t>172</w:t>
            </w:r>
          </w:p>
        </w:tc>
        <w:tc>
          <w:tcPr>
            <w:tcW w:w="0" w:type="auto"/>
          </w:tcPr>
          <w:p w14:paraId="0B57D84F" w14:textId="46F30F35" w:rsidR="005D3B48" w:rsidRPr="00002445" w:rsidRDefault="005D3B48" w:rsidP="00683C88">
            <w:pPr>
              <w:pStyle w:val="Compact"/>
              <w:rPr>
                <w:rFonts w:ascii="Times New Roman" w:hAnsi="Times New Roman" w:cs="Times New Roman"/>
              </w:rPr>
            </w:pPr>
            <w:r w:rsidRPr="00002445">
              <w:rPr>
                <w:rFonts w:ascii="Times New Roman" w:hAnsi="Times New Roman" w:cs="Times New Roman"/>
              </w:rPr>
              <w:t>100</w:t>
            </w:r>
          </w:p>
        </w:tc>
      </w:tr>
    </w:tbl>
    <w:p w14:paraId="563FABD7" w14:textId="77777777" w:rsidR="00152F09" w:rsidRPr="00002445" w:rsidRDefault="00152F09">
      <w:pPr>
        <w:pStyle w:val="BodyText"/>
        <w:rPr>
          <w:rFonts w:ascii="Times New Roman" w:hAnsi="Times New Roman" w:cs="Times New Roman"/>
        </w:rPr>
      </w:pPr>
    </w:p>
    <w:p w14:paraId="396C1754" w14:textId="1B002CD7" w:rsidR="00496EF6" w:rsidRPr="00002445" w:rsidRDefault="00CB32BD">
      <w:pPr>
        <w:pStyle w:val="BodyText"/>
        <w:rPr>
          <w:rFonts w:ascii="Times New Roman" w:hAnsi="Times New Roman" w:cs="Times New Roman"/>
        </w:rPr>
      </w:pPr>
      <w:r w:rsidRPr="00002445">
        <w:rPr>
          <w:rFonts w:ascii="Times New Roman" w:hAnsi="Times New Roman" w:cs="Times New Roman"/>
        </w:rPr>
        <w:t>From the tables, we can see that t</w:t>
      </w:r>
      <w:r w:rsidR="0078610C" w:rsidRPr="00002445">
        <w:rPr>
          <w:rFonts w:ascii="Times New Roman" w:hAnsi="Times New Roman" w:cs="Times New Roman"/>
        </w:rPr>
        <w:t xml:space="preserve">he distribution of social class is similar for both heroin users and non–users in the </w:t>
      </w:r>
      <w:r w:rsidR="00152F09" w:rsidRPr="00002445">
        <w:rPr>
          <w:rFonts w:ascii="Times New Roman" w:hAnsi="Times New Roman" w:cs="Times New Roman"/>
        </w:rPr>
        <w:t xml:space="preserve">BCS70 </w:t>
      </w:r>
      <w:r w:rsidR="0078610C" w:rsidRPr="00002445">
        <w:rPr>
          <w:rFonts w:ascii="Times New Roman" w:hAnsi="Times New Roman" w:cs="Times New Roman"/>
        </w:rPr>
        <w:t xml:space="preserve">cohort, </w:t>
      </w:r>
      <w:r w:rsidR="00ED6252" w:rsidRPr="00002445">
        <w:rPr>
          <w:rFonts w:ascii="Times New Roman" w:hAnsi="Times New Roman" w:cs="Times New Roman"/>
        </w:rPr>
        <w:t xml:space="preserve">and much </w:t>
      </w:r>
      <w:r w:rsidR="0078610C" w:rsidRPr="00002445">
        <w:rPr>
          <w:rFonts w:ascii="Times New Roman" w:hAnsi="Times New Roman" w:cs="Times New Roman"/>
        </w:rPr>
        <w:t xml:space="preserve">more so than in the NCDS. For example, in the BCS70, heroin users are slightly more likely to be class I, but slightly less likely to be class II, so the overall distribution is less uniform than was the case with the NCDS. </w:t>
      </w:r>
      <w:r w:rsidR="00050C2C" w:rsidRPr="00002445">
        <w:rPr>
          <w:rFonts w:ascii="Times New Roman" w:hAnsi="Times New Roman" w:cs="Times New Roman"/>
        </w:rPr>
        <w:t>Also, whereas partly skilled workers were us</w:t>
      </w:r>
      <w:r w:rsidR="00D41647" w:rsidRPr="00002445">
        <w:rPr>
          <w:rFonts w:ascii="Times New Roman" w:hAnsi="Times New Roman" w:cs="Times New Roman"/>
        </w:rPr>
        <w:t>ing</w:t>
      </w:r>
      <w:r w:rsidR="00050C2C" w:rsidRPr="00002445">
        <w:rPr>
          <w:rFonts w:ascii="Times New Roman" w:hAnsi="Times New Roman" w:cs="Times New Roman"/>
        </w:rPr>
        <w:t xml:space="preserve"> heroin</w:t>
      </w:r>
      <w:r w:rsidR="00D41647" w:rsidRPr="00002445">
        <w:rPr>
          <w:rFonts w:ascii="Times New Roman" w:hAnsi="Times New Roman" w:cs="Times New Roman"/>
        </w:rPr>
        <w:t xml:space="preserve"> to a lesser extent</w:t>
      </w:r>
      <w:r w:rsidR="00050C2C" w:rsidRPr="00002445">
        <w:rPr>
          <w:rFonts w:ascii="Times New Roman" w:hAnsi="Times New Roman" w:cs="Times New Roman"/>
        </w:rPr>
        <w:t xml:space="preserve"> in the NCDS cohort</w:t>
      </w:r>
      <w:r w:rsidR="00D41647" w:rsidRPr="00002445">
        <w:rPr>
          <w:rFonts w:ascii="Times New Roman" w:hAnsi="Times New Roman" w:cs="Times New Roman"/>
        </w:rPr>
        <w:t xml:space="preserve"> compared to the general distribution, th</w:t>
      </w:r>
      <w:r w:rsidR="00D370E0" w:rsidRPr="00002445">
        <w:rPr>
          <w:rFonts w:ascii="Times New Roman" w:hAnsi="Times New Roman" w:cs="Times New Roman"/>
        </w:rPr>
        <w:t xml:space="preserve">is difference </w:t>
      </w:r>
      <w:r w:rsidR="007B7744" w:rsidRPr="00002445">
        <w:rPr>
          <w:rFonts w:ascii="Times New Roman" w:hAnsi="Times New Roman" w:cs="Times New Roman"/>
        </w:rPr>
        <w:t xml:space="preserve">vanishes </w:t>
      </w:r>
      <w:r w:rsidR="00D370E0" w:rsidRPr="00002445">
        <w:rPr>
          <w:rFonts w:ascii="Times New Roman" w:hAnsi="Times New Roman" w:cs="Times New Roman"/>
        </w:rPr>
        <w:t xml:space="preserve">for the BCS70 cohort. </w:t>
      </w:r>
      <w:r w:rsidR="00673DF4" w:rsidRPr="00002445">
        <w:rPr>
          <w:rFonts w:ascii="Times New Roman" w:hAnsi="Times New Roman" w:cs="Times New Roman"/>
        </w:rPr>
        <w:t xml:space="preserve">As for the NCDS, we </w:t>
      </w:r>
      <w:r w:rsidR="0078610C" w:rsidRPr="00002445">
        <w:rPr>
          <w:rFonts w:ascii="Times New Roman" w:hAnsi="Times New Roman" w:cs="Times New Roman"/>
        </w:rPr>
        <w:t xml:space="preserve">performed two statistical tests </w:t>
      </w:r>
      <w:r w:rsidR="00673DF4" w:rsidRPr="00002445">
        <w:rPr>
          <w:rFonts w:ascii="Times New Roman" w:hAnsi="Times New Roman" w:cs="Times New Roman"/>
        </w:rPr>
        <w:t xml:space="preserve">on the BCS70 cohort </w:t>
      </w:r>
      <w:r w:rsidR="0078610C" w:rsidRPr="00002445">
        <w:rPr>
          <w:rFonts w:ascii="Times New Roman" w:hAnsi="Times New Roman" w:cs="Times New Roman"/>
        </w:rPr>
        <w:t>comparing social class and heroin use. We specified a one</w:t>
      </w:r>
      <w:r w:rsidR="008F1418" w:rsidRPr="00002445">
        <w:rPr>
          <w:rFonts w:ascii="Times New Roman" w:hAnsi="Times New Roman" w:cs="Times New Roman"/>
        </w:rPr>
        <w:t>-</w:t>
      </w:r>
      <w:r w:rsidR="0078610C" w:rsidRPr="00002445">
        <w:rPr>
          <w:rFonts w:ascii="Times New Roman" w:hAnsi="Times New Roman" w:cs="Times New Roman"/>
        </w:rPr>
        <w:t>tailed directional test to be consistent with the test performed on the NCDS, and we also performed a two</w:t>
      </w:r>
      <w:r w:rsidR="008F1418" w:rsidRPr="00002445">
        <w:rPr>
          <w:rFonts w:ascii="Times New Roman" w:hAnsi="Times New Roman" w:cs="Times New Roman"/>
        </w:rPr>
        <w:t>-</w:t>
      </w:r>
      <w:r w:rsidR="0078610C" w:rsidRPr="00002445">
        <w:rPr>
          <w:rFonts w:ascii="Times New Roman" w:hAnsi="Times New Roman" w:cs="Times New Roman"/>
        </w:rPr>
        <w:t xml:space="preserve">tailed test for the avoidance of doubt. The results of both tests are not statistically significant (U = 884020, p = 0.697 and U = 884020, p = 0.607 respectively). This suggests that in the BCS70 heroin use was </w:t>
      </w:r>
      <w:r w:rsidR="0078610C" w:rsidRPr="00002445">
        <w:rPr>
          <w:rFonts w:ascii="Times New Roman" w:hAnsi="Times New Roman" w:cs="Times New Roman"/>
          <w:i/>
        </w:rPr>
        <w:t>not</w:t>
      </w:r>
      <w:r w:rsidR="0078610C" w:rsidRPr="00002445">
        <w:rPr>
          <w:rFonts w:ascii="Times New Roman" w:hAnsi="Times New Roman" w:cs="Times New Roman"/>
        </w:rPr>
        <w:t xml:space="preserve"> related to social class while in the NCDS it was. We believe this lends credence to Pearson’s hypothesis that there were a group of ‘new heroin users’ that emerged as a social group between the mid</w:t>
      </w:r>
      <w:r w:rsidR="008F1418" w:rsidRPr="00002445">
        <w:rPr>
          <w:rFonts w:ascii="Times New Roman" w:hAnsi="Times New Roman" w:cs="Times New Roman"/>
        </w:rPr>
        <w:t>-</w:t>
      </w:r>
      <w:r w:rsidR="0078610C" w:rsidRPr="00002445">
        <w:rPr>
          <w:rFonts w:ascii="Times New Roman" w:hAnsi="Times New Roman" w:cs="Times New Roman"/>
        </w:rPr>
        <w:t>1970s to mid</w:t>
      </w:r>
      <w:r w:rsidR="008F1418" w:rsidRPr="00002445">
        <w:rPr>
          <w:rFonts w:ascii="Times New Roman" w:hAnsi="Times New Roman" w:cs="Times New Roman"/>
        </w:rPr>
        <w:t>-</w:t>
      </w:r>
      <w:r w:rsidR="0078610C" w:rsidRPr="00002445">
        <w:rPr>
          <w:rFonts w:ascii="Times New Roman" w:hAnsi="Times New Roman" w:cs="Times New Roman"/>
        </w:rPr>
        <w:t xml:space="preserve">1980s as a greater </w:t>
      </w:r>
      <w:r w:rsidR="0078610C" w:rsidRPr="00002445">
        <w:rPr>
          <w:rFonts w:ascii="Times New Roman" w:hAnsi="Times New Roman" w:cs="Times New Roman"/>
        </w:rPr>
        <w:lastRenderedPageBreak/>
        <w:t>proportion of heroin users in the latter BCS70 cohort were from ‘lower’ social class backgrounds.</w:t>
      </w:r>
    </w:p>
    <w:p w14:paraId="2A0A3E4D" w14:textId="2A5FF54C" w:rsidR="00041072" w:rsidRPr="00002445" w:rsidRDefault="00041072" w:rsidP="00041072">
      <w:pPr>
        <w:pStyle w:val="BodyText"/>
        <w:rPr>
          <w:rFonts w:ascii="Times New Roman" w:hAnsi="Times New Roman" w:cs="Times New Roman"/>
        </w:rPr>
      </w:pPr>
      <w:r w:rsidRPr="00002445">
        <w:rPr>
          <w:rFonts w:ascii="Times New Roman" w:hAnsi="Times New Roman" w:cs="Times New Roman"/>
        </w:rPr>
        <w:t xml:space="preserve">For the BCS70 cohort, the data relating to the social origin of the heroin users was less skewed (Table 4). Of course, during the intervening 12 years, and especially during the 1960s, the UK’s economy boomed, and we see more families in the upper two social classes when compared to the 1958 births. The key differences, however, are to be found in the social class origins of the heroin users. Despite the growth in social classes I and II, there were fewer of this social class represented in the heroin users. Most starkly, whilst 18% of heroin users in the 1958 cohort came from social class II, this had dropped to 11% for the 1970 births (compare Tables 2 and 4). In short, whilst some 25.2% of the 1958 births came from upper class families in social classes I and II, for the 1970 births, this figure was 18%, despite the growth of families in social classes I and II (from 17.5% for the 1958 births to 18.3% for the 1970 births). In sum, whilst generally the 1970 birth cohort was made up of higher social classes, the proportion of heroin users was increasingly drawn from lower social classes compared to the 1958 births. </w:t>
      </w:r>
      <w:r w:rsidR="00005AEF" w:rsidRPr="00002445">
        <w:rPr>
          <w:rFonts w:ascii="Times New Roman" w:hAnsi="Times New Roman" w:cs="Times New Roman"/>
        </w:rPr>
        <w:t>Crucially, however, whilst some 16.2% of heroin users in the NCDS came from the lower two social classes (IV and V), for the BCS70 this has risen to 22.7 – an increase of 6.5 percentage points on the NCDS numbers, or of 140% of the NCDS numbers.</w:t>
      </w:r>
    </w:p>
    <w:p w14:paraId="491FCC79" w14:textId="77777777" w:rsidR="00DF50B8" w:rsidRPr="00002445" w:rsidRDefault="00DF50B8">
      <w:pPr>
        <w:pStyle w:val="BodyText"/>
        <w:rPr>
          <w:rFonts w:ascii="Times New Roman" w:hAnsi="Times New Roman" w:cs="Times New Roman"/>
        </w:rPr>
      </w:pPr>
    </w:p>
    <w:p w14:paraId="6B5340F7" w14:textId="5202B1A6" w:rsidR="00496EF6" w:rsidRPr="00002445" w:rsidRDefault="0078610C">
      <w:pPr>
        <w:pStyle w:val="Heading2"/>
        <w:rPr>
          <w:rFonts w:ascii="Times New Roman" w:hAnsi="Times New Roman" w:cs="Times New Roman"/>
          <w:color w:val="auto"/>
        </w:rPr>
      </w:pPr>
      <w:bookmarkStart w:id="14" w:name="economic-change"/>
      <w:bookmarkEnd w:id="13"/>
      <w:r w:rsidRPr="00002445">
        <w:rPr>
          <w:rStyle w:val="SectionNumber"/>
          <w:rFonts w:ascii="Times New Roman" w:hAnsi="Times New Roman" w:cs="Times New Roman"/>
          <w:color w:val="auto"/>
        </w:rPr>
        <w:t>7.</w:t>
      </w:r>
      <w:r w:rsidR="00F671DF" w:rsidRPr="00002445">
        <w:rPr>
          <w:rStyle w:val="SectionNumber"/>
          <w:rFonts w:ascii="Times New Roman" w:hAnsi="Times New Roman" w:cs="Times New Roman"/>
          <w:color w:val="auto"/>
        </w:rPr>
        <w:t>2</w:t>
      </w:r>
      <w:r w:rsidRPr="00002445">
        <w:rPr>
          <w:rFonts w:ascii="Times New Roman" w:hAnsi="Times New Roman" w:cs="Times New Roman"/>
          <w:color w:val="auto"/>
        </w:rPr>
        <w:tab/>
        <w:t>Economic change</w:t>
      </w:r>
      <w:r w:rsidR="0016705E" w:rsidRPr="00002445">
        <w:rPr>
          <w:rFonts w:ascii="Times New Roman" w:hAnsi="Times New Roman" w:cs="Times New Roman"/>
          <w:color w:val="auto"/>
        </w:rPr>
        <w:t xml:space="preserve"> </w:t>
      </w:r>
    </w:p>
    <w:p w14:paraId="0D80F9D9" w14:textId="2EB775F2" w:rsidR="00BB6E3E" w:rsidRPr="00002445" w:rsidRDefault="009D1A9D" w:rsidP="00BB6E3E">
      <w:pPr>
        <w:pStyle w:val="BodyText"/>
        <w:rPr>
          <w:rFonts w:ascii="Times New Roman" w:hAnsi="Times New Roman" w:cs="Times New Roman"/>
        </w:rPr>
      </w:pPr>
      <w:r w:rsidRPr="00002445">
        <w:rPr>
          <w:rFonts w:ascii="Times New Roman" w:hAnsi="Times New Roman" w:cs="Times New Roman"/>
        </w:rPr>
        <w:t>A second way of grasping</w:t>
      </w:r>
      <w:r w:rsidR="008F54F6" w:rsidRPr="00002445">
        <w:rPr>
          <w:rFonts w:ascii="Times New Roman" w:hAnsi="Times New Roman" w:cs="Times New Roman"/>
        </w:rPr>
        <w:t xml:space="preserve"> </w:t>
      </w:r>
      <w:r w:rsidRPr="00002445">
        <w:rPr>
          <w:rFonts w:ascii="Times New Roman" w:hAnsi="Times New Roman" w:cs="Times New Roman"/>
        </w:rPr>
        <w:t xml:space="preserve">the unequal insecurity generated by the economic disruptions in </w:t>
      </w:r>
      <w:r w:rsidR="00E5453E" w:rsidRPr="00002445">
        <w:rPr>
          <w:rFonts w:ascii="Times New Roman" w:hAnsi="Times New Roman" w:cs="Times New Roman"/>
        </w:rPr>
        <w:t>Britain</w:t>
      </w:r>
      <w:r w:rsidRPr="00002445">
        <w:rPr>
          <w:rFonts w:ascii="Times New Roman" w:hAnsi="Times New Roman" w:cs="Times New Roman"/>
        </w:rPr>
        <w:t xml:space="preserve"> during the 1980s is to analy</w:t>
      </w:r>
      <w:r w:rsidR="00260DC1" w:rsidRPr="00002445">
        <w:rPr>
          <w:rFonts w:ascii="Times New Roman" w:hAnsi="Times New Roman" w:cs="Times New Roman"/>
        </w:rPr>
        <w:t>s</w:t>
      </w:r>
      <w:r w:rsidRPr="00002445">
        <w:rPr>
          <w:rFonts w:ascii="Times New Roman" w:hAnsi="Times New Roman" w:cs="Times New Roman"/>
        </w:rPr>
        <w:t xml:space="preserve">e the geographical distribution of economic change. We do so by measuring area </w:t>
      </w:r>
      <w:r w:rsidR="00BB6E3E" w:rsidRPr="00002445">
        <w:rPr>
          <w:rFonts w:ascii="Times New Roman" w:hAnsi="Times New Roman" w:cs="Times New Roman"/>
        </w:rPr>
        <w:t>level economic restructuring summing two variables from the UK census</w:t>
      </w:r>
      <w:r w:rsidR="00B80240" w:rsidRPr="00002445">
        <w:rPr>
          <w:rFonts w:ascii="Times New Roman" w:hAnsi="Times New Roman" w:cs="Times New Roman"/>
        </w:rPr>
        <w:t xml:space="preserve"> in 1961 and 1971</w:t>
      </w:r>
      <w:r w:rsidR="00BB6E3E" w:rsidRPr="00002445">
        <w:rPr>
          <w:rFonts w:ascii="Times New Roman" w:hAnsi="Times New Roman" w:cs="Times New Roman"/>
        </w:rPr>
        <w:t>. These were the proportion of the economically active population employed in coalmining in each county and the proportion of economically active males who were unemployed in that same area at the subsequent census</w:t>
      </w:r>
      <w:r w:rsidR="00B80240" w:rsidRPr="00002445">
        <w:rPr>
          <w:rFonts w:ascii="Times New Roman" w:hAnsi="Times New Roman" w:cs="Times New Roman"/>
        </w:rPr>
        <w:t>.</w:t>
      </w:r>
      <w:r w:rsidR="00B80240" w:rsidRPr="00002445">
        <w:rPr>
          <w:rStyle w:val="FootnoteReference"/>
          <w:rFonts w:ascii="Times New Roman" w:hAnsi="Times New Roman" w:cs="Times New Roman"/>
        </w:rPr>
        <w:footnoteReference w:id="6"/>
      </w:r>
      <w:r w:rsidR="00BB6E3E" w:rsidRPr="00002445">
        <w:rPr>
          <w:rFonts w:ascii="Times New Roman" w:hAnsi="Times New Roman" w:cs="Times New Roman"/>
        </w:rPr>
        <w:t xml:space="preserve"> Counties were based on 1974-1996 counties</w:t>
      </w:r>
      <w:r w:rsidR="00F8761E" w:rsidRPr="00002445">
        <w:rPr>
          <w:rStyle w:val="FootnoteReference"/>
          <w:rFonts w:ascii="Times New Roman" w:hAnsi="Times New Roman" w:cs="Times New Roman"/>
        </w:rPr>
        <w:footnoteReference w:id="7"/>
      </w:r>
      <w:r w:rsidR="00BB6E3E" w:rsidRPr="00002445">
        <w:rPr>
          <w:rFonts w:ascii="Times New Roman" w:hAnsi="Times New Roman" w:cs="Times New Roman"/>
        </w:rPr>
        <w:t xml:space="preserve">. In our modelling, </w:t>
      </w:r>
      <w:r w:rsidR="00BB6E3E" w:rsidRPr="00002445">
        <w:rPr>
          <w:rFonts w:ascii="Times New Roman" w:hAnsi="Times New Roman" w:cs="Times New Roman"/>
          <w:i/>
        </w:rPr>
        <w:t>Disadvantaged Area (1961-1971)</w:t>
      </w:r>
      <w:r w:rsidR="00BB6E3E" w:rsidRPr="00002445">
        <w:rPr>
          <w:rFonts w:ascii="Times New Roman" w:hAnsi="Times New Roman" w:cs="Times New Roman"/>
        </w:rPr>
        <w:t xml:space="preserve"> is our measure of area</w:t>
      </w:r>
      <w:r w:rsidR="00B80240" w:rsidRPr="00002445">
        <w:rPr>
          <w:rFonts w:ascii="Times New Roman" w:hAnsi="Times New Roman" w:cs="Times New Roman"/>
        </w:rPr>
        <w:t>l</w:t>
      </w:r>
      <w:r w:rsidR="00BB6E3E" w:rsidRPr="00002445">
        <w:rPr>
          <w:rFonts w:ascii="Times New Roman" w:hAnsi="Times New Roman" w:cs="Times New Roman"/>
        </w:rPr>
        <w:t xml:space="preserve"> economic restructuring in which the NCDS cohort member was living in 1974. Similarly, </w:t>
      </w:r>
      <w:r w:rsidR="00BB6E3E" w:rsidRPr="00002445">
        <w:rPr>
          <w:rFonts w:ascii="Times New Roman" w:hAnsi="Times New Roman" w:cs="Times New Roman"/>
          <w:i/>
        </w:rPr>
        <w:t>Disadvantaged Area (1971-1981)</w:t>
      </w:r>
      <w:r w:rsidR="00BB6E3E" w:rsidRPr="00002445">
        <w:rPr>
          <w:rFonts w:ascii="Times New Roman" w:hAnsi="Times New Roman" w:cs="Times New Roman"/>
        </w:rPr>
        <w:t xml:space="preserve"> is our measure of areal economic restructuring in which the BCS70 cohort member was living in 1986. We choose data for those working in coalmining in 1961 and 1971 as these are a good barometer of industrial strength in </w:t>
      </w:r>
      <w:r w:rsidR="00E5453E" w:rsidRPr="00002445">
        <w:rPr>
          <w:rFonts w:ascii="Times New Roman" w:hAnsi="Times New Roman" w:cs="Times New Roman"/>
        </w:rPr>
        <w:t>Britain</w:t>
      </w:r>
      <w:r w:rsidR="00010FDD" w:rsidRPr="00002445">
        <w:rPr>
          <w:rStyle w:val="FootnoteReference"/>
          <w:rFonts w:ascii="Times New Roman" w:hAnsi="Times New Roman" w:cs="Times New Roman"/>
        </w:rPr>
        <w:footnoteReference w:id="8"/>
      </w:r>
      <w:r w:rsidR="00BB6E3E" w:rsidRPr="00002445">
        <w:rPr>
          <w:rFonts w:ascii="Times New Roman" w:hAnsi="Times New Roman" w:cs="Times New Roman"/>
        </w:rPr>
        <w:t xml:space="preserve">, whilst unemployment rates in the same area ten years later is a good measure of loss of such work. In 1960 there were approximately 607,000 people (mainly men) working in 698 </w:t>
      </w:r>
      <w:r w:rsidR="00E5453E" w:rsidRPr="00002445">
        <w:rPr>
          <w:rFonts w:ascii="Times New Roman" w:hAnsi="Times New Roman" w:cs="Times New Roman"/>
        </w:rPr>
        <w:t xml:space="preserve">British </w:t>
      </w:r>
      <w:r w:rsidR="00BB6E3E" w:rsidRPr="00002445">
        <w:rPr>
          <w:rFonts w:ascii="Times New Roman" w:hAnsi="Times New Roman" w:cs="Times New Roman"/>
        </w:rPr>
        <w:t>mines, whilst in 1970 these figures had reduced to 290,000 people working in 293 mines.</w:t>
      </w:r>
      <w:r w:rsidR="00BB6E3E" w:rsidRPr="00002445">
        <w:rPr>
          <w:rFonts w:ascii="Times New Roman" w:hAnsi="Times New Roman" w:cs="Times New Roman"/>
          <w:vertAlign w:val="superscript"/>
        </w:rPr>
        <w:footnoteReference w:id="9"/>
      </w:r>
      <w:r w:rsidR="008F1418" w:rsidRPr="00002445">
        <w:rPr>
          <w:rFonts w:ascii="Times New Roman" w:hAnsi="Times New Roman" w:cs="Times New Roman"/>
        </w:rPr>
        <w:t xml:space="preserve"> </w:t>
      </w:r>
      <w:r w:rsidR="00A64A8C" w:rsidRPr="00002445">
        <w:rPr>
          <w:rFonts w:ascii="Times New Roman" w:hAnsi="Times New Roman" w:cs="Times New Roman"/>
        </w:rPr>
        <w:t>Ultimately, we developed a composite</w:t>
      </w:r>
      <w:r w:rsidR="00BB6E3E" w:rsidRPr="00002445">
        <w:rPr>
          <w:rFonts w:ascii="Times New Roman" w:hAnsi="Times New Roman" w:cs="Times New Roman"/>
        </w:rPr>
        <w:t xml:space="preserve"> measure for each county</w:t>
      </w:r>
      <w:r w:rsidR="00A64A8C" w:rsidRPr="00002445">
        <w:rPr>
          <w:rFonts w:ascii="Times New Roman" w:hAnsi="Times New Roman" w:cs="Times New Roman"/>
        </w:rPr>
        <w:t xml:space="preserve"> that</w:t>
      </w:r>
      <w:r w:rsidR="00BB6E3E" w:rsidRPr="00002445">
        <w:rPr>
          <w:rFonts w:ascii="Times New Roman" w:hAnsi="Times New Roman" w:cs="Times New Roman"/>
        </w:rPr>
        <w:t xml:space="preserve"> combined the following:</w:t>
      </w:r>
    </w:p>
    <w:p w14:paraId="27FDAD03" w14:textId="1A15630B" w:rsidR="00BB6E3E" w:rsidRPr="00002445" w:rsidRDefault="00BB6E3E" w:rsidP="00BB6E3E">
      <w:pPr>
        <w:pStyle w:val="BodyText"/>
        <w:numPr>
          <w:ilvl w:val="0"/>
          <w:numId w:val="4"/>
        </w:numPr>
        <w:rPr>
          <w:rFonts w:ascii="Times New Roman" w:hAnsi="Times New Roman" w:cs="Times New Roman"/>
        </w:rPr>
      </w:pPr>
      <w:r w:rsidRPr="00002445">
        <w:rPr>
          <w:rFonts w:ascii="Times New Roman" w:hAnsi="Times New Roman" w:cs="Times New Roman"/>
        </w:rPr>
        <w:lastRenderedPageBreak/>
        <w:t>the proportion of people in each county who were employed in mining in 1961 (or 1971 for the BCS70), and</w:t>
      </w:r>
    </w:p>
    <w:p w14:paraId="49E301E3" w14:textId="52EBE52D" w:rsidR="00BB6E3E" w:rsidRPr="00002445" w:rsidRDefault="00BB6E3E" w:rsidP="00BB6E3E">
      <w:pPr>
        <w:pStyle w:val="BodyText"/>
        <w:numPr>
          <w:ilvl w:val="0"/>
          <w:numId w:val="4"/>
        </w:numPr>
        <w:rPr>
          <w:rFonts w:ascii="Times New Roman" w:hAnsi="Times New Roman" w:cs="Times New Roman"/>
        </w:rPr>
      </w:pPr>
      <w:r w:rsidRPr="00002445">
        <w:rPr>
          <w:rFonts w:ascii="Times New Roman" w:hAnsi="Times New Roman" w:cs="Times New Roman"/>
        </w:rPr>
        <w:t>the proportion of economically active male employees (traditionally the ‘breadwinner’ in working class households at that time) who were unemployed in 1971 (or 1981 for the BSC70).</w:t>
      </w:r>
    </w:p>
    <w:p w14:paraId="50221FDD" w14:textId="77777777" w:rsidR="00A64A8C" w:rsidRPr="00002445" w:rsidRDefault="00BB6E3E" w:rsidP="00BB6E3E">
      <w:pPr>
        <w:pStyle w:val="BodyText"/>
        <w:rPr>
          <w:rFonts w:ascii="Times New Roman" w:hAnsi="Times New Roman" w:cs="Times New Roman"/>
        </w:rPr>
      </w:pPr>
      <w:r w:rsidRPr="00002445">
        <w:rPr>
          <w:rFonts w:ascii="Times New Roman" w:hAnsi="Times New Roman" w:cs="Times New Roman"/>
        </w:rPr>
        <w:t xml:space="preserve">These variables therefore measure change in local employment patterns, tracking shifts in the rapid loss of male employment in mining (and related) industries at two points of time. </w:t>
      </w:r>
    </w:p>
    <w:p w14:paraId="419631BF" w14:textId="62C32E6E" w:rsidR="00137F91" w:rsidRPr="00002445" w:rsidRDefault="00BB6E3E" w:rsidP="00322467">
      <w:pPr>
        <w:pStyle w:val="BodyText"/>
        <w:rPr>
          <w:rFonts w:ascii="Times New Roman" w:hAnsi="Times New Roman" w:cs="Times New Roman"/>
        </w:rPr>
      </w:pPr>
      <w:r w:rsidRPr="00002445">
        <w:rPr>
          <w:rFonts w:ascii="Times New Roman" w:hAnsi="Times New Roman" w:cs="Times New Roman"/>
        </w:rPr>
        <w:t>Whilst there were other social changes which took place alongside these processes, such as the greater inclusion of females in the labour market, for many individual households these developments were in part a response to the loss of traditional forms of (male) employment. Many such communities lived and worked closely together such that local state housing estates (‘council houses’) were dominated by families who derived their household incomes from the same employer (or interdependent employers), meaning that when coal production declined or ceased altogether in one community, so the livelihoods of whole estates were impacted upon.</w:t>
      </w:r>
    </w:p>
    <w:p w14:paraId="6F1E5F17" w14:textId="77777777" w:rsidR="00284324" w:rsidRPr="00002445" w:rsidRDefault="00284324" w:rsidP="00BB6E3E">
      <w:pPr>
        <w:pStyle w:val="BodyText"/>
        <w:rPr>
          <w:rFonts w:ascii="Times New Roman" w:hAnsi="Times New Roman" w:cs="Times New Roman"/>
        </w:rPr>
      </w:pPr>
    </w:p>
    <w:p w14:paraId="47DFB5AF" w14:textId="7023CA35" w:rsidR="00496EF6" w:rsidRPr="00002445" w:rsidRDefault="0078610C">
      <w:pPr>
        <w:pStyle w:val="TableCaption"/>
        <w:rPr>
          <w:rFonts w:ascii="Times New Roman" w:hAnsi="Times New Roman" w:cs="Times New Roman"/>
        </w:rPr>
      </w:pPr>
      <w:r w:rsidRPr="00002445">
        <w:rPr>
          <w:rFonts w:ascii="Times New Roman" w:hAnsi="Times New Roman" w:cs="Times New Roman"/>
        </w:rPr>
        <w:t xml:space="preserve">Table </w:t>
      </w:r>
      <w:r w:rsidR="00F878B6" w:rsidRPr="00002445">
        <w:rPr>
          <w:rFonts w:ascii="Times New Roman" w:hAnsi="Times New Roman" w:cs="Times New Roman"/>
        </w:rPr>
        <w:t>5</w:t>
      </w:r>
      <w:r w:rsidRPr="00002445">
        <w:rPr>
          <w:rFonts w:ascii="Times New Roman" w:hAnsi="Times New Roman" w:cs="Times New Roman"/>
        </w:rPr>
        <w:t>:</w:t>
      </w:r>
      <w:r w:rsidR="002B131A" w:rsidRPr="00002445">
        <w:rPr>
          <w:rFonts w:ascii="Times New Roman" w:hAnsi="Times New Roman" w:cs="Times New Roman"/>
        </w:rPr>
        <w:t xml:space="preserve"> </w:t>
      </w:r>
      <w:r w:rsidRPr="00002445">
        <w:rPr>
          <w:rFonts w:ascii="Times New Roman" w:hAnsi="Times New Roman" w:cs="Times New Roman"/>
        </w:rPr>
        <w:t>NCDS: Father’s social class and economic restructuring</w:t>
      </w:r>
    </w:p>
    <w:tbl>
      <w:tblPr>
        <w:tblStyle w:val="Table"/>
        <w:tblW w:w="5000" w:type="pct"/>
        <w:tblLook w:val="0020" w:firstRow="1" w:lastRow="0" w:firstColumn="0" w:lastColumn="0" w:noHBand="0" w:noVBand="0"/>
      </w:tblPr>
      <w:tblGrid>
        <w:gridCol w:w="5086"/>
        <w:gridCol w:w="1177"/>
        <w:gridCol w:w="1848"/>
        <w:gridCol w:w="1249"/>
      </w:tblGrid>
      <w:tr w:rsidR="005D321C" w:rsidRPr="00002445" w14:paraId="45FD9A23" w14:textId="77777777" w:rsidTr="00041072">
        <w:tc>
          <w:tcPr>
            <w:tcW w:w="0" w:type="auto"/>
            <w:tcBorders>
              <w:bottom w:val="single" w:sz="0" w:space="0" w:color="auto"/>
            </w:tcBorders>
            <w:vAlign w:val="bottom"/>
          </w:tcPr>
          <w:p w14:paraId="02EB378F" w14:textId="77777777" w:rsidR="00496EF6" w:rsidRPr="00002445" w:rsidRDefault="00496EF6">
            <w:pPr>
              <w:rPr>
                <w:rFonts w:ascii="Times New Roman" w:hAnsi="Times New Roman" w:cs="Times New Roman"/>
              </w:rPr>
            </w:pPr>
          </w:p>
        </w:tc>
        <w:tc>
          <w:tcPr>
            <w:tcW w:w="0" w:type="auto"/>
            <w:tcBorders>
              <w:bottom w:val="single" w:sz="0" w:space="0" w:color="auto"/>
            </w:tcBorders>
            <w:vAlign w:val="bottom"/>
          </w:tcPr>
          <w:p w14:paraId="1E16C85B"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Low</w:t>
            </w:r>
          </w:p>
        </w:tc>
        <w:tc>
          <w:tcPr>
            <w:tcW w:w="0" w:type="auto"/>
            <w:tcBorders>
              <w:bottom w:val="single" w:sz="0" w:space="0" w:color="auto"/>
            </w:tcBorders>
            <w:vAlign w:val="bottom"/>
          </w:tcPr>
          <w:p w14:paraId="19497B9C"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Medium</w:t>
            </w:r>
          </w:p>
        </w:tc>
        <w:tc>
          <w:tcPr>
            <w:tcW w:w="0" w:type="auto"/>
            <w:tcBorders>
              <w:bottom w:val="single" w:sz="0" w:space="0" w:color="auto"/>
            </w:tcBorders>
            <w:vAlign w:val="bottom"/>
          </w:tcPr>
          <w:p w14:paraId="7E177962"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High</w:t>
            </w:r>
          </w:p>
        </w:tc>
      </w:tr>
      <w:tr w:rsidR="00041072" w:rsidRPr="00002445" w14:paraId="136B65B5" w14:textId="77777777" w:rsidTr="00041072">
        <w:tc>
          <w:tcPr>
            <w:tcW w:w="0" w:type="auto"/>
          </w:tcPr>
          <w:p w14:paraId="17DF63D1" w14:textId="77777777" w:rsidR="00041072" w:rsidRPr="00002445" w:rsidRDefault="00041072" w:rsidP="008315D6">
            <w:pPr>
              <w:pStyle w:val="Compact"/>
              <w:rPr>
                <w:rFonts w:ascii="Times New Roman" w:hAnsi="Times New Roman" w:cs="Times New Roman"/>
              </w:rPr>
            </w:pPr>
            <w:r w:rsidRPr="00002445">
              <w:rPr>
                <w:rFonts w:ascii="Times New Roman" w:hAnsi="Times New Roman" w:cs="Times New Roman"/>
              </w:rPr>
              <w:t>I professional</w:t>
            </w:r>
          </w:p>
        </w:tc>
        <w:tc>
          <w:tcPr>
            <w:tcW w:w="0" w:type="auto"/>
          </w:tcPr>
          <w:p w14:paraId="700509BC" w14:textId="77777777" w:rsidR="00041072" w:rsidRPr="00002445" w:rsidRDefault="00041072" w:rsidP="008315D6">
            <w:pPr>
              <w:pStyle w:val="Compact"/>
              <w:jc w:val="right"/>
              <w:rPr>
                <w:rFonts w:ascii="Times New Roman" w:hAnsi="Times New Roman" w:cs="Times New Roman"/>
              </w:rPr>
            </w:pPr>
            <w:r w:rsidRPr="00002445">
              <w:rPr>
                <w:rFonts w:ascii="Times New Roman" w:hAnsi="Times New Roman" w:cs="Times New Roman"/>
              </w:rPr>
              <w:t>0.86</w:t>
            </w:r>
          </w:p>
        </w:tc>
        <w:tc>
          <w:tcPr>
            <w:tcW w:w="0" w:type="auto"/>
          </w:tcPr>
          <w:p w14:paraId="0C537613" w14:textId="77777777" w:rsidR="00041072" w:rsidRPr="00002445" w:rsidRDefault="00041072" w:rsidP="008315D6">
            <w:pPr>
              <w:pStyle w:val="Compact"/>
              <w:jc w:val="right"/>
              <w:rPr>
                <w:rFonts w:ascii="Times New Roman" w:hAnsi="Times New Roman" w:cs="Times New Roman"/>
              </w:rPr>
            </w:pPr>
            <w:r w:rsidRPr="00002445">
              <w:rPr>
                <w:rFonts w:ascii="Times New Roman" w:hAnsi="Times New Roman" w:cs="Times New Roman"/>
              </w:rPr>
              <w:t>0.11</w:t>
            </w:r>
          </w:p>
        </w:tc>
        <w:tc>
          <w:tcPr>
            <w:tcW w:w="0" w:type="auto"/>
          </w:tcPr>
          <w:p w14:paraId="78E56548" w14:textId="77777777" w:rsidR="00041072" w:rsidRPr="00002445" w:rsidRDefault="00041072" w:rsidP="008315D6">
            <w:pPr>
              <w:pStyle w:val="Compact"/>
              <w:jc w:val="right"/>
              <w:rPr>
                <w:rFonts w:ascii="Times New Roman" w:hAnsi="Times New Roman" w:cs="Times New Roman"/>
              </w:rPr>
            </w:pPr>
            <w:r w:rsidRPr="00002445">
              <w:rPr>
                <w:rFonts w:ascii="Times New Roman" w:hAnsi="Times New Roman" w:cs="Times New Roman"/>
              </w:rPr>
              <w:t>0.03</w:t>
            </w:r>
          </w:p>
        </w:tc>
      </w:tr>
      <w:tr w:rsidR="00041072" w:rsidRPr="00002445" w14:paraId="0C1D0CF8" w14:textId="77777777" w:rsidTr="004D3CC2">
        <w:tc>
          <w:tcPr>
            <w:tcW w:w="0" w:type="auto"/>
          </w:tcPr>
          <w:p w14:paraId="19B7081B" w14:textId="77777777" w:rsidR="00041072" w:rsidRPr="00002445" w:rsidRDefault="00041072" w:rsidP="004D3CC2">
            <w:pPr>
              <w:pStyle w:val="Compact"/>
              <w:rPr>
                <w:rFonts w:ascii="Times New Roman" w:hAnsi="Times New Roman" w:cs="Times New Roman"/>
              </w:rPr>
            </w:pPr>
            <w:r w:rsidRPr="00002445">
              <w:rPr>
                <w:rFonts w:ascii="Times New Roman" w:hAnsi="Times New Roman" w:cs="Times New Roman"/>
              </w:rPr>
              <w:t>II managerial and technical</w:t>
            </w:r>
          </w:p>
        </w:tc>
        <w:tc>
          <w:tcPr>
            <w:tcW w:w="0" w:type="auto"/>
          </w:tcPr>
          <w:p w14:paraId="1DBEC0C3" w14:textId="77777777" w:rsidR="00041072" w:rsidRPr="00002445" w:rsidRDefault="00041072" w:rsidP="004D3CC2">
            <w:pPr>
              <w:pStyle w:val="Compact"/>
              <w:jc w:val="right"/>
              <w:rPr>
                <w:rFonts w:ascii="Times New Roman" w:hAnsi="Times New Roman" w:cs="Times New Roman"/>
              </w:rPr>
            </w:pPr>
            <w:r w:rsidRPr="00002445">
              <w:rPr>
                <w:rFonts w:ascii="Times New Roman" w:hAnsi="Times New Roman" w:cs="Times New Roman"/>
              </w:rPr>
              <w:t>0.85</w:t>
            </w:r>
          </w:p>
        </w:tc>
        <w:tc>
          <w:tcPr>
            <w:tcW w:w="0" w:type="auto"/>
          </w:tcPr>
          <w:p w14:paraId="39F5C139" w14:textId="77777777" w:rsidR="00041072" w:rsidRPr="00002445" w:rsidRDefault="00041072" w:rsidP="004D3CC2">
            <w:pPr>
              <w:pStyle w:val="Compact"/>
              <w:jc w:val="right"/>
              <w:rPr>
                <w:rFonts w:ascii="Times New Roman" w:hAnsi="Times New Roman" w:cs="Times New Roman"/>
              </w:rPr>
            </w:pPr>
            <w:r w:rsidRPr="00002445">
              <w:rPr>
                <w:rFonts w:ascii="Times New Roman" w:hAnsi="Times New Roman" w:cs="Times New Roman"/>
              </w:rPr>
              <w:t>0.13</w:t>
            </w:r>
          </w:p>
        </w:tc>
        <w:tc>
          <w:tcPr>
            <w:tcW w:w="0" w:type="auto"/>
          </w:tcPr>
          <w:p w14:paraId="24026D05" w14:textId="77777777" w:rsidR="00041072" w:rsidRPr="00002445" w:rsidRDefault="00041072" w:rsidP="004D3CC2">
            <w:pPr>
              <w:pStyle w:val="Compact"/>
              <w:jc w:val="right"/>
              <w:rPr>
                <w:rFonts w:ascii="Times New Roman" w:hAnsi="Times New Roman" w:cs="Times New Roman"/>
              </w:rPr>
            </w:pPr>
            <w:r w:rsidRPr="00002445">
              <w:rPr>
                <w:rFonts w:ascii="Times New Roman" w:hAnsi="Times New Roman" w:cs="Times New Roman"/>
              </w:rPr>
              <w:t>0.02</w:t>
            </w:r>
          </w:p>
        </w:tc>
      </w:tr>
      <w:tr w:rsidR="00041072" w:rsidRPr="00002445" w14:paraId="192C9D34" w14:textId="77777777" w:rsidTr="00273141">
        <w:tc>
          <w:tcPr>
            <w:tcW w:w="0" w:type="auto"/>
          </w:tcPr>
          <w:p w14:paraId="2DBAA02B" w14:textId="77777777" w:rsidR="00041072" w:rsidRPr="00002445" w:rsidRDefault="00041072" w:rsidP="00273141">
            <w:pPr>
              <w:pStyle w:val="Compact"/>
              <w:rPr>
                <w:rFonts w:ascii="Times New Roman" w:hAnsi="Times New Roman" w:cs="Times New Roman"/>
              </w:rPr>
            </w:pPr>
            <w:r w:rsidRPr="00002445">
              <w:rPr>
                <w:rFonts w:ascii="Times New Roman" w:hAnsi="Times New Roman" w:cs="Times New Roman"/>
              </w:rPr>
              <w:t>III</w:t>
            </w:r>
          </w:p>
        </w:tc>
        <w:tc>
          <w:tcPr>
            <w:tcW w:w="0" w:type="auto"/>
          </w:tcPr>
          <w:p w14:paraId="6B9F689C" w14:textId="77777777" w:rsidR="00041072" w:rsidRPr="00002445" w:rsidRDefault="00041072" w:rsidP="00273141">
            <w:pPr>
              <w:pStyle w:val="Compact"/>
              <w:jc w:val="right"/>
              <w:rPr>
                <w:rFonts w:ascii="Times New Roman" w:hAnsi="Times New Roman" w:cs="Times New Roman"/>
              </w:rPr>
            </w:pPr>
            <w:r w:rsidRPr="00002445">
              <w:rPr>
                <w:rFonts w:ascii="Times New Roman" w:hAnsi="Times New Roman" w:cs="Times New Roman"/>
              </w:rPr>
              <w:t>0.78</w:t>
            </w:r>
          </w:p>
        </w:tc>
        <w:tc>
          <w:tcPr>
            <w:tcW w:w="0" w:type="auto"/>
          </w:tcPr>
          <w:p w14:paraId="5D7D2474" w14:textId="77777777" w:rsidR="00041072" w:rsidRPr="00002445" w:rsidRDefault="00041072" w:rsidP="00273141">
            <w:pPr>
              <w:pStyle w:val="Compact"/>
              <w:jc w:val="right"/>
              <w:rPr>
                <w:rFonts w:ascii="Times New Roman" w:hAnsi="Times New Roman" w:cs="Times New Roman"/>
              </w:rPr>
            </w:pPr>
            <w:r w:rsidRPr="00002445">
              <w:rPr>
                <w:rFonts w:ascii="Times New Roman" w:hAnsi="Times New Roman" w:cs="Times New Roman"/>
              </w:rPr>
              <w:t>0.19</w:t>
            </w:r>
          </w:p>
        </w:tc>
        <w:tc>
          <w:tcPr>
            <w:tcW w:w="0" w:type="auto"/>
          </w:tcPr>
          <w:p w14:paraId="24EC52AE" w14:textId="77777777" w:rsidR="00041072" w:rsidRPr="00002445" w:rsidRDefault="00041072" w:rsidP="00273141">
            <w:pPr>
              <w:pStyle w:val="Compact"/>
              <w:jc w:val="right"/>
              <w:rPr>
                <w:rFonts w:ascii="Times New Roman" w:hAnsi="Times New Roman" w:cs="Times New Roman"/>
              </w:rPr>
            </w:pPr>
            <w:r w:rsidRPr="00002445">
              <w:rPr>
                <w:rFonts w:ascii="Times New Roman" w:hAnsi="Times New Roman" w:cs="Times New Roman"/>
              </w:rPr>
              <w:t>0.04</w:t>
            </w:r>
          </w:p>
        </w:tc>
      </w:tr>
      <w:tr w:rsidR="005D321C" w:rsidRPr="00002445" w14:paraId="107F28DB" w14:textId="77777777" w:rsidTr="00041072">
        <w:tc>
          <w:tcPr>
            <w:tcW w:w="0" w:type="auto"/>
          </w:tcPr>
          <w:p w14:paraId="5EE4601C" w14:textId="1B70131D" w:rsidR="00496EF6" w:rsidRPr="00002445" w:rsidRDefault="0078610C">
            <w:pPr>
              <w:pStyle w:val="Compact"/>
              <w:rPr>
                <w:rFonts w:ascii="Times New Roman" w:hAnsi="Times New Roman" w:cs="Times New Roman"/>
              </w:rPr>
            </w:pPr>
            <w:r w:rsidRPr="00002445">
              <w:rPr>
                <w:rFonts w:ascii="Times New Roman" w:hAnsi="Times New Roman" w:cs="Times New Roman"/>
              </w:rPr>
              <w:t>V</w:t>
            </w:r>
            <w:r w:rsidR="005D321C" w:rsidRPr="00002445">
              <w:rPr>
                <w:rFonts w:ascii="Times New Roman" w:hAnsi="Times New Roman" w:cs="Times New Roman"/>
              </w:rPr>
              <w:t xml:space="preserve"> unskilled</w:t>
            </w:r>
          </w:p>
        </w:tc>
        <w:tc>
          <w:tcPr>
            <w:tcW w:w="0" w:type="auto"/>
          </w:tcPr>
          <w:p w14:paraId="54BCAFDD"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0.78</w:t>
            </w:r>
          </w:p>
        </w:tc>
        <w:tc>
          <w:tcPr>
            <w:tcW w:w="0" w:type="auto"/>
          </w:tcPr>
          <w:p w14:paraId="5387DED1"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0.19</w:t>
            </w:r>
          </w:p>
        </w:tc>
        <w:tc>
          <w:tcPr>
            <w:tcW w:w="0" w:type="auto"/>
          </w:tcPr>
          <w:p w14:paraId="7D8B33C6"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0.03</w:t>
            </w:r>
          </w:p>
        </w:tc>
      </w:tr>
      <w:tr w:rsidR="005D321C" w:rsidRPr="00002445" w14:paraId="0CD0BA8E" w14:textId="77777777" w:rsidTr="00041072">
        <w:tc>
          <w:tcPr>
            <w:tcW w:w="0" w:type="auto"/>
          </w:tcPr>
          <w:p w14:paraId="2EF5DBA4" w14:textId="6A3CE945" w:rsidR="00496EF6" w:rsidRPr="00002445" w:rsidRDefault="0078610C">
            <w:pPr>
              <w:pStyle w:val="Compact"/>
              <w:rPr>
                <w:rFonts w:ascii="Times New Roman" w:hAnsi="Times New Roman" w:cs="Times New Roman"/>
              </w:rPr>
            </w:pPr>
            <w:r w:rsidRPr="00002445">
              <w:rPr>
                <w:rFonts w:ascii="Times New Roman" w:hAnsi="Times New Roman" w:cs="Times New Roman"/>
              </w:rPr>
              <w:t>IV</w:t>
            </w:r>
            <w:r w:rsidR="005D321C" w:rsidRPr="00002445">
              <w:rPr>
                <w:rFonts w:ascii="Times New Roman" w:hAnsi="Times New Roman" w:cs="Times New Roman"/>
              </w:rPr>
              <w:t xml:space="preserve"> partly-skilled</w:t>
            </w:r>
          </w:p>
        </w:tc>
        <w:tc>
          <w:tcPr>
            <w:tcW w:w="0" w:type="auto"/>
          </w:tcPr>
          <w:p w14:paraId="67109DA4"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0.77</w:t>
            </w:r>
          </w:p>
        </w:tc>
        <w:tc>
          <w:tcPr>
            <w:tcW w:w="0" w:type="auto"/>
          </w:tcPr>
          <w:p w14:paraId="34CBA687"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0.19</w:t>
            </w:r>
          </w:p>
        </w:tc>
        <w:tc>
          <w:tcPr>
            <w:tcW w:w="0" w:type="auto"/>
          </w:tcPr>
          <w:p w14:paraId="2DC3F65E"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0.04</w:t>
            </w:r>
          </w:p>
        </w:tc>
      </w:tr>
    </w:tbl>
    <w:p w14:paraId="6A05A809" w14:textId="1A164BB2" w:rsidR="00496EF6" w:rsidRPr="00002445" w:rsidRDefault="00496EF6">
      <w:pPr>
        <w:rPr>
          <w:rFonts w:ascii="Times New Roman" w:hAnsi="Times New Roman" w:cs="Times New Roman"/>
        </w:rPr>
      </w:pPr>
    </w:p>
    <w:p w14:paraId="6BAA5036" w14:textId="77777777" w:rsidR="00284324" w:rsidRPr="00002445" w:rsidRDefault="00284324">
      <w:pPr>
        <w:rPr>
          <w:rFonts w:ascii="Times New Roman" w:hAnsi="Times New Roman" w:cs="Times New Roman"/>
        </w:rPr>
      </w:pPr>
    </w:p>
    <w:p w14:paraId="06B01861" w14:textId="011B8347" w:rsidR="00496EF6" w:rsidRPr="00002445" w:rsidRDefault="0078610C">
      <w:pPr>
        <w:pStyle w:val="TableCaption"/>
        <w:rPr>
          <w:rFonts w:ascii="Times New Roman" w:hAnsi="Times New Roman" w:cs="Times New Roman"/>
        </w:rPr>
      </w:pPr>
      <w:r w:rsidRPr="00002445">
        <w:rPr>
          <w:rFonts w:ascii="Times New Roman" w:hAnsi="Times New Roman" w:cs="Times New Roman"/>
        </w:rPr>
        <w:t xml:space="preserve">Table </w:t>
      </w:r>
      <w:r w:rsidR="00F878B6" w:rsidRPr="00002445">
        <w:rPr>
          <w:rFonts w:ascii="Times New Roman" w:hAnsi="Times New Roman" w:cs="Times New Roman"/>
        </w:rPr>
        <w:t>6</w:t>
      </w:r>
      <w:r w:rsidRPr="00002445">
        <w:rPr>
          <w:rFonts w:ascii="Times New Roman" w:hAnsi="Times New Roman" w:cs="Times New Roman"/>
        </w:rPr>
        <w:t>: BCS70: Father’s social class and economic restructuring</w:t>
      </w:r>
    </w:p>
    <w:tbl>
      <w:tblPr>
        <w:tblStyle w:val="Table"/>
        <w:tblW w:w="5000" w:type="pct"/>
        <w:tblLook w:val="0020" w:firstRow="1" w:lastRow="0" w:firstColumn="0" w:lastColumn="0" w:noHBand="0" w:noVBand="0"/>
      </w:tblPr>
      <w:tblGrid>
        <w:gridCol w:w="2064"/>
        <w:gridCol w:w="4315"/>
        <w:gridCol w:w="1848"/>
        <w:gridCol w:w="1133"/>
      </w:tblGrid>
      <w:tr w:rsidR="005D321C" w:rsidRPr="00002445" w14:paraId="266C989C" w14:textId="77777777" w:rsidTr="00914BF0">
        <w:tc>
          <w:tcPr>
            <w:tcW w:w="0" w:type="auto"/>
            <w:tcBorders>
              <w:bottom w:val="single" w:sz="4" w:space="0" w:color="auto"/>
            </w:tcBorders>
            <w:vAlign w:val="bottom"/>
          </w:tcPr>
          <w:p w14:paraId="5A39BBE3" w14:textId="77777777" w:rsidR="00496EF6" w:rsidRPr="00002445" w:rsidRDefault="00496EF6">
            <w:pPr>
              <w:rPr>
                <w:rFonts w:ascii="Times New Roman" w:hAnsi="Times New Roman" w:cs="Times New Roman"/>
              </w:rPr>
            </w:pPr>
          </w:p>
        </w:tc>
        <w:tc>
          <w:tcPr>
            <w:tcW w:w="2305" w:type="pct"/>
            <w:tcBorders>
              <w:bottom w:val="single" w:sz="4" w:space="0" w:color="auto"/>
            </w:tcBorders>
            <w:vAlign w:val="bottom"/>
          </w:tcPr>
          <w:p w14:paraId="43467FBA"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Low</w:t>
            </w:r>
          </w:p>
        </w:tc>
        <w:tc>
          <w:tcPr>
            <w:tcW w:w="987" w:type="pct"/>
            <w:tcBorders>
              <w:bottom w:val="single" w:sz="4" w:space="0" w:color="auto"/>
            </w:tcBorders>
            <w:vAlign w:val="bottom"/>
          </w:tcPr>
          <w:p w14:paraId="50E23AE6"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Medium</w:t>
            </w:r>
          </w:p>
        </w:tc>
        <w:tc>
          <w:tcPr>
            <w:tcW w:w="605" w:type="pct"/>
            <w:tcBorders>
              <w:bottom w:val="single" w:sz="4" w:space="0" w:color="auto"/>
            </w:tcBorders>
            <w:vAlign w:val="bottom"/>
          </w:tcPr>
          <w:p w14:paraId="05FAD91F"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High</w:t>
            </w:r>
          </w:p>
        </w:tc>
      </w:tr>
      <w:tr w:rsidR="00914BF0" w:rsidRPr="00002445" w14:paraId="1413F77A" w14:textId="77777777" w:rsidTr="00914BF0">
        <w:tc>
          <w:tcPr>
            <w:tcW w:w="0" w:type="auto"/>
            <w:tcBorders>
              <w:top w:val="single" w:sz="4" w:space="0" w:color="auto"/>
            </w:tcBorders>
          </w:tcPr>
          <w:p w14:paraId="488450C7" w14:textId="77777777" w:rsidR="00914BF0" w:rsidRPr="00002445" w:rsidRDefault="00914BF0" w:rsidP="00246BAD">
            <w:pPr>
              <w:pStyle w:val="Compact"/>
              <w:rPr>
                <w:rFonts w:ascii="Times New Roman" w:hAnsi="Times New Roman" w:cs="Times New Roman"/>
              </w:rPr>
            </w:pPr>
            <w:r w:rsidRPr="00002445">
              <w:rPr>
                <w:rFonts w:ascii="Times New Roman" w:hAnsi="Times New Roman" w:cs="Times New Roman"/>
              </w:rPr>
              <w:t>I professional</w:t>
            </w:r>
          </w:p>
        </w:tc>
        <w:tc>
          <w:tcPr>
            <w:tcW w:w="2305" w:type="pct"/>
            <w:tcBorders>
              <w:top w:val="single" w:sz="4" w:space="0" w:color="auto"/>
            </w:tcBorders>
          </w:tcPr>
          <w:p w14:paraId="171BC1C1" w14:textId="77777777" w:rsidR="00914BF0" w:rsidRPr="00002445" w:rsidRDefault="00914BF0" w:rsidP="00246BAD">
            <w:pPr>
              <w:pStyle w:val="Compact"/>
              <w:jc w:val="right"/>
              <w:rPr>
                <w:rFonts w:ascii="Times New Roman" w:hAnsi="Times New Roman" w:cs="Times New Roman"/>
              </w:rPr>
            </w:pPr>
            <w:r w:rsidRPr="00002445">
              <w:rPr>
                <w:rFonts w:ascii="Times New Roman" w:hAnsi="Times New Roman" w:cs="Times New Roman"/>
              </w:rPr>
              <w:t>0.70</w:t>
            </w:r>
          </w:p>
        </w:tc>
        <w:tc>
          <w:tcPr>
            <w:tcW w:w="987" w:type="pct"/>
            <w:tcBorders>
              <w:top w:val="single" w:sz="4" w:space="0" w:color="auto"/>
            </w:tcBorders>
          </w:tcPr>
          <w:p w14:paraId="1EE4CC54" w14:textId="77777777" w:rsidR="00914BF0" w:rsidRPr="00002445" w:rsidRDefault="00914BF0" w:rsidP="00246BAD">
            <w:pPr>
              <w:pStyle w:val="Compact"/>
              <w:jc w:val="right"/>
              <w:rPr>
                <w:rFonts w:ascii="Times New Roman" w:hAnsi="Times New Roman" w:cs="Times New Roman"/>
              </w:rPr>
            </w:pPr>
            <w:r w:rsidRPr="00002445">
              <w:rPr>
                <w:rFonts w:ascii="Times New Roman" w:hAnsi="Times New Roman" w:cs="Times New Roman"/>
              </w:rPr>
              <w:t>0.30</w:t>
            </w:r>
          </w:p>
        </w:tc>
        <w:tc>
          <w:tcPr>
            <w:tcW w:w="605" w:type="pct"/>
            <w:tcBorders>
              <w:top w:val="single" w:sz="4" w:space="0" w:color="auto"/>
            </w:tcBorders>
          </w:tcPr>
          <w:p w14:paraId="4A7F635E" w14:textId="77777777" w:rsidR="00914BF0" w:rsidRPr="00002445" w:rsidRDefault="00914BF0" w:rsidP="00246BAD">
            <w:pPr>
              <w:pStyle w:val="Compact"/>
              <w:jc w:val="right"/>
              <w:rPr>
                <w:rFonts w:ascii="Times New Roman" w:hAnsi="Times New Roman" w:cs="Times New Roman"/>
              </w:rPr>
            </w:pPr>
            <w:r w:rsidRPr="00002445">
              <w:rPr>
                <w:rFonts w:ascii="Times New Roman" w:hAnsi="Times New Roman" w:cs="Times New Roman"/>
              </w:rPr>
              <w:t>0.01</w:t>
            </w:r>
          </w:p>
        </w:tc>
      </w:tr>
      <w:tr w:rsidR="00914BF0" w:rsidRPr="00002445" w14:paraId="6D602D3D" w14:textId="77777777" w:rsidTr="00914BF0">
        <w:tc>
          <w:tcPr>
            <w:tcW w:w="1103" w:type="pct"/>
          </w:tcPr>
          <w:p w14:paraId="6BCCC593" w14:textId="77777777" w:rsidR="00914BF0" w:rsidRPr="00002445" w:rsidRDefault="00914BF0" w:rsidP="004D3CC2">
            <w:pPr>
              <w:pStyle w:val="Compact"/>
              <w:rPr>
                <w:rFonts w:ascii="Times New Roman" w:hAnsi="Times New Roman" w:cs="Times New Roman"/>
              </w:rPr>
            </w:pPr>
            <w:r w:rsidRPr="00002445">
              <w:rPr>
                <w:rFonts w:ascii="Times New Roman" w:hAnsi="Times New Roman" w:cs="Times New Roman"/>
              </w:rPr>
              <w:t>II managerial and technical</w:t>
            </w:r>
          </w:p>
        </w:tc>
        <w:tc>
          <w:tcPr>
            <w:tcW w:w="2305" w:type="pct"/>
          </w:tcPr>
          <w:p w14:paraId="29C47CBC" w14:textId="77777777" w:rsidR="00914BF0" w:rsidRPr="00002445" w:rsidRDefault="00914BF0" w:rsidP="004D3CC2">
            <w:pPr>
              <w:pStyle w:val="Compact"/>
              <w:jc w:val="right"/>
              <w:rPr>
                <w:rFonts w:ascii="Times New Roman" w:hAnsi="Times New Roman" w:cs="Times New Roman"/>
              </w:rPr>
            </w:pPr>
            <w:r w:rsidRPr="00002445">
              <w:rPr>
                <w:rFonts w:ascii="Times New Roman" w:hAnsi="Times New Roman" w:cs="Times New Roman"/>
              </w:rPr>
              <w:t>0.66</w:t>
            </w:r>
          </w:p>
        </w:tc>
        <w:tc>
          <w:tcPr>
            <w:tcW w:w="987" w:type="pct"/>
          </w:tcPr>
          <w:p w14:paraId="71F1F429" w14:textId="77777777" w:rsidR="00914BF0" w:rsidRPr="00002445" w:rsidRDefault="00914BF0" w:rsidP="004D3CC2">
            <w:pPr>
              <w:pStyle w:val="Compact"/>
              <w:jc w:val="right"/>
              <w:rPr>
                <w:rFonts w:ascii="Times New Roman" w:hAnsi="Times New Roman" w:cs="Times New Roman"/>
              </w:rPr>
            </w:pPr>
            <w:r w:rsidRPr="00002445">
              <w:rPr>
                <w:rFonts w:ascii="Times New Roman" w:hAnsi="Times New Roman" w:cs="Times New Roman"/>
              </w:rPr>
              <w:t>0.34</w:t>
            </w:r>
          </w:p>
        </w:tc>
        <w:tc>
          <w:tcPr>
            <w:tcW w:w="605" w:type="pct"/>
          </w:tcPr>
          <w:p w14:paraId="6A30CE1D" w14:textId="77777777" w:rsidR="00914BF0" w:rsidRPr="00002445" w:rsidRDefault="00914BF0" w:rsidP="004D3CC2">
            <w:pPr>
              <w:pStyle w:val="Compact"/>
              <w:jc w:val="right"/>
              <w:rPr>
                <w:rFonts w:ascii="Times New Roman" w:hAnsi="Times New Roman" w:cs="Times New Roman"/>
              </w:rPr>
            </w:pPr>
            <w:r w:rsidRPr="00002445">
              <w:rPr>
                <w:rFonts w:ascii="Times New Roman" w:hAnsi="Times New Roman" w:cs="Times New Roman"/>
              </w:rPr>
              <w:t>0.00</w:t>
            </w:r>
          </w:p>
        </w:tc>
      </w:tr>
      <w:tr w:rsidR="00914BF0" w:rsidRPr="00002445" w14:paraId="39B451F4" w14:textId="77777777" w:rsidTr="00914BF0">
        <w:tc>
          <w:tcPr>
            <w:tcW w:w="1103" w:type="pct"/>
          </w:tcPr>
          <w:p w14:paraId="134A73A8" w14:textId="77777777" w:rsidR="00914BF0" w:rsidRPr="00002445" w:rsidRDefault="00914BF0" w:rsidP="00027327">
            <w:pPr>
              <w:pStyle w:val="Compact"/>
              <w:rPr>
                <w:rFonts w:ascii="Times New Roman" w:hAnsi="Times New Roman" w:cs="Times New Roman"/>
              </w:rPr>
            </w:pPr>
            <w:r w:rsidRPr="00002445">
              <w:rPr>
                <w:rFonts w:ascii="Times New Roman" w:hAnsi="Times New Roman" w:cs="Times New Roman"/>
              </w:rPr>
              <w:t>III</w:t>
            </w:r>
          </w:p>
        </w:tc>
        <w:tc>
          <w:tcPr>
            <w:tcW w:w="2305" w:type="pct"/>
          </w:tcPr>
          <w:p w14:paraId="2A43A7CF" w14:textId="77777777" w:rsidR="00914BF0" w:rsidRPr="00002445" w:rsidRDefault="00914BF0" w:rsidP="00027327">
            <w:pPr>
              <w:pStyle w:val="Compact"/>
              <w:jc w:val="right"/>
              <w:rPr>
                <w:rFonts w:ascii="Times New Roman" w:hAnsi="Times New Roman" w:cs="Times New Roman"/>
              </w:rPr>
            </w:pPr>
            <w:r w:rsidRPr="00002445">
              <w:rPr>
                <w:rFonts w:ascii="Times New Roman" w:hAnsi="Times New Roman" w:cs="Times New Roman"/>
              </w:rPr>
              <w:t>0.56</w:t>
            </w:r>
          </w:p>
        </w:tc>
        <w:tc>
          <w:tcPr>
            <w:tcW w:w="987" w:type="pct"/>
          </w:tcPr>
          <w:p w14:paraId="00897763" w14:textId="77777777" w:rsidR="00914BF0" w:rsidRPr="00002445" w:rsidRDefault="00914BF0" w:rsidP="00027327">
            <w:pPr>
              <w:pStyle w:val="Compact"/>
              <w:jc w:val="right"/>
              <w:rPr>
                <w:rFonts w:ascii="Times New Roman" w:hAnsi="Times New Roman" w:cs="Times New Roman"/>
              </w:rPr>
            </w:pPr>
            <w:r w:rsidRPr="00002445">
              <w:rPr>
                <w:rFonts w:ascii="Times New Roman" w:hAnsi="Times New Roman" w:cs="Times New Roman"/>
              </w:rPr>
              <w:t>0.43</w:t>
            </w:r>
          </w:p>
        </w:tc>
        <w:tc>
          <w:tcPr>
            <w:tcW w:w="605" w:type="pct"/>
          </w:tcPr>
          <w:p w14:paraId="34B5B382" w14:textId="77777777" w:rsidR="00914BF0" w:rsidRPr="00002445" w:rsidRDefault="00914BF0" w:rsidP="00027327">
            <w:pPr>
              <w:pStyle w:val="Compact"/>
              <w:jc w:val="right"/>
              <w:rPr>
                <w:rFonts w:ascii="Times New Roman" w:hAnsi="Times New Roman" w:cs="Times New Roman"/>
              </w:rPr>
            </w:pPr>
            <w:r w:rsidRPr="00002445">
              <w:rPr>
                <w:rFonts w:ascii="Times New Roman" w:hAnsi="Times New Roman" w:cs="Times New Roman"/>
              </w:rPr>
              <w:t>0.01</w:t>
            </w:r>
          </w:p>
        </w:tc>
      </w:tr>
      <w:tr w:rsidR="00914BF0" w:rsidRPr="00002445" w14:paraId="61E0CD72" w14:textId="77777777" w:rsidTr="00914BF0">
        <w:tc>
          <w:tcPr>
            <w:tcW w:w="1103" w:type="pct"/>
          </w:tcPr>
          <w:p w14:paraId="5B02915A" w14:textId="77777777" w:rsidR="00496EF6" w:rsidRPr="00002445" w:rsidRDefault="0078610C">
            <w:pPr>
              <w:pStyle w:val="Compact"/>
              <w:rPr>
                <w:rFonts w:ascii="Times New Roman" w:hAnsi="Times New Roman" w:cs="Times New Roman"/>
              </w:rPr>
            </w:pPr>
            <w:r w:rsidRPr="00002445">
              <w:rPr>
                <w:rFonts w:ascii="Times New Roman" w:hAnsi="Times New Roman" w:cs="Times New Roman"/>
              </w:rPr>
              <w:t>IV partly-skilled</w:t>
            </w:r>
          </w:p>
        </w:tc>
        <w:tc>
          <w:tcPr>
            <w:tcW w:w="2305" w:type="pct"/>
          </w:tcPr>
          <w:p w14:paraId="7F9CFBF8"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0.52</w:t>
            </w:r>
          </w:p>
        </w:tc>
        <w:tc>
          <w:tcPr>
            <w:tcW w:w="987" w:type="pct"/>
          </w:tcPr>
          <w:p w14:paraId="304E674F"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0.47</w:t>
            </w:r>
          </w:p>
        </w:tc>
        <w:tc>
          <w:tcPr>
            <w:tcW w:w="605" w:type="pct"/>
          </w:tcPr>
          <w:p w14:paraId="62C87088" w14:textId="77777777" w:rsidR="00496EF6" w:rsidRPr="00002445" w:rsidRDefault="0078610C">
            <w:pPr>
              <w:pStyle w:val="Compact"/>
              <w:jc w:val="right"/>
              <w:rPr>
                <w:rFonts w:ascii="Times New Roman" w:hAnsi="Times New Roman" w:cs="Times New Roman"/>
              </w:rPr>
            </w:pPr>
            <w:r w:rsidRPr="00002445">
              <w:rPr>
                <w:rFonts w:ascii="Times New Roman" w:hAnsi="Times New Roman" w:cs="Times New Roman"/>
              </w:rPr>
              <w:t>0.01</w:t>
            </w:r>
          </w:p>
        </w:tc>
      </w:tr>
      <w:tr w:rsidR="00914BF0" w:rsidRPr="00002445" w14:paraId="22FADA5B" w14:textId="77777777" w:rsidTr="00914BF0">
        <w:tc>
          <w:tcPr>
            <w:tcW w:w="1103" w:type="pct"/>
          </w:tcPr>
          <w:p w14:paraId="22FFA1AF" w14:textId="1E590283" w:rsidR="00914BF0" w:rsidRPr="00002445" w:rsidRDefault="00914BF0" w:rsidP="004D3CC2">
            <w:pPr>
              <w:pStyle w:val="Compact"/>
              <w:rPr>
                <w:rFonts w:ascii="Times New Roman" w:hAnsi="Times New Roman" w:cs="Times New Roman"/>
              </w:rPr>
            </w:pPr>
            <w:r w:rsidRPr="00002445">
              <w:rPr>
                <w:rFonts w:ascii="Times New Roman" w:hAnsi="Times New Roman" w:cs="Times New Roman"/>
              </w:rPr>
              <w:t xml:space="preserve">V unskilled  </w:t>
            </w:r>
          </w:p>
        </w:tc>
        <w:tc>
          <w:tcPr>
            <w:tcW w:w="2305" w:type="pct"/>
          </w:tcPr>
          <w:p w14:paraId="43EA778A" w14:textId="3D89E9C3" w:rsidR="00914BF0" w:rsidRPr="00002445" w:rsidRDefault="00914BF0" w:rsidP="004D3CC2">
            <w:pPr>
              <w:pStyle w:val="Compact"/>
              <w:jc w:val="right"/>
              <w:rPr>
                <w:rFonts w:ascii="Times New Roman" w:hAnsi="Times New Roman" w:cs="Times New Roman"/>
              </w:rPr>
            </w:pPr>
            <w:r w:rsidRPr="00002445">
              <w:rPr>
                <w:rFonts w:ascii="Times New Roman" w:hAnsi="Times New Roman" w:cs="Times New Roman"/>
              </w:rPr>
              <w:t>0.42</w:t>
            </w:r>
          </w:p>
        </w:tc>
        <w:tc>
          <w:tcPr>
            <w:tcW w:w="987" w:type="pct"/>
          </w:tcPr>
          <w:p w14:paraId="14F8AF1E" w14:textId="77777777" w:rsidR="00914BF0" w:rsidRPr="00002445" w:rsidRDefault="00914BF0" w:rsidP="004D3CC2">
            <w:pPr>
              <w:pStyle w:val="Compact"/>
              <w:jc w:val="right"/>
              <w:rPr>
                <w:rFonts w:ascii="Times New Roman" w:hAnsi="Times New Roman" w:cs="Times New Roman"/>
              </w:rPr>
            </w:pPr>
            <w:r w:rsidRPr="00002445">
              <w:rPr>
                <w:rFonts w:ascii="Times New Roman" w:hAnsi="Times New Roman" w:cs="Times New Roman"/>
              </w:rPr>
              <w:t>0.56</w:t>
            </w:r>
          </w:p>
        </w:tc>
        <w:tc>
          <w:tcPr>
            <w:tcW w:w="605" w:type="pct"/>
          </w:tcPr>
          <w:p w14:paraId="2362DE67" w14:textId="77777777" w:rsidR="00914BF0" w:rsidRPr="00002445" w:rsidRDefault="00914BF0" w:rsidP="004D3CC2">
            <w:pPr>
              <w:pStyle w:val="Compact"/>
              <w:jc w:val="right"/>
              <w:rPr>
                <w:rFonts w:ascii="Times New Roman" w:hAnsi="Times New Roman" w:cs="Times New Roman"/>
              </w:rPr>
            </w:pPr>
            <w:r w:rsidRPr="00002445">
              <w:rPr>
                <w:rFonts w:ascii="Times New Roman" w:hAnsi="Times New Roman" w:cs="Times New Roman"/>
              </w:rPr>
              <w:t>0.02</w:t>
            </w:r>
          </w:p>
        </w:tc>
      </w:tr>
    </w:tbl>
    <w:p w14:paraId="096470E7" w14:textId="77777777" w:rsidR="00284324" w:rsidRPr="00002445" w:rsidRDefault="00284324" w:rsidP="005D0A46">
      <w:pPr>
        <w:pStyle w:val="BodyText"/>
        <w:rPr>
          <w:rFonts w:ascii="Times New Roman" w:hAnsi="Times New Roman" w:cs="Times New Roman"/>
        </w:rPr>
      </w:pPr>
    </w:p>
    <w:p w14:paraId="4B7C6F3C" w14:textId="77777777" w:rsidR="008F1418" w:rsidRPr="00002445" w:rsidRDefault="008F1418" w:rsidP="005D0A46">
      <w:pPr>
        <w:pStyle w:val="BodyText"/>
        <w:rPr>
          <w:rFonts w:ascii="Times New Roman" w:hAnsi="Times New Roman" w:cs="Times New Roman"/>
        </w:rPr>
      </w:pPr>
      <w:r w:rsidRPr="00002445">
        <w:rPr>
          <w:rFonts w:ascii="Times New Roman" w:hAnsi="Times New Roman" w:cs="Times New Roman"/>
        </w:rPr>
        <w:t xml:space="preserve">Tables 5 and 6 summarise the relationship between area-level economic restructuring and father’s social class (divided into low, medium and high levels of restructuring). </w:t>
      </w:r>
      <w:r w:rsidR="0030540D" w:rsidRPr="00002445">
        <w:rPr>
          <w:rFonts w:ascii="Times New Roman" w:hAnsi="Times New Roman" w:cs="Times New Roman"/>
        </w:rPr>
        <w:t xml:space="preserve">They indicate </w:t>
      </w:r>
      <w:r w:rsidR="0030540D" w:rsidRPr="00002445">
        <w:rPr>
          <w:rFonts w:ascii="Times New Roman" w:hAnsi="Times New Roman" w:cs="Times New Roman"/>
        </w:rPr>
        <w:lastRenderedPageBreak/>
        <w:t xml:space="preserve">that the </w:t>
      </w:r>
      <w:r w:rsidR="005D321C" w:rsidRPr="00002445">
        <w:rPr>
          <w:rFonts w:ascii="Times New Roman" w:hAnsi="Times New Roman" w:cs="Times New Roman"/>
        </w:rPr>
        <w:t xml:space="preserve">higher </w:t>
      </w:r>
      <w:r w:rsidR="003F1D9D" w:rsidRPr="00002445">
        <w:rPr>
          <w:rFonts w:ascii="Times New Roman" w:hAnsi="Times New Roman" w:cs="Times New Roman"/>
        </w:rPr>
        <w:t>the</w:t>
      </w:r>
      <w:r w:rsidR="005D321C" w:rsidRPr="00002445">
        <w:rPr>
          <w:rFonts w:ascii="Times New Roman" w:hAnsi="Times New Roman" w:cs="Times New Roman"/>
        </w:rPr>
        <w:t xml:space="preserve"> f</w:t>
      </w:r>
      <w:r w:rsidR="0078610C" w:rsidRPr="00002445">
        <w:rPr>
          <w:rFonts w:ascii="Times New Roman" w:hAnsi="Times New Roman" w:cs="Times New Roman"/>
        </w:rPr>
        <w:t>ather’s social class</w:t>
      </w:r>
      <w:r w:rsidR="005D321C" w:rsidRPr="00002445">
        <w:rPr>
          <w:rFonts w:ascii="Times New Roman" w:hAnsi="Times New Roman" w:cs="Times New Roman"/>
        </w:rPr>
        <w:t xml:space="preserve">, the less likely </w:t>
      </w:r>
      <w:r w:rsidR="003F1D9D" w:rsidRPr="00002445">
        <w:rPr>
          <w:rFonts w:ascii="Times New Roman" w:hAnsi="Times New Roman" w:cs="Times New Roman"/>
        </w:rPr>
        <w:t xml:space="preserve">the cohort member </w:t>
      </w:r>
      <w:r w:rsidR="005D321C" w:rsidRPr="00002445">
        <w:rPr>
          <w:rFonts w:ascii="Times New Roman" w:hAnsi="Times New Roman" w:cs="Times New Roman"/>
        </w:rPr>
        <w:t>was to live</w:t>
      </w:r>
      <w:r w:rsidR="0078610C" w:rsidRPr="00002445">
        <w:rPr>
          <w:rFonts w:ascii="Times New Roman" w:hAnsi="Times New Roman" w:cs="Times New Roman"/>
        </w:rPr>
        <w:t xml:space="preserve"> in areas with </w:t>
      </w:r>
      <w:r w:rsidR="005D321C" w:rsidRPr="00002445">
        <w:rPr>
          <w:rFonts w:ascii="Times New Roman" w:hAnsi="Times New Roman" w:cs="Times New Roman"/>
        </w:rPr>
        <w:t xml:space="preserve">a high degree of </w:t>
      </w:r>
      <w:r w:rsidR="0078610C" w:rsidRPr="00002445">
        <w:rPr>
          <w:rFonts w:ascii="Times New Roman" w:hAnsi="Times New Roman" w:cs="Times New Roman"/>
        </w:rPr>
        <w:t xml:space="preserve">economic restructuring. </w:t>
      </w:r>
      <w:r w:rsidR="005D321C" w:rsidRPr="00002445">
        <w:rPr>
          <w:rFonts w:ascii="Times New Roman" w:hAnsi="Times New Roman" w:cs="Times New Roman"/>
        </w:rPr>
        <w:t>For the</w:t>
      </w:r>
      <w:r w:rsidR="0078610C" w:rsidRPr="00002445">
        <w:rPr>
          <w:rFonts w:ascii="Times New Roman" w:hAnsi="Times New Roman" w:cs="Times New Roman"/>
        </w:rPr>
        <w:t xml:space="preserve"> NCDS </w:t>
      </w:r>
      <w:r w:rsidR="005D321C" w:rsidRPr="00002445">
        <w:rPr>
          <w:rFonts w:ascii="Times New Roman" w:hAnsi="Times New Roman" w:cs="Times New Roman"/>
        </w:rPr>
        <w:t>children, father’s social class was an individual-level risk factor</w:t>
      </w:r>
      <w:r w:rsidR="000A131B" w:rsidRPr="00002445">
        <w:rPr>
          <w:rFonts w:ascii="Times New Roman" w:hAnsi="Times New Roman" w:cs="Times New Roman"/>
        </w:rPr>
        <w:t xml:space="preserve"> </w:t>
      </w:r>
      <w:r w:rsidR="005D321C" w:rsidRPr="00002445">
        <w:rPr>
          <w:rFonts w:ascii="Times New Roman" w:hAnsi="Times New Roman" w:cs="Times New Roman"/>
        </w:rPr>
        <w:t xml:space="preserve">(in that those with fathers in </w:t>
      </w:r>
      <w:r w:rsidR="005D321C" w:rsidRPr="00002445">
        <w:rPr>
          <w:rFonts w:ascii="Times New Roman" w:hAnsi="Times New Roman" w:cs="Times New Roman"/>
          <w:i/>
        </w:rPr>
        <w:t>higher</w:t>
      </w:r>
      <w:r w:rsidR="005D321C" w:rsidRPr="00002445">
        <w:rPr>
          <w:rFonts w:ascii="Times New Roman" w:hAnsi="Times New Roman" w:cs="Times New Roman"/>
        </w:rPr>
        <w:t xml:space="preserve"> social classes were more likely to use heroin</w:t>
      </w:r>
      <w:r w:rsidR="003F1D9D" w:rsidRPr="00002445">
        <w:rPr>
          <w:rFonts w:ascii="Times New Roman" w:hAnsi="Times New Roman" w:cs="Times New Roman"/>
        </w:rPr>
        <w:t>, most likely</w:t>
      </w:r>
      <w:r w:rsidR="000A131B" w:rsidRPr="00002445">
        <w:rPr>
          <w:rFonts w:ascii="Times New Roman" w:hAnsi="Times New Roman" w:cs="Times New Roman"/>
        </w:rPr>
        <w:t xml:space="preserve"> as they had the financial</w:t>
      </w:r>
      <w:r w:rsidR="00A64A8C" w:rsidRPr="00002445">
        <w:rPr>
          <w:rFonts w:ascii="Times New Roman" w:hAnsi="Times New Roman" w:cs="Times New Roman"/>
        </w:rPr>
        <w:t xml:space="preserve"> </w:t>
      </w:r>
      <w:r w:rsidR="000A131B" w:rsidRPr="00002445">
        <w:rPr>
          <w:rFonts w:ascii="Times New Roman" w:hAnsi="Times New Roman" w:cs="Times New Roman"/>
        </w:rPr>
        <w:t>means to purchase it</w:t>
      </w:r>
      <w:r w:rsidR="005D321C" w:rsidRPr="00002445">
        <w:rPr>
          <w:rFonts w:ascii="Times New Roman" w:hAnsi="Times New Roman" w:cs="Times New Roman"/>
        </w:rPr>
        <w:t xml:space="preserve">). </w:t>
      </w:r>
      <w:r w:rsidR="000A131B" w:rsidRPr="00002445">
        <w:rPr>
          <w:rFonts w:ascii="Times New Roman" w:hAnsi="Times New Roman" w:cs="Times New Roman"/>
        </w:rPr>
        <w:t>However, f</w:t>
      </w:r>
      <w:r w:rsidR="005D321C" w:rsidRPr="00002445">
        <w:rPr>
          <w:rFonts w:ascii="Times New Roman" w:hAnsi="Times New Roman" w:cs="Times New Roman"/>
        </w:rPr>
        <w:t xml:space="preserve">or the BCS70, having a father of a </w:t>
      </w:r>
      <w:r w:rsidR="005D321C" w:rsidRPr="00002445">
        <w:rPr>
          <w:rFonts w:ascii="Times New Roman" w:hAnsi="Times New Roman" w:cs="Times New Roman"/>
          <w:i/>
        </w:rPr>
        <w:t>lower</w:t>
      </w:r>
      <w:r w:rsidR="005D321C" w:rsidRPr="00002445">
        <w:rPr>
          <w:rFonts w:ascii="Times New Roman" w:hAnsi="Times New Roman" w:cs="Times New Roman"/>
        </w:rPr>
        <w:t xml:space="preserve"> social class was</w:t>
      </w:r>
      <w:r w:rsidR="00486D0C" w:rsidRPr="00002445">
        <w:rPr>
          <w:rFonts w:ascii="Times New Roman" w:hAnsi="Times New Roman" w:cs="Times New Roman"/>
        </w:rPr>
        <w:t xml:space="preserve"> </w:t>
      </w:r>
      <w:r w:rsidR="005D321C" w:rsidRPr="00002445">
        <w:rPr>
          <w:rFonts w:ascii="Times New Roman" w:hAnsi="Times New Roman" w:cs="Times New Roman"/>
        </w:rPr>
        <w:t>a risk factor</w:t>
      </w:r>
      <w:r w:rsidR="000A131B" w:rsidRPr="00002445">
        <w:rPr>
          <w:rFonts w:ascii="Times New Roman" w:hAnsi="Times New Roman" w:cs="Times New Roman"/>
        </w:rPr>
        <w:t xml:space="preserve"> for heroin use</w:t>
      </w:r>
      <w:r w:rsidR="005D321C" w:rsidRPr="00002445">
        <w:rPr>
          <w:rFonts w:ascii="Times New Roman" w:hAnsi="Times New Roman" w:cs="Times New Roman"/>
        </w:rPr>
        <w:t xml:space="preserve">. </w:t>
      </w:r>
      <w:r w:rsidR="00A64A8C" w:rsidRPr="00002445">
        <w:rPr>
          <w:rFonts w:ascii="Times New Roman" w:hAnsi="Times New Roman" w:cs="Times New Roman"/>
        </w:rPr>
        <w:t>In this way</w:t>
      </w:r>
      <w:r w:rsidR="005D0A46" w:rsidRPr="00002445">
        <w:rPr>
          <w:rFonts w:ascii="Times New Roman" w:hAnsi="Times New Roman" w:cs="Times New Roman"/>
        </w:rPr>
        <w:t xml:space="preserve"> the objective risk factors for heroin use during the 1960s to 1990s changed</w:t>
      </w:r>
      <w:r w:rsidRPr="00002445">
        <w:rPr>
          <w:rFonts w:ascii="Times New Roman" w:hAnsi="Times New Roman" w:cs="Times New Roman"/>
        </w:rPr>
        <w:t>:</w:t>
      </w:r>
      <w:r w:rsidR="005D0A46" w:rsidRPr="00002445">
        <w:rPr>
          <w:rFonts w:ascii="Times New Roman" w:hAnsi="Times New Roman" w:cs="Times New Roman"/>
        </w:rPr>
        <w:t xml:space="preserve"> what was on</w:t>
      </w:r>
      <w:r w:rsidR="00387095" w:rsidRPr="00002445">
        <w:rPr>
          <w:rFonts w:ascii="Times New Roman" w:hAnsi="Times New Roman" w:cs="Times New Roman"/>
        </w:rPr>
        <w:t>c</w:t>
      </w:r>
      <w:r w:rsidR="005D0A46" w:rsidRPr="00002445">
        <w:rPr>
          <w:rFonts w:ascii="Times New Roman" w:hAnsi="Times New Roman" w:cs="Times New Roman"/>
        </w:rPr>
        <w:t xml:space="preserve">e </w:t>
      </w:r>
      <w:r w:rsidR="000A131B" w:rsidRPr="00002445">
        <w:rPr>
          <w:rFonts w:ascii="Times New Roman" w:hAnsi="Times New Roman" w:cs="Times New Roman"/>
        </w:rPr>
        <w:t xml:space="preserve">a </w:t>
      </w:r>
      <w:r w:rsidR="005D0A46" w:rsidRPr="00002445">
        <w:rPr>
          <w:rFonts w:ascii="Times New Roman" w:hAnsi="Times New Roman" w:cs="Times New Roman"/>
        </w:rPr>
        <w:t>relative protective factor (having a father of a lower social class) became a marker of high risk.</w:t>
      </w:r>
      <w:r w:rsidR="00530508" w:rsidRPr="00002445">
        <w:rPr>
          <w:rFonts w:ascii="Times New Roman" w:hAnsi="Times New Roman" w:cs="Times New Roman"/>
        </w:rPr>
        <w:t xml:space="preserve"> </w:t>
      </w:r>
    </w:p>
    <w:p w14:paraId="7C8A503B" w14:textId="171371A1" w:rsidR="00C4441B" w:rsidRPr="00002445" w:rsidRDefault="00530508" w:rsidP="005D0A46">
      <w:pPr>
        <w:pStyle w:val="BodyText"/>
        <w:rPr>
          <w:rFonts w:ascii="Times New Roman" w:hAnsi="Times New Roman" w:cs="Times New Roman"/>
        </w:rPr>
      </w:pPr>
      <w:r w:rsidRPr="00002445">
        <w:rPr>
          <w:rFonts w:ascii="Times New Roman" w:hAnsi="Times New Roman" w:cs="Times New Roman"/>
        </w:rPr>
        <w:t>What does this relationship between social class and areas of economic restructuring mean for the relationship to heroin use</w:t>
      </w:r>
      <w:r w:rsidR="008F1418" w:rsidRPr="00002445">
        <w:rPr>
          <w:rFonts w:ascii="Times New Roman" w:hAnsi="Times New Roman" w:cs="Times New Roman"/>
        </w:rPr>
        <w:t>?</w:t>
      </w:r>
      <w:r w:rsidRPr="00002445">
        <w:rPr>
          <w:rFonts w:ascii="Times New Roman" w:hAnsi="Times New Roman" w:cs="Times New Roman"/>
        </w:rPr>
        <w:t xml:space="preserve"> As Tables 1-</w:t>
      </w:r>
      <w:r w:rsidR="00F878B6" w:rsidRPr="00002445">
        <w:rPr>
          <w:rFonts w:ascii="Times New Roman" w:hAnsi="Times New Roman" w:cs="Times New Roman"/>
        </w:rPr>
        <w:t xml:space="preserve">4 </w:t>
      </w:r>
      <w:r w:rsidRPr="00002445">
        <w:rPr>
          <w:rFonts w:ascii="Times New Roman" w:hAnsi="Times New Roman" w:cs="Times New Roman"/>
        </w:rPr>
        <w:t xml:space="preserve">have shown, heroin use was </w:t>
      </w:r>
      <w:r w:rsidR="005D0A46" w:rsidRPr="00002445">
        <w:rPr>
          <w:rFonts w:ascii="Times New Roman" w:hAnsi="Times New Roman" w:cs="Times New Roman"/>
        </w:rPr>
        <w:t>not simply an individual-level risk factor, since in this instance fathers</w:t>
      </w:r>
      <w:r w:rsidR="00FD0715" w:rsidRPr="00002445">
        <w:rPr>
          <w:rFonts w:ascii="Times New Roman" w:hAnsi="Times New Roman" w:cs="Times New Roman"/>
        </w:rPr>
        <w:t>’</w:t>
      </w:r>
      <w:r w:rsidR="005D0A46" w:rsidRPr="00002445">
        <w:rPr>
          <w:rFonts w:ascii="Times New Roman" w:hAnsi="Times New Roman" w:cs="Times New Roman"/>
        </w:rPr>
        <w:t xml:space="preserve"> social class indexed the geographically-clustered social contexts of deprivation, and is consistent with work by </w:t>
      </w:r>
      <w:r w:rsidR="007C7F13" w:rsidRPr="00002445">
        <w:rPr>
          <w:rFonts w:ascii="Times New Roman" w:hAnsi="Times New Roman" w:cs="Times New Roman"/>
        </w:rPr>
        <w:t>Shipton et al</w:t>
      </w:r>
      <w:r w:rsidR="00111A6E" w:rsidRPr="00002445">
        <w:rPr>
          <w:rFonts w:ascii="Times New Roman" w:hAnsi="Times New Roman" w:cs="Times New Roman"/>
        </w:rPr>
        <w:t>.</w:t>
      </w:r>
      <w:r w:rsidR="007C7F13" w:rsidRPr="00002445">
        <w:rPr>
          <w:rFonts w:ascii="Times New Roman" w:hAnsi="Times New Roman" w:cs="Times New Roman"/>
        </w:rPr>
        <w:t xml:space="preserve"> (2013</w:t>
      </w:r>
      <w:r w:rsidR="005D0A46" w:rsidRPr="00002445">
        <w:rPr>
          <w:rFonts w:ascii="Times New Roman" w:hAnsi="Times New Roman" w:cs="Times New Roman"/>
        </w:rPr>
        <w:t>)</w:t>
      </w:r>
      <w:r w:rsidR="00D20834" w:rsidRPr="00002445">
        <w:rPr>
          <w:rFonts w:ascii="Times New Roman" w:hAnsi="Times New Roman" w:cs="Times New Roman"/>
        </w:rPr>
        <w:t xml:space="preserve"> and Scott-Sam</w:t>
      </w:r>
      <w:r w:rsidR="00AC0D29" w:rsidRPr="00002445">
        <w:rPr>
          <w:rFonts w:ascii="Times New Roman" w:hAnsi="Times New Roman" w:cs="Times New Roman"/>
        </w:rPr>
        <w:t>uel et al</w:t>
      </w:r>
      <w:r w:rsidR="00111A6E" w:rsidRPr="00002445">
        <w:rPr>
          <w:rFonts w:ascii="Times New Roman" w:hAnsi="Times New Roman" w:cs="Times New Roman"/>
        </w:rPr>
        <w:t>.</w:t>
      </w:r>
      <w:r w:rsidR="00AC0D29" w:rsidRPr="00002445">
        <w:rPr>
          <w:rFonts w:ascii="Times New Roman" w:hAnsi="Times New Roman" w:cs="Times New Roman"/>
        </w:rPr>
        <w:t xml:space="preserve"> (2014)</w:t>
      </w:r>
      <w:r w:rsidR="005D0A46" w:rsidRPr="00002445">
        <w:rPr>
          <w:rFonts w:ascii="Times New Roman" w:hAnsi="Times New Roman" w:cs="Times New Roman"/>
        </w:rPr>
        <w:t>.</w:t>
      </w:r>
      <w:r w:rsidR="00270775" w:rsidRPr="00002445">
        <w:rPr>
          <w:rFonts w:ascii="Times New Roman" w:hAnsi="Times New Roman" w:cs="Times New Roman"/>
        </w:rPr>
        <w:t xml:space="preserve"> Indeed, as Pearson (1987) also detailed in his research in northern England in the 1980s, we cannot set aside the intricate relationship between heroin use and familial and structural-level factors, which converged in this period of radical social change. </w:t>
      </w:r>
      <w:r w:rsidR="00C4441B" w:rsidRPr="00002445">
        <w:rPr>
          <w:rFonts w:ascii="Times New Roman" w:hAnsi="Times New Roman" w:cs="Times New Roman"/>
        </w:rPr>
        <w:t>Moreover, those who misused heroin would likely find it more difficult to access the support required to address their addiction if they lived in areas affected by poverty in the early 1980s, since</w:t>
      </w:r>
      <w:r w:rsidR="004806C0" w:rsidRPr="00002445">
        <w:rPr>
          <w:rFonts w:ascii="Times New Roman" w:hAnsi="Times New Roman" w:cs="Times New Roman"/>
        </w:rPr>
        <w:t xml:space="preserve"> publicly-funded</w:t>
      </w:r>
      <w:r w:rsidR="00C4441B" w:rsidRPr="00002445">
        <w:rPr>
          <w:rFonts w:ascii="Times New Roman" w:hAnsi="Times New Roman" w:cs="Times New Roman"/>
        </w:rPr>
        <w:t xml:space="preserve"> treatment programs had not kept pace with the upward shift in heroin use</w:t>
      </w:r>
      <w:r w:rsidR="004806C0" w:rsidRPr="00002445">
        <w:rPr>
          <w:rFonts w:ascii="Times New Roman" w:hAnsi="Times New Roman" w:cs="Times New Roman"/>
        </w:rPr>
        <w:t xml:space="preserve"> </w:t>
      </w:r>
      <w:r w:rsidR="00C4441B" w:rsidRPr="00002445">
        <w:rPr>
          <w:rFonts w:ascii="Times New Roman" w:hAnsi="Times New Roman" w:cs="Times New Roman"/>
        </w:rPr>
        <w:t xml:space="preserve">(Stimson, 1987). </w:t>
      </w:r>
    </w:p>
    <w:p w14:paraId="6EC706B2" w14:textId="77777777" w:rsidR="00005AEF" w:rsidRPr="00002445" w:rsidRDefault="00005AEF" w:rsidP="005D0A46">
      <w:pPr>
        <w:pStyle w:val="BodyText"/>
        <w:rPr>
          <w:rFonts w:ascii="Times New Roman" w:hAnsi="Times New Roman" w:cs="Times New Roman"/>
        </w:rPr>
      </w:pPr>
    </w:p>
    <w:p w14:paraId="57C95988" w14:textId="23997CD2" w:rsidR="00496EF6" w:rsidRPr="00002445" w:rsidRDefault="00A66F6A">
      <w:pPr>
        <w:pStyle w:val="Heading1"/>
        <w:rPr>
          <w:rFonts w:ascii="Times New Roman" w:hAnsi="Times New Roman" w:cs="Times New Roman"/>
          <w:color w:val="auto"/>
        </w:rPr>
      </w:pPr>
      <w:bookmarkStart w:id="15" w:name="discussion"/>
      <w:bookmarkEnd w:id="12"/>
      <w:bookmarkEnd w:id="14"/>
      <w:r w:rsidRPr="00002445">
        <w:rPr>
          <w:rStyle w:val="SectionNumber"/>
          <w:rFonts w:ascii="Times New Roman" w:hAnsi="Times New Roman" w:cs="Times New Roman"/>
          <w:color w:val="auto"/>
        </w:rPr>
        <w:t>8</w:t>
      </w:r>
      <w:r w:rsidR="0078610C" w:rsidRPr="00002445">
        <w:rPr>
          <w:rFonts w:ascii="Times New Roman" w:hAnsi="Times New Roman" w:cs="Times New Roman"/>
          <w:color w:val="auto"/>
        </w:rPr>
        <w:tab/>
        <w:t>Discussion</w:t>
      </w:r>
      <w:r w:rsidR="00397793" w:rsidRPr="00002445">
        <w:rPr>
          <w:rFonts w:ascii="Times New Roman" w:hAnsi="Times New Roman" w:cs="Times New Roman"/>
          <w:color w:val="auto"/>
        </w:rPr>
        <w:t xml:space="preserve"> </w:t>
      </w:r>
    </w:p>
    <w:p w14:paraId="3B81139F" w14:textId="64FFC112" w:rsidR="00847949" w:rsidRPr="00002445" w:rsidRDefault="00847949" w:rsidP="00847949">
      <w:pPr>
        <w:pStyle w:val="FirstParagraph"/>
        <w:rPr>
          <w:rFonts w:ascii="Times New Roman" w:hAnsi="Times New Roman" w:cs="Times New Roman"/>
        </w:rPr>
      </w:pPr>
      <w:r w:rsidRPr="00002445">
        <w:rPr>
          <w:rFonts w:ascii="Times New Roman" w:hAnsi="Times New Roman" w:cs="Times New Roman"/>
        </w:rPr>
        <w:t>We set out, via the analysis of two British birth cohorts born twelve years apart, to explore the ways in which changes in socio-economic contexts over time might have altered the exposure to risks associated with heroin use during the 1970s and 1980s. We sought to uncover why some people consume potent, highly addictive substances</w:t>
      </w:r>
      <w:r w:rsidR="00443776" w:rsidRPr="00002445">
        <w:rPr>
          <w:rFonts w:ascii="Times New Roman" w:hAnsi="Times New Roman" w:cs="Times New Roman"/>
        </w:rPr>
        <w:t xml:space="preserve"> such as heroin, if</w:t>
      </w:r>
      <w:r w:rsidRPr="00002445">
        <w:rPr>
          <w:rFonts w:ascii="Times New Roman" w:hAnsi="Times New Roman" w:cs="Times New Roman"/>
        </w:rPr>
        <w:t xml:space="preserve"> the social groups who use</w:t>
      </w:r>
      <w:r w:rsidR="00443776" w:rsidRPr="00002445">
        <w:rPr>
          <w:rFonts w:ascii="Times New Roman" w:hAnsi="Times New Roman" w:cs="Times New Roman"/>
        </w:rPr>
        <w:t>s</w:t>
      </w:r>
      <w:r w:rsidRPr="00002445">
        <w:rPr>
          <w:rFonts w:ascii="Times New Roman" w:hAnsi="Times New Roman" w:cs="Times New Roman"/>
        </w:rPr>
        <w:t xml:space="preserve"> </w:t>
      </w:r>
      <w:r w:rsidR="00443776" w:rsidRPr="00002445">
        <w:rPr>
          <w:rFonts w:ascii="Times New Roman" w:hAnsi="Times New Roman" w:cs="Times New Roman"/>
        </w:rPr>
        <w:t xml:space="preserve">the </w:t>
      </w:r>
      <w:r w:rsidRPr="00002445">
        <w:rPr>
          <w:rFonts w:ascii="Times New Roman" w:hAnsi="Times New Roman" w:cs="Times New Roman"/>
        </w:rPr>
        <w:t>drug change</w:t>
      </w:r>
      <w:r w:rsidR="00443776" w:rsidRPr="00002445">
        <w:rPr>
          <w:rFonts w:ascii="Times New Roman" w:hAnsi="Times New Roman" w:cs="Times New Roman"/>
        </w:rPr>
        <w:t>d</w:t>
      </w:r>
      <w:r w:rsidRPr="00002445">
        <w:rPr>
          <w:rFonts w:ascii="Times New Roman" w:hAnsi="Times New Roman" w:cs="Times New Roman"/>
        </w:rPr>
        <w:t xml:space="preserve"> over time and why </w:t>
      </w:r>
      <w:r w:rsidR="00443776" w:rsidRPr="00002445">
        <w:rPr>
          <w:rFonts w:ascii="Times New Roman" w:hAnsi="Times New Roman" w:cs="Times New Roman"/>
        </w:rPr>
        <w:t xml:space="preserve">that </w:t>
      </w:r>
      <w:r w:rsidRPr="00002445">
        <w:rPr>
          <w:rFonts w:ascii="Times New Roman" w:hAnsi="Times New Roman" w:cs="Times New Roman"/>
        </w:rPr>
        <w:t xml:space="preserve">might </w:t>
      </w:r>
      <w:r w:rsidR="00443776" w:rsidRPr="00002445">
        <w:rPr>
          <w:rFonts w:ascii="Times New Roman" w:hAnsi="Times New Roman" w:cs="Times New Roman"/>
        </w:rPr>
        <w:t xml:space="preserve">have been the case. Our starting premise was to explore if </w:t>
      </w:r>
      <w:r w:rsidRPr="00002445">
        <w:rPr>
          <w:rFonts w:ascii="Times New Roman" w:hAnsi="Times New Roman" w:cs="Times New Roman"/>
        </w:rPr>
        <w:t xml:space="preserve">widespread </w:t>
      </w:r>
      <w:r w:rsidR="00443776" w:rsidRPr="00002445">
        <w:rPr>
          <w:rFonts w:ascii="Times New Roman" w:hAnsi="Times New Roman" w:cs="Times New Roman"/>
        </w:rPr>
        <w:t>heroin</w:t>
      </w:r>
      <w:r w:rsidRPr="00002445">
        <w:rPr>
          <w:rFonts w:ascii="Times New Roman" w:hAnsi="Times New Roman" w:cs="Times New Roman"/>
        </w:rPr>
        <w:t xml:space="preserve"> use </w:t>
      </w:r>
      <w:r w:rsidR="00443776" w:rsidRPr="00002445">
        <w:rPr>
          <w:rFonts w:ascii="Times New Roman" w:hAnsi="Times New Roman" w:cs="Times New Roman"/>
        </w:rPr>
        <w:t xml:space="preserve">in Britain might </w:t>
      </w:r>
      <w:r w:rsidRPr="00002445">
        <w:rPr>
          <w:rFonts w:ascii="Times New Roman" w:hAnsi="Times New Roman" w:cs="Times New Roman"/>
        </w:rPr>
        <w:t>be a reflection of wider social and economic policies and their effects on inequality</w:t>
      </w:r>
      <w:r w:rsidR="00443776" w:rsidRPr="00002445">
        <w:rPr>
          <w:rFonts w:ascii="Times New Roman" w:hAnsi="Times New Roman" w:cs="Times New Roman"/>
        </w:rPr>
        <w:t xml:space="preserve">. </w:t>
      </w:r>
    </w:p>
    <w:p w14:paraId="25A93736" w14:textId="30ED26ED" w:rsidR="001947BE" w:rsidRPr="00002445" w:rsidRDefault="00005AEF" w:rsidP="00A57864">
      <w:pPr>
        <w:pStyle w:val="BodyText"/>
        <w:rPr>
          <w:rFonts w:ascii="Times New Roman" w:hAnsi="Times New Roman" w:cs="Times New Roman"/>
        </w:rPr>
      </w:pPr>
      <w:r w:rsidRPr="00002445">
        <w:rPr>
          <w:rFonts w:ascii="Times New Roman" w:hAnsi="Times New Roman" w:cs="Times New Roman"/>
        </w:rPr>
        <w:t xml:space="preserve">Let us commence with a discussion of the limitations of the data sets we have used. </w:t>
      </w:r>
      <w:r w:rsidR="001947BE" w:rsidRPr="00002445">
        <w:rPr>
          <w:rFonts w:ascii="Times New Roman" w:hAnsi="Times New Roman" w:cs="Times New Roman"/>
        </w:rPr>
        <w:t xml:space="preserve">Because heroin </w:t>
      </w:r>
      <w:r w:rsidR="00ED22FD" w:rsidRPr="00002445">
        <w:rPr>
          <w:rFonts w:ascii="Times New Roman" w:hAnsi="Times New Roman" w:cs="Times New Roman"/>
        </w:rPr>
        <w:t xml:space="preserve">use </w:t>
      </w:r>
      <w:r w:rsidR="001947BE" w:rsidRPr="00002445">
        <w:rPr>
          <w:rFonts w:ascii="Times New Roman" w:hAnsi="Times New Roman" w:cs="Times New Roman"/>
        </w:rPr>
        <w:t xml:space="preserve">was not common nationally, we find small numbers of heroin users in both cohorts. Nevertheless, the numbers are quite large </w:t>
      </w:r>
      <w:r w:rsidR="007D7FA1" w:rsidRPr="00002445">
        <w:rPr>
          <w:rFonts w:ascii="Times New Roman" w:hAnsi="Times New Roman" w:cs="Times New Roman"/>
        </w:rPr>
        <w:t xml:space="preserve">for such a small group of drug users, and the differences between the two cohorts </w:t>
      </w:r>
      <w:r w:rsidR="00ED22FD" w:rsidRPr="00002445">
        <w:rPr>
          <w:rFonts w:ascii="Times New Roman" w:hAnsi="Times New Roman" w:cs="Times New Roman"/>
        </w:rPr>
        <w:t xml:space="preserve">both sufficiently large and </w:t>
      </w:r>
      <w:r w:rsidR="007D7FA1" w:rsidRPr="00002445">
        <w:rPr>
          <w:rFonts w:ascii="Times New Roman" w:hAnsi="Times New Roman" w:cs="Times New Roman"/>
        </w:rPr>
        <w:t>in keeping with expectations</w:t>
      </w:r>
      <w:r w:rsidR="00ED22FD" w:rsidRPr="00002445">
        <w:rPr>
          <w:rFonts w:ascii="Times New Roman" w:hAnsi="Times New Roman" w:cs="Times New Roman"/>
        </w:rPr>
        <w:t xml:space="preserve"> for us to remain confident of the validity of our findings</w:t>
      </w:r>
      <w:r w:rsidR="007D7FA1" w:rsidRPr="00002445">
        <w:rPr>
          <w:rFonts w:ascii="Times New Roman" w:hAnsi="Times New Roman" w:cs="Times New Roman"/>
        </w:rPr>
        <w:t xml:space="preserve">. </w:t>
      </w:r>
      <w:r w:rsidR="001947BE" w:rsidRPr="00002445">
        <w:rPr>
          <w:rFonts w:ascii="Times New Roman" w:hAnsi="Times New Roman" w:cs="Times New Roman"/>
        </w:rPr>
        <w:t>The strengths of</w:t>
      </w:r>
      <w:r w:rsidR="007D7FA1" w:rsidRPr="00002445">
        <w:rPr>
          <w:rFonts w:ascii="Times New Roman" w:hAnsi="Times New Roman" w:cs="Times New Roman"/>
        </w:rPr>
        <w:t xml:space="preserve"> </w:t>
      </w:r>
      <w:r w:rsidR="001947BE" w:rsidRPr="00002445">
        <w:rPr>
          <w:rFonts w:ascii="Times New Roman" w:hAnsi="Times New Roman" w:cs="Times New Roman"/>
        </w:rPr>
        <w:t xml:space="preserve">our </w:t>
      </w:r>
      <w:r w:rsidR="007D7FA1" w:rsidRPr="00002445">
        <w:rPr>
          <w:rFonts w:ascii="Times New Roman" w:hAnsi="Times New Roman" w:cs="Times New Roman"/>
        </w:rPr>
        <w:t>analyses</w:t>
      </w:r>
      <w:r w:rsidR="001947BE" w:rsidRPr="00002445">
        <w:rPr>
          <w:rFonts w:ascii="Times New Roman" w:hAnsi="Times New Roman" w:cs="Times New Roman"/>
        </w:rPr>
        <w:t>, on the other hand, are the use of national-level data sets of the highest</w:t>
      </w:r>
      <w:r w:rsidR="00A57864" w:rsidRPr="00002445">
        <w:rPr>
          <w:rFonts w:ascii="Times New Roman" w:hAnsi="Times New Roman" w:cs="Times New Roman"/>
        </w:rPr>
        <w:t xml:space="preserve"> </w:t>
      </w:r>
      <w:r w:rsidR="001947BE" w:rsidRPr="00002445">
        <w:rPr>
          <w:rFonts w:ascii="Times New Roman" w:hAnsi="Times New Roman" w:cs="Times New Roman"/>
        </w:rPr>
        <w:t>quality from two highly respected studies, and which enable us to examine the unfolding</w:t>
      </w:r>
      <w:r w:rsidR="00A57864" w:rsidRPr="00002445">
        <w:rPr>
          <w:rFonts w:ascii="Times New Roman" w:hAnsi="Times New Roman" w:cs="Times New Roman"/>
        </w:rPr>
        <w:t xml:space="preserve"> </w:t>
      </w:r>
      <w:r w:rsidR="001947BE" w:rsidRPr="00002445">
        <w:rPr>
          <w:rFonts w:ascii="Times New Roman" w:hAnsi="Times New Roman" w:cs="Times New Roman"/>
        </w:rPr>
        <w:t>of differential regional impacts of economic restructuring</w:t>
      </w:r>
      <w:r w:rsidR="007D7FA1" w:rsidRPr="00002445">
        <w:rPr>
          <w:rFonts w:ascii="Times New Roman" w:hAnsi="Times New Roman" w:cs="Times New Roman"/>
        </w:rPr>
        <w:t xml:space="preserve"> and welfare retrenchment</w:t>
      </w:r>
      <w:r w:rsidR="001947BE" w:rsidRPr="00002445">
        <w:rPr>
          <w:rFonts w:ascii="Times New Roman" w:hAnsi="Times New Roman" w:cs="Times New Roman"/>
        </w:rPr>
        <w:t xml:space="preserve"> on </w:t>
      </w:r>
      <w:r w:rsidR="007D7FA1" w:rsidRPr="00002445">
        <w:rPr>
          <w:rFonts w:ascii="Times New Roman" w:hAnsi="Times New Roman" w:cs="Times New Roman"/>
        </w:rPr>
        <w:t>heroin drug use</w:t>
      </w:r>
      <w:r w:rsidR="001947BE" w:rsidRPr="00002445">
        <w:rPr>
          <w:rFonts w:ascii="Times New Roman" w:hAnsi="Times New Roman" w:cs="Times New Roman"/>
        </w:rPr>
        <w:t>.</w:t>
      </w:r>
      <w:r w:rsidR="007D7FA1" w:rsidRPr="00002445">
        <w:rPr>
          <w:rFonts w:ascii="Times New Roman" w:hAnsi="Times New Roman" w:cs="Times New Roman"/>
        </w:rPr>
        <w:t xml:space="preserve"> </w:t>
      </w:r>
      <w:r w:rsidR="001947BE" w:rsidRPr="00002445">
        <w:rPr>
          <w:rFonts w:ascii="Times New Roman" w:hAnsi="Times New Roman" w:cs="Times New Roman"/>
        </w:rPr>
        <w:t>Furthermore, the two cohorts we have studied (as opposed to the more commonly</w:t>
      </w:r>
      <w:r w:rsidR="007D7FA1" w:rsidRPr="00002445">
        <w:rPr>
          <w:rFonts w:ascii="Times New Roman" w:hAnsi="Times New Roman" w:cs="Times New Roman"/>
        </w:rPr>
        <w:t xml:space="preserve"> </w:t>
      </w:r>
      <w:r w:rsidR="001947BE" w:rsidRPr="00002445">
        <w:rPr>
          <w:rFonts w:ascii="Times New Roman" w:hAnsi="Times New Roman" w:cs="Times New Roman"/>
        </w:rPr>
        <w:t xml:space="preserve">used </w:t>
      </w:r>
      <w:r w:rsidR="007D7FA1" w:rsidRPr="00002445">
        <w:rPr>
          <w:rFonts w:ascii="Times New Roman" w:hAnsi="Times New Roman" w:cs="Times New Roman"/>
        </w:rPr>
        <w:t>single-</w:t>
      </w:r>
      <w:r w:rsidR="001947BE" w:rsidRPr="00002445">
        <w:rPr>
          <w:rFonts w:ascii="Times New Roman" w:hAnsi="Times New Roman" w:cs="Times New Roman"/>
        </w:rPr>
        <w:t xml:space="preserve">cohort studies which are often drawn from </w:t>
      </w:r>
      <w:r w:rsidR="007D7FA1" w:rsidRPr="00002445">
        <w:rPr>
          <w:rFonts w:ascii="Times New Roman" w:hAnsi="Times New Roman" w:cs="Times New Roman"/>
        </w:rPr>
        <w:t xml:space="preserve">within the health or criminal justice systems </w:t>
      </w:r>
      <w:r w:rsidR="001947BE" w:rsidRPr="00002445">
        <w:rPr>
          <w:rFonts w:ascii="Times New Roman" w:hAnsi="Times New Roman" w:cs="Times New Roman"/>
        </w:rPr>
        <w:t>one town or city</w:t>
      </w:r>
      <w:r w:rsidR="007D7FA1" w:rsidRPr="00002445">
        <w:rPr>
          <w:rFonts w:ascii="Times New Roman" w:hAnsi="Times New Roman" w:cs="Times New Roman"/>
        </w:rPr>
        <w:t xml:space="preserve"> (</w:t>
      </w:r>
      <w:r w:rsidR="001947BE" w:rsidRPr="00002445">
        <w:rPr>
          <w:rFonts w:ascii="Times New Roman" w:hAnsi="Times New Roman" w:cs="Times New Roman"/>
        </w:rPr>
        <w:t xml:space="preserve">and </w:t>
      </w:r>
      <w:r w:rsidR="007D7FA1" w:rsidRPr="00002445">
        <w:rPr>
          <w:rFonts w:ascii="Times New Roman" w:hAnsi="Times New Roman" w:cs="Times New Roman"/>
        </w:rPr>
        <w:t xml:space="preserve">which, </w:t>
      </w:r>
      <w:r w:rsidR="001947BE" w:rsidRPr="00002445">
        <w:rPr>
          <w:rFonts w:ascii="Times New Roman" w:hAnsi="Times New Roman" w:cs="Times New Roman"/>
        </w:rPr>
        <w:t>as such</w:t>
      </w:r>
      <w:r w:rsidR="007D7FA1" w:rsidRPr="00002445">
        <w:rPr>
          <w:rFonts w:ascii="Times New Roman" w:hAnsi="Times New Roman" w:cs="Times New Roman"/>
        </w:rPr>
        <w:t xml:space="preserve">, </w:t>
      </w:r>
      <w:r w:rsidR="001947BE" w:rsidRPr="00002445">
        <w:rPr>
          <w:rFonts w:ascii="Times New Roman" w:hAnsi="Times New Roman" w:cs="Times New Roman"/>
        </w:rPr>
        <w:t>do not</w:t>
      </w:r>
      <w:r w:rsidR="007D7FA1" w:rsidRPr="00002445">
        <w:rPr>
          <w:rFonts w:ascii="Times New Roman" w:hAnsi="Times New Roman" w:cs="Times New Roman"/>
        </w:rPr>
        <w:t xml:space="preserve"> </w:t>
      </w:r>
      <w:r w:rsidR="001947BE" w:rsidRPr="00002445">
        <w:rPr>
          <w:rFonts w:ascii="Times New Roman" w:hAnsi="Times New Roman" w:cs="Times New Roman"/>
        </w:rPr>
        <w:t>permit analyses of regional differences) are both national samples and number cases in the thousands (rather than hundreds).</w:t>
      </w:r>
    </w:p>
    <w:p w14:paraId="6B33E725" w14:textId="536D5986" w:rsidR="00B02023" w:rsidRPr="00002445" w:rsidRDefault="00443776">
      <w:pPr>
        <w:pStyle w:val="FirstParagraph"/>
        <w:rPr>
          <w:rFonts w:ascii="Times New Roman" w:hAnsi="Times New Roman" w:cs="Times New Roman"/>
        </w:rPr>
      </w:pPr>
      <w:r w:rsidRPr="00002445">
        <w:rPr>
          <w:rFonts w:ascii="Times New Roman" w:hAnsi="Times New Roman" w:cs="Times New Roman"/>
        </w:rPr>
        <w:t>There were hints in the exiting literature, based on qualitative studies, that the changes of the 1980s had shifted the</w:t>
      </w:r>
      <w:r w:rsidR="00C53202" w:rsidRPr="00002445">
        <w:rPr>
          <w:rFonts w:ascii="Times New Roman" w:hAnsi="Times New Roman" w:cs="Times New Roman"/>
        </w:rPr>
        <w:t xml:space="preserve"> underlying social groups which used heroin. </w:t>
      </w:r>
      <w:r w:rsidR="00B02023" w:rsidRPr="00002445">
        <w:rPr>
          <w:rFonts w:ascii="Times New Roman" w:hAnsi="Times New Roman" w:cs="Times New Roman"/>
        </w:rPr>
        <w:t>In 1987</w:t>
      </w:r>
      <w:r w:rsidR="00C53202" w:rsidRPr="00002445">
        <w:rPr>
          <w:rFonts w:ascii="Times New Roman" w:hAnsi="Times New Roman" w:cs="Times New Roman"/>
        </w:rPr>
        <w:t>, for example,</w:t>
      </w:r>
      <w:r w:rsidR="00B02023" w:rsidRPr="00002445">
        <w:rPr>
          <w:rFonts w:ascii="Times New Roman" w:hAnsi="Times New Roman" w:cs="Times New Roman"/>
        </w:rPr>
        <w:t xml:space="preserve"> Pearson </w:t>
      </w:r>
      <w:r w:rsidR="00B02023" w:rsidRPr="00002445">
        <w:rPr>
          <w:rFonts w:ascii="Times New Roman" w:hAnsi="Times New Roman" w:cs="Times New Roman"/>
        </w:rPr>
        <w:lastRenderedPageBreak/>
        <w:t>proposed that there was a new ‘type’ of heroin user (1987), with the emergence of the new ‘type’ being around 1979–1981 (Seddon, 2006). Pearson argued that, unlike the previous ‘type’ of users who were from upper social class backgrounds and lived predominantly in London, the ‘new heroin users’ tended to come from working class backgrounds and were from towns and cities concentrated in the former industrial heartlands. In this chapter we explored the extent to which the heroin users of the 1980s really were from a different social class to previous users, and what may have accounted for this change in which social groups used heroin. We made this assessment using two nationally representative birth cohorts, the National Child Development Study (NCDS) and British Cohort Study (BCS70). The NCDS birth cohort were born in 1958 so their peak age of drug use was likely to have been during the mid– to late–1970s, prior to the (reputed) change in the social class of heroin users (hypothesised to have occurred around 1979–1981). The BCS70 cohort were born in 1970, so those in this cohort who did use heroin would not have begun using until at least the mid–1980s, after the hypothesised change in heroin user ‘type’.</w:t>
      </w:r>
    </w:p>
    <w:p w14:paraId="0080623A" w14:textId="596E4BAF" w:rsidR="00496EF6" w:rsidRPr="00002445" w:rsidRDefault="00B02023">
      <w:pPr>
        <w:pStyle w:val="FirstParagraph"/>
        <w:rPr>
          <w:rFonts w:ascii="Times New Roman" w:hAnsi="Times New Roman" w:cs="Times New Roman"/>
        </w:rPr>
      </w:pPr>
      <w:r w:rsidRPr="00002445">
        <w:rPr>
          <w:rFonts w:ascii="Times New Roman" w:hAnsi="Times New Roman" w:cs="Times New Roman"/>
        </w:rPr>
        <w:t xml:space="preserve">Whilst </w:t>
      </w:r>
      <w:r w:rsidR="0078610C" w:rsidRPr="00002445">
        <w:rPr>
          <w:rFonts w:ascii="Times New Roman" w:hAnsi="Times New Roman" w:cs="Times New Roman"/>
        </w:rPr>
        <w:t>Pearson asserted that there was a ‘new’ heroin user</w:t>
      </w:r>
      <w:r w:rsidRPr="00002445">
        <w:rPr>
          <w:rFonts w:ascii="Times New Roman" w:hAnsi="Times New Roman" w:cs="Times New Roman"/>
        </w:rPr>
        <w:t xml:space="preserve">, he </w:t>
      </w:r>
      <w:r w:rsidR="0078610C" w:rsidRPr="00002445">
        <w:rPr>
          <w:rFonts w:ascii="Times New Roman" w:hAnsi="Times New Roman" w:cs="Times New Roman"/>
        </w:rPr>
        <w:t xml:space="preserve">provided limited empirical evidence that there was such a </w:t>
      </w:r>
      <w:r w:rsidR="004305DD" w:rsidRPr="00002445">
        <w:rPr>
          <w:rFonts w:ascii="Times New Roman" w:hAnsi="Times New Roman" w:cs="Times New Roman"/>
        </w:rPr>
        <w:t xml:space="preserve">new </w:t>
      </w:r>
      <w:r w:rsidR="0078610C" w:rsidRPr="00002445">
        <w:rPr>
          <w:rFonts w:ascii="Times New Roman" w:hAnsi="Times New Roman" w:cs="Times New Roman"/>
        </w:rPr>
        <w:t xml:space="preserve">group. We offer empirical, quantitative evidence that indeed </w:t>
      </w:r>
      <w:r w:rsidR="004305DD" w:rsidRPr="00002445">
        <w:rPr>
          <w:rFonts w:ascii="Times New Roman" w:hAnsi="Times New Roman" w:cs="Times New Roman"/>
        </w:rPr>
        <w:t xml:space="preserve">the social class structure of heroin users has changed as a result of </w:t>
      </w:r>
      <w:r w:rsidR="00D80840" w:rsidRPr="00002445">
        <w:rPr>
          <w:rFonts w:ascii="Times New Roman" w:hAnsi="Times New Roman" w:cs="Times New Roman"/>
        </w:rPr>
        <w:t>the unequal distribution of economic repercussions of Thatcherite reform policies that affected some social classes (and geographic areas) more profoundly than others</w:t>
      </w:r>
      <w:r w:rsidR="0078610C" w:rsidRPr="00002445">
        <w:rPr>
          <w:rFonts w:ascii="Times New Roman" w:hAnsi="Times New Roman" w:cs="Times New Roman"/>
        </w:rPr>
        <w:t xml:space="preserve">. Using </w:t>
      </w:r>
      <w:r w:rsidRPr="00002445">
        <w:rPr>
          <w:rFonts w:ascii="Times New Roman" w:hAnsi="Times New Roman" w:cs="Times New Roman"/>
        </w:rPr>
        <w:t xml:space="preserve">these </w:t>
      </w:r>
      <w:r w:rsidR="0078610C" w:rsidRPr="00002445">
        <w:rPr>
          <w:rFonts w:ascii="Times New Roman" w:hAnsi="Times New Roman" w:cs="Times New Roman"/>
        </w:rPr>
        <w:t xml:space="preserve">two longitudinal cohorts born </w:t>
      </w:r>
      <w:r w:rsidRPr="00002445">
        <w:rPr>
          <w:rFonts w:ascii="Times New Roman" w:hAnsi="Times New Roman" w:cs="Times New Roman"/>
        </w:rPr>
        <w:t xml:space="preserve">only </w:t>
      </w:r>
      <w:r w:rsidR="0078610C" w:rsidRPr="00002445">
        <w:rPr>
          <w:rFonts w:ascii="Times New Roman" w:hAnsi="Times New Roman" w:cs="Times New Roman"/>
        </w:rPr>
        <w:t>12 years apart</w:t>
      </w:r>
      <w:r w:rsidRPr="00002445">
        <w:rPr>
          <w:rFonts w:ascii="Times New Roman" w:hAnsi="Times New Roman" w:cs="Times New Roman"/>
        </w:rPr>
        <w:t>,</w:t>
      </w:r>
      <w:r w:rsidR="0078610C" w:rsidRPr="00002445">
        <w:rPr>
          <w:rFonts w:ascii="Times New Roman" w:hAnsi="Times New Roman" w:cs="Times New Roman"/>
        </w:rPr>
        <w:t xml:space="preserve"> we </w:t>
      </w:r>
      <w:r w:rsidRPr="00002445">
        <w:rPr>
          <w:rFonts w:ascii="Times New Roman" w:hAnsi="Times New Roman" w:cs="Times New Roman"/>
        </w:rPr>
        <w:t xml:space="preserve">found </w:t>
      </w:r>
      <w:r w:rsidR="0078610C" w:rsidRPr="00002445">
        <w:rPr>
          <w:rFonts w:ascii="Times New Roman" w:hAnsi="Times New Roman" w:cs="Times New Roman"/>
        </w:rPr>
        <w:t xml:space="preserve">that </w:t>
      </w:r>
      <w:r w:rsidRPr="00002445">
        <w:rPr>
          <w:rFonts w:ascii="Times New Roman" w:hAnsi="Times New Roman" w:cs="Times New Roman"/>
        </w:rPr>
        <w:t xml:space="preserve">there was </w:t>
      </w:r>
      <w:r w:rsidR="0078610C" w:rsidRPr="00002445">
        <w:rPr>
          <w:rFonts w:ascii="Times New Roman" w:hAnsi="Times New Roman" w:cs="Times New Roman"/>
        </w:rPr>
        <w:t xml:space="preserve">a new group of heroin users </w:t>
      </w:r>
      <w:r w:rsidRPr="00002445">
        <w:rPr>
          <w:rFonts w:ascii="Times New Roman" w:hAnsi="Times New Roman" w:cs="Times New Roman"/>
        </w:rPr>
        <w:t xml:space="preserve">who </w:t>
      </w:r>
      <w:r w:rsidR="0078610C" w:rsidRPr="00002445">
        <w:rPr>
          <w:rFonts w:ascii="Times New Roman" w:hAnsi="Times New Roman" w:cs="Times New Roman"/>
        </w:rPr>
        <w:t xml:space="preserve">emerged during the 1980s. </w:t>
      </w:r>
      <w:r w:rsidRPr="00002445">
        <w:rPr>
          <w:rFonts w:ascii="Times New Roman" w:hAnsi="Times New Roman" w:cs="Times New Roman"/>
        </w:rPr>
        <w:t>T</w:t>
      </w:r>
      <w:r w:rsidR="0078610C" w:rsidRPr="00002445">
        <w:rPr>
          <w:rFonts w:ascii="Times New Roman" w:hAnsi="Times New Roman" w:cs="Times New Roman"/>
        </w:rPr>
        <w:t xml:space="preserve">hose born in the 1958 </w:t>
      </w:r>
      <w:r w:rsidRPr="00002445">
        <w:rPr>
          <w:rFonts w:ascii="Times New Roman" w:hAnsi="Times New Roman" w:cs="Times New Roman"/>
        </w:rPr>
        <w:t xml:space="preserve">(the ‘old’ users) </w:t>
      </w:r>
      <w:r w:rsidR="0078610C" w:rsidRPr="00002445">
        <w:rPr>
          <w:rFonts w:ascii="Times New Roman" w:hAnsi="Times New Roman" w:cs="Times New Roman"/>
        </w:rPr>
        <w:t>were likely to be drawn from higher social classes (based on their father’s occupation) than those born in 1970</w:t>
      </w:r>
      <w:r w:rsidRPr="00002445">
        <w:rPr>
          <w:rFonts w:ascii="Times New Roman" w:hAnsi="Times New Roman" w:cs="Times New Roman"/>
        </w:rPr>
        <w:t xml:space="preserve"> (the ‘new’ users)</w:t>
      </w:r>
      <w:r w:rsidR="0078610C" w:rsidRPr="00002445">
        <w:rPr>
          <w:rFonts w:ascii="Times New Roman" w:hAnsi="Times New Roman" w:cs="Times New Roman"/>
        </w:rPr>
        <w:t xml:space="preserve">. The 1970 birth cohort still </w:t>
      </w:r>
      <w:r w:rsidRPr="00002445">
        <w:rPr>
          <w:rFonts w:ascii="Times New Roman" w:hAnsi="Times New Roman" w:cs="Times New Roman"/>
        </w:rPr>
        <w:t>contained some</w:t>
      </w:r>
      <w:r w:rsidR="0078610C" w:rsidRPr="00002445">
        <w:rPr>
          <w:rFonts w:ascii="Times New Roman" w:hAnsi="Times New Roman" w:cs="Times New Roman"/>
        </w:rPr>
        <w:t xml:space="preserve"> upper social class heroin users</w:t>
      </w:r>
      <w:r w:rsidRPr="00002445">
        <w:rPr>
          <w:rFonts w:ascii="Times New Roman" w:hAnsi="Times New Roman" w:cs="Times New Roman"/>
        </w:rPr>
        <w:t>, however</w:t>
      </w:r>
      <w:r w:rsidR="003D37D8" w:rsidRPr="00002445">
        <w:rPr>
          <w:rFonts w:ascii="Times New Roman" w:hAnsi="Times New Roman" w:cs="Times New Roman"/>
        </w:rPr>
        <w:t xml:space="preserve"> these were now in the minority.</w:t>
      </w:r>
    </w:p>
    <w:p w14:paraId="18E9C8A9" w14:textId="3533E6A3" w:rsidR="00C0266A" w:rsidRPr="00002445" w:rsidRDefault="0078610C">
      <w:pPr>
        <w:pStyle w:val="BodyText"/>
        <w:rPr>
          <w:rFonts w:ascii="Times New Roman" w:hAnsi="Times New Roman" w:cs="Times New Roman"/>
        </w:rPr>
      </w:pPr>
      <w:r w:rsidRPr="00002445">
        <w:rPr>
          <w:rFonts w:ascii="Times New Roman" w:hAnsi="Times New Roman" w:cs="Times New Roman"/>
        </w:rPr>
        <w:t xml:space="preserve">As well as finding that father’s social class was related to heroin use in the NCDS, we explored the extent to which the level of economic restructuring was related to heroin use. Having constructed a measure of economic restructuring we sought to assess the extent to which this was related to heroin use in the two cohorts. </w:t>
      </w:r>
      <w:r w:rsidR="003F08FF" w:rsidRPr="00002445">
        <w:rPr>
          <w:rFonts w:ascii="Times New Roman" w:hAnsi="Times New Roman" w:cs="Times New Roman"/>
        </w:rPr>
        <w:t>W</w:t>
      </w:r>
      <w:r w:rsidRPr="00002445">
        <w:rPr>
          <w:rFonts w:ascii="Times New Roman" w:hAnsi="Times New Roman" w:cs="Times New Roman"/>
        </w:rPr>
        <w:t>hen we assessed the relationship between social class and areal level rates of economic restructuring, we found that families from lower social class backgrounds were more likely than those of higher</w:t>
      </w:r>
      <w:r w:rsidR="00A57864" w:rsidRPr="00002445">
        <w:rPr>
          <w:rFonts w:ascii="Times New Roman" w:hAnsi="Times New Roman" w:cs="Times New Roman"/>
        </w:rPr>
        <w:t>-</w:t>
      </w:r>
      <w:r w:rsidRPr="00002445">
        <w:rPr>
          <w:rFonts w:ascii="Times New Roman" w:hAnsi="Times New Roman" w:cs="Times New Roman"/>
        </w:rPr>
        <w:t>class backgrounds to be living in areas with high rates of economic restructuring when the cohort members were pre–adolescence.</w:t>
      </w:r>
      <w:r w:rsidR="003F08FF" w:rsidRPr="00002445">
        <w:rPr>
          <w:rFonts w:ascii="Times New Roman" w:hAnsi="Times New Roman" w:cs="Times New Roman"/>
        </w:rPr>
        <w:t xml:space="preserve"> </w:t>
      </w:r>
      <w:r w:rsidRPr="00002445">
        <w:rPr>
          <w:rFonts w:ascii="Times New Roman" w:hAnsi="Times New Roman" w:cs="Times New Roman"/>
        </w:rPr>
        <w:t xml:space="preserve">This suggests that one reason why the new heroin users which Pearson identified </w:t>
      </w:r>
      <w:r w:rsidR="00D5454F" w:rsidRPr="00002445">
        <w:rPr>
          <w:rFonts w:ascii="Times New Roman" w:hAnsi="Times New Roman" w:cs="Times New Roman"/>
        </w:rPr>
        <w:t xml:space="preserve">40 </w:t>
      </w:r>
      <w:r w:rsidRPr="00002445">
        <w:rPr>
          <w:rFonts w:ascii="Times New Roman" w:hAnsi="Times New Roman" w:cs="Times New Roman"/>
        </w:rPr>
        <w:t>or so years ago came from the communities in which they did, was because these were precisely the areas which bore the brunt of the economic changes of the 1980s. This turbulence, however, was gendered in that it was mainly (but not exclusively) male–dominated professions (such as coa</w:t>
      </w:r>
      <w:r w:rsidR="003D37D8" w:rsidRPr="00002445">
        <w:rPr>
          <w:rFonts w:ascii="Times New Roman" w:hAnsi="Times New Roman" w:cs="Times New Roman"/>
        </w:rPr>
        <w:t>l-mining</w:t>
      </w:r>
      <w:r w:rsidRPr="00002445">
        <w:rPr>
          <w:rFonts w:ascii="Times New Roman" w:hAnsi="Times New Roman" w:cs="Times New Roman"/>
        </w:rPr>
        <w:t>, steel production, railway distribution networks and vehicle manufacturing) which were affected by the economic restructuring of the 1980s and the associated loss of ‘assumptive worlds’ (Kauffman, 20</w:t>
      </w:r>
      <w:r w:rsidR="00D9300D" w:rsidRPr="00002445">
        <w:rPr>
          <w:rFonts w:ascii="Times New Roman" w:hAnsi="Times New Roman" w:cs="Times New Roman"/>
        </w:rPr>
        <w:t>13</w:t>
      </w:r>
      <w:r w:rsidRPr="00002445">
        <w:rPr>
          <w:rFonts w:ascii="Times New Roman" w:hAnsi="Times New Roman" w:cs="Times New Roman"/>
        </w:rPr>
        <w:t>) with which these were identified</w:t>
      </w:r>
      <w:r w:rsidR="003F08FF" w:rsidRPr="00002445">
        <w:rPr>
          <w:rFonts w:ascii="Times New Roman" w:hAnsi="Times New Roman" w:cs="Times New Roman"/>
        </w:rPr>
        <w:t xml:space="preserve">. </w:t>
      </w:r>
      <w:r w:rsidRPr="00002445">
        <w:rPr>
          <w:rFonts w:ascii="Times New Roman" w:hAnsi="Times New Roman" w:cs="Times New Roman"/>
        </w:rPr>
        <w:t>The change in the social background of the ‘new’ heroin users which emerged so quickly was due to a number of influences. The first of the these was the arrival in the UK of ‘smokeable’ brown heroin which could be used without the stigma or problems of access to needles to administer</w:t>
      </w:r>
      <w:r w:rsidR="00A20F57" w:rsidRPr="00002445">
        <w:rPr>
          <w:rFonts w:ascii="Times New Roman" w:hAnsi="Times New Roman" w:cs="Times New Roman"/>
        </w:rPr>
        <w:t xml:space="preserve"> (Yates, 2002)</w:t>
      </w:r>
      <w:r w:rsidRPr="00002445">
        <w:rPr>
          <w:rFonts w:ascii="Times New Roman" w:hAnsi="Times New Roman" w:cs="Times New Roman"/>
        </w:rPr>
        <w:t xml:space="preserve">. </w:t>
      </w:r>
    </w:p>
    <w:p w14:paraId="006D8B40" w14:textId="793FC52C" w:rsidR="00496EF6" w:rsidRPr="00002445" w:rsidRDefault="0078610C">
      <w:pPr>
        <w:pStyle w:val="BodyText"/>
        <w:rPr>
          <w:rFonts w:ascii="Times New Roman" w:hAnsi="Times New Roman" w:cs="Times New Roman"/>
        </w:rPr>
      </w:pPr>
      <w:r w:rsidRPr="00002445">
        <w:rPr>
          <w:rFonts w:ascii="Times New Roman" w:hAnsi="Times New Roman" w:cs="Times New Roman"/>
        </w:rPr>
        <w:t xml:space="preserve">The second of these was the process of economic restructuring which </w:t>
      </w:r>
      <w:r w:rsidR="00E5453E" w:rsidRPr="00002445">
        <w:rPr>
          <w:rFonts w:ascii="Times New Roman" w:hAnsi="Times New Roman" w:cs="Times New Roman"/>
        </w:rPr>
        <w:t>Britain</w:t>
      </w:r>
      <w:r w:rsidRPr="00002445">
        <w:rPr>
          <w:rFonts w:ascii="Times New Roman" w:hAnsi="Times New Roman" w:cs="Times New Roman"/>
        </w:rPr>
        <w:t xml:space="preserve"> embarked upon during the 1980s. This was in part a response to changes in the wider global economy, but was also politically</w:t>
      </w:r>
      <w:r w:rsidR="00BC639A" w:rsidRPr="00002445">
        <w:rPr>
          <w:rFonts w:ascii="Times New Roman" w:hAnsi="Times New Roman" w:cs="Times New Roman"/>
        </w:rPr>
        <w:t xml:space="preserve"> </w:t>
      </w:r>
      <w:r w:rsidRPr="00002445">
        <w:rPr>
          <w:rFonts w:ascii="Times New Roman" w:hAnsi="Times New Roman" w:cs="Times New Roman"/>
        </w:rPr>
        <w:t>motivated by politicians on the political right</w:t>
      </w:r>
      <w:r w:rsidR="006E1AAD" w:rsidRPr="00002445">
        <w:rPr>
          <w:rFonts w:ascii="Times New Roman" w:hAnsi="Times New Roman" w:cs="Times New Roman"/>
        </w:rPr>
        <w:t xml:space="preserve"> who embraced neo-liberalist philosophies, and in so doing allowed economic and social inequalities to rise substantially</w:t>
      </w:r>
      <w:r w:rsidRPr="00002445">
        <w:rPr>
          <w:rFonts w:ascii="Times New Roman" w:hAnsi="Times New Roman" w:cs="Times New Roman"/>
        </w:rPr>
        <w:t xml:space="preserve">. The </w:t>
      </w:r>
      <w:r w:rsidRPr="00002445">
        <w:rPr>
          <w:rFonts w:ascii="Times New Roman" w:hAnsi="Times New Roman" w:cs="Times New Roman"/>
        </w:rPr>
        <w:lastRenderedPageBreak/>
        <w:t>process of shifting away from an industrial base to a more services</w:t>
      </w:r>
      <w:r w:rsidR="00BC639A" w:rsidRPr="00002445">
        <w:rPr>
          <w:rFonts w:ascii="Times New Roman" w:hAnsi="Times New Roman" w:cs="Times New Roman"/>
        </w:rPr>
        <w:t>-</w:t>
      </w:r>
      <w:r w:rsidRPr="00002445">
        <w:rPr>
          <w:rFonts w:ascii="Times New Roman" w:hAnsi="Times New Roman" w:cs="Times New Roman"/>
        </w:rPr>
        <w:t xml:space="preserve">orientated </w:t>
      </w:r>
      <w:r w:rsidR="005350D4" w:rsidRPr="00002445">
        <w:rPr>
          <w:rFonts w:ascii="Times New Roman" w:hAnsi="Times New Roman" w:cs="Times New Roman"/>
        </w:rPr>
        <w:t xml:space="preserve">economy </w:t>
      </w:r>
      <w:r w:rsidRPr="00002445">
        <w:rPr>
          <w:rFonts w:ascii="Times New Roman" w:hAnsi="Times New Roman" w:cs="Times New Roman"/>
        </w:rPr>
        <w:t xml:space="preserve">meant that large parts of </w:t>
      </w:r>
      <w:r w:rsidR="00E5453E" w:rsidRPr="00002445">
        <w:rPr>
          <w:rFonts w:ascii="Times New Roman" w:hAnsi="Times New Roman" w:cs="Times New Roman"/>
        </w:rPr>
        <w:t>Britain</w:t>
      </w:r>
      <w:r w:rsidRPr="00002445">
        <w:rPr>
          <w:rFonts w:ascii="Times New Roman" w:hAnsi="Times New Roman" w:cs="Times New Roman"/>
        </w:rPr>
        <w:t xml:space="preserve"> experienced a widespread reduction in jobs in the industrial sector. Such jobs were often </w:t>
      </w:r>
      <w:r w:rsidR="005350D4" w:rsidRPr="00002445">
        <w:rPr>
          <w:rFonts w:ascii="Times New Roman" w:hAnsi="Times New Roman" w:cs="Times New Roman"/>
        </w:rPr>
        <w:t>spatially</w:t>
      </w:r>
      <w:r w:rsidR="00BC639A" w:rsidRPr="00002445">
        <w:rPr>
          <w:rFonts w:ascii="Times New Roman" w:hAnsi="Times New Roman" w:cs="Times New Roman"/>
        </w:rPr>
        <w:t xml:space="preserve"> </w:t>
      </w:r>
      <w:r w:rsidR="005350D4" w:rsidRPr="00002445">
        <w:rPr>
          <w:rFonts w:ascii="Times New Roman" w:hAnsi="Times New Roman" w:cs="Times New Roman"/>
        </w:rPr>
        <w:t>concentrat</w:t>
      </w:r>
      <w:r w:rsidRPr="00002445">
        <w:rPr>
          <w:rFonts w:ascii="Times New Roman" w:hAnsi="Times New Roman" w:cs="Times New Roman"/>
        </w:rPr>
        <w:t>ed, meaning that whole communities lost work in a rapid period of time. The loss of such jobs meant also that the assumptive worlds of the young people growing up in those communities—which would have been founded upon the idea of working in pits, steel mills or in allied trades—were removed within a few years.</w:t>
      </w:r>
      <w:r w:rsidR="00B02023" w:rsidRPr="00002445">
        <w:rPr>
          <w:rFonts w:ascii="Times New Roman" w:hAnsi="Times New Roman" w:cs="Times New Roman"/>
        </w:rPr>
        <w:t xml:space="preserve"> Additionally, changes to the social support for unemployed people (especially younger unemployed people) was cut during the 1980s, forcing some of them into precarious living arrangements and ‘survival crimes’ such as </w:t>
      </w:r>
      <w:r w:rsidR="00290B5C" w:rsidRPr="00002445">
        <w:rPr>
          <w:rFonts w:ascii="Times New Roman" w:hAnsi="Times New Roman" w:cs="Times New Roman"/>
        </w:rPr>
        <w:t xml:space="preserve">prostitution, and the drug use associated with hopelessness and destitution. </w:t>
      </w:r>
      <w:r w:rsidRPr="00002445">
        <w:rPr>
          <w:rFonts w:ascii="Times New Roman" w:hAnsi="Times New Roman" w:cs="Times New Roman"/>
        </w:rPr>
        <w:t>Using this same longitudinal data</w:t>
      </w:r>
      <w:r w:rsidR="00FD3F68" w:rsidRPr="00002445">
        <w:rPr>
          <w:rFonts w:ascii="Times New Roman" w:hAnsi="Times New Roman" w:cs="Times New Roman"/>
        </w:rPr>
        <w:t>,</w:t>
      </w:r>
      <w:r w:rsidRPr="00002445">
        <w:rPr>
          <w:rFonts w:ascii="Times New Roman" w:hAnsi="Times New Roman" w:cs="Times New Roman"/>
        </w:rPr>
        <w:t xml:space="preserve"> we have been able to follow the trajectories of both of these cohorts of users (and their non–using contemporaries) over the course of 30 or 40 years in order to assess the impact of heroin use on their lives, something that few studies have previously been able to do. </w:t>
      </w:r>
    </w:p>
    <w:p w14:paraId="7B54121C" w14:textId="041547B3" w:rsidR="005734BD" w:rsidRPr="00002445" w:rsidRDefault="005734BD">
      <w:pPr>
        <w:pStyle w:val="BodyText"/>
        <w:rPr>
          <w:rFonts w:ascii="Times New Roman" w:hAnsi="Times New Roman" w:cs="Times New Roman"/>
        </w:rPr>
      </w:pPr>
      <w:r w:rsidRPr="00002445">
        <w:rPr>
          <w:rFonts w:ascii="Times New Roman" w:hAnsi="Times New Roman" w:cs="Times New Roman"/>
        </w:rPr>
        <w:t>The insecurities which led to the increased use of heroin amongst working class children born in the mid- to late-1960s and early- to mid-1970s (and which related to their understandings of their ‘place’ in the world and the futures which they could imagine for themselves) were driven by the social and economic changes wrought on Britain by the Thatcher administrations. These policies had an uneven geographical distribution; some places (parts of London and the south-east of England) saw dramatic increases in wealth and incomes, whilst other areas (most notably the industrial heartlands) saw declines in work, reductions in incomes and the erosions of some of the certainties of life for working class children. In short, the changes initiated in the early-1980s altered what was imaginable for those growing up during the 1980s; assumptive worlds were shattered and in their place young people elected to truant from school (Farrall et al</w:t>
      </w:r>
      <w:r w:rsidR="00402957" w:rsidRPr="00002445">
        <w:rPr>
          <w:rFonts w:ascii="Times New Roman" w:hAnsi="Times New Roman" w:cs="Times New Roman"/>
        </w:rPr>
        <w:t>.,</w:t>
      </w:r>
      <w:r w:rsidRPr="00002445">
        <w:rPr>
          <w:rFonts w:ascii="Times New Roman" w:hAnsi="Times New Roman" w:cs="Times New Roman"/>
        </w:rPr>
        <w:t xml:space="preserve"> 2019</w:t>
      </w:r>
      <w:r w:rsidR="008F7A41">
        <w:rPr>
          <w:rFonts w:ascii="Times New Roman" w:hAnsi="Times New Roman" w:cs="Times New Roman"/>
        </w:rPr>
        <w:t>a</w:t>
      </w:r>
      <w:r w:rsidRPr="00002445">
        <w:rPr>
          <w:rFonts w:ascii="Times New Roman" w:hAnsi="Times New Roman" w:cs="Times New Roman"/>
        </w:rPr>
        <w:t>), engage in crime (Farrall</w:t>
      </w:r>
      <w:r w:rsidR="00CF3A35" w:rsidRPr="00002445">
        <w:rPr>
          <w:rFonts w:ascii="Times New Roman" w:hAnsi="Times New Roman" w:cs="Times New Roman"/>
        </w:rPr>
        <w:t>, Gray, &amp; Mike Jones</w:t>
      </w:r>
      <w:r w:rsidR="00A755CB" w:rsidRPr="00002445">
        <w:rPr>
          <w:rFonts w:ascii="Times New Roman" w:hAnsi="Times New Roman" w:cs="Times New Roman"/>
        </w:rPr>
        <w:t>,</w:t>
      </w:r>
      <w:r w:rsidRPr="00002445">
        <w:rPr>
          <w:rFonts w:ascii="Times New Roman" w:hAnsi="Times New Roman" w:cs="Times New Roman"/>
        </w:rPr>
        <w:t xml:space="preserve"> 2020) and</w:t>
      </w:r>
      <w:r w:rsidR="001A5CC5" w:rsidRPr="00002445">
        <w:rPr>
          <w:rFonts w:ascii="Times New Roman" w:hAnsi="Times New Roman" w:cs="Times New Roman"/>
        </w:rPr>
        <w:t>, it would appear, heroin use. As such, whilst the legacies of radical change can produce outcomes which are detected at national or regional levels (Farrall</w:t>
      </w:r>
      <w:r w:rsidR="009933A3" w:rsidRPr="00002445">
        <w:rPr>
          <w:rFonts w:ascii="Times New Roman" w:hAnsi="Times New Roman" w:cs="Times New Roman"/>
        </w:rPr>
        <w:t>, Hay,</w:t>
      </w:r>
      <w:r w:rsidR="00A1306D" w:rsidRPr="00002445">
        <w:rPr>
          <w:rFonts w:ascii="Times New Roman" w:hAnsi="Times New Roman" w:cs="Times New Roman"/>
        </w:rPr>
        <w:t xml:space="preserve"> &amp;</w:t>
      </w:r>
      <w:r w:rsidR="009933A3" w:rsidRPr="00002445">
        <w:rPr>
          <w:rFonts w:ascii="Times New Roman" w:hAnsi="Times New Roman" w:cs="Times New Roman"/>
        </w:rPr>
        <w:t xml:space="preserve"> Gray, 2020</w:t>
      </w:r>
      <w:r w:rsidR="001A5CC5" w:rsidRPr="00002445">
        <w:rPr>
          <w:rFonts w:ascii="Times New Roman" w:hAnsi="Times New Roman" w:cs="Times New Roman"/>
        </w:rPr>
        <w:t>), such legacies can also be detected at the level of the individual life-course (Farrall et al</w:t>
      </w:r>
      <w:r w:rsidR="00402957" w:rsidRPr="00002445">
        <w:rPr>
          <w:rFonts w:ascii="Times New Roman" w:hAnsi="Times New Roman" w:cs="Times New Roman"/>
        </w:rPr>
        <w:t>.</w:t>
      </w:r>
      <w:r w:rsidR="001A5CC5" w:rsidRPr="00002445">
        <w:rPr>
          <w:rFonts w:ascii="Times New Roman" w:hAnsi="Times New Roman" w:cs="Times New Roman"/>
        </w:rPr>
        <w:t xml:space="preserve">, forthcoming). That ought to give politicians of all shades and colours reasons to pause before enacting far-reaching policy change. </w:t>
      </w:r>
      <w:r w:rsidRPr="00002445">
        <w:rPr>
          <w:rFonts w:ascii="Times New Roman" w:hAnsi="Times New Roman" w:cs="Times New Roman"/>
        </w:rPr>
        <w:t xml:space="preserve"> </w:t>
      </w:r>
    </w:p>
    <w:p w14:paraId="6B9F123D" w14:textId="4725BAC4" w:rsidR="00496EF6" w:rsidRPr="00002445" w:rsidRDefault="0078610C">
      <w:pPr>
        <w:pStyle w:val="Heading1"/>
        <w:rPr>
          <w:rFonts w:ascii="Times New Roman" w:hAnsi="Times New Roman" w:cs="Times New Roman"/>
          <w:color w:val="auto"/>
        </w:rPr>
      </w:pPr>
      <w:bookmarkStart w:id="16" w:name="bibliography"/>
      <w:bookmarkEnd w:id="15"/>
      <w:r w:rsidRPr="00002445">
        <w:rPr>
          <w:rFonts w:ascii="Times New Roman" w:hAnsi="Times New Roman" w:cs="Times New Roman"/>
          <w:color w:val="auto"/>
        </w:rPr>
        <w:t>Bibliography</w:t>
      </w:r>
      <w:r w:rsidR="0001028C" w:rsidRPr="00002445">
        <w:rPr>
          <w:rFonts w:ascii="Times New Roman" w:hAnsi="Times New Roman" w:cs="Times New Roman"/>
          <w:color w:val="auto"/>
        </w:rPr>
        <w:t xml:space="preserve"> </w:t>
      </w:r>
    </w:p>
    <w:p w14:paraId="43E300A6" w14:textId="5B141FBD" w:rsidR="00496EF6" w:rsidRPr="00002445" w:rsidRDefault="0078610C">
      <w:pPr>
        <w:pStyle w:val="Bibliography"/>
        <w:rPr>
          <w:rFonts w:ascii="Times New Roman" w:hAnsi="Times New Roman" w:cs="Times New Roman"/>
        </w:rPr>
      </w:pPr>
      <w:bookmarkStart w:id="17" w:name="ref-amleida2009a"/>
      <w:bookmarkStart w:id="18" w:name="refs"/>
      <w:r w:rsidRPr="00002445">
        <w:rPr>
          <w:rFonts w:ascii="Times New Roman" w:hAnsi="Times New Roman" w:cs="Times New Roman"/>
        </w:rPr>
        <w:t>Almeida</w:t>
      </w:r>
      <w:r w:rsidR="00B410BD" w:rsidRPr="00002445">
        <w:rPr>
          <w:rFonts w:ascii="Times New Roman" w:hAnsi="Times New Roman" w:cs="Times New Roman"/>
        </w:rPr>
        <w:t>,</w:t>
      </w:r>
      <w:r w:rsidRPr="00002445">
        <w:rPr>
          <w:rFonts w:ascii="Times New Roman" w:hAnsi="Times New Roman" w:cs="Times New Roman"/>
        </w:rPr>
        <w:t xml:space="preserve"> D</w:t>
      </w:r>
      <w:r w:rsidR="00B410BD" w:rsidRPr="00002445">
        <w:rPr>
          <w:rFonts w:ascii="Times New Roman" w:hAnsi="Times New Roman" w:cs="Times New Roman"/>
        </w:rPr>
        <w:t>., &amp;</w:t>
      </w:r>
      <w:r w:rsidRPr="00002445">
        <w:rPr>
          <w:rFonts w:ascii="Times New Roman" w:hAnsi="Times New Roman" w:cs="Times New Roman"/>
        </w:rPr>
        <w:t xml:space="preserve"> Wong</w:t>
      </w:r>
      <w:r w:rsidR="00B410BD" w:rsidRPr="00002445">
        <w:rPr>
          <w:rFonts w:ascii="Times New Roman" w:hAnsi="Times New Roman" w:cs="Times New Roman"/>
        </w:rPr>
        <w:t>,</w:t>
      </w:r>
      <w:r w:rsidRPr="00002445">
        <w:rPr>
          <w:rFonts w:ascii="Times New Roman" w:hAnsi="Times New Roman" w:cs="Times New Roman"/>
        </w:rPr>
        <w:t xml:space="preserve"> J</w:t>
      </w:r>
      <w:r w:rsidR="00B410BD" w:rsidRPr="00002445">
        <w:rPr>
          <w:rFonts w:ascii="Times New Roman" w:hAnsi="Times New Roman" w:cs="Times New Roman"/>
        </w:rPr>
        <w:t>.</w:t>
      </w:r>
      <w:r w:rsidRPr="00002445">
        <w:rPr>
          <w:rFonts w:ascii="Times New Roman" w:hAnsi="Times New Roman" w:cs="Times New Roman"/>
        </w:rPr>
        <w:t xml:space="preserve"> (2009)</w:t>
      </w:r>
      <w:r w:rsidR="00B410BD" w:rsidRPr="00002445">
        <w:rPr>
          <w:rFonts w:ascii="Times New Roman" w:hAnsi="Times New Roman" w:cs="Times New Roman"/>
        </w:rPr>
        <w:t>.</w:t>
      </w:r>
      <w:r w:rsidRPr="00002445">
        <w:rPr>
          <w:rFonts w:ascii="Times New Roman" w:hAnsi="Times New Roman" w:cs="Times New Roman"/>
        </w:rPr>
        <w:t xml:space="preserve"> Life transitions and daily stress processes. In</w:t>
      </w:r>
      <w:r w:rsidR="00B413DD" w:rsidRPr="00002445">
        <w:rPr>
          <w:rFonts w:ascii="Times New Roman" w:hAnsi="Times New Roman" w:cs="Times New Roman"/>
        </w:rPr>
        <w:t xml:space="preserve"> </w:t>
      </w:r>
      <w:r w:rsidR="0059022F" w:rsidRPr="00002445">
        <w:rPr>
          <w:rFonts w:ascii="Times New Roman" w:hAnsi="Times New Roman" w:cs="Times New Roman"/>
        </w:rPr>
        <w:t xml:space="preserve">G. H. </w:t>
      </w:r>
      <w:r w:rsidRPr="00002445">
        <w:rPr>
          <w:rFonts w:ascii="Times New Roman" w:hAnsi="Times New Roman" w:cs="Times New Roman"/>
        </w:rPr>
        <w:t>Elder</w:t>
      </w:r>
      <w:r w:rsidR="009D0B2A" w:rsidRPr="00002445">
        <w:rPr>
          <w:rFonts w:ascii="Times New Roman" w:hAnsi="Times New Roman" w:cs="Times New Roman"/>
        </w:rPr>
        <w:t xml:space="preserve"> &amp;</w:t>
      </w:r>
      <w:r w:rsidRPr="00002445">
        <w:rPr>
          <w:rFonts w:ascii="Times New Roman" w:hAnsi="Times New Roman" w:cs="Times New Roman"/>
        </w:rPr>
        <w:t xml:space="preserve"> </w:t>
      </w:r>
      <w:r w:rsidR="0059022F" w:rsidRPr="00002445">
        <w:rPr>
          <w:rFonts w:ascii="Times New Roman" w:hAnsi="Times New Roman" w:cs="Times New Roman"/>
        </w:rPr>
        <w:t xml:space="preserve">J. Z. </w:t>
      </w:r>
      <w:r w:rsidRPr="00002445">
        <w:rPr>
          <w:rFonts w:ascii="Times New Roman" w:hAnsi="Times New Roman" w:cs="Times New Roman"/>
        </w:rPr>
        <w:t>Giele (eds</w:t>
      </w:r>
      <w:r w:rsidR="001E251C"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The craft of life course research</w:t>
      </w:r>
      <w:r w:rsidR="00C041F9" w:rsidRPr="00002445">
        <w:rPr>
          <w:rFonts w:ascii="Times New Roman" w:hAnsi="Times New Roman" w:cs="Times New Roman"/>
        </w:rPr>
        <w:t>.</w:t>
      </w:r>
      <w:r w:rsidRPr="00002445">
        <w:rPr>
          <w:rFonts w:ascii="Times New Roman" w:hAnsi="Times New Roman" w:cs="Times New Roman"/>
        </w:rPr>
        <w:t xml:space="preserve"> Guilford Press.</w:t>
      </w:r>
    </w:p>
    <w:p w14:paraId="249A1F00" w14:textId="568B3EB4" w:rsidR="00496EF6" w:rsidRPr="00002445" w:rsidRDefault="0078610C">
      <w:pPr>
        <w:pStyle w:val="Bibliography"/>
        <w:rPr>
          <w:rFonts w:ascii="Times New Roman" w:hAnsi="Times New Roman" w:cs="Times New Roman"/>
        </w:rPr>
      </w:pPr>
      <w:bookmarkStart w:id="19" w:name="ref-bean1971a"/>
      <w:bookmarkEnd w:id="17"/>
      <w:r w:rsidRPr="00002445">
        <w:rPr>
          <w:rFonts w:ascii="Times New Roman" w:hAnsi="Times New Roman" w:cs="Times New Roman"/>
        </w:rPr>
        <w:t>Bean</w:t>
      </w:r>
      <w:r w:rsidR="00C041F9" w:rsidRPr="00002445">
        <w:rPr>
          <w:rFonts w:ascii="Times New Roman" w:hAnsi="Times New Roman" w:cs="Times New Roman"/>
        </w:rPr>
        <w:t>,</w:t>
      </w:r>
      <w:r w:rsidRPr="00002445">
        <w:rPr>
          <w:rFonts w:ascii="Times New Roman" w:hAnsi="Times New Roman" w:cs="Times New Roman"/>
        </w:rPr>
        <w:t xml:space="preserve"> P</w:t>
      </w:r>
      <w:r w:rsidR="00C041F9" w:rsidRPr="00002445">
        <w:rPr>
          <w:rFonts w:ascii="Times New Roman" w:hAnsi="Times New Roman" w:cs="Times New Roman"/>
        </w:rPr>
        <w:t>.</w:t>
      </w:r>
      <w:r w:rsidRPr="00002445">
        <w:rPr>
          <w:rFonts w:ascii="Times New Roman" w:hAnsi="Times New Roman" w:cs="Times New Roman"/>
        </w:rPr>
        <w:t xml:space="preserve"> (1971)</w:t>
      </w:r>
      <w:r w:rsidR="00C041F9" w:rsidRPr="00002445">
        <w:rPr>
          <w:rFonts w:ascii="Times New Roman" w:hAnsi="Times New Roman" w:cs="Times New Roman"/>
        </w:rPr>
        <w:t>.</w:t>
      </w:r>
      <w:r w:rsidRPr="00002445">
        <w:rPr>
          <w:rFonts w:ascii="Times New Roman" w:hAnsi="Times New Roman" w:cs="Times New Roman"/>
        </w:rPr>
        <w:t xml:space="preserve"> Social Aspects of Drug Abuse: A Study of London Drug Offenders. </w:t>
      </w:r>
      <w:r w:rsidRPr="00002445">
        <w:rPr>
          <w:rFonts w:ascii="Times New Roman" w:hAnsi="Times New Roman" w:cs="Times New Roman"/>
          <w:i/>
        </w:rPr>
        <w:t>The Journal of Criminal Law, Criminology, and Police Science</w:t>
      </w:r>
      <w:r w:rsidR="00163F0F" w:rsidRPr="00002445">
        <w:rPr>
          <w:rFonts w:ascii="Times New Roman" w:hAnsi="Times New Roman" w:cs="Times New Roman"/>
          <w:i/>
        </w:rPr>
        <w:t>,</w:t>
      </w:r>
      <w:r w:rsidR="00A33C12" w:rsidRPr="00002445">
        <w:rPr>
          <w:rFonts w:ascii="Times New Roman" w:hAnsi="Times New Roman" w:cs="Times New Roman"/>
        </w:rPr>
        <w:t xml:space="preserve"> 62(1)</w:t>
      </w:r>
      <w:r w:rsidR="00C041F9" w:rsidRPr="00002445">
        <w:rPr>
          <w:rFonts w:ascii="Times New Roman" w:hAnsi="Times New Roman" w:cs="Times New Roman"/>
        </w:rPr>
        <w:t xml:space="preserve">, </w:t>
      </w:r>
      <w:r w:rsidRPr="00002445">
        <w:rPr>
          <w:rFonts w:ascii="Times New Roman" w:hAnsi="Times New Roman" w:cs="Times New Roman"/>
        </w:rPr>
        <w:t xml:space="preserve">80. </w:t>
      </w:r>
    </w:p>
    <w:p w14:paraId="27D6E46F" w14:textId="7C52264C" w:rsidR="007052CB" w:rsidRPr="00002445" w:rsidRDefault="007052CB">
      <w:pPr>
        <w:pStyle w:val="Bibliography"/>
        <w:rPr>
          <w:rFonts w:ascii="Times New Roman" w:hAnsi="Times New Roman" w:cs="Times New Roman"/>
        </w:rPr>
      </w:pPr>
      <w:bookmarkStart w:id="20" w:name="ref-carlen1992a"/>
      <w:bookmarkEnd w:id="19"/>
      <w:r w:rsidRPr="00002445">
        <w:rPr>
          <w:rFonts w:ascii="Times New Roman" w:hAnsi="Times New Roman" w:cs="Times New Roman"/>
        </w:rPr>
        <w:t>Beder, J. (2004)</w:t>
      </w:r>
      <w:r w:rsidR="00B9539C" w:rsidRPr="00002445">
        <w:rPr>
          <w:rFonts w:ascii="Times New Roman" w:hAnsi="Times New Roman" w:cs="Times New Roman"/>
        </w:rPr>
        <w:t xml:space="preserve">. </w:t>
      </w:r>
      <w:r w:rsidRPr="00002445">
        <w:rPr>
          <w:rFonts w:ascii="Times New Roman" w:hAnsi="Times New Roman" w:cs="Times New Roman"/>
        </w:rPr>
        <w:t>Loss of the Assumptive World – how we deal with death and loss</w:t>
      </w:r>
      <w:r w:rsidR="006F58A5"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OMEGA: Journal of Death and Dying</w:t>
      </w:r>
      <w:r w:rsidRPr="00002445">
        <w:rPr>
          <w:rFonts w:ascii="Times New Roman" w:hAnsi="Times New Roman" w:cs="Times New Roman"/>
        </w:rPr>
        <w:t>, 50(4)</w:t>
      </w:r>
      <w:r w:rsidR="00D852E0" w:rsidRPr="00002445">
        <w:rPr>
          <w:rFonts w:ascii="Times New Roman" w:hAnsi="Times New Roman" w:cs="Times New Roman"/>
        </w:rPr>
        <w:t xml:space="preserve">, </w:t>
      </w:r>
      <w:r w:rsidRPr="00002445">
        <w:rPr>
          <w:rFonts w:ascii="Times New Roman" w:hAnsi="Times New Roman" w:cs="Times New Roman"/>
        </w:rPr>
        <w:t>255-265</w:t>
      </w:r>
      <w:r w:rsidR="00D852E0" w:rsidRPr="00002445">
        <w:rPr>
          <w:rFonts w:ascii="Times New Roman" w:hAnsi="Times New Roman" w:cs="Times New Roman"/>
        </w:rPr>
        <w:t>.</w:t>
      </w:r>
    </w:p>
    <w:p w14:paraId="7DAB198D" w14:textId="5894976C" w:rsidR="00496EF6" w:rsidRPr="00002445" w:rsidRDefault="0078610C">
      <w:pPr>
        <w:pStyle w:val="Bibliography"/>
        <w:rPr>
          <w:rFonts w:ascii="Times New Roman" w:hAnsi="Times New Roman" w:cs="Times New Roman"/>
        </w:rPr>
      </w:pPr>
      <w:r w:rsidRPr="00002445">
        <w:rPr>
          <w:rFonts w:ascii="Times New Roman" w:hAnsi="Times New Roman" w:cs="Times New Roman"/>
        </w:rPr>
        <w:t>Carlen</w:t>
      </w:r>
      <w:r w:rsidR="006F58A5" w:rsidRPr="00002445">
        <w:rPr>
          <w:rFonts w:ascii="Times New Roman" w:hAnsi="Times New Roman" w:cs="Times New Roman"/>
        </w:rPr>
        <w:t>,</w:t>
      </w:r>
      <w:r w:rsidRPr="00002445">
        <w:rPr>
          <w:rFonts w:ascii="Times New Roman" w:hAnsi="Times New Roman" w:cs="Times New Roman"/>
        </w:rPr>
        <w:t xml:space="preserve"> P</w:t>
      </w:r>
      <w:r w:rsidR="006F58A5" w:rsidRPr="00002445">
        <w:rPr>
          <w:rFonts w:ascii="Times New Roman" w:hAnsi="Times New Roman" w:cs="Times New Roman"/>
        </w:rPr>
        <w:t>.</w:t>
      </w:r>
      <w:r w:rsidRPr="00002445">
        <w:rPr>
          <w:rFonts w:ascii="Times New Roman" w:hAnsi="Times New Roman" w:cs="Times New Roman"/>
        </w:rPr>
        <w:t>, Gleeson</w:t>
      </w:r>
      <w:r w:rsidR="006F58A5" w:rsidRPr="00002445">
        <w:rPr>
          <w:rFonts w:ascii="Times New Roman" w:hAnsi="Times New Roman" w:cs="Times New Roman"/>
        </w:rPr>
        <w:t>,</w:t>
      </w:r>
      <w:r w:rsidRPr="00002445">
        <w:rPr>
          <w:rFonts w:ascii="Times New Roman" w:hAnsi="Times New Roman" w:cs="Times New Roman"/>
        </w:rPr>
        <w:t xml:space="preserve"> D</w:t>
      </w:r>
      <w:r w:rsidR="006F58A5" w:rsidRPr="00002445">
        <w:rPr>
          <w:rFonts w:ascii="Times New Roman" w:hAnsi="Times New Roman" w:cs="Times New Roman"/>
        </w:rPr>
        <w:t>., &amp;</w:t>
      </w:r>
      <w:r w:rsidRPr="00002445">
        <w:rPr>
          <w:rFonts w:ascii="Times New Roman" w:hAnsi="Times New Roman" w:cs="Times New Roman"/>
        </w:rPr>
        <w:t xml:space="preserve"> Wardhaugh</w:t>
      </w:r>
      <w:r w:rsidR="006F58A5" w:rsidRPr="00002445">
        <w:rPr>
          <w:rFonts w:ascii="Times New Roman" w:hAnsi="Times New Roman" w:cs="Times New Roman"/>
        </w:rPr>
        <w:t>,</w:t>
      </w:r>
      <w:r w:rsidRPr="00002445">
        <w:rPr>
          <w:rFonts w:ascii="Times New Roman" w:hAnsi="Times New Roman" w:cs="Times New Roman"/>
        </w:rPr>
        <w:t xml:space="preserve"> J</w:t>
      </w:r>
      <w:r w:rsidR="006F58A5" w:rsidRPr="00002445">
        <w:rPr>
          <w:rFonts w:ascii="Times New Roman" w:hAnsi="Times New Roman" w:cs="Times New Roman"/>
        </w:rPr>
        <w:t>.</w:t>
      </w:r>
      <w:r w:rsidRPr="00002445">
        <w:rPr>
          <w:rFonts w:ascii="Times New Roman" w:hAnsi="Times New Roman" w:cs="Times New Roman"/>
        </w:rPr>
        <w:t xml:space="preserve"> (1992)</w:t>
      </w:r>
      <w:r w:rsidR="006F58A5"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Truancy: The politics of compulsory schooling</w:t>
      </w:r>
      <w:r w:rsidRPr="00002445">
        <w:rPr>
          <w:rFonts w:ascii="Times New Roman" w:hAnsi="Times New Roman" w:cs="Times New Roman"/>
        </w:rPr>
        <w:t>. Open University Press.</w:t>
      </w:r>
    </w:p>
    <w:p w14:paraId="33273059" w14:textId="5E44B805" w:rsidR="00496EF6" w:rsidRPr="00002445" w:rsidRDefault="0078610C">
      <w:pPr>
        <w:pStyle w:val="Bibliography"/>
        <w:rPr>
          <w:rFonts w:ascii="Times New Roman" w:hAnsi="Times New Roman" w:cs="Times New Roman"/>
        </w:rPr>
      </w:pPr>
      <w:bookmarkStart w:id="21" w:name="ref-chappie1972a"/>
      <w:bookmarkEnd w:id="20"/>
      <w:r w:rsidRPr="00002445">
        <w:rPr>
          <w:rFonts w:ascii="Times New Roman" w:hAnsi="Times New Roman" w:cs="Times New Roman"/>
        </w:rPr>
        <w:t>Chappie</w:t>
      </w:r>
      <w:r w:rsidR="004A71AA" w:rsidRPr="00002445">
        <w:rPr>
          <w:rFonts w:ascii="Times New Roman" w:hAnsi="Times New Roman" w:cs="Times New Roman"/>
        </w:rPr>
        <w:t>,</w:t>
      </w:r>
      <w:r w:rsidRPr="00002445">
        <w:rPr>
          <w:rFonts w:ascii="Times New Roman" w:hAnsi="Times New Roman" w:cs="Times New Roman"/>
        </w:rPr>
        <w:t xml:space="preserve"> P</w:t>
      </w:r>
      <w:r w:rsidR="004A71AA" w:rsidRPr="00002445">
        <w:rPr>
          <w:rFonts w:ascii="Times New Roman" w:hAnsi="Times New Roman" w:cs="Times New Roman"/>
        </w:rPr>
        <w:t xml:space="preserve">. </w:t>
      </w:r>
      <w:r w:rsidRPr="00002445">
        <w:rPr>
          <w:rFonts w:ascii="Times New Roman" w:hAnsi="Times New Roman" w:cs="Times New Roman"/>
        </w:rPr>
        <w:t>A</w:t>
      </w:r>
      <w:r w:rsidR="004A71AA" w:rsidRPr="00002445">
        <w:rPr>
          <w:rFonts w:ascii="Times New Roman" w:hAnsi="Times New Roman" w:cs="Times New Roman"/>
        </w:rPr>
        <w:t xml:space="preserve">. </w:t>
      </w:r>
      <w:r w:rsidRPr="00002445">
        <w:rPr>
          <w:rFonts w:ascii="Times New Roman" w:hAnsi="Times New Roman" w:cs="Times New Roman"/>
        </w:rPr>
        <w:t>L</w:t>
      </w:r>
      <w:r w:rsidR="004A71AA" w:rsidRPr="00002445">
        <w:rPr>
          <w:rFonts w:ascii="Times New Roman" w:hAnsi="Times New Roman" w:cs="Times New Roman"/>
        </w:rPr>
        <w:t>.</w:t>
      </w:r>
      <w:r w:rsidRPr="00002445">
        <w:rPr>
          <w:rFonts w:ascii="Times New Roman" w:hAnsi="Times New Roman" w:cs="Times New Roman"/>
        </w:rPr>
        <w:t>, Somekh</w:t>
      </w:r>
      <w:r w:rsidR="00FA2FF1" w:rsidRPr="00002445">
        <w:rPr>
          <w:rFonts w:ascii="Times New Roman" w:hAnsi="Times New Roman" w:cs="Times New Roman"/>
        </w:rPr>
        <w:t>,</w:t>
      </w:r>
      <w:r w:rsidRPr="00002445">
        <w:rPr>
          <w:rFonts w:ascii="Times New Roman" w:hAnsi="Times New Roman" w:cs="Times New Roman"/>
        </w:rPr>
        <w:t xml:space="preserve"> D</w:t>
      </w:r>
      <w:r w:rsidR="00FA2FF1" w:rsidRPr="00002445">
        <w:rPr>
          <w:rFonts w:ascii="Times New Roman" w:hAnsi="Times New Roman" w:cs="Times New Roman"/>
        </w:rPr>
        <w:t xml:space="preserve">. </w:t>
      </w:r>
      <w:r w:rsidRPr="00002445">
        <w:rPr>
          <w:rFonts w:ascii="Times New Roman" w:hAnsi="Times New Roman" w:cs="Times New Roman"/>
        </w:rPr>
        <w:t>E</w:t>
      </w:r>
      <w:r w:rsidR="00FA2FF1" w:rsidRPr="00002445">
        <w:rPr>
          <w:rFonts w:ascii="Times New Roman" w:hAnsi="Times New Roman" w:cs="Times New Roman"/>
        </w:rPr>
        <w:t>.,</w:t>
      </w:r>
      <w:r w:rsidRPr="00002445">
        <w:rPr>
          <w:rFonts w:ascii="Times New Roman" w:hAnsi="Times New Roman" w:cs="Times New Roman"/>
        </w:rPr>
        <w:t xml:space="preserve"> </w:t>
      </w:r>
      <w:r w:rsidR="00FA2FF1" w:rsidRPr="00002445">
        <w:rPr>
          <w:rFonts w:ascii="Times New Roman" w:hAnsi="Times New Roman" w:cs="Times New Roman"/>
        </w:rPr>
        <w:t>&amp;</w:t>
      </w:r>
      <w:r w:rsidRPr="00002445">
        <w:rPr>
          <w:rFonts w:ascii="Times New Roman" w:hAnsi="Times New Roman" w:cs="Times New Roman"/>
        </w:rPr>
        <w:t xml:space="preserve"> Taylor</w:t>
      </w:r>
      <w:r w:rsidR="00FA2FF1" w:rsidRPr="00002445">
        <w:rPr>
          <w:rFonts w:ascii="Times New Roman" w:hAnsi="Times New Roman" w:cs="Times New Roman"/>
        </w:rPr>
        <w:t>,</w:t>
      </w:r>
      <w:r w:rsidRPr="00002445">
        <w:rPr>
          <w:rFonts w:ascii="Times New Roman" w:hAnsi="Times New Roman" w:cs="Times New Roman"/>
        </w:rPr>
        <w:t xml:space="preserve"> M</w:t>
      </w:r>
      <w:r w:rsidR="00FA2FF1" w:rsidRPr="00002445">
        <w:rPr>
          <w:rFonts w:ascii="Times New Roman" w:hAnsi="Times New Roman" w:cs="Times New Roman"/>
        </w:rPr>
        <w:t xml:space="preserve">. </w:t>
      </w:r>
      <w:r w:rsidRPr="00002445">
        <w:rPr>
          <w:rFonts w:ascii="Times New Roman" w:hAnsi="Times New Roman" w:cs="Times New Roman"/>
        </w:rPr>
        <w:t>E</w:t>
      </w:r>
      <w:r w:rsidR="00FA2FF1" w:rsidRPr="00002445">
        <w:rPr>
          <w:rFonts w:ascii="Times New Roman" w:hAnsi="Times New Roman" w:cs="Times New Roman"/>
        </w:rPr>
        <w:t>.</w:t>
      </w:r>
      <w:r w:rsidRPr="00002445">
        <w:rPr>
          <w:rFonts w:ascii="Times New Roman" w:hAnsi="Times New Roman" w:cs="Times New Roman"/>
        </w:rPr>
        <w:t xml:space="preserve"> (1972)</w:t>
      </w:r>
      <w:r w:rsidR="00D852E0" w:rsidRPr="00002445">
        <w:rPr>
          <w:rFonts w:ascii="Times New Roman" w:hAnsi="Times New Roman" w:cs="Times New Roman"/>
        </w:rPr>
        <w:t>.</w:t>
      </w:r>
      <w:r w:rsidRPr="00002445">
        <w:rPr>
          <w:rFonts w:ascii="Times New Roman" w:hAnsi="Times New Roman" w:cs="Times New Roman"/>
        </w:rPr>
        <w:t xml:space="preserve"> A Five-Year Follow-up of 108 Cases of Opiate Addiction. </w:t>
      </w:r>
      <w:r w:rsidRPr="00002445">
        <w:rPr>
          <w:rFonts w:ascii="Times New Roman" w:hAnsi="Times New Roman" w:cs="Times New Roman"/>
          <w:i/>
        </w:rPr>
        <w:t>British Journal of Addiction to Alcohol &amp; Other Drugs</w:t>
      </w:r>
      <w:r w:rsidR="00D11662" w:rsidRPr="00002445">
        <w:rPr>
          <w:rFonts w:ascii="Times New Roman" w:hAnsi="Times New Roman" w:cs="Times New Roman"/>
          <w:i/>
        </w:rPr>
        <w:t>,</w:t>
      </w:r>
      <w:r w:rsidRPr="00002445">
        <w:rPr>
          <w:rFonts w:ascii="Times New Roman" w:hAnsi="Times New Roman" w:cs="Times New Roman"/>
        </w:rPr>
        <w:t xml:space="preserve"> 67(1)</w:t>
      </w:r>
      <w:r w:rsidR="00D852E0" w:rsidRPr="00002445">
        <w:rPr>
          <w:rFonts w:ascii="Times New Roman" w:hAnsi="Times New Roman" w:cs="Times New Roman"/>
        </w:rPr>
        <w:t xml:space="preserve">, </w:t>
      </w:r>
      <w:r w:rsidRPr="00002445">
        <w:rPr>
          <w:rFonts w:ascii="Times New Roman" w:hAnsi="Times New Roman" w:cs="Times New Roman"/>
        </w:rPr>
        <w:t xml:space="preserve">33–38. </w:t>
      </w:r>
    </w:p>
    <w:p w14:paraId="39D840FE" w14:textId="003F162B" w:rsidR="00185B26" w:rsidRPr="00002445" w:rsidRDefault="00185B26" w:rsidP="00185B26">
      <w:pPr>
        <w:keepNext/>
        <w:spacing w:after="0"/>
        <w:outlineLvl w:val="0"/>
        <w:rPr>
          <w:rFonts w:ascii="Times New Roman" w:eastAsia="Times New Roman" w:hAnsi="Times New Roman" w:cs="Times New Roman"/>
          <w:lang w:val="en-US"/>
        </w:rPr>
      </w:pPr>
      <w:bookmarkStart w:id="22" w:name="ref-farrall2019a"/>
      <w:bookmarkEnd w:id="21"/>
      <w:r w:rsidRPr="00002445">
        <w:rPr>
          <w:rFonts w:ascii="Times New Roman" w:eastAsia="Times New Roman" w:hAnsi="Times New Roman" w:cs="Times New Roman"/>
        </w:rPr>
        <w:lastRenderedPageBreak/>
        <w:t>Farrall, S., Gray, E., Jennings, W.</w:t>
      </w:r>
      <w:r w:rsidR="004A71AA" w:rsidRPr="00002445">
        <w:rPr>
          <w:rFonts w:ascii="Times New Roman" w:eastAsia="Times New Roman" w:hAnsi="Times New Roman" w:cs="Times New Roman"/>
        </w:rPr>
        <w:t>, &amp;</w:t>
      </w:r>
      <w:r w:rsidRPr="00002445">
        <w:rPr>
          <w:rFonts w:ascii="Times New Roman" w:eastAsia="Times New Roman" w:hAnsi="Times New Roman" w:cs="Times New Roman"/>
        </w:rPr>
        <w:t xml:space="preserve"> Hay, C. (2016)</w:t>
      </w:r>
      <w:r w:rsidR="004A71AA" w:rsidRPr="00002445">
        <w:rPr>
          <w:rFonts w:ascii="Times New Roman" w:eastAsia="Times New Roman" w:hAnsi="Times New Roman" w:cs="Times New Roman"/>
        </w:rPr>
        <w:t>.</w:t>
      </w:r>
      <w:r w:rsidRPr="00002445">
        <w:rPr>
          <w:rFonts w:ascii="Times New Roman" w:eastAsia="Times New Roman" w:hAnsi="Times New Roman" w:cs="Times New Roman"/>
        </w:rPr>
        <w:t xml:space="preserve"> Thatcherite Ideology, Housing Tenure, and Crime: The Socio-Spatial Consequences of the Right to Buy for Domestic Property Crime</w:t>
      </w:r>
      <w:r w:rsidR="00D11662" w:rsidRPr="00002445">
        <w:rPr>
          <w:rFonts w:ascii="Times New Roman" w:eastAsia="Times New Roman" w:hAnsi="Times New Roman" w:cs="Times New Roman"/>
        </w:rPr>
        <w:t>.</w:t>
      </w:r>
      <w:r w:rsidRPr="00002445">
        <w:rPr>
          <w:rFonts w:ascii="Times New Roman" w:eastAsia="Times New Roman" w:hAnsi="Times New Roman" w:cs="Times New Roman"/>
          <w:b/>
          <w:bCs/>
          <w:lang w:val="en-US"/>
        </w:rPr>
        <w:t xml:space="preserve"> </w:t>
      </w:r>
      <w:r w:rsidRPr="00002445">
        <w:rPr>
          <w:rFonts w:ascii="Times New Roman" w:eastAsia="Times New Roman" w:hAnsi="Times New Roman" w:cs="Times New Roman"/>
          <w:i/>
          <w:iCs/>
          <w:lang w:val="en-US"/>
        </w:rPr>
        <w:t>British Journal of Criminology</w:t>
      </w:r>
      <w:r w:rsidRPr="00002445">
        <w:rPr>
          <w:rFonts w:ascii="Times New Roman" w:eastAsia="Times New Roman" w:hAnsi="Times New Roman" w:cs="Times New Roman"/>
          <w:lang w:val="en-US"/>
        </w:rPr>
        <w:t>, 56(6)</w:t>
      </w:r>
      <w:r w:rsidR="004A71AA" w:rsidRPr="00002445">
        <w:rPr>
          <w:rFonts w:ascii="Times New Roman" w:eastAsia="Times New Roman" w:hAnsi="Times New Roman" w:cs="Times New Roman"/>
          <w:lang w:val="en-US"/>
        </w:rPr>
        <w:t>,</w:t>
      </w:r>
      <w:r w:rsidRPr="00002445">
        <w:rPr>
          <w:rFonts w:ascii="Times New Roman" w:eastAsia="Times New Roman" w:hAnsi="Times New Roman" w:cs="Times New Roman"/>
          <w:lang w:val="en-US"/>
        </w:rPr>
        <w:t xml:space="preserve"> 1235-1252.</w:t>
      </w:r>
    </w:p>
    <w:p w14:paraId="74B00E80" w14:textId="77777777" w:rsidR="00185B26" w:rsidRPr="00002445" w:rsidRDefault="00185B26" w:rsidP="00185B26">
      <w:pPr>
        <w:keepNext/>
        <w:spacing w:after="0"/>
        <w:outlineLvl w:val="0"/>
        <w:rPr>
          <w:rFonts w:ascii="Times New Roman" w:eastAsia="Times New Roman" w:hAnsi="Times New Roman" w:cs="Times New Roman"/>
        </w:rPr>
      </w:pPr>
    </w:p>
    <w:p w14:paraId="7D2B79BA" w14:textId="3F6C42D1" w:rsidR="00496EF6" w:rsidRPr="00002445" w:rsidRDefault="5CBE897B">
      <w:pPr>
        <w:pStyle w:val="Bibliography"/>
        <w:rPr>
          <w:rFonts w:ascii="Times New Roman" w:hAnsi="Times New Roman" w:cs="Times New Roman"/>
        </w:rPr>
      </w:pPr>
      <w:commentRangeStart w:id="23"/>
      <w:commentRangeStart w:id="24"/>
      <w:r w:rsidRPr="00002445">
        <w:rPr>
          <w:rFonts w:ascii="Times New Roman" w:hAnsi="Times New Roman" w:cs="Times New Roman"/>
        </w:rPr>
        <w:t>Farrall</w:t>
      </w:r>
      <w:r w:rsidR="00B169F3" w:rsidRPr="00002445">
        <w:rPr>
          <w:rFonts w:ascii="Times New Roman" w:hAnsi="Times New Roman" w:cs="Times New Roman"/>
        </w:rPr>
        <w:t>,</w:t>
      </w:r>
      <w:r w:rsidRPr="00002445">
        <w:rPr>
          <w:rFonts w:ascii="Times New Roman" w:hAnsi="Times New Roman" w:cs="Times New Roman"/>
        </w:rPr>
        <w:t xml:space="preserve"> S</w:t>
      </w:r>
      <w:r w:rsidR="00B169F3" w:rsidRPr="00002445">
        <w:rPr>
          <w:rFonts w:ascii="Times New Roman" w:hAnsi="Times New Roman" w:cs="Times New Roman"/>
        </w:rPr>
        <w:t>.</w:t>
      </w:r>
      <w:r w:rsidRPr="00002445">
        <w:rPr>
          <w:rFonts w:ascii="Times New Roman" w:hAnsi="Times New Roman" w:cs="Times New Roman"/>
        </w:rPr>
        <w:t>, Gray</w:t>
      </w:r>
      <w:r w:rsidR="00B169F3" w:rsidRPr="00002445">
        <w:rPr>
          <w:rFonts w:ascii="Times New Roman" w:hAnsi="Times New Roman" w:cs="Times New Roman"/>
        </w:rPr>
        <w:t>,</w:t>
      </w:r>
      <w:r w:rsidRPr="00002445">
        <w:rPr>
          <w:rFonts w:ascii="Times New Roman" w:hAnsi="Times New Roman" w:cs="Times New Roman"/>
        </w:rPr>
        <w:t xml:space="preserve"> E</w:t>
      </w:r>
      <w:r w:rsidR="00B169F3" w:rsidRPr="00002445">
        <w:rPr>
          <w:rFonts w:ascii="Times New Roman" w:hAnsi="Times New Roman" w:cs="Times New Roman"/>
        </w:rPr>
        <w:t>., &amp;</w:t>
      </w:r>
      <w:r w:rsidRPr="00002445">
        <w:rPr>
          <w:rFonts w:ascii="Times New Roman" w:hAnsi="Times New Roman" w:cs="Times New Roman"/>
        </w:rPr>
        <w:t xml:space="preserve"> Jones</w:t>
      </w:r>
      <w:r w:rsidR="00D11662" w:rsidRPr="00002445">
        <w:rPr>
          <w:rFonts w:ascii="Times New Roman" w:hAnsi="Times New Roman" w:cs="Times New Roman"/>
        </w:rPr>
        <w:t>,</w:t>
      </w:r>
      <w:r w:rsidRPr="00002445">
        <w:rPr>
          <w:rFonts w:ascii="Times New Roman" w:hAnsi="Times New Roman" w:cs="Times New Roman"/>
        </w:rPr>
        <w:t xml:space="preserve"> P</w:t>
      </w:r>
      <w:r w:rsidR="00B169F3" w:rsidRPr="00002445">
        <w:rPr>
          <w:rFonts w:ascii="Times New Roman" w:hAnsi="Times New Roman" w:cs="Times New Roman"/>
        </w:rPr>
        <w:t>.</w:t>
      </w:r>
      <w:r w:rsidRPr="00002445">
        <w:rPr>
          <w:rFonts w:ascii="Times New Roman" w:hAnsi="Times New Roman" w:cs="Times New Roman"/>
        </w:rPr>
        <w:t xml:space="preserve"> </w:t>
      </w:r>
      <w:r w:rsidR="660D25CB" w:rsidRPr="00002445">
        <w:rPr>
          <w:rFonts w:ascii="Times New Roman" w:hAnsi="Times New Roman" w:cs="Times New Roman"/>
        </w:rPr>
        <w:t>M</w:t>
      </w:r>
      <w:r w:rsidR="00B169F3" w:rsidRPr="00002445">
        <w:rPr>
          <w:rFonts w:ascii="Times New Roman" w:hAnsi="Times New Roman" w:cs="Times New Roman"/>
        </w:rPr>
        <w:t>.</w:t>
      </w:r>
      <w:r w:rsidR="660D25CB" w:rsidRPr="00002445">
        <w:rPr>
          <w:rFonts w:ascii="Times New Roman" w:hAnsi="Times New Roman" w:cs="Times New Roman"/>
        </w:rPr>
        <w:t xml:space="preserve"> </w:t>
      </w:r>
      <w:r w:rsidRPr="00002445">
        <w:rPr>
          <w:rFonts w:ascii="Times New Roman" w:hAnsi="Times New Roman" w:cs="Times New Roman"/>
        </w:rPr>
        <w:t>(2019</w:t>
      </w:r>
      <w:r w:rsidR="008F7A41">
        <w:rPr>
          <w:rFonts w:ascii="Times New Roman" w:hAnsi="Times New Roman" w:cs="Times New Roman"/>
        </w:rPr>
        <w:t>a</w:t>
      </w:r>
      <w:r w:rsidRPr="00002445">
        <w:rPr>
          <w:rFonts w:ascii="Times New Roman" w:hAnsi="Times New Roman" w:cs="Times New Roman"/>
        </w:rPr>
        <w:t>)</w:t>
      </w:r>
      <w:r w:rsidR="00B169F3" w:rsidRPr="00002445">
        <w:rPr>
          <w:rFonts w:ascii="Times New Roman" w:hAnsi="Times New Roman" w:cs="Times New Roman"/>
        </w:rPr>
        <w:t>.</w:t>
      </w:r>
      <w:r w:rsidRPr="00002445">
        <w:rPr>
          <w:rFonts w:ascii="Times New Roman" w:hAnsi="Times New Roman" w:cs="Times New Roman"/>
        </w:rPr>
        <w:t xml:space="preserve"> The Role of Radical Economic Restructuring in Truancy from School and Engagement in Crime. </w:t>
      </w:r>
      <w:r w:rsidRPr="00002445">
        <w:rPr>
          <w:rFonts w:ascii="Times New Roman" w:hAnsi="Times New Roman" w:cs="Times New Roman"/>
          <w:i/>
          <w:iCs/>
        </w:rPr>
        <w:t>The British Journal of Criminology</w:t>
      </w:r>
      <w:r w:rsidR="00D11662" w:rsidRPr="00002445">
        <w:rPr>
          <w:rFonts w:ascii="Times New Roman" w:hAnsi="Times New Roman" w:cs="Times New Roman"/>
          <w:i/>
          <w:iCs/>
        </w:rPr>
        <w:t>,</w:t>
      </w:r>
      <w:r w:rsidR="00A33C12" w:rsidRPr="00002445">
        <w:rPr>
          <w:rFonts w:ascii="Times New Roman" w:hAnsi="Times New Roman" w:cs="Times New Roman"/>
        </w:rPr>
        <w:t xml:space="preserve"> 60(1)</w:t>
      </w:r>
      <w:r w:rsidR="00B169F3" w:rsidRPr="00002445">
        <w:rPr>
          <w:rFonts w:ascii="Times New Roman" w:hAnsi="Times New Roman" w:cs="Times New Roman"/>
        </w:rPr>
        <w:t xml:space="preserve">, </w:t>
      </w:r>
      <w:r w:rsidRPr="00002445">
        <w:rPr>
          <w:rFonts w:ascii="Times New Roman" w:hAnsi="Times New Roman" w:cs="Times New Roman"/>
        </w:rPr>
        <w:t>118–140.</w:t>
      </w:r>
    </w:p>
    <w:p w14:paraId="23A8DA72" w14:textId="374C2CE2" w:rsidR="00CD2B59" w:rsidRPr="00002445" w:rsidRDefault="00CD2B59" w:rsidP="00CD2B59">
      <w:pPr>
        <w:spacing w:after="0"/>
        <w:rPr>
          <w:rFonts w:ascii="Times New Roman" w:eastAsia="Times New Roman" w:hAnsi="Times New Roman" w:cs="Times New Roman"/>
          <w:i/>
        </w:rPr>
      </w:pPr>
      <w:bookmarkStart w:id="25" w:name="ref-fazey1990a"/>
      <w:bookmarkEnd w:id="22"/>
      <w:r w:rsidRPr="00002445">
        <w:rPr>
          <w:rFonts w:ascii="Times New Roman" w:eastAsia="Times New Roman" w:hAnsi="Times New Roman" w:cs="Times New Roman"/>
        </w:rPr>
        <w:t xml:space="preserve">Farrall, S., Gray, </w:t>
      </w:r>
      <w:r w:rsidR="00B169F3" w:rsidRPr="00002445">
        <w:rPr>
          <w:rFonts w:ascii="Times New Roman" w:eastAsia="Times New Roman" w:hAnsi="Times New Roman" w:cs="Times New Roman"/>
        </w:rPr>
        <w:t>E.,</w:t>
      </w:r>
      <w:r w:rsidRPr="00002445">
        <w:rPr>
          <w:rFonts w:ascii="Times New Roman" w:eastAsia="Times New Roman" w:hAnsi="Times New Roman" w:cs="Times New Roman"/>
        </w:rPr>
        <w:t xml:space="preserve"> </w:t>
      </w:r>
      <w:r w:rsidR="00B169F3" w:rsidRPr="00002445">
        <w:rPr>
          <w:rFonts w:ascii="Times New Roman" w:eastAsia="Times New Roman" w:hAnsi="Times New Roman" w:cs="Times New Roman"/>
        </w:rPr>
        <w:t>&amp;</w:t>
      </w:r>
      <w:r w:rsidRPr="00002445">
        <w:rPr>
          <w:rFonts w:ascii="Times New Roman" w:eastAsia="Times New Roman" w:hAnsi="Times New Roman" w:cs="Times New Roman"/>
        </w:rPr>
        <w:t xml:space="preserve"> Jones</w:t>
      </w:r>
      <w:r w:rsidR="00B169F3" w:rsidRPr="00002445">
        <w:rPr>
          <w:rFonts w:ascii="Times New Roman" w:eastAsia="Times New Roman" w:hAnsi="Times New Roman" w:cs="Times New Roman"/>
        </w:rPr>
        <w:t>, P. M.</w:t>
      </w:r>
      <w:r w:rsidRPr="00002445">
        <w:rPr>
          <w:rFonts w:ascii="Times New Roman" w:eastAsia="Times New Roman" w:hAnsi="Times New Roman" w:cs="Times New Roman"/>
        </w:rPr>
        <w:t xml:space="preserve"> (2019</w:t>
      </w:r>
      <w:r w:rsidR="008F7A41">
        <w:rPr>
          <w:rFonts w:ascii="Times New Roman" w:eastAsia="Times New Roman" w:hAnsi="Times New Roman" w:cs="Times New Roman"/>
        </w:rPr>
        <w:t>b</w:t>
      </w:r>
      <w:r w:rsidRPr="00002445">
        <w:rPr>
          <w:rFonts w:ascii="Times New Roman" w:eastAsia="Times New Roman" w:hAnsi="Times New Roman" w:cs="Times New Roman"/>
        </w:rPr>
        <w:t>)</w:t>
      </w:r>
      <w:r w:rsidR="006C114A" w:rsidRPr="00002445">
        <w:rPr>
          <w:rFonts w:ascii="Times New Roman" w:eastAsia="Times New Roman" w:hAnsi="Times New Roman" w:cs="Times New Roman"/>
        </w:rPr>
        <w:t>.</w:t>
      </w:r>
      <w:r w:rsidRPr="00002445">
        <w:rPr>
          <w:rFonts w:ascii="Times New Roman" w:eastAsia="Times New Roman" w:hAnsi="Times New Roman" w:cs="Times New Roman"/>
        </w:rPr>
        <w:t xml:space="preserve"> </w:t>
      </w:r>
      <w:r w:rsidRPr="00002445">
        <w:rPr>
          <w:rFonts w:ascii="Times New Roman" w:eastAsia="Times New Roman" w:hAnsi="Times New Roman" w:cs="Times New Roman"/>
          <w:iCs/>
        </w:rPr>
        <w:t>Council House Sales, Homelessness and Contact with the Criminal Justice System: Evidence from the NCDS and BCS70 Birth Cohorts</w:t>
      </w:r>
      <w:r w:rsidR="00D11662" w:rsidRPr="00002445">
        <w:rPr>
          <w:rFonts w:ascii="Times New Roman" w:eastAsia="Times New Roman" w:hAnsi="Times New Roman" w:cs="Times New Roman"/>
          <w:iCs/>
        </w:rPr>
        <w:t>.</w:t>
      </w:r>
      <w:r w:rsidRPr="00002445">
        <w:rPr>
          <w:rFonts w:ascii="Times New Roman" w:eastAsia="Times New Roman" w:hAnsi="Times New Roman" w:cs="Times New Roman"/>
          <w:i/>
        </w:rPr>
        <w:t xml:space="preserve"> </w:t>
      </w:r>
      <w:r w:rsidRPr="00002445">
        <w:rPr>
          <w:rFonts w:ascii="Times New Roman" w:eastAsia="Times New Roman" w:hAnsi="Times New Roman" w:cs="Times New Roman"/>
          <w:bCs/>
          <w:i/>
          <w:iCs/>
        </w:rPr>
        <w:t>Geoforum</w:t>
      </w:r>
      <w:r w:rsidRPr="00002445">
        <w:rPr>
          <w:rFonts w:ascii="Times New Roman" w:eastAsia="Times New Roman" w:hAnsi="Times New Roman" w:cs="Times New Roman"/>
        </w:rPr>
        <w:t>, 107</w:t>
      </w:r>
      <w:r w:rsidR="006C114A" w:rsidRPr="00002445">
        <w:rPr>
          <w:rFonts w:ascii="Times New Roman" w:eastAsia="Times New Roman" w:hAnsi="Times New Roman" w:cs="Times New Roman"/>
        </w:rPr>
        <w:t xml:space="preserve">, </w:t>
      </w:r>
      <w:r w:rsidRPr="00002445">
        <w:rPr>
          <w:rFonts w:ascii="Times New Roman" w:eastAsia="Times New Roman" w:hAnsi="Times New Roman" w:cs="Times New Roman"/>
        </w:rPr>
        <w:t>188-198</w:t>
      </w:r>
      <w:r w:rsidRPr="00002445">
        <w:rPr>
          <w:rFonts w:ascii="Times New Roman" w:eastAsia="Times New Roman" w:hAnsi="Times New Roman" w:cs="Times New Roman"/>
          <w:i/>
        </w:rPr>
        <w:t>.</w:t>
      </w:r>
      <w:commentRangeEnd w:id="23"/>
      <w:r w:rsidR="00203E15" w:rsidRPr="00002445">
        <w:rPr>
          <w:rStyle w:val="CommentReference"/>
          <w:rFonts w:ascii="Times New Roman" w:hAnsi="Times New Roman" w:cs="Times New Roman"/>
        </w:rPr>
        <w:commentReference w:id="23"/>
      </w:r>
      <w:commentRangeEnd w:id="24"/>
      <w:r w:rsidR="00225B24">
        <w:rPr>
          <w:rStyle w:val="CommentReference"/>
        </w:rPr>
        <w:commentReference w:id="24"/>
      </w:r>
    </w:p>
    <w:p w14:paraId="1E0B9F3F" w14:textId="77777777" w:rsidR="00CD2B59" w:rsidRPr="00002445" w:rsidRDefault="00CD2B59" w:rsidP="00CD2B59">
      <w:pPr>
        <w:spacing w:after="0"/>
        <w:rPr>
          <w:rFonts w:ascii="Times New Roman" w:eastAsia="Times New Roman" w:hAnsi="Times New Roman" w:cs="Times New Roman"/>
          <w:i/>
        </w:rPr>
      </w:pPr>
    </w:p>
    <w:p w14:paraId="4DD219F5" w14:textId="69B0A9A6" w:rsidR="005734BD" w:rsidRPr="00002445" w:rsidRDefault="005734BD" w:rsidP="005734BD">
      <w:pPr>
        <w:pStyle w:val="Bibliography"/>
        <w:rPr>
          <w:rFonts w:ascii="Times New Roman" w:hAnsi="Times New Roman" w:cs="Times New Roman"/>
          <w:bCs/>
        </w:rPr>
      </w:pPr>
      <w:r w:rsidRPr="00002445">
        <w:rPr>
          <w:rFonts w:ascii="Times New Roman" w:hAnsi="Times New Roman" w:cs="Times New Roman"/>
          <w:bCs/>
        </w:rPr>
        <w:t>Farrall, S., Gray, E.</w:t>
      </w:r>
      <w:r w:rsidR="006C114A" w:rsidRPr="00002445">
        <w:rPr>
          <w:rFonts w:ascii="Times New Roman" w:hAnsi="Times New Roman" w:cs="Times New Roman"/>
          <w:bCs/>
        </w:rPr>
        <w:t>, &amp;</w:t>
      </w:r>
      <w:r w:rsidRPr="00002445">
        <w:rPr>
          <w:rFonts w:ascii="Times New Roman" w:hAnsi="Times New Roman" w:cs="Times New Roman"/>
          <w:bCs/>
        </w:rPr>
        <w:t xml:space="preserve"> </w:t>
      </w:r>
      <w:r w:rsidR="00873918" w:rsidRPr="00002445">
        <w:rPr>
          <w:rFonts w:ascii="Times New Roman" w:hAnsi="Times New Roman" w:cs="Times New Roman"/>
          <w:bCs/>
        </w:rPr>
        <w:t xml:space="preserve">Mike </w:t>
      </w:r>
      <w:r w:rsidRPr="00002445">
        <w:rPr>
          <w:rFonts w:ascii="Times New Roman" w:hAnsi="Times New Roman" w:cs="Times New Roman"/>
          <w:bCs/>
        </w:rPr>
        <w:t>Jones, P. (2020)</w:t>
      </w:r>
      <w:r w:rsidR="006C114A" w:rsidRPr="00002445">
        <w:rPr>
          <w:rFonts w:ascii="Times New Roman" w:hAnsi="Times New Roman" w:cs="Times New Roman"/>
          <w:bCs/>
        </w:rPr>
        <w:t>.</w:t>
      </w:r>
      <w:r w:rsidRPr="00002445">
        <w:rPr>
          <w:rFonts w:ascii="Times New Roman" w:hAnsi="Times New Roman" w:cs="Times New Roman"/>
          <w:bCs/>
        </w:rPr>
        <w:t xml:space="preserve"> </w:t>
      </w:r>
      <w:r w:rsidRPr="00002445">
        <w:rPr>
          <w:rFonts w:ascii="Times New Roman" w:hAnsi="Times New Roman" w:cs="Times New Roman"/>
          <w:bCs/>
          <w:iCs/>
        </w:rPr>
        <w:t>Politics, Social and Economic Change and Crime: Exploring the Impact of Contextual Effects on Offending Trajectories</w:t>
      </w:r>
      <w:r w:rsidR="00597807" w:rsidRPr="00002445">
        <w:rPr>
          <w:rFonts w:ascii="Times New Roman" w:hAnsi="Times New Roman" w:cs="Times New Roman"/>
          <w:bCs/>
        </w:rPr>
        <w:t>.</w:t>
      </w:r>
      <w:r w:rsidRPr="00002445">
        <w:rPr>
          <w:rFonts w:ascii="Times New Roman" w:hAnsi="Times New Roman" w:cs="Times New Roman"/>
          <w:bCs/>
        </w:rPr>
        <w:t xml:space="preserve"> </w:t>
      </w:r>
      <w:r w:rsidRPr="00002445">
        <w:rPr>
          <w:rFonts w:ascii="Times New Roman" w:hAnsi="Times New Roman" w:cs="Times New Roman"/>
          <w:i/>
          <w:iCs/>
        </w:rPr>
        <w:t>Politics and Society,</w:t>
      </w:r>
      <w:r w:rsidRPr="00002445">
        <w:rPr>
          <w:rFonts w:ascii="Times New Roman" w:hAnsi="Times New Roman" w:cs="Times New Roman"/>
          <w:bCs/>
        </w:rPr>
        <w:t xml:space="preserve"> 48(3)</w:t>
      </w:r>
      <w:r w:rsidR="006C114A" w:rsidRPr="00002445">
        <w:rPr>
          <w:rFonts w:ascii="Times New Roman" w:hAnsi="Times New Roman" w:cs="Times New Roman"/>
          <w:bCs/>
        </w:rPr>
        <w:t xml:space="preserve">, </w:t>
      </w:r>
      <w:r w:rsidRPr="00002445">
        <w:rPr>
          <w:rFonts w:ascii="Times New Roman" w:hAnsi="Times New Roman" w:cs="Times New Roman"/>
          <w:bCs/>
        </w:rPr>
        <w:t>357-388.</w:t>
      </w:r>
    </w:p>
    <w:p w14:paraId="3952C4F7" w14:textId="39693E9D" w:rsidR="001A5CC5" w:rsidRPr="00002445" w:rsidRDefault="001A5CC5" w:rsidP="001A5CC5">
      <w:pPr>
        <w:pStyle w:val="Bibliography"/>
        <w:rPr>
          <w:rFonts w:ascii="Times New Roman" w:hAnsi="Times New Roman" w:cs="Times New Roman"/>
          <w:bCs/>
        </w:rPr>
      </w:pPr>
      <w:r w:rsidRPr="00002445">
        <w:rPr>
          <w:rFonts w:ascii="Times New Roman" w:hAnsi="Times New Roman" w:cs="Times New Roman"/>
          <w:bCs/>
        </w:rPr>
        <w:t>Farrall, S., Hay, C.</w:t>
      </w:r>
      <w:r w:rsidR="006C114A" w:rsidRPr="00002445">
        <w:rPr>
          <w:rFonts w:ascii="Times New Roman" w:hAnsi="Times New Roman" w:cs="Times New Roman"/>
          <w:bCs/>
        </w:rPr>
        <w:t>, &amp;</w:t>
      </w:r>
      <w:r w:rsidRPr="00002445">
        <w:rPr>
          <w:rFonts w:ascii="Times New Roman" w:hAnsi="Times New Roman" w:cs="Times New Roman"/>
          <w:bCs/>
        </w:rPr>
        <w:t xml:space="preserve"> Gray, E. (2020)</w:t>
      </w:r>
      <w:r w:rsidR="00034492" w:rsidRPr="00002445">
        <w:rPr>
          <w:rFonts w:ascii="Times New Roman" w:hAnsi="Times New Roman" w:cs="Times New Roman"/>
          <w:bCs/>
        </w:rPr>
        <w:t>.</w:t>
      </w:r>
      <w:r w:rsidRPr="00002445">
        <w:rPr>
          <w:rFonts w:ascii="Times New Roman" w:hAnsi="Times New Roman" w:cs="Times New Roman"/>
          <w:bCs/>
        </w:rPr>
        <w:t xml:space="preserve"> </w:t>
      </w:r>
      <w:r w:rsidRPr="00002445">
        <w:rPr>
          <w:rFonts w:ascii="Times New Roman" w:hAnsi="Times New Roman" w:cs="Times New Roman"/>
          <w:i/>
          <w:iCs/>
        </w:rPr>
        <w:t>Exploring Political Legacies</w:t>
      </w:r>
      <w:r w:rsidR="00597807" w:rsidRPr="00002445">
        <w:rPr>
          <w:rFonts w:ascii="Times New Roman" w:hAnsi="Times New Roman" w:cs="Times New Roman"/>
          <w:bCs/>
        </w:rPr>
        <w:t>.</w:t>
      </w:r>
      <w:r w:rsidRPr="00002445">
        <w:rPr>
          <w:rFonts w:ascii="Times New Roman" w:hAnsi="Times New Roman" w:cs="Times New Roman"/>
          <w:bCs/>
        </w:rPr>
        <w:t xml:space="preserve"> SPERI Pivot Series,</w:t>
      </w:r>
      <w:bookmarkStart w:id="26" w:name="_Hlk124152416"/>
      <w:r w:rsidRPr="00002445">
        <w:rPr>
          <w:rFonts w:ascii="Times New Roman" w:hAnsi="Times New Roman" w:cs="Times New Roman"/>
          <w:bCs/>
        </w:rPr>
        <w:t xml:space="preserve"> Palgrave. </w:t>
      </w:r>
    </w:p>
    <w:bookmarkEnd w:id="26"/>
    <w:p w14:paraId="3FE6124B" w14:textId="45CB8CDE" w:rsidR="001A5CC5" w:rsidRPr="00002445" w:rsidRDefault="001A5CC5" w:rsidP="001A5CC5">
      <w:pPr>
        <w:pStyle w:val="Bibliography"/>
        <w:rPr>
          <w:rFonts w:ascii="Times New Roman" w:hAnsi="Times New Roman" w:cs="Times New Roman"/>
          <w:bCs/>
          <w:iCs/>
        </w:rPr>
      </w:pPr>
      <w:r w:rsidRPr="00002445">
        <w:rPr>
          <w:rFonts w:ascii="Times New Roman" w:hAnsi="Times New Roman" w:cs="Times New Roman"/>
          <w:bCs/>
          <w:iCs/>
        </w:rPr>
        <w:t>Farrall, S., Gray, E.</w:t>
      </w:r>
      <w:r w:rsidR="009D37FE" w:rsidRPr="00002445">
        <w:rPr>
          <w:rFonts w:ascii="Times New Roman" w:hAnsi="Times New Roman" w:cs="Times New Roman"/>
          <w:bCs/>
          <w:iCs/>
        </w:rPr>
        <w:t xml:space="preserve">, &amp; </w:t>
      </w:r>
      <w:r w:rsidRPr="00002445">
        <w:rPr>
          <w:rFonts w:ascii="Times New Roman" w:hAnsi="Times New Roman" w:cs="Times New Roman"/>
          <w:bCs/>
          <w:iCs/>
        </w:rPr>
        <w:t>Jones, P. M. (forthcoming)</w:t>
      </w:r>
      <w:r w:rsidR="009D37FE" w:rsidRPr="00002445">
        <w:rPr>
          <w:rFonts w:ascii="Times New Roman" w:hAnsi="Times New Roman" w:cs="Times New Roman"/>
          <w:bCs/>
          <w:iCs/>
        </w:rPr>
        <w:t>.</w:t>
      </w:r>
      <w:r w:rsidRPr="00002445">
        <w:rPr>
          <w:rFonts w:ascii="Times New Roman" w:hAnsi="Times New Roman" w:cs="Times New Roman"/>
          <w:bCs/>
          <w:iCs/>
        </w:rPr>
        <w:t xml:space="preserve"> Life-Courses, Social Change and Politics: Evidence for the Role of Politically-Motivated Structural-level Influences on Individual Criminal Careers. </w:t>
      </w:r>
      <w:r w:rsidRPr="00002445">
        <w:rPr>
          <w:rFonts w:ascii="Times New Roman" w:hAnsi="Times New Roman" w:cs="Times New Roman"/>
          <w:i/>
        </w:rPr>
        <w:t>Criminology and Criminal Justice.</w:t>
      </w:r>
    </w:p>
    <w:p w14:paraId="74B5AA11" w14:textId="4283932E" w:rsidR="00496EF6" w:rsidRPr="00002445" w:rsidRDefault="0078610C">
      <w:pPr>
        <w:pStyle w:val="Bibliography"/>
        <w:rPr>
          <w:rFonts w:ascii="Times New Roman" w:hAnsi="Times New Roman" w:cs="Times New Roman"/>
        </w:rPr>
      </w:pPr>
      <w:r w:rsidRPr="00002445">
        <w:rPr>
          <w:rFonts w:ascii="Times New Roman" w:hAnsi="Times New Roman" w:cs="Times New Roman"/>
        </w:rPr>
        <w:t>Fazey</w:t>
      </w:r>
      <w:r w:rsidR="00ED31CB" w:rsidRPr="00002445">
        <w:rPr>
          <w:rFonts w:ascii="Times New Roman" w:hAnsi="Times New Roman" w:cs="Times New Roman"/>
        </w:rPr>
        <w:t>,</w:t>
      </w:r>
      <w:r w:rsidRPr="00002445">
        <w:rPr>
          <w:rFonts w:ascii="Times New Roman" w:hAnsi="Times New Roman" w:cs="Times New Roman"/>
        </w:rPr>
        <w:t xml:space="preserve"> C</w:t>
      </w:r>
      <w:r w:rsidR="00ED31CB" w:rsidRPr="00002445">
        <w:rPr>
          <w:rFonts w:ascii="Times New Roman" w:hAnsi="Times New Roman" w:cs="Times New Roman"/>
        </w:rPr>
        <w:t xml:space="preserve">. </w:t>
      </w:r>
      <w:r w:rsidRPr="00002445">
        <w:rPr>
          <w:rFonts w:ascii="Times New Roman" w:hAnsi="Times New Roman" w:cs="Times New Roman"/>
        </w:rPr>
        <w:t>S</w:t>
      </w:r>
      <w:r w:rsidR="00ED31CB" w:rsidRPr="00002445">
        <w:rPr>
          <w:rFonts w:ascii="Times New Roman" w:hAnsi="Times New Roman" w:cs="Times New Roman"/>
        </w:rPr>
        <w:t xml:space="preserve">. </w:t>
      </w:r>
      <w:r w:rsidRPr="00002445">
        <w:rPr>
          <w:rFonts w:ascii="Times New Roman" w:hAnsi="Times New Roman" w:cs="Times New Roman"/>
        </w:rPr>
        <w:t>J</w:t>
      </w:r>
      <w:r w:rsidR="00ED31CB" w:rsidRPr="00002445">
        <w:rPr>
          <w:rFonts w:ascii="Times New Roman" w:hAnsi="Times New Roman" w:cs="Times New Roman"/>
        </w:rPr>
        <w:t>.</w:t>
      </w:r>
      <w:r w:rsidRPr="00002445">
        <w:rPr>
          <w:rFonts w:ascii="Times New Roman" w:hAnsi="Times New Roman" w:cs="Times New Roman"/>
        </w:rPr>
        <w:t>, Brown</w:t>
      </w:r>
      <w:r w:rsidR="00ED31CB" w:rsidRPr="00002445">
        <w:rPr>
          <w:rFonts w:ascii="Times New Roman" w:hAnsi="Times New Roman" w:cs="Times New Roman"/>
        </w:rPr>
        <w:t>,</w:t>
      </w:r>
      <w:r w:rsidRPr="00002445">
        <w:rPr>
          <w:rFonts w:ascii="Times New Roman" w:hAnsi="Times New Roman" w:cs="Times New Roman"/>
        </w:rPr>
        <w:t xml:space="preserve"> P</w:t>
      </w:r>
      <w:r w:rsidR="00ED31CB" w:rsidRPr="00002445">
        <w:rPr>
          <w:rFonts w:ascii="Times New Roman" w:hAnsi="Times New Roman" w:cs="Times New Roman"/>
        </w:rPr>
        <w:t xml:space="preserve">. </w:t>
      </w:r>
      <w:r w:rsidRPr="00002445">
        <w:rPr>
          <w:rFonts w:ascii="Times New Roman" w:hAnsi="Times New Roman" w:cs="Times New Roman"/>
        </w:rPr>
        <w:t>J</w:t>
      </w:r>
      <w:r w:rsidR="00ED31CB" w:rsidRPr="00002445">
        <w:rPr>
          <w:rFonts w:ascii="Times New Roman" w:hAnsi="Times New Roman" w:cs="Times New Roman"/>
        </w:rPr>
        <w:t xml:space="preserve">. </w:t>
      </w:r>
      <w:r w:rsidRPr="00002445">
        <w:rPr>
          <w:rFonts w:ascii="Times New Roman" w:hAnsi="Times New Roman" w:cs="Times New Roman"/>
        </w:rPr>
        <w:t>B</w:t>
      </w:r>
      <w:r w:rsidR="00ED31CB" w:rsidRPr="00002445">
        <w:rPr>
          <w:rFonts w:ascii="Times New Roman" w:hAnsi="Times New Roman" w:cs="Times New Roman"/>
        </w:rPr>
        <w:t>.</w:t>
      </w:r>
      <w:r w:rsidRPr="00002445">
        <w:rPr>
          <w:rFonts w:ascii="Times New Roman" w:hAnsi="Times New Roman" w:cs="Times New Roman"/>
        </w:rPr>
        <w:t>, Batey</w:t>
      </w:r>
      <w:r w:rsidR="00ED31CB" w:rsidRPr="00002445">
        <w:rPr>
          <w:rFonts w:ascii="Times New Roman" w:hAnsi="Times New Roman" w:cs="Times New Roman"/>
        </w:rPr>
        <w:t>,</w:t>
      </w:r>
      <w:r w:rsidRPr="00002445">
        <w:rPr>
          <w:rFonts w:ascii="Times New Roman" w:hAnsi="Times New Roman" w:cs="Times New Roman"/>
        </w:rPr>
        <w:t xml:space="preserve"> P</w:t>
      </w:r>
      <w:r w:rsidR="00025980" w:rsidRPr="00002445">
        <w:rPr>
          <w:rFonts w:ascii="Times New Roman" w:hAnsi="Times New Roman" w:cs="Times New Roman"/>
        </w:rPr>
        <w:t xml:space="preserve">. </w:t>
      </w:r>
      <w:r w:rsidRPr="00002445">
        <w:rPr>
          <w:rFonts w:ascii="Times New Roman" w:hAnsi="Times New Roman" w:cs="Times New Roman"/>
        </w:rPr>
        <w:t>W</w:t>
      </w:r>
      <w:r w:rsidR="00025980" w:rsidRPr="00002445">
        <w:rPr>
          <w:rFonts w:ascii="Times New Roman" w:hAnsi="Times New Roman" w:cs="Times New Roman"/>
        </w:rPr>
        <w:t xml:space="preserve">. </w:t>
      </w:r>
      <w:r w:rsidRPr="00002445">
        <w:rPr>
          <w:rFonts w:ascii="Times New Roman" w:hAnsi="Times New Roman" w:cs="Times New Roman"/>
        </w:rPr>
        <w:t>J</w:t>
      </w:r>
      <w:r w:rsidR="00025980" w:rsidRPr="00002445">
        <w:rPr>
          <w:rFonts w:ascii="Times New Roman" w:hAnsi="Times New Roman" w:cs="Times New Roman"/>
        </w:rPr>
        <w:t>.</w:t>
      </w:r>
      <w:r w:rsidR="00C638A3" w:rsidRPr="00002445">
        <w:rPr>
          <w:rFonts w:ascii="Times New Roman" w:hAnsi="Times New Roman" w:cs="Times New Roman"/>
        </w:rPr>
        <w:t xml:space="preserve"> </w:t>
      </w:r>
      <w:r w:rsidRPr="00002445">
        <w:rPr>
          <w:rFonts w:ascii="Times New Roman" w:hAnsi="Times New Roman" w:cs="Times New Roman"/>
        </w:rPr>
        <w:t>(1990)</w:t>
      </w:r>
      <w:r w:rsidR="00025980"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A socio-demographic analysis of patients attending a drug dependency clinic.</w:t>
      </w:r>
      <w:r w:rsidRPr="00002445">
        <w:rPr>
          <w:rFonts w:ascii="Times New Roman" w:hAnsi="Times New Roman" w:cs="Times New Roman"/>
        </w:rPr>
        <w:t xml:space="preserve"> Economic</w:t>
      </w:r>
      <w:r w:rsidR="00A33C12" w:rsidRPr="00002445">
        <w:rPr>
          <w:rFonts w:ascii="Times New Roman" w:hAnsi="Times New Roman" w:cs="Times New Roman"/>
        </w:rPr>
        <w:t xml:space="preserve"> &amp;</w:t>
      </w:r>
      <w:r w:rsidRPr="00002445">
        <w:rPr>
          <w:rFonts w:ascii="Times New Roman" w:hAnsi="Times New Roman" w:cs="Times New Roman"/>
        </w:rPr>
        <w:t xml:space="preserve"> Social Research Council, Regional Research Initiative.</w:t>
      </w:r>
    </w:p>
    <w:p w14:paraId="2C60A1E7" w14:textId="79B661E4" w:rsidR="00496EF6" w:rsidRPr="00002445" w:rsidRDefault="0078610C">
      <w:pPr>
        <w:pStyle w:val="Bibliography"/>
        <w:rPr>
          <w:rFonts w:ascii="Times New Roman" w:hAnsi="Times New Roman" w:cs="Times New Roman"/>
        </w:rPr>
      </w:pPr>
      <w:bookmarkStart w:id="27" w:name="ref-gerovand"/>
      <w:bookmarkEnd w:id="25"/>
      <w:commentRangeStart w:id="28"/>
      <w:commentRangeStart w:id="29"/>
      <w:r w:rsidRPr="00002445">
        <w:rPr>
          <w:rFonts w:ascii="Times New Roman" w:hAnsi="Times New Roman" w:cs="Times New Roman"/>
        </w:rPr>
        <w:t>Gerova</w:t>
      </w:r>
      <w:r w:rsidR="00BE03EE" w:rsidRPr="00002445">
        <w:rPr>
          <w:rFonts w:ascii="Times New Roman" w:hAnsi="Times New Roman" w:cs="Times New Roman"/>
        </w:rPr>
        <w:t>,</w:t>
      </w:r>
      <w:r w:rsidRPr="00002445">
        <w:rPr>
          <w:rFonts w:ascii="Times New Roman" w:hAnsi="Times New Roman" w:cs="Times New Roman"/>
        </w:rPr>
        <w:t xml:space="preserve"> V</w:t>
      </w:r>
      <w:r w:rsidR="00BE03EE" w:rsidRPr="00002445">
        <w:rPr>
          <w:rFonts w:ascii="Times New Roman" w:hAnsi="Times New Roman" w:cs="Times New Roman"/>
        </w:rPr>
        <w:t>.</w:t>
      </w:r>
      <w:r w:rsidRPr="00002445">
        <w:rPr>
          <w:rFonts w:ascii="Times New Roman" w:hAnsi="Times New Roman" w:cs="Times New Roman"/>
        </w:rPr>
        <w:t xml:space="preserve"> (n.d.)</w:t>
      </w:r>
      <w:r w:rsidR="00BE03EE" w:rsidRPr="00002445">
        <w:rPr>
          <w:rFonts w:ascii="Times New Roman" w:hAnsi="Times New Roman" w:cs="Times New Roman"/>
        </w:rPr>
        <w:t>.</w:t>
      </w:r>
      <w:r w:rsidRPr="00002445">
        <w:rPr>
          <w:rFonts w:ascii="Times New Roman" w:hAnsi="Times New Roman" w:cs="Times New Roman"/>
        </w:rPr>
        <w:t xml:space="preserve"> </w:t>
      </w:r>
      <w:commentRangeEnd w:id="28"/>
      <w:r w:rsidR="00B143C6" w:rsidRPr="00002445">
        <w:rPr>
          <w:rStyle w:val="CommentReference"/>
          <w:rFonts w:ascii="Times New Roman" w:hAnsi="Times New Roman" w:cs="Times New Roman"/>
        </w:rPr>
        <w:commentReference w:id="28"/>
      </w:r>
      <w:commentRangeEnd w:id="29"/>
      <w:r w:rsidR="00225B24">
        <w:rPr>
          <w:rStyle w:val="CommentReference"/>
        </w:rPr>
        <w:commentReference w:id="29"/>
      </w:r>
      <w:r w:rsidRPr="00002445">
        <w:rPr>
          <w:rFonts w:ascii="Times New Roman" w:hAnsi="Times New Roman" w:cs="Times New Roman"/>
          <w:i/>
        </w:rPr>
        <w:t>BCS70 Data Note 1: Enhancing the BCS70 16-year Head Teacher school level dataset</w:t>
      </w:r>
      <w:r w:rsidRPr="00002445">
        <w:rPr>
          <w:rFonts w:ascii="Times New Roman" w:hAnsi="Times New Roman" w:cs="Times New Roman"/>
        </w:rPr>
        <w:t xml:space="preserve">. Centre for Longitudinal Studies: Institute of Education. </w:t>
      </w:r>
    </w:p>
    <w:p w14:paraId="2DB1BF53" w14:textId="06F9E8E0" w:rsidR="00496EF6" w:rsidRPr="00002445" w:rsidRDefault="0078610C">
      <w:pPr>
        <w:pStyle w:val="Bibliography"/>
        <w:rPr>
          <w:rFonts w:ascii="Times New Roman" w:hAnsi="Times New Roman" w:cs="Times New Roman"/>
        </w:rPr>
      </w:pPr>
      <w:bookmarkStart w:id="30" w:name="ref-gleeson1994a"/>
      <w:bookmarkEnd w:id="27"/>
      <w:r w:rsidRPr="00002445">
        <w:rPr>
          <w:rFonts w:ascii="Times New Roman" w:hAnsi="Times New Roman" w:cs="Times New Roman"/>
        </w:rPr>
        <w:t>Gleeson</w:t>
      </w:r>
      <w:r w:rsidR="00B143C6" w:rsidRPr="00002445">
        <w:rPr>
          <w:rFonts w:ascii="Times New Roman" w:hAnsi="Times New Roman" w:cs="Times New Roman"/>
        </w:rPr>
        <w:t>,</w:t>
      </w:r>
      <w:r w:rsidRPr="00002445">
        <w:rPr>
          <w:rFonts w:ascii="Times New Roman" w:hAnsi="Times New Roman" w:cs="Times New Roman"/>
        </w:rPr>
        <w:t xml:space="preserve"> D</w:t>
      </w:r>
      <w:r w:rsidR="00B143C6" w:rsidRPr="00002445">
        <w:rPr>
          <w:rFonts w:ascii="Times New Roman" w:hAnsi="Times New Roman" w:cs="Times New Roman"/>
        </w:rPr>
        <w:t>.</w:t>
      </w:r>
      <w:r w:rsidRPr="00002445">
        <w:rPr>
          <w:rFonts w:ascii="Times New Roman" w:hAnsi="Times New Roman" w:cs="Times New Roman"/>
        </w:rPr>
        <w:t xml:space="preserve"> (1994)</w:t>
      </w:r>
      <w:r w:rsidR="00B143C6" w:rsidRPr="00002445">
        <w:rPr>
          <w:rFonts w:ascii="Times New Roman" w:hAnsi="Times New Roman" w:cs="Times New Roman"/>
        </w:rPr>
        <w:t>.</w:t>
      </w:r>
      <w:r w:rsidRPr="00002445">
        <w:rPr>
          <w:rFonts w:ascii="Times New Roman" w:hAnsi="Times New Roman" w:cs="Times New Roman"/>
        </w:rPr>
        <w:t xml:space="preserve"> Wagging, Bobbing and Bunking Off: An alternative view. </w:t>
      </w:r>
      <w:r w:rsidRPr="00002445">
        <w:rPr>
          <w:rFonts w:ascii="Times New Roman" w:hAnsi="Times New Roman" w:cs="Times New Roman"/>
          <w:i/>
        </w:rPr>
        <w:t>Educational Review</w:t>
      </w:r>
      <w:r w:rsidR="00EA1D55" w:rsidRPr="00002445">
        <w:rPr>
          <w:rFonts w:ascii="Times New Roman" w:hAnsi="Times New Roman" w:cs="Times New Roman"/>
          <w:i/>
        </w:rPr>
        <w:t>,</w:t>
      </w:r>
      <w:r w:rsidR="00A33C12" w:rsidRPr="00002445">
        <w:rPr>
          <w:rFonts w:ascii="Times New Roman" w:hAnsi="Times New Roman" w:cs="Times New Roman"/>
        </w:rPr>
        <w:t xml:space="preserve"> 46(1)</w:t>
      </w:r>
      <w:r w:rsidR="00B143C6" w:rsidRPr="00002445">
        <w:rPr>
          <w:rFonts w:ascii="Times New Roman" w:hAnsi="Times New Roman" w:cs="Times New Roman"/>
        </w:rPr>
        <w:t xml:space="preserve">, </w:t>
      </w:r>
      <w:r w:rsidRPr="00002445">
        <w:rPr>
          <w:rFonts w:ascii="Times New Roman" w:hAnsi="Times New Roman" w:cs="Times New Roman"/>
        </w:rPr>
        <w:t xml:space="preserve">15–19. </w:t>
      </w:r>
    </w:p>
    <w:p w14:paraId="5FDEB2D3" w14:textId="5EC16449" w:rsidR="00CD2B59" w:rsidRPr="00002445" w:rsidRDefault="00CD2B59" w:rsidP="008F7A41">
      <w:pPr>
        <w:spacing w:after="0"/>
        <w:rPr>
          <w:rFonts w:ascii="Times New Roman" w:eastAsia="Times New Roman" w:hAnsi="Times New Roman" w:cs="Times New Roman"/>
          <w:bCs/>
        </w:rPr>
      </w:pPr>
      <w:r w:rsidRPr="00002445">
        <w:rPr>
          <w:rFonts w:ascii="Times New Roman" w:eastAsia="Times New Roman" w:hAnsi="Times New Roman" w:cs="Times New Roman"/>
          <w:bCs/>
        </w:rPr>
        <w:t>Gray, E., Farrall, S.</w:t>
      </w:r>
      <w:r w:rsidR="00467686" w:rsidRPr="00002445">
        <w:rPr>
          <w:rFonts w:ascii="Times New Roman" w:eastAsia="Times New Roman" w:hAnsi="Times New Roman" w:cs="Times New Roman"/>
          <w:bCs/>
        </w:rPr>
        <w:t>, &amp;</w:t>
      </w:r>
      <w:r w:rsidRPr="00002445">
        <w:rPr>
          <w:rFonts w:ascii="Times New Roman" w:eastAsia="Times New Roman" w:hAnsi="Times New Roman" w:cs="Times New Roman"/>
          <w:bCs/>
        </w:rPr>
        <w:t xml:space="preserve"> Jones, P. M. (2022)</w:t>
      </w:r>
      <w:r w:rsidR="00467686" w:rsidRPr="00002445">
        <w:rPr>
          <w:rFonts w:ascii="Times New Roman" w:eastAsia="Times New Roman" w:hAnsi="Times New Roman" w:cs="Times New Roman"/>
          <w:bCs/>
        </w:rPr>
        <w:t>.</w:t>
      </w:r>
      <w:r w:rsidRPr="00002445">
        <w:rPr>
          <w:rFonts w:ascii="Times New Roman" w:eastAsia="Times New Roman" w:hAnsi="Times New Roman" w:cs="Times New Roman"/>
          <w:bCs/>
        </w:rPr>
        <w:t xml:space="preserve"> </w:t>
      </w:r>
      <w:r w:rsidRPr="00002445">
        <w:rPr>
          <w:rFonts w:ascii="Times New Roman" w:eastAsia="Times New Roman" w:hAnsi="Times New Roman" w:cs="Times New Roman"/>
          <w:bCs/>
          <w:iCs/>
        </w:rPr>
        <w:t>The long arm of welfare retrenchment: how New Right socio-economic policies in the 1980s affected contact with the criminal justice system in adulthood</w:t>
      </w:r>
      <w:r w:rsidR="00EA1D55" w:rsidRPr="00002445">
        <w:rPr>
          <w:rFonts w:ascii="Times New Roman" w:eastAsia="Times New Roman" w:hAnsi="Times New Roman" w:cs="Times New Roman"/>
          <w:bCs/>
        </w:rPr>
        <w:t>.</w:t>
      </w:r>
      <w:r w:rsidRPr="00002445">
        <w:rPr>
          <w:rFonts w:ascii="Times New Roman" w:eastAsia="Times New Roman" w:hAnsi="Times New Roman" w:cs="Times New Roman"/>
          <w:bCs/>
        </w:rPr>
        <w:t xml:space="preserve"> </w:t>
      </w:r>
      <w:r w:rsidRPr="00002445">
        <w:rPr>
          <w:rFonts w:ascii="Times New Roman" w:eastAsia="Times New Roman" w:hAnsi="Times New Roman" w:cs="Times New Roman"/>
          <w:i/>
          <w:iCs/>
        </w:rPr>
        <w:t>British Journal of Criminology</w:t>
      </w:r>
      <w:r w:rsidRPr="00002445">
        <w:rPr>
          <w:rFonts w:ascii="Times New Roman" w:eastAsia="Times New Roman" w:hAnsi="Times New Roman" w:cs="Times New Roman"/>
          <w:bCs/>
        </w:rPr>
        <w:t>, 62(5)</w:t>
      </w:r>
      <w:r w:rsidR="00467686" w:rsidRPr="00002445">
        <w:rPr>
          <w:rFonts w:ascii="Times New Roman" w:eastAsia="Times New Roman" w:hAnsi="Times New Roman" w:cs="Times New Roman"/>
          <w:bCs/>
        </w:rPr>
        <w:t xml:space="preserve">, </w:t>
      </w:r>
      <w:r w:rsidRPr="00002445">
        <w:rPr>
          <w:rFonts w:ascii="Times New Roman" w:eastAsia="Times New Roman" w:hAnsi="Times New Roman" w:cs="Times New Roman"/>
          <w:bCs/>
        </w:rPr>
        <w:t xml:space="preserve">1175-1195, Special Issue on Crime, Politics and Insecurity. </w:t>
      </w:r>
    </w:p>
    <w:p w14:paraId="728AF3DA" w14:textId="77777777" w:rsidR="00CD2B59" w:rsidRPr="00002445" w:rsidRDefault="00CD2B59" w:rsidP="00CD2B59">
      <w:pPr>
        <w:spacing w:after="0"/>
        <w:rPr>
          <w:rFonts w:ascii="Times New Roman" w:eastAsia="Times New Roman" w:hAnsi="Times New Roman" w:cs="Times New Roman"/>
          <w:bCs/>
          <w:i/>
        </w:rPr>
      </w:pPr>
    </w:p>
    <w:p w14:paraId="264E049B" w14:textId="57133C01" w:rsidR="00496EF6" w:rsidRPr="00002445" w:rsidRDefault="0078610C">
      <w:pPr>
        <w:pStyle w:val="Bibliography"/>
        <w:rPr>
          <w:rFonts w:ascii="Times New Roman" w:hAnsi="Times New Roman" w:cs="Times New Roman"/>
        </w:rPr>
      </w:pPr>
      <w:bookmarkStart w:id="31" w:name="ref-hartnoll1985a"/>
      <w:bookmarkEnd w:id="30"/>
      <w:r w:rsidRPr="00002445">
        <w:rPr>
          <w:rFonts w:ascii="Times New Roman" w:hAnsi="Times New Roman" w:cs="Times New Roman"/>
        </w:rPr>
        <w:t>Hartnoll</w:t>
      </w:r>
      <w:r w:rsidR="00467686" w:rsidRPr="00002445">
        <w:rPr>
          <w:rFonts w:ascii="Times New Roman" w:hAnsi="Times New Roman" w:cs="Times New Roman"/>
        </w:rPr>
        <w:t>,</w:t>
      </w:r>
      <w:r w:rsidRPr="00002445">
        <w:rPr>
          <w:rFonts w:ascii="Times New Roman" w:hAnsi="Times New Roman" w:cs="Times New Roman"/>
        </w:rPr>
        <w:t xml:space="preserve"> R</w:t>
      </w:r>
      <w:r w:rsidR="00467686" w:rsidRPr="00002445">
        <w:rPr>
          <w:rFonts w:ascii="Times New Roman" w:hAnsi="Times New Roman" w:cs="Times New Roman"/>
        </w:rPr>
        <w:t>.</w:t>
      </w:r>
      <w:r w:rsidRPr="00002445">
        <w:rPr>
          <w:rFonts w:ascii="Times New Roman" w:hAnsi="Times New Roman" w:cs="Times New Roman"/>
        </w:rPr>
        <w:t>, Mitcheson</w:t>
      </w:r>
      <w:r w:rsidR="00467686" w:rsidRPr="00002445">
        <w:rPr>
          <w:rFonts w:ascii="Times New Roman" w:hAnsi="Times New Roman" w:cs="Times New Roman"/>
        </w:rPr>
        <w:t>,</w:t>
      </w:r>
      <w:r w:rsidRPr="00002445">
        <w:rPr>
          <w:rFonts w:ascii="Times New Roman" w:hAnsi="Times New Roman" w:cs="Times New Roman"/>
        </w:rPr>
        <w:t xml:space="preserve"> M</w:t>
      </w:r>
      <w:r w:rsidR="00467686" w:rsidRPr="00002445">
        <w:rPr>
          <w:rFonts w:ascii="Times New Roman" w:hAnsi="Times New Roman" w:cs="Times New Roman"/>
        </w:rPr>
        <w:t>.</w:t>
      </w:r>
      <w:r w:rsidRPr="00002445">
        <w:rPr>
          <w:rFonts w:ascii="Times New Roman" w:hAnsi="Times New Roman" w:cs="Times New Roman"/>
        </w:rPr>
        <w:t>, Lewis</w:t>
      </w:r>
      <w:r w:rsidR="00467686" w:rsidRPr="00002445">
        <w:rPr>
          <w:rFonts w:ascii="Times New Roman" w:hAnsi="Times New Roman" w:cs="Times New Roman"/>
        </w:rPr>
        <w:t>,</w:t>
      </w:r>
      <w:r w:rsidRPr="00002445">
        <w:rPr>
          <w:rFonts w:ascii="Times New Roman" w:hAnsi="Times New Roman" w:cs="Times New Roman"/>
        </w:rPr>
        <w:t xml:space="preserve"> R</w:t>
      </w:r>
      <w:r w:rsidR="00467686" w:rsidRPr="00002445">
        <w:rPr>
          <w:rFonts w:ascii="Times New Roman" w:hAnsi="Times New Roman" w:cs="Times New Roman"/>
        </w:rPr>
        <w:t>.</w:t>
      </w:r>
      <w:r w:rsidRPr="00002445">
        <w:rPr>
          <w:rFonts w:ascii="Times New Roman" w:hAnsi="Times New Roman" w:cs="Times New Roman"/>
        </w:rPr>
        <w:t>,</w:t>
      </w:r>
      <w:r w:rsidR="006D2FA6" w:rsidRPr="00002445">
        <w:rPr>
          <w:rFonts w:ascii="Times New Roman" w:hAnsi="Times New Roman" w:cs="Times New Roman"/>
        </w:rPr>
        <w:t xml:space="preserve"> &amp; Bryer, S.</w:t>
      </w:r>
      <w:r w:rsidRPr="00002445">
        <w:rPr>
          <w:rFonts w:ascii="Times New Roman" w:hAnsi="Times New Roman" w:cs="Times New Roman"/>
        </w:rPr>
        <w:t xml:space="preserve"> (1985)</w:t>
      </w:r>
      <w:r w:rsidR="00467686" w:rsidRPr="00002445">
        <w:rPr>
          <w:rFonts w:ascii="Times New Roman" w:hAnsi="Times New Roman" w:cs="Times New Roman"/>
        </w:rPr>
        <w:t>.</w:t>
      </w:r>
      <w:r w:rsidRPr="00002445">
        <w:rPr>
          <w:rFonts w:ascii="Times New Roman" w:hAnsi="Times New Roman" w:cs="Times New Roman"/>
        </w:rPr>
        <w:t xml:space="preserve"> </w:t>
      </w:r>
      <w:r w:rsidR="000B0CC3" w:rsidRPr="00002445">
        <w:rPr>
          <w:rFonts w:ascii="Times New Roman" w:hAnsi="Times New Roman" w:cs="Times New Roman"/>
        </w:rPr>
        <w:t xml:space="preserve">Estimating the prevalence of opioid dependence. </w:t>
      </w:r>
      <w:r w:rsidRPr="00002445">
        <w:rPr>
          <w:rFonts w:ascii="Times New Roman" w:hAnsi="Times New Roman" w:cs="Times New Roman"/>
          <w:i/>
        </w:rPr>
        <w:t>The Lancet</w:t>
      </w:r>
      <w:r w:rsidR="006D2FA6" w:rsidRPr="00002445">
        <w:rPr>
          <w:rFonts w:ascii="Times New Roman" w:hAnsi="Times New Roman" w:cs="Times New Roman"/>
          <w:i/>
        </w:rPr>
        <w:t>,</w:t>
      </w:r>
      <w:r w:rsidR="00A33C12" w:rsidRPr="00002445">
        <w:rPr>
          <w:rFonts w:ascii="Times New Roman" w:hAnsi="Times New Roman" w:cs="Times New Roman"/>
        </w:rPr>
        <w:t xml:space="preserve"> 325(8422)</w:t>
      </w:r>
      <w:r w:rsidR="00467686" w:rsidRPr="00002445">
        <w:rPr>
          <w:rFonts w:ascii="Times New Roman" w:hAnsi="Times New Roman" w:cs="Times New Roman"/>
        </w:rPr>
        <w:t xml:space="preserve">, </w:t>
      </w:r>
      <w:r w:rsidRPr="00002445">
        <w:rPr>
          <w:rFonts w:ascii="Times New Roman" w:hAnsi="Times New Roman" w:cs="Times New Roman"/>
        </w:rPr>
        <w:t xml:space="preserve">203–205. </w:t>
      </w:r>
    </w:p>
    <w:p w14:paraId="4A784F76" w14:textId="77777777" w:rsidR="00720FFE" w:rsidRPr="00002445" w:rsidRDefault="005C0080" w:rsidP="00051CD3">
      <w:pPr>
        <w:pStyle w:val="Bibliography"/>
        <w:rPr>
          <w:rFonts w:ascii="Times New Roman" w:hAnsi="Times New Roman" w:cs="Times New Roman"/>
        </w:rPr>
      </w:pPr>
      <w:bookmarkStart w:id="32" w:name="ref-hser2007a"/>
      <w:bookmarkEnd w:id="31"/>
      <w:r w:rsidRPr="00002445">
        <w:rPr>
          <w:rFonts w:ascii="Times New Roman" w:hAnsi="Times New Roman" w:cs="Times New Roman"/>
        </w:rPr>
        <w:t>Hay, C</w:t>
      </w:r>
      <w:r w:rsidR="003416A4" w:rsidRPr="00002445">
        <w:rPr>
          <w:rFonts w:ascii="Times New Roman" w:hAnsi="Times New Roman" w:cs="Times New Roman"/>
        </w:rPr>
        <w:t>.</w:t>
      </w:r>
      <w:r w:rsidRPr="00002445">
        <w:rPr>
          <w:rFonts w:ascii="Times New Roman" w:hAnsi="Times New Roman" w:cs="Times New Roman"/>
        </w:rPr>
        <w:t xml:space="preserve"> (2009)</w:t>
      </w:r>
      <w:r w:rsidR="003416A4" w:rsidRPr="00002445">
        <w:rPr>
          <w:rFonts w:ascii="Times New Roman" w:hAnsi="Times New Roman" w:cs="Times New Roman"/>
        </w:rPr>
        <w:t xml:space="preserve">. </w:t>
      </w:r>
      <w:r w:rsidRPr="00002445">
        <w:rPr>
          <w:rFonts w:ascii="Times New Roman" w:hAnsi="Times New Roman" w:cs="Times New Roman"/>
        </w:rPr>
        <w:t>The Winter of Discontent Thirty Years On</w:t>
      </w:r>
      <w:r w:rsidR="00E27CCC" w:rsidRPr="00002445">
        <w:rPr>
          <w:rFonts w:ascii="Times New Roman" w:hAnsi="Times New Roman" w:cs="Times New Roman"/>
        </w:rPr>
        <w:t>. The</w:t>
      </w:r>
      <w:r w:rsidRPr="00002445">
        <w:rPr>
          <w:rFonts w:ascii="Times New Roman" w:hAnsi="Times New Roman" w:cs="Times New Roman"/>
        </w:rPr>
        <w:t xml:space="preserve"> Political Quarterly, 80</w:t>
      </w:r>
      <w:r w:rsidR="00373560" w:rsidRPr="00002445">
        <w:rPr>
          <w:rFonts w:ascii="Times New Roman" w:hAnsi="Times New Roman" w:cs="Times New Roman"/>
        </w:rPr>
        <w:t>(4)</w:t>
      </w:r>
      <w:r w:rsidR="003416A4" w:rsidRPr="00002445">
        <w:rPr>
          <w:rFonts w:ascii="Times New Roman" w:hAnsi="Times New Roman" w:cs="Times New Roman"/>
        </w:rPr>
        <w:t xml:space="preserve">, </w:t>
      </w:r>
      <w:r w:rsidRPr="00002445">
        <w:rPr>
          <w:rFonts w:ascii="Times New Roman" w:hAnsi="Times New Roman" w:cs="Times New Roman"/>
        </w:rPr>
        <w:t>545–5</w:t>
      </w:r>
      <w:r w:rsidR="00373560" w:rsidRPr="00002445">
        <w:rPr>
          <w:rFonts w:ascii="Times New Roman" w:hAnsi="Times New Roman" w:cs="Times New Roman"/>
        </w:rPr>
        <w:t>5</w:t>
      </w:r>
      <w:r w:rsidRPr="00002445">
        <w:rPr>
          <w:rFonts w:ascii="Times New Roman" w:hAnsi="Times New Roman" w:cs="Times New Roman"/>
        </w:rPr>
        <w:t>2.</w:t>
      </w:r>
      <w:bookmarkStart w:id="33" w:name="ref-kauffman2002a"/>
      <w:bookmarkEnd w:id="32"/>
    </w:p>
    <w:p w14:paraId="1D43A57E" w14:textId="0BD4BEE0" w:rsidR="00051CD3" w:rsidRPr="00002445" w:rsidRDefault="00720FFE" w:rsidP="00051CD3">
      <w:pPr>
        <w:pStyle w:val="Bibliography"/>
        <w:rPr>
          <w:rFonts w:ascii="Times New Roman" w:hAnsi="Times New Roman" w:cs="Times New Roman"/>
        </w:rPr>
      </w:pPr>
      <w:r w:rsidRPr="00002445">
        <w:rPr>
          <w:rFonts w:ascii="Times New Roman" w:hAnsi="Times New Roman" w:cs="Times New Roman"/>
        </w:rPr>
        <w:t>Joseph Rowntree Foundation</w:t>
      </w:r>
      <w:r w:rsidR="00FC7307" w:rsidRPr="00002445">
        <w:rPr>
          <w:rFonts w:ascii="Times New Roman" w:hAnsi="Times New Roman" w:cs="Times New Roman"/>
        </w:rPr>
        <w:t>, JRF</w:t>
      </w:r>
      <w:r w:rsidRPr="00002445">
        <w:rPr>
          <w:rFonts w:ascii="Times New Roman" w:hAnsi="Times New Roman" w:cs="Times New Roman"/>
        </w:rPr>
        <w:t xml:space="preserve"> </w:t>
      </w:r>
      <w:r w:rsidR="00051CD3" w:rsidRPr="00002445">
        <w:rPr>
          <w:rFonts w:ascii="Times New Roman" w:hAnsi="Times New Roman" w:cs="Times New Roman"/>
        </w:rPr>
        <w:t>(2009)</w:t>
      </w:r>
      <w:r w:rsidRPr="00002445">
        <w:rPr>
          <w:rFonts w:ascii="Times New Roman" w:hAnsi="Times New Roman" w:cs="Times New Roman"/>
        </w:rPr>
        <w:t>.</w:t>
      </w:r>
      <w:r w:rsidR="00051CD3" w:rsidRPr="00002445">
        <w:rPr>
          <w:rFonts w:ascii="Times New Roman" w:hAnsi="Times New Roman" w:cs="Times New Roman"/>
        </w:rPr>
        <w:t xml:space="preserve"> </w:t>
      </w:r>
      <w:r w:rsidR="00051CD3" w:rsidRPr="00002445">
        <w:rPr>
          <w:rFonts w:ascii="Times New Roman" w:hAnsi="Times New Roman" w:cs="Times New Roman"/>
          <w:i/>
          <w:iCs/>
        </w:rPr>
        <w:t>Growing up in social hosing in Britain</w:t>
      </w:r>
      <w:r w:rsidR="00051CD3" w:rsidRPr="00002445">
        <w:rPr>
          <w:rFonts w:ascii="Times New Roman" w:hAnsi="Times New Roman" w:cs="Times New Roman"/>
        </w:rPr>
        <w:t xml:space="preserve">. </w:t>
      </w:r>
      <w:r w:rsidR="00942056" w:rsidRPr="00002445">
        <w:rPr>
          <w:rFonts w:ascii="Times New Roman" w:hAnsi="Times New Roman" w:cs="Times New Roman"/>
        </w:rPr>
        <w:t xml:space="preserve">Available from: </w:t>
      </w:r>
      <w:hyperlink r:id="rId13" w:history="1">
        <w:r w:rsidR="00942056" w:rsidRPr="00002445">
          <w:rPr>
            <w:rStyle w:val="Hyperlink"/>
            <w:rFonts w:ascii="Times New Roman" w:hAnsi="Times New Roman" w:cs="Times New Roman"/>
          </w:rPr>
          <w:t>https://www.jrf.org.uk/sites/default/files/jrf/migrated/files/social-housing-britain-FULL.pdf</w:t>
        </w:r>
      </w:hyperlink>
    </w:p>
    <w:p w14:paraId="1833D7CD" w14:textId="28358842" w:rsidR="00496EF6" w:rsidRPr="00002445" w:rsidRDefault="0078610C">
      <w:pPr>
        <w:pStyle w:val="Bibliography"/>
        <w:rPr>
          <w:rFonts w:ascii="Times New Roman" w:hAnsi="Times New Roman" w:cs="Times New Roman"/>
        </w:rPr>
      </w:pPr>
      <w:r w:rsidRPr="00002445">
        <w:rPr>
          <w:rFonts w:ascii="Times New Roman" w:hAnsi="Times New Roman" w:cs="Times New Roman"/>
        </w:rPr>
        <w:t>Kauffman</w:t>
      </w:r>
      <w:r w:rsidR="003416A4" w:rsidRPr="00002445">
        <w:rPr>
          <w:rFonts w:ascii="Times New Roman" w:hAnsi="Times New Roman" w:cs="Times New Roman"/>
        </w:rPr>
        <w:t>,</w:t>
      </w:r>
      <w:r w:rsidRPr="00002445">
        <w:rPr>
          <w:rFonts w:ascii="Times New Roman" w:hAnsi="Times New Roman" w:cs="Times New Roman"/>
        </w:rPr>
        <w:t xml:space="preserve"> J</w:t>
      </w:r>
      <w:r w:rsidR="003416A4" w:rsidRPr="00002445">
        <w:rPr>
          <w:rFonts w:ascii="Times New Roman" w:hAnsi="Times New Roman" w:cs="Times New Roman"/>
        </w:rPr>
        <w:t>.</w:t>
      </w:r>
      <w:r w:rsidRPr="00002445">
        <w:rPr>
          <w:rFonts w:ascii="Times New Roman" w:hAnsi="Times New Roman" w:cs="Times New Roman"/>
        </w:rPr>
        <w:t xml:space="preserve"> (20</w:t>
      </w:r>
      <w:r w:rsidR="0043135B" w:rsidRPr="00002445">
        <w:rPr>
          <w:rFonts w:ascii="Times New Roman" w:hAnsi="Times New Roman" w:cs="Times New Roman"/>
        </w:rPr>
        <w:t>13)</w:t>
      </w:r>
      <w:r w:rsidR="003416A4"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Loss of the Assumptive World: A theory of traumatic loss</w:t>
      </w:r>
      <w:r w:rsidRPr="00002445">
        <w:rPr>
          <w:rFonts w:ascii="Times New Roman" w:hAnsi="Times New Roman" w:cs="Times New Roman"/>
        </w:rPr>
        <w:t>. Routledge.</w:t>
      </w:r>
    </w:p>
    <w:p w14:paraId="3AA9CA9D" w14:textId="7AB47418" w:rsidR="00051CD3" w:rsidRPr="00002445" w:rsidRDefault="00051CD3" w:rsidP="00051CD3">
      <w:pPr>
        <w:pStyle w:val="Bibliography"/>
        <w:rPr>
          <w:rFonts w:ascii="Times New Roman" w:hAnsi="Times New Roman" w:cs="Times New Roman"/>
        </w:rPr>
      </w:pPr>
      <w:bookmarkStart w:id="34" w:name="ref-macleod2010a"/>
      <w:bookmarkEnd w:id="33"/>
      <w:r w:rsidRPr="00002445">
        <w:rPr>
          <w:rFonts w:ascii="Times New Roman" w:hAnsi="Times New Roman" w:cs="Times New Roman"/>
        </w:rPr>
        <w:lastRenderedPageBreak/>
        <w:t>Mabbett, D. (2013)</w:t>
      </w:r>
      <w:r w:rsidR="003416A4" w:rsidRPr="00002445">
        <w:rPr>
          <w:rFonts w:ascii="Times New Roman" w:hAnsi="Times New Roman" w:cs="Times New Roman"/>
        </w:rPr>
        <w:t>.</w:t>
      </w:r>
      <w:r w:rsidRPr="00002445">
        <w:rPr>
          <w:rFonts w:ascii="Times New Roman" w:hAnsi="Times New Roman" w:cs="Times New Roman"/>
        </w:rPr>
        <w:t xml:space="preserve"> The Second Time as Tragedy? Welfare Reform under Thatcher and the Coalition. </w:t>
      </w:r>
      <w:r w:rsidRPr="00002445">
        <w:rPr>
          <w:rFonts w:ascii="Times New Roman" w:hAnsi="Times New Roman" w:cs="Times New Roman"/>
          <w:i/>
          <w:iCs/>
        </w:rPr>
        <w:t>The Political Quarterly</w:t>
      </w:r>
      <w:r w:rsidRPr="00002445">
        <w:rPr>
          <w:rFonts w:ascii="Times New Roman" w:hAnsi="Times New Roman" w:cs="Times New Roman"/>
        </w:rPr>
        <w:t>, 84</w:t>
      </w:r>
      <w:r w:rsidR="00635AEA" w:rsidRPr="00002445">
        <w:rPr>
          <w:rFonts w:ascii="Times New Roman" w:hAnsi="Times New Roman" w:cs="Times New Roman"/>
        </w:rPr>
        <w:t>,</w:t>
      </w:r>
      <w:r w:rsidRPr="00002445">
        <w:rPr>
          <w:rFonts w:ascii="Times New Roman" w:hAnsi="Times New Roman" w:cs="Times New Roman"/>
        </w:rPr>
        <w:t xml:space="preserve"> 43-52</w:t>
      </w:r>
      <w:r w:rsidR="00635AEA" w:rsidRPr="00002445">
        <w:rPr>
          <w:rFonts w:ascii="Times New Roman" w:hAnsi="Times New Roman" w:cs="Times New Roman"/>
        </w:rPr>
        <w:t>.</w:t>
      </w:r>
    </w:p>
    <w:bookmarkStart w:id="35" w:name="ref-morgan2014a"/>
    <w:bookmarkEnd w:id="34"/>
    <w:p w14:paraId="63E26E7B" w14:textId="77E5F59A" w:rsidR="00A93545" w:rsidRPr="00002445" w:rsidRDefault="00A93545" w:rsidP="00A93545">
      <w:pPr>
        <w:pStyle w:val="Bibliography"/>
        <w:rPr>
          <w:rFonts w:ascii="Times New Roman" w:hAnsi="Times New Roman" w:cs="Times New Roman"/>
        </w:rPr>
      </w:pPr>
      <w:r w:rsidRPr="00002445">
        <w:rPr>
          <w:rFonts w:ascii="Times New Roman" w:hAnsi="Times New Roman" w:cs="Times New Roman"/>
        </w:rPr>
        <w:fldChar w:fldCharType="begin"/>
      </w:r>
      <w:r w:rsidRPr="00002445">
        <w:rPr>
          <w:rFonts w:ascii="Times New Roman" w:hAnsi="Times New Roman" w:cs="Times New Roman"/>
        </w:rPr>
        <w:instrText>HYPERLINK "https://onlinelibrary.wiley.com/authored-by/Manhica/H%C3%A9lio"</w:instrText>
      </w:r>
      <w:r w:rsidRPr="00002445">
        <w:rPr>
          <w:rFonts w:ascii="Times New Roman" w:hAnsi="Times New Roman" w:cs="Times New Roman"/>
        </w:rPr>
      </w:r>
      <w:r w:rsidRPr="00002445">
        <w:rPr>
          <w:rFonts w:ascii="Times New Roman" w:hAnsi="Times New Roman" w:cs="Times New Roman"/>
        </w:rPr>
        <w:fldChar w:fldCharType="separate"/>
      </w:r>
      <w:r w:rsidRPr="00002445">
        <w:rPr>
          <w:rStyle w:val="Hyperlink"/>
          <w:rFonts w:ascii="Times New Roman" w:hAnsi="Times New Roman" w:cs="Times New Roman"/>
          <w:color w:val="auto"/>
        </w:rPr>
        <w:t>Manhica</w:t>
      </w:r>
      <w:r w:rsidRPr="00002445">
        <w:rPr>
          <w:rFonts w:ascii="Times New Roman" w:hAnsi="Times New Roman" w:cs="Times New Roman"/>
        </w:rPr>
        <w:fldChar w:fldCharType="end"/>
      </w:r>
      <w:r w:rsidRPr="00002445">
        <w:rPr>
          <w:rFonts w:ascii="Times New Roman" w:hAnsi="Times New Roman" w:cs="Times New Roman"/>
        </w:rPr>
        <w:t xml:space="preserve">, H., </w:t>
      </w:r>
      <w:hyperlink r:id="rId14" w:history="1">
        <w:r w:rsidRPr="00002445">
          <w:rPr>
            <w:rStyle w:val="Hyperlink"/>
            <w:rFonts w:ascii="Times New Roman" w:hAnsi="Times New Roman" w:cs="Times New Roman"/>
            <w:color w:val="auto"/>
          </w:rPr>
          <w:t>Straatmann</w:t>
        </w:r>
      </w:hyperlink>
      <w:r w:rsidRPr="00002445">
        <w:rPr>
          <w:rFonts w:ascii="Times New Roman" w:hAnsi="Times New Roman" w:cs="Times New Roman"/>
        </w:rPr>
        <w:t xml:space="preserve">, V. S., </w:t>
      </w:r>
      <w:hyperlink r:id="rId15" w:history="1">
        <w:r w:rsidRPr="00002445">
          <w:rPr>
            <w:rStyle w:val="Hyperlink"/>
            <w:rFonts w:ascii="Times New Roman" w:hAnsi="Times New Roman" w:cs="Times New Roman"/>
            <w:color w:val="auto"/>
          </w:rPr>
          <w:t>Lundin</w:t>
        </w:r>
      </w:hyperlink>
      <w:r w:rsidRPr="00002445">
        <w:rPr>
          <w:rFonts w:ascii="Times New Roman" w:hAnsi="Times New Roman" w:cs="Times New Roman"/>
        </w:rPr>
        <w:t xml:space="preserve">, A., </w:t>
      </w:r>
      <w:hyperlink r:id="rId16" w:history="1">
        <w:r w:rsidRPr="00002445">
          <w:rPr>
            <w:rStyle w:val="Hyperlink"/>
            <w:rFonts w:ascii="Times New Roman" w:hAnsi="Times New Roman" w:cs="Times New Roman"/>
            <w:color w:val="auto"/>
          </w:rPr>
          <w:t>Agardh</w:t>
        </w:r>
      </w:hyperlink>
      <w:r w:rsidRPr="00002445">
        <w:rPr>
          <w:rFonts w:ascii="Times New Roman" w:hAnsi="Times New Roman" w:cs="Times New Roman"/>
        </w:rPr>
        <w:t xml:space="preserve">, E., </w:t>
      </w:r>
      <w:r w:rsidR="00635AEA" w:rsidRPr="00002445">
        <w:rPr>
          <w:rFonts w:ascii="Times New Roman" w:hAnsi="Times New Roman" w:cs="Times New Roman"/>
        </w:rPr>
        <w:t>&amp;</w:t>
      </w:r>
      <w:r w:rsidRPr="00002445">
        <w:rPr>
          <w:rFonts w:ascii="Times New Roman" w:hAnsi="Times New Roman" w:cs="Times New Roman"/>
        </w:rPr>
        <w:t xml:space="preserve"> </w:t>
      </w:r>
      <w:hyperlink r:id="rId17" w:history="1">
        <w:r w:rsidRPr="00002445">
          <w:rPr>
            <w:rStyle w:val="Hyperlink"/>
            <w:rFonts w:ascii="Times New Roman" w:hAnsi="Times New Roman" w:cs="Times New Roman"/>
            <w:color w:val="auto"/>
          </w:rPr>
          <w:t>Danielsson</w:t>
        </w:r>
      </w:hyperlink>
      <w:r w:rsidRPr="00002445">
        <w:rPr>
          <w:rFonts w:ascii="Times New Roman" w:hAnsi="Times New Roman" w:cs="Times New Roman"/>
        </w:rPr>
        <w:t>, A</w:t>
      </w:r>
      <w:r w:rsidR="000A1325" w:rsidRPr="00002445">
        <w:rPr>
          <w:rFonts w:ascii="Times New Roman" w:hAnsi="Times New Roman" w:cs="Times New Roman"/>
        </w:rPr>
        <w:t xml:space="preserve">. </w:t>
      </w:r>
      <w:r w:rsidRPr="00002445">
        <w:rPr>
          <w:rFonts w:ascii="Times New Roman" w:hAnsi="Times New Roman" w:cs="Times New Roman"/>
        </w:rPr>
        <w:t>K. (202</w:t>
      </w:r>
      <w:r w:rsidR="004020B8" w:rsidRPr="00002445">
        <w:rPr>
          <w:rFonts w:ascii="Times New Roman" w:hAnsi="Times New Roman" w:cs="Times New Roman"/>
        </w:rPr>
        <w:t>1</w:t>
      </w:r>
      <w:r w:rsidRPr="00002445">
        <w:rPr>
          <w:rFonts w:ascii="Times New Roman" w:hAnsi="Times New Roman" w:cs="Times New Roman"/>
        </w:rPr>
        <w:t>)</w:t>
      </w:r>
      <w:r w:rsidR="00A7365C" w:rsidRPr="00002445">
        <w:rPr>
          <w:rFonts w:ascii="Times New Roman" w:hAnsi="Times New Roman" w:cs="Times New Roman"/>
        </w:rPr>
        <w:t>.</w:t>
      </w:r>
      <w:r w:rsidRPr="00002445">
        <w:rPr>
          <w:rFonts w:ascii="Times New Roman" w:hAnsi="Times New Roman" w:cs="Times New Roman"/>
        </w:rPr>
        <w:t xml:space="preserve"> Association between poverty exposure during childhood and adolescence, and drug use disorders and drug-related crimes later in life</w:t>
      </w:r>
      <w:r w:rsidR="00A7365C" w:rsidRPr="00002445">
        <w:rPr>
          <w:rFonts w:ascii="Times New Roman" w:hAnsi="Times New Roman" w:cs="Times New Roman"/>
        </w:rPr>
        <w:t>.</w:t>
      </w:r>
      <w:r w:rsidR="00414A16" w:rsidRPr="00002445">
        <w:rPr>
          <w:rFonts w:ascii="Times New Roman" w:hAnsi="Times New Roman" w:cs="Times New Roman"/>
        </w:rPr>
        <w:t xml:space="preserve"> A</w:t>
      </w:r>
      <w:r w:rsidR="009C15CC" w:rsidRPr="00002445">
        <w:rPr>
          <w:rFonts w:ascii="Times New Roman" w:hAnsi="Times New Roman" w:cs="Times New Roman"/>
        </w:rPr>
        <w:t>ddiction</w:t>
      </w:r>
      <w:r w:rsidRPr="00002445">
        <w:rPr>
          <w:rFonts w:ascii="Times New Roman" w:hAnsi="Times New Roman" w:cs="Times New Roman"/>
        </w:rPr>
        <w:t>, 116(7)</w:t>
      </w:r>
      <w:r w:rsidR="004F1959" w:rsidRPr="00002445">
        <w:rPr>
          <w:rFonts w:ascii="Times New Roman" w:hAnsi="Times New Roman" w:cs="Times New Roman"/>
        </w:rPr>
        <w:t xml:space="preserve">, </w:t>
      </w:r>
      <w:r w:rsidRPr="00002445">
        <w:rPr>
          <w:rFonts w:ascii="Times New Roman" w:hAnsi="Times New Roman" w:cs="Times New Roman"/>
        </w:rPr>
        <w:t>1747-1756.</w:t>
      </w:r>
    </w:p>
    <w:p w14:paraId="7AA74204" w14:textId="33005F96" w:rsidR="00496EF6" w:rsidRPr="00002445" w:rsidRDefault="0078610C">
      <w:pPr>
        <w:pStyle w:val="Bibliography"/>
        <w:rPr>
          <w:rFonts w:ascii="Times New Roman" w:hAnsi="Times New Roman" w:cs="Times New Roman"/>
        </w:rPr>
      </w:pPr>
      <w:r w:rsidRPr="00002445">
        <w:rPr>
          <w:rFonts w:ascii="Times New Roman" w:hAnsi="Times New Roman" w:cs="Times New Roman"/>
        </w:rPr>
        <w:t>Morgan</w:t>
      </w:r>
      <w:r w:rsidR="00313E3E" w:rsidRPr="00002445">
        <w:rPr>
          <w:rFonts w:ascii="Times New Roman" w:hAnsi="Times New Roman" w:cs="Times New Roman"/>
        </w:rPr>
        <w:t>,</w:t>
      </w:r>
      <w:r w:rsidRPr="00002445">
        <w:rPr>
          <w:rFonts w:ascii="Times New Roman" w:hAnsi="Times New Roman" w:cs="Times New Roman"/>
        </w:rPr>
        <w:t xml:space="preserve"> N</w:t>
      </w:r>
      <w:r w:rsidR="00313E3E" w:rsidRPr="00002445">
        <w:rPr>
          <w:rFonts w:ascii="Times New Roman" w:hAnsi="Times New Roman" w:cs="Times New Roman"/>
        </w:rPr>
        <w:t>.</w:t>
      </w:r>
      <w:r w:rsidRPr="00002445">
        <w:rPr>
          <w:rFonts w:ascii="Times New Roman" w:hAnsi="Times New Roman" w:cs="Times New Roman"/>
        </w:rPr>
        <w:t xml:space="preserve"> (2014)</w:t>
      </w:r>
      <w:r w:rsidR="00313E3E"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The heroin epidemic of the 1980s and 1990s and its effect on crime trends: Then and now</w:t>
      </w:r>
      <w:r w:rsidRPr="00002445">
        <w:rPr>
          <w:rFonts w:ascii="Times New Roman" w:hAnsi="Times New Roman" w:cs="Times New Roman"/>
        </w:rPr>
        <w:t>. Home Office.</w:t>
      </w:r>
    </w:p>
    <w:p w14:paraId="0DD43835" w14:textId="6DDD254F" w:rsidR="008A3A95" w:rsidRPr="00002445" w:rsidRDefault="008A3A95" w:rsidP="008A3A95">
      <w:pPr>
        <w:rPr>
          <w:rFonts w:ascii="Times New Roman" w:eastAsia="SimSun" w:hAnsi="Times New Roman" w:cs="Times New Roman"/>
          <w:lang w:eastAsia="en-GB"/>
        </w:rPr>
      </w:pPr>
      <w:bookmarkStart w:id="36" w:name="ref-ogborne1975a"/>
      <w:bookmarkEnd w:id="35"/>
      <w:r w:rsidRPr="00002445">
        <w:rPr>
          <w:rFonts w:ascii="Times New Roman" w:eastAsia="SimSun" w:hAnsi="Times New Roman" w:cs="Times New Roman"/>
          <w:lang w:eastAsia="en-GB"/>
        </w:rPr>
        <w:t>Office for National Statistics (2007)</w:t>
      </w:r>
      <w:r w:rsidR="004F1959" w:rsidRPr="00002445">
        <w:rPr>
          <w:rFonts w:ascii="Times New Roman" w:eastAsia="SimSun" w:hAnsi="Times New Roman" w:cs="Times New Roman"/>
          <w:lang w:eastAsia="en-GB"/>
        </w:rPr>
        <w:t>.</w:t>
      </w:r>
      <w:r w:rsidRPr="00002445">
        <w:rPr>
          <w:rFonts w:ascii="Times New Roman" w:eastAsia="SimSun" w:hAnsi="Times New Roman" w:cs="Times New Roman"/>
          <w:lang w:eastAsia="en-GB"/>
        </w:rPr>
        <w:t xml:space="preserve"> </w:t>
      </w:r>
      <w:r w:rsidRPr="00002445">
        <w:rPr>
          <w:rFonts w:ascii="Times New Roman" w:eastAsia="SimSun" w:hAnsi="Times New Roman" w:cs="Times New Roman"/>
          <w:bCs/>
          <w:i/>
          <w:iCs/>
          <w:lang w:eastAsia="en-GB"/>
        </w:rPr>
        <w:t>Social Trends No. 37.</w:t>
      </w:r>
      <w:r w:rsidRPr="00002445">
        <w:rPr>
          <w:rFonts w:ascii="Times New Roman" w:eastAsia="SimSun" w:hAnsi="Times New Roman" w:cs="Times New Roman"/>
          <w:lang w:eastAsia="en-GB"/>
        </w:rPr>
        <w:t xml:space="preserve"> Palgrave Macmillan.</w:t>
      </w:r>
    </w:p>
    <w:p w14:paraId="55A92C34" w14:textId="22AD892D" w:rsidR="00496EF6" w:rsidRPr="00002445" w:rsidRDefault="0078610C">
      <w:pPr>
        <w:pStyle w:val="Bibliography"/>
        <w:rPr>
          <w:rFonts w:ascii="Times New Roman" w:hAnsi="Times New Roman" w:cs="Times New Roman"/>
        </w:rPr>
      </w:pPr>
      <w:r w:rsidRPr="00002445">
        <w:rPr>
          <w:rFonts w:ascii="Times New Roman" w:hAnsi="Times New Roman" w:cs="Times New Roman"/>
        </w:rPr>
        <w:t>Ogborne</w:t>
      </w:r>
      <w:r w:rsidR="008448CF" w:rsidRPr="00002445">
        <w:rPr>
          <w:rFonts w:ascii="Times New Roman" w:hAnsi="Times New Roman" w:cs="Times New Roman"/>
        </w:rPr>
        <w:t>,</w:t>
      </w:r>
      <w:r w:rsidRPr="00002445">
        <w:rPr>
          <w:rFonts w:ascii="Times New Roman" w:hAnsi="Times New Roman" w:cs="Times New Roman"/>
        </w:rPr>
        <w:t xml:space="preserve"> A</w:t>
      </w:r>
      <w:r w:rsidR="008448CF" w:rsidRPr="00002445">
        <w:rPr>
          <w:rFonts w:ascii="Times New Roman" w:hAnsi="Times New Roman" w:cs="Times New Roman"/>
        </w:rPr>
        <w:t xml:space="preserve">. </w:t>
      </w:r>
      <w:r w:rsidRPr="00002445">
        <w:rPr>
          <w:rFonts w:ascii="Times New Roman" w:hAnsi="Times New Roman" w:cs="Times New Roman"/>
        </w:rPr>
        <w:t>C</w:t>
      </w:r>
      <w:r w:rsidR="008448CF" w:rsidRPr="00002445">
        <w:rPr>
          <w:rFonts w:ascii="Times New Roman" w:hAnsi="Times New Roman" w:cs="Times New Roman"/>
        </w:rPr>
        <w:t>., &amp;</w:t>
      </w:r>
      <w:r w:rsidRPr="00002445">
        <w:rPr>
          <w:rFonts w:ascii="Times New Roman" w:hAnsi="Times New Roman" w:cs="Times New Roman"/>
        </w:rPr>
        <w:t xml:space="preserve"> Stimson</w:t>
      </w:r>
      <w:r w:rsidR="008448CF" w:rsidRPr="00002445">
        <w:rPr>
          <w:rFonts w:ascii="Times New Roman" w:hAnsi="Times New Roman" w:cs="Times New Roman"/>
        </w:rPr>
        <w:t>,</w:t>
      </w:r>
      <w:r w:rsidRPr="00002445">
        <w:rPr>
          <w:rFonts w:ascii="Times New Roman" w:hAnsi="Times New Roman" w:cs="Times New Roman"/>
        </w:rPr>
        <w:t xml:space="preserve"> G</w:t>
      </w:r>
      <w:r w:rsidR="008448CF" w:rsidRPr="00002445">
        <w:rPr>
          <w:rFonts w:ascii="Times New Roman" w:hAnsi="Times New Roman" w:cs="Times New Roman"/>
        </w:rPr>
        <w:t xml:space="preserve">. </w:t>
      </w:r>
      <w:r w:rsidRPr="00002445">
        <w:rPr>
          <w:rFonts w:ascii="Times New Roman" w:hAnsi="Times New Roman" w:cs="Times New Roman"/>
        </w:rPr>
        <w:t>V</w:t>
      </w:r>
      <w:r w:rsidR="008448CF" w:rsidRPr="00002445">
        <w:rPr>
          <w:rFonts w:ascii="Times New Roman" w:hAnsi="Times New Roman" w:cs="Times New Roman"/>
        </w:rPr>
        <w:t>.</w:t>
      </w:r>
      <w:r w:rsidRPr="00002445">
        <w:rPr>
          <w:rFonts w:ascii="Times New Roman" w:hAnsi="Times New Roman" w:cs="Times New Roman"/>
        </w:rPr>
        <w:t xml:space="preserve"> (1975)</w:t>
      </w:r>
      <w:r w:rsidR="008448CF" w:rsidRPr="00002445">
        <w:rPr>
          <w:rFonts w:ascii="Times New Roman" w:hAnsi="Times New Roman" w:cs="Times New Roman"/>
        </w:rPr>
        <w:t>.</w:t>
      </w:r>
      <w:r w:rsidRPr="00002445">
        <w:rPr>
          <w:rFonts w:ascii="Times New Roman" w:hAnsi="Times New Roman" w:cs="Times New Roman"/>
        </w:rPr>
        <w:t xml:space="preserve"> Follow-up of a Representative Sample of Heroin Addicts. </w:t>
      </w:r>
      <w:r w:rsidRPr="00002445">
        <w:rPr>
          <w:rFonts w:ascii="Times New Roman" w:hAnsi="Times New Roman" w:cs="Times New Roman"/>
          <w:i/>
        </w:rPr>
        <w:t>International Journal of the Addictions</w:t>
      </w:r>
      <w:r w:rsidR="008448CF" w:rsidRPr="00002445">
        <w:rPr>
          <w:rFonts w:ascii="Times New Roman" w:hAnsi="Times New Roman" w:cs="Times New Roman"/>
          <w:i/>
        </w:rPr>
        <w:t>,</w:t>
      </w:r>
      <w:r w:rsidR="00A33C12" w:rsidRPr="00002445">
        <w:rPr>
          <w:rFonts w:ascii="Times New Roman" w:hAnsi="Times New Roman" w:cs="Times New Roman"/>
        </w:rPr>
        <w:t xml:space="preserve"> 10(6)</w:t>
      </w:r>
      <w:r w:rsidR="00313E3E" w:rsidRPr="00002445">
        <w:rPr>
          <w:rFonts w:ascii="Times New Roman" w:hAnsi="Times New Roman" w:cs="Times New Roman"/>
        </w:rPr>
        <w:t xml:space="preserve">, </w:t>
      </w:r>
      <w:r w:rsidRPr="00002445">
        <w:rPr>
          <w:rFonts w:ascii="Times New Roman" w:hAnsi="Times New Roman" w:cs="Times New Roman"/>
        </w:rPr>
        <w:t xml:space="preserve">1061–1071. </w:t>
      </w:r>
    </w:p>
    <w:p w14:paraId="642F6AC6" w14:textId="76FB518D" w:rsidR="00496EF6" w:rsidRPr="00002445" w:rsidRDefault="0078610C">
      <w:pPr>
        <w:pStyle w:val="Bibliography"/>
        <w:rPr>
          <w:rFonts w:ascii="Times New Roman" w:hAnsi="Times New Roman" w:cs="Times New Roman"/>
        </w:rPr>
      </w:pPr>
      <w:bookmarkStart w:id="37" w:name="ref-parker1988a"/>
      <w:bookmarkEnd w:id="36"/>
      <w:r w:rsidRPr="00002445">
        <w:rPr>
          <w:rFonts w:ascii="Times New Roman" w:hAnsi="Times New Roman" w:cs="Times New Roman"/>
        </w:rPr>
        <w:t>Parker</w:t>
      </w:r>
      <w:r w:rsidR="003E1A4F" w:rsidRPr="00002445">
        <w:rPr>
          <w:rFonts w:ascii="Times New Roman" w:hAnsi="Times New Roman" w:cs="Times New Roman"/>
        </w:rPr>
        <w:t>,</w:t>
      </w:r>
      <w:r w:rsidRPr="00002445">
        <w:rPr>
          <w:rFonts w:ascii="Times New Roman" w:hAnsi="Times New Roman" w:cs="Times New Roman"/>
        </w:rPr>
        <w:t xml:space="preserve"> H</w:t>
      </w:r>
      <w:r w:rsidR="003E1A4F" w:rsidRPr="00002445">
        <w:rPr>
          <w:rFonts w:ascii="Times New Roman" w:hAnsi="Times New Roman" w:cs="Times New Roman"/>
        </w:rPr>
        <w:t xml:space="preserve">. </w:t>
      </w:r>
      <w:r w:rsidRPr="00002445">
        <w:rPr>
          <w:rFonts w:ascii="Times New Roman" w:hAnsi="Times New Roman" w:cs="Times New Roman"/>
        </w:rPr>
        <w:t>J</w:t>
      </w:r>
      <w:r w:rsidR="003E1A4F" w:rsidRPr="00002445">
        <w:rPr>
          <w:rFonts w:ascii="Times New Roman" w:hAnsi="Times New Roman" w:cs="Times New Roman"/>
        </w:rPr>
        <w:t>.</w:t>
      </w:r>
      <w:r w:rsidRPr="00002445">
        <w:rPr>
          <w:rFonts w:ascii="Times New Roman" w:hAnsi="Times New Roman" w:cs="Times New Roman"/>
        </w:rPr>
        <w:t>, Bakx</w:t>
      </w:r>
      <w:r w:rsidR="003E1A4F" w:rsidRPr="00002445">
        <w:rPr>
          <w:rFonts w:ascii="Times New Roman" w:hAnsi="Times New Roman" w:cs="Times New Roman"/>
        </w:rPr>
        <w:t>,</w:t>
      </w:r>
      <w:r w:rsidRPr="00002445">
        <w:rPr>
          <w:rFonts w:ascii="Times New Roman" w:hAnsi="Times New Roman" w:cs="Times New Roman"/>
        </w:rPr>
        <w:t xml:space="preserve"> K</w:t>
      </w:r>
      <w:r w:rsidR="003E1A4F" w:rsidRPr="00002445">
        <w:rPr>
          <w:rFonts w:ascii="Times New Roman" w:hAnsi="Times New Roman" w:cs="Times New Roman"/>
        </w:rPr>
        <w:t>., &amp;</w:t>
      </w:r>
      <w:r w:rsidRPr="00002445">
        <w:rPr>
          <w:rFonts w:ascii="Times New Roman" w:hAnsi="Times New Roman" w:cs="Times New Roman"/>
        </w:rPr>
        <w:t xml:space="preserve"> Newcombe</w:t>
      </w:r>
      <w:r w:rsidR="003E1A4F" w:rsidRPr="00002445">
        <w:rPr>
          <w:rFonts w:ascii="Times New Roman" w:hAnsi="Times New Roman" w:cs="Times New Roman"/>
        </w:rPr>
        <w:t>,</w:t>
      </w:r>
      <w:r w:rsidRPr="00002445">
        <w:rPr>
          <w:rFonts w:ascii="Times New Roman" w:hAnsi="Times New Roman" w:cs="Times New Roman"/>
        </w:rPr>
        <w:t xml:space="preserve"> R</w:t>
      </w:r>
      <w:r w:rsidR="003E1A4F" w:rsidRPr="00002445">
        <w:rPr>
          <w:rFonts w:ascii="Times New Roman" w:hAnsi="Times New Roman" w:cs="Times New Roman"/>
        </w:rPr>
        <w:t>.</w:t>
      </w:r>
      <w:r w:rsidRPr="00002445">
        <w:rPr>
          <w:rFonts w:ascii="Times New Roman" w:hAnsi="Times New Roman" w:cs="Times New Roman"/>
        </w:rPr>
        <w:t xml:space="preserve"> (1988)</w:t>
      </w:r>
      <w:r w:rsidR="003E1A4F"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Living with heroin: The impact of a drugs "epidemic" on an English community</w:t>
      </w:r>
      <w:r w:rsidRPr="00002445">
        <w:rPr>
          <w:rFonts w:ascii="Times New Roman" w:hAnsi="Times New Roman" w:cs="Times New Roman"/>
        </w:rPr>
        <w:t>. Open University Press.</w:t>
      </w:r>
    </w:p>
    <w:p w14:paraId="22FE7069" w14:textId="218217EA" w:rsidR="00496EF6" w:rsidRPr="00002445" w:rsidRDefault="0078610C">
      <w:pPr>
        <w:pStyle w:val="Bibliography"/>
        <w:rPr>
          <w:rFonts w:ascii="Times New Roman" w:hAnsi="Times New Roman" w:cs="Times New Roman"/>
        </w:rPr>
      </w:pPr>
      <w:bookmarkStart w:id="38" w:name="ref-pearson1987a"/>
      <w:bookmarkEnd w:id="37"/>
      <w:r w:rsidRPr="00002445">
        <w:rPr>
          <w:rFonts w:ascii="Times New Roman" w:hAnsi="Times New Roman" w:cs="Times New Roman"/>
        </w:rPr>
        <w:t>Pearson</w:t>
      </w:r>
      <w:r w:rsidR="00950185" w:rsidRPr="00002445">
        <w:rPr>
          <w:rFonts w:ascii="Times New Roman" w:hAnsi="Times New Roman" w:cs="Times New Roman"/>
        </w:rPr>
        <w:t>,</w:t>
      </w:r>
      <w:r w:rsidRPr="00002445">
        <w:rPr>
          <w:rFonts w:ascii="Times New Roman" w:hAnsi="Times New Roman" w:cs="Times New Roman"/>
        </w:rPr>
        <w:t xml:space="preserve"> G</w:t>
      </w:r>
      <w:r w:rsidR="00950185" w:rsidRPr="00002445">
        <w:rPr>
          <w:rFonts w:ascii="Times New Roman" w:hAnsi="Times New Roman" w:cs="Times New Roman"/>
        </w:rPr>
        <w:t>.</w:t>
      </w:r>
      <w:r w:rsidRPr="00002445">
        <w:rPr>
          <w:rFonts w:ascii="Times New Roman" w:hAnsi="Times New Roman" w:cs="Times New Roman"/>
        </w:rPr>
        <w:t xml:space="preserve"> (1987)</w:t>
      </w:r>
      <w:r w:rsidR="00950185"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The new heroin users</w:t>
      </w:r>
      <w:r w:rsidRPr="00002445">
        <w:rPr>
          <w:rFonts w:ascii="Times New Roman" w:hAnsi="Times New Roman" w:cs="Times New Roman"/>
        </w:rPr>
        <w:t>. Basil Blackwell.</w:t>
      </w:r>
    </w:p>
    <w:p w14:paraId="26B49977" w14:textId="2189C31B" w:rsidR="00AC0D29" w:rsidRPr="00002445" w:rsidRDefault="00AC0D29">
      <w:pPr>
        <w:pStyle w:val="Bibliography"/>
        <w:rPr>
          <w:rFonts w:ascii="Times New Roman" w:hAnsi="Times New Roman" w:cs="Times New Roman"/>
        </w:rPr>
      </w:pPr>
      <w:bookmarkStart w:id="39" w:name="ref-rosenberg1969a"/>
      <w:bookmarkEnd w:id="38"/>
      <w:r w:rsidRPr="00002445">
        <w:rPr>
          <w:rFonts w:ascii="Times New Roman" w:hAnsi="Times New Roman" w:cs="Times New Roman"/>
        </w:rPr>
        <w:t>Scott-Samuel, A., Bambra, C., Collins, C., Hunter, D., McCartney, G.</w:t>
      </w:r>
      <w:r w:rsidR="00950185" w:rsidRPr="00002445">
        <w:rPr>
          <w:rFonts w:ascii="Times New Roman" w:hAnsi="Times New Roman" w:cs="Times New Roman"/>
        </w:rPr>
        <w:t>, &amp;</w:t>
      </w:r>
      <w:r w:rsidRPr="00002445">
        <w:rPr>
          <w:rFonts w:ascii="Times New Roman" w:hAnsi="Times New Roman" w:cs="Times New Roman"/>
        </w:rPr>
        <w:t xml:space="preserve"> Smith, K. (2014)</w:t>
      </w:r>
      <w:r w:rsidR="00950185" w:rsidRPr="00002445">
        <w:rPr>
          <w:rFonts w:ascii="Times New Roman" w:hAnsi="Times New Roman" w:cs="Times New Roman"/>
        </w:rPr>
        <w:t>.</w:t>
      </w:r>
      <w:r w:rsidRPr="00002445">
        <w:rPr>
          <w:rFonts w:ascii="Times New Roman" w:hAnsi="Times New Roman" w:cs="Times New Roman"/>
        </w:rPr>
        <w:t xml:space="preserve"> The Impact of Thatcherism on Health and Well Being in Britain</w:t>
      </w:r>
      <w:r w:rsidR="008D73B1"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International Journal of Health Services</w:t>
      </w:r>
      <w:r w:rsidRPr="00002445">
        <w:rPr>
          <w:rFonts w:ascii="Times New Roman" w:hAnsi="Times New Roman" w:cs="Times New Roman"/>
        </w:rPr>
        <w:t>, 44(1)</w:t>
      </w:r>
      <w:r w:rsidR="00950185" w:rsidRPr="00002445">
        <w:rPr>
          <w:rFonts w:ascii="Times New Roman" w:hAnsi="Times New Roman" w:cs="Times New Roman"/>
        </w:rPr>
        <w:t xml:space="preserve">, </w:t>
      </w:r>
      <w:r w:rsidRPr="00002445">
        <w:rPr>
          <w:rFonts w:ascii="Times New Roman" w:hAnsi="Times New Roman" w:cs="Times New Roman"/>
        </w:rPr>
        <w:t xml:space="preserve">53–71. </w:t>
      </w:r>
      <w:bookmarkStart w:id="40" w:name="ref-sanchez2000a"/>
      <w:bookmarkEnd w:id="39"/>
    </w:p>
    <w:p w14:paraId="79FCCAB5" w14:textId="6E8A4F25" w:rsidR="00496EF6" w:rsidRPr="00002445" w:rsidRDefault="0078610C">
      <w:pPr>
        <w:pStyle w:val="Bibliography"/>
        <w:rPr>
          <w:rFonts w:ascii="Times New Roman" w:hAnsi="Times New Roman" w:cs="Times New Roman"/>
        </w:rPr>
      </w:pPr>
      <w:bookmarkStart w:id="41" w:name="ref-seddon2006a"/>
      <w:bookmarkEnd w:id="40"/>
      <w:r w:rsidRPr="00002445">
        <w:rPr>
          <w:rFonts w:ascii="Times New Roman" w:hAnsi="Times New Roman" w:cs="Times New Roman"/>
        </w:rPr>
        <w:t>Seddon</w:t>
      </w:r>
      <w:r w:rsidR="002A743A" w:rsidRPr="00002445">
        <w:rPr>
          <w:rFonts w:ascii="Times New Roman" w:hAnsi="Times New Roman" w:cs="Times New Roman"/>
        </w:rPr>
        <w:t>,</w:t>
      </w:r>
      <w:r w:rsidRPr="00002445">
        <w:rPr>
          <w:rFonts w:ascii="Times New Roman" w:hAnsi="Times New Roman" w:cs="Times New Roman"/>
        </w:rPr>
        <w:t xml:space="preserve"> T</w:t>
      </w:r>
      <w:r w:rsidR="002A743A" w:rsidRPr="00002445">
        <w:rPr>
          <w:rFonts w:ascii="Times New Roman" w:hAnsi="Times New Roman" w:cs="Times New Roman"/>
        </w:rPr>
        <w:t>.</w:t>
      </w:r>
      <w:r w:rsidRPr="00002445">
        <w:rPr>
          <w:rFonts w:ascii="Times New Roman" w:hAnsi="Times New Roman" w:cs="Times New Roman"/>
        </w:rPr>
        <w:t xml:space="preserve"> (2006)</w:t>
      </w:r>
      <w:r w:rsidR="002A743A" w:rsidRPr="00002445">
        <w:rPr>
          <w:rFonts w:ascii="Times New Roman" w:hAnsi="Times New Roman" w:cs="Times New Roman"/>
        </w:rPr>
        <w:t>.</w:t>
      </w:r>
      <w:r w:rsidRPr="00002445">
        <w:rPr>
          <w:rFonts w:ascii="Times New Roman" w:hAnsi="Times New Roman" w:cs="Times New Roman"/>
        </w:rPr>
        <w:t xml:space="preserve"> Drugs, Crime and Social Exclusion. </w:t>
      </w:r>
      <w:r w:rsidRPr="00002445">
        <w:rPr>
          <w:rFonts w:ascii="Times New Roman" w:hAnsi="Times New Roman" w:cs="Times New Roman"/>
          <w:i/>
        </w:rPr>
        <w:t>The British Journal of Criminology</w:t>
      </w:r>
      <w:r w:rsidR="00A33C12" w:rsidRPr="00002445">
        <w:rPr>
          <w:rFonts w:ascii="Times New Roman" w:hAnsi="Times New Roman" w:cs="Times New Roman"/>
        </w:rPr>
        <w:t xml:space="preserve"> 46(4)</w:t>
      </w:r>
      <w:r w:rsidR="002A743A" w:rsidRPr="00002445">
        <w:rPr>
          <w:rFonts w:ascii="Times New Roman" w:hAnsi="Times New Roman" w:cs="Times New Roman"/>
        </w:rPr>
        <w:t xml:space="preserve">, </w:t>
      </w:r>
      <w:r w:rsidRPr="00002445">
        <w:rPr>
          <w:rFonts w:ascii="Times New Roman" w:hAnsi="Times New Roman" w:cs="Times New Roman"/>
        </w:rPr>
        <w:t xml:space="preserve">680–703. </w:t>
      </w:r>
    </w:p>
    <w:p w14:paraId="429004C5" w14:textId="7CFA325D" w:rsidR="00590501" w:rsidRPr="00002445" w:rsidRDefault="00590501">
      <w:pPr>
        <w:pStyle w:val="Bibliography"/>
        <w:rPr>
          <w:rFonts w:ascii="Times New Roman" w:hAnsi="Times New Roman" w:cs="Times New Roman"/>
        </w:rPr>
      </w:pPr>
      <w:r w:rsidRPr="00002445">
        <w:rPr>
          <w:rFonts w:ascii="Times New Roman" w:hAnsi="Times New Roman" w:cs="Times New Roman"/>
        </w:rPr>
        <w:t>Shipton, D., Whyte, B</w:t>
      </w:r>
      <w:r w:rsidR="008C4926" w:rsidRPr="00002445">
        <w:rPr>
          <w:rFonts w:ascii="Times New Roman" w:hAnsi="Times New Roman" w:cs="Times New Roman"/>
        </w:rPr>
        <w:t>., &amp;</w:t>
      </w:r>
      <w:r w:rsidRPr="00002445">
        <w:rPr>
          <w:rFonts w:ascii="Times New Roman" w:hAnsi="Times New Roman" w:cs="Times New Roman"/>
        </w:rPr>
        <w:t xml:space="preserve"> Walsh, D. (2013)</w:t>
      </w:r>
      <w:r w:rsidR="008C4926" w:rsidRPr="00002445">
        <w:rPr>
          <w:rFonts w:ascii="Times New Roman" w:hAnsi="Times New Roman" w:cs="Times New Roman"/>
        </w:rPr>
        <w:t>.</w:t>
      </w:r>
      <w:r w:rsidRPr="00002445">
        <w:rPr>
          <w:rFonts w:ascii="Times New Roman" w:hAnsi="Times New Roman" w:cs="Times New Roman"/>
        </w:rPr>
        <w:t xml:space="preserve"> Alcohol-related mortality in deprived UK cities</w:t>
      </w:r>
      <w:r w:rsidR="008C4926"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 xml:space="preserve">Journal of Epidemiological </w:t>
      </w:r>
      <w:r w:rsidR="00DA3233" w:rsidRPr="00002445">
        <w:rPr>
          <w:rFonts w:ascii="Times New Roman" w:hAnsi="Times New Roman" w:cs="Times New Roman"/>
          <w:i/>
        </w:rPr>
        <w:t xml:space="preserve">and </w:t>
      </w:r>
      <w:r w:rsidRPr="00002445">
        <w:rPr>
          <w:rFonts w:ascii="Times New Roman" w:hAnsi="Times New Roman" w:cs="Times New Roman"/>
          <w:i/>
        </w:rPr>
        <w:t>Community Health</w:t>
      </w:r>
      <w:r w:rsidRPr="00002445">
        <w:rPr>
          <w:rFonts w:ascii="Times New Roman" w:hAnsi="Times New Roman" w:cs="Times New Roman"/>
        </w:rPr>
        <w:t xml:space="preserve">, </w:t>
      </w:r>
      <w:r w:rsidR="00DA3233" w:rsidRPr="00002445">
        <w:rPr>
          <w:rFonts w:ascii="Times New Roman" w:hAnsi="Times New Roman" w:cs="Times New Roman"/>
        </w:rPr>
        <w:t>67(10)</w:t>
      </w:r>
      <w:r w:rsidR="008C4926" w:rsidRPr="00002445">
        <w:rPr>
          <w:rFonts w:ascii="Times New Roman" w:hAnsi="Times New Roman" w:cs="Times New Roman"/>
        </w:rPr>
        <w:t xml:space="preserve">, </w:t>
      </w:r>
      <w:r w:rsidR="00DA3233" w:rsidRPr="00002445">
        <w:rPr>
          <w:rFonts w:ascii="Times New Roman" w:hAnsi="Times New Roman" w:cs="Times New Roman"/>
        </w:rPr>
        <w:t>805-812.</w:t>
      </w:r>
    </w:p>
    <w:p w14:paraId="42D8FC2C" w14:textId="2CAEC740" w:rsidR="004806C0" w:rsidRPr="00002445" w:rsidRDefault="004806C0">
      <w:pPr>
        <w:pStyle w:val="Bibliography"/>
        <w:rPr>
          <w:rFonts w:ascii="Times New Roman" w:hAnsi="Times New Roman" w:cs="Times New Roman"/>
        </w:rPr>
      </w:pPr>
      <w:r w:rsidRPr="00002445">
        <w:rPr>
          <w:rFonts w:ascii="Times New Roman" w:hAnsi="Times New Roman" w:cs="Times New Roman"/>
          <w:color w:val="212121"/>
          <w:shd w:val="clear" w:color="auto" w:fill="FFFFFF"/>
        </w:rPr>
        <w:t>Stimson, G.</w:t>
      </w:r>
      <w:r w:rsidR="008C4926" w:rsidRPr="00002445">
        <w:rPr>
          <w:rFonts w:ascii="Times New Roman" w:hAnsi="Times New Roman" w:cs="Times New Roman"/>
          <w:color w:val="212121"/>
          <w:shd w:val="clear" w:color="auto" w:fill="FFFFFF"/>
        </w:rPr>
        <w:t xml:space="preserve"> </w:t>
      </w:r>
      <w:r w:rsidRPr="00002445">
        <w:rPr>
          <w:rFonts w:ascii="Times New Roman" w:hAnsi="Times New Roman" w:cs="Times New Roman"/>
          <w:color w:val="212121"/>
          <w:shd w:val="clear" w:color="auto" w:fill="FFFFFF"/>
        </w:rPr>
        <w:t>V. (1987)</w:t>
      </w:r>
      <w:r w:rsidR="008C4926" w:rsidRPr="00002445">
        <w:rPr>
          <w:rFonts w:ascii="Times New Roman" w:hAnsi="Times New Roman" w:cs="Times New Roman"/>
          <w:color w:val="212121"/>
          <w:shd w:val="clear" w:color="auto" w:fill="FFFFFF"/>
        </w:rPr>
        <w:t>.</w:t>
      </w:r>
      <w:r w:rsidRPr="00002445">
        <w:rPr>
          <w:rFonts w:ascii="Times New Roman" w:hAnsi="Times New Roman" w:cs="Times New Roman"/>
          <w:color w:val="212121"/>
          <w:shd w:val="clear" w:color="auto" w:fill="FFFFFF"/>
        </w:rPr>
        <w:t xml:space="preserve"> British drug policies in the 1980s: a preliminary analysis and suggestions for research. </w:t>
      </w:r>
      <w:r w:rsidRPr="00002445">
        <w:rPr>
          <w:rFonts w:ascii="Times New Roman" w:hAnsi="Times New Roman" w:cs="Times New Roman"/>
          <w:i/>
          <w:iCs/>
          <w:color w:val="212121"/>
          <w:shd w:val="clear" w:color="auto" w:fill="FFFFFF"/>
        </w:rPr>
        <w:t>British Journal of Addiction</w:t>
      </w:r>
      <w:r w:rsidR="00524D4C" w:rsidRPr="00002445">
        <w:rPr>
          <w:rFonts w:ascii="Times New Roman" w:hAnsi="Times New Roman" w:cs="Times New Roman"/>
          <w:i/>
          <w:iCs/>
          <w:color w:val="212121"/>
          <w:shd w:val="clear" w:color="auto" w:fill="FFFFFF"/>
        </w:rPr>
        <w:t>,</w:t>
      </w:r>
      <w:r w:rsidRPr="00002445">
        <w:rPr>
          <w:rFonts w:ascii="Times New Roman" w:hAnsi="Times New Roman" w:cs="Times New Roman"/>
          <w:color w:val="212121"/>
          <w:shd w:val="clear" w:color="auto" w:fill="FFFFFF"/>
        </w:rPr>
        <w:t xml:space="preserve"> 82(5)</w:t>
      </w:r>
      <w:r w:rsidR="006D06EC" w:rsidRPr="00002445">
        <w:rPr>
          <w:rFonts w:ascii="Times New Roman" w:hAnsi="Times New Roman" w:cs="Times New Roman"/>
          <w:color w:val="212121"/>
          <w:shd w:val="clear" w:color="auto" w:fill="FFFFFF"/>
        </w:rPr>
        <w:t xml:space="preserve">, </w:t>
      </w:r>
      <w:r w:rsidRPr="00002445">
        <w:rPr>
          <w:rFonts w:ascii="Times New Roman" w:hAnsi="Times New Roman" w:cs="Times New Roman"/>
          <w:color w:val="212121"/>
          <w:shd w:val="clear" w:color="auto" w:fill="FFFFFF"/>
        </w:rPr>
        <w:t>477-</w:t>
      </w:r>
      <w:r w:rsidR="00892456" w:rsidRPr="00002445">
        <w:rPr>
          <w:rFonts w:ascii="Times New Roman" w:hAnsi="Times New Roman" w:cs="Times New Roman"/>
          <w:color w:val="212121"/>
          <w:shd w:val="clear" w:color="auto" w:fill="FFFFFF"/>
        </w:rPr>
        <w:t>4</w:t>
      </w:r>
      <w:r w:rsidRPr="00002445">
        <w:rPr>
          <w:rFonts w:ascii="Times New Roman" w:hAnsi="Times New Roman" w:cs="Times New Roman"/>
          <w:color w:val="212121"/>
          <w:shd w:val="clear" w:color="auto" w:fill="FFFFFF"/>
        </w:rPr>
        <w:t xml:space="preserve">88. </w:t>
      </w:r>
    </w:p>
    <w:p w14:paraId="461DCCCF" w14:textId="32ABC729" w:rsidR="00496EF6" w:rsidRPr="00002445" w:rsidRDefault="0078610C">
      <w:pPr>
        <w:pStyle w:val="Bibliography"/>
        <w:rPr>
          <w:rFonts w:ascii="Times New Roman" w:hAnsi="Times New Roman" w:cs="Times New Roman"/>
        </w:rPr>
      </w:pPr>
      <w:bookmarkStart w:id="42" w:name="ref-stimson1982a"/>
      <w:bookmarkEnd w:id="41"/>
      <w:r w:rsidRPr="00002445">
        <w:rPr>
          <w:rFonts w:ascii="Times New Roman" w:hAnsi="Times New Roman" w:cs="Times New Roman"/>
        </w:rPr>
        <w:t>Stimson</w:t>
      </w:r>
      <w:r w:rsidR="006D06EC" w:rsidRPr="00002445">
        <w:rPr>
          <w:rFonts w:ascii="Times New Roman" w:hAnsi="Times New Roman" w:cs="Times New Roman"/>
        </w:rPr>
        <w:t>,</w:t>
      </w:r>
      <w:r w:rsidRPr="00002445">
        <w:rPr>
          <w:rFonts w:ascii="Times New Roman" w:hAnsi="Times New Roman" w:cs="Times New Roman"/>
        </w:rPr>
        <w:t xml:space="preserve"> G</w:t>
      </w:r>
      <w:r w:rsidR="006D06EC" w:rsidRPr="00002445">
        <w:rPr>
          <w:rFonts w:ascii="Times New Roman" w:hAnsi="Times New Roman" w:cs="Times New Roman"/>
        </w:rPr>
        <w:t xml:space="preserve">. </w:t>
      </w:r>
      <w:r w:rsidRPr="00002445">
        <w:rPr>
          <w:rFonts w:ascii="Times New Roman" w:hAnsi="Times New Roman" w:cs="Times New Roman"/>
        </w:rPr>
        <w:t>V</w:t>
      </w:r>
      <w:r w:rsidR="006D06EC" w:rsidRPr="00002445">
        <w:rPr>
          <w:rFonts w:ascii="Times New Roman" w:hAnsi="Times New Roman" w:cs="Times New Roman"/>
        </w:rPr>
        <w:t>., &amp;</w:t>
      </w:r>
      <w:r w:rsidRPr="00002445">
        <w:rPr>
          <w:rFonts w:ascii="Times New Roman" w:hAnsi="Times New Roman" w:cs="Times New Roman"/>
        </w:rPr>
        <w:t xml:space="preserve"> Oppenheimer</w:t>
      </w:r>
      <w:r w:rsidR="006D06EC" w:rsidRPr="00002445">
        <w:rPr>
          <w:rFonts w:ascii="Times New Roman" w:hAnsi="Times New Roman" w:cs="Times New Roman"/>
        </w:rPr>
        <w:t>,</w:t>
      </w:r>
      <w:r w:rsidRPr="00002445">
        <w:rPr>
          <w:rFonts w:ascii="Times New Roman" w:hAnsi="Times New Roman" w:cs="Times New Roman"/>
        </w:rPr>
        <w:t xml:space="preserve"> E</w:t>
      </w:r>
      <w:r w:rsidR="006D06EC" w:rsidRPr="00002445">
        <w:rPr>
          <w:rFonts w:ascii="Times New Roman" w:hAnsi="Times New Roman" w:cs="Times New Roman"/>
        </w:rPr>
        <w:t>.</w:t>
      </w:r>
      <w:r w:rsidRPr="00002445">
        <w:rPr>
          <w:rFonts w:ascii="Times New Roman" w:hAnsi="Times New Roman" w:cs="Times New Roman"/>
        </w:rPr>
        <w:t xml:space="preserve"> (1982)</w:t>
      </w:r>
      <w:r w:rsidR="006D06EC" w:rsidRPr="00002445">
        <w:rPr>
          <w:rFonts w:ascii="Times New Roman" w:hAnsi="Times New Roman" w:cs="Times New Roman"/>
        </w:rPr>
        <w:t>.</w:t>
      </w:r>
      <w:r w:rsidRPr="00002445">
        <w:rPr>
          <w:rFonts w:ascii="Times New Roman" w:hAnsi="Times New Roman" w:cs="Times New Roman"/>
        </w:rPr>
        <w:t xml:space="preserve"> </w:t>
      </w:r>
      <w:r w:rsidRPr="00002445">
        <w:rPr>
          <w:rFonts w:ascii="Times New Roman" w:hAnsi="Times New Roman" w:cs="Times New Roman"/>
          <w:i/>
        </w:rPr>
        <w:t>Heroin addiction: Treatment and control in Britain</w:t>
      </w:r>
      <w:r w:rsidRPr="00002445">
        <w:rPr>
          <w:rFonts w:ascii="Times New Roman" w:hAnsi="Times New Roman" w:cs="Times New Roman"/>
        </w:rPr>
        <w:t>. Tavistock Publications.</w:t>
      </w:r>
    </w:p>
    <w:bookmarkEnd w:id="42"/>
    <w:p w14:paraId="6AE8E285" w14:textId="2A01F273" w:rsidR="005C0080" w:rsidRPr="00002445" w:rsidRDefault="005C0080" w:rsidP="005C0080">
      <w:pPr>
        <w:pStyle w:val="Bibliography"/>
        <w:rPr>
          <w:rFonts w:ascii="Times New Roman" w:hAnsi="Times New Roman" w:cs="Times New Roman"/>
          <w:b/>
        </w:rPr>
      </w:pPr>
      <w:r w:rsidRPr="00002445">
        <w:rPr>
          <w:rFonts w:ascii="Times New Roman" w:hAnsi="Times New Roman" w:cs="Times New Roman"/>
          <w:bCs/>
        </w:rPr>
        <w:t>Thompson, H. (2014)</w:t>
      </w:r>
      <w:r w:rsidR="006D06EC" w:rsidRPr="00002445">
        <w:rPr>
          <w:rFonts w:ascii="Times New Roman" w:hAnsi="Times New Roman" w:cs="Times New Roman"/>
          <w:bCs/>
        </w:rPr>
        <w:t>.</w:t>
      </w:r>
      <w:r w:rsidRPr="00002445">
        <w:rPr>
          <w:rFonts w:ascii="Times New Roman" w:hAnsi="Times New Roman" w:cs="Times New Roman"/>
          <w:bCs/>
        </w:rPr>
        <w:t xml:space="preserve"> </w:t>
      </w:r>
      <w:r w:rsidRPr="00002445">
        <w:rPr>
          <w:rFonts w:ascii="Times New Roman" w:hAnsi="Times New Roman" w:cs="Times New Roman"/>
          <w:bCs/>
          <w:i/>
        </w:rPr>
        <w:t>The Thatcherite Economic Legacy</w:t>
      </w:r>
      <w:r w:rsidR="006D06EC" w:rsidRPr="00002445">
        <w:rPr>
          <w:rFonts w:ascii="Times New Roman" w:hAnsi="Times New Roman" w:cs="Times New Roman"/>
          <w:bCs/>
        </w:rPr>
        <w:t>. I</w:t>
      </w:r>
      <w:r w:rsidRPr="00002445">
        <w:rPr>
          <w:rFonts w:ascii="Times New Roman" w:hAnsi="Times New Roman" w:cs="Times New Roman"/>
          <w:bCs/>
        </w:rPr>
        <w:t xml:space="preserve">n </w:t>
      </w:r>
      <w:r w:rsidR="00AA67E9" w:rsidRPr="00002445">
        <w:rPr>
          <w:rFonts w:ascii="Times New Roman" w:hAnsi="Times New Roman" w:cs="Times New Roman"/>
          <w:bCs/>
        </w:rPr>
        <w:t xml:space="preserve">S. </w:t>
      </w:r>
      <w:r w:rsidRPr="00002445">
        <w:rPr>
          <w:rFonts w:ascii="Times New Roman" w:hAnsi="Times New Roman" w:cs="Times New Roman"/>
          <w:bCs/>
        </w:rPr>
        <w:t>Farrall</w:t>
      </w:r>
      <w:r w:rsidR="00AA67E9" w:rsidRPr="00002445">
        <w:rPr>
          <w:rFonts w:ascii="Times New Roman" w:hAnsi="Times New Roman" w:cs="Times New Roman"/>
          <w:bCs/>
        </w:rPr>
        <w:t xml:space="preserve"> &amp;</w:t>
      </w:r>
      <w:r w:rsidRPr="00002445">
        <w:rPr>
          <w:rFonts w:ascii="Times New Roman" w:hAnsi="Times New Roman" w:cs="Times New Roman"/>
          <w:bCs/>
        </w:rPr>
        <w:t xml:space="preserve"> </w:t>
      </w:r>
      <w:r w:rsidR="00AA67E9" w:rsidRPr="00002445">
        <w:rPr>
          <w:rFonts w:ascii="Times New Roman" w:hAnsi="Times New Roman" w:cs="Times New Roman"/>
          <w:bCs/>
        </w:rPr>
        <w:t xml:space="preserve">C. </w:t>
      </w:r>
      <w:r w:rsidRPr="00002445">
        <w:rPr>
          <w:rFonts w:ascii="Times New Roman" w:hAnsi="Times New Roman" w:cs="Times New Roman"/>
          <w:bCs/>
        </w:rPr>
        <w:t>Hay</w:t>
      </w:r>
      <w:r w:rsidR="00AA67E9" w:rsidRPr="00002445">
        <w:rPr>
          <w:rFonts w:ascii="Times New Roman" w:hAnsi="Times New Roman" w:cs="Times New Roman"/>
          <w:bCs/>
        </w:rPr>
        <w:t xml:space="preserve"> </w:t>
      </w:r>
      <w:r w:rsidR="00C3534E" w:rsidRPr="00002445">
        <w:rPr>
          <w:rFonts w:ascii="Times New Roman" w:hAnsi="Times New Roman" w:cs="Times New Roman"/>
          <w:bCs/>
        </w:rPr>
        <w:t>(eds.),</w:t>
      </w:r>
      <w:r w:rsidRPr="00002445">
        <w:rPr>
          <w:rFonts w:ascii="Times New Roman" w:hAnsi="Times New Roman" w:cs="Times New Roman"/>
          <w:bCs/>
        </w:rPr>
        <w:t xml:space="preserve"> </w:t>
      </w:r>
      <w:r w:rsidRPr="00002445">
        <w:rPr>
          <w:rFonts w:ascii="Times New Roman" w:hAnsi="Times New Roman" w:cs="Times New Roman"/>
          <w:bCs/>
          <w:i/>
          <w:iCs/>
        </w:rPr>
        <w:t>The Legacy of Thatcherism: Assessing and Exploring Thatcherite Social and Economic Policies</w:t>
      </w:r>
      <w:r w:rsidR="0034548D" w:rsidRPr="00002445">
        <w:rPr>
          <w:rFonts w:ascii="Times New Roman" w:hAnsi="Times New Roman" w:cs="Times New Roman"/>
          <w:bCs/>
        </w:rPr>
        <w:t xml:space="preserve">. </w:t>
      </w:r>
      <w:r w:rsidRPr="00002445">
        <w:rPr>
          <w:rFonts w:ascii="Times New Roman" w:hAnsi="Times New Roman" w:cs="Times New Roman"/>
          <w:bCs/>
        </w:rPr>
        <w:t xml:space="preserve">Oxford University Press, 33-68. </w:t>
      </w:r>
    </w:p>
    <w:p w14:paraId="14FDBC45" w14:textId="24167F91" w:rsidR="005C0080" w:rsidRPr="00002445" w:rsidRDefault="005C0080" w:rsidP="005C0080">
      <w:pPr>
        <w:spacing w:after="60"/>
        <w:outlineLvl w:val="0"/>
        <w:rPr>
          <w:rFonts w:ascii="Times New Roman" w:eastAsia="SimSun" w:hAnsi="Times New Roman" w:cs="Times New Roman"/>
          <w:bCs/>
          <w:iCs/>
          <w:lang w:eastAsia="en-GB"/>
        </w:rPr>
      </w:pPr>
      <w:r w:rsidRPr="00002445">
        <w:rPr>
          <w:rFonts w:ascii="Times New Roman" w:eastAsia="SimSun" w:hAnsi="Times New Roman" w:cs="Times New Roman"/>
          <w:bCs/>
          <w:iCs/>
          <w:lang w:eastAsia="en-GB"/>
        </w:rPr>
        <w:t>Tomlinson, J. (1990)</w:t>
      </w:r>
      <w:r w:rsidR="0034548D" w:rsidRPr="00002445">
        <w:rPr>
          <w:rFonts w:ascii="Times New Roman" w:eastAsia="SimSun" w:hAnsi="Times New Roman" w:cs="Times New Roman"/>
          <w:bCs/>
          <w:iCs/>
          <w:lang w:eastAsia="en-GB"/>
        </w:rPr>
        <w:t>.</w:t>
      </w:r>
      <w:r w:rsidRPr="00002445">
        <w:rPr>
          <w:rFonts w:ascii="Times New Roman" w:eastAsia="SimSun" w:hAnsi="Times New Roman" w:cs="Times New Roman"/>
          <w:bCs/>
          <w:iCs/>
          <w:lang w:eastAsia="en-GB"/>
        </w:rPr>
        <w:t xml:space="preserve"> </w:t>
      </w:r>
      <w:r w:rsidRPr="00002445">
        <w:rPr>
          <w:rFonts w:ascii="Times New Roman" w:eastAsia="SimSun" w:hAnsi="Times New Roman" w:cs="Times New Roman"/>
          <w:i/>
          <w:iCs/>
          <w:lang w:eastAsia="en-GB"/>
        </w:rPr>
        <w:t>Public Policy and the Economy since 1900</w:t>
      </w:r>
      <w:r w:rsidR="0034548D" w:rsidRPr="00002445">
        <w:rPr>
          <w:rFonts w:ascii="Times New Roman" w:eastAsia="SimSun" w:hAnsi="Times New Roman" w:cs="Times New Roman"/>
          <w:bCs/>
          <w:i/>
          <w:lang w:eastAsia="en-GB"/>
        </w:rPr>
        <w:t>.</w:t>
      </w:r>
      <w:r w:rsidRPr="00002445">
        <w:rPr>
          <w:rFonts w:ascii="Times New Roman" w:eastAsia="SimSun" w:hAnsi="Times New Roman" w:cs="Times New Roman"/>
          <w:bCs/>
          <w:i/>
          <w:lang w:eastAsia="en-GB"/>
        </w:rPr>
        <w:t xml:space="preserve"> </w:t>
      </w:r>
      <w:r w:rsidRPr="00002445">
        <w:rPr>
          <w:rFonts w:ascii="Times New Roman" w:eastAsia="SimSun" w:hAnsi="Times New Roman" w:cs="Times New Roman"/>
          <w:bCs/>
          <w:iCs/>
          <w:lang w:eastAsia="en-GB"/>
        </w:rPr>
        <w:t xml:space="preserve">Clarendon Press. </w:t>
      </w:r>
    </w:p>
    <w:p w14:paraId="53D7401E" w14:textId="77777777" w:rsidR="00C0266A" w:rsidRPr="00002445" w:rsidRDefault="00C0266A" w:rsidP="005C0080">
      <w:pPr>
        <w:spacing w:after="60"/>
        <w:outlineLvl w:val="0"/>
        <w:rPr>
          <w:rFonts w:ascii="Times New Roman" w:eastAsia="SimSun" w:hAnsi="Times New Roman" w:cs="Times New Roman"/>
          <w:bCs/>
          <w:iCs/>
          <w:lang w:eastAsia="en-GB"/>
        </w:rPr>
      </w:pPr>
    </w:p>
    <w:p w14:paraId="4DBA57B1" w14:textId="0E28993F" w:rsidR="00496EF6" w:rsidRPr="00002445" w:rsidRDefault="0078610C">
      <w:pPr>
        <w:pStyle w:val="Bibliography"/>
        <w:rPr>
          <w:rFonts w:ascii="Times New Roman" w:hAnsi="Times New Roman" w:cs="Times New Roman"/>
        </w:rPr>
      </w:pPr>
      <w:bookmarkStart w:id="43" w:name="ref-unaids2019a"/>
      <w:commentRangeStart w:id="44"/>
      <w:commentRangeStart w:id="45"/>
      <w:r w:rsidRPr="00002445">
        <w:rPr>
          <w:rFonts w:ascii="Times New Roman" w:hAnsi="Times New Roman" w:cs="Times New Roman"/>
        </w:rPr>
        <w:t>UNAIDS (2019)</w:t>
      </w:r>
      <w:r w:rsidR="0034548D" w:rsidRPr="00002445">
        <w:rPr>
          <w:rFonts w:ascii="Times New Roman" w:hAnsi="Times New Roman" w:cs="Times New Roman"/>
        </w:rPr>
        <w:t>.</w:t>
      </w:r>
      <w:r w:rsidRPr="00002445">
        <w:rPr>
          <w:rFonts w:ascii="Times New Roman" w:hAnsi="Times New Roman" w:cs="Times New Roman"/>
        </w:rPr>
        <w:t xml:space="preserve"> Fact Sheet: World AIDS Day 2019. Available from: </w:t>
      </w:r>
      <w:hyperlink r:id="rId18">
        <w:r w:rsidRPr="00002445">
          <w:rPr>
            <w:rStyle w:val="Hyperlink"/>
            <w:rFonts w:ascii="Times New Roman" w:hAnsi="Times New Roman" w:cs="Times New Roman"/>
            <w:color w:val="auto"/>
          </w:rPr>
          <w:t>https://www.unaids.org/sites/default/files/media_asset/UNAIDS_FactSheet_en.pdf</w:t>
        </w:r>
      </w:hyperlink>
      <w:r w:rsidRPr="00002445">
        <w:rPr>
          <w:rFonts w:ascii="Times New Roman" w:hAnsi="Times New Roman" w:cs="Times New Roman"/>
        </w:rPr>
        <w:t>.</w:t>
      </w:r>
      <w:commentRangeEnd w:id="44"/>
      <w:r w:rsidR="00AD6C70" w:rsidRPr="00002445">
        <w:rPr>
          <w:rStyle w:val="CommentReference"/>
          <w:rFonts w:ascii="Times New Roman" w:hAnsi="Times New Roman" w:cs="Times New Roman"/>
        </w:rPr>
        <w:commentReference w:id="44"/>
      </w:r>
      <w:commentRangeEnd w:id="45"/>
      <w:r w:rsidR="00225B24">
        <w:rPr>
          <w:rStyle w:val="CommentReference"/>
        </w:rPr>
        <w:commentReference w:id="45"/>
      </w:r>
    </w:p>
    <w:p w14:paraId="3E54839E" w14:textId="7D4ED566" w:rsidR="00496EF6" w:rsidRPr="00002445" w:rsidRDefault="0078610C">
      <w:pPr>
        <w:pStyle w:val="Bibliography"/>
        <w:rPr>
          <w:rFonts w:ascii="Times New Roman" w:hAnsi="Times New Roman" w:cs="Times New Roman"/>
        </w:rPr>
      </w:pPr>
      <w:bookmarkStart w:id="46" w:name="ref-yates2002a"/>
      <w:bookmarkEnd w:id="43"/>
      <w:r w:rsidRPr="00002445">
        <w:rPr>
          <w:rFonts w:ascii="Times New Roman" w:hAnsi="Times New Roman" w:cs="Times New Roman"/>
        </w:rPr>
        <w:t>Yates</w:t>
      </w:r>
      <w:r w:rsidR="00EE2B09" w:rsidRPr="00002445">
        <w:rPr>
          <w:rFonts w:ascii="Times New Roman" w:hAnsi="Times New Roman" w:cs="Times New Roman"/>
        </w:rPr>
        <w:t>,</w:t>
      </w:r>
      <w:r w:rsidRPr="00002445">
        <w:rPr>
          <w:rFonts w:ascii="Times New Roman" w:hAnsi="Times New Roman" w:cs="Times New Roman"/>
        </w:rPr>
        <w:t xml:space="preserve"> </w:t>
      </w:r>
      <w:r w:rsidR="00EE2B09" w:rsidRPr="00002445">
        <w:rPr>
          <w:rFonts w:ascii="Times New Roman" w:hAnsi="Times New Roman" w:cs="Times New Roman"/>
        </w:rPr>
        <w:t>R.</w:t>
      </w:r>
      <w:r w:rsidRPr="00002445">
        <w:rPr>
          <w:rFonts w:ascii="Times New Roman" w:hAnsi="Times New Roman" w:cs="Times New Roman"/>
        </w:rPr>
        <w:t xml:space="preserve"> (2002)</w:t>
      </w:r>
      <w:r w:rsidR="00EE2B09" w:rsidRPr="00002445">
        <w:rPr>
          <w:rFonts w:ascii="Times New Roman" w:hAnsi="Times New Roman" w:cs="Times New Roman"/>
        </w:rPr>
        <w:t>.</w:t>
      </w:r>
      <w:r w:rsidRPr="00002445">
        <w:rPr>
          <w:rFonts w:ascii="Times New Roman" w:hAnsi="Times New Roman" w:cs="Times New Roman"/>
        </w:rPr>
        <w:t xml:space="preserve"> A brief history of British drug policy, 1950–2001. </w:t>
      </w:r>
      <w:r w:rsidRPr="00002445">
        <w:rPr>
          <w:rFonts w:ascii="Times New Roman" w:hAnsi="Times New Roman" w:cs="Times New Roman"/>
          <w:i/>
        </w:rPr>
        <w:t>Drugs: Education, Prevention, and Policy</w:t>
      </w:r>
      <w:r w:rsidR="004F3658" w:rsidRPr="00002445">
        <w:rPr>
          <w:rFonts w:ascii="Times New Roman" w:hAnsi="Times New Roman" w:cs="Times New Roman"/>
          <w:i/>
        </w:rPr>
        <w:t>,</w:t>
      </w:r>
      <w:r w:rsidR="00A33C12" w:rsidRPr="00002445">
        <w:rPr>
          <w:rFonts w:ascii="Times New Roman" w:hAnsi="Times New Roman" w:cs="Times New Roman"/>
        </w:rPr>
        <w:t xml:space="preserve"> 9</w:t>
      </w:r>
      <w:r w:rsidR="00EE2B09" w:rsidRPr="00002445">
        <w:rPr>
          <w:rFonts w:ascii="Times New Roman" w:hAnsi="Times New Roman" w:cs="Times New Roman"/>
        </w:rPr>
        <w:t xml:space="preserve">, </w:t>
      </w:r>
      <w:r w:rsidRPr="00002445">
        <w:rPr>
          <w:rFonts w:ascii="Times New Roman" w:hAnsi="Times New Roman" w:cs="Times New Roman"/>
        </w:rPr>
        <w:t>113–124.</w:t>
      </w:r>
      <w:bookmarkEnd w:id="16"/>
      <w:bookmarkEnd w:id="18"/>
      <w:bookmarkEnd w:id="46"/>
    </w:p>
    <w:p w14:paraId="7236724B" w14:textId="77777777" w:rsidR="00584714" w:rsidRPr="00002445" w:rsidRDefault="00584714">
      <w:pPr>
        <w:pStyle w:val="Bibliography"/>
        <w:rPr>
          <w:rFonts w:ascii="Times New Roman" w:hAnsi="Times New Roman" w:cs="Times New Roman"/>
        </w:rPr>
      </w:pPr>
    </w:p>
    <w:p w14:paraId="751DE3FA" w14:textId="77777777" w:rsidR="00584714" w:rsidRPr="00002445" w:rsidRDefault="00584714">
      <w:pPr>
        <w:pStyle w:val="Bibliography"/>
        <w:rPr>
          <w:rFonts w:ascii="Times New Roman" w:hAnsi="Times New Roman" w:cs="Times New Roman"/>
        </w:rPr>
      </w:pPr>
    </w:p>
    <w:p w14:paraId="340EAC8C" w14:textId="77777777" w:rsidR="00584714" w:rsidRPr="00002445" w:rsidRDefault="00584714" w:rsidP="00584714">
      <w:pPr>
        <w:pStyle w:val="Bibliography"/>
        <w:rPr>
          <w:rFonts w:ascii="Times New Roman" w:hAnsi="Times New Roman" w:cs="Times New Roman"/>
          <w:b/>
        </w:rPr>
      </w:pPr>
      <w:r w:rsidRPr="00002445">
        <w:rPr>
          <w:rFonts w:ascii="Times New Roman" w:hAnsi="Times New Roman" w:cs="Times New Roman"/>
          <w:b/>
        </w:rPr>
        <w:t>Acknowledgments</w:t>
      </w:r>
    </w:p>
    <w:p w14:paraId="57DF7EC2" w14:textId="3297D9D4" w:rsidR="00584714" w:rsidRPr="00002445" w:rsidRDefault="00584714" w:rsidP="00584714">
      <w:pPr>
        <w:pStyle w:val="Bibliography"/>
        <w:rPr>
          <w:rFonts w:ascii="Times New Roman" w:hAnsi="Times New Roman" w:cs="Times New Roman"/>
        </w:rPr>
      </w:pPr>
      <w:r w:rsidRPr="00002445">
        <w:rPr>
          <w:rFonts w:ascii="Times New Roman" w:hAnsi="Times New Roman" w:cs="Times New Roman"/>
        </w:rPr>
        <w:t>We would like to thank the ESRC for their generous funding (as award number ES/P002862/1) which enabled us to undertake the research reported herein. We also extend our thanks to Georg Wenzelburger for his comments on</w:t>
      </w:r>
      <w:r w:rsidR="001B7191" w:rsidRPr="00002445">
        <w:rPr>
          <w:rFonts w:ascii="Times New Roman" w:hAnsi="Times New Roman" w:cs="Times New Roman"/>
        </w:rPr>
        <w:t xml:space="preserve"> successive</w:t>
      </w:r>
      <w:r w:rsidRPr="00002445">
        <w:rPr>
          <w:rFonts w:ascii="Times New Roman" w:hAnsi="Times New Roman" w:cs="Times New Roman"/>
        </w:rPr>
        <w:t xml:space="preserve"> drafts of the chapter which we substantially improved </w:t>
      </w:r>
      <w:r w:rsidR="00D45380" w:rsidRPr="00002445">
        <w:rPr>
          <w:rFonts w:ascii="Times New Roman" w:hAnsi="Times New Roman" w:cs="Times New Roman"/>
        </w:rPr>
        <w:t>its</w:t>
      </w:r>
      <w:r w:rsidRPr="00002445">
        <w:rPr>
          <w:rFonts w:ascii="Times New Roman" w:hAnsi="Times New Roman" w:cs="Times New Roman"/>
        </w:rPr>
        <w:t xml:space="preserve"> overall quality. </w:t>
      </w:r>
    </w:p>
    <w:sectPr w:rsidR="00584714" w:rsidRPr="00002445">
      <w:footerReference w:type="default" r:id="rId1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ia B" w:date="2023-11-21T11:45:00Z" w:initials="PB">
    <w:p w14:paraId="203BE72E" w14:textId="7459B35C" w:rsidR="009913F7" w:rsidRDefault="009913F7" w:rsidP="001D4900">
      <w:pPr>
        <w:pStyle w:val="CommentText"/>
      </w:pPr>
      <w:r>
        <w:rPr>
          <w:rStyle w:val="CommentReference"/>
        </w:rPr>
        <w:annotationRef/>
      </w:r>
      <w:r>
        <w:t>Different date in bibliography</w:t>
      </w:r>
      <w:r w:rsidR="008F7A41">
        <w:t>g</w:t>
      </w:r>
    </w:p>
  </w:comment>
  <w:comment w:id="9" w:author="Stephen Farrall (staff)" w:date="2023-11-23T16:34:00Z" w:initials="SF">
    <w:p w14:paraId="297313EF" w14:textId="77777777" w:rsidR="008F7A41" w:rsidRDefault="00225B24" w:rsidP="006B2534">
      <w:pPr>
        <w:pStyle w:val="CommentText"/>
      </w:pPr>
      <w:r>
        <w:rPr>
          <w:rStyle w:val="CommentReference"/>
        </w:rPr>
        <w:annotationRef/>
      </w:r>
      <w:r w:rsidR="008F7A41">
        <w:t xml:space="preserve">Changed. </w:t>
      </w:r>
    </w:p>
  </w:comment>
  <w:comment w:id="23" w:author="Pia B" w:date="2023-11-21T11:48:00Z" w:initials="PB">
    <w:p w14:paraId="19ECE787" w14:textId="59606764" w:rsidR="00203E15" w:rsidRDefault="00203E15" w:rsidP="0074344B">
      <w:pPr>
        <w:pStyle w:val="CommentText"/>
      </w:pPr>
      <w:r>
        <w:rPr>
          <w:rStyle w:val="CommentReference"/>
        </w:rPr>
        <w:annotationRef/>
      </w:r>
      <w:r>
        <w:t>Same authors + year: a and b, the two references are not distinguishable in the text</w:t>
      </w:r>
    </w:p>
  </w:comment>
  <w:comment w:id="24" w:author="Stephen Farrall (staff)" w:date="2023-11-23T16:34:00Z" w:initials="SF">
    <w:p w14:paraId="74FA05CC" w14:textId="77777777" w:rsidR="008F7A41" w:rsidRDefault="00225B24" w:rsidP="00E9214E">
      <w:pPr>
        <w:pStyle w:val="CommentText"/>
      </w:pPr>
      <w:r>
        <w:rPr>
          <w:rStyle w:val="CommentReference"/>
        </w:rPr>
        <w:annotationRef/>
      </w:r>
      <w:r w:rsidR="008F7A41">
        <w:t xml:space="preserve">Thank you - I've fixed this now. </w:t>
      </w:r>
    </w:p>
  </w:comment>
  <w:comment w:id="28" w:author="Pia B" w:date="2023-11-21T10:19:00Z" w:initials="PB">
    <w:p w14:paraId="54D9D197" w14:textId="47827F47" w:rsidR="00BC5576" w:rsidRDefault="00B143C6" w:rsidP="00827D1A">
      <w:pPr>
        <w:pStyle w:val="CommentText"/>
      </w:pPr>
      <w:r>
        <w:rPr>
          <w:rStyle w:val="CommentReference"/>
        </w:rPr>
        <w:annotationRef/>
      </w:r>
      <w:r w:rsidR="00BC5576">
        <w:t>Can't find this reference online</w:t>
      </w:r>
    </w:p>
  </w:comment>
  <w:comment w:id="29" w:author="Stephen Farrall (staff)" w:date="2023-11-23T16:33:00Z" w:initials="SF">
    <w:p w14:paraId="43E3B3B4" w14:textId="77777777" w:rsidR="00225B24" w:rsidRDefault="00225B24" w:rsidP="006C3407">
      <w:pPr>
        <w:pStyle w:val="CommentText"/>
      </w:pPr>
      <w:r>
        <w:rPr>
          <w:rStyle w:val="CommentReference"/>
        </w:rPr>
        <w:annotationRef/>
      </w:r>
      <w:r>
        <w:t xml:space="preserve">Its not an online publication - just available in hard copy I think. Leave it as it is, please. </w:t>
      </w:r>
    </w:p>
  </w:comment>
  <w:comment w:id="44" w:author="Pia B" w:date="2023-11-21T11:57:00Z" w:initials="PB">
    <w:p w14:paraId="49F92C44" w14:textId="56B15272" w:rsidR="009B16ED" w:rsidRDefault="00AD6C70" w:rsidP="00A719B8">
      <w:pPr>
        <w:pStyle w:val="CommentText"/>
      </w:pPr>
      <w:r>
        <w:rPr>
          <w:rStyle w:val="CommentReference"/>
        </w:rPr>
        <w:annotationRef/>
      </w:r>
      <w:r w:rsidR="009B16ED">
        <w:t>Can't find the source in the text</w:t>
      </w:r>
    </w:p>
  </w:comment>
  <w:comment w:id="45" w:author="Stephen Farrall (staff)" w:date="2023-11-23T16:31:00Z" w:initials="SF">
    <w:p w14:paraId="655F09A5" w14:textId="77777777" w:rsidR="00225B24" w:rsidRDefault="00225B24" w:rsidP="006B29BD">
      <w:pPr>
        <w:pStyle w:val="CommentText"/>
      </w:pPr>
      <w:r>
        <w:rPr>
          <w:rStyle w:val="CommentReference"/>
        </w:rPr>
        <w:annotationRef/>
      </w:r>
      <w:r>
        <w:t>Lets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BE72E" w15:done="0"/>
  <w15:commentEx w15:paraId="297313EF" w15:paraIdParent="203BE72E" w15:done="0"/>
  <w15:commentEx w15:paraId="19ECE787" w15:done="0"/>
  <w15:commentEx w15:paraId="74FA05CC" w15:paraIdParent="19ECE787" w15:done="0"/>
  <w15:commentEx w15:paraId="54D9D197" w15:done="0"/>
  <w15:commentEx w15:paraId="43E3B3B4" w15:paraIdParent="54D9D197" w15:done="0"/>
  <w15:commentEx w15:paraId="49F92C44" w15:done="0"/>
  <w15:commentEx w15:paraId="655F09A5" w15:paraIdParent="49F92C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0A85D8" w16cex:dateUtc="2023-11-21T10:45:00Z"/>
  <w16cex:commentExtensible w16cex:durableId="4195BB6B" w16cex:dateUtc="2023-11-23T16:34:00Z"/>
  <w16cex:commentExtensible w16cex:durableId="6B08C23F" w16cex:dateUtc="2023-11-21T10:48:00Z"/>
  <w16cex:commentExtensible w16cex:durableId="2821F60D" w16cex:dateUtc="2023-11-23T16:34:00Z"/>
  <w16cex:commentExtensible w16cex:durableId="118362AE" w16cex:dateUtc="2023-11-21T09:19:00Z"/>
  <w16cex:commentExtensible w16cex:durableId="22FC2BEE" w16cex:dateUtc="2023-11-23T16:33:00Z"/>
  <w16cex:commentExtensible w16cex:durableId="6F8D753F" w16cex:dateUtc="2023-11-21T10:57:00Z"/>
  <w16cex:commentExtensible w16cex:durableId="5150BB78" w16cex:dateUtc="2023-11-2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BE72E" w16cid:durableId="640A85D8"/>
  <w16cid:commentId w16cid:paraId="297313EF" w16cid:durableId="4195BB6B"/>
  <w16cid:commentId w16cid:paraId="19ECE787" w16cid:durableId="6B08C23F"/>
  <w16cid:commentId w16cid:paraId="74FA05CC" w16cid:durableId="2821F60D"/>
  <w16cid:commentId w16cid:paraId="54D9D197" w16cid:durableId="118362AE"/>
  <w16cid:commentId w16cid:paraId="43E3B3B4" w16cid:durableId="22FC2BEE"/>
  <w16cid:commentId w16cid:paraId="49F92C44" w16cid:durableId="6F8D753F"/>
  <w16cid:commentId w16cid:paraId="655F09A5" w16cid:durableId="5150BB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B46C" w14:textId="77777777" w:rsidR="004B4E1F" w:rsidRPr="008F799D" w:rsidRDefault="004B4E1F">
      <w:pPr>
        <w:spacing w:after="0"/>
      </w:pPr>
      <w:r w:rsidRPr="008F799D">
        <w:separator/>
      </w:r>
    </w:p>
  </w:endnote>
  <w:endnote w:type="continuationSeparator" w:id="0">
    <w:p w14:paraId="3D6A7127" w14:textId="77777777" w:rsidR="004B4E1F" w:rsidRPr="008F799D" w:rsidRDefault="004B4E1F">
      <w:pPr>
        <w:spacing w:after="0"/>
      </w:pPr>
      <w:r w:rsidRPr="008F79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noPro-Regula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8B41" w14:textId="59B59F36" w:rsidR="00442226" w:rsidRPr="008F799D" w:rsidRDefault="00442226">
    <w:pPr>
      <w:pStyle w:val="Footer"/>
      <w:jc w:val="center"/>
      <w:rPr>
        <w:caps/>
      </w:rPr>
    </w:pPr>
    <w:r w:rsidRPr="008F799D">
      <w:rPr>
        <w:caps/>
      </w:rPr>
      <w:fldChar w:fldCharType="begin"/>
    </w:r>
    <w:r w:rsidRPr="008F799D">
      <w:rPr>
        <w:caps/>
      </w:rPr>
      <w:instrText xml:space="preserve"> PAGE   \* MERGEFORMAT </w:instrText>
    </w:r>
    <w:r w:rsidRPr="008F799D">
      <w:rPr>
        <w:caps/>
      </w:rPr>
      <w:fldChar w:fldCharType="separate"/>
    </w:r>
    <w:r w:rsidR="009E5B97" w:rsidRPr="008F799D">
      <w:rPr>
        <w:caps/>
      </w:rPr>
      <w:t>19</w:t>
    </w:r>
    <w:r w:rsidRPr="008F799D">
      <w:rPr>
        <w:caps/>
      </w:rPr>
      <w:fldChar w:fldCharType="end"/>
    </w:r>
  </w:p>
  <w:p w14:paraId="13D07631" w14:textId="77777777" w:rsidR="00442226" w:rsidRPr="008F799D" w:rsidRDefault="00442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8618" w14:textId="77777777" w:rsidR="004B4E1F" w:rsidRPr="008F799D" w:rsidRDefault="004B4E1F">
      <w:r w:rsidRPr="008F799D">
        <w:separator/>
      </w:r>
    </w:p>
  </w:footnote>
  <w:footnote w:type="continuationSeparator" w:id="0">
    <w:p w14:paraId="67226243" w14:textId="77777777" w:rsidR="004B4E1F" w:rsidRPr="008F799D" w:rsidRDefault="004B4E1F">
      <w:r w:rsidRPr="008F799D">
        <w:continuationSeparator/>
      </w:r>
    </w:p>
  </w:footnote>
  <w:footnote w:id="1">
    <w:p w14:paraId="3A00CDCC" w14:textId="14EA7A53" w:rsidR="00E5453E" w:rsidRPr="008F1418" w:rsidRDefault="00E5453E">
      <w:pPr>
        <w:pStyle w:val="FootnoteText"/>
        <w:rPr>
          <w:sz w:val="16"/>
          <w:szCs w:val="16"/>
        </w:rPr>
      </w:pPr>
      <w:r w:rsidRPr="008F1418">
        <w:rPr>
          <w:rStyle w:val="FootnoteReference"/>
          <w:sz w:val="20"/>
          <w:szCs w:val="20"/>
        </w:rPr>
        <w:footnoteRef/>
      </w:r>
      <w:r w:rsidRPr="008F1418">
        <w:rPr>
          <w:sz w:val="20"/>
          <w:szCs w:val="20"/>
        </w:rPr>
        <w:t xml:space="preserve"> </w:t>
      </w:r>
      <w:r w:rsidRPr="008F1418">
        <w:rPr>
          <w:sz w:val="16"/>
          <w:szCs w:val="16"/>
        </w:rPr>
        <w:t xml:space="preserve">We use the term Britain to refer to the countries of England, Scotland and Wales, and the term UK to refer to those three countries and Northern Ireland. At times, we use UK to refer to generic processes common to all four countries, and use Britain when discussing processes or data sources which apply only to England, Scotland and Wales. </w:t>
      </w:r>
    </w:p>
  </w:footnote>
  <w:footnote w:id="2">
    <w:p w14:paraId="22A80EAA" w14:textId="2C1B8452" w:rsidR="00F757F2" w:rsidRPr="008F1418" w:rsidRDefault="00F757F2" w:rsidP="00847949">
      <w:pPr>
        <w:pStyle w:val="FootnoteText"/>
        <w:spacing w:after="0"/>
        <w:rPr>
          <w:sz w:val="16"/>
          <w:szCs w:val="16"/>
        </w:rPr>
      </w:pPr>
      <w:r w:rsidRPr="008F1418">
        <w:rPr>
          <w:rStyle w:val="FootnoteReference"/>
          <w:sz w:val="16"/>
          <w:szCs w:val="16"/>
        </w:rPr>
        <w:footnoteRef/>
      </w:r>
      <w:r w:rsidRPr="008F1418">
        <w:rPr>
          <w:sz w:val="16"/>
          <w:szCs w:val="16"/>
        </w:rPr>
        <w:t xml:space="preserve"> The uprating rule meant that increases in the value of benefits need only to be in line with prices, instead of the previous rule which was set to the higher value of </w:t>
      </w:r>
      <w:r w:rsidRPr="008F1418">
        <w:rPr>
          <w:i/>
          <w:sz w:val="16"/>
          <w:szCs w:val="16"/>
        </w:rPr>
        <w:t>prices or wages</w:t>
      </w:r>
      <w:r w:rsidRPr="008F1418">
        <w:rPr>
          <w:sz w:val="16"/>
          <w:szCs w:val="16"/>
        </w:rPr>
        <w:t xml:space="preserve"> index.</w:t>
      </w:r>
    </w:p>
  </w:footnote>
  <w:footnote w:id="3">
    <w:p w14:paraId="070A2252" w14:textId="28EA4B33" w:rsidR="002356F4" w:rsidRPr="008F1418" w:rsidRDefault="002356F4">
      <w:pPr>
        <w:pStyle w:val="FootnoteText"/>
        <w:rPr>
          <w:sz w:val="16"/>
          <w:szCs w:val="16"/>
        </w:rPr>
      </w:pPr>
      <w:r w:rsidRPr="008F1418">
        <w:rPr>
          <w:rStyle w:val="FootnoteReference"/>
          <w:sz w:val="20"/>
          <w:szCs w:val="20"/>
        </w:rPr>
        <w:footnoteRef/>
      </w:r>
      <w:r w:rsidRPr="008F1418">
        <w:rPr>
          <w:sz w:val="20"/>
          <w:szCs w:val="20"/>
        </w:rPr>
        <w:t xml:space="preserve"> </w:t>
      </w:r>
      <w:r w:rsidRPr="008F1418">
        <w:rPr>
          <w:sz w:val="16"/>
          <w:szCs w:val="16"/>
        </w:rPr>
        <w:t>In the UK, controlled drugs are listed in the </w:t>
      </w:r>
      <w:hyperlink r:id="rId1" w:tgtFrame="_blank" w:history="1">
        <w:r w:rsidRPr="008F1418">
          <w:rPr>
            <w:rStyle w:val="Hyperlink"/>
            <w:color w:val="auto"/>
            <w:sz w:val="16"/>
            <w:szCs w:val="16"/>
          </w:rPr>
          <w:t>Misuse of Drugs Act 1971</w:t>
        </w:r>
      </w:hyperlink>
      <w:r w:rsidRPr="008F1418">
        <w:rPr>
          <w:sz w:val="16"/>
          <w:szCs w:val="16"/>
        </w:rPr>
        <w:t> and are divided into three Classes A, B and C. Class A drugs are considered the most harmful, and include</w:t>
      </w:r>
      <w:r w:rsidRPr="008F1418">
        <w:rPr>
          <w:rFonts w:ascii="ArnoPro-Regular" w:hAnsi="ArnoPro-Regular" w:cs="ArnoPro-Regular"/>
          <w:sz w:val="16"/>
          <w:szCs w:val="16"/>
        </w:rPr>
        <w:t xml:space="preserve"> </w:t>
      </w:r>
      <w:r w:rsidRPr="008F1418">
        <w:rPr>
          <w:sz w:val="16"/>
          <w:szCs w:val="16"/>
        </w:rPr>
        <w:t>heroin, methadone, crack-cocaine and cocaine.</w:t>
      </w:r>
    </w:p>
  </w:footnote>
  <w:footnote w:id="4">
    <w:p w14:paraId="2664DC19" w14:textId="7EA6B43C" w:rsidR="008F1418" w:rsidRPr="008F1418" w:rsidRDefault="008F1418">
      <w:pPr>
        <w:pStyle w:val="FootnoteText"/>
        <w:rPr>
          <w:sz w:val="20"/>
          <w:szCs w:val="20"/>
        </w:rPr>
      </w:pPr>
      <w:r w:rsidRPr="008F1418">
        <w:rPr>
          <w:rStyle w:val="FootnoteReference"/>
          <w:sz w:val="20"/>
          <w:szCs w:val="20"/>
        </w:rPr>
        <w:footnoteRef/>
      </w:r>
      <w:r w:rsidRPr="008F1418">
        <w:rPr>
          <w:sz w:val="20"/>
          <w:szCs w:val="20"/>
        </w:rPr>
        <w:t xml:space="preserve"> See Farrall et al</w:t>
      </w:r>
      <w:r w:rsidR="004A34FF">
        <w:rPr>
          <w:sz w:val="20"/>
          <w:szCs w:val="20"/>
        </w:rPr>
        <w:t>.</w:t>
      </w:r>
      <w:r w:rsidRPr="008F1418">
        <w:rPr>
          <w:sz w:val="20"/>
          <w:szCs w:val="20"/>
        </w:rPr>
        <w:t xml:space="preserve"> (forthcoming) for a discussion of the wider theoretical approach adopted.</w:t>
      </w:r>
    </w:p>
  </w:footnote>
  <w:footnote w:id="5">
    <w:p w14:paraId="0A882994" w14:textId="77777777" w:rsidR="0078610C" w:rsidRPr="008F1418" w:rsidRDefault="0078610C" w:rsidP="00847949">
      <w:pPr>
        <w:pStyle w:val="FootnoteText"/>
        <w:spacing w:after="0"/>
        <w:rPr>
          <w:sz w:val="16"/>
          <w:szCs w:val="16"/>
        </w:rPr>
      </w:pPr>
      <w:r w:rsidRPr="008F1418">
        <w:rPr>
          <w:rStyle w:val="FootnoteReference"/>
          <w:sz w:val="16"/>
          <w:szCs w:val="16"/>
        </w:rPr>
        <w:footnoteRef/>
      </w:r>
      <w:r w:rsidRPr="008F1418">
        <w:rPr>
          <w:sz w:val="16"/>
          <w:szCs w:val="16"/>
        </w:rPr>
        <w:t xml:space="preserve"> We acknowledge the inherent sexism of this measurement strategy, which was a decision of the original data collectors. We note, however, that in this era it was common for the male’s social class to be used as a measure of family social class as the head of the household and that at this time this was a reasonable assumption to have made.</w:t>
      </w:r>
    </w:p>
  </w:footnote>
  <w:footnote w:id="6">
    <w:p w14:paraId="32A81D42" w14:textId="3CAE67C4" w:rsidR="00B80240" w:rsidRPr="008F1418" w:rsidRDefault="00B80240" w:rsidP="00BB1653">
      <w:pPr>
        <w:pStyle w:val="NoSpacing"/>
        <w:rPr>
          <w:sz w:val="16"/>
          <w:szCs w:val="16"/>
        </w:rPr>
      </w:pPr>
      <w:r w:rsidRPr="008F1418">
        <w:rPr>
          <w:rStyle w:val="FootnoteReference"/>
          <w:sz w:val="16"/>
          <w:szCs w:val="16"/>
        </w:rPr>
        <w:footnoteRef/>
      </w:r>
      <w:r w:rsidRPr="008F1418">
        <w:rPr>
          <w:sz w:val="16"/>
          <w:szCs w:val="16"/>
        </w:rPr>
        <w:t xml:space="preserve"> We were unable to simply use the proportion of the economically active working–age population employed in mining in later censuses because by the 1981 census coal mining was aggregated with other primary industries, such as energy and water, so it was not comparable after this date.</w:t>
      </w:r>
    </w:p>
  </w:footnote>
  <w:footnote w:id="7">
    <w:p w14:paraId="06390A42" w14:textId="4906B34E" w:rsidR="00F8761E" w:rsidRPr="008F1418" w:rsidRDefault="00F8761E" w:rsidP="00847949">
      <w:pPr>
        <w:pStyle w:val="FootnoteText"/>
        <w:spacing w:after="0"/>
        <w:rPr>
          <w:sz w:val="16"/>
          <w:szCs w:val="16"/>
        </w:rPr>
      </w:pPr>
      <w:r w:rsidRPr="008F1418">
        <w:rPr>
          <w:rStyle w:val="FootnoteReference"/>
          <w:sz w:val="16"/>
          <w:szCs w:val="16"/>
        </w:rPr>
        <w:footnoteRef/>
      </w:r>
      <w:r w:rsidRPr="008F1418">
        <w:rPr>
          <w:sz w:val="16"/>
          <w:szCs w:val="16"/>
        </w:rPr>
        <w:t xml:space="preserve"> Censuses for 1961 and 1971 were geocoded from smaller areas to these 1974-1996 counties.</w:t>
      </w:r>
    </w:p>
  </w:footnote>
  <w:footnote w:id="8">
    <w:p w14:paraId="7BF2BF6B" w14:textId="4CF50602" w:rsidR="00010FDD" w:rsidRPr="008F1418" w:rsidRDefault="00010FDD" w:rsidP="00847949">
      <w:pPr>
        <w:pStyle w:val="FootnoteText"/>
        <w:spacing w:after="0"/>
        <w:rPr>
          <w:sz w:val="16"/>
          <w:szCs w:val="16"/>
        </w:rPr>
      </w:pPr>
      <w:r w:rsidRPr="008F1418">
        <w:rPr>
          <w:rStyle w:val="FootnoteReference"/>
          <w:sz w:val="16"/>
          <w:szCs w:val="16"/>
        </w:rPr>
        <w:footnoteRef/>
      </w:r>
      <w:r w:rsidRPr="008F1418">
        <w:rPr>
          <w:sz w:val="16"/>
          <w:szCs w:val="16"/>
        </w:rPr>
        <w:t xml:space="preserve"> The proportion of people working in coalmining is used as a proxy for employment in other heavy industries, since coal mining was frequently co-located with</w:t>
      </w:r>
      <w:r w:rsidRPr="008F1418">
        <w:rPr>
          <w:sz w:val="20"/>
          <w:szCs w:val="20"/>
        </w:rPr>
        <w:t xml:space="preserve"> </w:t>
      </w:r>
      <w:r w:rsidRPr="008F1418">
        <w:rPr>
          <w:sz w:val="16"/>
          <w:szCs w:val="16"/>
        </w:rPr>
        <w:t>steel production and processing in South Wales, South Yorkshire, Central Scotland and Teeside, and ship-building (in and around Glasgow in particular), and the maintenance of locomotives and railway distribution in centres in Derby, Doncaster, Nottingham, Sheffield, York, and Central Scotland.</w:t>
      </w:r>
    </w:p>
  </w:footnote>
  <w:footnote w:id="9">
    <w:p w14:paraId="4221247E" w14:textId="25CC9C46" w:rsidR="00BB6E3E" w:rsidRPr="008F1418" w:rsidRDefault="00BB6E3E" w:rsidP="00BB1653">
      <w:pPr>
        <w:pStyle w:val="NoSpacing"/>
        <w:rPr>
          <w:rFonts w:cstheme="minorHAnsi"/>
          <w:sz w:val="18"/>
          <w:szCs w:val="18"/>
        </w:rPr>
      </w:pPr>
      <w:r w:rsidRPr="008F1418">
        <w:rPr>
          <w:rStyle w:val="FootnoteReference"/>
          <w:rFonts w:cstheme="minorHAnsi"/>
          <w:sz w:val="16"/>
          <w:szCs w:val="16"/>
        </w:rPr>
        <w:footnoteRef/>
      </w:r>
      <w:r w:rsidRPr="008F1418">
        <w:rPr>
          <w:rFonts w:cstheme="minorHAnsi"/>
          <w:sz w:val="16"/>
          <w:szCs w:val="16"/>
        </w:rPr>
        <w:t xml:space="preserve"> Our data comes from: </w:t>
      </w:r>
      <w:hyperlink r:id="rId2" w:history="1">
        <w:r w:rsidR="000805AC" w:rsidRPr="008F1418">
          <w:rPr>
            <w:rStyle w:val="Hyperlink"/>
            <w:rFonts w:cstheme="minorHAnsi"/>
            <w:sz w:val="16"/>
            <w:szCs w:val="16"/>
          </w:rPr>
          <w:t>https://www.gov.uk/government/statistical-data-sets/historical-coal-data-coal-production-availability-and-consumption-1853-to-2011</w:t>
        </w:r>
      </w:hyperlink>
      <w:r w:rsidRPr="008F1418">
        <w:rPr>
          <w:rFonts w:cstheme="minorHAnsi"/>
          <w:sz w:val="16"/>
          <w:szCs w:val="16"/>
        </w:rPr>
        <w:t>. Last accessed</w:t>
      </w:r>
      <w:r w:rsidR="000805AC" w:rsidRPr="008F1418">
        <w:rPr>
          <w:rFonts w:cstheme="minorHAnsi"/>
          <w:sz w:val="16"/>
          <w:szCs w:val="16"/>
        </w:rPr>
        <w:t>:</w:t>
      </w:r>
      <w:r w:rsidRPr="008F1418">
        <w:rPr>
          <w:rFonts w:cstheme="minorHAnsi"/>
          <w:sz w:val="16"/>
          <w:szCs w:val="16"/>
        </w:rPr>
        <w:t xml:space="preserve"> January 2019.</w:t>
      </w:r>
      <w:r w:rsidRPr="008F1418">
        <w:rPr>
          <w:rFonts w:cstheme="min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5844895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2A06894"/>
    <w:multiLevelType w:val="hybridMultilevel"/>
    <w:tmpl w:val="49664B0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D96D7B"/>
    <w:multiLevelType w:val="hybridMultilevel"/>
    <w:tmpl w:val="9576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E401"/>
    <w:multiLevelType w:val="multilevel"/>
    <w:tmpl w:val="027828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705F3683"/>
    <w:multiLevelType w:val="hybridMultilevel"/>
    <w:tmpl w:val="D90C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50D39"/>
    <w:multiLevelType w:val="hybridMultilevel"/>
    <w:tmpl w:val="EEC46A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296105981">
    <w:abstractNumId w:val="3"/>
  </w:num>
  <w:num w:numId="2" w16cid:durableId="1164275726">
    <w:abstractNumId w:val="0"/>
  </w:num>
  <w:num w:numId="3" w16cid:durableId="943390753">
    <w:abstractNumId w:val="5"/>
  </w:num>
  <w:num w:numId="4" w16cid:durableId="1526479966">
    <w:abstractNumId w:val="1"/>
  </w:num>
  <w:num w:numId="5" w16cid:durableId="1624120332">
    <w:abstractNumId w:val="4"/>
  </w:num>
  <w:num w:numId="6" w16cid:durableId="13987008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a B">
    <w15:presenceInfo w15:providerId="Windows Live" w15:userId="661329060cc71072"/>
  </w15:person>
  <w15:person w15:author="Stephen Farrall (staff)">
    <w15:presenceInfo w15:providerId="AD" w15:userId="S::Stephen.Farrall@nottingham.ac.uk::d71f3e89-702e-4f9e-8d3f-b241e2098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476"/>
    <w:rsid w:val="00002445"/>
    <w:rsid w:val="000049F1"/>
    <w:rsid w:val="00005AEF"/>
    <w:rsid w:val="0001028C"/>
    <w:rsid w:val="00010FDD"/>
    <w:rsid w:val="00011C8B"/>
    <w:rsid w:val="00013116"/>
    <w:rsid w:val="00015CA1"/>
    <w:rsid w:val="00017C90"/>
    <w:rsid w:val="00023D2F"/>
    <w:rsid w:val="0002568A"/>
    <w:rsid w:val="00025980"/>
    <w:rsid w:val="00034492"/>
    <w:rsid w:val="00034C4E"/>
    <w:rsid w:val="00041072"/>
    <w:rsid w:val="00050C2C"/>
    <w:rsid w:val="00051CD3"/>
    <w:rsid w:val="00061821"/>
    <w:rsid w:val="000640C0"/>
    <w:rsid w:val="0007588E"/>
    <w:rsid w:val="000768D6"/>
    <w:rsid w:val="000805AC"/>
    <w:rsid w:val="00085908"/>
    <w:rsid w:val="00092C42"/>
    <w:rsid w:val="000A131B"/>
    <w:rsid w:val="000A1325"/>
    <w:rsid w:val="000B0CC3"/>
    <w:rsid w:val="000C5F1F"/>
    <w:rsid w:val="000D7A76"/>
    <w:rsid w:val="000F5BA7"/>
    <w:rsid w:val="000F5F84"/>
    <w:rsid w:val="001024E1"/>
    <w:rsid w:val="00107B38"/>
    <w:rsid w:val="00111A6E"/>
    <w:rsid w:val="00116987"/>
    <w:rsid w:val="00117222"/>
    <w:rsid w:val="00137F91"/>
    <w:rsid w:val="00151D21"/>
    <w:rsid w:val="00151DC7"/>
    <w:rsid w:val="0015228F"/>
    <w:rsid w:val="00152624"/>
    <w:rsid w:val="00152F09"/>
    <w:rsid w:val="00163F0F"/>
    <w:rsid w:val="0016668C"/>
    <w:rsid w:val="0016705E"/>
    <w:rsid w:val="00185B26"/>
    <w:rsid w:val="00187DAA"/>
    <w:rsid w:val="001947BE"/>
    <w:rsid w:val="001A0B0B"/>
    <w:rsid w:val="001A5CC5"/>
    <w:rsid w:val="001A7523"/>
    <w:rsid w:val="001B0329"/>
    <w:rsid w:val="001B19F5"/>
    <w:rsid w:val="001B7191"/>
    <w:rsid w:val="001C3C40"/>
    <w:rsid w:val="001D2EC8"/>
    <w:rsid w:val="001D6D12"/>
    <w:rsid w:val="001E251C"/>
    <w:rsid w:val="001E2ADA"/>
    <w:rsid w:val="001E2F40"/>
    <w:rsid w:val="001F4968"/>
    <w:rsid w:val="002025DD"/>
    <w:rsid w:val="00203E15"/>
    <w:rsid w:val="00220AC9"/>
    <w:rsid w:val="00225B24"/>
    <w:rsid w:val="002306C5"/>
    <w:rsid w:val="00233604"/>
    <w:rsid w:val="002356F4"/>
    <w:rsid w:val="00244F82"/>
    <w:rsid w:val="00245384"/>
    <w:rsid w:val="00260DC1"/>
    <w:rsid w:val="00270775"/>
    <w:rsid w:val="00271A2B"/>
    <w:rsid w:val="00272A81"/>
    <w:rsid w:val="002822F6"/>
    <w:rsid w:val="00284324"/>
    <w:rsid w:val="00290B5C"/>
    <w:rsid w:val="00290D37"/>
    <w:rsid w:val="002A743A"/>
    <w:rsid w:val="002B131A"/>
    <w:rsid w:val="002B1D5C"/>
    <w:rsid w:val="002B74FE"/>
    <w:rsid w:val="002C1A18"/>
    <w:rsid w:val="002C6EAB"/>
    <w:rsid w:val="002D05BC"/>
    <w:rsid w:val="002F6C65"/>
    <w:rsid w:val="0030540D"/>
    <w:rsid w:val="003056FD"/>
    <w:rsid w:val="00313E3E"/>
    <w:rsid w:val="00317805"/>
    <w:rsid w:val="00322467"/>
    <w:rsid w:val="003416A4"/>
    <w:rsid w:val="0034270C"/>
    <w:rsid w:val="0034548D"/>
    <w:rsid w:val="003602A9"/>
    <w:rsid w:val="00362503"/>
    <w:rsid w:val="00372445"/>
    <w:rsid w:val="00373560"/>
    <w:rsid w:val="00376E80"/>
    <w:rsid w:val="00383B74"/>
    <w:rsid w:val="00387095"/>
    <w:rsid w:val="00397793"/>
    <w:rsid w:val="00397A23"/>
    <w:rsid w:val="003B691D"/>
    <w:rsid w:val="003B74DA"/>
    <w:rsid w:val="003C5368"/>
    <w:rsid w:val="003D34A6"/>
    <w:rsid w:val="003D37D8"/>
    <w:rsid w:val="003D4071"/>
    <w:rsid w:val="003E05DB"/>
    <w:rsid w:val="003E1A4F"/>
    <w:rsid w:val="003F08FF"/>
    <w:rsid w:val="003F1D9D"/>
    <w:rsid w:val="003F4721"/>
    <w:rsid w:val="003F4D9C"/>
    <w:rsid w:val="004020B8"/>
    <w:rsid w:val="00402957"/>
    <w:rsid w:val="004052CB"/>
    <w:rsid w:val="00414A16"/>
    <w:rsid w:val="0042352A"/>
    <w:rsid w:val="004305DD"/>
    <w:rsid w:val="0043135B"/>
    <w:rsid w:val="00434241"/>
    <w:rsid w:val="00442226"/>
    <w:rsid w:val="004423F2"/>
    <w:rsid w:val="00443776"/>
    <w:rsid w:val="0044775D"/>
    <w:rsid w:val="00452102"/>
    <w:rsid w:val="0046158F"/>
    <w:rsid w:val="00461C26"/>
    <w:rsid w:val="00467686"/>
    <w:rsid w:val="00472B75"/>
    <w:rsid w:val="004733CC"/>
    <w:rsid w:val="004806C0"/>
    <w:rsid w:val="00485643"/>
    <w:rsid w:val="00486D0C"/>
    <w:rsid w:val="00490514"/>
    <w:rsid w:val="004917AD"/>
    <w:rsid w:val="00492C90"/>
    <w:rsid w:val="004952C1"/>
    <w:rsid w:val="0049564F"/>
    <w:rsid w:val="00496EF6"/>
    <w:rsid w:val="004A2A2D"/>
    <w:rsid w:val="004A34FF"/>
    <w:rsid w:val="004A4519"/>
    <w:rsid w:val="004A54BA"/>
    <w:rsid w:val="004A71AA"/>
    <w:rsid w:val="004B2D41"/>
    <w:rsid w:val="004B4E1F"/>
    <w:rsid w:val="004B75F9"/>
    <w:rsid w:val="004B78C0"/>
    <w:rsid w:val="004C6DDC"/>
    <w:rsid w:val="004D115C"/>
    <w:rsid w:val="004D1F1D"/>
    <w:rsid w:val="004D7680"/>
    <w:rsid w:val="004E29B3"/>
    <w:rsid w:val="004E2C55"/>
    <w:rsid w:val="004F1959"/>
    <w:rsid w:val="004F3658"/>
    <w:rsid w:val="004F4105"/>
    <w:rsid w:val="004F4BAF"/>
    <w:rsid w:val="00503922"/>
    <w:rsid w:val="005137FC"/>
    <w:rsid w:val="0051690E"/>
    <w:rsid w:val="005170C3"/>
    <w:rsid w:val="005204ED"/>
    <w:rsid w:val="00524D4C"/>
    <w:rsid w:val="00530508"/>
    <w:rsid w:val="005350D4"/>
    <w:rsid w:val="00541A8D"/>
    <w:rsid w:val="0054269E"/>
    <w:rsid w:val="00551259"/>
    <w:rsid w:val="0055290E"/>
    <w:rsid w:val="005651BD"/>
    <w:rsid w:val="005665F5"/>
    <w:rsid w:val="005676EC"/>
    <w:rsid w:val="00570401"/>
    <w:rsid w:val="005727FA"/>
    <w:rsid w:val="00573498"/>
    <w:rsid w:val="005734BD"/>
    <w:rsid w:val="00580F81"/>
    <w:rsid w:val="00584714"/>
    <w:rsid w:val="00584AFA"/>
    <w:rsid w:val="0059022F"/>
    <w:rsid w:val="00590501"/>
    <w:rsid w:val="00590A0B"/>
    <w:rsid w:val="00590D07"/>
    <w:rsid w:val="0059602B"/>
    <w:rsid w:val="00597807"/>
    <w:rsid w:val="005A01A1"/>
    <w:rsid w:val="005A3C05"/>
    <w:rsid w:val="005B132C"/>
    <w:rsid w:val="005B263C"/>
    <w:rsid w:val="005B5A9E"/>
    <w:rsid w:val="005C0080"/>
    <w:rsid w:val="005D0A46"/>
    <w:rsid w:val="005D27A9"/>
    <w:rsid w:val="005D321C"/>
    <w:rsid w:val="005D3B48"/>
    <w:rsid w:val="005E383C"/>
    <w:rsid w:val="005E758C"/>
    <w:rsid w:val="005F60BF"/>
    <w:rsid w:val="005F69F1"/>
    <w:rsid w:val="006014BE"/>
    <w:rsid w:val="00605C23"/>
    <w:rsid w:val="00616BFE"/>
    <w:rsid w:val="00634167"/>
    <w:rsid w:val="00635AEA"/>
    <w:rsid w:val="006426FD"/>
    <w:rsid w:val="00651130"/>
    <w:rsid w:val="00651ACB"/>
    <w:rsid w:val="00673DF4"/>
    <w:rsid w:val="00674063"/>
    <w:rsid w:val="00680D3C"/>
    <w:rsid w:val="006812F1"/>
    <w:rsid w:val="006829DD"/>
    <w:rsid w:val="0068498B"/>
    <w:rsid w:val="0068556E"/>
    <w:rsid w:val="0069433D"/>
    <w:rsid w:val="00695CF7"/>
    <w:rsid w:val="006A2E3D"/>
    <w:rsid w:val="006A5A57"/>
    <w:rsid w:val="006B0713"/>
    <w:rsid w:val="006B30E1"/>
    <w:rsid w:val="006B49B5"/>
    <w:rsid w:val="006B6ABB"/>
    <w:rsid w:val="006C114A"/>
    <w:rsid w:val="006C16CB"/>
    <w:rsid w:val="006C6CBA"/>
    <w:rsid w:val="006D06EC"/>
    <w:rsid w:val="006D2FA6"/>
    <w:rsid w:val="006D64D6"/>
    <w:rsid w:val="006E022D"/>
    <w:rsid w:val="006E1AAD"/>
    <w:rsid w:val="006E2A81"/>
    <w:rsid w:val="006E4E2E"/>
    <w:rsid w:val="006E67E2"/>
    <w:rsid w:val="006F0EB3"/>
    <w:rsid w:val="006F13A8"/>
    <w:rsid w:val="006F3873"/>
    <w:rsid w:val="006F56F7"/>
    <w:rsid w:val="006F58A5"/>
    <w:rsid w:val="006F6B88"/>
    <w:rsid w:val="00702F60"/>
    <w:rsid w:val="007044FC"/>
    <w:rsid w:val="007052CB"/>
    <w:rsid w:val="007164EF"/>
    <w:rsid w:val="00720160"/>
    <w:rsid w:val="00720FFE"/>
    <w:rsid w:val="007210D7"/>
    <w:rsid w:val="0072504F"/>
    <w:rsid w:val="00731976"/>
    <w:rsid w:val="00732AF9"/>
    <w:rsid w:val="00733BC0"/>
    <w:rsid w:val="00740E7F"/>
    <w:rsid w:val="007461D4"/>
    <w:rsid w:val="00750CB9"/>
    <w:rsid w:val="00761EF9"/>
    <w:rsid w:val="00767088"/>
    <w:rsid w:val="00781F24"/>
    <w:rsid w:val="00783D9D"/>
    <w:rsid w:val="00783E33"/>
    <w:rsid w:val="00784D58"/>
    <w:rsid w:val="00785E58"/>
    <w:rsid w:val="0078610C"/>
    <w:rsid w:val="00790D24"/>
    <w:rsid w:val="007A2540"/>
    <w:rsid w:val="007A5203"/>
    <w:rsid w:val="007A5FA8"/>
    <w:rsid w:val="007A7CBE"/>
    <w:rsid w:val="007B7744"/>
    <w:rsid w:val="007C1A3A"/>
    <w:rsid w:val="007C3016"/>
    <w:rsid w:val="007C7F13"/>
    <w:rsid w:val="007D5BC4"/>
    <w:rsid w:val="007D7FA1"/>
    <w:rsid w:val="007E636E"/>
    <w:rsid w:val="007E750F"/>
    <w:rsid w:val="007F03F4"/>
    <w:rsid w:val="007F58DB"/>
    <w:rsid w:val="00811359"/>
    <w:rsid w:val="00816B7F"/>
    <w:rsid w:val="008345CF"/>
    <w:rsid w:val="00836824"/>
    <w:rsid w:val="00837AFB"/>
    <w:rsid w:val="008448CF"/>
    <w:rsid w:val="00847949"/>
    <w:rsid w:val="008517F7"/>
    <w:rsid w:val="00855E31"/>
    <w:rsid w:val="0087297B"/>
    <w:rsid w:val="00873918"/>
    <w:rsid w:val="00892456"/>
    <w:rsid w:val="008A37D3"/>
    <w:rsid w:val="008A3A95"/>
    <w:rsid w:val="008A40C5"/>
    <w:rsid w:val="008A4A01"/>
    <w:rsid w:val="008A729B"/>
    <w:rsid w:val="008A7FB9"/>
    <w:rsid w:val="008C4926"/>
    <w:rsid w:val="008C562F"/>
    <w:rsid w:val="008D6863"/>
    <w:rsid w:val="008D73B1"/>
    <w:rsid w:val="008E401A"/>
    <w:rsid w:val="008E5FF7"/>
    <w:rsid w:val="008F1418"/>
    <w:rsid w:val="008F54F6"/>
    <w:rsid w:val="008F745B"/>
    <w:rsid w:val="008F799D"/>
    <w:rsid w:val="008F7A41"/>
    <w:rsid w:val="00912419"/>
    <w:rsid w:val="00914BF0"/>
    <w:rsid w:val="009306EF"/>
    <w:rsid w:val="009418C6"/>
    <w:rsid w:val="00942056"/>
    <w:rsid w:val="0094347E"/>
    <w:rsid w:val="00950185"/>
    <w:rsid w:val="00954C6B"/>
    <w:rsid w:val="00965A39"/>
    <w:rsid w:val="0097005E"/>
    <w:rsid w:val="00986315"/>
    <w:rsid w:val="00987EBD"/>
    <w:rsid w:val="009913F7"/>
    <w:rsid w:val="009933A3"/>
    <w:rsid w:val="00997366"/>
    <w:rsid w:val="009A10B7"/>
    <w:rsid w:val="009A3674"/>
    <w:rsid w:val="009B0B81"/>
    <w:rsid w:val="009B117B"/>
    <w:rsid w:val="009B16ED"/>
    <w:rsid w:val="009C15CC"/>
    <w:rsid w:val="009D0B2A"/>
    <w:rsid w:val="009D0F3C"/>
    <w:rsid w:val="009D1A9D"/>
    <w:rsid w:val="009D37FE"/>
    <w:rsid w:val="009D7CA7"/>
    <w:rsid w:val="009E5B97"/>
    <w:rsid w:val="009E6D12"/>
    <w:rsid w:val="009F4D86"/>
    <w:rsid w:val="00A01FA9"/>
    <w:rsid w:val="00A060B5"/>
    <w:rsid w:val="00A1306D"/>
    <w:rsid w:val="00A20F57"/>
    <w:rsid w:val="00A22E88"/>
    <w:rsid w:val="00A33C12"/>
    <w:rsid w:val="00A51124"/>
    <w:rsid w:val="00A519CB"/>
    <w:rsid w:val="00A53A37"/>
    <w:rsid w:val="00A57864"/>
    <w:rsid w:val="00A60A02"/>
    <w:rsid w:val="00A64A8C"/>
    <w:rsid w:val="00A66F6A"/>
    <w:rsid w:val="00A7365C"/>
    <w:rsid w:val="00A755CB"/>
    <w:rsid w:val="00A863A6"/>
    <w:rsid w:val="00A93545"/>
    <w:rsid w:val="00AA67E9"/>
    <w:rsid w:val="00AB1BA0"/>
    <w:rsid w:val="00AB266C"/>
    <w:rsid w:val="00AB363F"/>
    <w:rsid w:val="00AB69EF"/>
    <w:rsid w:val="00AC0D29"/>
    <w:rsid w:val="00AD0E87"/>
    <w:rsid w:val="00AD43DC"/>
    <w:rsid w:val="00AD491A"/>
    <w:rsid w:val="00AD6C70"/>
    <w:rsid w:val="00AF32C1"/>
    <w:rsid w:val="00B00D93"/>
    <w:rsid w:val="00B02023"/>
    <w:rsid w:val="00B1239F"/>
    <w:rsid w:val="00B143C6"/>
    <w:rsid w:val="00B169F3"/>
    <w:rsid w:val="00B238B5"/>
    <w:rsid w:val="00B27E36"/>
    <w:rsid w:val="00B32938"/>
    <w:rsid w:val="00B410BD"/>
    <w:rsid w:val="00B413DD"/>
    <w:rsid w:val="00B41C7A"/>
    <w:rsid w:val="00B42187"/>
    <w:rsid w:val="00B447CF"/>
    <w:rsid w:val="00B53EBE"/>
    <w:rsid w:val="00B5604C"/>
    <w:rsid w:val="00B570FD"/>
    <w:rsid w:val="00B61CC3"/>
    <w:rsid w:val="00B645DF"/>
    <w:rsid w:val="00B72174"/>
    <w:rsid w:val="00B7290D"/>
    <w:rsid w:val="00B80240"/>
    <w:rsid w:val="00B81431"/>
    <w:rsid w:val="00B8400A"/>
    <w:rsid w:val="00B849CB"/>
    <w:rsid w:val="00B84B40"/>
    <w:rsid w:val="00B86B75"/>
    <w:rsid w:val="00B9272F"/>
    <w:rsid w:val="00B9539C"/>
    <w:rsid w:val="00B95A11"/>
    <w:rsid w:val="00B9605B"/>
    <w:rsid w:val="00BA00A2"/>
    <w:rsid w:val="00BA7DD3"/>
    <w:rsid w:val="00BB1653"/>
    <w:rsid w:val="00BB3FEE"/>
    <w:rsid w:val="00BB6E3E"/>
    <w:rsid w:val="00BC48D5"/>
    <w:rsid w:val="00BC5576"/>
    <w:rsid w:val="00BC639A"/>
    <w:rsid w:val="00BC648F"/>
    <w:rsid w:val="00BD3EF8"/>
    <w:rsid w:val="00BE03EE"/>
    <w:rsid w:val="00BE090A"/>
    <w:rsid w:val="00BE20BE"/>
    <w:rsid w:val="00BE507F"/>
    <w:rsid w:val="00BE578C"/>
    <w:rsid w:val="00BF4986"/>
    <w:rsid w:val="00C0266A"/>
    <w:rsid w:val="00C041F9"/>
    <w:rsid w:val="00C20C01"/>
    <w:rsid w:val="00C20D0D"/>
    <w:rsid w:val="00C21455"/>
    <w:rsid w:val="00C27FDD"/>
    <w:rsid w:val="00C3534E"/>
    <w:rsid w:val="00C35DCB"/>
    <w:rsid w:val="00C36279"/>
    <w:rsid w:val="00C4077A"/>
    <w:rsid w:val="00C4441B"/>
    <w:rsid w:val="00C45894"/>
    <w:rsid w:val="00C53202"/>
    <w:rsid w:val="00C54683"/>
    <w:rsid w:val="00C5490E"/>
    <w:rsid w:val="00C623F3"/>
    <w:rsid w:val="00C63270"/>
    <w:rsid w:val="00C638A3"/>
    <w:rsid w:val="00C6466B"/>
    <w:rsid w:val="00C74C06"/>
    <w:rsid w:val="00C80C37"/>
    <w:rsid w:val="00C84A6F"/>
    <w:rsid w:val="00CB0346"/>
    <w:rsid w:val="00CB32BD"/>
    <w:rsid w:val="00CC46C0"/>
    <w:rsid w:val="00CC519F"/>
    <w:rsid w:val="00CD1E3D"/>
    <w:rsid w:val="00CD2B59"/>
    <w:rsid w:val="00CD4353"/>
    <w:rsid w:val="00CF362E"/>
    <w:rsid w:val="00CF3A35"/>
    <w:rsid w:val="00CF60B5"/>
    <w:rsid w:val="00D07E87"/>
    <w:rsid w:val="00D10FD4"/>
    <w:rsid w:val="00D11662"/>
    <w:rsid w:val="00D20834"/>
    <w:rsid w:val="00D323B1"/>
    <w:rsid w:val="00D330C4"/>
    <w:rsid w:val="00D36034"/>
    <w:rsid w:val="00D370E0"/>
    <w:rsid w:val="00D409F1"/>
    <w:rsid w:val="00D41647"/>
    <w:rsid w:val="00D45380"/>
    <w:rsid w:val="00D5454F"/>
    <w:rsid w:val="00D54D83"/>
    <w:rsid w:val="00D61E42"/>
    <w:rsid w:val="00D678C6"/>
    <w:rsid w:val="00D7115A"/>
    <w:rsid w:val="00D756DC"/>
    <w:rsid w:val="00D8014E"/>
    <w:rsid w:val="00D80840"/>
    <w:rsid w:val="00D852E0"/>
    <w:rsid w:val="00D9300D"/>
    <w:rsid w:val="00DA065D"/>
    <w:rsid w:val="00DA2D35"/>
    <w:rsid w:val="00DA3233"/>
    <w:rsid w:val="00DA5F47"/>
    <w:rsid w:val="00DB3EF4"/>
    <w:rsid w:val="00DC616D"/>
    <w:rsid w:val="00DC7876"/>
    <w:rsid w:val="00DD4605"/>
    <w:rsid w:val="00DE0C80"/>
    <w:rsid w:val="00DE3711"/>
    <w:rsid w:val="00DE70DA"/>
    <w:rsid w:val="00DF15F7"/>
    <w:rsid w:val="00DF4273"/>
    <w:rsid w:val="00DF50B8"/>
    <w:rsid w:val="00E00CD3"/>
    <w:rsid w:val="00E00E39"/>
    <w:rsid w:val="00E043B5"/>
    <w:rsid w:val="00E0552D"/>
    <w:rsid w:val="00E129BE"/>
    <w:rsid w:val="00E27A9E"/>
    <w:rsid w:val="00E27CCC"/>
    <w:rsid w:val="00E315A3"/>
    <w:rsid w:val="00E32C9C"/>
    <w:rsid w:val="00E3424E"/>
    <w:rsid w:val="00E408D0"/>
    <w:rsid w:val="00E41F44"/>
    <w:rsid w:val="00E5453E"/>
    <w:rsid w:val="00E54BED"/>
    <w:rsid w:val="00E7210F"/>
    <w:rsid w:val="00E73F7B"/>
    <w:rsid w:val="00E817AC"/>
    <w:rsid w:val="00E9079B"/>
    <w:rsid w:val="00EA1D55"/>
    <w:rsid w:val="00EA5762"/>
    <w:rsid w:val="00EC040D"/>
    <w:rsid w:val="00EC6DCA"/>
    <w:rsid w:val="00EC702A"/>
    <w:rsid w:val="00ED22FD"/>
    <w:rsid w:val="00ED31CB"/>
    <w:rsid w:val="00ED6252"/>
    <w:rsid w:val="00EE2B09"/>
    <w:rsid w:val="00F001C4"/>
    <w:rsid w:val="00F03680"/>
    <w:rsid w:val="00F042D8"/>
    <w:rsid w:val="00F13615"/>
    <w:rsid w:val="00F167A5"/>
    <w:rsid w:val="00F23D53"/>
    <w:rsid w:val="00F265A8"/>
    <w:rsid w:val="00F2664C"/>
    <w:rsid w:val="00F30D30"/>
    <w:rsid w:val="00F31F47"/>
    <w:rsid w:val="00F36A71"/>
    <w:rsid w:val="00F4709C"/>
    <w:rsid w:val="00F63296"/>
    <w:rsid w:val="00F636F4"/>
    <w:rsid w:val="00F63FDD"/>
    <w:rsid w:val="00F65049"/>
    <w:rsid w:val="00F671DF"/>
    <w:rsid w:val="00F757F2"/>
    <w:rsid w:val="00F77CEB"/>
    <w:rsid w:val="00F80690"/>
    <w:rsid w:val="00F83652"/>
    <w:rsid w:val="00F8761E"/>
    <w:rsid w:val="00F878B6"/>
    <w:rsid w:val="00F91553"/>
    <w:rsid w:val="00FA2FF1"/>
    <w:rsid w:val="00FC209E"/>
    <w:rsid w:val="00FC7307"/>
    <w:rsid w:val="00FD0715"/>
    <w:rsid w:val="00FD2C11"/>
    <w:rsid w:val="00FD3F68"/>
    <w:rsid w:val="00FD4638"/>
    <w:rsid w:val="00FD5B65"/>
    <w:rsid w:val="00FD7C1B"/>
    <w:rsid w:val="00FE2274"/>
    <w:rsid w:val="00FF7884"/>
    <w:rsid w:val="49683FF1"/>
    <w:rsid w:val="4C556BBD"/>
    <w:rsid w:val="5CBE897B"/>
    <w:rsid w:val="660D25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041C"/>
  <w15:docId w15:val="{D44BDEBC-22DC-427C-997E-031A069A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CommentReference">
    <w:name w:val="annotation reference"/>
    <w:basedOn w:val="DefaultParagraphFont"/>
    <w:semiHidden/>
    <w:unhideWhenUsed/>
    <w:rsid w:val="00616BFE"/>
    <w:rPr>
      <w:sz w:val="16"/>
      <w:szCs w:val="16"/>
    </w:rPr>
  </w:style>
  <w:style w:type="paragraph" w:styleId="CommentText">
    <w:name w:val="annotation text"/>
    <w:basedOn w:val="Normal"/>
    <w:link w:val="CommentTextChar"/>
    <w:unhideWhenUsed/>
    <w:rsid w:val="00616BFE"/>
    <w:rPr>
      <w:sz w:val="20"/>
      <w:szCs w:val="20"/>
    </w:rPr>
  </w:style>
  <w:style w:type="character" w:customStyle="1" w:styleId="CommentTextChar">
    <w:name w:val="Comment Text Char"/>
    <w:basedOn w:val="DefaultParagraphFont"/>
    <w:link w:val="CommentText"/>
    <w:rsid w:val="00616BFE"/>
    <w:rPr>
      <w:sz w:val="20"/>
      <w:szCs w:val="20"/>
    </w:rPr>
  </w:style>
  <w:style w:type="paragraph" w:styleId="CommentSubject">
    <w:name w:val="annotation subject"/>
    <w:basedOn w:val="CommentText"/>
    <w:next w:val="CommentText"/>
    <w:link w:val="CommentSubjectChar"/>
    <w:semiHidden/>
    <w:unhideWhenUsed/>
    <w:rsid w:val="00616BFE"/>
    <w:rPr>
      <w:b/>
      <w:bCs/>
    </w:rPr>
  </w:style>
  <w:style w:type="character" w:customStyle="1" w:styleId="CommentSubjectChar">
    <w:name w:val="Comment Subject Char"/>
    <w:basedOn w:val="CommentTextChar"/>
    <w:link w:val="CommentSubject"/>
    <w:semiHidden/>
    <w:rsid w:val="00616BFE"/>
    <w:rPr>
      <w:b/>
      <w:bCs/>
      <w:sz w:val="20"/>
      <w:szCs w:val="20"/>
    </w:rPr>
  </w:style>
  <w:style w:type="paragraph" w:styleId="BalloonText">
    <w:name w:val="Balloon Text"/>
    <w:basedOn w:val="Normal"/>
    <w:link w:val="BalloonTextChar"/>
    <w:semiHidden/>
    <w:unhideWhenUsed/>
    <w:rsid w:val="00616BF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616BFE"/>
    <w:rPr>
      <w:rFonts w:ascii="Segoe UI" w:hAnsi="Segoe UI" w:cs="Segoe UI"/>
      <w:sz w:val="18"/>
      <w:szCs w:val="18"/>
    </w:rPr>
  </w:style>
  <w:style w:type="paragraph" w:styleId="Header">
    <w:name w:val="header"/>
    <w:basedOn w:val="Normal"/>
    <w:link w:val="HeaderChar"/>
    <w:unhideWhenUsed/>
    <w:rsid w:val="00442226"/>
    <w:pPr>
      <w:tabs>
        <w:tab w:val="center" w:pos="4513"/>
        <w:tab w:val="right" w:pos="9026"/>
      </w:tabs>
      <w:spacing w:after="0"/>
    </w:pPr>
  </w:style>
  <w:style w:type="character" w:customStyle="1" w:styleId="HeaderChar">
    <w:name w:val="Header Char"/>
    <w:basedOn w:val="DefaultParagraphFont"/>
    <w:link w:val="Header"/>
    <w:rsid w:val="00442226"/>
  </w:style>
  <w:style w:type="paragraph" w:styleId="Footer">
    <w:name w:val="footer"/>
    <w:basedOn w:val="Normal"/>
    <w:link w:val="FooterChar"/>
    <w:uiPriority w:val="99"/>
    <w:unhideWhenUsed/>
    <w:rsid w:val="00442226"/>
    <w:pPr>
      <w:tabs>
        <w:tab w:val="center" w:pos="4513"/>
        <w:tab w:val="right" w:pos="9026"/>
      </w:tabs>
      <w:spacing w:after="0"/>
    </w:pPr>
  </w:style>
  <w:style w:type="character" w:customStyle="1" w:styleId="FooterChar">
    <w:name w:val="Footer Char"/>
    <w:basedOn w:val="DefaultParagraphFont"/>
    <w:link w:val="Footer"/>
    <w:uiPriority w:val="99"/>
    <w:rsid w:val="00442226"/>
  </w:style>
  <w:style w:type="paragraph" w:styleId="Revision">
    <w:name w:val="Revision"/>
    <w:hidden/>
    <w:semiHidden/>
    <w:rsid w:val="00570401"/>
    <w:pPr>
      <w:spacing w:after="0"/>
    </w:pPr>
  </w:style>
  <w:style w:type="paragraph" w:styleId="NoSpacing">
    <w:name w:val="No Spacing"/>
    <w:uiPriority w:val="1"/>
    <w:qFormat/>
    <w:rsid w:val="0016705E"/>
    <w:pPr>
      <w:spacing w:after="0"/>
    </w:pPr>
    <w:rPr>
      <w:sz w:val="22"/>
      <w:szCs w:val="22"/>
      <w:lang w:val="en-GB"/>
    </w:rPr>
  </w:style>
  <w:style w:type="paragraph" w:styleId="EndnoteText">
    <w:name w:val="endnote text"/>
    <w:basedOn w:val="Normal"/>
    <w:link w:val="EndnoteTextChar"/>
    <w:rsid w:val="0016705E"/>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6705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6705E"/>
    <w:rPr>
      <w:vertAlign w:val="superscript"/>
    </w:rPr>
  </w:style>
  <w:style w:type="character" w:styleId="UnresolvedMention">
    <w:name w:val="Unresolved Mention"/>
    <w:basedOn w:val="DefaultParagraphFont"/>
    <w:uiPriority w:val="99"/>
    <w:semiHidden/>
    <w:unhideWhenUsed/>
    <w:rsid w:val="000805AC"/>
    <w:rPr>
      <w:color w:val="605E5C"/>
      <w:shd w:val="clear" w:color="auto" w:fill="E1DFDD"/>
    </w:rPr>
  </w:style>
  <w:style w:type="character" w:styleId="FollowedHyperlink">
    <w:name w:val="FollowedHyperlink"/>
    <w:basedOn w:val="DefaultParagraphFont"/>
    <w:rsid w:val="00720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444">
      <w:bodyDiv w:val="1"/>
      <w:marLeft w:val="0"/>
      <w:marRight w:val="0"/>
      <w:marTop w:val="0"/>
      <w:marBottom w:val="0"/>
      <w:divBdr>
        <w:top w:val="none" w:sz="0" w:space="0" w:color="auto"/>
        <w:left w:val="none" w:sz="0" w:space="0" w:color="auto"/>
        <w:bottom w:val="none" w:sz="0" w:space="0" w:color="auto"/>
        <w:right w:val="none" w:sz="0" w:space="0" w:color="auto"/>
      </w:divBdr>
      <w:divsChild>
        <w:div w:id="245187976">
          <w:marLeft w:val="0"/>
          <w:marRight w:val="0"/>
          <w:marTop w:val="0"/>
          <w:marBottom w:val="0"/>
          <w:divBdr>
            <w:top w:val="none" w:sz="0" w:space="0" w:color="auto"/>
            <w:left w:val="none" w:sz="0" w:space="0" w:color="auto"/>
            <w:bottom w:val="none" w:sz="0" w:space="0" w:color="auto"/>
            <w:right w:val="none" w:sz="0" w:space="0" w:color="auto"/>
          </w:divBdr>
          <w:divsChild>
            <w:div w:id="203180174">
              <w:marLeft w:val="0"/>
              <w:marRight w:val="0"/>
              <w:marTop w:val="0"/>
              <w:marBottom w:val="0"/>
              <w:divBdr>
                <w:top w:val="none" w:sz="0" w:space="0" w:color="auto"/>
                <w:left w:val="none" w:sz="0" w:space="0" w:color="auto"/>
                <w:bottom w:val="none" w:sz="0" w:space="0" w:color="auto"/>
                <w:right w:val="none" w:sz="0" w:space="0" w:color="auto"/>
              </w:divBdr>
              <w:divsChild>
                <w:div w:id="2089113299">
                  <w:marLeft w:val="0"/>
                  <w:marRight w:val="0"/>
                  <w:marTop w:val="0"/>
                  <w:marBottom w:val="0"/>
                  <w:divBdr>
                    <w:top w:val="none" w:sz="0" w:space="0" w:color="auto"/>
                    <w:left w:val="none" w:sz="0" w:space="0" w:color="auto"/>
                    <w:bottom w:val="none" w:sz="0" w:space="0" w:color="auto"/>
                    <w:right w:val="none" w:sz="0" w:space="0" w:color="auto"/>
                  </w:divBdr>
                  <w:divsChild>
                    <w:div w:id="1851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41013">
      <w:bodyDiv w:val="1"/>
      <w:marLeft w:val="0"/>
      <w:marRight w:val="0"/>
      <w:marTop w:val="0"/>
      <w:marBottom w:val="0"/>
      <w:divBdr>
        <w:top w:val="none" w:sz="0" w:space="0" w:color="auto"/>
        <w:left w:val="none" w:sz="0" w:space="0" w:color="auto"/>
        <w:bottom w:val="none" w:sz="0" w:space="0" w:color="auto"/>
        <w:right w:val="none" w:sz="0" w:space="0" w:color="auto"/>
      </w:divBdr>
      <w:divsChild>
        <w:div w:id="199172634">
          <w:marLeft w:val="547"/>
          <w:marRight w:val="0"/>
          <w:marTop w:val="200"/>
          <w:marBottom w:val="0"/>
          <w:divBdr>
            <w:top w:val="none" w:sz="0" w:space="0" w:color="auto"/>
            <w:left w:val="none" w:sz="0" w:space="0" w:color="auto"/>
            <w:bottom w:val="none" w:sz="0" w:space="0" w:color="auto"/>
            <w:right w:val="none" w:sz="0" w:space="0" w:color="auto"/>
          </w:divBdr>
        </w:div>
        <w:div w:id="1667702878">
          <w:marLeft w:val="1714"/>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jrf.org.uk/sites/default/files/jrf/migrated/files/social-housing-britain-FULL.pdf" TargetMode="External"/><Relationship Id="rId18" Type="http://schemas.openxmlformats.org/officeDocument/2006/relationships/hyperlink" Target="https://www.unaids.org/sites/default/files/media_asset/UNAIDS_FactSheet_en.pdf"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onlinelibrary.wiley.com/authored-by/Danielsson/Anna%E2%80%90Karin" TargetMode="External"/><Relationship Id="rId2" Type="http://schemas.openxmlformats.org/officeDocument/2006/relationships/numbering" Target="numbering.xml"/><Relationship Id="rId16" Type="http://schemas.openxmlformats.org/officeDocument/2006/relationships/hyperlink" Target="https://onlinelibrary.wiley.com/authored-by/Agardh/Emi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onlinelibrary.wiley.com/authored-by/Lundin/Andreas"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nlinelibrary.wiley.com/authored-by/Straatmann/Vivian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tatistical-data-sets/historical-coal-data-coal-production-availability-and-consumption-1853-to-2011" TargetMode="External"/><Relationship Id="rId1" Type="http://schemas.openxmlformats.org/officeDocument/2006/relationships/hyperlink" Target="https://www.legislation.gov.uk/ukpga/1971/3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57009-2B03-4D65-BC03-7189923C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9501</Words>
  <Characters>54156</Characters>
  <Application>Microsoft Office Word</Application>
  <DocSecurity>0</DocSecurity>
  <Lines>451</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What Happened to Pearson’s ‘New Heroin Users’?: Analysis of heroin use between the 1970s and 2000 using two nationally representative longitudinal birth cohort studies</vt:lpstr>
      <vt:lpstr>What Happened to Pearson’s ‘New Heroin Users’?: Analysis of heroin use between the 1970s and 2000 using two nationally representative longitudinal birth cohort studies</vt:lpstr>
    </vt:vector>
  </TitlesOfParts>
  <Company/>
  <LinksUpToDate>false</LinksUpToDate>
  <CharactersWithSpaces>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Happened to Pearson’s ‘New Heroin Users’?: Analysis of heroin use between the 1970s and 2000 using two nationally representative longitudinal birth cohort studies</dc:title>
  <dc:creator>Phil Mike Jones, Emily Gray, and Stephen Farrall</dc:creator>
  <cp:keywords/>
  <cp:lastModifiedBy>Stephen Farrall (staff)</cp:lastModifiedBy>
  <cp:revision>5</cp:revision>
  <dcterms:created xsi:type="dcterms:W3CDTF">2023-11-23T16:30:00Z</dcterms:created>
  <dcterms:modified xsi:type="dcterms:W3CDTF">2023-11-23T17:16:00Z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../bibliography/bibliography.bib</vt:lpwstr>
  </property>
  <property fmtid="{D5CDD505-2E9C-101B-9397-08002B2CF9AE}" pid="3" name="csl">
    <vt:lpwstr>../bibliography/sage-harvard.csl</vt:lpwstr>
  </property>
  <property fmtid="{D5CDD505-2E9C-101B-9397-08002B2CF9AE}" pid="4" name="date">
    <vt:lpwstr>2021-07-02</vt:lpwstr>
  </property>
  <property fmtid="{D5CDD505-2E9C-101B-9397-08002B2CF9AE}" pid="5" name="output">
    <vt:lpwstr/>
  </property>
</Properties>
</file>