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72" w:rsidRDefault="00960872" w:rsidP="00750088">
      <w:pPr>
        <w:jc w:val="center"/>
        <w:rPr>
          <w:b/>
          <w:sz w:val="32"/>
          <w:szCs w:val="32"/>
        </w:rPr>
      </w:pPr>
    </w:p>
    <w:p w:rsidR="00960872" w:rsidRPr="005510BD" w:rsidRDefault="008B0DBF" w:rsidP="00750088">
      <w:pPr>
        <w:jc w:val="center"/>
        <w:rPr>
          <w:b/>
          <w:sz w:val="32"/>
          <w:szCs w:val="32"/>
        </w:rPr>
      </w:pPr>
      <w:r w:rsidRPr="005510BD">
        <w:rPr>
          <w:b/>
          <w:sz w:val="32"/>
          <w:szCs w:val="32"/>
        </w:rPr>
        <w:t>Worrying</w:t>
      </w:r>
      <w:r w:rsidR="00505DEC" w:rsidRPr="005510BD">
        <w:rPr>
          <w:b/>
          <w:sz w:val="32"/>
          <w:szCs w:val="32"/>
        </w:rPr>
        <w:t xml:space="preserve"> Time</w:t>
      </w:r>
      <w:r w:rsidRPr="005510BD">
        <w:rPr>
          <w:b/>
          <w:sz w:val="32"/>
          <w:szCs w:val="32"/>
        </w:rPr>
        <w:t>s</w:t>
      </w:r>
      <w:r w:rsidR="00505DEC" w:rsidRPr="005510BD">
        <w:rPr>
          <w:b/>
          <w:sz w:val="32"/>
          <w:szCs w:val="32"/>
        </w:rPr>
        <w:t xml:space="preserve">: </w:t>
      </w:r>
      <w:r w:rsidR="00960872" w:rsidRPr="005510BD">
        <w:rPr>
          <w:b/>
          <w:sz w:val="32"/>
          <w:szCs w:val="32"/>
        </w:rPr>
        <w:t>The Fear of Crime and Nostalgia</w:t>
      </w:r>
    </w:p>
    <w:p w:rsidR="00460AAB" w:rsidRPr="005510BD" w:rsidRDefault="005510BD" w:rsidP="00750088">
      <w:pPr>
        <w:jc w:val="center"/>
        <w:rPr>
          <w:b/>
          <w:sz w:val="32"/>
          <w:szCs w:val="32"/>
        </w:rPr>
      </w:pPr>
      <w:r w:rsidRPr="005510BD">
        <w:rPr>
          <w:b/>
          <w:sz w:val="32"/>
          <w:szCs w:val="32"/>
        </w:rPr>
        <w:t xml:space="preserve">Stephen </w:t>
      </w:r>
      <w:proofErr w:type="spellStart"/>
      <w:r w:rsidRPr="005510BD">
        <w:rPr>
          <w:b/>
          <w:sz w:val="32"/>
          <w:szCs w:val="32"/>
        </w:rPr>
        <w:t>Farrall</w:t>
      </w:r>
      <w:proofErr w:type="spellEnd"/>
      <w:r w:rsidRPr="005510BD">
        <w:rPr>
          <w:b/>
          <w:sz w:val="32"/>
          <w:szCs w:val="32"/>
        </w:rPr>
        <w:t xml:space="preserve">, Emily </w:t>
      </w:r>
      <w:proofErr w:type="spellStart"/>
      <w:r w:rsidRPr="005510BD">
        <w:rPr>
          <w:b/>
          <w:sz w:val="32"/>
          <w:szCs w:val="32"/>
        </w:rPr>
        <w:t>Gray</w:t>
      </w:r>
      <w:proofErr w:type="spellEnd"/>
      <w:r w:rsidRPr="005510BD">
        <w:rPr>
          <w:b/>
          <w:sz w:val="32"/>
          <w:szCs w:val="32"/>
        </w:rPr>
        <w:t xml:space="preserve"> and Phil Mike Jones</w:t>
      </w:r>
    </w:p>
    <w:p w:rsidR="00460AAB" w:rsidRPr="005510BD" w:rsidRDefault="005510BD" w:rsidP="00750088">
      <w:pPr>
        <w:jc w:val="center"/>
        <w:rPr>
          <w:b/>
          <w:sz w:val="32"/>
          <w:szCs w:val="32"/>
        </w:rPr>
      </w:pPr>
      <w:r w:rsidRPr="005510BD">
        <w:rPr>
          <w:b/>
          <w:sz w:val="32"/>
          <w:szCs w:val="32"/>
        </w:rPr>
        <w:t xml:space="preserve">Forthcoming in </w:t>
      </w:r>
      <w:r w:rsidRPr="005510BD">
        <w:rPr>
          <w:b/>
          <w:i/>
          <w:sz w:val="32"/>
          <w:szCs w:val="32"/>
        </w:rPr>
        <w:t>Contemporary Issues in Criminal Justice</w:t>
      </w:r>
    </w:p>
    <w:p w:rsidR="004753FF" w:rsidRPr="005510BD" w:rsidRDefault="004753FF" w:rsidP="004753FF"/>
    <w:p w:rsidR="00460AAB" w:rsidRPr="005510BD" w:rsidRDefault="00460AAB" w:rsidP="004753FF"/>
    <w:p w:rsidR="00114717" w:rsidRPr="005510BD" w:rsidRDefault="00460AAB" w:rsidP="005F4C90">
      <w:pPr>
        <w:jc w:val="center"/>
        <w:rPr>
          <w:b/>
        </w:rPr>
      </w:pPr>
      <w:r w:rsidRPr="005510BD">
        <w:rPr>
          <w:b/>
        </w:rPr>
        <w:t>A</w:t>
      </w:r>
      <w:r w:rsidR="00114717" w:rsidRPr="005510BD">
        <w:rPr>
          <w:b/>
        </w:rPr>
        <w:t>bstract</w:t>
      </w:r>
    </w:p>
    <w:p w:rsidR="000978AB" w:rsidRPr="005510BD" w:rsidRDefault="005D2E17" w:rsidP="00114717">
      <w:r w:rsidRPr="005510BD">
        <w:t>As well as finding empirical relationships between victimisation, key socio-demographic variables, and various psychological and environmental processes, criminologists have long suspected that the feelings now identified, corralled together and labelled as ‘the fear of crime’ have roots in the wider shifts in the social, economic bas</w:t>
      </w:r>
      <w:r w:rsidR="000978AB" w:rsidRPr="005510BD">
        <w:t>e</w:t>
      </w:r>
      <w:r w:rsidRPr="005510BD">
        <w:t>s of society. In this paper, and using survey data</w:t>
      </w:r>
      <w:r w:rsidR="00484566" w:rsidRPr="005510BD">
        <w:t xml:space="preserve"> from a nationally-representative sample of Britons aged over 16 (n = 5781)</w:t>
      </w:r>
      <w:r w:rsidRPr="005510BD">
        <w:t xml:space="preserve">, we explore the relationships between feelings of </w:t>
      </w:r>
      <w:r w:rsidR="00794B2E" w:rsidRPr="005510BD">
        <w:t xml:space="preserve">political and social </w:t>
      </w:r>
      <w:r w:rsidRPr="005510BD">
        <w:t>nostalgia and the fear of crime</w:t>
      </w:r>
      <w:r w:rsidR="000978AB" w:rsidRPr="005510BD">
        <w:t xml:space="preserve">. We find that </w:t>
      </w:r>
      <w:r w:rsidR="00EA3C11" w:rsidRPr="005510BD">
        <w:t>nostalgia</w:t>
      </w:r>
      <w:r w:rsidR="000978AB" w:rsidRPr="005510BD">
        <w:t xml:space="preserve"> is indeed strongly related to </w:t>
      </w:r>
      <w:r w:rsidR="00794B2E" w:rsidRPr="005510BD">
        <w:t>crime fears</w:t>
      </w:r>
      <w:r w:rsidR="000978AB" w:rsidRPr="005510BD">
        <w:t xml:space="preserve">, and, indeed, stronger even than variables such as victimisation, gender, and age (three of the frequently cited associates of fear). We go on to explore these relationships further in terms of different socio-economic classes, and relate feelings of nostalgia and fear to their recent (i.e. post-1945) historical trajectories. </w:t>
      </w:r>
    </w:p>
    <w:p w:rsidR="00114717" w:rsidRPr="005510BD" w:rsidRDefault="000978AB" w:rsidP="00114717">
      <w:r w:rsidRPr="005510BD">
        <w:t xml:space="preserve">Key words: fear of crime; nostalgia; social, economic and political change; social class.  </w:t>
      </w:r>
      <w:r w:rsidR="005D2E17" w:rsidRPr="005510BD">
        <w:t xml:space="preserve">  </w:t>
      </w:r>
    </w:p>
    <w:p w:rsidR="00BA16A6" w:rsidRPr="005510BD" w:rsidRDefault="00BA16A6" w:rsidP="00114717"/>
    <w:p w:rsidR="00114717" w:rsidRPr="005510BD" w:rsidRDefault="00114717" w:rsidP="00114717"/>
    <w:p w:rsidR="006A5D52" w:rsidRPr="005510BD" w:rsidRDefault="006A5D52" w:rsidP="00114717"/>
    <w:p w:rsidR="006A5D52" w:rsidRPr="005510BD" w:rsidRDefault="006A5D52" w:rsidP="00114717"/>
    <w:p w:rsidR="00114717" w:rsidRPr="005510BD" w:rsidRDefault="00114717" w:rsidP="00114717"/>
    <w:p w:rsidR="00114717" w:rsidRPr="005510BD" w:rsidRDefault="00114717" w:rsidP="00114717"/>
    <w:p w:rsidR="00114717" w:rsidRPr="005510BD" w:rsidRDefault="00114717" w:rsidP="00114717"/>
    <w:p w:rsidR="00114717" w:rsidRPr="005510BD" w:rsidRDefault="00114717" w:rsidP="00114717"/>
    <w:p w:rsidR="00114717" w:rsidRPr="005510BD" w:rsidRDefault="00114717" w:rsidP="00114717"/>
    <w:p w:rsidR="00114717" w:rsidRPr="005510BD" w:rsidRDefault="00114717" w:rsidP="00114717"/>
    <w:p w:rsidR="00114717" w:rsidRPr="005510BD" w:rsidRDefault="008E5583" w:rsidP="008E5583">
      <w:pPr>
        <w:tabs>
          <w:tab w:val="left" w:pos="7695"/>
        </w:tabs>
      </w:pPr>
      <w:r w:rsidRPr="005510BD">
        <w:tab/>
      </w:r>
    </w:p>
    <w:p w:rsidR="008E5583" w:rsidRPr="005510BD" w:rsidRDefault="008E5583" w:rsidP="008E5583">
      <w:pPr>
        <w:tabs>
          <w:tab w:val="left" w:pos="7695"/>
        </w:tabs>
      </w:pPr>
    </w:p>
    <w:p w:rsidR="00114717" w:rsidRPr="005510BD" w:rsidRDefault="00114717" w:rsidP="00114717"/>
    <w:p w:rsidR="00114717" w:rsidRPr="005510BD" w:rsidRDefault="00114717" w:rsidP="00114717"/>
    <w:p w:rsidR="00114717" w:rsidRPr="005510BD" w:rsidRDefault="00114717" w:rsidP="00114717"/>
    <w:p w:rsidR="004753FF" w:rsidRPr="005510BD" w:rsidRDefault="004753FF" w:rsidP="005F4C90">
      <w:pPr>
        <w:jc w:val="center"/>
        <w:rPr>
          <w:b/>
        </w:rPr>
      </w:pPr>
      <w:r w:rsidRPr="005510BD">
        <w:rPr>
          <w:b/>
        </w:rPr>
        <w:lastRenderedPageBreak/>
        <w:t>Introducing the Fear of Crime</w:t>
      </w:r>
    </w:p>
    <w:p w:rsidR="000D70F9" w:rsidRPr="005510BD" w:rsidRDefault="000D70F9" w:rsidP="004753FF">
      <w:r w:rsidRPr="005510BD">
        <w:t>Since it was first researched (during the 1970s in the USA, and the 1980s in the UK and subsequently in many other countries) the fear of crime has been one of the perennial topics in criminology. Numerous theories have been put forward to explain it, and various processes and factors have been found to be related to it</w:t>
      </w:r>
      <w:r w:rsidR="00E12B35" w:rsidRPr="005510BD">
        <w:t xml:space="preserve"> (see Hale 1996, </w:t>
      </w:r>
      <w:proofErr w:type="spellStart"/>
      <w:r w:rsidR="00E12B35" w:rsidRPr="005510BD">
        <w:t>Farrall</w:t>
      </w:r>
      <w:proofErr w:type="spellEnd"/>
      <w:r w:rsidR="00E12B35" w:rsidRPr="005510BD">
        <w:t xml:space="preserve"> et al 2009 for reviews)</w:t>
      </w:r>
      <w:r w:rsidRPr="005510BD">
        <w:t>. Almost all of the main socio-demographic variables one would wish to list (such as age, gender, ethnicity, physical strength, income, location of residence, or tenure) have been found to be related to the fear of crime. Various other variables have also been proposed, or been found, to be associated with the fear of crime, such as victimisation, perceptions of the police and the effectiveness of the criminal justice system, awareness of local crime rates, and feelings of control over the local environment. Psychological processes have also been found to be related to the fear of crime. In addition to this, some researchers have even suggested that there may be more than one ‘form’ of fear of crime, with Jackson and colleagues (Jackson, 200</w:t>
      </w:r>
      <w:r w:rsidR="00AE61EE" w:rsidRPr="005510BD">
        <w:t>4</w:t>
      </w:r>
      <w:r w:rsidRPr="005510BD">
        <w:t xml:space="preserve">, </w:t>
      </w:r>
      <w:proofErr w:type="spellStart"/>
      <w:r w:rsidRPr="005510BD">
        <w:t>Farrall</w:t>
      </w:r>
      <w:proofErr w:type="spellEnd"/>
      <w:r w:rsidRPr="005510BD">
        <w:t xml:space="preserve"> et al, 2009) proposing a distinction between </w:t>
      </w:r>
      <w:r w:rsidR="00D712C2" w:rsidRPr="005510BD">
        <w:t xml:space="preserve">experiential forms of fear (direct moments when fear manifests itself in the face of some threat) and expressive forms (which are less ‘concrete’ and encapsulate less coherent fears). </w:t>
      </w:r>
    </w:p>
    <w:p w:rsidR="000D70F9" w:rsidRPr="005510BD" w:rsidRDefault="000D70F9" w:rsidP="004753FF">
      <w:r w:rsidRPr="005510BD">
        <w:t xml:space="preserve">Against this background, it might appear as </w:t>
      </w:r>
      <w:r w:rsidR="00D712C2" w:rsidRPr="005510BD">
        <w:t xml:space="preserve">unproductive (or at least </w:t>
      </w:r>
      <w:r w:rsidRPr="005510BD">
        <w:t>unwise</w:t>
      </w:r>
      <w:r w:rsidR="00D712C2" w:rsidRPr="005510BD">
        <w:t>)</w:t>
      </w:r>
      <w:r w:rsidRPr="005510BD">
        <w:t xml:space="preserve"> to propos</w:t>
      </w:r>
      <w:r w:rsidR="00524C05" w:rsidRPr="005510BD">
        <w:t>e</w:t>
      </w:r>
      <w:r w:rsidRPr="005510BD">
        <w:t xml:space="preserve"> a new variable as a key factor in exploring the fear of crime, but yet that is what we intend in this contribution. </w:t>
      </w:r>
      <w:r w:rsidR="00D712C2" w:rsidRPr="005510BD">
        <w:t>Our aim is to assess the extent to which it is possible to understand the fear of crime as a consequence of feelings of nostalgia (those feelings of longing for a way of lif</w:t>
      </w:r>
      <w:r w:rsidR="000F000B" w:rsidRPr="005510BD">
        <w:t>e now past and unrecoverable). Since nostalgia, as we shall come to see, is very specific to time and place, o</w:t>
      </w:r>
      <w:r w:rsidR="00D712C2" w:rsidRPr="005510BD">
        <w:t>ur work is located consciously in the historical experience of the UK; the world’s first industrial nation, and hence amongst the first of those to experience the processes associated with deindustrialisation. However, the UK is certainly not the only country to have undergone such processes, and there is therefore the possibility that our findings in the UK may be applicable to varying degrees in other countries in both Europe and North America</w:t>
      </w:r>
      <w:r w:rsidR="00196540" w:rsidRPr="005510BD">
        <w:t>, and, perhaps, to other societies as they experience economic and social change</w:t>
      </w:r>
      <w:r w:rsidR="00D712C2" w:rsidRPr="005510BD">
        <w:t xml:space="preserve">.  </w:t>
      </w:r>
    </w:p>
    <w:p w:rsidR="000F000B" w:rsidRPr="005510BD" w:rsidRDefault="000F000B" w:rsidP="004753FF"/>
    <w:p w:rsidR="004753FF" w:rsidRPr="005510BD" w:rsidRDefault="004753FF" w:rsidP="005F4C90">
      <w:pPr>
        <w:jc w:val="center"/>
        <w:rPr>
          <w:b/>
        </w:rPr>
      </w:pPr>
      <w:r w:rsidRPr="005510BD">
        <w:rPr>
          <w:b/>
        </w:rPr>
        <w:t>What</w:t>
      </w:r>
      <w:r w:rsidR="00114717" w:rsidRPr="005510BD">
        <w:rPr>
          <w:b/>
        </w:rPr>
        <w:t xml:space="preserve"> is Nostalgia? Why might it be r</w:t>
      </w:r>
      <w:r w:rsidRPr="005510BD">
        <w:rPr>
          <w:b/>
        </w:rPr>
        <w:t>elated to the Fear of Crime?</w:t>
      </w:r>
    </w:p>
    <w:p w:rsidR="000F000B" w:rsidRPr="005510BD" w:rsidRDefault="000F000B" w:rsidP="000F000B">
      <w:proofErr w:type="spellStart"/>
      <w:r w:rsidRPr="005510BD">
        <w:t>Bonnett</w:t>
      </w:r>
      <w:proofErr w:type="spellEnd"/>
      <w:r w:rsidRPr="005510BD">
        <w:t xml:space="preserve">, (2010) has argued that ‘nostalgia’ has been a ubiquitous but often unacknowledged aspect of the public’s political imagination over the last century. Political nostalgia typically creates a bleak historical record of the present; it is a dissatisfaction with one’s </w:t>
      </w:r>
      <w:r w:rsidRPr="005510BD">
        <w:rPr>
          <w:i/>
        </w:rPr>
        <w:t>current</w:t>
      </w:r>
      <w:r w:rsidRPr="005510BD">
        <w:t xml:space="preserve"> status, in tandem with a fear of the future that evokes a call to return to an earlier, safer and </w:t>
      </w:r>
      <w:r w:rsidRPr="005510BD">
        <w:rPr>
          <w:i/>
        </w:rPr>
        <w:t>better</w:t>
      </w:r>
      <w:r w:rsidRPr="005510BD">
        <w:t xml:space="preserve"> time (Gaston and </w:t>
      </w:r>
      <w:proofErr w:type="spellStart"/>
      <w:r w:rsidRPr="005510BD">
        <w:t>Hilhorst</w:t>
      </w:r>
      <w:proofErr w:type="spellEnd"/>
      <w:r w:rsidRPr="005510BD">
        <w:t xml:space="preserve">, 2018).  In simple terms, nostalgia renders the ‘doctrine of progress’ redundant. Gaston and </w:t>
      </w:r>
      <w:proofErr w:type="spellStart"/>
      <w:r w:rsidRPr="005510BD">
        <w:t>Hilhorst</w:t>
      </w:r>
      <w:proofErr w:type="spellEnd"/>
      <w:r w:rsidRPr="005510BD">
        <w:t xml:space="preserve"> (2018) note how nostalgia in Western Europe and the United States was revitalised during the Reagan-Thatcher period, when both leaders promoted socially conservative agendas and spoke of lost ‘family values’. Indeed, scholars have described how nostalgic narratives facilitate a backwards gaze with a promise to reawaken ‘the good old days’ - a practice which has been used by politicians on both the left and right (</w:t>
      </w:r>
      <w:proofErr w:type="spellStart"/>
      <w:r w:rsidRPr="005510BD">
        <w:t>Bonnett</w:t>
      </w:r>
      <w:proofErr w:type="spellEnd"/>
      <w:r w:rsidRPr="005510BD">
        <w:t xml:space="preserve">, 2010; Gest et al, 2017). More recently, we have witnessed a rise in nationalist populism in Europe which has utilised nostalgic sentiments as a motivating force (Gest et al, 2017; </w:t>
      </w:r>
      <w:proofErr w:type="spellStart"/>
      <w:r w:rsidRPr="005510BD">
        <w:t>Flemmen</w:t>
      </w:r>
      <w:proofErr w:type="spellEnd"/>
      <w:r w:rsidRPr="005510BD">
        <w:t xml:space="preserve"> and Savage, 2017). For example, the upswing in support for the UK Independence Party (UKIP) in Britain</w:t>
      </w:r>
      <w:r w:rsidRPr="005510BD">
        <w:rPr>
          <w:vertAlign w:val="superscript"/>
        </w:rPr>
        <w:footnoteReference w:id="1"/>
      </w:r>
      <w:r w:rsidRPr="005510BD">
        <w:t xml:space="preserve"> as well as the ‘</w:t>
      </w:r>
      <w:proofErr w:type="spellStart"/>
      <w:r w:rsidRPr="005510BD">
        <w:t>Brexit</w:t>
      </w:r>
      <w:proofErr w:type="spellEnd"/>
      <w:r w:rsidRPr="005510BD">
        <w:t xml:space="preserve">’ referendum in 2016 - provides a compelling example of the power of political nostalgia. The campaigns that accompanied these </w:t>
      </w:r>
      <w:r w:rsidRPr="005510BD">
        <w:lastRenderedPageBreak/>
        <w:t>developments spoke of past losses and scepticism about promised futures. They emphasised a loss of tradition and a mythical integrity that was set against a perceived distant and mainland European elite (Gest, 2018). In examining these developments, Gest et al (2017) have introduced the concept of ‘nostalgic deprivation’ which refers to the discrepancy between individuals’ understandings of their current status and their perceptions about their past. This deprivation may be expressed in economic terms (inequality), political (disempowerment), or social status. Their contribution has demonstrated that nostalgic deprivation among White respondents in their study drove support for the ‘Radical Right’ in both the United Kingdom and the United States in the 2010s.</w:t>
      </w:r>
    </w:p>
    <w:p w:rsidR="000F000B" w:rsidRPr="005510BD" w:rsidRDefault="000F000B" w:rsidP="000F000B">
      <w:r w:rsidRPr="005510BD">
        <w:t>Similarly, anthropologists and sociologists have explored the ways in which ‘accelerated change’ (</w:t>
      </w:r>
      <w:proofErr w:type="spellStart"/>
      <w:r w:rsidRPr="005510BD">
        <w:t>Eriksen</w:t>
      </w:r>
      <w:proofErr w:type="spellEnd"/>
      <w:r w:rsidRPr="005510BD">
        <w:t xml:space="preserve">, 2016) has altered individuals’ sense of who they are, and triggered feelings of longing  - often to memories that have ‘reconstructed’ the stability and vigour of previous eras (Lash and </w:t>
      </w:r>
      <w:proofErr w:type="spellStart"/>
      <w:r w:rsidRPr="005510BD">
        <w:t>Urry</w:t>
      </w:r>
      <w:proofErr w:type="spellEnd"/>
      <w:r w:rsidRPr="005510BD">
        <w:t>, 1994:246-248).The features of the groups in society who may feel nostalgic include those for whom change is identifiable, but who did not initiate the changes, nor feel that they were consulted about those changes (</w:t>
      </w:r>
      <w:proofErr w:type="spellStart"/>
      <w:r w:rsidRPr="005510BD">
        <w:t>Eriksen</w:t>
      </w:r>
      <w:proofErr w:type="spellEnd"/>
      <w:r w:rsidRPr="005510BD">
        <w:t xml:space="preserve"> and </w:t>
      </w:r>
      <w:proofErr w:type="spellStart"/>
      <w:r w:rsidRPr="005510BD">
        <w:t>Schober</w:t>
      </w:r>
      <w:proofErr w:type="spellEnd"/>
      <w:r w:rsidRPr="005510BD">
        <w:t>, 2016:3). These groups or segments of society have often experienced downward social mobility (</w:t>
      </w:r>
      <w:proofErr w:type="spellStart"/>
      <w:r w:rsidRPr="005510BD">
        <w:t>Thorliefsson</w:t>
      </w:r>
      <w:proofErr w:type="spellEnd"/>
      <w:r w:rsidRPr="005510BD">
        <w:t>, 2016:108), which now feels inescapable. These feelings of nostalgia speak to a set of debates about how social identity and social reproduction are related to one another during periods of rapid economic and social change. Indeed, many have identified recent manifestations of nostalgia with neo-liberal restructuring (</w:t>
      </w:r>
      <w:proofErr w:type="spellStart"/>
      <w:r w:rsidRPr="005510BD">
        <w:t>Eriksen</w:t>
      </w:r>
      <w:proofErr w:type="spellEnd"/>
      <w:r w:rsidRPr="005510BD">
        <w:t xml:space="preserve"> and </w:t>
      </w:r>
      <w:proofErr w:type="spellStart"/>
      <w:r w:rsidRPr="005510BD">
        <w:t>Schober</w:t>
      </w:r>
      <w:proofErr w:type="spellEnd"/>
      <w:r w:rsidRPr="005510BD">
        <w:t xml:space="preserve">, 2016:3). Wright notes how during periods of rapid social change, the disruption in values which is associated with these changes and the sense of social hierarchies as being in flux, are associated with feelings of nostalgic (and sometimes possibly fictionalised) accounts of ‘the past’ (1995). </w:t>
      </w:r>
      <w:proofErr w:type="spellStart"/>
      <w:r w:rsidRPr="005510BD">
        <w:t>Thorleifsson</w:t>
      </w:r>
      <w:proofErr w:type="spellEnd"/>
      <w:r w:rsidRPr="005510BD">
        <w:t xml:space="preserve"> (2016:109), for example, notes that for one of her respondents, “nostalgia seemed to be the outcome of accelerated change caused by migration and the neoliberal restructuring of the economy”. The self-seeking individualism of the present (on which see also </w:t>
      </w:r>
      <w:proofErr w:type="spellStart"/>
      <w:r w:rsidRPr="005510BD">
        <w:t>Dardot</w:t>
      </w:r>
      <w:proofErr w:type="spellEnd"/>
      <w:r w:rsidRPr="005510BD">
        <w:t xml:space="preserve"> and Laval, 2013) is frequently contrasted with the camaraderie of the past helping to forge a narrative around ‘togetherness’ and ‘traditional values’ (</w:t>
      </w:r>
      <w:proofErr w:type="spellStart"/>
      <w:r w:rsidRPr="005510BD">
        <w:t>Thorleifsson</w:t>
      </w:r>
      <w:proofErr w:type="spellEnd"/>
      <w:r w:rsidRPr="005510BD">
        <w:t xml:space="preserve">, 2016:108). However, as </w:t>
      </w:r>
      <w:proofErr w:type="spellStart"/>
      <w:r w:rsidRPr="005510BD">
        <w:t>Thorleifsson’s</w:t>
      </w:r>
      <w:proofErr w:type="spellEnd"/>
      <w:r w:rsidRPr="005510BD">
        <w:t xml:space="preserve"> respondents demonstrate, nostalgic feelings are rooted in specific times and specific places (along with people, practices and values). </w:t>
      </w:r>
    </w:p>
    <w:p w:rsidR="000F000B" w:rsidRPr="005510BD" w:rsidRDefault="00CE7440" w:rsidP="000F000B">
      <w:r w:rsidRPr="005510BD">
        <w:t>N</w:t>
      </w:r>
      <w:r w:rsidR="000F000B" w:rsidRPr="005510BD">
        <w:t>ostalgia, then, appears to be provoked by dramatic change which is fostered upon a section of society, often against their will, and against their interests, and finds expression in particular places, practices and processes which are now perceived to have been expunged for once and for all. Such sentiments have been found to lie behind the growth of far right groups amongst some sections of the white, English working class, who have found “that their established place in the world has been withdrawn” (</w:t>
      </w:r>
      <w:proofErr w:type="spellStart"/>
      <w:r w:rsidR="000F000B" w:rsidRPr="005510BD">
        <w:t>Winlow</w:t>
      </w:r>
      <w:proofErr w:type="spellEnd"/>
      <w:r w:rsidR="000F000B" w:rsidRPr="005510BD">
        <w:t xml:space="preserve"> et al, 2015:106). As Pearson (1983) notes, ‘golden ages’ of peacefulness and good orderliness have been woven into discourses about crime, policing and control. </w:t>
      </w:r>
      <w:proofErr w:type="spellStart"/>
      <w:r w:rsidR="000F000B" w:rsidRPr="005510BD">
        <w:t>Weinburger’s</w:t>
      </w:r>
      <w:proofErr w:type="spellEnd"/>
      <w:r w:rsidR="000F000B" w:rsidRPr="005510BD">
        <w:t xml:space="preserve"> study of retired police officers (1995), for example, also finds a fondness and deep desire for foot patrols (since replaced by patrol by car and then no patrolling at all).     </w:t>
      </w:r>
    </w:p>
    <w:p w:rsidR="00750088" w:rsidRPr="005510BD" w:rsidRDefault="005F4C90">
      <w:pPr>
        <w:rPr>
          <w:rFonts w:cstheme="minorHAnsi"/>
        </w:rPr>
      </w:pPr>
      <w:r w:rsidRPr="005510BD">
        <w:t>We are</w:t>
      </w:r>
      <w:r w:rsidR="00D51240" w:rsidRPr="005510BD">
        <w:t xml:space="preserve"> no</w:t>
      </w:r>
      <w:r w:rsidR="0038523F" w:rsidRPr="005510BD">
        <w:t>t</w:t>
      </w:r>
      <w:r w:rsidRPr="005510BD">
        <w:t xml:space="preserve">, however, the first to try to locate the fear of crime (or the UK’s experience of it) to changing national trajectories. Over twenty years ago, Taylor and Jamieson (1998) put forward a set of ideas which sought to locate the fear of crime in the light of the UK’s </w:t>
      </w:r>
      <w:r w:rsidR="00B45438" w:rsidRPr="005510BD">
        <w:t xml:space="preserve">historical development. What sets our work apart from theirs’ is our reliance on empirical data to assess the role played by feelings of nostalgia in explaining the fear of crime, and our use of a more explicitly nostalgic </w:t>
      </w:r>
      <w:r w:rsidR="00B45438" w:rsidRPr="005510BD">
        <w:rPr>
          <w:rFonts w:cstheme="minorHAnsi"/>
        </w:rPr>
        <w:t xml:space="preserve">framework than that developed by Taylor and Jamieson. </w:t>
      </w:r>
    </w:p>
    <w:p w:rsidR="00F83620" w:rsidRPr="005510BD" w:rsidRDefault="006915E1">
      <w:r w:rsidRPr="005510BD">
        <w:rPr>
          <w:rFonts w:eastAsia="Times New Roman" w:cstheme="minorHAnsi"/>
          <w:lang w:eastAsia="en-GB"/>
        </w:rPr>
        <w:t xml:space="preserve">Taylor and Jamieson, taking inspiration from Barbara Ehrenreich’s </w:t>
      </w:r>
      <w:r w:rsidR="00E12B35" w:rsidRPr="005510BD">
        <w:rPr>
          <w:rFonts w:eastAsia="Times New Roman" w:cstheme="minorHAnsi"/>
          <w:lang w:eastAsia="en-GB"/>
        </w:rPr>
        <w:t xml:space="preserve">book </w:t>
      </w:r>
      <w:r w:rsidRPr="005510BD">
        <w:rPr>
          <w:rFonts w:eastAsia="Times New Roman" w:cstheme="minorHAnsi"/>
          <w:i/>
          <w:lang w:eastAsia="en-GB"/>
        </w:rPr>
        <w:t>Fear of Falling</w:t>
      </w:r>
      <w:r w:rsidRPr="005510BD">
        <w:rPr>
          <w:rFonts w:eastAsia="Times New Roman" w:cstheme="minorHAnsi"/>
          <w:lang w:eastAsia="en-GB"/>
        </w:rPr>
        <w:t xml:space="preserve"> (1989), have suggested that the middle classes have been particularly vulnerable to strategies which emphasise individual risk. Fear of crime, they maintain, is not simply about perceived calculated risk</w:t>
      </w:r>
      <w:r w:rsidR="00E24C51" w:rsidRPr="005510BD">
        <w:rPr>
          <w:rFonts w:eastAsia="Times New Roman" w:cstheme="minorHAnsi"/>
          <w:lang w:eastAsia="en-GB"/>
        </w:rPr>
        <w:t>s</w:t>
      </w:r>
      <w:r w:rsidRPr="005510BD">
        <w:rPr>
          <w:rFonts w:eastAsia="Times New Roman" w:cstheme="minorHAnsi"/>
          <w:lang w:eastAsia="en-GB"/>
        </w:rPr>
        <w:t xml:space="preserve"> for these </w:t>
      </w:r>
      <w:r w:rsidRPr="005510BD">
        <w:rPr>
          <w:rFonts w:eastAsia="Times New Roman" w:cstheme="minorHAnsi"/>
          <w:lang w:eastAsia="en-GB"/>
        </w:rPr>
        <w:lastRenderedPageBreak/>
        <w:t>people</w:t>
      </w:r>
      <w:r w:rsidR="00937E2A" w:rsidRPr="005510BD">
        <w:rPr>
          <w:rFonts w:eastAsia="Times New Roman" w:cstheme="minorHAnsi"/>
          <w:lang w:eastAsia="en-GB"/>
        </w:rPr>
        <w:t>, but about broader insecurities</w:t>
      </w:r>
      <w:r w:rsidRPr="005510BD">
        <w:rPr>
          <w:rFonts w:eastAsia="Times New Roman" w:cstheme="minorHAnsi"/>
          <w:lang w:eastAsia="en-GB"/>
        </w:rPr>
        <w:t xml:space="preserve">. This group of people are ‘afraid of falling’ from their prominent and secure social and economic position which, due to globalisation and political change, has come increasingly under threat. </w:t>
      </w:r>
      <w:r w:rsidR="00F83620" w:rsidRPr="005510BD">
        <w:rPr>
          <w:rFonts w:cstheme="minorHAnsi"/>
        </w:rPr>
        <w:t>T</w:t>
      </w:r>
      <w:r w:rsidRPr="005510BD">
        <w:rPr>
          <w:rFonts w:cstheme="minorHAnsi"/>
        </w:rPr>
        <w:t>hey go</w:t>
      </w:r>
      <w:r w:rsidRPr="005510BD">
        <w:t xml:space="preserve"> on to </w:t>
      </w:r>
      <w:r w:rsidR="00F83620" w:rsidRPr="005510BD">
        <w:t xml:space="preserve">argue that the fear of crime is a result of the UK’s decline from being ‘the workshop of the World’, and Empire nation to a member of a global elite (the G20, NATO and </w:t>
      </w:r>
      <w:r w:rsidR="00937E2A" w:rsidRPr="005510BD">
        <w:t>until recently the EU</w:t>
      </w:r>
      <w:r w:rsidR="00F83620" w:rsidRPr="005510BD">
        <w:t xml:space="preserve">), but not </w:t>
      </w:r>
      <w:r w:rsidR="00F83620" w:rsidRPr="005510BD">
        <w:rPr>
          <w:i/>
        </w:rPr>
        <w:t>the</w:t>
      </w:r>
      <w:r w:rsidR="00F83620" w:rsidRPr="005510BD">
        <w:t xml:space="preserve"> elite nation it once was. Their aim was to understand the relationships between unemploym</w:t>
      </w:r>
      <w:r w:rsidR="00977B48" w:rsidRPr="005510BD">
        <w:t>ent, anxiety and crime which were</w:t>
      </w:r>
      <w:r w:rsidR="00F83620" w:rsidRPr="005510BD">
        <w:t xml:space="preserve"> embedded in the “specific economic, political and social history” of the UK (1998:151). </w:t>
      </w:r>
      <w:r w:rsidR="00977B48" w:rsidRPr="005510BD">
        <w:t xml:space="preserve">The declines which the UK experienced came from a position of international predominance (especially prior to the 1940s), and domestic prosperity (especially after 1945). Domestically, the number of people working in higher professional occupations rose by 70% between 1951 and 1971 to encompass 20% of male employees (Gunn and Bell, 2002:190). The creation of the welfare state, expansion of universities, and relatively prosperous economy of the 1950s and 1960s increased living and working conditions for many in the middle and working classes. </w:t>
      </w:r>
      <w:r w:rsidR="00F83620" w:rsidRPr="005510BD">
        <w:t>T</w:t>
      </w:r>
      <w:r w:rsidR="00977B48" w:rsidRPr="005510BD">
        <w:t>a</w:t>
      </w:r>
      <w:r w:rsidR="00F83620" w:rsidRPr="005510BD">
        <w:t>y</w:t>
      </w:r>
      <w:r w:rsidR="00977B48" w:rsidRPr="005510BD">
        <w:t>lor and Jamieson</w:t>
      </w:r>
      <w:r w:rsidR="00F83620" w:rsidRPr="005510BD">
        <w:t xml:space="preserve"> note how</w:t>
      </w:r>
      <w:r w:rsidR="00977B48" w:rsidRPr="005510BD">
        <w:t>ever that</w:t>
      </w:r>
      <w:r w:rsidR="00F83620" w:rsidRPr="005510BD">
        <w:t xml:space="preserve"> the UK’s growth rate in the twent</w:t>
      </w:r>
      <w:r w:rsidR="00E24C51" w:rsidRPr="005510BD">
        <w:t>y years since the mid-1970s ran</w:t>
      </w:r>
      <w:r w:rsidR="00F83620" w:rsidRPr="005510BD">
        <w:t xml:space="preserve"> at about 2% per annum, having dropped from around 3% from the immediate post-war years (p152). </w:t>
      </w:r>
      <w:r w:rsidR="00977B48" w:rsidRPr="005510BD">
        <w:t xml:space="preserve">Between 1973 and 1980 the UK’s economic growth rate fell to .6% (Gunn and Bell, 2002:199). </w:t>
      </w:r>
      <w:r w:rsidR="005906DD" w:rsidRPr="005510BD">
        <w:t>In 1976 the UK suffered the ignominy of needing to call in the International Monetary Fund (who loaned the</w:t>
      </w:r>
      <w:r w:rsidR="00937E2A" w:rsidRPr="005510BD">
        <w:t xml:space="preserve"> country</w:t>
      </w:r>
      <w:r w:rsidR="005906DD" w:rsidRPr="005510BD">
        <w:t xml:space="preserve"> $3.9bn, or $17.2bn in 2018 figures). Taylor and Jamieson</w:t>
      </w:r>
      <w:r w:rsidR="00F83620" w:rsidRPr="005510BD">
        <w:t xml:space="preserve"> go on to note how the UK’s manufacturing </w:t>
      </w:r>
      <w:r w:rsidR="00E24C51" w:rsidRPr="005510BD">
        <w:t xml:space="preserve">sectors </w:t>
      </w:r>
      <w:r w:rsidR="00F83620" w:rsidRPr="005510BD">
        <w:t xml:space="preserve">went into deficit for the first time since the start of the industrial revolution in the early- to mid-1980s. </w:t>
      </w:r>
      <w:r w:rsidR="00977B48" w:rsidRPr="005510BD">
        <w:t xml:space="preserve">There was a miners’ strike in 1974 and a three-day working week between </w:t>
      </w:r>
      <w:r w:rsidR="009E2040" w:rsidRPr="005510BD">
        <w:t>the 1</w:t>
      </w:r>
      <w:r w:rsidR="009E2040" w:rsidRPr="005510BD">
        <w:rPr>
          <w:vertAlign w:val="superscript"/>
        </w:rPr>
        <w:t>st</w:t>
      </w:r>
      <w:r w:rsidR="009E2040" w:rsidRPr="005510BD">
        <w:t xml:space="preserve"> January </w:t>
      </w:r>
      <w:r w:rsidR="00977B48" w:rsidRPr="005510BD">
        <w:t xml:space="preserve">and </w:t>
      </w:r>
      <w:r w:rsidR="009E2040" w:rsidRPr="005510BD">
        <w:t>the 7</w:t>
      </w:r>
      <w:r w:rsidR="009E2040" w:rsidRPr="005510BD">
        <w:rPr>
          <w:vertAlign w:val="superscript"/>
        </w:rPr>
        <w:t>th</w:t>
      </w:r>
      <w:r w:rsidR="009E2040" w:rsidRPr="005510BD">
        <w:t xml:space="preserve"> March of that year</w:t>
      </w:r>
      <w:r w:rsidR="00977B48" w:rsidRPr="005510BD">
        <w:t xml:space="preserve">. </w:t>
      </w:r>
      <w:r w:rsidR="005906DD" w:rsidRPr="005510BD">
        <w:t>Alongside this, divorce rates started to rise (legislation in 1969 and 1973 had made divorce eas</w:t>
      </w:r>
      <w:r w:rsidR="00937E2A" w:rsidRPr="005510BD">
        <w:t>ier</w:t>
      </w:r>
      <w:r w:rsidR="005906DD" w:rsidRPr="005510BD">
        <w:t>), and Taylor and Jamieson argue that it rose from around 6,000 cases in 1938 to over 160,000 in 1993, putting the UK at the top of the divorce league table</w:t>
      </w:r>
      <w:r w:rsidR="00A30EE1" w:rsidRPr="005510BD">
        <w:t xml:space="preserve">. Single parent families were a consequence of this. Alongside this, crime </w:t>
      </w:r>
      <w:r w:rsidR="00A875AA" w:rsidRPr="005510BD">
        <w:t>rose</w:t>
      </w:r>
      <w:r w:rsidR="00A30EE1" w:rsidRPr="005510BD">
        <w:t xml:space="preserve"> throughout </w:t>
      </w:r>
      <w:r w:rsidR="00A875AA" w:rsidRPr="005510BD">
        <w:t>t</w:t>
      </w:r>
      <w:r w:rsidR="00A30EE1" w:rsidRPr="005510BD">
        <w:t xml:space="preserve">he 1950s (and continued to do so until the early-1990s). During this period, the British Empire also started to wither. Starting in the very late 1400s, and growing throughout the 1500s, the British Empire expended to include </w:t>
      </w:r>
      <w:r w:rsidR="00E24C51" w:rsidRPr="005510BD">
        <w:t xml:space="preserve">parts of </w:t>
      </w:r>
      <w:r w:rsidR="00A30EE1" w:rsidRPr="005510BD">
        <w:t xml:space="preserve">The Americas, the Caribbean, Australasia, the Indian subcontinent, </w:t>
      </w:r>
      <w:r w:rsidR="008237EE" w:rsidRPr="005510BD">
        <w:t>parts of Eastern and Southern Africa, bits of the Pacific and parts of Indo-China</w:t>
      </w:r>
      <w:r w:rsidR="003806F8" w:rsidRPr="005510BD">
        <w:t>, amongst other places</w:t>
      </w:r>
      <w:r w:rsidR="008237EE" w:rsidRPr="005510BD">
        <w:t>. Its territorial peak is considered to</w:t>
      </w:r>
      <w:r w:rsidR="00A875AA" w:rsidRPr="005510BD">
        <w:t xml:space="preserve"> have</w:t>
      </w:r>
      <w:r w:rsidR="008237EE" w:rsidRPr="005510BD">
        <w:t xml:space="preserve"> be</w:t>
      </w:r>
      <w:r w:rsidR="00A875AA" w:rsidRPr="005510BD">
        <w:t>en</w:t>
      </w:r>
      <w:r w:rsidR="008237EE" w:rsidRPr="005510BD">
        <w:t xml:space="preserve"> in 1921, but the </w:t>
      </w:r>
      <w:r w:rsidR="003806F8" w:rsidRPr="005510BD">
        <w:t>major decline took place in the years after the end of the second world war.</w:t>
      </w:r>
      <w:r w:rsidR="008324F7" w:rsidRPr="005510BD">
        <w:t xml:space="preserve"> During this same period, the Labour-led government created the welfare state (including the National Health Service), and started to invest in social security systems, state-owned housing and the public ownership of several industries (notably coal-mining and car manufacturing) and elements of the country’s infrastructure (such as the transport system).</w:t>
      </w:r>
      <w:r w:rsidR="003806F8" w:rsidRPr="005510BD">
        <w:t xml:space="preserve"> </w:t>
      </w:r>
      <w:r w:rsidR="008324F7" w:rsidRPr="005510BD">
        <w:t>Despite this</w:t>
      </w:r>
      <w:r w:rsidR="007D727E" w:rsidRPr="005510BD">
        <w:t xml:space="preserve"> (some would later argue </w:t>
      </w:r>
      <w:r w:rsidR="007D727E" w:rsidRPr="005510BD">
        <w:rPr>
          <w:i/>
        </w:rPr>
        <w:t>because</w:t>
      </w:r>
      <w:r w:rsidR="007D727E" w:rsidRPr="005510BD">
        <w:t xml:space="preserve"> of these developments)</w:t>
      </w:r>
      <w:r w:rsidR="008324F7" w:rsidRPr="005510BD">
        <w:t xml:space="preserve"> however, the </w:t>
      </w:r>
      <w:r w:rsidR="007D727E" w:rsidRPr="005510BD">
        <w:t>decline of the UK’s economic position continued.</w:t>
      </w:r>
      <w:r w:rsidR="00A30EE1" w:rsidRPr="005510BD">
        <w:t xml:space="preserve"> </w:t>
      </w:r>
    </w:p>
    <w:p w:rsidR="00E45A12" w:rsidRPr="005510BD" w:rsidRDefault="002B64FD">
      <w:r w:rsidRPr="005510BD">
        <w:t>Although the 1960s was a period of relative prosperity, especially for the middle and working class, there were still profound social and cultural changes afoot. The loosening of social conventions associated with the rise of ‘youth’ as a social phenomenon and the perceived breakdown of sexual mores and morality emerged as the 1960s progressed, and provoked a series of right-wing, socially conservative responses in the form of the National Listeners and Viewers Asso</w:t>
      </w:r>
      <w:r w:rsidR="00937E2A" w:rsidRPr="005510BD">
        <w:t>ciation (led by Mary Whitehouse</w:t>
      </w:r>
      <w:r w:rsidRPr="005510BD">
        <w:t>, who became involved in the Clean Up TV Campaign</w:t>
      </w:r>
      <w:r w:rsidR="00A52A1A" w:rsidRPr="005510BD">
        <w:t>,</w:t>
      </w:r>
      <w:r w:rsidRPr="005510BD">
        <w:t xml:space="preserve"> </w:t>
      </w:r>
      <w:r w:rsidR="00937E2A" w:rsidRPr="005510BD">
        <w:t xml:space="preserve">which </w:t>
      </w:r>
      <w:r w:rsidRPr="005510BD">
        <w:t>started in 1964)</w:t>
      </w:r>
      <w:r w:rsidR="006D6C50" w:rsidRPr="005510BD">
        <w:t xml:space="preserve">. Alongside this were groups such as the Freedom Association (led by the </w:t>
      </w:r>
      <w:proofErr w:type="spellStart"/>
      <w:r w:rsidR="006D6C50" w:rsidRPr="005510BD">
        <w:t>MacWhirter</w:t>
      </w:r>
      <w:proofErr w:type="spellEnd"/>
      <w:r w:rsidR="006D6C50" w:rsidRPr="005510BD">
        <w:t xml:space="preserve"> twins, more famous for their work on the Guinness Book of Records), which also campaigned against the UK’s membership of the EU</w:t>
      </w:r>
      <w:r w:rsidR="00A52A1A" w:rsidRPr="005510BD">
        <w:t>,</w:t>
      </w:r>
      <w:r w:rsidR="006D6C50" w:rsidRPr="005510BD">
        <w:t xml:space="preserve"> or EEC as it then was)</w:t>
      </w:r>
      <w:r w:rsidR="00781FD9" w:rsidRPr="005510BD">
        <w:t>, as well as the Middle Class Alliance and the People’s League for the Defence of Freedom, which campaigned against post-war economic and social reforms (Green, 1999:26)</w:t>
      </w:r>
      <w:r w:rsidR="006D6C50" w:rsidRPr="005510BD">
        <w:t>.</w:t>
      </w:r>
    </w:p>
    <w:p w:rsidR="006915E1" w:rsidRPr="005510BD" w:rsidRDefault="00E45A12" w:rsidP="00637DDF">
      <w:r w:rsidRPr="005510BD">
        <w:t xml:space="preserve">Irrespective of whether or not crime rates had anything to do with the </w:t>
      </w:r>
      <w:r w:rsidR="004A22B4" w:rsidRPr="005510BD">
        <w:t>content of television programmes, it remains the case the crime rose throughout the 1960s</w:t>
      </w:r>
      <w:r w:rsidR="00030B50" w:rsidRPr="005510BD">
        <w:t xml:space="preserve"> and 1970s (as shown by </w:t>
      </w:r>
      <w:r w:rsidR="00030B50" w:rsidRPr="005510BD">
        <w:lastRenderedPageBreak/>
        <w:t>Figure One</w:t>
      </w:r>
      <w:r w:rsidR="004A22B4" w:rsidRPr="005510BD">
        <w:t xml:space="preserve"> below). The rises became steeper again for periods in the 1970s, 1980s and 1990s, before starting to decline from the early- to mid-1990s. </w:t>
      </w:r>
      <w:r w:rsidR="007C00E9" w:rsidRPr="005510BD">
        <w:t>Alongside the rise in crime were declines in job security</w:t>
      </w:r>
      <w:r w:rsidR="00A262A0" w:rsidRPr="005510BD">
        <w:t xml:space="preserve"> during the 1980s and early 1990s. Working class jobs (and hence communities) were badly affected by the rampant deindustrialisation of the 1980s</w:t>
      </w:r>
      <w:r w:rsidR="00705197" w:rsidRPr="005510BD">
        <w:t xml:space="preserve"> (</w:t>
      </w:r>
      <w:proofErr w:type="spellStart"/>
      <w:r w:rsidR="00705197" w:rsidRPr="005510BD">
        <w:t>Farrall</w:t>
      </w:r>
      <w:proofErr w:type="spellEnd"/>
      <w:r w:rsidR="00705197" w:rsidRPr="005510BD">
        <w:t xml:space="preserve"> et al, 2020</w:t>
      </w:r>
      <w:r w:rsidR="009925BE" w:rsidRPr="005510BD">
        <w:t>a</w:t>
      </w:r>
      <w:r w:rsidR="00705197" w:rsidRPr="005510BD">
        <w:t>)</w:t>
      </w:r>
      <w:r w:rsidR="00A262A0" w:rsidRPr="005510BD">
        <w:t xml:space="preserve">, whilst middle class jobs became insecure (although still available in a way which ‘blue collar’ jobs were not) during the 1990s (Gunn and Bell, 2002:188-189). Tenured university positions – a </w:t>
      </w:r>
      <w:r w:rsidR="00A262A0" w:rsidRPr="005510BD">
        <w:rPr>
          <w:rFonts w:cstheme="minorHAnsi"/>
        </w:rPr>
        <w:t>b</w:t>
      </w:r>
      <w:r w:rsidR="00A52A1A" w:rsidRPr="005510BD">
        <w:rPr>
          <w:rFonts w:cstheme="minorHAnsi"/>
        </w:rPr>
        <w:t>astion of the middle class – were</w:t>
      </w:r>
      <w:r w:rsidR="00A262A0" w:rsidRPr="005510BD">
        <w:rPr>
          <w:rFonts w:cstheme="minorHAnsi"/>
        </w:rPr>
        <w:t xml:space="preserve"> ended </w:t>
      </w:r>
      <w:r w:rsidR="00BB09AB" w:rsidRPr="005510BD">
        <w:rPr>
          <w:rFonts w:cstheme="minorHAnsi"/>
        </w:rPr>
        <w:t>b</w:t>
      </w:r>
      <w:r w:rsidR="00B05CF4" w:rsidRPr="005510BD">
        <w:rPr>
          <w:rFonts w:cstheme="minorHAnsi"/>
        </w:rPr>
        <w:t>y the 1988 Education Reform Act</w:t>
      </w:r>
      <w:r w:rsidR="00A262A0" w:rsidRPr="005510BD">
        <w:rPr>
          <w:rFonts w:cstheme="minorHAnsi"/>
        </w:rPr>
        <w:t>.</w:t>
      </w:r>
    </w:p>
    <w:p w:rsidR="006915E1" w:rsidRPr="005510BD" w:rsidRDefault="006915E1" w:rsidP="00637DDF">
      <w:pPr>
        <w:spacing w:after="0" w:line="240" w:lineRule="auto"/>
        <w:rPr>
          <w:rFonts w:eastAsia="Times New Roman" w:cstheme="minorHAnsi"/>
          <w:lang w:eastAsia="en-GB"/>
        </w:rPr>
      </w:pPr>
      <w:r w:rsidRPr="005510BD">
        <w:rPr>
          <w:rFonts w:eastAsia="Times New Roman" w:cstheme="minorHAnsi"/>
          <w:lang w:eastAsia="en-GB"/>
        </w:rPr>
        <w:t xml:space="preserve">Considering the position of the middle classes, Garland </w:t>
      </w:r>
      <w:r w:rsidR="00937E2A" w:rsidRPr="005510BD">
        <w:rPr>
          <w:rFonts w:eastAsia="Times New Roman" w:cstheme="minorHAnsi"/>
          <w:lang w:eastAsia="en-GB"/>
        </w:rPr>
        <w:t xml:space="preserve">(2000) </w:t>
      </w:r>
      <w:r w:rsidRPr="005510BD">
        <w:rPr>
          <w:rFonts w:eastAsia="Times New Roman" w:cstheme="minorHAnsi"/>
          <w:lang w:eastAsia="en-GB"/>
        </w:rPr>
        <w:t xml:space="preserve">notes they have historically </w:t>
      </w:r>
      <w:r w:rsidR="00637DDF" w:rsidRPr="005510BD">
        <w:rPr>
          <w:rFonts w:eastAsia="Times New Roman" w:cstheme="minorHAnsi"/>
          <w:lang w:eastAsia="en-GB"/>
        </w:rPr>
        <w:t>been insulated f</w:t>
      </w:r>
      <w:r w:rsidRPr="005510BD">
        <w:rPr>
          <w:rFonts w:eastAsia="Times New Roman" w:cstheme="minorHAnsi"/>
          <w:lang w:eastAsia="en-GB"/>
        </w:rPr>
        <w:t xml:space="preserve">rom </w:t>
      </w:r>
      <w:r w:rsidR="00637DDF" w:rsidRPr="005510BD">
        <w:rPr>
          <w:rFonts w:eastAsia="Times New Roman" w:cstheme="minorHAnsi"/>
          <w:lang w:eastAsia="en-GB"/>
        </w:rPr>
        <w:t xml:space="preserve">both </w:t>
      </w:r>
      <w:r w:rsidRPr="005510BD">
        <w:rPr>
          <w:rFonts w:eastAsia="Times New Roman" w:cstheme="minorHAnsi"/>
          <w:lang w:eastAsia="en-GB"/>
        </w:rPr>
        <w:t>crime and insecurity</w:t>
      </w:r>
      <w:r w:rsidR="00BB09AB" w:rsidRPr="005510BD">
        <w:rPr>
          <w:rFonts w:eastAsia="Times New Roman" w:cstheme="minorHAnsi"/>
          <w:lang w:eastAsia="en-GB"/>
        </w:rPr>
        <w:t xml:space="preserve">, </w:t>
      </w:r>
      <w:r w:rsidR="00637DDF" w:rsidRPr="005510BD">
        <w:rPr>
          <w:rFonts w:eastAsia="Times New Roman" w:cstheme="minorHAnsi"/>
          <w:lang w:eastAsia="en-GB"/>
        </w:rPr>
        <w:t>tend</w:t>
      </w:r>
      <w:r w:rsidR="00BB09AB" w:rsidRPr="005510BD">
        <w:rPr>
          <w:rFonts w:eastAsia="Times New Roman" w:cstheme="minorHAnsi"/>
          <w:lang w:eastAsia="en-GB"/>
        </w:rPr>
        <w:t>ing</w:t>
      </w:r>
      <w:r w:rsidR="00637DDF" w:rsidRPr="005510BD">
        <w:rPr>
          <w:rFonts w:eastAsia="Times New Roman" w:cstheme="minorHAnsi"/>
          <w:lang w:eastAsia="en-GB"/>
        </w:rPr>
        <w:t xml:space="preserve"> to </w:t>
      </w:r>
      <w:r w:rsidRPr="005510BD">
        <w:rPr>
          <w:rFonts w:eastAsia="Times New Roman" w:cstheme="minorHAnsi"/>
          <w:lang w:eastAsia="en-GB"/>
        </w:rPr>
        <w:t>occup</w:t>
      </w:r>
      <w:r w:rsidR="00BB09AB" w:rsidRPr="005510BD">
        <w:rPr>
          <w:rFonts w:eastAsia="Times New Roman" w:cstheme="minorHAnsi"/>
          <w:lang w:eastAsia="en-GB"/>
        </w:rPr>
        <w:t>y</w:t>
      </w:r>
      <w:r w:rsidRPr="005510BD">
        <w:rPr>
          <w:rFonts w:eastAsia="Times New Roman" w:cstheme="minorHAnsi"/>
          <w:lang w:eastAsia="en-GB"/>
        </w:rPr>
        <w:t xml:space="preserve"> low-crime areas of </w:t>
      </w:r>
      <w:r w:rsidR="00637DDF" w:rsidRPr="005510BD">
        <w:rPr>
          <w:rFonts w:eastAsia="Times New Roman" w:cstheme="minorHAnsi"/>
          <w:lang w:eastAsia="en-GB"/>
        </w:rPr>
        <w:t>cities. However, t</w:t>
      </w:r>
      <w:r w:rsidRPr="005510BD">
        <w:rPr>
          <w:rFonts w:eastAsia="Times New Roman" w:cstheme="minorHAnsi"/>
          <w:lang w:eastAsia="en-GB"/>
        </w:rPr>
        <w:t>he economic changes wrought by the global d</w:t>
      </w:r>
      <w:r w:rsidR="00637DDF" w:rsidRPr="005510BD">
        <w:rPr>
          <w:rFonts w:eastAsia="Times New Roman" w:cstheme="minorHAnsi"/>
          <w:lang w:eastAsia="en-GB"/>
        </w:rPr>
        <w:t>ownturn of</w:t>
      </w:r>
      <w:r w:rsidRPr="005510BD">
        <w:rPr>
          <w:rFonts w:eastAsia="Times New Roman" w:cstheme="minorHAnsi"/>
          <w:lang w:eastAsia="en-GB"/>
        </w:rPr>
        <w:t xml:space="preserve"> the early</w:t>
      </w:r>
      <w:r w:rsidR="00637DDF" w:rsidRPr="005510BD">
        <w:rPr>
          <w:rFonts w:eastAsia="Times New Roman" w:cstheme="minorHAnsi"/>
          <w:lang w:eastAsia="en-GB"/>
        </w:rPr>
        <w:t>-</w:t>
      </w:r>
      <w:r w:rsidRPr="005510BD">
        <w:rPr>
          <w:rFonts w:eastAsia="Times New Roman" w:cstheme="minorHAnsi"/>
          <w:lang w:eastAsia="en-GB"/>
        </w:rPr>
        <w:t>1970s destroyed middle class</w:t>
      </w:r>
      <w:r w:rsidR="00637DDF" w:rsidRPr="005510BD">
        <w:rPr>
          <w:rFonts w:eastAsia="Times New Roman" w:cstheme="minorHAnsi"/>
          <w:lang w:eastAsia="en-GB"/>
        </w:rPr>
        <w:t xml:space="preserve"> feelings of security</w:t>
      </w:r>
      <w:r w:rsidRPr="005510BD">
        <w:rPr>
          <w:rFonts w:eastAsia="Times New Roman" w:cstheme="minorHAnsi"/>
          <w:lang w:eastAsia="en-GB"/>
        </w:rPr>
        <w:t>. Social and spatial changes that gave rise to high</w:t>
      </w:r>
      <w:r w:rsidR="00A52A1A" w:rsidRPr="005510BD">
        <w:rPr>
          <w:rFonts w:eastAsia="Times New Roman" w:cstheme="minorHAnsi"/>
          <w:lang w:eastAsia="en-GB"/>
        </w:rPr>
        <w:t>er</w:t>
      </w:r>
      <w:r w:rsidRPr="005510BD">
        <w:rPr>
          <w:rFonts w:eastAsia="Times New Roman" w:cstheme="minorHAnsi"/>
          <w:lang w:eastAsia="en-GB"/>
        </w:rPr>
        <w:t xml:space="preserve"> crime rates during the 1960s and the subsequent decades also transformed the middle class experience of crime – or at least their </w:t>
      </w:r>
      <w:r w:rsidRPr="005510BD">
        <w:rPr>
          <w:rFonts w:eastAsia="Times New Roman" w:cstheme="minorHAnsi"/>
          <w:i/>
          <w:lang w:eastAsia="en-GB"/>
        </w:rPr>
        <w:t>perception</w:t>
      </w:r>
      <w:r w:rsidRPr="005510BD">
        <w:rPr>
          <w:rFonts w:eastAsia="Times New Roman" w:cstheme="minorHAnsi"/>
          <w:lang w:eastAsia="en-GB"/>
        </w:rPr>
        <w:t xml:space="preserve"> of their experience of crime</w:t>
      </w:r>
      <w:r w:rsidR="00637DDF" w:rsidRPr="005510BD">
        <w:rPr>
          <w:rFonts w:eastAsia="Times New Roman" w:cstheme="minorHAnsi"/>
          <w:lang w:eastAsia="en-GB"/>
        </w:rPr>
        <w:t xml:space="preserve"> – for they remained relatively inoculated from crime when compared to the working class (</w:t>
      </w:r>
      <w:proofErr w:type="spellStart"/>
      <w:r w:rsidR="00637DDF" w:rsidRPr="005510BD">
        <w:rPr>
          <w:rFonts w:eastAsia="Times New Roman" w:cstheme="minorHAnsi"/>
          <w:lang w:eastAsia="en-GB"/>
        </w:rPr>
        <w:t>Farrall</w:t>
      </w:r>
      <w:proofErr w:type="spellEnd"/>
      <w:r w:rsidR="00637DDF" w:rsidRPr="005510BD">
        <w:rPr>
          <w:rFonts w:eastAsia="Times New Roman" w:cstheme="minorHAnsi"/>
          <w:lang w:eastAsia="en-GB"/>
        </w:rPr>
        <w:t xml:space="preserve"> et al 2016)</w:t>
      </w:r>
      <w:r w:rsidRPr="005510BD">
        <w:rPr>
          <w:rFonts w:eastAsia="Times New Roman" w:cstheme="minorHAnsi"/>
          <w:lang w:eastAsia="en-GB"/>
        </w:rPr>
        <w:t xml:space="preserve">. From being something that normally affected the poor, crime, particularly burglary, increasingly became a daily consideration for the middle class. As Garland put it; </w:t>
      </w:r>
    </w:p>
    <w:p w:rsidR="006915E1" w:rsidRPr="005510BD" w:rsidRDefault="006915E1" w:rsidP="00637DDF">
      <w:pPr>
        <w:spacing w:after="0" w:line="240" w:lineRule="auto"/>
        <w:rPr>
          <w:rFonts w:eastAsia="Times New Roman" w:cstheme="minorHAnsi"/>
          <w:lang w:eastAsia="en-GB"/>
        </w:rPr>
      </w:pPr>
    </w:p>
    <w:p w:rsidR="00E24C51" w:rsidRPr="005510BD" w:rsidRDefault="006915E1" w:rsidP="00637DDF">
      <w:pPr>
        <w:spacing w:after="0" w:line="240" w:lineRule="auto"/>
        <w:ind w:left="567" w:right="651"/>
        <w:rPr>
          <w:rFonts w:eastAsia="Times New Roman" w:cstheme="minorHAnsi"/>
          <w:lang w:eastAsia="en-GB"/>
        </w:rPr>
      </w:pPr>
      <w:r w:rsidRPr="005510BD">
        <w:rPr>
          <w:rFonts w:eastAsia="Times New Roman" w:cstheme="minorHAnsi"/>
          <w:lang w:eastAsia="en-GB"/>
        </w:rPr>
        <w:t>“The group that had been the prime beneficiaries of the post-war consumer boom now found themselves to be more vulnerable than before in the face of the massively increased levels of property crime that this boom brought in its wake. And the tell-tale signs of crime and disorder became more visible in the streets</w:t>
      </w:r>
      <w:r w:rsidR="00BB09AB" w:rsidRPr="005510BD">
        <w:rPr>
          <w:rFonts w:eastAsia="Times New Roman" w:cstheme="minorHAnsi"/>
          <w:lang w:eastAsia="en-GB"/>
        </w:rPr>
        <w:t xml:space="preserve"> -</w:t>
      </w:r>
      <w:r w:rsidRPr="005510BD">
        <w:rPr>
          <w:rFonts w:eastAsia="Times New Roman" w:cstheme="minorHAnsi"/>
          <w:lang w:eastAsia="en-GB"/>
        </w:rPr>
        <w:t xml:space="preserve"> in the form of vandalism and graffiti, the incivility of unsupervised teenagers, or the erratic behaviour of the newly deinstitutionalised mentally ill – fear of crime became an established part of daily existence” (2000:359).</w:t>
      </w:r>
    </w:p>
    <w:p w:rsidR="00E24C51" w:rsidRPr="005510BD" w:rsidRDefault="00E24C51" w:rsidP="00E24C51">
      <w:pPr>
        <w:spacing w:after="0" w:line="240" w:lineRule="auto"/>
        <w:ind w:right="651"/>
        <w:rPr>
          <w:rFonts w:eastAsia="Times New Roman" w:cstheme="minorHAnsi"/>
          <w:lang w:eastAsia="en-GB"/>
        </w:rPr>
      </w:pPr>
    </w:p>
    <w:p w:rsidR="00E24C51" w:rsidRPr="005510BD" w:rsidRDefault="00E24C51" w:rsidP="00E24C51">
      <w:pPr>
        <w:spacing w:after="0" w:line="240" w:lineRule="auto"/>
        <w:ind w:right="651"/>
        <w:rPr>
          <w:rFonts w:eastAsia="Times New Roman" w:cstheme="minorHAnsi"/>
          <w:lang w:eastAsia="en-GB"/>
        </w:rPr>
      </w:pPr>
    </w:p>
    <w:p w:rsidR="00E24C51" w:rsidRPr="005510BD" w:rsidRDefault="00E24C51" w:rsidP="00E24C51">
      <w:r w:rsidRPr="005510BD">
        <w:t>As well as losing the security which came with the concept of ‘jobs for life’, the middle class started to lose other aspects of the post-war settlement from which they and their children benefitted; contributions towards the costs of higher education for middle class children were whittled down and then converted into loans; elderly care (once free within the NHS) now requires reliance upon private nursing homes (which will eat into any inheritance); final salary pension schemes which would once have guaranteed a comfortable retirement are now no longer automatically available for many people, who, encouraged into the marketplace find it full of hazards and ambiguities (</w:t>
      </w:r>
      <w:proofErr w:type="spellStart"/>
      <w:r w:rsidRPr="005510BD">
        <w:t>Farrall</w:t>
      </w:r>
      <w:proofErr w:type="spellEnd"/>
      <w:r w:rsidRPr="005510BD">
        <w:t xml:space="preserve"> and </w:t>
      </w:r>
      <w:proofErr w:type="spellStart"/>
      <w:r w:rsidRPr="005510BD">
        <w:t>Karstedt</w:t>
      </w:r>
      <w:proofErr w:type="spellEnd"/>
      <w:r w:rsidRPr="005510BD">
        <w:t xml:space="preserve">, 2020). At the same time, working hours rose, with 80% of men reporting that they worked in excess of 50hrs a week in 1989 (Gunn and Bell, 2002:203-204). More directly related to matters of routine policing, </w:t>
      </w:r>
      <w:proofErr w:type="spellStart"/>
      <w:r w:rsidRPr="005510BD">
        <w:t>Walklate</w:t>
      </w:r>
      <w:proofErr w:type="spellEnd"/>
      <w:r w:rsidRPr="005510BD">
        <w:t xml:space="preserve"> (2002:306-312) notes, upper middle class residents in England found that their ability to influence local matters (such as day-to-day policing) was swept away by a tide of ‘financial management’ and ‘resource allocation’ which left their local police service unable to continue to pay for a local police station. This situation, and the local police service’s own inability to act differently, left this traditionally powerful and socially engaged section of society with neither a local police officer nor a means of changing this situation. Their resulting anxieties about what the loss of the local police officer meant for crime in their community and their own safety stemmed in part from their dramatic loss of political input into decisions over policing. Where they had once had voice, they now had no input into decision-making. </w:t>
      </w:r>
    </w:p>
    <w:p w:rsidR="00CE31D6" w:rsidRPr="005510BD" w:rsidRDefault="00CE31D6" w:rsidP="00E24C51"/>
    <w:p w:rsidR="00CE31D6" w:rsidRPr="005510BD" w:rsidRDefault="00CE31D6" w:rsidP="00E24C51"/>
    <w:p w:rsidR="00E24C51" w:rsidRPr="005510BD" w:rsidRDefault="00E24C51" w:rsidP="00E24C51">
      <w:pPr>
        <w:spacing w:after="0" w:line="240" w:lineRule="auto"/>
        <w:ind w:right="651"/>
        <w:rPr>
          <w:rFonts w:eastAsia="Times New Roman" w:cstheme="minorHAnsi"/>
          <w:lang w:eastAsia="en-GB"/>
        </w:rPr>
      </w:pPr>
    </w:p>
    <w:p w:rsidR="00937E2A" w:rsidRPr="005510BD" w:rsidRDefault="00937E2A" w:rsidP="00937E2A">
      <w:pPr>
        <w:spacing w:after="120"/>
        <w:jc w:val="center"/>
        <w:rPr>
          <w:b/>
        </w:rPr>
      </w:pPr>
      <w:r w:rsidRPr="005510BD">
        <w:rPr>
          <w:b/>
        </w:rPr>
        <w:lastRenderedPageBreak/>
        <w:t>FIGURE ONE: RECORDED CRIME IN ENGLAND AND WALES, 1960-2010</w:t>
      </w:r>
    </w:p>
    <w:p w:rsidR="00937E2A" w:rsidRPr="005510BD" w:rsidRDefault="00937E2A" w:rsidP="00937E2A">
      <w:r w:rsidRPr="005510BD">
        <w:rPr>
          <w:rFonts w:ascii="Calibri" w:eastAsia="SimSun" w:hAnsi="Calibri" w:cs="Arial"/>
          <w:noProof/>
          <w:lang w:eastAsia="en-GB"/>
        </w:rPr>
        <w:drawing>
          <wp:inline distT="0" distB="0" distL="0" distR="0">
            <wp:extent cx="5731510" cy="4168140"/>
            <wp:effectExtent l="0" t="0" r="2540" b="3810"/>
            <wp:docPr id="1" name="Picture 2" descr="C:\Users\Will\Google Drive\ESRC Project - Crime in the UK\Datasets\PSJ_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Google Drive\ESRC Project - Crime in the UK\Datasets\PSJ_Fig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168140"/>
                    </a:xfrm>
                    <a:prstGeom prst="rect">
                      <a:avLst/>
                    </a:prstGeom>
                    <a:noFill/>
                    <a:ln>
                      <a:noFill/>
                    </a:ln>
                  </pic:spPr>
                </pic:pic>
              </a:graphicData>
            </a:graphic>
          </wp:inline>
        </w:drawing>
      </w:r>
    </w:p>
    <w:p w:rsidR="006915E1" w:rsidRPr="005510BD" w:rsidRDefault="006915E1" w:rsidP="00637DDF">
      <w:pPr>
        <w:tabs>
          <w:tab w:val="left" w:pos="8306"/>
        </w:tabs>
        <w:spacing w:after="0" w:line="240" w:lineRule="auto"/>
        <w:ind w:right="-58"/>
        <w:rPr>
          <w:rFonts w:eastAsia="Times New Roman" w:cstheme="minorHAnsi"/>
          <w:lang w:eastAsia="en-GB"/>
        </w:rPr>
      </w:pPr>
      <w:r w:rsidRPr="005510BD">
        <w:rPr>
          <w:rFonts w:eastAsia="Times New Roman" w:cstheme="minorHAnsi"/>
          <w:lang w:eastAsia="en-GB"/>
        </w:rPr>
        <w:t>T</w:t>
      </w:r>
      <w:r w:rsidR="00E24C51" w:rsidRPr="005510BD">
        <w:rPr>
          <w:rFonts w:eastAsia="Times New Roman" w:cstheme="minorHAnsi"/>
          <w:lang w:eastAsia="en-GB"/>
        </w:rPr>
        <w:t>he above</w:t>
      </w:r>
      <w:r w:rsidR="00937E2A" w:rsidRPr="005510BD">
        <w:rPr>
          <w:rFonts w:eastAsia="Times New Roman" w:cstheme="minorHAnsi"/>
          <w:lang w:eastAsia="en-GB"/>
        </w:rPr>
        <w:t xml:space="preserve"> body of work approaches </w:t>
      </w:r>
      <w:r w:rsidRPr="005510BD">
        <w:rPr>
          <w:rFonts w:eastAsia="Times New Roman" w:cstheme="minorHAnsi"/>
          <w:lang w:eastAsia="en-GB"/>
        </w:rPr>
        <w:t>crime and the fear of crime as a subject through which the middle classes express an array of inter-connected anxieties about the</w:t>
      </w:r>
      <w:r w:rsidR="00937E2A" w:rsidRPr="005510BD">
        <w:rPr>
          <w:rFonts w:eastAsia="Times New Roman" w:cstheme="minorHAnsi"/>
          <w:lang w:eastAsia="en-GB"/>
        </w:rPr>
        <w:t>ir</w:t>
      </w:r>
      <w:r w:rsidRPr="005510BD">
        <w:rPr>
          <w:rFonts w:eastAsia="Times New Roman" w:cstheme="minorHAnsi"/>
          <w:lang w:eastAsia="en-GB"/>
        </w:rPr>
        <w:t xml:space="preserve"> current </w:t>
      </w:r>
      <w:r w:rsidR="000B1700" w:rsidRPr="005510BD">
        <w:rPr>
          <w:rFonts w:eastAsia="Times New Roman" w:cstheme="minorHAnsi"/>
          <w:lang w:eastAsia="en-GB"/>
        </w:rPr>
        <w:t>life-</w:t>
      </w:r>
      <w:r w:rsidRPr="005510BD">
        <w:rPr>
          <w:rFonts w:eastAsia="Times New Roman" w:cstheme="minorHAnsi"/>
          <w:lang w:eastAsia="en-GB"/>
        </w:rPr>
        <w:t>experience</w:t>
      </w:r>
      <w:r w:rsidR="000B1700" w:rsidRPr="005510BD">
        <w:rPr>
          <w:rFonts w:eastAsia="Times New Roman" w:cstheme="minorHAnsi"/>
          <w:lang w:eastAsia="en-GB"/>
        </w:rPr>
        <w:t>s</w:t>
      </w:r>
      <w:r w:rsidRPr="005510BD">
        <w:rPr>
          <w:rFonts w:eastAsia="Times New Roman" w:cstheme="minorHAnsi"/>
          <w:lang w:eastAsia="en-GB"/>
        </w:rPr>
        <w:t>. While the threat of a burglary might be a threat in</w:t>
      </w:r>
      <w:r w:rsidR="000B1700" w:rsidRPr="005510BD">
        <w:rPr>
          <w:rFonts w:eastAsia="Times New Roman" w:cstheme="minorHAnsi"/>
          <w:lang w:eastAsia="en-GB"/>
        </w:rPr>
        <w:t xml:space="preserve"> and of</w:t>
      </w:r>
      <w:r w:rsidRPr="005510BD">
        <w:rPr>
          <w:rFonts w:eastAsia="Times New Roman" w:cstheme="minorHAnsi"/>
          <w:lang w:eastAsia="en-GB"/>
        </w:rPr>
        <w:t xml:space="preserve"> itself, it also signifies what might be called ‘the urban other’ and the threat of social disorder </w:t>
      </w:r>
      <w:r w:rsidR="00937E2A" w:rsidRPr="005510BD">
        <w:rPr>
          <w:rFonts w:eastAsia="Times New Roman" w:cstheme="minorHAnsi"/>
          <w:lang w:eastAsia="en-GB"/>
        </w:rPr>
        <w:t xml:space="preserve">which burglars </w:t>
      </w:r>
      <w:r w:rsidRPr="005510BD">
        <w:rPr>
          <w:rFonts w:eastAsia="Times New Roman" w:cstheme="minorHAnsi"/>
          <w:lang w:eastAsia="en-GB"/>
        </w:rPr>
        <w:t xml:space="preserve">represent. In short, whilst the middle classes remain </w:t>
      </w:r>
      <w:r w:rsidRPr="005510BD">
        <w:rPr>
          <w:rFonts w:eastAsia="Times New Roman" w:cstheme="minorHAnsi"/>
          <w:i/>
          <w:lang w:eastAsia="en-GB"/>
        </w:rPr>
        <w:t>objectively</w:t>
      </w:r>
      <w:r w:rsidRPr="005510BD">
        <w:rPr>
          <w:rFonts w:eastAsia="Times New Roman" w:cstheme="minorHAnsi"/>
          <w:lang w:eastAsia="en-GB"/>
        </w:rPr>
        <w:t xml:space="preserve"> </w:t>
      </w:r>
      <w:r w:rsidR="000B1700" w:rsidRPr="005510BD">
        <w:rPr>
          <w:rFonts w:eastAsia="Times New Roman" w:cstheme="minorHAnsi"/>
          <w:lang w:eastAsia="en-GB"/>
        </w:rPr>
        <w:t xml:space="preserve">less </w:t>
      </w:r>
      <w:r w:rsidRPr="005510BD">
        <w:rPr>
          <w:rFonts w:eastAsia="Times New Roman" w:cstheme="minorHAnsi"/>
          <w:lang w:eastAsia="en-GB"/>
        </w:rPr>
        <w:t>exposed to crime than others in poorer regions or part</w:t>
      </w:r>
      <w:r w:rsidR="000B1700" w:rsidRPr="005510BD">
        <w:rPr>
          <w:rFonts w:eastAsia="Times New Roman" w:cstheme="minorHAnsi"/>
          <w:lang w:eastAsia="en-GB"/>
        </w:rPr>
        <w:t>s</w:t>
      </w:r>
      <w:r w:rsidRPr="005510BD">
        <w:rPr>
          <w:rFonts w:eastAsia="Times New Roman" w:cstheme="minorHAnsi"/>
          <w:lang w:eastAsia="en-GB"/>
        </w:rPr>
        <w:t xml:space="preserve"> of our cities</w:t>
      </w:r>
      <w:r w:rsidR="00937E2A" w:rsidRPr="005510BD">
        <w:rPr>
          <w:rFonts w:eastAsia="Times New Roman" w:cstheme="minorHAnsi"/>
          <w:lang w:eastAsia="en-GB"/>
        </w:rPr>
        <w:t xml:space="preserve"> (</w:t>
      </w:r>
      <w:proofErr w:type="spellStart"/>
      <w:r w:rsidR="00937E2A" w:rsidRPr="005510BD">
        <w:rPr>
          <w:rFonts w:eastAsia="Times New Roman" w:cstheme="minorHAnsi"/>
          <w:lang w:eastAsia="en-GB"/>
        </w:rPr>
        <w:t>Farrall</w:t>
      </w:r>
      <w:proofErr w:type="spellEnd"/>
      <w:r w:rsidR="00937E2A" w:rsidRPr="005510BD">
        <w:rPr>
          <w:rFonts w:eastAsia="Times New Roman" w:cstheme="minorHAnsi"/>
          <w:lang w:eastAsia="en-GB"/>
        </w:rPr>
        <w:t xml:space="preserve"> et al 2016</w:t>
      </w:r>
      <w:r w:rsidRPr="005510BD">
        <w:rPr>
          <w:rFonts w:eastAsia="Times New Roman" w:cstheme="minorHAnsi"/>
          <w:lang w:eastAsia="en-GB"/>
        </w:rPr>
        <w:t xml:space="preserve">), the </w:t>
      </w:r>
      <w:r w:rsidRPr="005510BD">
        <w:rPr>
          <w:rFonts w:eastAsia="Times New Roman" w:cstheme="minorHAnsi"/>
          <w:i/>
          <w:lang w:eastAsia="en-GB"/>
        </w:rPr>
        <w:t>threat</w:t>
      </w:r>
      <w:r w:rsidRPr="005510BD">
        <w:rPr>
          <w:rFonts w:eastAsia="Times New Roman" w:cstheme="minorHAnsi"/>
          <w:lang w:eastAsia="en-GB"/>
        </w:rPr>
        <w:t xml:space="preserve"> of crime and disorder symbolises more than </w:t>
      </w:r>
      <w:r w:rsidRPr="005510BD">
        <w:rPr>
          <w:rFonts w:eastAsia="Times New Roman" w:cstheme="minorHAnsi"/>
          <w:i/>
          <w:lang w:eastAsia="en-GB"/>
        </w:rPr>
        <w:t>an</w:t>
      </w:r>
      <w:r w:rsidRPr="005510BD">
        <w:rPr>
          <w:rFonts w:eastAsia="Times New Roman" w:cstheme="minorHAnsi"/>
          <w:lang w:eastAsia="en-GB"/>
        </w:rPr>
        <w:t xml:space="preserve"> episode of victimisation, but a whole host of meanings about their social, economic and physic position in society. Bauman (2006:130) observes that:</w:t>
      </w:r>
    </w:p>
    <w:p w:rsidR="006915E1" w:rsidRPr="005510BD" w:rsidRDefault="006915E1" w:rsidP="00637DDF">
      <w:pPr>
        <w:tabs>
          <w:tab w:val="left" w:pos="8306"/>
        </w:tabs>
        <w:spacing w:after="0" w:line="240" w:lineRule="auto"/>
        <w:ind w:right="-58"/>
        <w:rPr>
          <w:rFonts w:eastAsia="Times New Roman" w:cstheme="minorHAnsi"/>
          <w:lang w:eastAsia="en-GB"/>
        </w:rPr>
      </w:pPr>
    </w:p>
    <w:p w:rsidR="006915E1" w:rsidRPr="005510BD" w:rsidRDefault="006915E1" w:rsidP="00637DDF">
      <w:pPr>
        <w:spacing w:after="0" w:line="240" w:lineRule="auto"/>
        <w:ind w:left="567" w:right="651"/>
        <w:rPr>
          <w:rFonts w:eastAsia="Times New Roman" w:cstheme="minorHAnsi"/>
          <w:lang w:eastAsia="en-GB"/>
        </w:rPr>
      </w:pPr>
      <w:r w:rsidRPr="005510BD">
        <w:rPr>
          <w:rFonts w:eastAsia="Times New Roman" w:cstheme="minorHAnsi"/>
          <w:lang w:eastAsia="en-GB"/>
        </w:rPr>
        <w:t xml:space="preserve">“It is the people who live in greatest comfort on record, more cosseted and pampered than any other people in history, who feel more threatened, insecure and frightened, more inclined to panic, more passionate about everything related to security and safety than people in most societies past and present.” </w:t>
      </w:r>
    </w:p>
    <w:p w:rsidR="006915E1" w:rsidRPr="005510BD" w:rsidRDefault="006915E1" w:rsidP="00637DDF"/>
    <w:p w:rsidR="007C00E9" w:rsidRPr="005510BD" w:rsidRDefault="007C00E9" w:rsidP="00637DDF">
      <w:r w:rsidRPr="005510BD">
        <w:t xml:space="preserve">Things were, </w:t>
      </w:r>
      <w:r w:rsidR="00937E2A" w:rsidRPr="005510BD">
        <w:t>as one might imagine</w:t>
      </w:r>
      <w:r w:rsidRPr="005510BD">
        <w:t>, even worse for the working class</w:t>
      </w:r>
      <w:r w:rsidR="000B1700" w:rsidRPr="005510BD">
        <w:t xml:space="preserve"> during this period of change</w:t>
      </w:r>
      <w:r w:rsidRPr="005510BD">
        <w:t>. As the 1960s came to an end, so levels of industrial strife increased, with strikes in many sectors of the economy and reductions in the worth of salaries. The headlong assault on the working class and their economic livelihoods witnessed during the 1980s left many who had started their working lives looking forward to a career and respectability for both themselves and their children for the duration of their working lives experiencing strikes, under-employment, redundancy and chronic unemployment. As</w:t>
      </w:r>
      <w:r w:rsidR="00E24C51" w:rsidRPr="005510BD">
        <w:t xml:space="preserve"> heroin moved into the vacuum created by</w:t>
      </w:r>
      <w:r w:rsidRPr="005510BD">
        <w:t xml:space="preserve"> </w:t>
      </w:r>
      <w:proofErr w:type="spellStart"/>
      <w:r w:rsidRPr="005510BD">
        <w:t>worklessness</w:t>
      </w:r>
      <w:proofErr w:type="spellEnd"/>
      <w:r w:rsidR="00A262A0" w:rsidRPr="005510BD">
        <w:t xml:space="preserve"> (Pearson, 198</w:t>
      </w:r>
      <w:r w:rsidR="00FF32E2" w:rsidRPr="005510BD">
        <w:t>7</w:t>
      </w:r>
      <w:r w:rsidR="00A262A0" w:rsidRPr="005510BD">
        <w:t>)</w:t>
      </w:r>
      <w:r w:rsidRPr="005510BD">
        <w:t>, so cohesive communities which were once well-organised and largely ‘self-policing’</w:t>
      </w:r>
      <w:r w:rsidR="00936D8B" w:rsidRPr="005510BD">
        <w:t xml:space="preserve"> started to experience the worst</w:t>
      </w:r>
      <w:r w:rsidRPr="005510BD">
        <w:t xml:space="preserve"> effects of the economic downturn of the 1980s.  </w:t>
      </w:r>
    </w:p>
    <w:p w:rsidR="00F34ABF" w:rsidRPr="005510BD" w:rsidRDefault="00F34ABF">
      <w:r w:rsidRPr="005510BD">
        <w:lastRenderedPageBreak/>
        <w:t xml:space="preserve">In many ways, the murder of James Bulger (a two-year old boy killed by two 10-year old boys in February 1993) was a signal that crime and disorder were out of control and that the UK’s streets were no longer safe places to be. The boys who killed James Bulger, as </w:t>
      </w:r>
      <w:r w:rsidR="00BE1288" w:rsidRPr="005510BD">
        <w:t>the media were keen to point out</w:t>
      </w:r>
      <w:r w:rsidRPr="005510BD">
        <w:t xml:space="preserve">, regularly truanted from school, may have watched violent films at home, came from </w:t>
      </w:r>
      <w:r w:rsidR="00C553BD" w:rsidRPr="005510BD">
        <w:t xml:space="preserve">broken families and were </w:t>
      </w:r>
      <w:r w:rsidR="00BE1288" w:rsidRPr="005510BD">
        <w:t>‘</w:t>
      </w:r>
      <w:r w:rsidR="00C553BD" w:rsidRPr="005510BD">
        <w:t>known to the authorities</w:t>
      </w:r>
      <w:r w:rsidR="00BE1288" w:rsidRPr="005510BD">
        <w:t>’</w:t>
      </w:r>
      <w:r w:rsidR="00C553BD" w:rsidRPr="005510BD">
        <w:t xml:space="preserve">. Their families lived in deprived council-owned housing estates; estates which had been built for the aspirant working class, but which, during the social and economic upheavals of the 1980s, had seen </w:t>
      </w:r>
      <w:r w:rsidR="00BE1288" w:rsidRPr="005510BD">
        <w:t>the</w:t>
      </w:r>
      <w:r w:rsidR="00C553BD" w:rsidRPr="005510BD">
        <w:t xml:space="preserve"> evaporation of employment, social norms and ‘respectability’. The failure which this murder represented therefore was not just a failure of civil society, but was seen as a failure of regulatory authorities (teachers, schools, housing departments, social services, the police, and social workers) to contro</w:t>
      </w:r>
      <w:r w:rsidR="00BE1288" w:rsidRPr="005510BD">
        <w:t>l and deal with these children</w:t>
      </w:r>
      <w:r w:rsidR="00C553BD" w:rsidRPr="005510BD">
        <w:t xml:space="preserve">.  </w:t>
      </w:r>
      <w:r w:rsidRPr="005510BD">
        <w:t xml:space="preserve">   </w:t>
      </w:r>
    </w:p>
    <w:p w:rsidR="00E45A12" w:rsidRPr="005510BD" w:rsidRDefault="009210D2">
      <w:r w:rsidRPr="005510BD">
        <w:t xml:space="preserve">Against these trends, </w:t>
      </w:r>
      <w:r w:rsidR="00BC5E69" w:rsidRPr="005510BD">
        <w:t xml:space="preserve">both in terms of the UK’s global position and the internal dynamics of the UK’s economy, it is hardly surprising that ‘the past’ looked like a rosy place to have been. </w:t>
      </w:r>
      <w:r w:rsidR="00D61D61" w:rsidRPr="005510BD">
        <w:t xml:space="preserve">Indeed, historians have approached </w:t>
      </w:r>
      <w:r w:rsidR="00E24C51" w:rsidRPr="005510BD">
        <w:t xml:space="preserve">Margaret </w:t>
      </w:r>
      <w:r w:rsidR="00D61D61" w:rsidRPr="005510BD">
        <w:t xml:space="preserve">Thatcher’s appeal to the electorate as partly being about the image of the past (in particular the 1930s, Green, 1999:19-20). Gould and Anderson, for example, argue that “the values [Thatcher] admired were those of the inter-war years” (1987:42-3). Keith Joseph </w:t>
      </w:r>
      <w:r w:rsidR="00936D8B" w:rsidRPr="005510BD">
        <w:t>-</w:t>
      </w:r>
      <w:r w:rsidR="00D61D61" w:rsidRPr="005510BD">
        <w:t xml:space="preserve"> one of Thatcher’s closet allies – promoted the idea that the country needed to embrace ‘</w:t>
      </w:r>
      <w:proofErr w:type="spellStart"/>
      <w:r w:rsidR="00D61D61" w:rsidRPr="005510BD">
        <w:t>embourgeoisement</w:t>
      </w:r>
      <w:proofErr w:type="spellEnd"/>
      <w:r w:rsidR="00D61D61" w:rsidRPr="005510BD">
        <w:t>’</w:t>
      </w:r>
      <w:r w:rsidR="002C5218" w:rsidRPr="005510BD">
        <w:t>,</w:t>
      </w:r>
      <w:r w:rsidR="00D61D61" w:rsidRPr="005510BD">
        <w:t xml:space="preserve"> “which went so far in Victorian times and even in the 1930s” (speech to the Centre for Policy Studies in January 1975, quoted in Green, 1999:19-20). </w:t>
      </w:r>
      <w:r w:rsidR="002A2996" w:rsidRPr="005510BD">
        <w:t xml:space="preserve">The image of the </w:t>
      </w:r>
      <w:r w:rsidR="004842AC" w:rsidRPr="005510BD">
        <w:t xml:space="preserve">domestic </w:t>
      </w:r>
      <w:r w:rsidR="002A2996" w:rsidRPr="005510BD">
        <w:t>past</w:t>
      </w:r>
      <w:r w:rsidR="004842AC" w:rsidRPr="005510BD">
        <w:rPr>
          <w:rStyle w:val="FootnoteReference"/>
        </w:rPr>
        <w:footnoteReference w:id="2"/>
      </w:r>
      <w:r w:rsidR="002A2996" w:rsidRPr="005510BD">
        <w:t xml:space="preserve"> which the Thatcher governments promoted during the 1980s and for much of the 1990s was one in which unemployed men ‘got on their bikes and looked for work’, in which business was not held back by red tape and government interference, in which small business men</w:t>
      </w:r>
      <w:r w:rsidR="002A2996" w:rsidRPr="005510BD">
        <w:rPr>
          <w:rStyle w:val="FootnoteReference"/>
        </w:rPr>
        <w:footnoteReference w:id="3"/>
      </w:r>
      <w:r w:rsidR="002A2996" w:rsidRPr="005510BD">
        <w:t xml:space="preserve"> were able to hire and fire as needs dictated and in which cricket was played by white men on freshly-mowed grass in villages in Kent and Surrey.</w:t>
      </w:r>
      <w:r w:rsidR="00D61D61" w:rsidRPr="005510BD">
        <w:t xml:space="preserve"> </w:t>
      </w:r>
      <w:r w:rsidR="002A2996" w:rsidRPr="005510BD">
        <w:t xml:space="preserve"> Christian virtues and morality existed, and the country had not been ‘swamped’ by immigrants (as Thatcher once described it).  </w:t>
      </w:r>
      <w:r w:rsidR="005133F8" w:rsidRPr="005510BD">
        <w:t xml:space="preserve">Social workers had not ‘created a fog in which burglars could operate’, to use one of Margaret Thatcher’s most telling metaphors and punishments for transgressions were swift, physical and effective. During the early-1980s her government ministers talked of “short, sharp shocks” as a way of dealing with miscreant youth, and promoted the idea of ‘the strong arms of the law’ as a deterrent for those considering breaking the law.  </w:t>
      </w:r>
    </w:p>
    <w:p w:rsidR="00E45A12" w:rsidRPr="005510BD" w:rsidRDefault="000D1147">
      <w:r w:rsidRPr="005510BD">
        <w:t xml:space="preserve">More recent studies of specific communities and their feelings about crime and nostalgia can be found in work by </w:t>
      </w:r>
      <w:proofErr w:type="spellStart"/>
      <w:r w:rsidRPr="005510BD">
        <w:t>Girling</w:t>
      </w:r>
      <w:proofErr w:type="spellEnd"/>
      <w:r w:rsidRPr="005510BD">
        <w:t xml:space="preserve"> et al (2000). They note (p10) how “much ‘fea</w:t>
      </w:r>
      <w:r w:rsidR="001311C3" w:rsidRPr="005510BD">
        <w:t>r of crime’ discourse is largel</w:t>
      </w:r>
      <w:r w:rsidRPr="005510BD">
        <w:t>y about the protection of certain places or territories (homes, streets, communities, nations) against incursion, usually seen as coming initially from elsewhere”. Their study notes how the fear of crime is wrapped up with other, harder to grasp feelings of changes in the moral order of society; ‘young people’ are often highlighted during such discourses, with accusations that they ‘lack respect</w:t>
      </w:r>
      <w:r w:rsidR="00A52A1A" w:rsidRPr="005510BD">
        <w:t>’</w:t>
      </w:r>
      <w:r w:rsidRPr="005510BD">
        <w:t>. Such discourses, when explored more deeply are rooted in a sense that there was once a more peaceful, more socially harmonious ‘past’ wh</w:t>
      </w:r>
      <w:r w:rsidR="00BD10D6" w:rsidRPr="005510BD">
        <w:t>ich has now ceased to exist (p92</w:t>
      </w:r>
      <w:r w:rsidRPr="005510BD">
        <w:t xml:space="preserve">). </w:t>
      </w:r>
      <w:r w:rsidR="00BD10D6" w:rsidRPr="005510BD">
        <w:t xml:space="preserve">However, as </w:t>
      </w:r>
      <w:proofErr w:type="spellStart"/>
      <w:r w:rsidR="00BD10D6" w:rsidRPr="005510BD">
        <w:t>Girling</w:t>
      </w:r>
      <w:proofErr w:type="spellEnd"/>
      <w:r w:rsidR="00BD10D6" w:rsidRPr="005510BD">
        <w:t xml:space="preserve"> et al note (2000:92-93) such feelings are not found only amongst the elderly. Nevertheless, the 1960s and changes in school discipline regimes were cited by some in their study as the cause of declines in </w:t>
      </w:r>
      <w:r w:rsidR="00025BC2" w:rsidRPr="005510BD">
        <w:t xml:space="preserve">levels of </w:t>
      </w:r>
      <w:r w:rsidR="00BD10D6" w:rsidRPr="005510BD">
        <w:t xml:space="preserve">respect. However, such concerns were not confined to young people; the police and the ‘better policing’ which, as a community the people </w:t>
      </w:r>
      <w:proofErr w:type="spellStart"/>
      <w:r w:rsidR="00BD10D6" w:rsidRPr="005510BD">
        <w:t>Girling</w:t>
      </w:r>
      <w:proofErr w:type="spellEnd"/>
      <w:r w:rsidR="00BD10D6" w:rsidRPr="005510BD">
        <w:t xml:space="preserve"> et al spoke to, were subject to in the 1940s and 1950s was another common trope (2000:123). Police officers were more respected in the </w:t>
      </w:r>
      <w:r w:rsidR="00BD10D6" w:rsidRPr="005510BD">
        <w:lastRenderedPageBreak/>
        <w:t xml:space="preserve">past, it was claimed by their interviewees (2000:130-131); some of the decline in their position was laid not at the doors of the police, but at “do-gooders” and a more liberal, permissive society.  </w:t>
      </w:r>
      <w:r w:rsidRPr="005510BD">
        <w:t xml:space="preserve"> </w:t>
      </w:r>
    </w:p>
    <w:p w:rsidR="002C5218" w:rsidRPr="005510BD" w:rsidRDefault="002C5218" w:rsidP="002C5218">
      <w:r w:rsidRPr="005510BD">
        <w:t xml:space="preserve">The question we seek to answer herein is the extent to which feelings of nostalgia are associated with fears about crime. In the next section, we outline our methodology, measurement and analytic strategy before presenting our analyses and concluding with a general discussion. </w:t>
      </w:r>
    </w:p>
    <w:p w:rsidR="000C02E0" w:rsidRPr="005510BD" w:rsidRDefault="000C02E0" w:rsidP="002C5218"/>
    <w:p w:rsidR="00902ACF" w:rsidRPr="005510BD" w:rsidRDefault="00054CCF" w:rsidP="00902ACF">
      <w:pPr>
        <w:jc w:val="center"/>
        <w:rPr>
          <w:b/>
        </w:rPr>
      </w:pPr>
      <w:r w:rsidRPr="005510BD">
        <w:rPr>
          <w:b/>
        </w:rPr>
        <w:t xml:space="preserve">Methodology, </w:t>
      </w:r>
      <w:r w:rsidR="0010600C" w:rsidRPr="005510BD">
        <w:rPr>
          <w:b/>
        </w:rPr>
        <w:t xml:space="preserve">Conceptualisation, </w:t>
      </w:r>
      <w:r w:rsidRPr="005510BD">
        <w:rPr>
          <w:b/>
        </w:rPr>
        <w:t xml:space="preserve">Measurement and </w:t>
      </w:r>
      <w:r w:rsidR="00902ACF" w:rsidRPr="005510BD">
        <w:rPr>
          <w:b/>
        </w:rPr>
        <w:t>Analytic Strategy</w:t>
      </w:r>
    </w:p>
    <w:p w:rsidR="00902ACF" w:rsidRPr="005510BD" w:rsidRDefault="00902ACF" w:rsidP="00902ACF">
      <w:r w:rsidRPr="005510BD">
        <w:t>Our data comes from an online survey commissioned to assess the contemporary relevance of Thatcherite values and ideology on the 40</w:t>
      </w:r>
      <w:r w:rsidRPr="005510BD">
        <w:rPr>
          <w:vertAlign w:val="superscript"/>
        </w:rPr>
        <w:t>th</w:t>
      </w:r>
      <w:r w:rsidRPr="005510BD">
        <w:t xml:space="preserve"> anniversary of the 1979 General Election</w:t>
      </w:r>
      <w:r w:rsidR="002C5218" w:rsidRPr="005510BD">
        <w:t xml:space="preserve"> (n=5,781)</w:t>
      </w:r>
      <w:r w:rsidRPr="005510BD">
        <w:t>.  It gathered responses from a representative sample of citizens aged over 16 living in Britain, and was conducted in January and February 2019 by BMG Research. The survey had a non-completion rate of 34%.</w:t>
      </w:r>
      <w:r w:rsidRPr="005510BD">
        <w:rPr>
          <w:vertAlign w:val="superscript"/>
        </w:rPr>
        <w:footnoteReference w:id="4"/>
      </w:r>
      <w:r w:rsidRPr="005510BD">
        <w:t xml:space="preserve">  </w:t>
      </w:r>
      <w:r w:rsidR="003E569D" w:rsidRPr="005510BD">
        <w:t xml:space="preserve">Basic data on key demographic variables is presented in the Appendix. </w:t>
      </w:r>
      <w:r w:rsidRPr="005510BD">
        <w:t xml:space="preserve">Many (although not all) survey items were designed by the authors, following two rounds of cognitive interviewing, two </w:t>
      </w:r>
      <w:r w:rsidR="002C5218" w:rsidRPr="005510BD">
        <w:t>survey</w:t>
      </w:r>
      <w:r w:rsidRPr="005510BD">
        <w:t xml:space="preserve"> experiments and a pilot survey during 2018.  These were undertaken to refine key aspects of the items used and to facilitate a reflective discussion of potential question wordings. </w:t>
      </w:r>
    </w:p>
    <w:p w:rsidR="006A5D52" w:rsidRPr="005510BD" w:rsidRDefault="006A5D52" w:rsidP="00902ACF"/>
    <w:p w:rsidR="00794B2E" w:rsidRPr="005510BD" w:rsidRDefault="00794B2E" w:rsidP="00902ACF">
      <w:pPr>
        <w:rPr>
          <w:i/>
        </w:rPr>
      </w:pPr>
      <w:r w:rsidRPr="005510BD">
        <w:rPr>
          <w:i/>
        </w:rPr>
        <w:t xml:space="preserve">Conceptualising </w:t>
      </w:r>
      <w:r w:rsidR="00F83F9F" w:rsidRPr="005510BD">
        <w:rPr>
          <w:i/>
        </w:rPr>
        <w:t>‘Expressive’ Fear of Crime</w:t>
      </w:r>
    </w:p>
    <w:p w:rsidR="000A6100" w:rsidRPr="005510BD" w:rsidRDefault="000A6100" w:rsidP="000A6100">
      <w:pPr>
        <w:rPr>
          <w:iCs/>
          <w:color w:val="000000" w:themeColor="text1"/>
        </w:rPr>
      </w:pPr>
      <w:r w:rsidRPr="005510BD">
        <w:rPr>
          <w:iCs/>
          <w:color w:val="000000" w:themeColor="text1"/>
        </w:rPr>
        <w:t>Our approach to conceptualising the fear of crime follows the work of collea</w:t>
      </w:r>
      <w:r w:rsidR="00561857" w:rsidRPr="005510BD">
        <w:rPr>
          <w:iCs/>
          <w:color w:val="000000" w:themeColor="text1"/>
        </w:rPr>
        <w:t xml:space="preserve">gues such as Taylor and Jamieson (1998), </w:t>
      </w:r>
      <w:proofErr w:type="spellStart"/>
      <w:r w:rsidR="00561857" w:rsidRPr="005510BD">
        <w:rPr>
          <w:iCs/>
          <w:color w:val="000000" w:themeColor="text1"/>
        </w:rPr>
        <w:t>Girling</w:t>
      </w:r>
      <w:proofErr w:type="spellEnd"/>
      <w:r w:rsidR="00561857" w:rsidRPr="005510BD">
        <w:rPr>
          <w:iCs/>
          <w:color w:val="000000" w:themeColor="text1"/>
        </w:rPr>
        <w:t xml:space="preserve"> et al (2000) and </w:t>
      </w:r>
      <w:proofErr w:type="spellStart"/>
      <w:r w:rsidR="00561857" w:rsidRPr="005510BD">
        <w:rPr>
          <w:iCs/>
          <w:color w:val="000000" w:themeColor="text1"/>
        </w:rPr>
        <w:t>Farrall</w:t>
      </w:r>
      <w:proofErr w:type="spellEnd"/>
      <w:r w:rsidR="00561857" w:rsidRPr="005510BD">
        <w:rPr>
          <w:iCs/>
          <w:color w:val="000000" w:themeColor="text1"/>
        </w:rPr>
        <w:t xml:space="preserve"> et al (2009) who approach the fear of crime as being about subjects beyond the confines of crime and safety. </w:t>
      </w:r>
      <w:r w:rsidR="00025BC2" w:rsidRPr="005510BD">
        <w:rPr>
          <w:iCs/>
          <w:color w:val="000000" w:themeColor="text1"/>
        </w:rPr>
        <w:t>As Sparks et al</w:t>
      </w:r>
      <w:r w:rsidRPr="005510BD">
        <w:rPr>
          <w:iCs/>
          <w:color w:val="000000" w:themeColor="text1"/>
        </w:rPr>
        <w:t xml:space="preserve"> (2001) note, discourses about crime are a pertinent arena in which to assess the impacts of social and political changes on people’s everyday lives. The fear of crime is thus grounded in people’s senses of location and their appraisal and interpretation of their immediate environments: </w:t>
      </w:r>
    </w:p>
    <w:p w:rsidR="000A6100" w:rsidRPr="005510BD" w:rsidRDefault="000A6100" w:rsidP="000A6100">
      <w:pPr>
        <w:ind w:left="720"/>
        <w:rPr>
          <w:iCs/>
          <w:color w:val="000000" w:themeColor="text1"/>
        </w:rPr>
      </w:pPr>
      <w:r w:rsidRPr="005510BD">
        <w:rPr>
          <w:iCs/>
          <w:color w:val="000000" w:themeColor="text1"/>
        </w:rPr>
        <w:t xml:space="preserve">“… crime works in everyday life as a cultural theme and token of political exchange; it serves to condense, and make intelligible, a variety of more difficult to grasp troubles and insecurities—something that tends to blur the boundary between worries about crime and other kinds of anxiety and concern. In speaking of crime, people routinely register its entanglement with other aspects of economic, social and moral life; attribute responsibility and blame; demand accountability and justice; and draw lines of affiliation and distance between ‘us’ and various categories of ‘them’. In short, ‘fear of crime’ research is at its most illuminating when it addresses the various sources of in/security that pervade people’s lives (and the relationship between them) and when it makes explicit (rather than suppresses) the connections that the ‘crime-related’ anxieties of </w:t>
      </w:r>
      <w:r w:rsidR="00B021F3" w:rsidRPr="005510BD">
        <w:rPr>
          <w:iCs/>
          <w:color w:val="000000" w:themeColor="text1"/>
        </w:rPr>
        <w:t>citizens have with social confl</w:t>
      </w:r>
      <w:r w:rsidRPr="005510BD">
        <w:rPr>
          <w:iCs/>
          <w:color w:val="000000" w:themeColor="text1"/>
        </w:rPr>
        <w:t xml:space="preserve">ict and division, social justice and solidarity.” (2001: 895–6) </w:t>
      </w:r>
    </w:p>
    <w:p w:rsidR="000A6100" w:rsidRPr="005510BD" w:rsidRDefault="000A6100" w:rsidP="000A6100">
      <w:pPr>
        <w:rPr>
          <w:iCs/>
          <w:color w:val="000000" w:themeColor="text1"/>
        </w:rPr>
      </w:pPr>
      <w:r w:rsidRPr="005510BD">
        <w:rPr>
          <w:iCs/>
          <w:color w:val="000000" w:themeColor="text1"/>
        </w:rPr>
        <w:lastRenderedPageBreak/>
        <w:t xml:space="preserve">Sparks similarly argues that </w:t>
      </w:r>
    </w:p>
    <w:p w:rsidR="000A6100" w:rsidRPr="005510BD" w:rsidRDefault="000A6100" w:rsidP="000A6100">
      <w:pPr>
        <w:ind w:left="720"/>
        <w:rPr>
          <w:iCs/>
          <w:color w:val="000000" w:themeColor="text1"/>
        </w:rPr>
      </w:pPr>
      <w:r w:rsidRPr="005510BD">
        <w:rPr>
          <w:iCs/>
          <w:color w:val="000000" w:themeColor="text1"/>
        </w:rPr>
        <w:t xml:space="preserve">“people’s worries and talk about crime are rarely merely a reflection of behavioural change and ‘objective’ risk (although they represent lay attempts to make sense of such changes and risks), but are also ‘bound up in a context of meaning and significance, involving the use of metaphors and narratives about social change.” (1992b:131) </w:t>
      </w:r>
    </w:p>
    <w:p w:rsidR="000A6100" w:rsidRPr="005510BD" w:rsidRDefault="000A6100" w:rsidP="000A6100">
      <w:pPr>
        <w:rPr>
          <w:iCs/>
          <w:color w:val="000000" w:themeColor="text1"/>
        </w:rPr>
      </w:pPr>
    </w:p>
    <w:p w:rsidR="000A6100" w:rsidRPr="005510BD" w:rsidRDefault="000A6100" w:rsidP="000A6100">
      <w:pPr>
        <w:rPr>
          <w:iCs/>
          <w:color w:val="000000" w:themeColor="text1"/>
        </w:rPr>
      </w:pPr>
      <w:r w:rsidRPr="005510BD">
        <w:rPr>
          <w:iCs/>
          <w:color w:val="000000" w:themeColor="text1"/>
        </w:rPr>
        <w:t xml:space="preserve">The approached adopted by </w:t>
      </w:r>
      <w:proofErr w:type="spellStart"/>
      <w:r w:rsidRPr="005510BD">
        <w:rPr>
          <w:iCs/>
          <w:color w:val="000000" w:themeColor="text1"/>
        </w:rPr>
        <w:t>Farrall</w:t>
      </w:r>
      <w:proofErr w:type="spellEnd"/>
      <w:r w:rsidRPr="005510BD">
        <w:rPr>
          <w:iCs/>
          <w:color w:val="000000" w:themeColor="text1"/>
        </w:rPr>
        <w:t xml:space="preserve"> et al (2009</w:t>
      </w:r>
      <w:r w:rsidR="00025BC2" w:rsidRPr="005510BD">
        <w:rPr>
          <w:iCs/>
          <w:color w:val="000000" w:themeColor="text1"/>
        </w:rPr>
        <w:t>:79</w:t>
      </w:r>
      <w:r w:rsidRPr="005510BD">
        <w:rPr>
          <w:iCs/>
          <w:color w:val="000000" w:themeColor="text1"/>
        </w:rPr>
        <w:t>) is very similar to thinking expressed by Sparks and his colleagues</w:t>
      </w:r>
      <w:r w:rsidR="00561857" w:rsidRPr="005510BD">
        <w:rPr>
          <w:iCs/>
          <w:color w:val="000000" w:themeColor="text1"/>
        </w:rPr>
        <w:t>. They argue that ‘expressive’ fears (as opposed to experiential fears) are a</w:t>
      </w:r>
      <w:r w:rsidRPr="005510BD">
        <w:rPr>
          <w:iCs/>
          <w:color w:val="000000" w:themeColor="text1"/>
        </w:rPr>
        <w:t xml:space="preserve">: </w:t>
      </w:r>
    </w:p>
    <w:p w:rsidR="000A6100" w:rsidRPr="005510BD" w:rsidRDefault="000A6100" w:rsidP="000A6100">
      <w:pPr>
        <w:ind w:left="720"/>
        <w:rPr>
          <w:iCs/>
          <w:color w:val="000000" w:themeColor="text1"/>
        </w:rPr>
      </w:pPr>
      <w:r w:rsidRPr="005510BD">
        <w:rPr>
          <w:iCs/>
          <w:color w:val="000000" w:themeColor="text1"/>
        </w:rPr>
        <w:t>“</w:t>
      </w:r>
      <w:r w:rsidR="00561857" w:rsidRPr="005510BD">
        <w:rPr>
          <w:iCs/>
          <w:color w:val="000000" w:themeColor="text1"/>
        </w:rPr>
        <w:t xml:space="preserve">… </w:t>
      </w:r>
      <w:r w:rsidRPr="005510BD">
        <w:rPr>
          <w:iCs/>
          <w:color w:val="000000" w:themeColor="text1"/>
        </w:rPr>
        <w:t>set of feelings which are orientated towards the problem of crime for society. These are quite separate emotionally from one’s own experiences, but possibly strongly linked to them on an experiential level. One’s own victimization experiences do not dictate whether or not one will perceive crime as a problem for society (although, as these experiences accumulate, so they increase the chances that crime will be perceived as a serious problem) since even those who have experienced relatively little victimization will have an opinion about the</w:t>
      </w:r>
      <w:r w:rsidR="00025BC2" w:rsidRPr="005510BD">
        <w:rPr>
          <w:iCs/>
          <w:color w:val="000000" w:themeColor="text1"/>
        </w:rPr>
        <w:t xml:space="preserve"> problem of crime for society.”</w:t>
      </w:r>
    </w:p>
    <w:p w:rsidR="00561857" w:rsidRPr="005510BD" w:rsidRDefault="00561857" w:rsidP="00561857">
      <w:pPr>
        <w:rPr>
          <w:iCs/>
          <w:color w:val="000000" w:themeColor="text1"/>
        </w:rPr>
      </w:pPr>
      <w:r w:rsidRPr="005510BD">
        <w:rPr>
          <w:iCs/>
          <w:color w:val="000000" w:themeColor="text1"/>
        </w:rPr>
        <w:t>They go on to add that</w:t>
      </w:r>
    </w:p>
    <w:p w:rsidR="000A6100" w:rsidRPr="005510BD" w:rsidRDefault="00561857" w:rsidP="000A6100">
      <w:pPr>
        <w:ind w:left="720"/>
        <w:rPr>
          <w:iCs/>
          <w:color w:val="000000" w:themeColor="text1"/>
        </w:rPr>
      </w:pPr>
      <w:r w:rsidRPr="005510BD">
        <w:rPr>
          <w:iCs/>
          <w:color w:val="000000" w:themeColor="text1"/>
        </w:rPr>
        <w:t xml:space="preserve"> </w:t>
      </w:r>
      <w:r w:rsidR="000A6100" w:rsidRPr="005510BD">
        <w:rPr>
          <w:iCs/>
          <w:color w:val="000000" w:themeColor="text1"/>
        </w:rPr>
        <w:t>“</w:t>
      </w:r>
      <w:r w:rsidRPr="005510BD">
        <w:rPr>
          <w:iCs/>
          <w:color w:val="000000" w:themeColor="text1"/>
        </w:rPr>
        <w:t xml:space="preserve">… </w:t>
      </w:r>
      <w:r w:rsidR="000A6100" w:rsidRPr="005510BD">
        <w:rPr>
          <w:iCs/>
          <w:color w:val="000000" w:themeColor="text1"/>
        </w:rPr>
        <w:t>expressive fear is less grounded in day-to-day life, less concerned with the specific details of time and place, and more akin to a set of attitudes or opinions which are brought forth when people are asked to discuss their feelings about crime (a process we have referred to as the invocation of attitude). As such, expressive knowledge may consist of beliefs, perceptions, or attitudes that one has concerning the cultural meaning of crime, social relations, and environmental cues.” (</w:t>
      </w:r>
      <w:r w:rsidR="00025BC2" w:rsidRPr="005510BD">
        <w:rPr>
          <w:iCs/>
          <w:color w:val="000000" w:themeColor="text1"/>
        </w:rPr>
        <w:t xml:space="preserve">page </w:t>
      </w:r>
      <w:r w:rsidR="000A6100" w:rsidRPr="005510BD">
        <w:rPr>
          <w:iCs/>
          <w:color w:val="000000" w:themeColor="text1"/>
        </w:rPr>
        <w:t>153).</w:t>
      </w:r>
    </w:p>
    <w:p w:rsidR="000A6100" w:rsidRPr="005510BD" w:rsidRDefault="00561857" w:rsidP="00561857">
      <w:pPr>
        <w:rPr>
          <w:iCs/>
          <w:color w:val="000000" w:themeColor="text1"/>
        </w:rPr>
      </w:pPr>
      <w:r w:rsidRPr="005510BD">
        <w:rPr>
          <w:iCs/>
          <w:color w:val="000000" w:themeColor="text1"/>
        </w:rPr>
        <w:t xml:space="preserve">Such fears, as </w:t>
      </w:r>
      <w:proofErr w:type="spellStart"/>
      <w:r w:rsidRPr="005510BD">
        <w:rPr>
          <w:iCs/>
          <w:color w:val="000000" w:themeColor="text1"/>
        </w:rPr>
        <w:t>Farrall</w:t>
      </w:r>
      <w:proofErr w:type="spellEnd"/>
      <w:r w:rsidRPr="005510BD">
        <w:rPr>
          <w:iCs/>
          <w:color w:val="000000" w:themeColor="text1"/>
        </w:rPr>
        <w:t xml:space="preserve"> et al (2009) conceptualise them</w:t>
      </w:r>
      <w:r w:rsidR="00B021F3" w:rsidRPr="005510BD">
        <w:rPr>
          <w:iCs/>
          <w:color w:val="000000" w:themeColor="text1"/>
        </w:rPr>
        <w:t>,</w:t>
      </w:r>
      <w:r w:rsidRPr="005510BD">
        <w:rPr>
          <w:iCs/>
          <w:color w:val="000000" w:themeColor="text1"/>
        </w:rPr>
        <w:t xml:space="preserve"> speak to the ways in which people make sense of social and economic change and the ‘</w:t>
      </w:r>
      <w:proofErr w:type="spellStart"/>
      <w:r w:rsidRPr="005510BD">
        <w:rPr>
          <w:iCs/>
          <w:color w:val="000000" w:themeColor="text1"/>
        </w:rPr>
        <w:t>troublesomeness</w:t>
      </w:r>
      <w:proofErr w:type="spellEnd"/>
      <w:r w:rsidRPr="005510BD">
        <w:rPr>
          <w:iCs/>
          <w:color w:val="000000" w:themeColor="text1"/>
        </w:rPr>
        <w:t>’ of such changes:</w:t>
      </w:r>
    </w:p>
    <w:p w:rsidR="000A6100" w:rsidRPr="005510BD" w:rsidRDefault="000A6100" w:rsidP="000A6100">
      <w:pPr>
        <w:ind w:left="720"/>
        <w:rPr>
          <w:iCs/>
          <w:color w:val="000000" w:themeColor="text1"/>
        </w:rPr>
      </w:pPr>
      <w:r w:rsidRPr="005510BD">
        <w:rPr>
          <w:iCs/>
          <w:color w:val="000000" w:themeColor="text1"/>
        </w:rPr>
        <w:t xml:space="preserve">“This dimension of the fear of crime we call expressive because it </w:t>
      </w:r>
      <w:r w:rsidR="00561857" w:rsidRPr="005510BD">
        <w:rPr>
          <w:iCs/>
          <w:color w:val="000000" w:themeColor="text1"/>
        </w:rPr>
        <w:t>…</w:t>
      </w:r>
      <w:r w:rsidRPr="005510BD">
        <w:rPr>
          <w:iCs/>
          <w:color w:val="000000" w:themeColor="text1"/>
        </w:rPr>
        <w:t xml:space="preserve"> encapsulates a general sense of uneasiness on their part. In many cases, we feel, this sense of uneasiness is not directly related to crime, but is an expression of wider concerns about the state of society today.” (</w:t>
      </w:r>
      <w:r w:rsidR="0044544B" w:rsidRPr="005510BD">
        <w:rPr>
          <w:iCs/>
          <w:color w:val="000000" w:themeColor="text1"/>
        </w:rPr>
        <w:t xml:space="preserve">page </w:t>
      </w:r>
      <w:r w:rsidRPr="005510BD">
        <w:rPr>
          <w:iCs/>
          <w:color w:val="000000" w:themeColor="text1"/>
        </w:rPr>
        <w:t>232).</w:t>
      </w:r>
    </w:p>
    <w:p w:rsidR="00561857" w:rsidRPr="005510BD" w:rsidRDefault="00561857" w:rsidP="00561857">
      <w:pPr>
        <w:rPr>
          <w:iCs/>
          <w:color w:val="000000" w:themeColor="text1"/>
        </w:rPr>
      </w:pPr>
      <w:r w:rsidRPr="005510BD">
        <w:rPr>
          <w:iCs/>
          <w:color w:val="000000" w:themeColor="text1"/>
        </w:rPr>
        <w:t xml:space="preserve">The following quotes – which come from </w:t>
      </w:r>
      <w:proofErr w:type="spellStart"/>
      <w:r w:rsidRPr="005510BD">
        <w:rPr>
          <w:iCs/>
          <w:color w:val="000000" w:themeColor="text1"/>
        </w:rPr>
        <w:t>Farrall</w:t>
      </w:r>
      <w:proofErr w:type="spellEnd"/>
      <w:r w:rsidRPr="005510BD">
        <w:rPr>
          <w:iCs/>
          <w:color w:val="000000" w:themeColor="text1"/>
        </w:rPr>
        <w:t xml:space="preserve"> et al (2009) and their studies of the fear of crime in England &amp; Wales and Scotland – speak to the ways in which the fear of crime is associated with not just crime and policing, but with social and economic change, experienced both locally and globally</w:t>
      </w:r>
      <w:r w:rsidR="003C6B88" w:rsidRPr="005510BD">
        <w:rPr>
          <w:iCs/>
          <w:color w:val="000000" w:themeColor="text1"/>
        </w:rPr>
        <w:t xml:space="preserve"> (emphasis added)</w:t>
      </w:r>
      <w:r w:rsidRPr="005510BD">
        <w:rPr>
          <w:iCs/>
          <w:color w:val="000000" w:themeColor="text1"/>
        </w:rPr>
        <w:t xml:space="preserve">:  </w:t>
      </w:r>
    </w:p>
    <w:p w:rsidR="000A6100" w:rsidRPr="005510BD" w:rsidRDefault="000A6100" w:rsidP="000A6100">
      <w:pPr>
        <w:ind w:left="720"/>
        <w:rPr>
          <w:iCs/>
          <w:color w:val="000000" w:themeColor="text1"/>
        </w:rPr>
      </w:pPr>
      <w:r w:rsidRPr="005510BD">
        <w:rPr>
          <w:iCs/>
          <w:color w:val="000000" w:themeColor="text1"/>
        </w:rPr>
        <w:t xml:space="preserve">“I would say I was more, concerned with the cause than the whole structure of . . . what seems to be, </w:t>
      </w:r>
      <w:proofErr w:type="spellStart"/>
      <w:r w:rsidRPr="005510BD">
        <w:rPr>
          <w:iCs/>
          <w:color w:val="000000" w:themeColor="text1"/>
        </w:rPr>
        <w:t>er</w:t>
      </w:r>
      <w:proofErr w:type="spellEnd"/>
      <w:r w:rsidRPr="005510BD">
        <w:rPr>
          <w:iCs/>
          <w:color w:val="000000" w:themeColor="text1"/>
        </w:rPr>
        <w:t xml:space="preserve">, causing crime to be on the increase . . . and to my mind it’s not just </w:t>
      </w:r>
      <w:r w:rsidRPr="005510BD">
        <w:rPr>
          <w:i/>
          <w:iCs/>
          <w:color w:val="000000" w:themeColor="text1"/>
        </w:rPr>
        <w:t>parental control</w:t>
      </w:r>
      <w:r w:rsidRPr="005510BD">
        <w:rPr>
          <w:iCs/>
          <w:color w:val="000000" w:themeColor="text1"/>
        </w:rPr>
        <w:t xml:space="preserve">, drugs, violence on television, lack of control by, oh, </w:t>
      </w:r>
      <w:r w:rsidRPr="005510BD">
        <w:rPr>
          <w:i/>
          <w:iCs/>
          <w:color w:val="000000" w:themeColor="text1"/>
        </w:rPr>
        <w:t>schools being allowed to control, having discipline</w:t>
      </w:r>
      <w:r w:rsidRPr="005510BD">
        <w:rPr>
          <w:iCs/>
          <w:color w:val="000000" w:themeColor="text1"/>
        </w:rPr>
        <w:t>. I think it’s a combination of all these factors, plus the limitations that some of the courts have and, in anybody that does commit anyone who is put on probation, not probation, what is the word when they’re waiting for trial again . . . [SF: remand]. Remand, that’s right, the real danger of remand and let out on bail, pending a court case, they’ve picked up new tricks . . . I think what judges are allowed to mete out in terms of punishment, the quality of punishments for certain c</w:t>
      </w:r>
      <w:r w:rsidR="00107A53" w:rsidRPr="005510BD">
        <w:rPr>
          <w:iCs/>
          <w:color w:val="000000" w:themeColor="text1"/>
        </w:rPr>
        <w:t>rimes. Especially in case of fi</w:t>
      </w:r>
      <w:r w:rsidRPr="005510BD">
        <w:rPr>
          <w:iCs/>
          <w:color w:val="000000" w:themeColor="text1"/>
        </w:rPr>
        <w:t>rearms where, and for the elderly where they get, beaten up and things like that”. (</w:t>
      </w:r>
      <w:r w:rsidR="0044544B" w:rsidRPr="005510BD">
        <w:rPr>
          <w:iCs/>
          <w:color w:val="000000" w:themeColor="text1"/>
        </w:rPr>
        <w:t xml:space="preserve">page </w:t>
      </w:r>
      <w:r w:rsidRPr="005510BD">
        <w:rPr>
          <w:iCs/>
          <w:color w:val="000000" w:themeColor="text1"/>
        </w:rPr>
        <w:t>75-76).</w:t>
      </w:r>
    </w:p>
    <w:p w:rsidR="000A6100" w:rsidRPr="005510BD" w:rsidRDefault="000A6100" w:rsidP="000A6100">
      <w:pPr>
        <w:ind w:left="720"/>
        <w:rPr>
          <w:iCs/>
          <w:color w:val="000000" w:themeColor="text1"/>
        </w:rPr>
      </w:pPr>
      <w:r w:rsidRPr="005510BD">
        <w:rPr>
          <w:iCs/>
          <w:color w:val="000000" w:themeColor="text1"/>
        </w:rPr>
        <w:lastRenderedPageBreak/>
        <w:t xml:space="preserve">“I remember </w:t>
      </w:r>
      <w:r w:rsidRPr="005510BD">
        <w:rPr>
          <w:i/>
          <w:iCs/>
          <w:color w:val="000000" w:themeColor="text1"/>
        </w:rPr>
        <w:t>years ago</w:t>
      </w:r>
      <w:r w:rsidRPr="005510BD">
        <w:rPr>
          <w:iCs/>
          <w:color w:val="000000" w:themeColor="text1"/>
        </w:rPr>
        <w:t>, there wasn’t many drugs over he</w:t>
      </w:r>
      <w:r w:rsidR="00107A53" w:rsidRPr="005510BD">
        <w:rPr>
          <w:iCs/>
          <w:color w:val="000000" w:themeColor="text1"/>
        </w:rPr>
        <w:t>re. It was all like glue sniffi</w:t>
      </w:r>
      <w:r w:rsidRPr="005510BD">
        <w:rPr>
          <w:iCs/>
          <w:color w:val="000000" w:themeColor="text1"/>
        </w:rPr>
        <w:t>ng and stuff like that. And you only got walk around the corner now and you can ask someone for a bit of gear, they’ll give you what you want. And I don’t want my kids growing up in that sort of shit.” (</w:t>
      </w:r>
      <w:r w:rsidR="0044544B" w:rsidRPr="005510BD">
        <w:rPr>
          <w:iCs/>
          <w:color w:val="000000" w:themeColor="text1"/>
        </w:rPr>
        <w:t xml:space="preserve">page </w:t>
      </w:r>
      <w:r w:rsidRPr="005510BD">
        <w:rPr>
          <w:iCs/>
          <w:color w:val="000000" w:themeColor="text1"/>
        </w:rPr>
        <w:t>154)</w:t>
      </w:r>
    </w:p>
    <w:p w:rsidR="000A6100" w:rsidRPr="005510BD" w:rsidRDefault="000A6100" w:rsidP="000A6100">
      <w:pPr>
        <w:ind w:left="720"/>
        <w:rPr>
          <w:iCs/>
          <w:color w:val="000000" w:themeColor="text1"/>
        </w:rPr>
      </w:pPr>
      <w:r w:rsidRPr="005510BD">
        <w:rPr>
          <w:iCs/>
          <w:color w:val="000000" w:themeColor="text1"/>
        </w:rPr>
        <w:t xml:space="preserve">“I think everyone needs to have a certain </w:t>
      </w:r>
      <w:r w:rsidRPr="005510BD">
        <w:rPr>
          <w:i/>
          <w:iCs/>
          <w:color w:val="000000" w:themeColor="text1"/>
        </w:rPr>
        <w:t>respect and for law</w:t>
      </w:r>
      <w:r w:rsidRPr="005510BD">
        <w:rPr>
          <w:iCs/>
          <w:color w:val="000000" w:themeColor="text1"/>
        </w:rPr>
        <w:t xml:space="preserve">, the police, for parents, for elder people. And I think that has </w:t>
      </w:r>
      <w:r w:rsidRPr="005510BD">
        <w:rPr>
          <w:i/>
          <w:iCs/>
          <w:color w:val="000000" w:themeColor="text1"/>
        </w:rPr>
        <w:t>disappeared</w:t>
      </w:r>
      <w:r w:rsidRPr="005510BD">
        <w:rPr>
          <w:iCs/>
          <w:color w:val="000000" w:themeColor="text1"/>
        </w:rPr>
        <w:t xml:space="preserve">. I don’t think there’s that same </w:t>
      </w:r>
      <w:r w:rsidRPr="005510BD">
        <w:rPr>
          <w:i/>
          <w:iCs/>
          <w:color w:val="000000" w:themeColor="text1"/>
        </w:rPr>
        <w:t>caring community spirit</w:t>
      </w:r>
      <w:r w:rsidRPr="005510BD">
        <w:rPr>
          <w:iCs/>
          <w:color w:val="000000" w:themeColor="text1"/>
        </w:rPr>
        <w:t xml:space="preserve"> that there </w:t>
      </w:r>
      <w:r w:rsidRPr="005510BD">
        <w:rPr>
          <w:i/>
          <w:iCs/>
          <w:color w:val="000000" w:themeColor="text1"/>
        </w:rPr>
        <w:t>used to be</w:t>
      </w:r>
      <w:r w:rsidRPr="005510BD">
        <w:rPr>
          <w:iCs/>
          <w:color w:val="000000" w:themeColor="text1"/>
        </w:rPr>
        <w:t xml:space="preserve">. Crime seems to be a bit more horrendous, but I don’t know if that’s just because the media’s changed as well. I’m sure a lot of all these things have always happened, the media’s actually exposed to it a bit more. Families have become a little bit more dysfunctional just because I think </w:t>
      </w:r>
      <w:r w:rsidRPr="005510BD">
        <w:rPr>
          <w:i/>
          <w:iCs/>
          <w:color w:val="000000" w:themeColor="text1"/>
        </w:rPr>
        <w:t>women working more</w:t>
      </w:r>
      <w:r w:rsidRPr="005510BD">
        <w:rPr>
          <w:iCs/>
          <w:color w:val="000000" w:themeColor="text1"/>
        </w:rPr>
        <w:t xml:space="preserve">, you know, for a long time the traditional way, </w:t>
      </w:r>
      <w:r w:rsidRPr="005510BD">
        <w:rPr>
          <w:i/>
          <w:iCs/>
          <w:color w:val="000000" w:themeColor="text1"/>
        </w:rPr>
        <w:t>there was a solid base</w:t>
      </w:r>
      <w:r w:rsidRPr="005510BD">
        <w:rPr>
          <w:iCs/>
          <w:color w:val="000000" w:themeColor="text1"/>
        </w:rPr>
        <w:t xml:space="preserve">, and now that is not happening. I think there isn’t that same . . . a bus, an older person, you know, not everyone will [stand up], I’d always give my seat up for an old person, people don’t do that anymore. I just think it’s respect for your environment, for people around you. </w:t>
      </w:r>
      <w:r w:rsidRPr="005510BD">
        <w:rPr>
          <w:i/>
          <w:iCs/>
          <w:color w:val="000000" w:themeColor="text1"/>
        </w:rPr>
        <w:t>It certainly has changed</w:t>
      </w:r>
      <w:r w:rsidRPr="005510BD">
        <w:rPr>
          <w:iCs/>
          <w:color w:val="000000" w:themeColor="text1"/>
        </w:rPr>
        <w:t>.” (</w:t>
      </w:r>
      <w:r w:rsidR="0044544B" w:rsidRPr="005510BD">
        <w:rPr>
          <w:iCs/>
          <w:color w:val="000000" w:themeColor="text1"/>
        </w:rPr>
        <w:t xml:space="preserve">page </w:t>
      </w:r>
      <w:r w:rsidRPr="005510BD">
        <w:rPr>
          <w:iCs/>
          <w:color w:val="000000" w:themeColor="text1"/>
        </w:rPr>
        <w:t>154)</w:t>
      </w:r>
    </w:p>
    <w:p w:rsidR="000A6100" w:rsidRPr="005510BD" w:rsidRDefault="003C6B88" w:rsidP="000A6100">
      <w:pPr>
        <w:rPr>
          <w:iCs/>
          <w:color w:val="000000" w:themeColor="text1"/>
        </w:rPr>
      </w:pPr>
      <w:r w:rsidRPr="005510BD">
        <w:rPr>
          <w:iCs/>
          <w:color w:val="000000" w:themeColor="text1"/>
        </w:rPr>
        <w:t xml:space="preserve">These quotes speak to changes in not just crime and crime control agents such as the police and the courts, but also to changes in levels of formal (e.g. schools) and informal (e.g. parents) social control, community spirit, the ‘social base’ of society and implied (but not stated outright) changes in the economic base too. These things ‘have changed’, but in a way which has become worse. </w:t>
      </w:r>
      <w:r w:rsidR="00733159" w:rsidRPr="005510BD">
        <w:rPr>
          <w:iCs/>
        </w:rPr>
        <w:t>Because</w:t>
      </w:r>
      <w:r w:rsidR="00504777" w:rsidRPr="005510BD">
        <w:rPr>
          <w:iCs/>
        </w:rPr>
        <w:t xml:space="preserve"> of our desire to tap into such expressive fears, but also not to over-burden the survey with the use of similar, but repeated survey questions, and because</w:t>
      </w:r>
      <w:r w:rsidR="00733159" w:rsidRPr="005510BD">
        <w:rPr>
          <w:iCs/>
        </w:rPr>
        <w:t xml:space="preserve"> most of the p</w:t>
      </w:r>
      <w:r w:rsidR="005133F8" w:rsidRPr="005510BD">
        <w:rPr>
          <w:iCs/>
        </w:rPr>
        <w:t>rior work in this area employs</w:t>
      </w:r>
      <w:r w:rsidR="00733159" w:rsidRPr="005510BD">
        <w:rPr>
          <w:iCs/>
        </w:rPr>
        <w:t xml:space="preserve"> stand-alone question to measure the fear of crime, we relied on an item worded </w:t>
      </w:r>
      <w:r w:rsidR="00733159" w:rsidRPr="005510BD">
        <w:rPr>
          <w:i/>
        </w:rPr>
        <w:t>How safe do you feel walking around in the area you live in after dark?</w:t>
      </w:r>
      <w:r w:rsidR="00733159" w:rsidRPr="005510BD">
        <w:t xml:space="preserve"> (with the answer codes v</w:t>
      </w:r>
      <w:r w:rsidR="00733159" w:rsidRPr="005510BD">
        <w:rPr>
          <w:iCs/>
        </w:rPr>
        <w:t>ery safe</w:t>
      </w:r>
      <w:r w:rsidR="00D41E9E" w:rsidRPr="005510BD">
        <w:rPr>
          <w:iCs/>
        </w:rPr>
        <w:t xml:space="preserve"> (1)</w:t>
      </w:r>
      <w:r w:rsidR="00733159" w:rsidRPr="005510BD">
        <w:rPr>
          <w:iCs/>
        </w:rPr>
        <w:t>, quite safe, a bit unsafe, very unsafe</w:t>
      </w:r>
      <w:r w:rsidR="00D41E9E" w:rsidRPr="005510BD">
        <w:rPr>
          <w:iCs/>
        </w:rPr>
        <w:t xml:space="preserve"> (4)</w:t>
      </w:r>
      <w:r w:rsidR="00733159" w:rsidRPr="005510BD">
        <w:rPr>
          <w:iCs/>
        </w:rPr>
        <w:t>) to measure our dependent variable. This question, as well as being one of the most commonly used, has been criticised for failing to fully capture the experience of the fear of crime (Ferraro and Le</w:t>
      </w:r>
      <w:r w:rsidR="00FF32E2" w:rsidRPr="005510BD">
        <w:rPr>
          <w:iCs/>
        </w:rPr>
        <w:t xml:space="preserve"> </w:t>
      </w:r>
      <w:r w:rsidR="00733159" w:rsidRPr="005510BD">
        <w:rPr>
          <w:iCs/>
        </w:rPr>
        <w:t xml:space="preserve">Grange, 1987, </w:t>
      </w:r>
      <w:proofErr w:type="spellStart"/>
      <w:r w:rsidR="00733159" w:rsidRPr="005510BD">
        <w:rPr>
          <w:iCs/>
        </w:rPr>
        <w:t>Farrall</w:t>
      </w:r>
      <w:proofErr w:type="spellEnd"/>
      <w:r w:rsidR="00733159" w:rsidRPr="005510BD">
        <w:rPr>
          <w:iCs/>
        </w:rPr>
        <w:t xml:space="preserve"> et al 1997)</w:t>
      </w:r>
      <w:r w:rsidR="004D57B4" w:rsidRPr="005510BD">
        <w:rPr>
          <w:iCs/>
        </w:rPr>
        <w:t xml:space="preserve">, and for being too vague, imprecise and </w:t>
      </w:r>
      <w:r w:rsidR="00602048" w:rsidRPr="005510BD">
        <w:rPr>
          <w:iCs/>
        </w:rPr>
        <w:t xml:space="preserve">for </w:t>
      </w:r>
      <w:r w:rsidR="004D57B4" w:rsidRPr="005510BD">
        <w:rPr>
          <w:iCs/>
        </w:rPr>
        <w:t>not clearly relating to crime</w:t>
      </w:r>
      <w:r w:rsidR="00733159" w:rsidRPr="005510BD">
        <w:rPr>
          <w:iCs/>
        </w:rPr>
        <w:t>. However, the question</w:t>
      </w:r>
      <w:r w:rsidR="004D57B4" w:rsidRPr="005510BD">
        <w:rPr>
          <w:iCs/>
        </w:rPr>
        <w:t>, and its implied vagueness,</w:t>
      </w:r>
      <w:r w:rsidR="00733159" w:rsidRPr="005510BD">
        <w:rPr>
          <w:iCs/>
        </w:rPr>
        <w:t xml:space="preserve"> </w:t>
      </w:r>
      <w:r w:rsidR="004D57B4" w:rsidRPr="005510BD">
        <w:rPr>
          <w:iCs/>
        </w:rPr>
        <w:t>is ideal for our desires to measure the</w:t>
      </w:r>
      <w:r w:rsidR="00733159" w:rsidRPr="005510BD">
        <w:rPr>
          <w:iCs/>
        </w:rPr>
        <w:t xml:space="preserve"> ‘expressive’ </w:t>
      </w:r>
      <w:r w:rsidR="004D57B4" w:rsidRPr="005510BD">
        <w:rPr>
          <w:iCs/>
        </w:rPr>
        <w:t>dimension to the fear of crime (</w:t>
      </w:r>
      <w:r w:rsidR="00733159" w:rsidRPr="005510BD">
        <w:rPr>
          <w:iCs/>
        </w:rPr>
        <w:t>and as such is more pertinent to our interests than the altern</w:t>
      </w:r>
      <w:r w:rsidR="004D57B4" w:rsidRPr="005510BD">
        <w:rPr>
          <w:iCs/>
        </w:rPr>
        <w:t xml:space="preserve">ative ‘experiential’ dimension, </w:t>
      </w:r>
      <w:proofErr w:type="spellStart"/>
      <w:r w:rsidR="00733159" w:rsidRPr="005510BD">
        <w:rPr>
          <w:iCs/>
        </w:rPr>
        <w:t>Farrall</w:t>
      </w:r>
      <w:proofErr w:type="spellEnd"/>
      <w:r w:rsidR="00733159" w:rsidRPr="005510BD">
        <w:rPr>
          <w:iCs/>
        </w:rPr>
        <w:t xml:space="preserve"> and Gadd, 200</w:t>
      </w:r>
      <w:r w:rsidR="00B05CF4" w:rsidRPr="005510BD">
        <w:rPr>
          <w:iCs/>
        </w:rPr>
        <w:t>4</w:t>
      </w:r>
      <w:r w:rsidR="00733159" w:rsidRPr="005510BD">
        <w:rPr>
          <w:iCs/>
        </w:rPr>
        <w:t xml:space="preserve">). </w:t>
      </w:r>
      <w:r w:rsidR="00E138E9" w:rsidRPr="005510BD">
        <w:rPr>
          <w:iCs/>
          <w:color w:val="000000" w:themeColor="text1"/>
        </w:rPr>
        <w:t>The ‘safety walking’ question, with all of its vagueness captures perfectly the sorts of anxieties about which people speak when they discuss ‘crime’ and ‘wrong-doing’</w:t>
      </w:r>
      <w:r w:rsidR="00981AFA" w:rsidRPr="005510BD">
        <w:rPr>
          <w:iCs/>
          <w:color w:val="000000" w:themeColor="text1"/>
        </w:rPr>
        <w:t>.</w:t>
      </w:r>
      <w:r w:rsidR="009F7A48" w:rsidRPr="005510BD">
        <w:rPr>
          <w:iCs/>
          <w:color w:val="000000" w:themeColor="text1"/>
        </w:rPr>
        <w:t xml:space="preserve"> Relying on it also enables comparison with earlier studies. </w:t>
      </w:r>
    </w:p>
    <w:p w:rsidR="006A5D52" w:rsidRPr="005510BD" w:rsidRDefault="006A5D52" w:rsidP="000A6100">
      <w:pPr>
        <w:rPr>
          <w:iCs/>
          <w:color w:val="000000" w:themeColor="text1"/>
        </w:rPr>
      </w:pPr>
    </w:p>
    <w:p w:rsidR="00794B2E" w:rsidRPr="005510BD" w:rsidRDefault="00794B2E" w:rsidP="00243670">
      <w:pPr>
        <w:rPr>
          <w:i/>
          <w:iCs/>
          <w:color w:val="000000" w:themeColor="text1"/>
        </w:rPr>
      </w:pPr>
      <w:r w:rsidRPr="005510BD">
        <w:rPr>
          <w:i/>
          <w:iCs/>
          <w:color w:val="000000" w:themeColor="text1"/>
        </w:rPr>
        <w:t>Sociodemographic characteristics</w:t>
      </w:r>
    </w:p>
    <w:p w:rsidR="00243670" w:rsidRPr="005510BD" w:rsidRDefault="00733159" w:rsidP="00243670">
      <w:pPr>
        <w:rPr>
          <w:iCs/>
        </w:rPr>
      </w:pPr>
      <w:r w:rsidRPr="005510BD">
        <w:rPr>
          <w:iCs/>
          <w:color w:val="000000" w:themeColor="text1"/>
        </w:rPr>
        <w:t xml:space="preserve">Age </w:t>
      </w:r>
      <w:r w:rsidRPr="005510BD">
        <w:rPr>
          <w:iCs/>
        </w:rPr>
        <w:t>was measured in whole years at the</w:t>
      </w:r>
      <w:r w:rsidR="005A3AD7" w:rsidRPr="005510BD">
        <w:rPr>
          <w:iCs/>
        </w:rPr>
        <w:t xml:space="preserve"> respondent’s </w:t>
      </w:r>
      <w:r w:rsidRPr="005510BD">
        <w:rPr>
          <w:iCs/>
        </w:rPr>
        <w:t>last birthday, and gender as a binary</w:t>
      </w:r>
      <w:r w:rsidR="00D41E9E" w:rsidRPr="005510BD">
        <w:rPr>
          <w:iCs/>
        </w:rPr>
        <w:t xml:space="preserve"> (with males as </w:t>
      </w:r>
      <w:r w:rsidR="00B05CF4" w:rsidRPr="005510BD">
        <w:rPr>
          <w:iCs/>
        </w:rPr>
        <w:t>1</w:t>
      </w:r>
      <w:r w:rsidR="00D41E9E" w:rsidRPr="005510BD">
        <w:rPr>
          <w:iCs/>
        </w:rPr>
        <w:t xml:space="preserve"> and females as </w:t>
      </w:r>
      <w:r w:rsidR="00B05CF4" w:rsidRPr="005510BD">
        <w:rPr>
          <w:iCs/>
        </w:rPr>
        <w:t>2</w:t>
      </w:r>
      <w:r w:rsidR="00D41E9E" w:rsidRPr="005510BD">
        <w:rPr>
          <w:iCs/>
        </w:rPr>
        <w:t>)</w:t>
      </w:r>
      <w:r w:rsidRPr="005510BD">
        <w:rPr>
          <w:iCs/>
        </w:rPr>
        <w:t xml:space="preserve">. Our assessment of how well the respondent’s household was coping financially was their answers to the question </w:t>
      </w:r>
      <w:r w:rsidRPr="005510BD">
        <w:rPr>
          <w:i/>
        </w:rPr>
        <w:t>How does the financial situation of your household now compare with what it was 12 months ago?</w:t>
      </w:r>
      <w:r w:rsidRPr="005510BD">
        <w:rPr>
          <w:iCs/>
        </w:rPr>
        <w:t xml:space="preserve"> (respondents could select one response from a lot worse</w:t>
      </w:r>
      <w:r w:rsidR="00E05823" w:rsidRPr="005510BD">
        <w:rPr>
          <w:iCs/>
        </w:rPr>
        <w:t xml:space="preserve"> (1)</w:t>
      </w:r>
      <w:r w:rsidRPr="005510BD">
        <w:rPr>
          <w:iCs/>
        </w:rPr>
        <w:t>, a little worse, the same, a little better, a lot better</w:t>
      </w:r>
      <w:r w:rsidR="00FE1A53" w:rsidRPr="005510BD">
        <w:rPr>
          <w:iCs/>
        </w:rPr>
        <w:t xml:space="preserve"> </w:t>
      </w:r>
      <w:r w:rsidR="00E05823" w:rsidRPr="005510BD">
        <w:rPr>
          <w:iCs/>
        </w:rPr>
        <w:t>(5)</w:t>
      </w:r>
      <w:r w:rsidRPr="005510BD">
        <w:rPr>
          <w:iCs/>
        </w:rPr>
        <w:t xml:space="preserve">). Religiosity was measured as responses to the question </w:t>
      </w:r>
      <w:r w:rsidRPr="005510BD">
        <w:rPr>
          <w:rFonts w:ascii="Calibri" w:eastAsia="SimSun" w:hAnsi="Calibri" w:cs="Arial"/>
          <w:i/>
          <w:lang w:eastAsia="zh-CN"/>
        </w:rPr>
        <w:t xml:space="preserve">Would you describe yourself as extremely religious or extremely non-religious? </w:t>
      </w:r>
      <w:r w:rsidRPr="005510BD">
        <w:rPr>
          <w:iCs/>
        </w:rPr>
        <w:t xml:space="preserve"> </w:t>
      </w:r>
      <w:r w:rsidR="00D35306" w:rsidRPr="005510BD">
        <w:rPr>
          <w:iCs/>
        </w:rPr>
        <w:t xml:space="preserve">(with the codes ranging from </w:t>
      </w:r>
      <w:r w:rsidRPr="005510BD">
        <w:rPr>
          <w:iCs/>
        </w:rPr>
        <w:t>1 = Extremely religious</w:t>
      </w:r>
      <w:r w:rsidR="00D35306" w:rsidRPr="005510BD">
        <w:rPr>
          <w:iCs/>
        </w:rPr>
        <w:t xml:space="preserve"> to </w:t>
      </w:r>
      <w:r w:rsidRPr="005510BD">
        <w:rPr>
          <w:iCs/>
        </w:rPr>
        <w:t>7 = Extremely non-religious</w:t>
      </w:r>
      <w:r w:rsidR="00D35306" w:rsidRPr="005510BD">
        <w:rPr>
          <w:iCs/>
        </w:rPr>
        <w:t>)</w:t>
      </w:r>
      <w:r w:rsidRPr="005510BD">
        <w:rPr>
          <w:iCs/>
        </w:rPr>
        <w:t>.</w:t>
      </w:r>
      <w:r w:rsidR="00D35306" w:rsidRPr="005510BD">
        <w:rPr>
          <w:iCs/>
        </w:rPr>
        <w:t xml:space="preserve"> Degree e</w:t>
      </w:r>
      <w:r w:rsidRPr="005510BD">
        <w:rPr>
          <w:iCs/>
        </w:rPr>
        <w:t>ducat</w:t>
      </w:r>
      <w:r w:rsidR="00D35306" w:rsidRPr="005510BD">
        <w:rPr>
          <w:iCs/>
        </w:rPr>
        <w:t>ion was treated as a binary (</w:t>
      </w:r>
      <w:r w:rsidRPr="005510BD">
        <w:rPr>
          <w:iCs/>
        </w:rPr>
        <w:t>1 = yes; 2 = no</w:t>
      </w:r>
      <w:r w:rsidR="00D35306" w:rsidRPr="005510BD">
        <w:rPr>
          <w:iCs/>
        </w:rPr>
        <w:t>)</w:t>
      </w:r>
      <w:r w:rsidRPr="005510BD">
        <w:rPr>
          <w:iCs/>
        </w:rPr>
        <w:t>.</w:t>
      </w:r>
      <w:r w:rsidR="00D35306" w:rsidRPr="005510BD">
        <w:rPr>
          <w:iCs/>
        </w:rPr>
        <w:t xml:space="preserve"> Respondents were asked if they claimed any of a series of welfare benefits, and then coded as either </w:t>
      </w:r>
      <w:r w:rsidRPr="005510BD">
        <w:rPr>
          <w:iCs/>
        </w:rPr>
        <w:t>claiming</w:t>
      </w:r>
      <w:r w:rsidR="00D35306" w:rsidRPr="005510BD">
        <w:rPr>
          <w:iCs/>
        </w:rPr>
        <w:t xml:space="preserve"> (0) or </w:t>
      </w:r>
      <w:r w:rsidRPr="005510BD">
        <w:rPr>
          <w:iCs/>
        </w:rPr>
        <w:t>not claiming</w:t>
      </w:r>
      <w:r w:rsidR="00D35306" w:rsidRPr="005510BD">
        <w:rPr>
          <w:iCs/>
        </w:rPr>
        <w:t xml:space="preserve"> (1)</w:t>
      </w:r>
      <w:r w:rsidRPr="005510BD">
        <w:rPr>
          <w:iCs/>
        </w:rPr>
        <w:t>.</w:t>
      </w:r>
      <w:r w:rsidR="00D35306" w:rsidRPr="005510BD">
        <w:rPr>
          <w:iCs/>
        </w:rPr>
        <w:t xml:space="preserve"> </w:t>
      </w:r>
      <w:r w:rsidR="00D35306" w:rsidRPr="005510BD">
        <w:t>All respondents were coded as living in an Urban (1) or a Rural (2) area.</w:t>
      </w:r>
      <w:r w:rsidR="00243670" w:rsidRPr="005510BD">
        <w:rPr>
          <w:iCs/>
        </w:rPr>
        <w:t xml:space="preserve"> The level of deprivation for the community the respondent lived in was their Index of Multiple Deprivation (IMD), </w:t>
      </w:r>
      <w:r w:rsidR="004812FE" w:rsidRPr="005510BD">
        <w:rPr>
          <w:iCs/>
        </w:rPr>
        <w:t>re</w:t>
      </w:r>
      <w:r w:rsidR="00243670" w:rsidRPr="005510BD">
        <w:rPr>
          <w:iCs/>
        </w:rPr>
        <w:t xml:space="preserve">coded into quartiles. </w:t>
      </w:r>
      <w:r w:rsidR="00243670" w:rsidRPr="005510BD">
        <w:t xml:space="preserve">The question used to identify victimisation was </w:t>
      </w:r>
      <w:r w:rsidR="00243670" w:rsidRPr="005510BD">
        <w:rPr>
          <w:i/>
          <w:iCs/>
          <w:lang w:val="en-US"/>
        </w:rPr>
        <w:t xml:space="preserve">Have you been the victim of any of the following crimes in </w:t>
      </w:r>
      <w:r w:rsidR="00243670" w:rsidRPr="005510BD">
        <w:rPr>
          <w:i/>
          <w:iCs/>
          <w:lang w:val="en-US"/>
        </w:rPr>
        <w:lastRenderedPageBreak/>
        <w:t xml:space="preserve">the last 5 years? (tick all that apply) </w:t>
      </w:r>
      <w:r w:rsidR="00243670" w:rsidRPr="005510BD">
        <w:rPr>
          <w:iCs/>
          <w:lang w:val="en-US"/>
        </w:rPr>
        <w:t xml:space="preserve">with respondents able to tick </w:t>
      </w:r>
      <w:r w:rsidR="00243670" w:rsidRPr="005510BD">
        <w:rPr>
          <w:i/>
          <w:iCs/>
          <w:lang w:val="en-US"/>
        </w:rPr>
        <w:t xml:space="preserve">any </w:t>
      </w:r>
      <w:r w:rsidR="00243670" w:rsidRPr="005510BD">
        <w:rPr>
          <w:iCs/>
          <w:lang w:val="en-US"/>
        </w:rPr>
        <w:t xml:space="preserve">of the following: </w:t>
      </w:r>
      <w:r w:rsidR="00243670" w:rsidRPr="005510BD">
        <w:rPr>
          <w:i/>
          <w:iCs/>
          <w:lang w:val="en-US"/>
        </w:rPr>
        <w:t xml:space="preserve">Domestic burglary, Other household theft, Robbery/mugging, Violence with injury, Violence without injury, Theft of a motor vehicle, Other victimization </w:t>
      </w:r>
      <w:r w:rsidR="00243670" w:rsidRPr="005510BD">
        <w:rPr>
          <w:iCs/>
          <w:lang w:val="en-US"/>
        </w:rPr>
        <w:t xml:space="preserve">or one of the following: </w:t>
      </w:r>
      <w:r w:rsidR="00243670" w:rsidRPr="005510BD">
        <w:rPr>
          <w:i/>
          <w:iCs/>
          <w:lang w:val="en-US"/>
        </w:rPr>
        <w:t xml:space="preserve">None, </w:t>
      </w:r>
      <w:r w:rsidR="00243670" w:rsidRPr="005510BD">
        <w:rPr>
          <w:i/>
          <w:iCs/>
        </w:rPr>
        <w:t xml:space="preserve">Can’t recall, Don’t know, Prefer not to say. </w:t>
      </w:r>
    </w:p>
    <w:p w:rsidR="004812FE" w:rsidRPr="005510BD" w:rsidRDefault="004C0822" w:rsidP="004812FE">
      <w:pPr>
        <w:rPr>
          <w:iCs/>
        </w:rPr>
      </w:pPr>
      <w:r w:rsidRPr="005510BD">
        <w:t>Based on two rounds of cognitive interviews and a series of survey experiments, w</w:t>
      </w:r>
      <w:r w:rsidR="000A6100" w:rsidRPr="005510BD">
        <w:t>e designed and fielded a series of questions to measure nostalgia, social and economic values, and those variables more commonly associated with the fear of crime.</w:t>
      </w:r>
      <w:r w:rsidR="000A6100" w:rsidRPr="005510BD">
        <w:rPr>
          <w:iCs/>
        </w:rPr>
        <w:t xml:space="preserve"> </w:t>
      </w:r>
      <w:r w:rsidR="00054CCF" w:rsidRPr="005510BD">
        <w:t xml:space="preserve">We asked </w:t>
      </w:r>
      <w:r w:rsidR="00906AE8" w:rsidRPr="005510BD">
        <w:t>eight</w:t>
      </w:r>
      <w:r w:rsidR="00054CCF" w:rsidRPr="005510BD">
        <w:t xml:space="preserve"> questions designed to gauge the degree of expressed nostalg</w:t>
      </w:r>
      <w:r w:rsidRPr="005510BD">
        <w:t>ia of respondents</w:t>
      </w:r>
      <w:r w:rsidR="00054CCF" w:rsidRPr="005510BD">
        <w:t>.</w:t>
      </w:r>
      <w:r w:rsidR="004812FE" w:rsidRPr="005510BD">
        <w:t xml:space="preserve"> All questions shared the same set of response codes.</w:t>
      </w:r>
      <w:r w:rsidR="004812FE" w:rsidRPr="005510BD">
        <w:rPr>
          <w:vertAlign w:val="superscript"/>
        </w:rPr>
        <w:footnoteReference w:id="5"/>
      </w:r>
      <w:r w:rsidR="004812FE" w:rsidRPr="005510BD">
        <w:t xml:space="preserve"> </w:t>
      </w:r>
    </w:p>
    <w:p w:rsidR="00054CCF" w:rsidRPr="005510BD" w:rsidRDefault="00054CCF" w:rsidP="00054CCF"/>
    <w:p w:rsidR="00054CCF" w:rsidRPr="005510BD" w:rsidRDefault="00054CCF" w:rsidP="00E76182">
      <w:pPr>
        <w:jc w:val="center"/>
        <w:rPr>
          <w:b/>
        </w:rPr>
      </w:pPr>
      <w:r w:rsidRPr="005510BD">
        <w:rPr>
          <w:b/>
        </w:rPr>
        <w:t xml:space="preserve">FIGURE </w:t>
      </w:r>
      <w:r w:rsidR="00080AFD" w:rsidRPr="005510BD">
        <w:rPr>
          <w:b/>
        </w:rPr>
        <w:t>T</w:t>
      </w:r>
      <w:r w:rsidR="00572A50" w:rsidRPr="005510BD">
        <w:rPr>
          <w:b/>
        </w:rPr>
        <w:t>WO</w:t>
      </w:r>
      <w:r w:rsidRPr="005510BD">
        <w:rPr>
          <w:b/>
        </w:rPr>
        <w:t>: NOSTALGIA BATTERY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4"/>
      </w:tblGrid>
      <w:tr w:rsidR="00054CCF" w:rsidRPr="005510BD" w:rsidTr="004C0822">
        <w:tc>
          <w:tcPr>
            <w:tcW w:w="7933" w:type="dxa"/>
          </w:tcPr>
          <w:p w:rsidR="00054CCF" w:rsidRPr="005510BD" w:rsidRDefault="00054CCF" w:rsidP="00E76182">
            <w:pPr>
              <w:jc w:val="center"/>
              <w:rPr>
                <w:b/>
                <w:bCs/>
              </w:rPr>
            </w:pPr>
            <w:r w:rsidRPr="005510BD">
              <w:rPr>
                <w:b/>
                <w:bCs/>
              </w:rPr>
              <w:t>Item Wording</w:t>
            </w:r>
          </w:p>
        </w:tc>
        <w:tc>
          <w:tcPr>
            <w:tcW w:w="1134" w:type="dxa"/>
          </w:tcPr>
          <w:p w:rsidR="00054CCF" w:rsidRPr="005510BD" w:rsidRDefault="004812FE" w:rsidP="00E76182">
            <w:pPr>
              <w:jc w:val="center"/>
              <w:rPr>
                <w:b/>
                <w:bCs/>
              </w:rPr>
            </w:pPr>
            <w:r w:rsidRPr="005510BD">
              <w:rPr>
                <w:b/>
                <w:bCs/>
              </w:rPr>
              <w:t xml:space="preserve">Factor </w:t>
            </w:r>
            <w:r w:rsidR="00054CCF" w:rsidRPr="005510BD">
              <w:rPr>
                <w:b/>
                <w:bCs/>
              </w:rPr>
              <w:t>Loadings</w:t>
            </w:r>
          </w:p>
        </w:tc>
      </w:tr>
      <w:tr w:rsidR="00054CCF" w:rsidRPr="005510BD" w:rsidTr="004C0822">
        <w:tc>
          <w:tcPr>
            <w:tcW w:w="7933" w:type="dxa"/>
          </w:tcPr>
          <w:p w:rsidR="00054CCF" w:rsidRPr="005510BD" w:rsidRDefault="00054CCF" w:rsidP="00054CCF">
            <w:pPr>
              <w:rPr>
                <w:bCs/>
                <w:iCs/>
              </w:rPr>
            </w:pPr>
            <w:r w:rsidRPr="005510BD">
              <w:rPr>
                <w:i/>
              </w:rPr>
              <w:t>The country’s best days are behind it.</w:t>
            </w:r>
            <w:r w:rsidRPr="005510BD">
              <w:rPr>
                <w:iCs/>
              </w:rPr>
              <w:t xml:space="preserve"> </w:t>
            </w:r>
          </w:p>
        </w:tc>
        <w:tc>
          <w:tcPr>
            <w:tcW w:w="1134" w:type="dxa"/>
          </w:tcPr>
          <w:p w:rsidR="00054CCF" w:rsidRPr="005510BD" w:rsidRDefault="00054CCF" w:rsidP="00552874">
            <w:pPr>
              <w:jc w:val="right"/>
            </w:pPr>
            <w:r w:rsidRPr="005510BD">
              <w:t>.</w:t>
            </w:r>
            <w:r w:rsidR="00552874" w:rsidRPr="005510BD">
              <w:t>528</w:t>
            </w:r>
          </w:p>
        </w:tc>
      </w:tr>
      <w:tr w:rsidR="00054CCF" w:rsidRPr="005510BD" w:rsidTr="004C0822">
        <w:tc>
          <w:tcPr>
            <w:tcW w:w="7933" w:type="dxa"/>
          </w:tcPr>
          <w:p w:rsidR="00054CCF" w:rsidRPr="005510BD" w:rsidRDefault="00054CCF" w:rsidP="00054CCF">
            <w:pPr>
              <w:rPr>
                <w:iCs/>
              </w:rPr>
            </w:pPr>
            <w:r w:rsidRPr="005510BD">
              <w:rPr>
                <w:i/>
              </w:rPr>
              <w:t xml:space="preserve">I would like my country to be the way it used to be. </w:t>
            </w:r>
          </w:p>
        </w:tc>
        <w:tc>
          <w:tcPr>
            <w:tcW w:w="1134" w:type="dxa"/>
          </w:tcPr>
          <w:p w:rsidR="00054CCF" w:rsidRPr="005510BD" w:rsidRDefault="00552874" w:rsidP="006E1730">
            <w:pPr>
              <w:jc w:val="right"/>
            </w:pPr>
            <w:r w:rsidRPr="005510BD">
              <w:t>.771</w:t>
            </w:r>
          </w:p>
        </w:tc>
      </w:tr>
      <w:tr w:rsidR="00054CCF" w:rsidRPr="005510BD" w:rsidTr="004C0822">
        <w:tc>
          <w:tcPr>
            <w:tcW w:w="7933" w:type="dxa"/>
          </w:tcPr>
          <w:p w:rsidR="00054CCF" w:rsidRPr="005510BD" w:rsidRDefault="00054CCF" w:rsidP="00054CCF">
            <w:r w:rsidRPr="005510BD">
              <w:rPr>
                <w:i/>
              </w:rPr>
              <w:t>More and more, I don’t like with what my country has become.</w:t>
            </w:r>
          </w:p>
        </w:tc>
        <w:tc>
          <w:tcPr>
            <w:tcW w:w="1134" w:type="dxa"/>
          </w:tcPr>
          <w:p w:rsidR="00054CCF" w:rsidRPr="005510BD" w:rsidRDefault="00552874" w:rsidP="006E1730">
            <w:pPr>
              <w:jc w:val="right"/>
            </w:pPr>
            <w:r w:rsidRPr="005510BD">
              <w:t>.658</w:t>
            </w:r>
          </w:p>
        </w:tc>
      </w:tr>
      <w:tr w:rsidR="00054CCF" w:rsidRPr="005510BD" w:rsidTr="004C0822">
        <w:tc>
          <w:tcPr>
            <w:tcW w:w="7933" w:type="dxa"/>
          </w:tcPr>
          <w:p w:rsidR="00054CCF" w:rsidRPr="005510BD" w:rsidRDefault="00054CCF" w:rsidP="00054CCF">
            <w:pPr>
              <w:rPr>
                <w:i/>
              </w:rPr>
            </w:pPr>
            <w:r w:rsidRPr="005510BD">
              <w:rPr>
                <w:i/>
              </w:rPr>
              <w:t>These days I feel like a stranger in my own country.</w:t>
            </w:r>
          </w:p>
        </w:tc>
        <w:tc>
          <w:tcPr>
            <w:tcW w:w="1134" w:type="dxa"/>
          </w:tcPr>
          <w:p w:rsidR="00054CCF" w:rsidRPr="005510BD" w:rsidRDefault="00552874" w:rsidP="006E1730">
            <w:pPr>
              <w:jc w:val="right"/>
            </w:pPr>
            <w:r w:rsidRPr="005510BD">
              <w:t>.701</w:t>
            </w:r>
          </w:p>
        </w:tc>
      </w:tr>
      <w:tr w:rsidR="00552874" w:rsidRPr="005510BD" w:rsidTr="004C0822">
        <w:tc>
          <w:tcPr>
            <w:tcW w:w="7933" w:type="dxa"/>
          </w:tcPr>
          <w:p w:rsidR="00552874" w:rsidRPr="005510BD" w:rsidRDefault="00552874" w:rsidP="00054CCF">
            <w:pPr>
              <w:rPr>
                <w:i/>
              </w:rPr>
            </w:pPr>
            <w:r w:rsidRPr="005510BD">
              <w:rPr>
                <w:i/>
              </w:rPr>
              <w:t>Young people these days don’t have enough respect for traditional values</w:t>
            </w:r>
          </w:p>
        </w:tc>
        <w:tc>
          <w:tcPr>
            <w:tcW w:w="1134" w:type="dxa"/>
          </w:tcPr>
          <w:p w:rsidR="00552874" w:rsidRPr="005510BD" w:rsidRDefault="00552874" w:rsidP="006E1730">
            <w:pPr>
              <w:jc w:val="right"/>
            </w:pPr>
            <w:r w:rsidRPr="005510BD">
              <w:t>.557</w:t>
            </w:r>
          </w:p>
        </w:tc>
      </w:tr>
      <w:tr w:rsidR="00552874" w:rsidRPr="005510BD" w:rsidTr="004C0822">
        <w:tc>
          <w:tcPr>
            <w:tcW w:w="7933" w:type="dxa"/>
          </w:tcPr>
          <w:p w:rsidR="00552874" w:rsidRPr="005510BD" w:rsidRDefault="00552874" w:rsidP="00054CCF">
            <w:pPr>
              <w:rPr>
                <w:i/>
              </w:rPr>
            </w:pPr>
            <w:r w:rsidRPr="005510BD">
              <w:rPr>
                <w:i/>
              </w:rPr>
              <w:t>Schools should teach children to obey authority</w:t>
            </w:r>
          </w:p>
        </w:tc>
        <w:tc>
          <w:tcPr>
            <w:tcW w:w="1134" w:type="dxa"/>
          </w:tcPr>
          <w:p w:rsidR="00552874" w:rsidRPr="005510BD" w:rsidRDefault="00552874" w:rsidP="006E1730">
            <w:pPr>
              <w:jc w:val="right"/>
            </w:pPr>
            <w:r w:rsidRPr="005510BD">
              <w:t>.446</w:t>
            </w:r>
          </w:p>
        </w:tc>
      </w:tr>
      <w:tr w:rsidR="004C0822" w:rsidRPr="005510BD" w:rsidTr="004C0822">
        <w:tc>
          <w:tcPr>
            <w:tcW w:w="7933" w:type="dxa"/>
          </w:tcPr>
          <w:p w:rsidR="004C0822" w:rsidRPr="005510BD" w:rsidRDefault="004C0822" w:rsidP="00054CCF">
            <w:pPr>
              <w:rPr>
                <w:i/>
              </w:rPr>
            </w:pPr>
            <w:r w:rsidRPr="005510BD">
              <w:rPr>
                <w:i/>
              </w:rPr>
              <w:t>It feels to me like the country lost something when coal mines, steel mills and shipyards closed.</w:t>
            </w:r>
          </w:p>
        </w:tc>
        <w:tc>
          <w:tcPr>
            <w:tcW w:w="1134" w:type="dxa"/>
          </w:tcPr>
          <w:p w:rsidR="004C0822" w:rsidRPr="005510BD" w:rsidRDefault="00552874" w:rsidP="006E1730">
            <w:pPr>
              <w:jc w:val="right"/>
            </w:pPr>
            <w:r w:rsidRPr="005510BD">
              <w:t>.415</w:t>
            </w:r>
          </w:p>
        </w:tc>
      </w:tr>
      <w:tr w:rsidR="004C0822" w:rsidRPr="005510BD" w:rsidTr="004C0822">
        <w:tc>
          <w:tcPr>
            <w:tcW w:w="7933" w:type="dxa"/>
          </w:tcPr>
          <w:p w:rsidR="004C0822" w:rsidRPr="005510BD" w:rsidRDefault="004C0822" w:rsidP="00054CCF">
            <w:pPr>
              <w:rPr>
                <w:i/>
              </w:rPr>
            </w:pPr>
            <w:r w:rsidRPr="005510BD">
              <w:rPr>
                <w:i/>
              </w:rPr>
              <w:t>I feel that there has been a loss of community spirit around here since the 1980s.</w:t>
            </w:r>
          </w:p>
        </w:tc>
        <w:tc>
          <w:tcPr>
            <w:tcW w:w="1134" w:type="dxa"/>
          </w:tcPr>
          <w:p w:rsidR="004C0822" w:rsidRPr="005510BD" w:rsidRDefault="00552874" w:rsidP="006E1730">
            <w:pPr>
              <w:jc w:val="right"/>
            </w:pPr>
            <w:r w:rsidRPr="005510BD">
              <w:t>.476</w:t>
            </w:r>
          </w:p>
        </w:tc>
      </w:tr>
    </w:tbl>
    <w:p w:rsidR="00054CCF" w:rsidRPr="005510BD" w:rsidRDefault="00054CCF" w:rsidP="00054CCF"/>
    <w:p w:rsidR="00125B46" w:rsidRPr="005510BD" w:rsidRDefault="00054CCF" w:rsidP="00054CCF">
      <w:r w:rsidRPr="005510BD">
        <w:t xml:space="preserve">The </w:t>
      </w:r>
      <w:r w:rsidR="00EA442A" w:rsidRPr="005510BD">
        <w:rPr>
          <w:i/>
        </w:rPr>
        <w:t>Nostalgia</w:t>
      </w:r>
      <w:r w:rsidR="00EA442A" w:rsidRPr="005510BD">
        <w:t xml:space="preserve"> battery (Figure T</w:t>
      </w:r>
      <w:r w:rsidR="00572A50" w:rsidRPr="005510BD">
        <w:t>wo</w:t>
      </w:r>
      <w:r w:rsidRPr="005510BD">
        <w:t xml:space="preserve">) asked respondents the extent to which they felt the country’s best days were behind it, if they preferred their country to be ‘the way it used to be’, the extent to which they liked ‘what their country had become’, and felt like a stranger in their own country.  They were also asked about their feelings of remorse and/or regret about changes in the area in which they currently lived, and that in which they had grown up. </w:t>
      </w:r>
      <w:r w:rsidR="00675EDA" w:rsidRPr="005510BD">
        <w:t xml:space="preserve">Undoubtedly, such opinions and assessments are formed in a number of ways and from a number of sources (including parents, grandparents, media outlets and other organisations such as schools and colleges). We have not explored the processes by which nostalgia is constructed, however, preferring to deal with the substantive impact of it on the fear of crime. </w:t>
      </w:r>
      <w:r w:rsidRPr="005510BD">
        <w:t xml:space="preserve"> These items were factor analysed to form one battery of items. The KMO</w:t>
      </w:r>
      <w:r w:rsidR="004753FF" w:rsidRPr="005510BD">
        <w:rPr>
          <w:rStyle w:val="FootnoteReference"/>
        </w:rPr>
        <w:footnoteReference w:id="6"/>
      </w:r>
      <w:r w:rsidRPr="005510BD">
        <w:t xml:space="preserve"> was .8</w:t>
      </w:r>
      <w:r w:rsidR="00552874" w:rsidRPr="005510BD">
        <w:t>18</w:t>
      </w:r>
      <w:r w:rsidRPr="005510BD">
        <w:t>, and the eigenvalue was 3.</w:t>
      </w:r>
      <w:r w:rsidR="00552874" w:rsidRPr="005510BD">
        <w:t>318</w:t>
      </w:r>
      <w:r w:rsidRPr="005510BD">
        <w:t xml:space="preserve">.  </w:t>
      </w:r>
    </w:p>
    <w:p w:rsidR="00383DDE" w:rsidRPr="005510BD" w:rsidRDefault="00383DDE" w:rsidP="00054CCF">
      <w:pPr>
        <w:rPr>
          <w:i/>
        </w:rPr>
      </w:pPr>
      <w:r w:rsidRPr="005510BD">
        <w:rPr>
          <w:i/>
        </w:rPr>
        <w:lastRenderedPageBreak/>
        <w:t>Results</w:t>
      </w:r>
    </w:p>
    <w:p w:rsidR="00054CCF" w:rsidRPr="005510BD" w:rsidRDefault="00054CCF" w:rsidP="00054CCF">
      <w:r w:rsidRPr="005510BD">
        <w:t xml:space="preserve">Our modelling strategy was to develop a series of </w:t>
      </w:r>
      <w:r w:rsidR="00DC4E97" w:rsidRPr="005510BD">
        <w:t>ordinal</w:t>
      </w:r>
      <w:r w:rsidRPr="005510BD">
        <w:t xml:space="preserve"> regression </w:t>
      </w:r>
      <w:r w:rsidR="00DC4E97" w:rsidRPr="005510BD">
        <w:t xml:space="preserve">models, </w:t>
      </w:r>
      <w:r w:rsidR="00167EB3" w:rsidRPr="005510BD">
        <w:t>running close</w:t>
      </w:r>
      <w:r w:rsidR="00572A50" w:rsidRPr="005510BD">
        <w:t xml:space="preserve">ly-related MLRs no less than </w:t>
      </w:r>
      <w:r w:rsidR="00E130BD" w:rsidRPr="005510BD">
        <w:t>four</w:t>
      </w:r>
      <w:r w:rsidR="00167EB3" w:rsidRPr="005510BD">
        <w:t xml:space="preserve"> times</w:t>
      </w:r>
      <w:r w:rsidR="00383DDE" w:rsidRPr="005510BD">
        <w:t xml:space="preserve"> (Table </w:t>
      </w:r>
      <w:r w:rsidR="00C440F4" w:rsidRPr="005510BD">
        <w:t>One</w:t>
      </w:r>
      <w:r w:rsidR="00383DDE" w:rsidRPr="005510BD">
        <w:t>)</w:t>
      </w:r>
      <w:r w:rsidR="00167EB3" w:rsidRPr="005510BD">
        <w:t xml:space="preserve">. The first model (Model I) regresses just socio-demographic variables on to the fear of crime. Model II adds to this variables relating to the area in which the respondents lived. Model III adds the </w:t>
      </w:r>
      <w:r w:rsidR="00043963" w:rsidRPr="005510BD">
        <w:rPr>
          <w:i/>
        </w:rPr>
        <w:t>V</w:t>
      </w:r>
      <w:r w:rsidR="00167EB3" w:rsidRPr="005510BD">
        <w:rPr>
          <w:i/>
        </w:rPr>
        <w:t>ictimisation</w:t>
      </w:r>
      <w:r w:rsidR="00167EB3" w:rsidRPr="005510BD">
        <w:t xml:space="preserve"> variable, whilst Model IV includes the </w:t>
      </w:r>
      <w:r w:rsidR="00043963" w:rsidRPr="005510BD">
        <w:rPr>
          <w:i/>
        </w:rPr>
        <w:t>N</w:t>
      </w:r>
      <w:r w:rsidR="00167EB3" w:rsidRPr="005510BD">
        <w:rPr>
          <w:i/>
        </w:rPr>
        <w:t>ostalgia</w:t>
      </w:r>
      <w:r w:rsidR="00167EB3" w:rsidRPr="005510BD">
        <w:t xml:space="preserve"> </w:t>
      </w:r>
      <w:r w:rsidR="00E130BD" w:rsidRPr="005510BD">
        <w:t>battery</w:t>
      </w:r>
      <w:r w:rsidR="00167EB3" w:rsidRPr="005510BD">
        <w:t xml:space="preserve"> which we developed (outlined in Figure</w:t>
      </w:r>
      <w:r w:rsidR="00EA442A" w:rsidRPr="005510BD">
        <w:t xml:space="preserve"> T</w:t>
      </w:r>
      <w:r w:rsidR="00572A50" w:rsidRPr="005510BD">
        <w:t>wo</w:t>
      </w:r>
      <w:r w:rsidR="00167EB3" w:rsidRPr="005510BD">
        <w:t xml:space="preserve">). </w:t>
      </w:r>
      <w:r w:rsidR="00AF6665" w:rsidRPr="005510BD">
        <w:t xml:space="preserve">The shaded cells are </w:t>
      </w:r>
      <w:r w:rsidR="00146E08" w:rsidRPr="005510BD">
        <w:t>simply there to help distinguish between the models</w:t>
      </w:r>
      <w:r w:rsidR="00AF6665" w:rsidRPr="005510BD">
        <w:t xml:space="preserve">. </w:t>
      </w:r>
    </w:p>
    <w:p w:rsidR="00AF6665" w:rsidRPr="005510BD" w:rsidRDefault="00E40C31" w:rsidP="00E40C31">
      <w:r w:rsidRPr="005510BD">
        <w:t xml:space="preserve">What do these models tell us about nostalgia and the fear of crime? Model I suggests that variables familiar to researchers in this field were related to the fear of crime in these data too. </w:t>
      </w:r>
      <w:r w:rsidRPr="005510BD">
        <w:rPr>
          <w:i/>
        </w:rPr>
        <w:t xml:space="preserve">Gender </w:t>
      </w:r>
      <w:r w:rsidRPr="005510BD">
        <w:t>(females are more fear</w:t>
      </w:r>
      <w:r w:rsidR="00146E08" w:rsidRPr="005510BD">
        <w:t>ful</w:t>
      </w:r>
      <w:r w:rsidRPr="005510BD">
        <w:t xml:space="preserve"> than males, but see Sutton a</w:t>
      </w:r>
      <w:r w:rsidR="00A048BF" w:rsidRPr="005510BD">
        <w:t>n</w:t>
      </w:r>
      <w:r w:rsidRPr="005510BD">
        <w:t xml:space="preserve">d </w:t>
      </w:r>
      <w:proofErr w:type="spellStart"/>
      <w:r w:rsidRPr="005510BD">
        <w:t>Farrall</w:t>
      </w:r>
      <w:proofErr w:type="spellEnd"/>
      <w:r w:rsidRPr="005510BD">
        <w:t xml:space="preserve"> 2005), </w:t>
      </w:r>
      <w:r w:rsidRPr="005510BD">
        <w:rPr>
          <w:i/>
        </w:rPr>
        <w:t>Age</w:t>
      </w:r>
      <w:r w:rsidRPr="005510BD">
        <w:t xml:space="preserve"> (younger people are</w:t>
      </w:r>
      <w:r w:rsidR="00146E08" w:rsidRPr="005510BD">
        <w:t xml:space="preserve"> the </w:t>
      </w:r>
      <w:r w:rsidRPr="005510BD">
        <w:t>more fearful</w:t>
      </w:r>
      <w:r w:rsidR="00F67278" w:rsidRPr="005510BD">
        <w:t xml:space="preserve"> relative to older people</w:t>
      </w:r>
      <w:r w:rsidRPr="005510BD">
        <w:t xml:space="preserve">), </w:t>
      </w:r>
      <w:r w:rsidRPr="005510BD">
        <w:rPr>
          <w:i/>
        </w:rPr>
        <w:t>Finances</w:t>
      </w:r>
      <w:r w:rsidRPr="005510BD">
        <w:t xml:space="preserve"> (</w:t>
      </w:r>
      <w:r w:rsidR="00E60DB2" w:rsidRPr="005510BD">
        <w:t>feeling that one’s finances have got worse over the past 12 months</w:t>
      </w:r>
      <w:r w:rsidR="00A52A1A" w:rsidRPr="005510BD">
        <w:t xml:space="preserve">) are both related to fear of crime, such that </w:t>
      </w:r>
      <w:r w:rsidRPr="005510BD">
        <w:t xml:space="preserve">wealthier people are less fearful, being </w:t>
      </w:r>
      <w:r w:rsidRPr="005510BD">
        <w:rPr>
          <w:i/>
        </w:rPr>
        <w:t>degree educated</w:t>
      </w:r>
      <w:r w:rsidRPr="005510BD">
        <w:t xml:space="preserve"> (those with degree are less fearful) and not</w:t>
      </w:r>
      <w:r w:rsidR="001C3CFB" w:rsidRPr="005510BD">
        <w:t xml:space="preserve"> claiming welfare benefits (non-claimant</w:t>
      </w:r>
      <w:r w:rsidRPr="005510BD">
        <w:t>s are less fearful than those who claim) were all statistically significantly related to the fear of crime. Model I o</w:t>
      </w:r>
      <w:r w:rsidR="00217521" w:rsidRPr="005510BD">
        <w:t>nly explained about 9</w:t>
      </w:r>
      <w:r w:rsidRPr="005510BD">
        <w:t>% of the variance in fear, however</w:t>
      </w:r>
      <w:r w:rsidR="00F67278" w:rsidRPr="005510BD">
        <w:t xml:space="preserve">, and </w:t>
      </w:r>
      <w:r w:rsidR="00043963" w:rsidRPr="005510BD">
        <w:rPr>
          <w:i/>
        </w:rPr>
        <w:t>Age</w:t>
      </w:r>
      <w:r w:rsidR="00F67278" w:rsidRPr="005510BD">
        <w:t xml:space="preserve"> ceased to be statistically significantly related to fear after this model</w:t>
      </w:r>
      <w:r w:rsidRPr="005510BD">
        <w:t xml:space="preserve">. Entering areal data (Model II) improves the percentage of the variance explained (up to </w:t>
      </w:r>
      <w:r w:rsidR="00217521" w:rsidRPr="005510BD">
        <w:t>17</w:t>
      </w:r>
      <w:r w:rsidRPr="005510BD">
        <w:t xml:space="preserve">%), as both </w:t>
      </w:r>
      <w:r w:rsidRPr="005510BD">
        <w:rPr>
          <w:i/>
        </w:rPr>
        <w:t>IMD</w:t>
      </w:r>
      <w:r w:rsidRPr="005510BD">
        <w:t xml:space="preserve"> (those in the most deprived areas had higher levels of fear) and living in an </w:t>
      </w:r>
      <w:r w:rsidRPr="005510BD">
        <w:rPr>
          <w:i/>
        </w:rPr>
        <w:t>Urban</w:t>
      </w:r>
      <w:r w:rsidRPr="005510BD">
        <w:t xml:space="preserve"> area (those in urban areas were also most fearful) were statistically significant. Adding </w:t>
      </w:r>
      <w:r w:rsidRPr="005510BD">
        <w:rPr>
          <w:i/>
        </w:rPr>
        <w:t>Victimisation</w:t>
      </w:r>
      <w:r w:rsidRPr="005510BD">
        <w:t xml:space="preserve"> (Model III) impr</w:t>
      </w:r>
      <w:r w:rsidR="005A3AD7" w:rsidRPr="005510BD">
        <w:t>oves the percentage of variance</w:t>
      </w:r>
      <w:r w:rsidRPr="005510BD">
        <w:t xml:space="preserve"> exp</w:t>
      </w:r>
      <w:r w:rsidR="00217521" w:rsidRPr="005510BD">
        <w:t>lained, but only slightly (to 17.6</w:t>
      </w:r>
      <w:r w:rsidRPr="005510BD">
        <w:t xml:space="preserve">%). </w:t>
      </w:r>
      <w:r w:rsidRPr="005510BD">
        <w:rPr>
          <w:i/>
        </w:rPr>
        <w:t>Victimisation</w:t>
      </w:r>
      <w:r w:rsidRPr="005510BD">
        <w:t xml:space="preserve"> is, in keeping with other studies, associated with higher levels of fear. Model IV adds the </w:t>
      </w:r>
      <w:r w:rsidR="00043963" w:rsidRPr="005510BD">
        <w:rPr>
          <w:i/>
        </w:rPr>
        <w:t>N</w:t>
      </w:r>
      <w:r w:rsidRPr="005510BD">
        <w:rPr>
          <w:i/>
        </w:rPr>
        <w:t>ostalgia</w:t>
      </w:r>
      <w:r w:rsidRPr="005510BD">
        <w:t xml:space="preserve"> items</w:t>
      </w:r>
      <w:r w:rsidR="00217521" w:rsidRPr="005510BD">
        <w:t xml:space="preserve"> (as </w:t>
      </w:r>
      <w:r w:rsidR="005A3AD7" w:rsidRPr="005510BD">
        <w:t>one battery</w:t>
      </w:r>
      <w:r w:rsidR="00217521" w:rsidRPr="005510BD">
        <w:t>)</w:t>
      </w:r>
      <w:r w:rsidRPr="005510BD">
        <w:t xml:space="preserve">. </w:t>
      </w:r>
      <w:r w:rsidR="00217521" w:rsidRPr="005510BD">
        <w:t>This</w:t>
      </w:r>
      <w:r w:rsidR="00762AF1" w:rsidRPr="005510BD">
        <w:t xml:space="preserve"> </w:t>
      </w:r>
      <w:r w:rsidRPr="005510BD">
        <w:t>is statistically significant</w:t>
      </w:r>
      <w:r w:rsidR="00217521" w:rsidRPr="005510BD">
        <w:t xml:space="preserve">ly associated with the </w:t>
      </w:r>
      <w:r w:rsidR="00043963" w:rsidRPr="005510BD">
        <w:rPr>
          <w:i/>
        </w:rPr>
        <w:t>F</w:t>
      </w:r>
      <w:r w:rsidR="00217521" w:rsidRPr="005510BD">
        <w:rPr>
          <w:i/>
        </w:rPr>
        <w:t xml:space="preserve">ear of </w:t>
      </w:r>
      <w:r w:rsidR="00043963" w:rsidRPr="005510BD">
        <w:rPr>
          <w:i/>
        </w:rPr>
        <w:t>C</w:t>
      </w:r>
      <w:r w:rsidR="00217521" w:rsidRPr="005510BD">
        <w:rPr>
          <w:i/>
        </w:rPr>
        <w:t>rime</w:t>
      </w:r>
      <w:r w:rsidRPr="005510BD">
        <w:t xml:space="preserve"> (at the &lt;.000 level). The percentage of variance explained (when compared to Model III) does, however, increase</w:t>
      </w:r>
      <w:r w:rsidR="00217521" w:rsidRPr="005510BD">
        <w:t xml:space="preserve"> by 2.8</w:t>
      </w:r>
      <w:r w:rsidRPr="005510BD">
        <w:t xml:space="preserve"> percentage points. In short, the fear of crime appears to be related to </w:t>
      </w:r>
      <w:r w:rsidR="008B6E9F" w:rsidRPr="005510BD">
        <w:rPr>
          <w:i/>
        </w:rPr>
        <w:t>G</w:t>
      </w:r>
      <w:r w:rsidRPr="005510BD">
        <w:rPr>
          <w:i/>
        </w:rPr>
        <w:t xml:space="preserve">ender, </w:t>
      </w:r>
      <w:r w:rsidR="008B6E9F" w:rsidRPr="005510BD">
        <w:rPr>
          <w:i/>
        </w:rPr>
        <w:t>A</w:t>
      </w:r>
      <w:r w:rsidRPr="005510BD">
        <w:rPr>
          <w:i/>
        </w:rPr>
        <w:t xml:space="preserve">ge, </w:t>
      </w:r>
      <w:r w:rsidR="008B6E9F" w:rsidRPr="005510BD">
        <w:rPr>
          <w:i/>
        </w:rPr>
        <w:t>F</w:t>
      </w:r>
      <w:r w:rsidRPr="005510BD">
        <w:rPr>
          <w:i/>
        </w:rPr>
        <w:t>inanc</w:t>
      </w:r>
      <w:r w:rsidR="008B6E9F" w:rsidRPr="005510BD">
        <w:rPr>
          <w:i/>
        </w:rPr>
        <w:t>es</w:t>
      </w:r>
      <w:r w:rsidRPr="005510BD">
        <w:t>, degree of urbanism,</w:t>
      </w:r>
      <w:r w:rsidR="00F67278" w:rsidRPr="005510BD">
        <w:t xml:space="preserve"> deprivation</w:t>
      </w:r>
      <w:r w:rsidR="008B6E9F" w:rsidRPr="005510BD">
        <w:t xml:space="preserve"> (</w:t>
      </w:r>
      <w:r w:rsidR="008B6E9F" w:rsidRPr="005510BD">
        <w:rPr>
          <w:i/>
        </w:rPr>
        <w:t>IMD</w:t>
      </w:r>
      <w:r w:rsidR="008B6E9F" w:rsidRPr="005510BD">
        <w:t>)</w:t>
      </w:r>
      <w:r w:rsidR="00F67278" w:rsidRPr="005510BD">
        <w:t>,</w:t>
      </w:r>
      <w:r w:rsidRPr="005510BD">
        <w:t xml:space="preserve"> </w:t>
      </w:r>
      <w:r w:rsidR="008B6E9F" w:rsidRPr="005510BD">
        <w:rPr>
          <w:i/>
        </w:rPr>
        <w:t>V</w:t>
      </w:r>
      <w:r w:rsidRPr="005510BD">
        <w:rPr>
          <w:i/>
        </w:rPr>
        <w:t>ictimisation</w:t>
      </w:r>
      <w:r w:rsidRPr="005510BD">
        <w:t xml:space="preserve">, </w:t>
      </w:r>
      <w:r w:rsidR="00F67278" w:rsidRPr="005510BD">
        <w:t xml:space="preserve">and </w:t>
      </w:r>
      <w:r w:rsidR="008B6E9F" w:rsidRPr="005510BD">
        <w:rPr>
          <w:i/>
        </w:rPr>
        <w:t>N</w:t>
      </w:r>
      <w:r w:rsidRPr="005510BD">
        <w:rPr>
          <w:i/>
        </w:rPr>
        <w:t>ostalgia</w:t>
      </w:r>
      <w:r w:rsidRPr="005510BD">
        <w:t>.</w:t>
      </w:r>
    </w:p>
    <w:p w:rsidR="00602AA5" w:rsidRPr="005510BD" w:rsidRDefault="00602AA5" w:rsidP="00E40C31"/>
    <w:p w:rsidR="00602AA5" w:rsidRPr="005510BD" w:rsidRDefault="00602AA5" w:rsidP="00E40C31"/>
    <w:p w:rsidR="00602AA5" w:rsidRPr="005510BD" w:rsidRDefault="00602AA5" w:rsidP="00E40C31"/>
    <w:p w:rsidR="00602AA5" w:rsidRPr="005510BD" w:rsidRDefault="00602AA5" w:rsidP="00E40C31"/>
    <w:p w:rsidR="00602AA5" w:rsidRPr="005510BD" w:rsidRDefault="00602AA5" w:rsidP="00E40C31"/>
    <w:p w:rsidR="00602AA5" w:rsidRPr="005510BD" w:rsidRDefault="00602AA5" w:rsidP="00E40C31"/>
    <w:p w:rsidR="00602AA5" w:rsidRPr="005510BD" w:rsidRDefault="00602AA5" w:rsidP="00E40C31"/>
    <w:p w:rsidR="00602AA5" w:rsidRPr="005510BD" w:rsidRDefault="00602AA5" w:rsidP="00E40C31"/>
    <w:p w:rsidR="005A3AD7" w:rsidRPr="005510BD" w:rsidRDefault="005A3AD7" w:rsidP="00E40C31"/>
    <w:p w:rsidR="005A3AD7" w:rsidRPr="005510BD" w:rsidRDefault="005A3AD7" w:rsidP="00E40C31"/>
    <w:p w:rsidR="00602AA5" w:rsidRPr="005510BD" w:rsidRDefault="00602AA5" w:rsidP="00E40C31"/>
    <w:p w:rsidR="00602AA5" w:rsidRPr="005510BD" w:rsidRDefault="00602AA5" w:rsidP="00E40C31"/>
    <w:p w:rsidR="00602AA5" w:rsidRPr="005510BD" w:rsidRDefault="00602AA5" w:rsidP="00E40C31"/>
    <w:p w:rsidR="00602AA5" w:rsidRPr="005510BD" w:rsidRDefault="00602AA5" w:rsidP="00E40C31"/>
    <w:p w:rsidR="00054CCF" w:rsidRPr="005510BD" w:rsidRDefault="00EA442A" w:rsidP="00AF6665">
      <w:pPr>
        <w:tabs>
          <w:tab w:val="left" w:pos="5220"/>
        </w:tabs>
        <w:jc w:val="center"/>
        <w:rPr>
          <w:b/>
        </w:rPr>
      </w:pPr>
      <w:r w:rsidRPr="005510BD">
        <w:rPr>
          <w:b/>
        </w:rPr>
        <w:lastRenderedPageBreak/>
        <w:t>TABLE</w:t>
      </w:r>
      <w:r w:rsidR="00054CCF" w:rsidRPr="005510BD">
        <w:rPr>
          <w:b/>
        </w:rPr>
        <w:t xml:space="preserve"> </w:t>
      </w:r>
      <w:r w:rsidRPr="005510BD">
        <w:rPr>
          <w:b/>
        </w:rPr>
        <w:t>ONE</w:t>
      </w:r>
      <w:r w:rsidR="00054CCF" w:rsidRPr="005510BD">
        <w:rPr>
          <w:b/>
        </w:rPr>
        <w:t xml:space="preserve">: </w:t>
      </w:r>
      <w:r w:rsidRPr="005510BD">
        <w:rPr>
          <w:b/>
        </w:rPr>
        <w:t>FEAR OF CRIME AND NOSTALGIA MODELS</w:t>
      </w:r>
    </w:p>
    <w:tbl>
      <w:tblPr>
        <w:tblStyle w:val="TableGrid"/>
        <w:tblW w:w="0" w:type="auto"/>
        <w:tblInd w:w="285" w:type="dxa"/>
        <w:tblLook w:val="04A0" w:firstRow="1" w:lastRow="0" w:firstColumn="1" w:lastColumn="0" w:noHBand="0" w:noVBand="1"/>
      </w:tblPr>
      <w:tblGrid>
        <w:gridCol w:w="2687"/>
        <w:gridCol w:w="1488"/>
        <w:gridCol w:w="1489"/>
        <w:gridCol w:w="1488"/>
        <w:gridCol w:w="1489"/>
      </w:tblGrid>
      <w:tr w:rsidR="008B5EE7" w:rsidRPr="005510BD" w:rsidTr="005A4D63">
        <w:tc>
          <w:tcPr>
            <w:tcW w:w="2687" w:type="dxa"/>
          </w:tcPr>
          <w:p w:rsidR="008B5EE7" w:rsidRPr="005510BD" w:rsidRDefault="008B5EE7" w:rsidP="00054CCF">
            <w:pPr>
              <w:spacing w:after="160" w:line="259" w:lineRule="auto"/>
              <w:rPr>
                <w:b/>
              </w:rPr>
            </w:pPr>
          </w:p>
        </w:tc>
        <w:tc>
          <w:tcPr>
            <w:tcW w:w="1488" w:type="dxa"/>
          </w:tcPr>
          <w:p w:rsidR="008B5EE7" w:rsidRPr="005510BD" w:rsidRDefault="008B5EE7" w:rsidP="00054CCF">
            <w:pPr>
              <w:spacing w:after="160" w:line="259" w:lineRule="auto"/>
              <w:rPr>
                <w:b/>
              </w:rPr>
            </w:pPr>
            <w:r w:rsidRPr="005510BD">
              <w:rPr>
                <w:b/>
              </w:rPr>
              <w:t>Model I</w:t>
            </w:r>
          </w:p>
        </w:tc>
        <w:tc>
          <w:tcPr>
            <w:tcW w:w="1489" w:type="dxa"/>
          </w:tcPr>
          <w:p w:rsidR="008B5EE7" w:rsidRPr="005510BD" w:rsidRDefault="008B5EE7" w:rsidP="00054CCF">
            <w:pPr>
              <w:spacing w:after="160" w:line="259" w:lineRule="auto"/>
            </w:pPr>
            <w:r w:rsidRPr="005510BD">
              <w:rPr>
                <w:b/>
              </w:rPr>
              <w:t>Model II</w:t>
            </w:r>
          </w:p>
        </w:tc>
        <w:tc>
          <w:tcPr>
            <w:tcW w:w="1488" w:type="dxa"/>
          </w:tcPr>
          <w:p w:rsidR="008B5EE7" w:rsidRPr="005510BD" w:rsidRDefault="008B5EE7" w:rsidP="00054CCF">
            <w:pPr>
              <w:spacing w:after="160" w:line="259" w:lineRule="auto"/>
            </w:pPr>
            <w:r w:rsidRPr="005510BD">
              <w:rPr>
                <w:b/>
              </w:rPr>
              <w:t>Model III</w:t>
            </w:r>
          </w:p>
        </w:tc>
        <w:tc>
          <w:tcPr>
            <w:tcW w:w="1489" w:type="dxa"/>
          </w:tcPr>
          <w:p w:rsidR="008B5EE7" w:rsidRPr="005510BD" w:rsidRDefault="008B5EE7" w:rsidP="00054CCF">
            <w:pPr>
              <w:spacing w:after="160" w:line="259" w:lineRule="auto"/>
              <w:rPr>
                <w:b/>
              </w:rPr>
            </w:pPr>
            <w:r w:rsidRPr="005510BD">
              <w:rPr>
                <w:b/>
              </w:rPr>
              <w:t>Model IV</w:t>
            </w:r>
          </w:p>
        </w:tc>
      </w:tr>
      <w:tr w:rsidR="008B5EE7" w:rsidRPr="005510BD" w:rsidTr="005A4D63">
        <w:tc>
          <w:tcPr>
            <w:tcW w:w="2687" w:type="dxa"/>
          </w:tcPr>
          <w:p w:rsidR="008B5EE7" w:rsidRPr="005510BD" w:rsidRDefault="008B5EE7" w:rsidP="00AA7595">
            <w:pPr>
              <w:spacing w:after="160"/>
            </w:pPr>
            <w:r w:rsidRPr="005510BD">
              <w:t>Gender</w:t>
            </w:r>
            <w:r w:rsidR="002E7208" w:rsidRPr="005510BD">
              <w:t xml:space="preserve">     Male</w:t>
            </w:r>
          </w:p>
        </w:tc>
        <w:tc>
          <w:tcPr>
            <w:tcW w:w="1488" w:type="dxa"/>
          </w:tcPr>
          <w:p w:rsidR="008B5EE7" w:rsidRPr="005510BD" w:rsidRDefault="0016720D" w:rsidP="00AA7595">
            <w:pPr>
              <w:spacing w:after="160"/>
              <w:jc w:val="right"/>
              <w:rPr>
                <w:b/>
              </w:rPr>
            </w:pPr>
            <w:r w:rsidRPr="005510BD">
              <w:rPr>
                <w:b/>
              </w:rPr>
              <w:t>-</w:t>
            </w:r>
            <w:r w:rsidR="008B5EE7" w:rsidRPr="005510BD">
              <w:rPr>
                <w:b/>
              </w:rPr>
              <w:t>.</w:t>
            </w:r>
            <w:r w:rsidRPr="005510BD">
              <w:rPr>
                <w:b/>
              </w:rPr>
              <w:t>775</w:t>
            </w:r>
            <w:r w:rsidR="008B5EE7" w:rsidRPr="005510BD">
              <w:rPr>
                <w:b/>
              </w:rPr>
              <w:t xml:space="preserve"> (.000)</w:t>
            </w:r>
          </w:p>
        </w:tc>
        <w:tc>
          <w:tcPr>
            <w:tcW w:w="1489" w:type="dxa"/>
          </w:tcPr>
          <w:p w:rsidR="008B5EE7" w:rsidRPr="005510BD" w:rsidRDefault="00104030" w:rsidP="00AA7595">
            <w:pPr>
              <w:spacing w:after="160"/>
              <w:jc w:val="right"/>
              <w:rPr>
                <w:b/>
              </w:rPr>
            </w:pPr>
            <w:r w:rsidRPr="005510BD">
              <w:rPr>
                <w:b/>
              </w:rPr>
              <w:t>-</w:t>
            </w:r>
            <w:r w:rsidR="008B5EE7" w:rsidRPr="005510BD">
              <w:rPr>
                <w:b/>
              </w:rPr>
              <w:t>.</w:t>
            </w:r>
            <w:r w:rsidRPr="005510BD">
              <w:rPr>
                <w:b/>
              </w:rPr>
              <w:t>864</w:t>
            </w:r>
            <w:r w:rsidR="008B5EE7" w:rsidRPr="005510BD">
              <w:rPr>
                <w:b/>
              </w:rPr>
              <w:t xml:space="preserve"> (.000)</w:t>
            </w:r>
          </w:p>
        </w:tc>
        <w:tc>
          <w:tcPr>
            <w:tcW w:w="1488" w:type="dxa"/>
          </w:tcPr>
          <w:p w:rsidR="008B5EE7" w:rsidRPr="005510BD" w:rsidRDefault="00AA7595" w:rsidP="00AA7595">
            <w:pPr>
              <w:spacing w:after="160"/>
              <w:jc w:val="right"/>
              <w:rPr>
                <w:b/>
              </w:rPr>
            </w:pPr>
            <w:r w:rsidRPr="005510BD">
              <w:rPr>
                <w:b/>
              </w:rPr>
              <w:t>-</w:t>
            </w:r>
            <w:r w:rsidR="008B5EE7" w:rsidRPr="005510BD">
              <w:rPr>
                <w:b/>
              </w:rPr>
              <w:t>.</w:t>
            </w:r>
            <w:r w:rsidRPr="005510BD">
              <w:rPr>
                <w:b/>
              </w:rPr>
              <w:t>884</w:t>
            </w:r>
            <w:r w:rsidR="008B5EE7" w:rsidRPr="005510BD">
              <w:rPr>
                <w:b/>
              </w:rPr>
              <w:t xml:space="preserve"> (.000)</w:t>
            </w:r>
          </w:p>
        </w:tc>
        <w:tc>
          <w:tcPr>
            <w:tcW w:w="1489" w:type="dxa"/>
          </w:tcPr>
          <w:p w:rsidR="008B5EE7" w:rsidRPr="005510BD" w:rsidRDefault="00065145" w:rsidP="00AA7595">
            <w:pPr>
              <w:spacing w:after="160"/>
              <w:jc w:val="right"/>
              <w:rPr>
                <w:b/>
              </w:rPr>
            </w:pPr>
            <w:r w:rsidRPr="005510BD">
              <w:rPr>
                <w:b/>
              </w:rPr>
              <w:t>-</w:t>
            </w:r>
            <w:r w:rsidR="008B5EE7" w:rsidRPr="005510BD">
              <w:rPr>
                <w:b/>
              </w:rPr>
              <w:t>.9</w:t>
            </w:r>
            <w:r w:rsidRPr="005510BD">
              <w:rPr>
                <w:b/>
              </w:rPr>
              <w:t>05</w:t>
            </w:r>
            <w:r w:rsidR="008B5EE7" w:rsidRPr="005510BD">
              <w:rPr>
                <w:b/>
              </w:rPr>
              <w:t xml:space="preserve"> (.000)</w:t>
            </w:r>
          </w:p>
        </w:tc>
      </w:tr>
      <w:tr w:rsidR="00602AA5" w:rsidRPr="005510BD" w:rsidTr="005A4D63">
        <w:tc>
          <w:tcPr>
            <w:tcW w:w="2687" w:type="dxa"/>
          </w:tcPr>
          <w:p w:rsidR="00602AA5" w:rsidRPr="005510BD" w:rsidRDefault="002E7208" w:rsidP="00054CCF">
            <w:r w:rsidRPr="005510BD">
              <w:t xml:space="preserve">                  Female</w:t>
            </w:r>
          </w:p>
        </w:tc>
        <w:tc>
          <w:tcPr>
            <w:tcW w:w="1488" w:type="dxa"/>
          </w:tcPr>
          <w:p w:rsidR="00602AA5" w:rsidRPr="005510BD" w:rsidRDefault="0016720D" w:rsidP="0016720D">
            <w:pPr>
              <w:jc w:val="center"/>
              <w:rPr>
                <w:b/>
              </w:rPr>
            </w:pPr>
            <w:r w:rsidRPr="005510BD">
              <w:rPr>
                <w:b/>
              </w:rPr>
              <w:t>-</w:t>
            </w:r>
          </w:p>
        </w:tc>
        <w:tc>
          <w:tcPr>
            <w:tcW w:w="1489" w:type="dxa"/>
          </w:tcPr>
          <w:p w:rsidR="00602AA5" w:rsidRPr="005510BD" w:rsidRDefault="0016720D" w:rsidP="0016720D">
            <w:pPr>
              <w:jc w:val="center"/>
              <w:rPr>
                <w:b/>
              </w:rPr>
            </w:pPr>
            <w:r w:rsidRPr="005510BD">
              <w:rPr>
                <w:b/>
              </w:rPr>
              <w:t>-</w:t>
            </w:r>
          </w:p>
        </w:tc>
        <w:tc>
          <w:tcPr>
            <w:tcW w:w="1488" w:type="dxa"/>
          </w:tcPr>
          <w:p w:rsidR="00602AA5" w:rsidRPr="005510BD" w:rsidRDefault="0016720D" w:rsidP="0016720D">
            <w:pPr>
              <w:jc w:val="center"/>
              <w:rPr>
                <w:b/>
              </w:rPr>
            </w:pPr>
            <w:r w:rsidRPr="005510BD">
              <w:rPr>
                <w:b/>
              </w:rPr>
              <w:t>-</w:t>
            </w:r>
          </w:p>
        </w:tc>
        <w:tc>
          <w:tcPr>
            <w:tcW w:w="1489" w:type="dxa"/>
          </w:tcPr>
          <w:p w:rsidR="00602AA5" w:rsidRPr="005510BD" w:rsidRDefault="0016720D" w:rsidP="0016720D">
            <w:pPr>
              <w:jc w:val="center"/>
              <w:rPr>
                <w:b/>
              </w:rPr>
            </w:pPr>
            <w:r w:rsidRPr="005510BD">
              <w:rPr>
                <w:b/>
              </w:rPr>
              <w:t>-</w:t>
            </w:r>
          </w:p>
        </w:tc>
      </w:tr>
      <w:tr w:rsidR="008B5EE7" w:rsidRPr="005510BD" w:rsidTr="005A4D63">
        <w:tc>
          <w:tcPr>
            <w:tcW w:w="2687" w:type="dxa"/>
          </w:tcPr>
          <w:p w:rsidR="008B5EE7" w:rsidRPr="005510BD" w:rsidRDefault="008B5EE7" w:rsidP="00054CCF">
            <w:pPr>
              <w:spacing w:after="160" w:line="259" w:lineRule="auto"/>
            </w:pPr>
            <w:r w:rsidRPr="005510BD">
              <w:t>Age</w:t>
            </w:r>
            <w:r w:rsidR="002E7208" w:rsidRPr="005510BD">
              <w:t xml:space="preserve">           16-24</w:t>
            </w:r>
          </w:p>
        </w:tc>
        <w:tc>
          <w:tcPr>
            <w:tcW w:w="1488" w:type="dxa"/>
          </w:tcPr>
          <w:p w:rsidR="008B5EE7" w:rsidRPr="005510BD" w:rsidRDefault="008B5EE7" w:rsidP="00A375FD">
            <w:pPr>
              <w:spacing w:after="160" w:line="259" w:lineRule="auto"/>
              <w:jc w:val="right"/>
              <w:rPr>
                <w:b/>
              </w:rPr>
            </w:pPr>
            <w:r w:rsidRPr="005510BD">
              <w:rPr>
                <w:b/>
              </w:rPr>
              <w:t>.</w:t>
            </w:r>
            <w:r w:rsidR="00F15974" w:rsidRPr="005510BD">
              <w:rPr>
                <w:b/>
              </w:rPr>
              <w:t>917</w:t>
            </w:r>
            <w:r w:rsidRPr="005510BD">
              <w:rPr>
                <w:b/>
              </w:rPr>
              <w:t xml:space="preserve"> (.000)</w:t>
            </w:r>
          </w:p>
        </w:tc>
        <w:tc>
          <w:tcPr>
            <w:tcW w:w="1489" w:type="dxa"/>
          </w:tcPr>
          <w:p w:rsidR="008B5EE7" w:rsidRPr="005510BD" w:rsidRDefault="008B5EE7" w:rsidP="00BE5F78">
            <w:pPr>
              <w:spacing w:after="160" w:line="259" w:lineRule="auto"/>
              <w:jc w:val="right"/>
              <w:rPr>
                <w:b/>
              </w:rPr>
            </w:pPr>
            <w:r w:rsidRPr="005510BD">
              <w:rPr>
                <w:b/>
              </w:rPr>
              <w:t>.6</w:t>
            </w:r>
            <w:r w:rsidR="00104030" w:rsidRPr="005510BD">
              <w:rPr>
                <w:b/>
              </w:rPr>
              <w:t>30 (.000</w:t>
            </w:r>
            <w:r w:rsidRPr="005510BD">
              <w:rPr>
                <w:b/>
              </w:rPr>
              <w:t>)</w:t>
            </w:r>
          </w:p>
        </w:tc>
        <w:tc>
          <w:tcPr>
            <w:tcW w:w="1488" w:type="dxa"/>
          </w:tcPr>
          <w:p w:rsidR="008B5EE7" w:rsidRPr="005510BD" w:rsidRDefault="008B5EE7" w:rsidP="00653CF5">
            <w:pPr>
              <w:spacing w:after="160" w:line="259" w:lineRule="auto"/>
              <w:jc w:val="right"/>
              <w:rPr>
                <w:b/>
              </w:rPr>
            </w:pPr>
            <w:r w:rsidRPr="005510BD">
              <w:rPr>
                <w:b/>
              </w:rPr>
              <w:t>.</w:t>
            </w:r>
            <w:r w:rsidR="00AA7595" w:rsidRPr="005510BD">
              <w:rPr>
                <w:b/>
              </w:rPr>
              <w:t>558</w:t>
            </w:r>
            <w:r w:rsidRPr="005510BD">
              <w:rPr>
                <w:b/>
              </w:rPr>
              <w:t xml:space="preserve"> (.</w:t>
            </w:r>
            <w:r w:rsidR="00AA7595" w:rsidRPr="005510BD">
              <w:rPr>
                <w:b/>
              </w:rPr>
              <w:t>002</w:t>
            </w:r>
            <w:r w:rsidRPr="005510BD">
              <w:rPr>
                <w:b/>
              </w:rPr>
              <w:t>)</w:t>
            </w:r>
          </w:p>
        </w:tc>
        <w:tc>
          <w:tcPr>
            <w:tcW w:w="1489" w:type="dxa"/>
          </w:tcPr>
          <w:p w:rsidR="008B5EE7" w:rsidRPr="005510BD" w:rsidRDefault="008B5EE7" w:rsidP="00085E47">
            <w:pPr>
              <w:spacing w:after="160" w:line="259" w:lineRule="auto"/>
              <w:jc w:val="right"/>
              <w:rPr>
                <w:b/>
              </w:rPr>
            </w:pPr>
            <w:r w:rsidRPr="005510BD">
              <w:rPr>
                <w:b/>
              </w:rPr>
              <w:t>.</w:t>
            </w:r>
            <w:r w:rsidR="00065145" w:rsidRPr="005510BD">
              <w:rPr>
                <w:b/>
              </w:rPr>
              <w:t>768 (.000</w:t>
            </w:r>
            <w:r w:rsidRPr="005510BD">
              <w:rPr>
                <w:b/>
              </w:rPr>
              <w:t>)</w:t>
            </w:r>
          </w:p>
        </w:tc>
      </w:tr>
      <w:tr w:rsidR="00602AA5" w:rsidRPr="005510BD" w:rsidTr="005A4D63">
        <w:tc>
          <w:tcPr>
            <w:tcW w:w="2687" w:type="dxa"/>
          </w:tcPr>
          <w:p w:rsidR="00602AA5" w:rsidRPr="005510BD" w:rsidRDefault="002E7208" w:rsidP="00054CCF">
            <w:r w:rsidRPr="005510BD">
              <w:t xml:space="preserve">                  25-34</w:t>
            </w:r>
          </w:p>
        </w:tc>
        <w:tc>
          <w:tcPr>
            <w:tcW w:w="1488" w:type="dxa"/>
          </w:tcPr>
          <w:p w:rsidR="00602AA5" w:rsidRPr="005510BD" w:rsidRDefault="00F15974" w:rsidP="00A375FD">
            <w:pPr>
              <w:jc w:val="right"/>
              <w:rPr>
                <w:b/>
              </w:rPr>
            </w:pPr>
            <w:r w:rsidRPr="005510BD">
              <w:rPr>
                <w:b/>
              </w:rPr>
              <w:t>.691 (.000)</w:t>
            </w:r>
          </w:p>
        </w:tc>
        <w:tc>
          <w:tcPr>
            <w:tcW w:w="1489" w:type="dxa"/>
          </w:tcPr>
          <w:p w:rsidR="00602AA5" w:rsidRPr="005510BD" w:rsidRDefault="00104030" w:rsidP="00BE5F78">
            <w:pPr>
              <w:jc w:val="right"/>
              <w:rPr>
                <w:b/>
              </w:rPr>
            </w:pPr>
            <w:r w:rsidRPr="005510BD">
              <w:rPr>
                <w:b/>
              </w:rPr>
              <w:t>.324 (.043)</w:t>
            </w:r>
          </w:p>
        </w:tc>
        <w:tc>
          <w:tcPr>
            <w:tcW w:w="1488" w:type="dxa"/>
          </w:tcPr>
          <w:p w:rsidR="00602AA5" w:rsidRPr="005510BD" w:rsidRDefault="00AA7595" w:rsidP="00653CF5">
            <w:pPr>
              <w:jc w:val="right"/>
            </w:pPr>
            <w:r w:rsidRPr="005510BD">
              <w:t>.268 (.096)</w:t>
            </w:r>
          </w:p>
        </w:tc>
        <w:tc>
          <w:tcPr>
            <w:tcW w:w="1489" w:type="dxa"/>
          </w:tcPr>
          <w:p w:rsidR="00602AA5" w:rsidRPr="005510BD" w:rsidRDefault="00065145" w:rsidP="00085E47">
            <w:pPr>
              <w:jc w:val="right"/>
              <w:rPr>
                <w:b/>
              </w:rPr>
            </w:pPr>
            <w:r w:rsidRPr="005510BD">
              <w:rPr>
                <w:b/>
              </w:rPr>
              <w:t>.342 (.034)</w:t>
            </w:r>
          </w:p>
        </w:tc>
      </w:tr>
      <w:tr w:rsidR="00602AA5" w:rsidRPr="005510BD" w:rsidTr="005A4D63">
        <w:tc>
          <w:tcPr>
            <w:tcW w:w="2687" w:type="dxa"/>
          </w:tcPr>
          <w:p w:rsidR="00602AA5" w:rsidRPr="005510BD" w:rsidRDefault="002E7208" w:rsidP="00054CCF">
            <w:r w:rsidRPr="005510BD">
              <w:t xml:space="preserve">                  35-44</w:t>
            </w:r>
          </w:p>
        </w:tc>
        <w:tc>
          <w:tcPr>
            <w:tcW w:w="1488" w:type="dxa"/>
          </w:tcPr>
          <w:p w:rsidR="00602AA5" w:rsidRPr="005510BD" w:rsidRDefault="00F15974" w:rsidP="00A375FD">
            <w:pPr>
              <w:jc w:val="right"/>
              <w:rPr>
                <w:b/>
              </w:rPr>
            </w:pPr>
            <w:r w:rsidRPr="005510BD">
              <w:rPr>
                <w:b/>
              </w:rPr>
              <w:t>.436 (.006)</w:t>
            </w:r>
          </w:p>
        </w:tc>
        <w:tc>
          <w:tcPr>
            <w:tcW w:w="1489" w:type="dxa"/>
          </w:tcPr>
          <w:p w:rsidR="00602AA5" w:rsidRPr="005510BD" w:rsidRDefault="00104030" w:rsidP="00BE5F78">
            <w:pPr>
              <w:jc w:val="right"/>
            </w:pPr>
            <w:r w:rsidRPr="005510BD">
              <w:t>.152 (.343)</w:t>
            </w:r>
          </w:p>
        </w:tc>
        <w:tc>
          <w:tcPr>
            <w:tcW w:w="1488" w:type="dxa"/>
          </w:tcPr>
          <w:p w:rsidR="00602AA5" w:rsidRPr="005510BD" w:rsidRDefault="00AA7595" w:rsidP="00653CF5">
            <w:pPr>
              <w:jc w:val="right"/>
            </w:pPr>
            <w:r w:rsidRPr="005510BD">
              <w:t>.097 (.546)</w:t>
            </w:r>
          </w:p>
        </w:tc>
        <w:tc>
          <w:tcPr>
            <w:tcW w:w="1489" w:type="dxa"/>
          </w:tcPr>
          <w:p w:rsidR="00602AA5" w:rsidRPr="005510BD" w:rsidRDefault="00065145" w:rsidP="00085E47">
            <w:pPr>
              <w:jc w:val="right"/>
            </w:pPr>
            <w:r w:rsidRPr="005510BD">
              <w:t>.130 (.420)</w:t>
            </w:r>
          </w:p>
        </w:tc>
      </w:tr>
      <w:tr w:rsidR="00602AA5" w:rsidRPr="005510BD" w:rsidTr="005A4D63">
        <w:tc>
          <w:tcPr>
            <w:tcW w:w="2687" w:type="dxa"/>
          </w:tcPr>
          <w:p w:rsidR="00602AA5" w:rsidRPr="005510BD" w:rsidRDefault="002E7208" w:rsidP="00054CCF">
            <w:r w:rsidRPr="005510BD">
              <w:t xml:space="preserve">                  45-54</w:t>
            </w:r>
          </w:p>
        </w:tc>
        <w:tc>
          <w:tcPr>
            <w:tcW w:w="1488" w:type="dxa"/>
          </w:tcPr>
          <w:p w:rsidR="00602AA5" w:rsidRPr="005510BD" w:rsidRDefault="00F15974" w:rsidP="00A375FD">
            <w:pPr>
              <w:jc w:val="right"/>
              <w:rPr>
                <w:b/>
              </w:rPr>
            </w:pPr>
            <w:r w:rsidRPr="005510BD">
              <w:rPr>
                <w:b/>
              </w:rPr>
              <w:t>.413 (.007)</w:t>
            </w:r>
          </w:p>
        </w:tc>
        <w:tc>
          <w:tcPr>
            <w:tcW w:w="1489" w:type="dxa"/>
          </w:tcPr>
          <w:p w:rsidR="00602AA5" w:rsidRPr="005510BD" w:rsidRDefault="00104030" w:rsidP="00BE5F78">
            <w:pPr>
              <w:jc w:val="right"/>
            </w:pPr>
            <w:r w:rsidRPr="005510BD">
              <w:t>.220 (.159)</w:t>
            </w:r>
          </w:p>
        </w:tc>
        <w:tc>
          <w:tcPr>
            <w:tcW w:w="1488" w:type="dxa"/>
          </w:tcPr>
          <w:p w:rsidR="00602AA5" w:rsidRPr="005510BD" w:rsidRDefault="00AA7595" w:rsidP="00653CF5">
            <w:pPr>
              <w:jc w:val="right"/>
            </w:pPr>
            <w:r w:rsidRPr="005510BD">
              <w:t>.174 (.266)</w:t>
            </w:r>
          </w:p>
        </w:tc>
        <w:tc>
          <w:tcPr>
            <w:tcW w:w="1489" w:type="dxa"/>
          </w:tcPr>
          <w:p w:rsidR="00602AA5" w:rsidRPr="005510BD" w:rsidRDefault="00065145" w:rsidP="00085E47">
            <w:pPr>
              <w:jc w:val="right"/>
            </w:pPr>
            <w:r w:rsidRPr="005510BD">
              <w:t>.197 (.209)</w:t>
            </w:r>
          </w:p>
        </w:tc>
      </w:tr>
      <w:tr w:rsidR="00602AA5" w:rsidRPr="005510BD" w:rsidTr="005A4D63">
        <w:tc>
          <w:tcPr>
            <w:tcW w:w="2687" w:type="dxa"/>
          </w:tcPr>
          <w:p w:rsidR="00602AA5" w:rsidRPr="005510BD" w:rsidRDefault="002E7208" w:rsidP="00054CCF">
            <w:r w:rsidRPr="005510BD">
              <w:t xml:space="preserve">                  55-64</w:t>
            </w:r>
          </w:p>
        </w:tc>
        <w:tc>
          <w:tcPr>
            <w:tcW w:w="1488" w:type="dxa"/>
          </w:tcPr>
          <w:p w:rsidR="00602AA5" w:rsidRPr="005510BD" w:rsidRDefault="00F15974" w:rsidP="00A375FD">
            <w:pPr>
              <w:jc w:val="right"/>
              <w:rPr>
                <w:b/>
              </w:rPr>
            </w:pPr>
            <w:r w:rsidRPr="005510BD">
              <w:rPr>
                <w:b/>
              </w:rPr>
              <w:t>.420 (.008)</w:t>
            </w:r>
          </w:p>
        </w:tc>
        <w:tc>
          <w:tcPr>
            <w:tcW w:w="1489" w:type="dxa"/>
          </w:tcPr>
          <w:p w:rsidR="00602AA5" w:rsidRPr="005510BD" w:rsidRDefault="00104030" w:rsidP="00BE5F78">
            <w:pPr>
              <w:jc w:val="right"/>
            </w:pPr>
            <w:r w:rsidRPr="005510BD">
              <w:t>.227 (.156)</w:t>
            </w:r>
          </w:p>
        </w:tc>
        <w:tc>
          <w:tcPr>
            <w:tcW w:w="1488" w:type="dxa"/>
          </w:tcPr>
          <w:p w:rsidR="00602AA5" w:rsidRPr="005510BD" w:rsidRDefault="00AA7595" w:rsidP="00653CF5">
            <w:pPr>
              <w:jc w:val="right"/>
            </w:pPr>
            <w:r w:rsidRPr="005510BD">
              <w:t>.191 (.232)</w:t>
            </w:r>
          </w:p>
        </w:tc>
        <w:tc>
          <w:tcPr>
            <w:tcW w:w="1489" w:type="dxa"/>
          </w:tcPr>
          <w:p w:rsidR="00602AA5" w:rsidRPr="005510BD" w:rsidRDefault="00065145" w:rsidP="00085E47">
            <w:pPr>
              <w:jc w:val="right"/>
            </w:pPr>
            <w:r w:rsidRPr="005510BD">
              <w:t>.219 (.174)</w:t>
            </w:r>
          </w:p>
        </w:tc>
      </w:tr>
      <w:tr w:rsidR="00602AA5" w:rsidRPr="005510BD" w:rsidTr="005A4D63">
        <w:tc>
          <w:tcPr>
            <w:tcW w:w="2687" w:type="dxa"/>
          </w:tcPr>
          <w:p w:rsidR="00602AA5" w:rsidRPr="005510BD" w:rsidRDefault="002E7208" w:rsidP="00054CCF">
            <w:r w:rsidRPr="005510BD">
              <w:t xml:space="preserve">                  65-74</w:t>
            </w:r>
          </w:p>
        </w:tc>
        <w:tc>
          <w:tcPr>
            <w:tcW w:w="1488" w:type="dxa"/>
          </w:tcPr>
          <w:p w:rsidR="00602AA5" w:rsidRPr="005510BD" w:rsidRDefault="00F15974" w:rsidP="00A375FD">
            <w:pPr>
              <w:jc w:val="right"/>
            </w:pPr>
            <w:r w:rsidRPr="005510BD">
              <w:t>.058 (.699)</w:t>
            </w:r>
          </w:p>
        </w:tc>
        <w:tc>
          <w:tcPr>
            <w:tcW w:w="1489" w:type="dxa"/>
          </w:tcPr>
          <w:p w:rsidR="00602AA5" w:rsidRPr="005510BD" w:rsidRDefault="00104030" w:rsidP="00BE5F78">
            <w:pPr>
              <w:jc w:val="right"/>
            </w:pPr>
            <w:r w:rsidRPr="005510BD">
              <w:t>.019 (.900)</w:t>
            </w:r>
          </w:p>
        </w:tc>
        <w:tc>
          <w:tcPr>
            <w:tcW w:w="1488" w:type="dxa"/>
          </w:tcPr>
          <w:p w:rsidR="00602AA5" w:rsidRPr="005510BD" w:rsidRDefault="00AA7595" w:rsidP="00653CF5">
            <w:pPr>
              <w:jc w:val="right"/>
            </w:pPr>
            <w:r w:rsidRPr="005510BD">
              <w:t>.002 (.989)</w:t>
            </w:r>
          </w:p>
        </w:tc>
        <w:tc>
          <w:tcPr>
            <w:tcW w:w="1489" w:type="dxa"/>
          </w:tcPr>
          <w:p w:rsidR="00602AA5" w:rsidRPr="005510BD" w:rsidRDefault="00065145" w:rsidP="00085E47">
            <w:pPr>
              <w:jc w:val="right"/>
            </w:pPr>
            <w:r w:rsidRPr="005510BD">
              <w:t>.035 (.818)</w:t>
            </w:r>
          </w:p>
        </w:tc>
      </w:tr>
      <w:tr w:rsidR="0016720D" w:rsidRPr="005510BD" w:rsidTr="005A4D63">
        <w:tc>
          <w:tcPr>
            <w:tcW w:w="2687" w:type="dxa"/>
          </w:tcPr>
          <w:p w:rsidR="0016720D" w:rsidRPr="005510BD" w:rsidRDefault="0016720D" w:rsidP="0016720D">
            <w:r w:rsidRPr="005510BD">
              <w:t xml:space="preserve">                    &gt;75</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rPr>
                <w:b/>
              </w:rPr>
            </w:pPr>
            <w:r w:rsidRPr="005510BD">
              <w:rPr>
                <w:b/>
              </w:rPr>
              <w:t>-</w:t>
            </w:r>
          </w:p>
        </w:tc>
        <w:tc>
          <w:tcPr>
            <w:tcW w:w="1488" w:type="dxa"/>
          </w:tcPr>
          <w:p w:rsidR="0016720D" w:rsidRPr="005510BD" w:rsidRDefault="0016720D" w:rsidP="0016720D">
            <w:pPr>
              <w:jc w:val="center"/>
            </w:pPr>
            <w:r w:rsidRPr="005510BD">
              <w:rPr>
                <w:b/>
              </w:rPr>
              <w:t>-</w:t>
            </w:r>
          </w:p>
        </w:tc>
        <w:tc>
          <w:tcPr>
            <w:tcW w:w="1489" w:type="dxa"/>
          </w:tcPr>
          <w:p w:rsidR="0016720D" w:rsidRPr="005510BD" w:rsidRDefault="0016720D" w:rsidP="0016720D">
            <w:pPr>
              <w:jc w:val="center"/>
            </w:pPr>
            <w:r w:rsidRPr="005510BD">
              <w:rPr>
                <w:b/>
              </w:rPr>
              <w:t>-</w:t>
            </w:r>
          </w:p>
        </w:tc>
      </w:tr>
      <w:tr w:rsidR="008B5EE7" w:rsidRPr="005510BD" w:rsidTr="005A4D63">
        <w:tc>
          <w:tcPr>
            <w:tcW w:w="2687" w:type="dxa"/>
          </w:tcPr>
          <w:p w:rsidR="008B5EE7" w:rsidRPr="005510BD" w:rsidRDefault="008B5EE7" w:rsidP="00054CCF">
            <w:pPr>
              <w:spacing w:after="160" w:line="259" w:lineRule="auto"/>
            </w:pPr>
            <w:r w:rsidRPr="005510BD">
              <w:t>Finances</w:t>
            </w:r>
            <w:r w:rsidR="00D01594" w:rsidRPr="005510BD">
              <w:t xml:space="preserve">     lot worse</w:t>
            </w:r>
          </w:p>
        </w:tc>
        <w:tc>
          <w:tcPr>
            <w:tcW w:w="1488" w:type="dxa"/>
          </w:tcPr>
          <w:p w:rsidR="008B5EE7" w:rsidRPr="005510BD" w:rsidRDefault="00571997" w:rsidP="00A375FD">
            <w:pPr>
              <w:spacing w:after="160" w:line="259" w:lineRule="auto"/>
              <w:jc w:val="right"/>
              <w:rPr>
                <w:b/>
              </w:rPr>
            </w:pPr>
            <w:r w:rsidRPr="005510BD">
              <w:rPr>
                <w:b/>
              </w:rPr>
              <w:t>1</w:t>
            </w:r>
            <w:r w:rsidR="008B5EE7" w:rsidRPr="005510BD">
              <w:rPr>
                <w:b/>
              </w:rPr>
              <w:t>.</w:t>
            </w:r>
            <w:r w:rsidRPr="005510BD">
              <w:rPr>
                <w:b/>
              </w:rPr>
              <w:t>544</w:t>
            </w:r>
            <w:r w:rsidR="008B5EE7" w:rsidRPr="005510BD">
              <w:rPr>
                <w:b/>
              </w:rPr>
              <w:t xml:space="preserve"> (.000)</w:t>
            </w:r>
          </w:p>
        </w:tc>
        <w:tc>
          <w:tcPr>
            <w:tcW w:w="1489" w:type="dxa"/>
          </w:tcPr>
          <w:p w:rsidR="008B5EE7" w:rsidRPr="005510BD" w:rsidRDefault="00DA508C" w:rsidP="00DA508C">
            <w:pPr>
              <w:spacing w:after="160" w:line="259" w:lineRule="auto"/>
              <w:jc w:val="right"/>
              <w:rPr>
                <w:b/>
              </w:rPr>
            </w:pPr>
            <w:r w:rsidRPr="005510BD">
              <w:rPr>
                <w:b/>
              </w:rPr>
              <w:t>1</w:t>
            </w:r>
            <w:r w:rsidR="008B5EE7" w:rsidRPr="005510BD">
              <w:rPr>
                <w:b/>
              </w:rPr>
              <w:t>.</w:t>
            </w:r>
            <w:r w:rsidRPr="005510BD">
              <w:rPr>
                <w:b/>
              </w:rPr>
              <w:t>658</w:t>
            </w:r>
            <w:r w:rsidR="008B5EE7" w:rsidRPr="005510BD">
              <w:rPr>
                <w:b/>
              </w:rPr>
              <w:t xml:space="preserve"> (.000)</w:t>
            </w:r>
          </w:p>
        </w:tc>
        <w:tc>
          <w:tcPr>
            <w:tcW w:w="1488" w:type="dxa"/>
          </w:tcPr>
          <w:p w:rsidR="008B5EE7" w:rsidRPr="005510BD" w:rsidRDefault="00FF3EE5" w:rsidP="00FF3EE5">
            <w:pPr>
              <w:spacing w:after="160" w:line="259" w:lineRule="auto"/>
              <w:jc w:val="right"/>
              <w:rPr>
                <w:b/>
              </w:rPr>
            </w:pPr>
            <w:r w:rsidRPr="005510BD">
              <w:rPr>
                <w:b/>
              </w:rPr>
              <w:t>1</w:t>
            </w:r>
            <w:r w:rsidR="008B5EE7" w:rsidRPr="005510BD">
              <w:rPr>
                <w:b/>
              </w:rPr>
              <w:t>.</w:t>
            </w:r>
            <w:r w:rsidRPr="005510BD">
              <w:rPr>
                <w:b/>
              </w:rPr>
              <w:t>645</w:t>
            </w:r>
            <w:r w:rsidR="008B5EE7" w:rsidRPr="005510BD">
              <w:rPr>
                <w:b/>
              </w:rPr>
              <w:t xml:space="preserve"> (.000)</w:t>
            </w:r>
          </w:p>
        </w:tc>
        <w:tc>
          <w:tcPr>
            <w:tcW w:w="1489" w:type="dxa"/>
          </w:tcPr>
          <w:p w:rsidR="008B5EE7" w:rsidRPr="005510BD" w:rsidRDefault="00A928BF" w:rsidP="00085E47">
            <w:pPr>
              <w:spacing w:after="160" w:line="259" w:lineRule="auto"/>
              <w:jc w:val="right"/>
              <w:rPr>
                <w:b/>
              </w:rPr>
            </w:pPr>
            <w:r w:rsidRPr="005510BD">
              <w:rPr>
                <w:b/>
              </w:rPr>
              <w:t>1</w:t>
            </w:r>
            <w:r w:rsidR="008B5EE7" w:rsidRPr="005510BD">
              <w:rPr>
                <w:b/>
              </w:rPr>
              <w:t>.</w:t>
            </w:r>
            <w:r w:rsidRPr="005510BD">
              <w:rPr>
                <w:b/>
              </w:rPr>
              <w:t>633</w:t>
            </w:r>
            <w:r w:rsidR="008B5EE7" w:rsidRPr="005510BD">
              <w:rPr>
                <w:b/>
              </w:rPr>
              <w:t xml:space="preserve"> (.000)</w:t>
            </w:r>
          </w:p>
        </w:tc>
      </w:tr>
      <w:tr w:rsidR="00A928BF" w:rsidRPr="005510BD" w:rsidTr="005A4D63">
        <w:tc>
          <w:tcPr>
            <w:tcW w:w="2687" w:type="dxa"/>
          </w:tcPr>
          <w:p w:rsidR="00A928BF" w:rsidRPr="005510BD" w:rsidRDefault="00A928BF" w:rsidP="00A928BF">
            <w:r w:rsidRPr="005510BD">
              <w:t xml:space="preserve">                    little worse</w:t>
            </w:r>
          </w:p>
        </w:tc>
        <w:tc>
          <w:tcPr>
            <w:tcW w:w="1488" w:type="dxa"/>
          </w:tcPr>
          <w:p w:rsidR="00A928BF" w:rsidRPr="005510BD" w:rsidRDefault="00A928BF" w:rsidP="00A928BF">
            <w:pPr>
              <w:jc w:val="right"/>
              <w:rPr>
                <w:b/>
              </w:rPr>
            </w:pPr>
            <w:r w:rsidRPr="005510BD">
              <w:rPr>
                <w:b/>
              </w:rPr>
              <w:t>1.188 (.000)</w:t>
            </w:r>
          </w:p>
        </w:tc>
        <w:tc>
          <w:tcPr>
            <w:tcW w:w="1489" w:type="dxa"/>
          </w:tcPr>
          <w:p w:rsidR="00A928BF" w:rsidRPr="005510BD" w:rsidRDefault="00A928BF" w:rsidP="00A928BF">
            <w:pPr>
              <w:jc w:val="right"/>
              <w:rPr>
                <w:b/>
              </w:rPr>
            </w:pPr>
            <w:r w:rsidRPr="005510BD">
              <w:rPr>
                <w:b/>
              </w:rPr>
              <w:t>1.315 (.000)</w:t>
            </w:r>
          </w:p>
        </w:tc>
        <w:tc>
          <w:tcPr>
            <w:tcW w:w="1488" w:type="dxa"/>
          </w:tcPr>
          <w:p w:rsidR="00A928BF" w:rsidRPr="005510BD" w:rsidRDefault="00A928BF" w:rsidP="00A928BF">
            <w:pPr>
              <w:jc w:val="right"/>
              <w:rPr>
                <w:b/>
              </w:rPr>
            </w:pPr>
            <w:r w:rsidRPr="005510BD">
              <w:rPr>
                <w:b/>
              </w:rPr>
              <w:t>1.326 (.000)</w:t>
            </w:r>
          </w:p>
        </w:tc>
        <w:tc>
          <w:tcPr>
            <w:tcW w:w="1489" w:type="dxa"/>
          </w:tcPr>
          <w:p w:rsidR="00A928BF" w:rsidRPr="005510BD" w:rsidRDefault="00A928BF" w:rsidP="00A928BF">
            <w:pPr>
              <w:jc w:val="right"/>
              <w:rPr>
                <w:b/>
              </w:rPr>
            </w:pPr>
            <w:r w:rsidRPr="005510BD">
              <w:rPr>
                <w:b/>
              </w:rPr>
              <w:t>1.365 (.000)</w:t>
            </w:r>
          </w:p>
        </w:tc>
      </w:tr>
      <w:tr w:rsidR="00A928BF" w:rsidRPr="005510BD" w:rsidTr="005A4D63">
        <w:tc>
          <w:tcPr>
            <w:tcW w:w="2687" w:type="dxa"/>
          </w:tcPr>
          <w:p w:rsidR="00A928BF" w:rsidRPr="005510BD" w:rsidRDefault="00A928BF" w:rsidP="00A928BF">
            <w:r w:rsidRPr="005510BD">
              <w:t xml:space="preserve">                    the same</w:t>
            </w:r>
          </w:p>
        </w:tc>
        <w:tc>
          <w:tcPr>
            <w:tcW w:w="1488" w:type="dxa"/>
          </w:tcPr>
          <w:p w:rsidR="00A928BF" w:rsidRPr="005510BD" w:rsidRDefault="00A928BF" w:rsidP="00A928BF">
            <w:pPr>
              <w:jc w:val="right"/>
              <w:rPr>
                <w:b/>
              </w:rPr>
            </w:pPr>
            <w:r w:rsidRPr="005510BD">
              <w:rPr>
                <w:b/>
              </w:rPr>
              <w:t>.903 (.000)</w:t>
            </w:r>
          </w:p>
        </w:tc>
        <w:tc>
          <w:tcPr>
            <w:tcW w:w="1489" w:type="dxa"/>
          </w:tcPr>
          <w:p w:rsidR="00A928BF" w:rsidRPr="005510BD" w:rsidRDefault="00A928BF" w:rsidP="00A928BF">
            <w:pPr>
              <w:jc w:val="right"/>
              <w:rPr>
                <w:b/>
              </w:rPr>
            </w:pPr>
            <w:r w:rsidRPr="005510BD">
              <w:rPr>
                <w:b/>
              </w:rPr>
              <w:t>1.034 (.000)</w:t>
            </w:r>
          </w:p>
        </w:tc>
        <w:tc>
          <w:tcPr>
            <w:tcW w:w="1488" w:type="dxa"/>
          </w:tcPr>
          <w:p w:rsidR="00A928BF" w:rsidRPr="005510BD" w:rsidRDefault="00A928BF" w:rsidP="00A928BF">
            <w:pPr>
              <w:jc w:val="right"/>
              <w:rPr>
                <w:b/>
              </w:rPr>
            </w:pPr>
            <w:r w:rsidRPr="005510BD">
              <w:rPr>
                <w:b/>
              </w:rPr>
              <w:t>1.068 (.000)</w:t>
            </w:r>
          </w:p>
        </w:tc>
        <w:tc>
          <w:tcPr>
            <w:tcW w:w="1489" w:type="dxa"/>
          </w:tcPr>
          <w:p w:rsidR="00A928BF" w:rsidRPr="005510BD" w:rsidRDefault="00A928BF" w:rsidP="00A928BF">
            <w:pPr>
              <w:jc w:val="right"/>
              <w:rPr>
                <w:b/>
              </w:rPr>
            </w:pPr>
            <w:r w:rsidRPr="005510BD">
              <w:rPr>
                <w:b/>
              </w:rPr>
              <w:t>1.141 (.000)</w:t>
            </w:r>
          </w:p>
        </w:tc>
      </w:tr>
      <w:tr w:rsidR="00A928BF" w:rsidRPr="005510BD" w:rsidTr="005A4D63">
        <w:tc>
          <w:tcPr>
            <w:tcW w:w="2687" w:type="dxa"/>
          </w:tcPr>
          <w:p w:rsidR="00A928BF" w:rsidRPr="005510BD" w:rsidRDefault="00A928BF" w:rsidP="00A928BF">
            <w:r w:rsidRPr="005510BD">
              <w:t xml:space="preserve">                    little better</w:t>
            </w:r>
          </w:p>
        </w:tc>
        <w:tc>
          <w:tcPr>
            <w:tcW w:w="1488" w:type="dxa"/>
          </w:tcPr>
          <w:p w:rsidR="00A928BF" w:rsidRPr="005510BD" w:rsidRDefault="00A928BF" w:rsidP="00A928BF">
            <w:pPr>
              <w:jc w:val="right"/>
              <w:rPr>
                <w:b/>
              </w:rPr>
            </w:pPr>
            <w:r w:rsidRPr="005510BD">
              <w:rPr>
                <w:b/>
              </w:rPr>
              <w:t>.835 (.000)</w:t>
            </w:r>
          </w:p>
        </w:tc>
        <w:tc>
          <w:tcPr>
            <w:tcW w:w="1489" w:type="dxa"/>
          </w:tcPr>
          <w:p w:rsidR="00A928BF" w:rsidRPr="005510BD" w:rsidRDefault="00A928BF" w:rsidP="00A928BF">
            <w:pPr>
              <w:jc w:val="right"/>
              <w:rPr>
                <w:b/>
              </w:rPr>
            </w:pPr>
            <w:r w:rsidRPr="005510BD">
              <w:rPr>
                <w:b/>
              </w:rPr>
              <w:t>.950 (.000)</w:t>
            </w:r>
          </w:p>
        </w:tc>
        <w:tc>
          <w:tcPr>
            <w:tcW w:w="1488" w:type="dxa"/>
          </w:tcPr>
          <w:p w:rsidR="00A928BF" w:rsidRPr="005510BD" w:rsidRDefault="00A928BF" w:rsidP="00A928BF">
            <w:pPr>
              <w:jc w:val="right"/>
              <w:rPr>
                <w:b/>
              </w:rPr>
            </w:pPr>
            <w:r w:rsidRPr="005510BD">
              <w:rPr>
                <w:b/>
              </w:rPr>
              <w:t>.967 (.000)</w:t>
            </w:r>
          </w:p>
        </w:tc>
        <w:tc>
          <w:tcPr>
            <w:tcW w:w="1489" w:type="dxa"/>
          </w:tcPr>
          <w:p w:rsidR="00A928BF" w:rsidRPr="005510BD" w:rsidRDefault="00A928BF" w:rsidP="00A928BF">
            <w:pPr>
              <w:jc w:val="right"/>
              <w:rPr>
                <w:b/>
              </w:rPr>
            </w:pPr>
            <w:r w:rsidRPr="005510BD">
              <w:rPr>
                <w:b/>
              </w:rPr>
              <w:t>1.017 (.000)</w:t>
            </w:r>
          </w:p>
        </w:tc>
      </w:tr>
      <w:tr w:rsidR="0016720D" w:rsidRPr="005510BD" w:rsidTr="005A4D63">
        <w:tc>
          <w:tcPr>
            <w:tcW w:w="2687" w:type="dxa"/>
          </w:tcPr>
          <w:p w:rsidR="0016720D" w:rsidRPr="005510BD" w:rsidRDefault="0016720D" w:rsidP="0016720D">
            <w:r w:rsidRPr="005510BD">
              <w:t xml:space="preserve">                    lot better</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rPr>
                <w:b/>
              </w:rPr>
            </w:pPr>
            <w:r w:rsidRPr="005510BD">
              <w:rPr>
                <w:b/>
              </w:rPr>
              <w:t>-</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rPr>
                <w:b/>
              </w:rPr>
            </w:pPr>
            <w:r w:rsidRPr="005510BD">
              <w:rPr>
                <w:b/>
              </w:rPr>
              <w:t>-</w:t>
            </w:r>
          </w:p>
        </w:tc>
      </w:tr>
      <w:tr w:rsidR="008B5EE7" w:rsidRPr="005510BD" w:rsidTr="005A4D63">
        <w:tc>
          <w:tcPr>
            <w:tcW w:w="2687" w:type="dxa"/>
          </w:tcPr>
          <w:p w:rsidR="008B5EE7" w:rsidRPr="005510BD" w:rsidRDefault="008B5EE7" w:rsidP="00054CCF">
            <w:pPr>
              <w:spacing w:after="160" w:line="259" w:lineRule="auto"/>
            </w:pPr>
            <w:r w:rsidRPr="005510BD">
              <w:t>Religiosity</w:t>
            </w:r>
            <w:r w:rsidR="005A4D63" w:rsidRPr="005510BD">
              <w:t xml:space="preserve">  extremely</w:t>
            </w:r>
          </w:p>
        </w:tc>
        <w:tc>
          <w:tcPr>
            <w:tcW w:w="1488" w:type="dxa"/>
          </w:tcPr>
          <w:p w:rsidR="008B5EE7" w:rsidRPr="005510BD" w:rsidRDefault="008B5EE7" w:rsidP="00A375FD">
            <w:pPr>
              <w:spacing w:after="160" w:line="259" w:lineRule="auto"/>
              <w:jc w:val="right"/>
            </w:pPr>
            <w:r w:rsidRPr="005510BD">
              <w:t>-.</w:t>
            </w:r>
            <w:r w:rsidR="00831757" w:rsidRPr="005510BD">
              <w:t>094 (.696</w:t>
            </w:r>
            <w:r w:rsidRPr="005510BD">
              <w:t>)</w:t>
            </w:r>
          </w:p>
        </w:tc>
        <w:tc>
          <w:tcPr>
            <w:tcW w:w="1489" w:type="dxa"/>
          </w:tcPr>
          <w:p w:rsidR="008B5EE7" w:rsidRPr="005510BD" w:rsidRDefault="009D3542" w:rsidP="00BE5F78">
            <w:pPr>
              <w:spacing w:after="160" w:line="259" w:lineRule="auto"/>
              <w:jc w:val="right"/>
            </w:pPr>
            <w:r w:rsidRPr="005510BD">
              <w:t>-</w:t>
            </w:r>
            <w:r w:rsidR="008B5EE7" w:rsidRPr="005510BD">
              <w:t>.</w:t>
            </w:r>
            <w:r w:rsidRPr="005510BD">
              <w:t>196</w:t>
            </w:r>
            <w:r w:rsidR="008B5EE7" w:rsidRPr="005510BD">
              <w:t xml:space="preserve"> (.</w:t>
            </w:r>
            <w:r w:rsidRPr="005510BD">
              <w:t>41</w:t>
            </w:r>
            <w:r w:rsidR="008B5EE7" w:rsidRPr="005510BD">
              <w:t>9)</w:t>
            </w:r>
          </w:p>
        </w:tc>
        <w:tc>
          <w:tcPr>
            <w:tcW w:w="1488" w:type="dxa"/>
          </w:tcPr>
          <w:p w:rsidR="008B5EE7" w:rsidRPr="005510BD" w:rsidRDefault="008B62D0" w:rsidP="008B62D0">
            <w:pPr>
              <w:spacing w:after="160" w:line="259" w:lineRule="auto"/>
              <w:jc w:val="right"/>
            </w:pPr>
            <w:r w:rsidRPr="005510BD">
              <w:t>-</w:t>
            </w:r>
            <w:r w:rsidR="008B5EE7" w:rsidRPr="005510BD">
              <w:t>.</w:t>
            </w:r>
            <w:r w:rsidRPr="005510BD">
              <w:t>222</w:t>
            </w:r>
            <w:r w:rsidR="008B5EE7" w:rsidRPr="005510BD">
              <w:t xml:space="preserve"> (.</w:t>
            </w:r>
            <w:r w:rsidRPr="005510BD">
              <w:t>360</w:t>
            </w:r>
            <w:r w:rsidR="008B5EE7" w:rsidRPr="005510BD">
              <w:t>)</w:t>
            </w:r>
          </w:p>
        </w:tc>
        <w:tc>
          <w:tcPr>
            <w:tcW w:w="1489" w:type="dxa"/>
          </w:tcPr>
          <w:p w:rsidR="008B5EE7" w:rsidRPr="005510BD" w:rsidRDefault="00694DA4" w:rsidP="00085E47">
            <w:pPr>
              <w:spacing w:after="160" w:line="259" w:lineRule="auto"/>
              <w:jc w:val="right"/>
            </w:pPr>
            <w:r w:rsidRPr="005510BD">
              <w:t>-</w:t>
            </w:r>
            <w:r w:rsidR="008B5EE7" w:rsidRPr="005510BD">
              <w:t>.</w:t>
            </w:r>
            <w:r w:rsidRPr="005510BD">
              <w:t>312 (.200</w:t>
            </w:r>
            <w:r w:rsidR="008B5EE7" w:rsidRPr="005510BD">
              <w:t>)</w:t>
            </w:r>
          </w:p>
        </w:tc>
      </w:tr>
      <w:tr w:rsidR="00602AA5" w:rsidRPr="005510BD" w:rsidTr="005A4D63">
        <w:tc>
          <w:tcPr>
            <w:tcW w:w="2687" w:type="dxa"/>
          </w:tcPr>
          <w:p w:rsidR="00602AA5" w:rsidRPr="005510BD" w:rsidRDefault="005A4D63" w:rsidP="00054CCF">
            <w:r w:rsidRPr="005510BD">
              <w:t xml:space="preserve">                     very</w:t>
            </w:r>
          </w:p>
        </w:tc>
        <w:tc>
          <w:tcPr>
            <w:tcW w:w="1488" w:type="dxa"/>
          </w:tcPr>
          <w:p w:rsidR="00602AA5" w:rsidRPr="005510BD" w:rsidRDefault="00831757" w:rsidP="00A375FD">
            <w:pPr>
              <w:jc w:val="right"/>
            </w:pPr>
            <w:r w:rsidRPr="005510BD">
              <w:t>.189 (.140)</w:t>
            </w:r>
          </w:p>
        </w:tc>
        <w:tc>
          <w:tcPr>
            <w:tcW w:w="1489" w:type="dxa"/>
          </w:tcPr>
          <w:p w:rsidR="00602AA5" w:rsidRPr="005510BD" w:rsidRDefault="009D3542" w:rsidP="00BE5F78">
            <w:pPr>
              <w:jc w:val="right"/>
            </w:pPr>
            <w:r w:rsidRPr="005510BD">
              <w:t>.079 (.541)</w:t>
            </w:r>
          </w:p>
        </w:tc>
        <w:tc>
          <w:tcPr>
            <w:tcW w:w="1488" w:type="dxa"/>
          </w:tcPr>
          <w:p w:rsidR="00602AA5" w:rsidRPr="005510BD" w:rsidRDefault="008B62D0" w:rsidP="00085E47">
            <w:pPr>
              <w:jc w:val="right"/>
            </w:pPr>
            <w:r w:rsidRPr="005510BD">
              <w:t>.052 (.685)</w:t>
            </w:r>
          </w:p>
        </w:tc>
        <w:tc>
          <w:tcPr>
            <w:tcW w:w="1489" w:type="dxa"/>
          </w:tcPr>
          <w:p w:rsidR="00602AA5" w:rsidRPr="005510BD" w:rsidRDefault="00694DA4" w:rsidP="00085E47">
            <w:pPr>
              <w:jc w:val="right"/>
            </w:pPr>
            <w:r w:rsidRPr="005510BD">
              <w:t>-.076 (.556)</w:t>
            </w:r>
          </w:p>
        </w:tc>
      </w:tr>
      <w:tr w:rsidR="00602AA5" w:rsidRPr="005510BD" w:rsidTr="005A4D63">
        <w:tc>
          <w:tcPr>
            <w:tcW w:w="2687" w:type="dxa"/>
          </w:tcPr>
          <w:p w:rsidR="00602AA5" w:rsidRPr="005510BD" w:rsidRDefault="005A4D63" w:rsidP="00054CCF">
            <w:r w:rsidRPr="005510BD">
              <w:t xml:space="preserve">                     somewhat</w:t>
            </w:r>
          </w:p>
        </w:tc>
        <w:tc>
          <w:tcPr>
            <w:tcW w:w="1488" w:type="dxa"/>
          </w:tcPr>
          <w:p w:rsidR="00602AA5" w:rsidRPr="005510BD" w:rsidRDefault="00831757" w:rsidP="00A375FD">
            <w:pPr>
              <w:jc w:val="right"/>
              <w:rPr>
                <w:b/>
              </w:rPr>
            </w:pPr>
            <w:r w:rsidRPr="005510BD">
              <w:rPr>
                <w:b/>
              </w:rPr>
              <w:t>.157 (.038)</w:t>
            </w:r>
          </w:p>
        </w:tc>
        <w:tc>
          <w:tcPr>
            <w:tcW w:w="1489" w:type="dxa"/>
          </w:tcPr>
          <w:p w:rsidR="00602AA5" w:rsidRPr="005510BD" w:rsidRDefault="009D3542" w:rsidP="00BE5F78">
            <w:pPr>
              <w:jc w:val="right"/>
              <w:rPr>
                <w:b/>
              </w:rPr>
            </w:pPr>
            <w:r w:rsidRPr="005510BD">
              <w:rPr>
                <w:b/>
              </w:rPr>
              <w:t>.152 (.046)</w:t>
            </w:r>
          </w:p>
        </w:tc>
        <w:tc>
          <w:tcPr>
            <w:tcW w:w="1488" w:type="dxa"/>
          </w:tcPr>
          <w:p w:rsidR="00602AA5" w:rsidRPr="005510BD" w:rsidRDefault="008B62D0" w:rsidP="00085E47">
            <w:pPr>
              <w:jc w:val="right"/>
            </w:pPr>
            <w:r w:rsidRPr="005510BD">
              <w:t>.132 (.068)</w:t>
            </w:r>
          </w:p>
        </w:tc>
        <w:tc>
          <w:tcPr>
            <w:tcW w:w="1489" w:type="dxa"/>
          </w:tcPr>
          <w:p w:rsidR="00602AA5" w:rsidRPr="005510BD" w:rsidRDefault="00694DA4" w:rsidP="00085E47">
            <w:pPr>
              <w:jc w:val="right"/>
            </w:pPr>
            <w:r w:rsidRPr="005510BD">
              <w:t>.049 (.521)</w:t>
            </w:r>
          </w:p>
        </w:tc>
      </w:tr>
      <w:tr w:rsidR="00602AA5" w:rsidRPr="005510BD" w:rsidTr="005A4D63">
        <w:tc>
          <w:tcPr>
            <w:tcW w:w="2687" w:type="dxa"/>
          </w:tcPr>
          <w:p w:rsidR="00602AA5" w:rsidRPr="005510BD" w:rsidRDefault="005A4D63" w:rsidP="00054CCF">
            <w:r w:rsidRPr="005510BD">
              <w:t xml:space="preserve">                     neither</w:t>
            </w:r>
          </w:p>
        </w:tc>
        <w:tc>
          <w:tcPr>
            <w:tcW w:w="1488" w:type="dxa"/>
          </w:tcPr>
          <w:p w:rsidR="00602AA5" w:rsidRPr="005510BD" w:rsidRDefault="00831757" w:rsidP="00831757">
            <w:pPr>
              <w:jc w:val="right"/>
            </w:pPr>
            <w:r w:rsidRPr="005510BD">
              <w:t>.154 (.084)</w:t>
            </w:r>
          </w:p>
        </w:tc>
        <w:tc>
          <w:tcPr>
            <w:tcW w:w="1489" w:type="dxa"/>
          </w:tcPr>
          <w:p w:rsidR="00602AA5" w:rsidRPr="005510BD" w:rsidRDefault="005802C1" w:rsidP="00BE5F78">
            <w:pPr>
              <w:jc w:val="right"/>
            </w:pPr>
            <w:r w:rsidRPr="005510BD">
              <w:t>.130 (.148)</w:t>
            </w:r>
          </w:p>
        </w:tc>
        <w:tc>
          <w:tcPr>
            <w:tcW w:w="1488" w:type="dxa"/>
          </w:tcPr>
          <w:p w:rsidR="00602AA5" w:rsidRPr="005510BD" w:rsidRDefault="008B62D0" w:rsidP="00085E47">
            <w:pPr>
              <w:jc w:val="right"/>
            </w:pPr>
            <w:r w:rsidRPr="005510BD">
              <w:t>.127 (.158)</w:t>
            </w:r>
          </w:p>
        </w:tc>
        <w:tc>
          <w:tcPr>
            <w:tcW w:w="1489" w:type="dxa"/>
          </w:tcPr>
          <w:p w:rsidR="00602AA5" w:rsidRPr="005510BD" w:rsidRDefault="00090DBA" w:rsidP="00085E47">
            <w:pPr>
              <w:jc w:val="right"/>
            </w:pPr>
            <w:r w:rsidRPr="005510BD">
              <w:t>.033 (.719)</w:t>
            </w:r>
          </w:p>
        </w:tc>
      </w:tr>
      <w:tr w:rsidR="00602AA5" w:rsidRPr="005510BD" w:rsidTr="005A4D63">
        <w:tc>
          <w:tcPr>
            <w:tcW w:w="2687" w:type="dxa"/>
          </w:tcPr>
          <w:p w:rsidR="00602AA5" w:rsidRPr="005510BD" w:rsidRDefault="005A4D63" w:rsidP="005A4D63">
            <w:r w:rsidRPr="005510BD">
              <w:t xml:space="preserve">                     somewhat un</w:t>
            </w:r>
          </w:p>
        </w:tc>
        <w:tc>
          <w:tcPr>
            <w:tcW w:w="1488" w:type="dxa"/>
          </w:tcPr>
          <w:p w:rsidR="00602AA5" w:rsidRPr="005510BD" w:rsidRDefault="00831757" w:rsidP="00A375FD">
            <w:pPr>
              <w:jc w:val="right"/>
            </w:pPr>
            <w:r w:rsidRPr="005510BD">
              <w:t>.135 (.137)</w:t>
            </w:r>
          </w:p>
        </w:tc>
        <w:tc>
          <w:tcPr>
            <w:tcW w:w="1489" w:type="dxa"/>
          </w:tcPr>
          <w:p w:rsidR="00602AA5" w:rsidRPr="005510BD" w:rsidRDefault="005802C1" w:rsidP="00BE5F78">
            <w:pPr>
              <w:jc w:val="right"/>
            </w:pPr>
            <w:r w:rsidRPr="005510BD">
              <w:t>.176 (.073)</w:t>
            </w:r>
          </w:p>
        </w:tc>
        <w:tc>
          <w:tcPr>
            <w:tcW w:w="1488" w:type="dxa"/>
          </w:tcPr>
          <w:p w:rsidR="00602AA5" w:rsidRPr="005510BD" w:rsidRDefault="008B62D0" w:rsidP="00085E47">
            <w:pPr>
              <w:jc w:val="right"/>
            </w:pPr>
            <w:r w:rsidRPr="005510BD">
              <w:t>.181 (.066)</w:t>
            </w:r>
          </w:p>
        </w:tc>
        <w:tc>
          <w:tcPr>
            <w:tcW w:w="1489" w:type="dxa"/>
          </w:tcPr>
          <w:p w:rsidR="00602AA5" w:rsidRPr="005510BD" w:rsidRDefault="00090DBA" w:rsidP="00085E47">
            <w:pPr>
              <w:jc w:val="right"/>
            </w:pPr>
            <w:r w:rsidRPr="005510BD">
              <w:t>.139 (.160)</w:t>
            </w:r>
          </w:p>
        </w:tc>
      </w:tr>
      <w:tr w:rsidR="00602AA5" w:rsidRPr="005510BD" w:rsidTr="005A4D63">
        <w:tc>
          <w:tcPr>
            <w:tcW w:w="2687" w:type="dxa"/>
          </w:tcPr>
          <w:p w:rsidR="00602AA5" w:rsidRPr="005510BD" w:rsidRDefault="005A4D63" w:rsidP="00054CCF">
            <w:r w:rsidRPr="005510BD">
              <w:t xml:space="preserve">                     very un</w:t>
            </w:r>
          </w:p>
        </w:tc>
        <w:tc>
          <w:tcPr>
            <w:tcW w:w="1488" w:type="dxa"/>
          </w:tcPr>
          <w:p w:rsidR="00602AA5" w:rsidRPr="005510BD" w:rsidRDefault="00831757" w:rsidP="00A375FD">
            <w:pPr>
              <w:jc w:val="right"/>
            </w:pPr>
            <w:r w:rsidRPr="005510BD">
              <w:t>.162 (.189)</w:t>
            </w:r>
          </w:p>
        </w:tc>
        <w:tc>
          <w:tcPr>
            <w:tcW w:w="1489" w:type="dxa"/>
          </w:tcPr>
          <w:p w:rsidR="00602AA5" w:rsidRPr="005510BD" w:rsidRDefault="005802C1" w:rsidP="00BE5F78">
            <w:pPr>
              <w:jc w:val="right"/>
            </w:pPr>
            <w:r w:rsidRPr="005510BD">
              <w:t>.120 (.337)</w:t>
            </w:r>
          </w:p>
        </w:tc>
        <w:tc>
          <w:tcPr>
            <w:tcW w:w="1488" w:type="dxa"/>
          </w:tcPr>
          <w:p w:rsidR="00602AA5" w:rsidRPr="005510BD" w:rsidRDefault="008B62D0" w:rsidP="00085E47">
            <w:pPr>
              <w:jc w:val="right"/>
            </w:pPr>
            <w:r w:rsidRPr="005510BD">
              <w:t>.127 (.308)</w:t>
            </w:r>
          </w:p>
        </w:tc>
        <w:tc>
          <w:tcPr>
            <w:tcW w:w="1489" w:type="dxa"/>
          </w:tcPr>
          <w:p w:rsidR="00602AA5" w:rsidRPr="005510BD" w:rsidRDefault="00090DBA" w:rsidP="00085E47">
            <w:pPr>
              <w:jc w:val="right"/>
            </w:pPr>
            <w:r w:rsidRPr="005510BD">
              <w:t>.018 (.885)</w:t>
            </w:r>
          </w:p>
        </w:tc>
      </w:tr>
      <w:tr w:rsidR="0016720D" w:rsidRPr="005510BD" w:rsidTr="005A4D63">
        <w:tc>
          <w:tcPr>
            <w:tcW w:w="2687" w:type="dxa"/>
          </w:tcPr>
          <w:p w:rsidR="0016720D" w:rsidRPr="005510BD" w:rsidRDefault="0016720D" w:rsidP="0016720D">
            <w:r w:rsidRPr="005510BD">
              <w:t xml:space="preserve">                     extremely un</w:t>
            </w:r>
          </w:p>
        </w:tc>
        <w:tc>
          <w:tcPr>
            <w:tcW w:w="1488" w:type="dxa"/>
          </w:tcPr>
          <w:p w:rsidR="0016720D" w:rsidRPr="005510BD" w:rsidRDefault="0016720D" w:rsidP="0016720D">
            <w:pPr>
              <w:jc w:val="center"/>
            </w:pPr>
            <w:r w:rsidRPr="005510BD">
              <w:rPr>
                <w:b/>
              </w:rPr>
              <w:t>-</w:t>
            </w:r>
          </w:p>
        </w:tc>
        <w:tc>
          <w:tcPr>
            <w:tcW w:w="1489" w:type="dxa"/>
          </w:tcPr>
          <w:p w:rsidR="0016720D" w:rsidRPr="005510BD" w:rsidRDefault="0016720D" w:rsidP="0016720D">
            <w:pPr>
              <w:jc w:val="center"/>
            </w:pPr>
            <w:r w:rsidRPr="005510BD">
              <w:rPr>
                <w:b/>
              </w:rPr>
              <w:t>-</w:t>
            </w:r>
          </w:p>
        </w:tc>
        <w:tc>
          <w:tcPr>
            <w:tcW w:w="1488" w:type="dxa"/>
          </w:tcPr>
          <w:p w:rsidR="0016720D" w:rsidRPr="005510BD" w:rsidRDefault="0016720D" w:rsidP="0016720D">
            <w:pPr>
              <w:jc w:val="center"/>
            </w:pPr>
            <w:r w:rsidRPr="005510BD">
              <w:rPr>
                <w:b/>
              </w:rPr>
              <w:t>-</w:t>
            </w:r>
          </w:p>
        </w:tc>
        <w:tc>
          <w:tcPr>
            <w:tcW w:w="1489" w:type="dxa"/>
          </w:tcPr>
          <w:p w:rsidR="0016720D" w:rsidRPr="005510BD" w:rsidRDefault="0016720D" w:rsidP="0016720D">
            <w:pPr>
              <w:jc w:val="center"/>
            </w:pPr>
            <w:r w:rsidRPr="005510BD">
              <w:rPr>
                <w:b/>
              </w:rPr>
              <w:t>-</w:t>
            </w:r>
          </w:p>
        </w:tc>
      </w:tr>
      <w:tr w:rsidR="008B5EE7" w:rsidRPr="005510BD" w:rsidTr="005A4D63">
        <w:tc>
          <w:tcPr>
            <w:tcW w:w="2687" w:type="dxa"/>
          </w:tcPr>
          <w:p w:rsidR="008B5EE7" w:rsidRPr="005510BD" w:rsidRDefault="008B5EE7" w:rsidP="00054CCF">
            <w:pPr>
              <w:spacing w:after="160" w:line="259" w:lineRule="auto"/>
            </w:pPr>
            <w:r w:rsidRPr="005510BD">
              <w:t>Deg Educated</w:t>
            </w:r>
            <w:r w:rsidR="005A4D63" w:rsidRPr="005510BD">
              <w:t xml:space="preserve">       yes</w:t>
            </w:r>
          </w:p>
        </w:tc>
        <w:tc>
          <w:tcPr>
            <w:tcW w:w="1488" w:type="dxa"/>
          </w:tcPr>
          <w:p w:rsidR="008B5EE7" w:rsidRPr="005510BD" w:rsidRDefault="007A33A0" w:rsidP="00A375FD">
            <w:pPr>
              <w:spacing w:after="160" w:line="259" w:lineRule="auto"/>
              <w:jc w:val="right"/>
              <w:rPr>
                <w:b/>
              </w:rPr>
            </w:pPr>
            <w:r w:rsidRPr="005510BD">
              <w:rPr>
                <w:b/>
              </w:rPr>
              <w:t>-</w:t>
            </w:r>
            <w:r w:rsidR="008B5EE7" w:rsidRPr="005510BD">
              <w:rPr>
                <w:b/>
              </w:rPr>
              <w:t>.</w:t>
            </w:r>
            <w:r w:rsidRPr="005510BD">
              <w:rPr>
                <w:b/>
              </w:rPr>
              <w:t>348 (.000</w:t>
            </w:r>
            <w:r w:rsidR="008B5EE7" w:rsidRPr="005510BD">
              <w:rPr>
                <w:b/>
              </w:rPr>
              <w:t>)</w:t>
            </w:r>
          </w:p>
        </w:tc>
        <w:tc>
          <w:tcPr>
            <w:tcW w:w="1489" w:type="dxa"/>
          </w:tcPr>
          <w:p w:rsidR="008B5EE7" w:rsidRPr="005510BD" w:rsidRDefault="00747EBB" w:rsidP="00BE5F78">
            <w:pPr>
              <w:spacing w:after="160" w:line="259" w:lineRule="auto"/>
              <w:jc w:val="right"/>
              <w:rPr>
                <w:b/>
              </w:rPr>
            </w:pPr>
            <w:r w:rsidRPr="005510BD">
              <w:rPr>
                <w:b/>
              </w:rPr>
              <w:t>-</w:t>
            </w:r>
            <w:r w:rsidR="008B5EE7" w:rsidRPr="005510BD">
              <w:rPr>
                <w:b/>
              </w:rPr>
              <w:t>.</w:t>
            </w:r>
            <w:r w:rsidRPr="005510BD">
              <w:rPr>
                <w:b/>
              </w:rPr>
              <w:t>264 (.00</w:t>
            </w:r>
            <w:r w:rsidR="008B5EE7" w:rsidRPr="005510BD">
              <w:rPr>
                <w:b/>
              </w:rPr>
              <w:t>0)</w:t>
            </w:r>
          </w:p>
        </w:tc>
        <w:tc>
          <w:tcPr>
            <w:tcW w:w="1488" w:type="dxa"/>
          </w:tcPr>
          <w:p w:rsidR="008B5EE7" w:rsidRPr="005510BD" w:rsidRDefault="008B62D0" w:rsidP="00085E47">
            <w:pPr>
              <w:spacing w:after="160" w:line="259" w:lineRule="auto"/>
              <w:jc w:val="right"/>
              <w:rPr>
                <w:b/>
              </w:rPr>
            </w:pPr>
            <w:r w:rsidRPr="005510BD">
              <w:rPr>
                <w:b/>
              </w:rPr>
              <w:t>-</w:t>
            </w:r>
            <w:r w:rsidR="008B5EE7" w:rsidRPr="005510BD">
              <w:rPr>
                <w:b/>
              </w:rPr>
              <w:t>.</w:t>
            </w:r>
            <w:r w:rsidRPr="005510BD">
              <w:rPr>
                <w:b/>
              </w:rPr>
              <w:t>276</w:t>
            </w:r>
            <w:r w:rsidR="008B5EE7" w:rsidRPr="005510BD">
              <w:rPr>
                <w:b/>
              </w:rPr>
              <w:t xml:space="preserve"> (.</w:t>
            </w:r>
            <w:r w:rsidRPr="005510BD">
              <w:rPr>
                <w:b/>
              </w:rPr>
              <w:t>000</w:t>
            </w:r>
            <w:r w:rsidR="008B5EE7" w:rsidRPr="005510BD">
              <w:rPr>
                <w:b/>
              </w:rPr>
              <w:t>)</w:t>
            </w:r>
          </w:p>
        </w:tc>
        <w:tc>
          <w:tcPr>
            <w:tcW w:w="1489" w:type="dxa"/>
          </w:tcPr>
          <w:p w:rsidR="008B5EE7" w:rsidRPr="005510BD" w:rsidRDefault="00090DBA" w:rsidP="00090DBA">
            <w:pPr>
              <w:spacing w:after="160" w:line="259" w:lineRule="auto"/>
              <w:jc w:val="right"/>
              <w:rPr>
                <w:b/>
              </w:rPr>
            </w:pPr>
            <w:r w:rsidRPr="005510BD">
              <w:rPr>
                <w:b/>
              </w:rPr>
              <w:t>-</w:t>
            </w:r>
            <w:r w:rsidR="008B5EE7" w:rsidRPr="005510BD">
              <w:rPr>
                <w:b/>
              </w:rPr>
              <w:t>.</w:t>
            </w:r>
            <w:r w:rsidRPr="005510BD">
              <w:rPr>
                <w:b/>
              </w:rPr>
              <w:t>161</w:t>
            </w:r>
            <w:r w:rsidR="008B5EE7" w:rsidRPr="005510BD">
              <w:rPr>
                <w:b/>
              </w:rPr>
              <w:t xml:space="preserve"> (.</w:t>
            </w:r>
            <w:r w:rsidRPr="005510BD">
              <w:rPr>
                <w:b/>
              </w:rPr>
              <w:t>008</w:t>
            </w:r>
            <w:r w:rsidR="008B5EE7" w:rsidRPr="005510BD">
              <w:rPr>
                <w:b/>
              </w:rPr>
              <w:t>)</w:t>
            </w:r>
          </w:p>
        </w:tc>
      </w:tr>
      <w:tr w:rsidR="0016720D" w:rsidRPr="005510BD" w:rsidTr="005A4D63">
        <w:tc>
          <w:tcPr>
            <w:tcW w:w="2687" w:type="dxa"/>
          </w:tcPr>
          <w:p w:rsidR="0016720D" w:rsidRPr="005510BD" w:rsidRDefault="0016720D" w:rsidP="0016720D">
            <w:r w:rsidRPr="005510BD">
              <w:t xml:space="preserve">                                no</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rPr>
                <w:b/>
              </w:rPr>
            </w:pPr>
            <w:r w:rsidRPr="005510BD">
              <w:rPr>
                <w:b/>
              </w:rPr>
              <w:t>-</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pPr>
            <w:r w:rsidRPr="005510BD">
              <w:rPr>
                <w:b/>
              </w:rPr>
              <w:t>-</w:t>
            </w:r>
          </w:p>
        </w:tc>
      </w:tr>
      <w:tr w:rsidR="008B5EE7" w:rsidRPr="005510BD" w:rsidTr="005A4D63">
        <w:tc>
          <w:tcPr>
            <w:tcW w:w="2687" w:type="dxa"/>
          </w:tcPr>
          <w:p w:rsidR="008B5EE7" w:rsidRPr="005510BD" w:rsidRDefault="008B5EE7" w:rsidP="00054CCF">
            <w:pPr>
              <w:spacing w:after="160" w:line="259" w:lineRule="auto"/>
            </w:pPr>
            <w:r w:rsidRPr="005510BD">
              <w:t>Claiming</w:t>
            </w:r>
            <w:r w:rsidR="00F67278" w:rsidRPr="005510BD">
              <w:t xml:space="preserve"> Benefits yes</w:t>
            </w:r>
          </w:p>
        </w:tc>
        <w:tc>
          <w:tcPr>
            <w:tcW w:w="1488" w:type="dxa"/>
          </w:tcPr>
          <w:p w:rsidR="008B5EE7" w:rsidRPr="005510BD" w:rsidRDefault="008B5EE7" w:rsidP="00A375FD">
            <w:pPr>
              <w:spacing w:after="160" w:line="259" w:lineRule="auto"/>
              <w:jc w:val="right"/>
              <w:rPr>
                <w:b/>
              </w:rPr>
            </w:pPr>
            <w:r w:rsidRPr="005510BD">
              <w:rPr>
                <w:b/>
              </w:rPr>
              <w:t>.</w:t>
            </w:r>
            <w:r w:rsidR="007A33A0" w:rsidRPr="005510BD">
              <w:rPr>
                <w:b/>
              </w:rPr>
              <w:t>284 (.000</w:t>
            </w:r>
            <w:r w:rsidRPr="005510BD">
              <w:rPr>
                <w:b/>
              </w:rPr>
              <w:t>)</w:t>
            </w:r>
          </w:p>
        </w:tc>
        <w:tc>
          <w:tcPr>
            <w:tcW w:w="1489" w:type="dxa"/>
          </w:tcPr>
          <w:p w:rsidR="008B5EE7" w:rsidRPr="005510BD" w:rsidRDefault="00747EBB" w:rsidP="00BE5F78">
            <w:pPr>
              <w:spacing w:after="160" w:line="259" w:lineRule="auto"/>
              <w:jc w:val="right"/>
              <w:rPr>
                <w:b/>
              </w:rPr>
            </w:pPr>
            <w:r w:rsidRPr="005510BD">
              <w:rPr>
                <w:b/>
              </w:rPr>
              <w:t>.241</w:t>
            </w:r>
            <w:r w:rsidR="008B5EE7" w:rsidRPr="005510BD">
              <w:rPr>
                <w:b/>
              </w:rPr>
              <w:t xml:space="preserve"> (.000)</w:t>
            </w:r>
          </w:p>
        </w:tc>
        <w:tc>
          <w:tcPr>
            <w:tcW w:w="1488" w:type="dxa"/>
          </w:tcPr>
          <w:p w:rsidR="008B5EE7" w:rsidRPr="005510BD" w:rsidRDefault="008B5EE7" w:rsidP="00085E47">
            <w:pPr>
              <w:spacing w:after="160" w:line="259" w:lineRule="auto"/>
              <w:jc w:val="right"/>
              <w:rPr>
                <w:b/>
              </w:rPr>
            </w:pPr>
            <w:r w:rsidRPr="005510BD">
              <w:rPr>
                <w:b/>
              </w:rPr>
              <w:t>.</w:t>
            </w:r>
            <w:r w:rsidR="00E22E9E" w:rsidRPr="005510BD">
              <w:rPr>
                <w:b/>
              </w:rPr>
              <w:t>220</w:t>
            </w:r>
            <w:r w:rsidRPr="005510BD">
              <w:rPr>
                <w:b/>
              </w:rPr>
              <w:t xml:space="preserve"> (.001)</w:t>
            </w:r>
          </w:p>
        </w:tc>
        <w:tc>
          <w:tcPr>
            <w:tcW w:w="1489" w:type="dxa"/>
          </w:tcPr>
          <w:p w:rsidR="008B5EE7" w:rsidRPr="005510BD" w:rsidRDefault="008B5EE7" w:rsidP="00085E47">
            <w:pPr>
              <w:spacing w:after="160" w:line="259" w:lineRule="auto"/>
              <w:jc w:val="right"/>
              <w:rPr>
                <w:b/>
              </w:rPr>
            </w:pPr>
            <w:r w:rsidRPr="005510BD">
              <w:rPr>
                <w:b/>
              </w:rPr>
              <w:t>.</w:t>
            </w:r>
            <w:r w:rsidR="00090DBA" w:rsidRPr="005510BD">
              <w:rPr>
                <w:b/>
              </w:rPr>
              <w:t>2</w:t>
            </w:r>
            <w:r w:rsidRPr="005510BD">
              <w:rPr>
                <w:b/>
              </w:rPr>
              <w:t>0</w:t>
            </w:r>
            <w:r w:rsidR="00090DBA" w:rsidRPr="005510BD">
              <w:rPr>
                <w:b/>
              </w:rPr>
              <w:t>3 (.002</w:t>
            </w:r>
            <w:r w:rsidRPr="005510BD">
              <w:rPr>
                <w:b/>
              </w:rPr>
              <w:t>)</w:t>
            </w:r>
          </w:p>
        </w:tc>
      </w:tr>
      <w:tr w:rsidR="0016720D" w:rsidRPr="005510BD" w:rsidTr="005A4D63">
        <w:tc>
          <w:tcPr>
            <w:tcW w:w="2687" w:type="dxa"/>
          </w:tcPr>
          <w:p w:rsidR="0016720D" w:rsidRPr="005510BD" w:rsidRDefault="0016720D" w:rsidP="0016720D">
            <w:r w:rsidRPr="005510BD">
              <w:t xml:space="preserve">                                </w:t>
            </w:r>
            <w:r w:rsidR="00F67278" w:rsidRPr="005510BD">
              <w:t>no</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rPr>
                <w:b/>
              </w:rPr>
            </w:pPr>
            <w:r w:rsidRPr="005510BD">
              <w:rPr>
                <w:b/>
              </w:rPr>
              <w:t>-</w:t>
            </w:r>
          </w:p>
        </w:tc>
        <w:tc>
          <w:tcPr>
            <w:tcW w:w="1488" w:type="dxa"/>
          </w:tcPr>
          <w:p w:rsidR="0016720D" w:rsidRPr="005510BD" w:rsidRDefault="0016720D" w:rsidP="0016720D">
            <w:pPr>
              <w:jc w:val="center"/>
              <w:rPr>
                <w:b/>
              </w:rPr>
            </w:pPr>
            <w:r w:rsidRPr="005510BD">
              <w:rPr>
                <w:b/>
              </w:rPr>
              <w:t>-</w:t>
            </w:r>
          </w:p>
        </w:tc>
        <w:tc>
          <w:tcPr>
            <w:tcW w:w="1489" w:type="dxa"/>
          </w:tcPr>
          <w:p w:rsidR="0016720D" w:rsidRPr="005510BD" w:rsidRDefault="0016720D" w:rsidP="0016720D">
            <w:pPr>
              <w:jc w:val="center"/>
              <w:rPr>
                <w:b/>
              </w:rPr>
            </w:pPr>
            <w:r w:rsidRPr="005510BD">
              <w:rPr>
                <w:b/>
              </w:rPr>
              <w:t>-</w:t>
            </w:r>
          </w:p>
        </w:tc>
      </w:tr>
      <w:tr w:rsidR="008B5EE7" w:rsidRPr="005510BD" w:rsidTr="005A4D63">
        <w:tc>
          <w:tcPr>
            <w:tcW w:w="2687" w:type="dxa"/>
            <w:shd w:val="clear" w:color="auto" w:fill="E7E6E6" w:themeFill="background2"/>
          </w:tcPr>
          <w:p w:rsidR="008B5EE7" w:rsidRPr="005510BD" w:rsidRDefault="008B5EE7" w:rsidP="00054CCF">
            <w:pPr>
              <w:spacing w:after="160" w:line="259" w:lineRule="auto"/>
            </w:pPr>
            <w:r w:rsidRPr="005510BD">
              <w:t>IMD Quartile</w:t>
            </w:r>
            <w:r w:rsidR="003F7591" w:rsidRPr="005510BD">
              <w:t xml:space="preserve">         1</w:t>
            </w:r>
            <w:r w:rsidR="003F7591" w:rsidRPr="005510BD">
              <w:rPr>
                <w:vertAlign w:val="superscript"/>
              </w:rPr>
              <w:t>st</w:t>
            </w:r>
          </w:p>
        </w:tc>
        <w:tc>
          <w:tcPr>
            <w:tcW w:w="1488" w:type="dxa"/>
            <w:shd w:val="clear" w:color="auto" w:fill="E7E6E6" w:themeFill="background2"/>
          </w:tcPr>
          <w:p w:rsidR="008B5EE7" w:rsidRPr="005510BD" w:rsidRDefault="008B5EE7" w:rsidP="00F03EF0">
            <w:pPr>
              <w:spacing w:after="160" w:line="259" w:lineRule="auto"/>
              <w:jc w:val="center"/>
            </w:pPr>
            <w:r w:rsidRPr="005510BD">
              <w:t>-</w:t>
            </w:r>
          </w:p>
        </w:tc>
        <w:tc>
          <w:tcPr>
            <w:tcW w:w="1489" w:type="dxa"/>
            <w:shd w:val="clear" w:color="auto" w:fill="E7E6E6" w:themeFill="background2"/>
          </w:tcPr>
          <w:p w:rsidR="008B5EE7" w:rsidRPr="005510BD" w:rsidRDefault="00747EBB" w:rsidP="00747EBB">
            <w:pPr>
              <w:spacing w:after="160" w:line="259" w:lineRule="auto"/>
              <w:jc w:val="right"/>
              <w:rPr>
                <w:b/>
              </w:rPr>
            </w:pPr>
            <w:r w:rsidRPr="005510BD">
              <w:rPr>
                <w:b/>
              </w:rPr>
              <w:t>-.875</w:t>
            </w:r>
            <w:r w:rsidR="008B5EE7" w:rsidRPr="005510BD">
              <w:rPr>
                <w:b/>
              </w:rPr>
              <w:t xml:space="preserve"> (.000)</w:t>
            </w:r>
          </w:p>
        </w:tc>
        <w:tc>
          <w:tcPr>
            <w:tcW w:w="1488" w:type="dxa"/>
            <w:shd w:val="clear" w:color="auto" w:fill="E7E6E6" w:themeFill="background2"/>
          </w:tcPr>
          <w:p w:rsidR="008B5EE7" w:rsidRPr="005510BD" w:rsidRDefault="00E22E9E" w:rsidP="00653CF5">
            <w:pPr>
              <w:spacing w:after="160" w:line="259" w:lineRule="auto"/>
              <w:jc w:val="right"/>
              <w:rPr>
                <w:b/>
              </w:rPr>
            </w:pPr>
            <w:r w:rsidRPr="005510BD">
              <w:rPr>
                <w:b/>
              </w:rPr>
              <w:t>-</w:t>
            </w:r>
            <w:r w:rsidR="008B5EE7" w:rsidRPr="005510BD">
              <w:rPr>
                <w:b/>
              </w:rPr>
              <w:t>.</w:t>
            </w:r>
            <w:r w:rsidRPr="005510BD">
              <w:rPr>
                <w:b/>
              </w:rPr>
              <w:t>854</w:t>
            </w:r>
            <w:r w:rsidR="008B5EE7" w:rsidRPr="005510BD">
              <w:rPr>
                <w:b/>
              </w:rPr>
              <w:t xml:space="preserve"> (.000)</w:t>
            </w:r>
          </w:p>
        </w:tc>
        <w:tc>
          <w:tcPr>
            <w:tcW w:w="1489" w:type="dxa"/>
            <w:shd w:val="clear" w:color="auto" w:fill="E7E6E6" w:themeFill="background2"/>
          </w:tcPr>
          <w:p w:rsidR="008B5EE7" w:rsidRPr="005510BD" w:rsidRDefault="00090DBA" w:rsidP="00090DBA">
            <w:pPr>
              <w:spacing w:after="160" w:line="259" w:lineRule="auto"/>
              <w:jc w:val="right"/>
              <w:rPr>
                <w:b/>
              </w:rPr>
            </w:pPr>
            <w:r w:rsidRPr="005510BD">
              <w:rPr>
                <w:b/>
              </w:rPr>
              <w:t>-</w:t>
            </w:r>
            <w:r w:rsidR="008B5EE7" w:rsidRPr="005510BD">
              <w:rPr>
                <w:b/>
              </w:rPr>
              <w:t>.</w:t>
            </w:r>
            <w:r w:rsidRPr="005510BD">
              <w:rPr>
                <w:b/>
              </w:rPr>
              <w:t>784</w:t>
            </w:r>
            <w:r w:rsidR="008B5EE7" w:rsidRPr="005510BD">
              <w:rPr>
                <w:b/>
              </w:rPr>
              <w:t xml:space="preserve"> (.000)</w:t>
            </w:r>
          </w:p>
        </w:tc>
      </w:tr>
      <w:tr w:rsidR="00602AA5" w:rsidRPr="005510BD" w:rsidTr="005A4D63">
        <w:tc>
          <w:tcPr>
            <w:tcW w:w="2687" w:type="dxa"/>
            <w:shd w:val="clear" w:color="auto" w:fill="E7E6E6" w:themeFill="background2"/>
          </w:tcPr>
          <w:p w:rsidR="00602AA5" w:rsidRPr="005510BD" w:rsidRDefault="003F7591" w:rsidP="00054CCF">
            <w:r w:rsidRPr="005510BD">
              <w:t xml:space="preserve">                                2</w:t>
            </w:r>
            <w:r w:rsidRPr="005510BD">
              <w:rPr>
                <w:vertAlign w:val="superscript"/>
              </w:rPr>
              <w:t>nd</w:t>
            </w:r>
          </w:p>
        </w:tc>
        <w:tc>
          <w:tcPr>
            <w:tcW w:w="1488" w:type="dxa"/>
            <w:shd w:val="clear" w:color="auto" w:fill="E7E6E6" w:themeFill="background2"/>
          </w:tcPr>
          <w:p w:rsidR="00602AA5" w:rsidRPr="005510BD" w:rsidRDefault="00602AA5" w:rsidP="00F03EF0">
            <w:pPr>
              <w:jc w:val="center"/>
            </w:pPr>
          </w:p>
        </w:tc>
        <w:tc>
          <w:tcPr>
            <w:tcW w:w="1489" w:type="dxa"/>
            <w:shd w:val="clear" w:color="auto" w:fill="E7E6E6" w:themeFill="background2"/>
          </w:tcPr>
          <w:p w:rsidR="00602AA5" w:rsidRPr="005510BD" w:rsidRDefault="00747EBB" w:rsidP="00BE5F78">
            <w:pPr>
              <w:jc w:val="right"/>
              <w:rPr>
                <w:b/>
              </w:rPr>
            </w:pPr>
            <w:r w:rsidRPr="005510BD">
              <w:rPr>
                <w:b/>
              </w:rPr>
              <w:t>-.585 (.000)</w:t>
            </w:r>
          </w:p>
        </w:tc>
        <w:tc>
          <w:tcPr>
            <w:tcW w:w="1488" w:type="dxa"/>
            <w:shd w:val="clear" w:color="auto" w:fill="E7E6E6" w:themeFill="background2"/>
          </w:tcPr>
          <w:p w:rsidR="00602AA5" w:rsidRPr="005510BD" w:rsidRDefault="00E22E9E" w:rsidP="00653CF5">
            <w:pPr>
              <w:jc w:val="right"/>
              <w:rPr>
                <w:b/>
              </w:rPr>
            </w:pPr>
            <w:r w:rsidRPr="005510BD">
              <w:rPr>
                <w:b/>
              </w:rPr>
              <w:t>-.587 (.000)</w:t>
            </w:r>
          </w:p>
        </w:tc>
        <w:tc>
          <w:tcPr>
            <w:tcW w:w="1489" w:type="dxa"/>
            <w:shd w:val="clear" w:color="auto" w:fill="E7E6E6" w:themeFill="background2"/>
          </w:tcPr>
          <w:p w:rsidR="00602AA5" w:rsidRPr="005510BD" w:rsidRDefault="00090DBA" w:rsidP="00085E47">
            <w:pPr>
              <w:jc w:val="right"/>
              <w:rPr>
                <w:b/>
              </w:rPr>
            </w:pPr>
            <w:r w:rsidRPr="005510BD">
              <w:rPr>
                <w:b/>
              </w:rPr>
              <w:t>-.540 (.000)</w:t>
            </w:r>
          </w:p>
        </w:tc>
      </w:tr>
      <w:tr w:rsidR="00602AA5" w:rsidRPr="005510BD" w:rsidTr="00A32760">
        <w:tc>
          <w:tcPr>
            <w:tcW w:w="2687" w:type="dxa"/>
            <w:shd w:val="clear" w:color="auto" w:fill="E7E6E6" w:themeFill="background2"/>
          </w:tcPr>
          <w:p w:rsidR="00602AA5" w:rsidRPr="005510BD" w:rsidRDefault="003F7591" w:rsidP="00054CCF">
            <w:r w:rsidRPr="005510BD">
              <w:t xml:space="preserve">                                3</w:t>
            </w:r>
            <w:r w:rsidRPr="005510BD">
              <w:rPr>
                <w:vertAlign w:val="superscript"/>
              </w:rPr>
              <w:t>rd</w:t>
            </w:r>
            <w:r w:rsidRPr="005510BD">
              <w:t xml:space="preserve"> </w:t>
            </w:r>
          </w:p>
        </w:tc>
        <w:tc>
          <w:tcPr>
            <w:tcW w:w="1488" w:type="dxa"/>
            <w:shd w:val="clear" w:color="auto" w:fill="E7E6E6" w:themeFill="background2"/>
          </w:tcPr>
          <w:p w:rsidR="00602AA5" w:rsidRPr="005510BD" w:rsidRDefault="00602AA5" w:rsidP="00F03EF0">
            <w:pPr>
              <w:jc w:val="center"/>
            </w:pPr>
          </w:p>
        </w:tc>
        <w:tc>
          <w:tcPr>
            <w:tcW w:w="1489" w:type="dxa"/>
            <w:shd w:val="clear" w:color="auto" w:fill="E7E6E6" w:themeFill="background2"/>
          </w:tcPr>
          <w:p w:rsidR="00602AA5" w:rsidRPr="005510BD" w:rsidRDefault="00747EBB" w:rsidP="00BE5F78">
            <w:pPr>
              <w:jc w:val="right"/>
              <w:rPr>
                <w:b/>
              </w:rPr>
            </w:pPr>
            <w:r w:rsidRPr="005510BD">
              <w:rPr>
                <w:b/>
              </w:rPr>
              <w:t>-.459 (.000)</w:t>
            </w:r>
          </w:p>
        </w:tc>
        <w:tc>
          <w:tcPr>
            <w:tcW w:w="1488" w:type="dxa"/>
            <w:shd w:val="clear" w:color="auto" w:fill="E7E6E6" w:themeFill="background2"/>
          </w:tcPr>
          <w:p w:rsidR="00602AA5" w:rsidRPr="005510BD" w:rsidRDefault="00E22E9E" w:rsidP="00653CF5">
            <w:pPr>
              <w:jc w:val="right"/>
              <w:rPr>
                <w:b/>
              </w:rPr>
            </w:pPr>
            <w:r w:rsidRPr="005510BD">
              <w:rPr>
                <w:b/>
              </w:rPr>
              <w:t>-.460 (.000)</w:t>
            </w:r>
          </w:p>
        </w:tc>
        <w:tc>
          <w:tcPr>
            <w:tcW w:w="1489" w:type="dxa"/>
            <w:shd w:val="clear" w:color="auto" w:fill="E7E6E6" w:themeFill="background2"/>
          </w:tcPr>
          <w:p w:rsidR="00602AA5" w:rsidRPr="005510BD" w:rsidRDefault="00090DBA" w:rsidP="00085E47">
            <w:pPr>
              <w:jc w:val="right"/>
              <w:rPr>
                <w:b/>
              </w:rPr>
            </w:pPr>
            <w:r w:rsidRPr="005510BD">
              <w:rPr>
                <w:b/>
              </w:rPr>
              <w:t>-.434 (.000)</w:t>
            </w:r>
          </w:p>
        </w:tc>
      </w:tr>
      <w:tr w:rsidR="0016720D" w:rsidRPr="005510BD" w:rsidTr="00A32760">
        <w:tc>
          <w:tcPr>
            <w:tcW w:w="2687" w:type="dxa"/>
            <w:shd w:val="clear" w:color="auto" w:fill="E7E6E6" w:themeFill="background2"/>
          </w:tcPr>
          <w:p w:rsidR="0016720D" w:rsidRPr="005510BD" w:rsidRDefault="0016720D" w:rsidP="0016720D">
            <w:r w:rsidRPr="005510BD">
              <w:t xml:space="preserve">                                4</w:t>
            </w:r>
            <w:r w:rsidRPr="005510BD">
              <w:rPr>
                <w:vertAlign w:val="superscript"/>
              </w:rPr>
              <w:t>th</w:t>
            </w:r>
            <w:r w:rsidRPr="005510BD">
              <w:t xml:space="preserve"> </w:t>
            </w:r>
          </w:p>
        </w:tc>
        <w:tc>
          <w:tcPr>
            <w:tcW w:w="1488" w:type="dxa"/>
            <w:shd w:val="clear" w:color="auto" w:fill="E7E6E6" w:themeFill="background2"/>
          </w:tcPr>
          <w:p w:rsidR="0016720D" w:rsidRPr="005510BD" w:rsidRDefault="0016720D" w:rsidP="0016720D">
            <w:pPr>
              <w:jc w:val="center"/>
            </w:pPr>
            <w:r w:rsidRPr="005510BD">
              <w:rPr>
                <w:b/>
              </w:rPr>
              <w:t>-</w:t>
            </w:r>
          </w:p>
        </w:tc>
        <w:tc>
          <w:tcPr>
            <w:tcW w:w="1489" w:type="dxa"/>
            <w:shd w:val="clear" w:color="auto" w:fill="E7E6E6" w:themeFill="background2"/>
          </w:tcPr>
          <w:p w:rsidR="0016720D" w:rsidRPr="005510BD" w:rsidRDefault="0016720D" w:rsidP="0016720D">
            <w:pPr>
              <w:jc w:val="center"/>
              <w:rPr>
                <w:b/>
              </w:rPr>
            </w:pPr>
            <w:r w:rsidRPr="005510BD">
              <w:rPr>
                <w:b/>
              </w:rPr>
              <w:t>-</w:t>
            </w:r>
          </w:p>
        </w:tc>
        <w:tc>
          <w:tcPr>
            <w:tcW w:w="1488" w:type="dxa"/>
            <w:shd w:val="clear" w:color="auto" w:fill="E7E6E6" w:themeFill="background2"/>
          </w:tcPr>
          <w:p w:rsidR="0016720D" w:rsidRPr="005510BD" w:rsidRDefault="0016720D" w:rsidP="0016720D">
            <w:pPr>
              <w:jc w:val="center"/>
              <w:rPr>
                <w:b/>
              </w:rPr>
            </w:pPr>
            <w:r w:rsidRPr="005510BD">
              <w:rPr>
                <w:b/>
              </w:rPr>
              <w:t>-</w:t>
            </w:r>
          </w:p>
        </w:tc>
        <w:tc>
          <w:tcPr>
            <w:tcW w:w="1489" w:type="dxa"/>
            <w:shd w:val="clear" w:color="auto" w:fill="E7E6E6" w:themeFill="background2"/>
          </w:tcPr>
          <w:p w:rsidR="0016720D" w:rsidRPr="005510BD" w:rsidRDefault="0016720D" w:rsidP="0016720D">
            <w:pPr>
              <w:jc w:val="center"/>
              <w:rPr>
                <w:b/>
              </w:rPr>
            </w:pPr>
            <w:r w:rsidRPr="005510BD">
              <w:rPr>
                <w:b/>
              </w:rPr>
              <w:t>-</w:t>
            </w:r>
          </w:p>
        </w:tc>
      </w:tr>
      <w:tr w:rsidR="008B5EE7" w:rsidRPr="005510BD" w:rsidTr="005A4D63">
        <w:tc>
          <w:tcPr>
            <w:tcW w:w="2687" w:type="dxa"/>
            <w:shd w:val="clear" w:color="auto" w:fill="E7E6E6" w:themeFill="background2"/>
          </w:tcPr>
          <w:p w:rsidR="008B5EE7" w:rsidRPr="005510BD" w:rsidRDefault="008B5EE7" w:rsidP="00054CCF">
            <w:pPr>
              <w:spacing w:after="160" w:line="259" w:lineRule="auto"/>
            </w:pPr>
            <w:r w:rsidRPr="005510BD">
              <w:t>Urban</w:t>
            </w:r>
            <w:r w:rsidR="003F7591" w:rsidRPr="005510BD">
              <w:t xml:space="preserve">                  yes </w:t>
            </w:r>
          </w:p>
        </w:tc>
        <w:tc>
          <w:tcPr>
            <w:tcW w:w="1488" w:type="dxa"/>
            <w:shd w:val="clear" w:color="auto" w:fill="E7E6E6" w:themeFill="background2"/>
          </w:tcPr>
          <w:p w:rsidR="008B5EE7" w:rsidRPr="005510BD" w:rsidRDefault="008B5EE7" w:rsidP="00F03EF0">
            <w:pPr>
              <w:spacing w:after="160" w:line="259" w:lineRule="auto"/>
              <w:jc w:val="center"/>
            </w:pPr>
            <w:r w:rsidRPr="005510BD">
              <w:t>-</w:t>
            </w:r>
          </w:p>
        </w:tc>
        <w:tc>
          <w:tcPr>
            <w:tcW w:w="1489" w:type="dxa"/>
            <w:shd w:val="clear" w:color="auto" w:fill="E7E6E6" w:themeFill="background2"/>
          </w:tcPr>
          <w:p w:rsidR="008B5EE7" w:rsidRPr="005510BD" w:rsidRDefault="00747EBB" w:rsidP="00747EBB">
            <w:pPr>
              <w:spacing w:after="160" w:line="259" w:lineRule="auto"/>
              <w:jc w:val="right"/>
              <w:rPr>
                <w:b/>
              </w:rPr>
            </w:pPr>
            <w:r w:rsidRPr="005510BD">
              <w:rPr>
                <w:b/>
              </w:rPr>
              <w:t>1</w:t>
            </w:r>
            <w:r w:rsidR="008B5EE7" w:rsidRPr="005510BD">
              <w:rPr>
                <w:b/>
              </w:rPr>
              <w:t>.</w:t>
            </w:r>
            <w:r w:rsidRPr="005510BD">
              <w:rPr>
                <w:b/>
              </w:rPr>
              <w:t>06</w:t>
            </w:r>
            <w:r w:rsidR="008B5EE7" w:rsidRPr="005510BD">
              <w:rPr>
                <w:b/>
              </w:rPr>
              <w:t>9 (.000)</w:t>
            </w:r>
          </w:p>
        </w:tc>
        <w:tc>
          <w:tcPr>
            <w:tcW w:w="1488" w:type="dxa"/>
            <w:shd w:val="clear" w:color="auto" w:fill="E7E6E6" w:themeFill="background2"/>
          </w:tcPr>
          <w:p w:rsidR="008B5EE7" w:rsidRPr="005510BD" w:rsidRDefault="00E22E9E" w:rsidP="00653CF5">
            <w:pPr>
              <w:spacing w:after="160" w:line="259" w:lineRule="auto"/>
              <w:jc w:val="right"/>
              <w:rPr>
                <w:b/>
              </w:rPr>
            </w:pPr>
            <w:r w:rsidRPr="005510BD">
              <w:rPr>
                <w:b/>
              </w:rPr>
              <w:t>1</w:t>
            </w:r>
            <w:r w:rsidR="008B5EE7" w:rsidRPr="005510BD">
              <w:rPr>
                <w:b/>
              </w:rPr>
              <w:t>.</w:t>
            </w:r>
            <w:r w:rsidRPr="005510BD">
              <w:rPr>
                <w:b/>
              </w:rPr>
              <w:t>054</w:t>
            </w:r>
            <w:r w:rsidR="008B5EE7" w:rsidRPr="005510BD">
              <w:rPr>
                <w:b/>
              </w:rPr>
              <w:t xml:space="preserve"> (.000)</w:t>
            </w:r>
          </w:p>
        </w:tc>
        <w:tc>
          <w:tcPr>
            <w:tcW w:w="1489" w:type="dxa"/>
            <w:shd w:val="clear" w:color="auto" w:fill="E7E6E6" w:themeFill="background2"/>
          </w:tcPr>
          <w:p w:rsidR="008B5EE7" w:rsidRPr="005510BD" w:rsidRDefault="00090DBA" w:rsidP="00090DBA">
            <w:pPr>
              <w:spacing w:after="160" w:line="259" w:lineRule="auto"/>
              <w:jc w:val="right"/>
              <w:rPr>
                <w:b/>
              </w:rPr>
            </w:pPr>
            <w:r w:rsidRPr="005510BD">
              <w:rPr>
                <w:b/>
              </w:rPr>
              <w:t>1.077</w:t>
            </w:r>
            <w:r w:rsidR="008B5EE7" w:rsidRPr="005510BD">
              <w:rPr>
                <w:b/>
              </w:rPr>
              <w:t xml:space="preserve"> (.000)</w:t>
            </w:r>
          </w:p>
        </w:tc>
      </w:tr>
      <w:tr w:rsidR="0016720D" w:rsidRPr="005510BD" w:rsidTr="005802C1">
        <w:tc>
          <w:tcPr>
            <w:tcW w:w="2687" w:type="dxa"/>
            <w:shd w:val="clear" w:color="auto" w:fill="E7E6E6" w:themeFill="background2"/>
          </w:tcPr>
          <w:p w:rsidR="0016720D" w:rsidRPr="005510BD" w:rsidRDefault="0016720D" w:rsidP="0016720D">
            <w:r w:rsidRPr="005510BD">
              <w:t xml:space="preserve">                            no</w:t>
            </w:r>
          </w:p>
        </w:tc>
        <w:tc>
          <w:tcPr>
            <w:tcW w:w="1488" w:type="dxa"/>
            <w:shd w:val="clear" w:color="auto" w:fill="E7E6E6" w:themeFill="background2"/>
          </w:tcPr>
          <w:p w:rsidR="0016720D" w:rsidRPr="005510BD" w:rsidRDefault="0016720D" w:rsidP="0016720D">
            <w:pPr>
              <w:jc w:val="center"/>
            </w:pPr>
            <w:r w:rsidRPr="005510BD">
              <w:rPr>
                <w:b/>
              </w:rPr>
              <w:t>-</w:t>
            </w:r>
          </w:p>
        </w:tc>
        <w:tc>
          <w:tcPr>
            <w:tcW w:w="1489" w:type="dxa"/>
            <w:shd w:val="clear" w:color="auto" w:fill="E7E6E6" w:themeFill="background2"/>
          </w:tcPr>
          <w:p w:rsidR="0016720D" w:rsidRPr="005510BD" w:rsidRDefault="0016720D" w:rsidP="0016720D">
            <w:pPr>
              <w:jc w:val="center"/>
              <w:rPr>
                <w:b/>
              </w:rPr>
            </w:pPr>
            <w:r w:rsidRPr="005510BD">
              <w:rPr>
                <w:b/>
              </w:rPr>
              <w:t>-</w:t>
            </w:r>
          </w:p>
        </w:tc>
        <w:tc>
          <w:tcPr>
            <w:tcW w:w="1488" w:type="dxa"/>
            <w:shd w:val="clear" w:color="auto" w:fill="E7E6E6" w:themeFill="background2"/>
          </w:tcPr>
          <w:p w:rsidR="0016720D" w:rsidRPr="005510BD" w:rsidRDefault="0016720D" w:rsidP="0016720D">
            <w:pPr>
              <w:jc w:val="center"/>
              <w:rPr>
                <w:b/>
              </w:rPr>
            </w:pPr>
            <w:r w:rsidRPr="005510BD">
              <w:rPr>
                <w:b/>
              </w:rPr>
              <w:t>-</w:t>
            </w:r>
          </w:p>
        </w:tc>
        <w:tc>
          <w:tcPr>
            <w:tcW w:w="1489" w:type="dxa"/>
            <w:shd w:val="clear" w:color="auto" w:fill="E7E6E6" w:themeFill="background2"/>
          </w:tcPr>
          <w:p w:rsidR="0016720D" w:rsidRPr="005510BD" w:rsidRDefault="0016720D" w:rsidP="0016720D">
            <w:pPr>
              <w:jc w:val="center"/>
              <w:rPr>
                <w:b/>
              </w:rPr>
            </w:pPr>
            <w:r w:rsidRPr="005510BD">
              <w:rPr>
                <w:b/>
              </w:rPr>
              <w:t>-</w:t>
            </w:r>
          </w:p>
        </w:tc>
      </w:tr>
      <w:tr w:rsidR="008B5EE7" w:rsidRPr="005510BD" w:rsidTr="005A4D63">
        <w:tc>
          <w:tcPr>
            <w:tcW w:w="2687" w:type="dxa"/>
            <w:tcBorders>
              <w:bottom w:val="single" w:sz="4" w:space="0" w:color="auto"/>
            </w:tcBorders>
          </w:tcPr>
          <w:p w:rsidR="008B5EE7" w:rsidRPr="005510BD" w:rsidRDefault="008B5EE7" w:rsidP="00054CCF">
            <w:pPr>
              <w:spacing w:after="160" w:line="259" w:lineRule="auto"/>
            </w:pPr>
            <w:r w:rsidRPr="005510BD">
              <w:t>Victimisation</w:t>
            </w:r>
            <w:r w:rsidR="003F7591" w:rsidRPr="005510BD">
              <w:t xml:space="preserve">     no</w:t>
            </w:r>
          </w:p>
        </w:tc>
        <w:tc>
          <w:tcPr>
            <w:tcW w:w="1488" w:type="dxa"/>
            <w:tcBorders>
              <w:bottom w:val="single" w:sz="4" w:space="0" w:color="auto"/>
            </w:tcBorders>
          </w:tcPr>
          <w:p w:rsidR="008B5EE7" w:rsidRPr="005510BD" w:rsidRDefault="008B5EE7" w:rsidP="00F03EF0">
            <w:pPr>
              <w:spacing w:after="160" w:line="259" w:lineRule="auto"/>
              <w:jc w:val="center"/>
            </w:pPr>
            <w:r w:rsidRPr="005510BD">
              <w:t>-</w:t>
            </w:r>
          </w:p>
        </w:tc>
        <w:tc>
          <w:tcPr>
            <w:tcW w:w="1489" w:type="dxa"/>
            <w:tcBorders>
              <w:bottom w:val="single" w:sz="4" w:space="0" w:color="auto"/>
            </w:tcBorders>
          </w:tcPr>
          <w:p w:rsidR="008B5EE7" w:rsidRPr="005510BD" w:rsidRDefault="008B5EE7" w:rsidP="00F03EF0">
            <w:pPr>
              <w:spacing w:after="160" w:line="259" w:lineRule="auto"/>
              <w:jc w:val="center"/>
              <w:rPr>
                <w:b/>
              </w:rPr>
            </w:pPr>
            <w:r w:rsidRPr="005510BD">
              <w:rPr>
                <w:b/>
              </w:rPr>
              <w:t>-</w:t>
            </w:r>
          </w:p>
        </w:tc>
        <w:tc>
          <w:tcPr>
            <w:tcW w:w="1488" w:type="dxa"/>
            <w:tcBorders>
              <w:bottom w:val="single" w:sz="4" w:space="0" w:color="auto"/>
            </w:tcBorders>
          </w:tcPr>
          <w:p w:rsidR="008B5EE7" w:rsidRPr="005510BD" w:rsidRDefault="00E22E9E" w:rsidP="00653CF5">
            <w:pPr>
              <w:spacing w:after="160" w:line="259" w:lineRule="auto"/>
              <w:jc w:val="right"/>
              <w:rPr>
                <w:b/>
              </w:rPr>
            </w:pPr>
            <w:r w:rsidRPr="005510BD">
              <w:rPr>
                <w:b/>
              </w:rPr>
              <w:t>-.442</w:t>
            </w:r>
            <w:r w:rsidR="008B5EE7" w:rsidRPr="005510BD">
              <w:rPr>
                <w:b/>
              </w:rPr>
              <w:t xml:space="preserve"> (.000)</w:t>
            </w:r>
          </w:p>
        </w:tc>
        <w:tc>
          <w:tcPr>
            <w:tcW w:w="1489" w:type="dxa"/>
            <w:tcBorders>
              <w:bottom w:val="single" w:sz="4" w:space="0" w:color="auto"/>
            </w:tcBorders>
          </w:tcPr>
          <w:p w:rsidR="008B5EE7" w:rsidRPr="005510BD" w:rsidRDefault="00090DBA" w:rsidP="00090DBA">
            <w:pPr>
              <w:spacing w:after="160" w:line="259" w:lineRule="auto"/>
              <w:jc w:val="right"/>
              <w:rPr>
                <w:b/>
              </w:rPr>
            </w:pPr>
            <w:r w:rsidRPr="005510BD">
              <w:rPr>
                <w:b/>
              </w:rPr>
              <w:t>-</w:t>
            </w:r>
            <w:r w:rsidR="008B5EE7" w:rsidRPr="005510BD">
              <w:rPr>
                <w:b/>
              </w:rPr>
              <w:t>.</w:t>
            </w:r>
            <w:r w:rsidRPr="005510BD">
              <w:rPr>
                <w:b/>
              </w:rPr>
              <w:t>412 (.000</w:t>
            </w:r>
            <w:r w:rsidR="008B5EE7" w:rsidRPr="005510BD">
              <w:rPr>
                <w:b/>
              </w:rPr>
              <w:t>)</w:t>
            </w:r>
          </w:p>
        </w:tc>
      </w:tr>
      <w:tr w:rsidR="0016720D" w:rsidRPr="005510BD" w:rsidTr="0020505C">
        <w:tc>
          <w:tcPr>
            <w:tcW w:w="2687" w:type="dxa"/>
            <w:shd w:val="clear" w:color="auto" w:fill="FFFFFF" w:themeFill="background1"/>
          </w:tcPr>
          <w:p w:rsidR="0016720D" w:rsidRPr="005510BD" w:rsidRDefault="0016720D" w:rsidP="0016720D">
            <w:r w:rsidRPr="005510BD">
              <w:t xml:space="preserve">                            yes</w:t>
            </w:r>
          </w:p>
        </w:tc>
        <w:tc>
          <w:tcPr>
            <w:tcW w:w="1488" w:type="dxa"/>
          </w:tcPr>
          <w:p w:rsidR="0016720D" w:rsidRPr="005510BD" w:rsidRDefault="0016720D" w:rsidP="0016720D">
            <w:pPr>
              <w:jc w:val="center"/>
            </w:pPr>
            <w:r w:rsidRPr="005510BD">
              <w:rPr>
                <w:b/>
              </w:rPr>
              <w:t>-</w:t>
            </w:r>
          </w:p>
        </w:tc>
        <w:tc>
          <w:tcPr>
            <w:tcW w:w="1489" w:type="dxa"/>
          </w:tcPr>
          <w:p w:rsidR="0016720D" w:rsidRPr="005510BD" w:rsidRDefault="0016720D" w:rsidP="0016720D">
            <w:pPr>
              <w:jc w:val="center"/>
            </w:pPr>
            <w:r w:rsidRPr="005510BD">
              <w:rPr>
                <w:b/>
              </w:rPr>
              <w:t>-</w:t>
            </w:r>
          </w:p>
        </w:tc>
        <w:tc>
          <w:tcPr>
            <w:tcW w:w="1488" w:type="dxa"/>
          </w:tcPr>
          <w:p w:rsidR="0016720D" w:rsidRPr="005510BD" w:rsidRDefault="0016720D" w:rsidP="0016720D">
            <w:pPr>
              <w:jc w:val="center"/>
            </w:pPr>
            <w:r w:rsidRPr="005510BD">
              <w:rPr>
                <w:b/>
              </w:rPr>
              <w:t>-</w:t>
            </w:r>
          </w:p>
        </w:tc>
        <w:tc>
          <w:tcPr>
            <w:tcW w:w="1489" w:type="dxa"/>
          </w:tcPr>
          <w:p w:rsidR="0016720D" w:rsidRPr="005510BD" w:rsidRDefault="0016720D" w:rsidP="0016720D">
            <w:pPr>
              <w:jc w:val="center"/>
              <w:rPr>
                <w:b/>
              </w:rPr>
            </w:pPr>
            <w:r w:rsidRPr="005510BD">
              <w:rPr>
                <w:b/>
              </w:rPr>
              <w:t>-</w:t>
            </w:r>
          </w:p>
        </w:tc>
      </w:tr>
      <w:tr w:rsidR="008B5EE7" w:rsidRPr="005510BD" w:rsidTr="005A4D63">
        <w:tc>
          <w:tcPr>
            <w:tcW w:w="2687" w:type="dxa"/>
            <w:shd w:val="clear" w:color="auto" w:fill="E7E6E6" w:themeFill="background2"/>
          </w:tcPr>
          <w:p w:rsidR="008B5EE7" w:rsidRPr="005510BD" w:rsidRDefault="008B5EE7" w:rsidP="00054CCF">
            <w:pPr>
              <w:spacing w:after="160" w:line="259" w:lineRule="auto"/>
            </w:pPr>
            <w:r w:rsidRPr="005510BD">
              <w:t>Nostalgia</w:t>
            </w:r>
          </w:p>
        </w:tc>
        <w:tc>
          <w:tcPr>
            <w:tcW w:w="1488" w:type="dxa"/>
            <w:shd w:val="clear" w:color="auto" w:fill="E7E6E6" w:themeFill="background2"/>
          </w:tcPr>
          <w:p w:rsidR="008B5EE7" w:rsidRPr="005510BD" w:rsidRDefault="008B5EE7" w:rsidP="00F03EF0">
            <w:pPr>
              <w:spacing w:after="160" w:line="259" w:lineRule="auto"/>
              <w:jc w:val="center"/>
            </w:pPr>
            <w:r w:rsidRPr="005510BD">
              <w:t>-</w:t>
            </w:r>
          </w:p>
        </w:tc>
        <w:tc>
          <w:tcPr>
            <w:tcW w:w="1489" w:type="dxa"/>
            <w:shd w:val="clear" w:color="auto" w:fill="E7E6E6" w:themeFill="background2"/>
          </w:tcPr>
          <w:p w:rsidR="008B5EE7" w:rsidRPr="005510BD" w:rsidRDefault="008B5EE7" w:rsidP="00F03EF0">
            <w:pPr>
              <w:spacing w:after="160" w:line="259" w:lineRule="auto"/>
              <w:jc w:val="center"/>
            </w:pPr>
            <w:r w:rsidRPr="005510BD">
              <w:t>-</w:t>
            </w:r>
          </w:p>
        </w:tc>
        <w:tc>
          <w:tcPr>
            <w:tcW w:w="1488" w:type="dxa"/>
            <w:shd w:val="clear" w:color="auto" w:fill="E7E6E6" w:themeFill="background2"/>
          </w:tcPr>
          <w:p w:rsidR="008B5EE7" w:rsidRPr="005510BD" w:rsidRDefault="008B5EE7" w:rsidP="00F03EF0">
            <w:pPr>
              <w:spacing w:after="160" w:line="259" w:lineRule="auto"/>
              <w:jc w:val="center"/>
            </w:pPr>
            <w:r w:rsidRPr="005510BD">
              <w:t>-</w:t>
            </w:r>
          </w:p>
        </w:tc>
        <w:tc>
          <w:tcPr>
            <w:tcW w:w="1489" w:type="dxa"/>
            <w:shd w:val="clear" w:color="auto" w:fill="E7E6E6" w:themeFill="background2"/>
          </w:tcPr>
          <w:p w:rsidR="008B5EE7" w:rsidRPr="005510BD" w:rsidRDefault="008B5EE7" w:rsidP="00C22A1C">
            <w:pPr>
              <w:spacing w:after="160" w:line="259" w:lineRule="auto"/>
              <w:jc w:val="right"/>
              <w:rPr>
                <w:b/>
              </w:rPr>
            </w:pPr>
            <w:r w:rsidRPr="005510BD">
              <w:rPr>
                <w:b/>
              </w:rPr>
              <w:t>.</w:t>
            </w:r>
            <w:r w:rsidR="00C22A1C" w:rsidRPr="005510BD">
              <w:rPr>
                <w:b/>
              </w:rPr>
              <w:t>38</w:t>
            </w:r>
            <w:r w:rsidRPr="005510BD">
              <w:rPr>
                <w:b/>
              </w:rPr>
              <w:t>7 (.000)</w:t>
            </w:r>
          </w:p>
        </w:tc>
      </w:tr>
      <w:tr w:rsidR="008B5EE7" w:rsidRPr="005510BD" w:rsidTr="005A4D63">
        <w:tc>
          <w:tcPr>
            <w:tcW w:w="2687" w:type="dxa"/>
          </w:tcPr>
          <w:p w:rsidR="008B5EE7" w:rsidRPr="005510BD" w:rsidRDefault="00602AA5" w:rsidP="00602AA5">
            <w:pPr>
              <w:spacing w:after="160" w:line="259" w:lineRule="auto"/>
            </w:pPr>
            <w:proofErr w:type="spellStart"/>
            <w:r w:rsidRPr="005510BD">
              <w:t>Nagelkerke</w:t>
            </w:r>
            <w:proofErr w:type="spellEnd"/>
            <w:r w:rsidRPr="005510BD">
              <w:t xml:space="preserve"> Pseudo </w:t>
            </w:r>
            <w:r w:rsidR="008B5EE7" w:rsidRPr="005510BD">
              <w:t>R-</w:t>
            </w:r>
            <w:proofErr w:type="spellStart"/>
            <w:r w:rsidR="008B5EE7" w:rsidRPr="005510BD">
              <w:t>Sq</w:t>
            </w:r>
            <w:proofErr w:type="spellEnd"/>
          </w:p>
        </w:tc>
        <w:tc>
          <w:tcPr>
            <w:tcW w:w="1488" w:type="dxa"/>
          </w:tcPr>
          <w:p w:rsidR="008B5EE7" w:rsidRPr="005510BD" w:rsidRDefault="00357F44" w:rsidP="00F03EF0">
            <w:pPr>
              <w:spacing w:after="160" w:line="259" w:lineRule="auto"/>
              <w:jc w:val="center"/>
            </w:pPr>
            <w:r w:rsidRPr="005510BD">
              <w:t>9.6</w:t>
            </w:r>
          </w:p>
        </w:tc>
        <w:tc>
          <w:tcPr>
            <w:tcW w:w="1489" w:type="dxa"/>
          </w:tcPr>
          <w:p w:rsidR="008B5EE7" w:rsidRPr="005510BD" w:rsidRDefault="008B5EE7" w:rsidP="00357F44">
            <w:pPr>
              <w:spacing w:after="160" w:line="259" w:lineRule="auto"/>
              <w:jc w:val="center"/>
            </w:pPr>
            <w:r w:rsidRPr="005510BD">
              <w:t>1</w:t>
            </w:r>
            <w:r w:rsidR="00357F44" w:rsidRPr="005510BD">
              <w:t>7</w:t>
            </w:r>
            <w:r w:rsidRPr="005510BD">
              <w:t>.</w:t>
            </w:r>
            <w:r w:rsidR="00357F44" w:rsidRPr="005510BD">
              <w:t>0</w:t>
            </w:r>
          </w:p>
        </w:tc>
        <w:tc>
          <w:tcPr>
            <w:tcW w:w="1488" w:type="dxa"/>
          </w:tcPr>
          <w:p w:rsidR="008B5EE7" w:rsidRPr="005510BD" w:rsidRDefault="008B5EE7" w:rsidP="00357F44">
            <w:pPr>
              <w:spacing w:after="160" w:line="259" w:lineRule="auto"/>
              <w:jc w:val="center"/>
            </w:pPr>
            <w:r w:rsidRPr="005510BD">
              <w:t>1</w:t>
            </w:r>
            <w:r w:rsidR="00357F44" w:rsidRPr="005510BD">
              <w:t>7</w:t>
            </w:r>
            <w:r w:rsidRPr="005510BD">
              <w:t>.</w:t>
            </w:r>
            <w:r w:rsidR="00357F44" w:rsidRPr="005510BD">
              <w:t>6</w:t>
            </w:r>
          </w:p>
        </w:tc>
        <w:tc>
          <w:tcPr>
            <w:tcW w:w="1489" w:type="dxa"/>
          </w:tcPr>
          <w:p w:rsidR="008B5EE7" w:rsidRPr="005510BD" w:rsidRDefault="00357F44" w:rsidP="00653CF5">
            <w:pPr>
              <w:spacing w:after="160" w:line="259" w:lineRule="auto"/>
              <w:jc w:val="center"/>
            </w:pPr>
            <w:r w:rsidRPr="005510BD">
              <w:t>20.3</w:t>
            </w:r>
          </w:p>
        </w:tc>
      </w:tr>
      <w:tr w:rsidR="00EB0149" w:rsidRPr="005510BD" w:rsidTr="005A4D63">
        <w:tc>
          <w:tcPr>
            <w:tcW w:w="2687" w:type="dxa"/>
          </w:tcPr>
          <w:p w:rsidR="00EB0149" w:rsidRPr="005510BD" w:rsidRDefault="00EB0149" w:rsidP="00602AA5">
            <w:r w:rsidRPr="005510BD">
              <w:t>N</w:t>
            </w:r>
          </w:p>
        </w:tc>
        <w:tc>
          <w:tcPr>
            <w:tcW w:w="1488" w:type="dxa"/>
          </w:tcPr>
          <w:p w:rsidR="00EB0149" w:rsidRPr="005510BD" w:rsidRDefault="00532B8C" w:rsidP="00F03EF0">
            <w:pPr>
              <w:jc w:val="center"/>
            </w:pPr>
            <w:r w:rsidRPr="005510BD">
              <w:t>4849</w:t>
            </w:r>
          </w:p>
        </w:tc>
        <w:tc>
          <w:tcPr>
            <w:tcW w:w="1489" w:type="dxa"/>
          </w:tcPr>
          <w:p w:rsidR="00EB0149" w:rsidRPr="005510BD" w:rsidRDefault="00532B8C" w:rsidP="00357F44">
            <w:pPr>
              <w:jc w:val="center"/>
            </w:pPr>
            <w:r w:rsidRPr="005510BD">
              <w:t>4849</w:t>
            </w:r>
          </w:p>
        </w:tc>
        <w:tc>
          <w:tcPr>
            <w:tcW w:w="1488" w:type="dxa"/>
          </w:tcPr>
          <w:p w:rsidR="00EB0149" w:rsidRPr="005510BD" w:rsidRDefault="00532B8C" w:rsidP="00357F44">
            <w:pPr>
              <w:jc w:val="center"/>
            </w:pPr>
            <w:r w:rsidRPr="005510BD">
              <w:t>4849</w:t>
            </w:r>
          </w:p>
        </w:tc>
        <w:tc>
          <w:tcPr>
            <w:tcW w:w="1489" w:type="dxa"/>
          </w:tcPr>
          <w:p w:rsidR="00EB0149" w:rsidRPr="005510BD" w:rsidRDefault="00532B8C" w:rsidP="00653CF5">
            <w:pPr>
              <w:jc w:val="center"/>
            </w:pPr>
            <w:r w:rsidRPr="005510BD">
              <w:t>4849</w:t>
            </w:r>
          </w:p>
        </w:tc>
      </w:tr>
    </w:tbl>
    <w:p w:rsidR="00054CCF" w:rsidRPr="005510BD" w:rsidRDefault="008B5EE7" w:rsidP="007B7749">
      <w:pPr>
        <w:ind w:left="284"/>
      </w:pPr>
      <w:proofErr w:type="spellStart"/>
      <w:r w:rsidRPr="005510BD">
        <w:t>Uns</w:t>
      </w:r>
      <w:r w:rsidR="00D76F6E" w:rsidRPr="005510BD">
        <w:t>tandardised</w:t>
      </w:r>
      <w:proofErr w:type="spellEnd"/>
      <w:r w:rsidR="00D76F6E" w:rsidRPr="005510BD">
        <w:t xml:space="preserve"> coefficients (p</w:t>
      </w:r>
      <w:r w:rsidR="00054CCF" w:rsidRPr="005510BD">
        <w:t xml:space="preserve"> value). Figures in bol</w:t>
      </w:r>
      <w:r w:rsidR="007B7749" w:rsidRPr="005510BD">
        <w:t>d are stat sig. The shading is for visual ease</w:t>
      </w:r>
      <w:r w:rsidR="00054CCF" w:rsidRPr="005510BD">
        <w:t xml:space="preserve">. </w:t>
      </w:r>
    </w:p>
    <w:p w:rsidR="00B021F3" w:rsidRPr="005510BD" w:rsidRDefault="00B021F3" w:rsidP="007B7749">
      <w:pPr>
        <w:ind w:left="284"/>
      </w:pPr>
    </w:p>
    <w:p w:rsidR="00BD42A5" w:rsidRPr="005510BD" w:rsidRDefault="00BD42A5" w:rsidP="00054CCF">
      <w:pPr>
        <w:rPr>
          <w:i/>
        </w:rPr>
      </w:pPr>
      <w:r w:rsidRPr="005510BD">
        <w:rPr>
          <w:i/>
        </w:rPr>
        <w:lastRenderedPageBreak/>
        <w:t>Interactions with Social Class</w:t>
      </w:r>
    </w:p>
    <w:p w:rsidR="00BD42A5" w:rsidRPr="005510BD" w:rsidRDefault="0052148E" w:rsidP="00044CDA">
      <w:r w:rsidRPr="005510BD">
        <w:t>Given the changes to different social classes’ experience of socio-economic change</w:t>
      </w:r>
      <w:r w:rsidR="00444A42" w:rsidRPr="005510BD">
        <w:t xml:space="preserve"> (reviewed above)</w:t>
      </w:r>
      <w:r w:rsidR="009C020B" w:rsidRPr="005510BD">
        <w:t xml:space="preserve"> over time</w:t>
      </w:r>
      <w:r w:rsidRPr="005510BD">
        <w:t xml:space="preserve">, we also ran analyses to assess the extent to which feelings of nostalgia were associated with different social classes. </w:t>
      </w:r>
      <w:r w:rsidR="00690AD0" w:rsidRPr="005510BD">
        <w:t>All o</w:t>
      </w:r>
      <w:r w:rsidRPr="005510BD">
        <w:t>f our 5</w:t>
      </w:r>
      <w:r w:rsidR="00060306" w:rsidRPr="005510BD">
        <w:t>,</w:t>
      </w:r>
      <w:r w:rsidRPr="005510BD">
        <w:t>781 respo</w:t>
      </w:r>
      <w:r w:rsidR="00690AD0" w:rsidRPr="005510BD">
        <w:t xml:space="preserve">ndents provided data about their occupational classification. </w:t>
      </w:r>
      <w:r w:rsidR="00060306" w:rsidRPr="005510BD">
        <w:t xml:space="preserve">These were recoded into working class (unskilled, semi- and skilled labourers, n = 1,247, 29%), </w:t>
      </w:r>
      <w:r w:rsidR="001D095B" w:rsidRPr="005510BD">
        <w:t>lower</w:t>
      </w:r>
      <w:r w:rsidR="00060306" w:rsidRPr="005510BD">
        <w:t xml:space="preserve"> middle class (junior managerial, clerical, senior office workers, and students, n = 1,872, 44%), middle class (intermediate and higher professional, managerial and administrative staff, n = 1,182, 28%) and others (causal workers, homemakers, retired, </w:t>
      </w:r>
      <w:r w:rsidR="00444A42" w:rsidRPr="005510BD">
        <w:t>un</w:t>
      </w:r>
      <w:r w:rsidR="00060306" w:rsidRPr="005510BD">
        <w:t>employed and full time careers, n = 1,480, 26%</w:t>
      </w:r>
      <w:r w:rsidR="006E41B5" w:rsidRPr="005510BD">
        <w:t>, and who were dropped from further analyses</w:t>
      </w:r>
      <w:r w:rsidR="00060306" w:rsidRPr="005510BD">
        <w:t xml:space="preserve">). </w:t>
      </w:r>
    </w:p>
    <w:p w:rsidR="0052148E" w:rsidRPr="005510BD" w:rsidRDefault="006E41B5" w:rsidP="00044CDA">
      <w:r w:rsidRPr="005510BD">
        <w:t xml:space="preserve">When their average scores on our three measures of </w:t>
      </w:r>
      <w:r w:rsidRPr="005510BD">
        <w:rPr>
          <w:i/>
        </w:rPr>
        <w:t>Nostalgia</w:t>
      </w:r>
      <w:r w:rsidR="006A5D52" w:rsidRPr="005510BD">
        <w:t xml:space="preserve"> were analysed (using </w:t>
      </w:r>
      <w:proofErr w:type="spellStart"/>
      <w:r w:rsidR="006A5D52" w:rsidRPr="005510BD">
        <w:t>Anovas</w:t>
      </w:r>
      <w:proofErr w:type="spellEnd"/>
      <w:r w:rsidR="006A5D52" w:rsidRPr="005510BD">
        <w:t>)</w:t>
      </w:r>
      <w:r w:rsidRPr="005510BD">
        <w:t xml:space="preserve"> we found that the working class had the highest levels of feelings of </w:t>
      </w:r>
      <w:r w:rsidRPr="005510BD">
        <w:rPr>
          <w:i/>
        </w:rPr>
        <w:t xml:space="preserve">Nostalgia </w:t>
      </w:r>
      <w:r w:rsidR="003D3650" w:rsidRPr="005510BD">
        <w:t>(.2052)</w:t>
      </w:r>
      <w:r w:rsidRPr="005510BD">
        <w:t>, with the middle class with the lowest</w:t>
      </w:r>
      <w:r w:rsidR="003D3650" w:rsidRPr="005510BD">
        <w:t xml:space="preserve"> (-.1962)</w:t>
      </w:r>
      <w:r w:rsidRPr="005510BD">
        <w:t xml:space="preserve">, and the </w:t>
      </w:r>
      <w:r w:rsidR="001D095B" w:rsidRPr="005510BD">
        <w:t>lower</w:t>
      </w:r>
      <w:r w:rsidRPr="005510BD">
        <w:t xml:space="preserve"> middle class in between</w:t>
      </w:r>
      <w:r w:rsidR="0025011C" w:rsidRPr="005510BD">
        <w:t xml:space="preserve"> the two</w:t>
      </w:r>
      <w:r w:rsidR="003D3650" w:rsidRPr="005510BD">
        <w:t xml:space="preserve"> (-.1127)</w:t>
      </w:r>
      <w:r w:rsidRPr="005510BD">
        <w:t xml:space="preserve">. </w:t>
      </w:r>
      <w:r w:rsidR="00515D9A" w:rsidRPr="005510BD">
        <w:t xml:space="preserve">All differences were statistically significant at </w:t>
      </w:r>
      <w:proofErr w:type="spellStart"/>
      <w:r w:rsidR="00515D9A" w:rsidRPr="005510BD">
        <w:t>at</w:t>
      </w:r>
      <w:proofErr w:type="spellEnd"/>
      <w:r w:rsidR="00515D9A" w:rsidRPr="005510BD">
        <w:t xml:space="preserve"> least the .05 level. </w:t>
      </w:r>
      <w:r w:rsidR="00CC7D23" w:rsidRPr="005510BD">
        <w:t>For example, the working class scored .</w:t>
      </w:r>
      <w:r w:rsidR="003D3650" w:rsidRPr="005510BD">
        <w:t>2052</w:t>
      </w:r>
      <w:r w:rsidR="00CC7D23" w:rsidRPr="005510BD">
        <w:t xml:space="preserve"> on the </w:t>
      </w:r>
      <w:r w:rsidR="00CC7D23" w:rsidRPr="005510BD">
        <w:rPr>
          <w:i/>
        </w:rPr>
        <w:t>Nostalgia</w:t>
      </w:r>
      <w:r w:rsidR="00CC7D23" w:rsidRPr="005510BD">
        <w:t xml:space="preserve"> measure, </w:t>
      </w:r>
      <w:r w:rsidR="0025011C" w:rsidRPr="005510BD">
        <w:t>high</w:t>
      </w:r>
      <w:r w:rsidR="00CC7D23" w:rsidRPr="005510BD">
        <w:t xml:space="preserve">er than the </w:t>
      </w:r>
      <w:r w:rsidR="001D095B" w:rsidRPr="005510BD">
        <w:t>lower</w:t>
      </w:r>
      <w:r w:rsidR="00CC7D23" w:rsidRPr="005510BD">
        <w:t xml:space="preserve"> middle class -.</w:t>
      </w:r>
      <w:r w:rsidR="003D3650" w:rsidRPr="005510BD">
        <w:t>1152</w:t>
      </w:r>
      <w:r w:rsidR="00CC7D23" w:rsidRPr="005510BD">
        <w:t xml:space="preserve"> (p &lt; .000) and the middle class -.1</w:t>
      </w:r>
      <w:r w:rsidR="003D3650" w:rsidRPr="005510BD">
        <w:t>962 (p&lt;.000). The middle class were</w:t>
      </w:r>
      <w:r w:rsidR="00CC7D23" w:rsidRPr="005510BD">
        <w:t xml:space="preserve"> </w:t>
      </w:r>
      <w:r w:rsidR="0025011C" w:rsidRPr="005510BD">
        <w:t xml:space="preserve">themselves </w:t>
      </w:r>
      <w:r w:rsidR="003D3650" w:rsidRPr="005510BD">
        <w:t>reported</w:t>
      </w:r>
      <w:r w:rsidR="0025011C" w:rsidRPr="005510BD">
        <w:t xml:space="preserve"> </w:t>
      </w:r>
      <w:r w:rsidR="00CC7D23" w:rsidRPr="005510BD">
        <w:t xml:space="preserve">lower </w:t>
      </w:r>
      <w:r w:rsidR="003D3650" w:rsidRPr="005510BD">
        <w:t xml:space="preserve">levels of </w:t>
      </w:r>
      <w:r w:rsidR="003D3650" w:rsidRPr="005510BD">
        <w:rPr>
          <w:i/>
        </w:rPr>
        <w:t>Nostalgia</w:t>
      </w:r>
      <w:r w:rsidR="003D3650" w:rsidRPr="005510BD">
        <w:t xml:space="preserve"> </w:t>
      </w:r>
      <w:r w:rsidR="00CC7D23" w:rsidRPr="005510BD">
        <w:t xml:space="preserve">than the </w:t>
      </w:r>
      <w:r w:rsidR="001D095B" w:rsidRPr="005510BD">
        <w:t>lower</w:t>
      </w:r>
      <w:r w:rsidR="00602048" w:rsidRPr="005510BD">
        <w:t xml:space="preserve"> middle class (p </w:t>
      </w:r>
      <w:r w:rsidR="003103A7" w:rsidRPr="005510BD">
        <w:t>=</w:t>
      </w:r>
      <w:r w:rsidR="003D3650" w:rsidRPr="005510BD">
        <w:t xml:space="preserve"> .030</w:t>
      </w:r>
      <w:r w:rsidR="00CC7D23" w:rsidRPr="005510BD">
        <w:t xml:space="preserve">). </w:t>
      </w:r>
      <w:r w:rsidR="00841F9D" w:rsidRPr="005510BD">
        <w:t xml:space="preserve">So, the working class appeared to report higher levels of nostalgia then the </w:t>
      </w:r>
      <w:r w:rsidR="001D095B" w:rsidRPr="005510BD">
        <w:t>lower</w:t>
      </w:r>
      <w:r w:rsidR="00841F9D" w:rsidRPr="005510BD">
        <w:t xml:space="preserve"> middle class or the middle class. </w:t>
      </w:r>
      <w:r w:rsidRPr="005510BD">
        <w:t xml:space="preserve">  </w:t>
      </w:r>
    </w:p>
    <w:p w:rsidR="00E05823" w:rsidRPr="005510BD" w:rsidRDefault="00E05823" w:rsidP="00044CDA">
      <w:r w:rsidRPr="005510BD">
        <w:t xml:space="preserve">Middle class people tended to be older (52 years old, p </w:t>
      </w:r>
      <w:r w:rsidR="00602048" w:rsidRPr="005510BD">
        <w:t>&lt;</w:t>
      </w:r>
      <w:r w:rsidRPr="005510BD">
        <w:t xml:space="preserve"> .000) than the working class (47) or </w:t>
      </w:r>
      <w:r w:rsidR="001D095B" w:rsidRPr="005510BD">
        <w:t>lower</w:t>
      </w:r>
      <w:r w:rsidRPr="005510BD">
        <w:t xml:space="preserve"> middle class (46) (NS). Middle class people tended to live in places with lower </w:t>
      </w:r>
      <w:r w:rsidRPr="005510BD">
        <w:rPr>
          <w:i/>
        </w:rPr>
        <w:t>IMD</w:t>
      </w:r>
      <w:r w:rsidRPr="005510BD">
        <w:t xml:space="preserve"> scores, followed by </w:t>
      </w:r>
      <w:r w:rsidR="001D095B" w:rsidRPr="005510BD">
        <w:t>lower</w:t>
      </w:r>
      <w:r w:rsidRPr="005510BD">
        <w:t xml:space="preserve"> middle class people, and then working class with the highest (p </w:t>
      </w:r>
      <w:r w:rsidR="001C1C18" w:rsidRPr="005510BD">
        <w:t>&lt;</w:t>
      </w:r>
      <w:r w:rsidRPr="005510BD">
        <w:t xml:space="preserve"> .000). The middle class and </w:t>
      </w:r>
      <w:r w:rsidR="001D095B" w:rsidRPr="005510BD">
        <w:t>lower</w:t>
      </w:r>
      <w:r w:rsidRPr="005510BD">
        <w:t xml:space="preserve"> middle class both felt that their </w:t>
      </w:r>
      <w:r w:rsidR="00A918EC" w:rsidRPr="005510BD">
        <w:rPr>
          <w:i/>
        </w:rPr>
        <w:t>F</w:t>
      </w:r>
      <w:r w:rsidRPr="005510BD">
        <w:rPr>
          <w:i/>
        </w:rPr>
        <w:t>inances</w:t>
      </w:r>
      <w:r w:rsidRPr="005510BD">
        <w:t xml:space="preserve"> had improved over the past year (</w:t>
      </w:r>
      <w:r w:rsidR="0025011C" w:rsidRPr="005510BD">
        <w:t xml:space="preserve">mean scores of </w:t>
      </w:r>
      <w:r w:rsidRPr="005510BD">
        <w:t xml:space="preserve">2.95 and 2.88 respectively, NS), whilst for the working class this was lower (at 2.81, p </w:t>
      </w:r>
      <w:r w:rsidR="001C1C18" w:rsidRPr="005510BD">
        <w:t>&lt;</w:t>
      </w:r>
      <w:r w:rsidRPr="005510BD">
        <w:t xml:space="preserve"> </w:t>
      </w:r>
      <w:r w:rsidR="00387E86" w:rsidRPr="005510BD">
        <w:t xml:space="preserve">.000 when compared to the middle class, but NS when compared to the </w:t>
      </w:r>
      <w:r w:rsidR="001D095B" w:rsidRPr="005510BD">
        <w:t>lower</w:t>
      </w:r>
      <w:r w:rsidR="00387E86" w:rsidRPr="005510BD">
        <w:t xml:space="preserve"> middle class). </w:t>
      </w:r>
      <w:r w:rsidR="00012C4B" w:rsidRPr="005510BD">
        <w:t xml:space="preserve">Middle class people felt safest (1.91) followed by the working class (2.09) and then the </w:t>
      </w:r>
      <w:r w:rsidR="001D095B" w:rsidRPr="005510BD">
        <w:t>lower</w:t>
      </w:r>
      <w:r w:rsidR="00012C4B" w:rsidRPr="005510BD">
        <w:t xml:space="preserve"> middle class (2.12). There were no statistically significant differences between the </w:t>
      </w:r>
      <w:r w:rsidR="001D095B" w:rsidRPr="005510BD">
        <w:t>lower</w:t>
      </w:r>
      <w:r w:rsidR="00012C4B" w:rsidRPr="005510BD">
        <w:t xml:space="preserve"> middle class and the working class, but there were between the middle class and the two other groups (p </w:t>
      </w:r>
      <w:r w:rsidR="001C1C18" w:rsidRPr="005510BD">
        <w:t>&lt;</w:t>
      </w:r>
      <w:r w:rsidR="00012C4B" w:rsidRPr="005510BD">
        <w:t xml:space="preserve"> .000). </w:t>
      </w:r>
      <w:r w:rsidR="00C61381" w:rsidRPr="005510BD">
        <w:t>There were no statistically significant differences in t</w:t>
      </w:r>
      <w:r w:rsidR="00454AA5" w:rsidRPr="005510BD">
        <w:t xml:space="preserve">erms of these groups’ rates of </w:t>
      </w:r>
      <w:r w:rsidR="00454AA5" w:rsidRPr="005510BD">
        <w:rPr>
          <w:i/>
        </w:rPr>
        <w:t>V</w:t>
      </w:r>
      <w:r w:rsidR="00C61381" w:rsidRPr="005510BD">
        <w:rPr>
          <w:i/>
        </w:rPr>
        <w:t>ictimisation</w:t>
      </w:r>
      <w:r w:rsidR="00C61381" w:rsidRPr="005510BD">
        <w:t xml:space="preserve"> in the past year (which were all about .35-.36). </w:t>
      </w:r>
    </w:p>
    <w:p w:rsidR="009A45C2" w:rsidRPr="005510BD" w:rsidRDefault="00B07AF3" w:rsidP="00044CDA">
      <w:r w:rsidRPr="005510BD">
        <w:t xml:space="preserve">Table Two repeats the analyses presented as Model IV in Table One, this time controlling for the social class of the respondents. </w:t>
      </w:r>
      <w:r w:rsidR="009A45C2" w:rsidRPr="005510BD">
        <w:t xml:space="preserve">Let us start with the middle class respondents. For them the </w:t>
      </w:r>
      <w:r w:rsidR="00A918EC" w:rsidRPr="005510BD">
        <w:rPr>
          <w:i/>
        </w:rPr>
        <w:t>F</w:t>
      </w:r>
      <w:r w:rsidR="009A45C2" w:rsidRPr="005510BD">
        <w:rPr>
          <w:i/>
        </w:rPr>
        <w:t xml:space="preserve">ear of </w:t>
      </w:r>
      <w:r w:rsidR="00A918EC" w:rsidRPr="005510BD">
        <w:rPr>
          <w:i/>
        </w:rPr>
        <w:t>C</w:t>
      </w:r>
      <w:r w:rsidR="009A45C2" w:rsidRPr="005510BD">
        <w:rPr>
          <w:i/>
        </w:rPr>
        <w:t>rime</w:t>
      </w:r>
      <w:r w:rsidR="009A45C2" w:rsidRPr="005510BD">
        <w:t xml:space="preserve"> was predicted by their </w:t>
      </w:r>
      <w:r w:rsidR="00A918EC" w:rsidRPr="005510BD">
        <w:rPr>
          <w:i/>
        </w:rPr>
        <w:t>G</w:t>
      </w:r>
      <w:r w:rsidR="009A45C2" w:rsidRPr="005510BD">
        <w:rPr>
          <w:i/>
        </w:rPr>
        <w:t>ender</w:t>
      </w:r>
      <w:r w:rsidR="009A45C2" w:rsidRPr="005510BD">
        <w:t xml:space="preserve"> (men being less fear than women), and the assessment of their </w:t>
      </w:r>
      <w:r w:rsidR="00A918EC" w:rsidRPr="005510BD">
        <w:rPr>
          <w:i/>
        </w:rPr>
        <w:t>F</w:t>
      </w:r>
      <w:r w:rsidR="009A45C2" w:rsidRPr="005510BD">
        <w:rPr>
          <w:i/>
        </w:rPr>
        <w:t>inances</w:t>
      </w:r>
      <w:r w:rsidR="009A45C2" w:rsidRPr="005510BD">
        <w:t xml:space="preserve"> compared to the previous year (such that those who rated their finances as being in a worse state had higher levels of fear), if they were </w:t>
      </w:r>
      <w:r w:rsidR="00A918EC" w:rsidRPr="005510BD">
        <w:rPr>
          <w:i/>
        </w:rPr>
        <w:t>D</w:t>
      </w:r>
      <w:r w:rsidR="009A45C2" w:rsidRPr="005510BD">
        <w:rPr>
          <w:i/>
        </w:rPr>
        <w:t xml:space="preserve">egree </w:t>
      </w:r>
      <w:r w:rsidR="00A918EC" w:rsidRPr="005510BD">
        <w:rPr>
          <w:i/>
        </w:rPr>
        <w:t>E</w:t>
      </w:r>
      <w:r w:rsidR="009A45C2" w:rsidRPr="005510BD">
        <w:rPr>
          <w:i/>
        </w:rPr>
        <w:t>ducated</w:t>
      </w:r>
      <w:r w:rsidR="009A45C2" w:rsidRPr="005510BD">
        <w:t xml:space="preserve"> (which reduced their levels of fear), </w:t>
      </w:r>
      <w:r w:rsidR="009A45C2" w:rsidRPr="005510BD">
        <w:rPr>
          <w:i/>
        </w:rPr>
        <w:t>IMD</w:t>
      </w:r>
      <w:r w:rsidR="009A45C2" w:rsidRPr="005510BD">
        <w:t xml:space="preserve"> quartile (those in areas with greater levels of deprivation had more fear), living in an </w:t>
      </w:r>
      <w:r w:rsidR="00A918EC" w:rsidRPr="005510BD">
        <w:rPr>
          <w:i/>
        </w:rPr>
        <w:t>U</w:t>
      </w:r>
      <w:r w:rsidR="009A45C2" w:rsidRPr="005510BD">
        <w:rPr>
          <w:i/>
        </w:rPr>
        <w:t>rban</w:t>
      </w:r>
      <w:r w:rsidR="009A45C2" w:rsidRPr="005510BD">
        <w:t xml:space="preserve"> area (which increased their fear) and their feelings of </w:t>
      </w:r>
      <w:r w:rsidR="00A918EC" w:rsidRPr="005510BD">
        <w:rPr>
          <w:i/>
        </w:rPr>
        <w:t>N</w:t>
      </w:r>
      <w:r w:rsidR="009A45C2" w:rsidRPr="005510BD">
        <w:rPr>
          <w:i/>
        </w:rPr>
        <w:t>ostalgia</w:t>
      </w:r>
      <w:r w:rsidR="009A45C2" w:rsidRPr="005510BD">
        <w:t xml:space="preserve"> (those with greater feelings of nostalgia reported more fear). For the middle class, </w:t>
      </w:r>
      <w:r w:rsidR="00A918EC" w:rsidRPr="005510BD">
        <w:rPr>
          <w:i/>
        </w:rPr>
        <w:t>A</w:t>
      </w:r>
      <w:r w:rsidR="009A45C2" w:rsidRPr="005510BD">
        <w:rPr>
          <w:i/>
        </w:rPr>
        <w:t xml:space="preserve">ge, </w:t>
      </w:r>
      <w:r w:rsidR="00A918EC" w:rsidRPr="005510BD">
        <w:rPr>
          <w:i/>
        </w:rPr>
        <w:t>R</w:t>
      </w:r>
      <w:r w:rsidR="009A45C2" w:rsidRPr="005510BD">
        <w:rPr>
          <w:i/>
        </w:rPr>
        <w:t xml:space="preserve">eligiosity, </w:t>
      </w:r>
      <w:r w:rsidR="00A918EC" w:rsidRPr="005510BD">
        <w:rPr>
          <w:i/>
        </w:rPr>
        <w:t>C</w:t>
      </w:r>
      <w:r w:rsidR="009A45C2" w:rsidRPr="005510BD">
        <w:rPr>
          <w:i/>
        </w:rPr>
        <w:t xml:space="preserve">laiming </w:t>
      </w:r>
      <w:r w:rsidR="00A918EC" w:rsidRPr="005510BD">
        <w:rPr>
          <w:i/>
        </w:rPr>
        <w:t>B</w:t>
      </w:r>
      <w:r w:rsidR="009A45C2" w:rsidRPr="005510BD">
        <w:rPr>
          <w:i/>
        </w:rPr>
        <w:t>enefits</w:t>
      </w:r>
      <w:r w:rsidR="009A45C2" w:rsidRPr="005510BD">
        <w:t xml:space="preserve"> and </w:t>
      </w:r>
      <w:r w:rsidR="00A918EC" w:rsidRPr="005510BD">
        <w:rPr>
          <w:i/>
        </w:rPr>
        <w:t>V</w:t>
      </w:r>
      <w:r w:rsidR="009A45C2" w:rsidRPr="005510BD">
        <w:rPr>
          <w:i/>
        </w:rPr>
        <w:t>ictimisation</w:t>
      </w:r>
      <w:r w:rsidR="009A45C2" w:rsidRPr="005510BD">
        <w:t xml:space="preserve"> were not associated with their </w:t>
      </w:r>
      <w:r w:rsidR="00A918EC" w:rsidRPr="005510BD">
        <w:rPr>
          <w:i/>
        </w:rPr>
        <w:t>F</w:t>
      </w:r>
      <w:r w:rsidR="009A45C2" w:rsidRPr="005510BD">
        <w:rPr>
          <w:i/>
        </w:rPr>
        <w:t xml:space="preserve">ear of </w:t>
      </w:r>
      <w:r w:rsidR="00A918EC" w:rsidRPr="005510BD">
        <w:rPr>
          <w:i/>
        </w:rPr>
        <w:t>C</w:t>
      </w:r>
      <w:r w:rsidR="009A45C2" w:rsidRPr="005510BD">
        <w:rPr>
          <w:i/>
        </w:rPr>
        <w:t>rime</w:t>
      </w:r>
      <w:r w:rsidR="009A45C2" w:rsidRPr="005510BD">
        <w:t xml:space="preserve">. </w:t>
      </w:r>
    </w:p>
    <w:p w:rsidR="009A45C2" w:rsidRPr="005510BD" w:rsidRDefault="009A45C2" w:rsidP="00044CDA"/>
    <w:p w:rsidR="009A45C2" w:rsidRPr="005510BD" w:rsidRDefault="009A45C2" w:rsidP="00044CDA"/>
    <w:p w:rsidR="009A45C2" w:rsidRPr="005510BD" w:rsidRDefault="009A45C2" w:rsidP="00044CDA"/>
    <w:p w:rsidR="009A45C2" w:rsidRPr="005510BD" w:rsidRDefault="009A45C2" w:rsidP="00044CDA"/>
    <w:p w:rsidR="003D3650" w:rsidRPr="005510BD" w:rsidRDefault="009A45C2" w:rsidP="00044CDA">
      <w:r w:rsidRPr="005510BD">
        <w:t xml:space="preserve"> </w:t>
      </w:r>
    </w:p>
    <w:p w:rsidR="003D3650" w:rsidRPr="005510BD" w:rsidRDefault="003D3650" w:rsidP="003D3650">
      <w:pPr>
        <w:tabs>
          <w:tab w:val="left" w:pos="5220"/>
        </w:tabs>
        <w:jc w:val="center"/>
        <w:rPr>
          <w:b/>
        </w:rPr>
      </w:pPr>
      <w:r w:rsidRPr="005510BD">
        <w:rPr>
          <w:b/>
        </w:rPr>
        <w:lastRenderedPageBreak/>
        <w:t xml:space="preserve">TABLE </w:t>
      </w:r>
      <w:r w:rsidR="0020505C" w:rsidRPr="005510BD">
        <w:rPr>
          <w:b/>
        </w:rPr>
        <w:t>TW</w:t>
      </w:r>
      <w:r w:rsidRPr="005510BD">
        <w:rPr>
          <w:b/>
        </w:rPr>
        <w:t xml:space="preserve">O: </w:t>
      </w:r>
      <w:r w:rsidR="0020505C" w:rsidRPr="005510BD">
        <w:rPr>
          <w:b/>
        </w:rPr>
        <w:t xml:space="preserve">SOCIAL CLASS, </w:t>
      </w:r>
      <w:r w:rsidRPr="005510BD">
        <w:rPr>
          <w:b/>
        </w:rPr>
        <w:t>FEAR OF CRIME AND NOSTALGIA MODELS</w:t>
      </w:r>
    </w:p>
    <w:tbl>
      <w:tblPr>
        <w:tblStyle w:val="TableGrid"/>
        <w:tblW w:w="0" w:type="auto"/>
        <w:tblInd w:w="285" w:type="dxa"/>
        <w:tblLook w:val="04A0" w:firstRow="1" w:lastRow="0" w:firstColumn="1" w:lastColumn="0" w:noHBand="0" w:noVBand="1"/>
      </w:tblPr>
      <w:tblGrid>
        <w:gridCol w:w="2687"/>
        <w:gridCol w:w="1489"/>
        <w:gridCol w:w="1489"/>
        <w:gridCol w:w="1489"/>
      </w:tblGrid>
      <w:tr w:rsidR="003D3650" w:rsidRPr="005510BD" w:rsidTr="0020505C">
        <w:tc>
          <w:tcPr>
            <w:tcW w:w="2687" w:type="dxa"/>
          </w:tcPr>
          <w:p w:rsidR="003D3650" w:rsidRPr="005510BD" w:rsidRDefault="003D3650" w:rsidP="0020505C">
            <w:pPr>
              <w:spacing w:after="160" w:line="259" w:lineRule="auto"/>
              <w:jc w:val="center"/>
              <w:rPr>
                <w:b/>
              </w:rPr>
            </w:pPr>
          </w:p>
        </w:tc>
        <w:tc>
          <w:tcPr>
            <w:tcW w:w="1489" w:type="dxa"/>
          </w:tcPr>
          <w:p w:rsidR="003D3650" w:rsidRPr="005510BD" w:rsidRDefault="0020505C" w:rsidP="0020505C">
            <w:pPr>
              <w:spacing w:after="160" w:line="259" w:lineRule="auto"/>
              <w:jc w:val="center"/>
              <w:rPr>
                <w:b/>
              </w:rPr>
            </w:pPr>
            <w:r w:rsidRPr="005510BD">
              <w:rPr>
                <w:b/>
              </w:rPr>
              <w:t>Middle Class</w:t>
            </w:r>
          </w:p>
        </w:tc>
        <w:tc>
          <w:tcPr>
            <w:tcW w:w="1489" w:type="dxa"/>
          </w:tcPr>
          <w:p w:rsidR="003D3650" w:rsidRPr="005510BD" w:rsidRDefault="0020505C" w:rsidP="0020505C">
            <w:pPr>
              <w:jc w:val="center"/>
              <w:rPr>
                <w:b/>
              </w:rPr>
            </w:pPr>
            <w:r w:rsidRPr="005510BD">
              <w:rPr>
                <w:b/>
              </w:rPr>
              <w:t>Junior Middle Class</w:t>
            </w:r>
          </w:p>
        </w:tc>
        <w:tc>
          <w:tcPr>
            <w:tcW w:w="1489" w:type="dxa"/>
          </w:tcPr>
          <w:p w:rsidR="003D3650" w:rsidRPr="005510BD" w:rsidRDefault="0020505C" w:rsidP="0020505C">
            <w:pPr>
              <w:jc w:val="center"/>
              <w:rPr>
                <w:b/>
              </w:rPr>
            </w:pPr>
            <w:r w:rsidRPr="005510BD">
              <w:rPr>
                <w:b/>
              </w:rPr>
              <w:t>Working Class</w:t>
            </w:r>
          </w:p>
        </w:tc>
      </w:tr>
      <w:tr w:rsidR="003D3650" w:rsidRPr="005510BD" w:rsidTr="0020505C">
        <w:tc>
          <w:tcPr>
            <w:tcW w:w="2687" w:type="dxa"/>
          </w:tcPr>
          <w:p w:rsidR="003D3650" w:rsidRPr="005510BD" w:rsidRDefault="003D3650" w:rsidP="003D3650">
            <w:pPr>
              <w:spacing w:after="160"/>
            </w:pPr>
            <w:r w:rsidRPr="005510BD">
              <w:t>Gender     Male</w:t>
            </w:r>
          </w:p>
        </w:tc>
        <w:tc>
          <w:tcPr>
            <w:tcW w:w="1489" w:type="dxa"/>
          </w:tcPr>
          <w:p w:rsidR="003D3650" w:rsidRPr="005510BD" w:rsidRDefault="003D3650" w:rsidP="003D3650">
            <w:pPr>
              <w:spacing w:after="160"/>
              <w:jc w:val="right"/>
              <w:rPr>
                <w:b/>
              </w:rPr>
            </w:pPr>
            <w:r w:rsidRPr="005510BD">
              <w:rPr>
                <w:b/>
              </w:rPr>
              <w:t>-</w:t>
            </w:r>
            <w:r w:rsidR="00B07AF3" w:rsidRPr="005510BD">
              <w:rPr>
                <w:b/>
              </w:rPr>
              <w:t>.81</w:t>
            </w:r>
            <w:r w:rsidRPr="005510BD">
              <w:rPr>
                <w:b/>
              </w:rPr>
              <w:t>5 (.000)</w:t>
            </w:r>
          </w:p>
        </w:tc>
        <w:tc>
          <w:tcPr>
            <w:tcW w:w="1489" w:type="dxa"/>
          </w:tcPr>
          <w:p w:rsidR="003D3650" w:rsidRPr="005510BD" w:rsidRDefault="003D3650" w:rsidP="003D3650">
            <w:pPr>
              <w:jc w:val="right"/>
              <w:rPr>
                <w:b/>
              </w:rPr>
            </w:pPr>
            <w:r w:rsidRPr="005510BD">
              <w:rPr>
                <w:b/>
              </w:rPr>
              <w:t>-</w:t>
            </w:r>
            <w:r w:rsidR="00BA6C8B" w:rsidRPr="005510BD">
              <w:rPr>
                <w:b/>
              </w:rPr>
              <w:t>.84</w:t>
            </w:r>
            <w:r w:rsidRPr="005510BD">
              <w:rPr>
                <w:b/>
              </w:rPr>
              <w:t>5 (.000)</w:t>
            </w:r>
          </w:p>
        </w:tc>
        <w:tc>
          <w:tcPr>
            <w:tcW w:w="1489" w:type="dxa"/>
          </w:tcPr>
          <w:p w:rsidR="003D3650" w:rsidRPr="005510BD" w:rsidRDefault="003D3650" w:rsidP="003D3650">
            <w:pPr>
              <w:jc w:val="right"/>
              <w:rPr>
                <w:b/>
              </w:rPr>
            </w:pPr>
            <w:r w:rsidRPr="005510BD">
              <w:rPr>
                <w:b/>
              </w:rPr>
              <w:t>-</w:t>
            </w:r>
            <w:r w:rsidR="009527B3" w:rsidRPr="005510BD">
              <w:rPr>
                <w:b/>
              </w:rPr>
              <w:t>1.1</w:t>
            </w:r>
            <w:r w:rsidRPr="005510BD">
              <w:rPr>
                <w:b/>
              </w:rPr>
              <w:t>05 (.000)</w:t>
            </w:r>
          </w:p>
        </w:tc>
      </w:tr>
      <w:tr w:rsidR="003D3650" w:rsidRPr="005510BD" w:rsidTr="0020505C">
        <w:tc>
          <w:tcPr>
            <w:tcW w:w="2687" w:type="dxa"/>
          </w:tcPr>
          <w:p w:rsidR="003D3650" w:rsidRPr="005510BD" w:rsidRDefault="003D3650" w:rsidP="003D3650">
            <w:r w:rsidRPr="005510BD">
              <w:t xml:space="preserve">                  Female</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r>
      <w:tr w:rsidR="003D3650" w:rsidRPr="005510BD" w:rsidTr="0020505C">
        <w:tc>
          <w:tcPr>
            <w:tcW w:w="2687" w:type="dxa"/>
          </w:tcPr>
          <w:p w:rsidR="003D3650" w:rsidRPr="005510BD" w:rsidRDefault="003D3650" w:rsidP="003D3650">
            <w:pPr>
              <w:spacing w:after="160" w:line="259" w:lineRule="auto"/>
            </w:pPr>
            <w:r w:rsidRPr="005510BD">
              <w:t>Age           16-24</w:t>
            </w:r>
          </w:p>
        </w:tc>
        <w:tc>
          <w:tcPr>
            <w:tcW w:w="1489" w:type="dxa"/>
          </w:tcPr>
          <w:p w:rsidR="003D3650" w:rsidRPr="005510BD" w:rsidRDefault="00B07AF3" w:rsidP="003D3650">
            <w:pPr>
              <w:spacing w:after="160" w:line="259" w:lineRule="auto"/>
              <w:jc w:val="right"/>
            </w:pPr>
            <w:r w:rsidRPr="005510BD">
              <w:t>.815 (.107</w:t>
            </w:r>
            <w:r w:rsidR="003D3650" w:rsidRPr="005510BD">
              <w:t>)</w:t>
            </w:r>
          </w:p>
        </w:tc>
        <w:tc>
          <w:tcPr>
            <w:tcW w:w="1489" w:type="dxa"/>
          </w:tcPr>
          <w:p w:rsidR="003D3650" w:rsidRPr="005510BD" w:rsidRDefault="00BA6C8B" w:rsidP="003D3650">
            <w:pPr>
              <w:jc w:val="right"/>
              <w:rPr>
                <w:b/>
              </w:rPr>
            </w:pPr>
            <w:r w:rsidRPr="005510BD">
              <w:rPr>
                <w:b/>
              </w:rPr>
              <w:t>.956 (.003</w:t>
            </w:r>
            <w:r w:rsidR="003D3650" w:rsidRPr="005510BD">
              <w:rPr>
                <w:b/>
              </w:rPr>
              <w:t>)</w:t>
            </w:r>
          </w:p>
        </w:tc>
        <w:tc>
          <w:tcPr>
            <w:tcW w:w="1489" w:type="dxa"/>
          </w:tcPr>
          <w:p w:rsidR="003D3650" w:rsidRPr="005510BD" w:rsidRDefault="009527B3" w:rsidP="003D3650">
            <w:pPr>
              <w:jc w:val="right"/>
            </w:pPr>
            <w:r w:rsidRPr="005510BD">
              <w:t>.232 (.633</w:t>
            </w:r>
            <w:r w:rsidR="003D3650" w:rsidRPr="005510BD">
              <w:t>)</w:t>
            </w:r>
          </w:p>
        </w:tc>
      </w:tr>
      <w:tr w:rsidR="003D3650" w:rsidRPr="005510BD" w:rsidTr="0020505C">
        <w:tc>
          <w:tcPr>
            <w:tcW w:w="2687" w:type="dxa"/>
          </w:tcPr>
          <w:p w:rsidR="003D3650" w:rsidRPr="005510BD" w:rsidRDefault="003D3650" w:rsidP="003D3650">
            <w:r w:rsidRPr="005510BD">
              <w:t xml:space="preserve">                  25-34</w:t>
            </w:r>
          </w:p>
        </w:tc>
        <w:tc>
          <w:tcPr>
            <w:tcW w:w="1489" w:type="dxa"/>
          </w:tcPr>
          <w:p w:rsidR="003D3650" w:rsidRPr="005510BD" w:rsidRDefault="00B07AF3" w:rsidP="003D3650">
            <w:pPr>
              <w:jc w:val="right"/>
            </w:pPr>
            <w:r w:rsidRPr="005510BD">
              <w:t>.223 (.462</w:t>
            </w:r>
            <w:r w:rsidR="003D3650" w:rsidRPr="005510BD">
              <w:t>)</w:t>
            </w:r>
          </w:p>
        </w:tc>
        <w:tc>
          <w:tcPr>
            <w:tcW w:w="1489" w:type="dxa"/>
          </w:tcPr>
          <w:p w:rsidR="003D3650" w:rsidRPr="005510BD" w:rsidRDefault="00BA6C8B" w:rsidP="003D3650">
            <w:pPr>
              <w:jc w:val="right"/>
              <w:rPr>
                <w:b/>
              </w:rPr>
            </w:pPr>
            <w:r w:rsidRPr="005510BD">
              <w:rPr>
                <w:b/>
              </w:rPr>
              <w:t>.632 (.0</w:t>
            </w:r>
            <w:r w:rsidR="003D3650" w:rsidRPr="005510BD">
              <w:rPr>
                <w:b/>
              </w:rPr>
              <w:t>4</w:t>
            </w:r>
            <w:r w:rsidRPr="005510BD">
              <w:rPr>
                <w:b/>
              </w:rPr>
              <w:t>2</w:t>
            </w:r>
            <w:r w:rsidR="003D3650" w:rsidRPr="005510BD">
              <w:rPr>
                <w:b/>
              </w:rPr>
              <w:t>)</w:t>
            </w:r>
          </w:p>
        </w:tc>
        <w:tc>
          <w:tcPr>
            <w:tcW w:w="1489" w:type="dxa"/>
          </w:tcPr>
          <w:p w:rsidR="003D3650" w:rsidRPr="005510BD" w:rsidRDefault="009527B3" w:rsidP="009527B3">
            <w:pPr>
              <w:jc w:val="right"/>
            </w:pPr>
            <w:r w:rsidRPr="005510BD">
              <w:t>-.310</w:t>
            </w:r>
            <w:r w:rsidR="003D3650" w:rsidRPr="005510BD">
              <w:t xml:space="preserve"> (.4</w:t>
            </w:r>
            <w:r w:rsidRPr="005510BD">
              <w:t>87</w:t>
            </w:r>
            <w:r w:rsidR="003D3650" w:rsidRPr="005510BD">
              <w:t>)</w:t>
            </w:r>
          </w:p>
        </w:tc>
      </w:tr>
      <w:tr w:rsidR="003D3650" w:rsidRPr="005510BD" w:rsidTr="0020505C">
        <w:tc>
          <w:tcPr>
            <w:tcW w:w="2687" w:type="dxa"/>
          </w:tcPr>
          <w:p w:rsidR="003D3650" w:rsidRPr="005510BD" w:rsidRDefault="003D3650" w:rsidP="003D3650">
            <w:r w:rsidRPr="005510BD">
              <w:t xml:space="preserve">                  35-44</w:t>
            </w:r>
          </w:p>
        </w:tc>
        <w:tc>
          <w:tcPr>
            <w:tcW w:w="1489" w:type="dxa"/>
          </w:tcPr>
          <w:p w:rsidR="003D3650" w:rsidRPr="005510BD" w:rsidRDefault="00250397" w:rsidP="003D3650">
            <w:pPr>
              <w:jc w:val="right"/>
            </w:pPr>
            <w:r w:rsidRPr="005510BD">
              <w:t>.032 (.915</w:t>
            </w:r>
            <w:r w:rsidR="003D3650" w:rsidRPr="005510BD">
              <w:t>)</w:t>
            </w:r>
          </w:p>
        </w:tc>
        <w:tc>
          <w:tcPr>
            <w:tcW w:w="1489" w:type="dxa"/>
          </w:tcPr>
          <w:p w:rsidR="003D3650" w:rsidRPr="005510BD" w:rsidRDefault="00BA6C8B" w:rsidP="00BA6C8B">
            <w:pPr>
              <w:jc w:val="right"/>
            </w:pPr>
            <w:r w:rsidRPr="005510BD">
              <w:t>.1</w:t>
            </w:r>
            <w:r w:rsidR="003D3650" w:rsidRPr="005510BD">
              <w:t>0</w:t>
            </w:r>
            <w:r w:rsidRPr="005510BD">
              <w:t>9 (.72</w:t>
            </w:r>
            <w:r w:rsidR="003D3650" w:rsidRPr="005510BD">
              <w:t>2)</w:t>
            </w:r>
          </w:p>
        </w:tc>
        <w:tc>
          <w:tcPr>
            <w:tcW w:w="1489" w:type="dxa"/>
          </w:tcPr>
          <w:p w:rsidR="003D3650" w:rsidRPr="005510BD" w:rsidRDefault="009527B3" w:rsidP="009527B3">
            <w:pPr>
              <w:jc w:val="right"/>
            </w:pPr>
            <w:r w:rsidRPr="005510BD">
              <w:t>-</w:t>
            </w:r>
            <w:r w:rsidR="003D3650" w:rsidRPr="005510BD">
              <w:t>.</w:t>
            </w:r>
            <w:r w:rsidRPr="005510BD">
              <w:t>2</w:t>
            </w:r>
            <w:r w:rsidR="003D3650" w:rsidRPr="005510BD">
              <w:t>3</w:t>
            </w:r>
            <w:r w:rsidRPr="005510BD">
              <w:t>3</w:t>
            </w:r>
            <w:r w:rsidR="003D3650" w:rsidRPr="005510BD">
              <w:t xml:space="preserve"> (.</w:t>
            </w:r>
            <w:r w:rsidRPr="005510BD">
              <w:t>60</w:t>
            </w:r>
            <w:r w:rsidR="003D3650" w:rsidRPr="005510BD">
              <w:t>0)</w:t>
            </w:r>
          </w:p>
        </w:tc>
      </w:tr>
      <w:tr w:rsidR="003D3650" w:rsidRPr="005510BD" w:rsidTr="0020505C">
        <w:tc>
          <w:tcPr>
            <w:tcW w:w="2687" w:type="dxa"/>
          </w:tcPr>
          <w:p w:rsidR="003D3650" w:rsidRPr="005510BD" w:rsidRDefault="003D3650" w:rsidP="003D3650">
            <w:r w:rsidRPr="005510BD">
              <w:t xml:space="preserve">                  45-54</w:t>
            </w:r>
          </w:p>
        </w:tc>
        <w:tc>
          <w:tcPr>
            <w:tcW w:w="1489" w:type="dxa"/>
          </w:tcPr>
          <w:p w:rsidR="003D3650" w:rsidRPr="005510BD" w:rsidRDefault="00250397" w:rsidP="003D3650">
            <w:pPr>
              <w:jc w:val="right"/>
            </w:pPr>
            <w:r w:rsidRPr="005510BD">
              <w:t>.161 (.582</w:t>
            </w:r>
            <w:r w:rsidR="003D3650" w:rsidRPr="005510BD">
              <w:t>)</w:t>
            </w:r>
          </w:p>
        </w:tc>
        <w:tc>
          <w:tcPr>
            <w:tcW w:w="1489" w:type="dxa"/>
          </w:tcPr>
          <w:p w:rsidR="003D3650" w:rsidRPr="005510BD" w:rsidRDefault="00BA6C8B" w:rsidP="003D3650">
            <w:pPr>
              <w:jc w:val="right"/>
            </w:pPr>
            <w:r w:rsidRPr="005510BD">
              <w:t>.220 (.474</w:t>
            </w:r>
            <w:r w:rsidR="003D3650" w:rsidRPr="005510BD">
              <w:t>)</w:t>
            </w:r>
          </w:p>
        </w:tc>
        <w:tc>
          <w:tcPr>
            <w:tcW w:w="1489" w:type="dxa"/>
          </w:tcPr>
          <w:p w:rsidR="003D3650" w:rsidRPr="005510BD" w:rsidRDefault="00F109F3" w:rsidP="003D3650">
            <w:pPr>
              <w:jc w:val="right"/>
            </w:pPr>
            <w:r w:rsidRPr="005510BD">
              <w:t>-.283 (.515</w:t>
            </w:r>
            <w:r w:rsidR="003D3650" w:rsidRPr="005510BD">
              <w:t>)</w:t>
            </w:r>
          </w:p>
        </w:tc>
      </w:tr>
      <w:tr w:rsidR="003D3650" w:rsidRPr="005510BD" w:rsidTr="0020505C">
        <w:tc>
          <w:tcPr>
            <w:tcW w:w="2687" w:type="dxa"/>
          </w:tcPr>
          <w:p w:rsidR="003D3650" w:rsidRPr="005510BD" w:rsidRDefault="003D3650" w:rsidP="003D3650">
            <w:r w:rsidRPr="005510BD">
              <w:t xml:space="preserve">                  55-64</w:t>
            </w:r>
          </w:p>
        </w:tc>
        <w:tc>
          <w:tcPr>
            <w:tcW w:w="1489" w:type="dxa"/>
          </w:tcPr>
          <w:p w:rsidR="003D3650" w:rsidRPr="005510BD" w:rsidRDefault="00250397" w:rsidP="003D3650">
            <w:pPr>
              <w:jc w:val="right"/>
            </w:pPr>
            <w:r w:rsidRPr="005510BD">
              <w:t>-.020 (.946</w:t>
            </w:r>
            <w:r w:rsidR="003D3650" w:rsidRPr="005510BD">
              <w:t>)</w:t>
            </w:r>
          </w:p>
        </w:tc>
        <w:tc>
          <w:tcPr>
            <w:tcW w:w="1489" w:type="dxa"/>
          </w:tcPr>
          <w:p w:rsidR="003D3650" w:rsidRPr="005510BD" w:rsidRDefault="00BA6C8B" w:rsidP="003D3650">
            <w:pPr>
              <w:jc w:val="right"/>
            </w:pPr>
            <w:r w:rsidRPr="005510BD">
              <w:t>.268 (.39</w:t>
            </w:r>
            <w:r w:rsidR="003D3650" w:rsidRPr="005510BD">
              <w:t>4)</w:t>
            </w:r>
          </w:p>
        </w:tc>
        <w:tc>
          <w:tcPr>
            <w:tcW w:w="1489" w:type="dxa"/>
          </w:tcPr>
          <w:p w:rsidR="003D3650" w:rsidRPr="005510BD" w:rsidRDefault="000A4A32" w:rsidP="003D3650">
            <w:pPr>
              <w:jc w:val="right"/>
            </w:pPr>
            <w:r w:rsidRPr="005510BD">
              <w:t>-.2</w:t>
            </w:r>
            <w:r w:rsidR="003D3650" w:rsidRPr="005510BD">
              <w:t>9</w:t>
            </w:r>
            <w:r w:rsidRPr="005510BD">
              <w:t>2 (.509</w:t>
            </w:r>
            <w:r w:rsidR="003D3650" w:rsidRPr="005510BD">
              <w:t>)</w:t>
            </w:r>
          </w:p>
        </w:tc>
      </w:tr>
      <w:tr w:rsidR="003D3650" w:rsidRPr="005510BD" w:rsidTr="0020505C">
        <w:tc>
          <w:tcPr>
            <w:tcW w:w="2687" w:type="dxa"/>
          </w:tcPr>
          <w:p w:rsidR="003D3650" w:rsidRPr="005510BD" w:rsidRDefault="003D3650" w:rsidP="003D3650">
            <w:r w:rsidRPr="005510BD">
              <w:t xml:space="preserve">                  65-74</w:t>
            </w:r>
          </w:p>
        </w:tc>
        <w:tc>
          <w:tcPr>
            <w:tcW w:w="1489" w:type="dxa"/>
          </w:tcPr>
          <w:p w:rsidR="003D3650" w:rsidRPr="005510BD" w:rsidRDefault="00250397" w:rsidP="003D3650">
            <w:pPr>
              <w:jc w:val="right"/>
            </w:pPr>
            <w:r w:rsidRPr="005510BD">
              <w:t>-.065 (.810</w:t>
            </w:r>
            <w:r w:rsidR="003D3650" w:rsidRPr="005510BD">
              <w:t>)</w:t>
            </w:r>
          </w:p>
        </w:tc>
        <w:tc>
          <w:tcPr>
            <w:tcW w:w="1489" w:type="dxa"/>
          </w:tcPr>
          <w:p w:rsidR="003D3650" w:rsidRPr="005510BD" w:rsidRDefault="00BA6C8B" w:rsidP="003D3650">
            <w:pPr>
              <w:jc w:val="right"/>
            </w:pPr>
            <w:r w:rsidRPr="005510BD">
              <w:t>.002 (.996</w:t>
            </w:r>
            <w:r w:rsidR="003D3650" w:rsidRPr="005510BD">
              <w:t>)</w:t>
            </w:r>
          </w:p>
        </w:tc>
        <w:tc>
          <w:tcPr>
            <w:tcW w:w="1489" w:type="dxa"/>
          </w:tcPr>
          <w:p w:rsidR="003D3650" w:rsidRPr="005510BD" w:rsidRDefault="000A4A32" w:rsidP="003D3650">
            <w:pPr>
              <w:jc w:val="right"/>
            </w:pPr>
            <w:r w:rsidRPr="005510BD">
              <w:t>-.030 (.946</w:t>
            </w:r>
            <w:r w:rsidR="003D3650" w:rsidRPr="005510BD">
              <w:t>)</w:t>
            </w:r>
          </w:p>
        </w:tc>
      </w:tr>
      <w:tr w:rsidR="003D3650" w:rsidRPr="005510BD" w:rsidTr="0020505C">
        <w:tc>
          <w:tcPr>
            <w:tcW w:w="2687" w:type="dxa"/>
          </w:tcPr>
          <w:p w:rsidR="003D3650" w:rsidRPr="005510BD" w:rsidRDefault="003D3650" w:rsidP="003D3650">
            <w:r w:rsidRPr="005510BD">
              <w:t xml:space="preserve">                    &gt;75</w:t>
            </w:r>
          </w:p>
        </w:tc>
        <w:tc>
          <w:tcPr>
            <w:tcW w:w="1489" w:type="dxa"/>
          </w:tcPr>
          <w:p w:rsidR="003D3650" w:rsidRPr="005510BD" w:rsidRDefault="003D3650" w:rsidP="003D3650">
            <w:pPr>
              <w:jc w:val="center"/>
            </w:pPr>
            <w:r w:rsidRPr="005510BD">
              <w:rPr>
                <w:b/>
              </w:rPr>
              <w:t>-</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r>
      <w:tr w:rsidR="003D3650" w:rsidRPr="005510BD" w:rsidTr="0020505C">
        <w:tc>
          <w:tcPr>
            <w:tcW w:w="2687" w:type="dxa"/>
          </w:tcPr>
          <w:p w:rsidR="003D3650" w:rsidRPr="005510BD" w:rsidRDefault="003D3650" w:rsidP="003D3650">
            <w:pPr>
              <w:spacing w:after="160" w:line="259" w:lineRule="auto"/>
            </w:pPr>
            <w:r w:rsidRPr="005510BD">
              <w:t>Finances     lot worse</w:t>
            </w:r>
          </w:p>
        </w:tc>
        <w:tc>
          <w:tcPr>
            <w:tcW w:w="1489" w:type="dxa"/>
          </w:tcPr>
          <w:p w:rsidR="003D3650" w:rsidRPr="005510BD" w:rsidRDefault="003D3650" w:rsidP="003D3650">
            <w:pPr>
              <w:spacing w:after="160" w:line="259" w:lineRule="auto"/>
              <w:jc w:val="right"/>
              <w:rPr>
                <w:b/>
              </w:rPr>
            </w:pPr>
            <w:r w:rsidRPr="005510BD">
              <w:rPr>
                <w:b/>
              </w:rPr>
              <w:t>1.</w:t>
            </w:r>
            <w:r w:rsidR="00CE5100" w:rsidRPr="005510BD">
              <w:rPr>
                <w:b/>
              </w:rPr>
              <w:t>688</w:t>
            </w:r>
            <w:r w:rsidRPr="005510BD">
              <w:rPr>
                <w:b/>
              </w:rPr>
              <w:t xml:space="preserve"> (.000)</w:t>
            </w:r>
          </w:p>
        </w:tc>
        <w:tc>
          <w:tcPr>
            <w:tcW w:w="1489" w:type="dxa"/>
          </w:tcPr>
          <w:p w:rsidR="003D3650" w:rsidRPr="005510BD" w:rsidRDefault="003D3650" w:rsidP="003D3650">
            <w:pPr>
              <w:jc w:val="right"/>
              <w:rPr>
                <w:b/>
              </w:rPr>
            </w:pPr>
            <w:r w:rsidRPr="005510BD">
              <w:rPr>
                <w:b/>
              </w:rPr>
              <w:t>1.3</w:t>
            </w:r>
            <w:r w:rsidR="001B4C2E" w:rsidRPr="005510BD">
              <w:rPr>
                <w:b/>
              </w:rPr>
              <w:t>20</w:t>
            </w:r>
            <w:r w:rsidRPr="005510BD">
              <w:rPr>
                <w:b/>
              </w:rPr>
              <w:t xml:space="preserve"> (.000)</w:t>
            </w:r>
          </w:p>
        </w:tc>
        <w:tc>
          <w:tcPr>
            <w:tcW w:w="1489" w:type="dxa"/>
          </w:tcPr>
          <w:p w:rsidR="003D3650" w:rsidRPr="005510BD" w:rsidRDefault="003D3650" w:rsidP="003D3650">
            <w:pPr>
              <w:jc w:val="right"/>
              <w:rPr>
                <w:b/>
              </w:rPr>
            </w:pPr>
            <w:r w:rsidRPr="005510BD">
              <w:rPr>
                <w:b/>
              </w:rPr>
              <w:t>1.</w:t>
            </w:r>
            <w:r w:rsidR="000A4A32" w:rsidRPr="005510BD">
              <w:rPr>
                <w:b/>
              </w:rPr>
              <w:t>566</w:t>
            </w:r>
            <w:r w:rsidRPr="005510BD">
              <w:rPr>
                <w:b/>
              </w:rPr>
              <w:t xml:space="preserve"> (.000)</w:t>
            </w:r>
          </w:p>
        </w:tc>
      </w:tr>
      <w:tr w:rsidR="003D3650" w:rsidRPr="005510BD" w:rsidTr="0020505C">
        <w:tc>
          <w:tcPr>
            <w:tcW w:w="2687" w:type="dxa"/>
          </w:tcPr>
          <w:p w:rsidR="003D3650" w:rsidRPr="005510BD" w:rsidRDefault="003D3650" w:rsidP="003D3650">
            <w:r w:rsidRPr="005510BD">
              <w:t xml:space="preserve">                    little worse</w:t>
            </w:r>
          </w:p>
        </w:tc>
        <w:tc>
          <w:tcPr>
            <w:tcW w:w="1489" w:type="dxa"/>
          </w:tcPr>
          <w:p w:rsidR="003D3650" w:rsidRPr="005510BD" w:rsidRDefault="003D3650" w:rsidP="003D3650">
            <w:pPr>
              <w:jc w:val="right"/>
              <w:rPr>
                <w:b/>
              </w:rPr>
            </w:pPr>
            <w:r w:rsidRPr="005510BD">
              <w:rPr>
                <w:b/>
              </w:rPr>
              <w:t>1.</w:t>
            </w:r>
            <w:r w:rsidR="00CE5100" w:rsidRPr="005510BD">
              <w:rPr>
                <w:b/>
              </w:rPr>
              <w:t>648</w:t>
            </w:r>
            <w:r w:rsidRPr="005510BD">
              <w:rPr>
                <w:b/>
              </w:rPr>
              <w:t xml:space="preserve"> (.000)</w:t>
            </w:r>
          </w:p>
        </w:tc>
        <w:tc>
          <w:tcPr>
            <w:tcW w:w="1489" w:type="dxa"/>
          </w:tcPr>
          <w:p w:rsidR="003D3650" w:rsidRPr="005510BD" w:rsidRDefault="003D3650" w:rsidP="003D3650">
            <w:pPr>
              <w:jc w:val="right"/>
              <w:rPr>
                <w:b/>
              </w:rPr>
            </w:pPr>
            <w:r w:rsidRPr="005510BD">
              <w:rPr>
                <w:b/>
              </w:rPr>
              <w:t>1.</w:t>
            </w:r>
            <w:r w:rsidR="001B4C2E" w:rsidRPr="005510BD">
              <w:rPr>
                <w:b/>
              </w:rPr>
              <w:t>162</w:t>
            </w:r>
            <w:r w:rsidRPr="005510BD">
              <w:rPr>
                <w:b/>
              </w:rPr>
              <w:t xml:space="preserve"> (.000)</w:t>
            </w:r>
          </w:p>
        </w:tc>
        <w:tc>
          <w:tcPr>
            <w:tcW w:w="1489" w:type="dxa"/>
          </w:tcPr>
          <w:p w:rsidR="003D3650" w:rsidRPr="005510BD" w:rsidRDefault="003D3650" w:rsidP="003D3650">
            <w:pPr>
              <w:jc w:val="right"/>
              <w:rPr>
                <w:b/>
              </w:rPr>
            </w:pPr>
            <w:r w:rsidRPr="005510BD">
              <w:rPr>
                <w:b/>
              </w:rPr>
              <w:t>1.</w:t>
            </w:r>
            <w:r w:rsidR="000A4A32" w:rsidRPr="005510BD">
              <w:rPr>
                <w:b/>
              </w:rPr>
              <w:t>224 (.002</w:t>
            </w:r>
            <w:r w:rsidRPr="005510BD">
              <w:rPr>
                <w:b/>
              </w:rPr>
              <w:t>)</w:t>
            </w:r>
          </w:p>
        </w:tc>
      </w:tr>
      <w:tr w:rsidR="003D3650" w:rsidRPr="005510BD" w:rsidTr="0020505C">
        <w:tc>
          <w:tcPr>
            <w:tcW w:w="2687" w:type="dxa"/>
          </w:tcPr>
          <w:p w:rsidR="003D3650" w:rsidRPr="005510BD" w:rsidRDefault="003D3650" w:rsidP="003D3650">
            <w:r w:rsidRPr="005510BD">
              <w:t xml:space="preserve">                    the same</w:t>
            </w:r>
          </w:p>
        </w:tc>
        <w:tc>
          <w:tcPr>
            <w:tcW w:w="1489" w:type="dxa"/>
          </w:tcPr>
          <w:p w:rsidR="003D3650" w:rsidRPr="005510BD" w:rsidRDefault="003D3650" w:rsidP="003D3650">
            <w:pPr>
              <w:jc w:val="right"/>
              <w:rPr>
                <w:b/>
              </w:rPr>
            </w:pPr>
            <w:r w:rsidRPr="005510BD">
              <w:rPr>
                <w:b/>
              </w:rPr>
              <w:t>1.</w:t>
            </w:r>
            <w:r w:rsidR="00CE5100" w:rsidRPr="005510BD">
              <w:rPr>
                <w:b/>
              </w:rPr>
              <w:t>466</w:t>
            </w:r>
            <w:r w:rsidRPr="005510BD">
              <w:rPr>
                <w:b/>
              </w:rPr>
              <w:t xml:space="preserve"> (.000)</w:t>
            </w:r>
          </w:p>
        </w:tc>
        <w:tc>
          <w:tcPr>
            <w:tcW w:w="1489" w:type="dxa"/>
          </w:tcPr>
          <w:p w:rsidR="003D3650" w:rsidRPr="005510BD" w:rsidRDefault="003D3650" w:rsidP="003D3650">
            <w:pPr>
              <w:jc w:val="right"/>
              <w:rPr>
                <w:b/>
              </w:rPr>
            </w:pPr>
            <w:r w:rsidRPr="005510BD">
              <w:rPr>
                <w:b/>
              </w:rPr>
              <w:t>.</w:t>
            </w:r>
            <w:r w:rsidR="001B4C2E" w:rsidRPr="005510BD">
              <w:rPr>
                <w:b/>
              </w:rPr>
              <w:t>852 (.005</w:t>
            </w:r>
            <w:r w:rsidRPr="005510BD">
              <w:rPr>
                <w:b/>
              </w:rPr>
              <w:t>)</w:t>
            </w:r>
          </w:p>
        </w:tc>
        <w:tc>
          <w:tcPr>
            <w:tcW w:w="1489" w:type="dxa"/>
          </w:tcPr>
          <w:p w:rsidR="003D3650" w:rsidRPr="005510BD" w:rsidRDefault="003D3650" w:rsidP="003D3650">
            <w:pPr>
              <w:jc w:val="right"/>
              <w:rPr>
                <w:b/>
              </w:rPr>
            </w:pPr>
            <w:r w:rsidRPr="005510BD">
              <w:rPr>
                <w:b/>
              </w:rPr>
              <w:t>1.</w:t>
            </w:r>
            <w:r w:rsidR="00F67E77" w:rsidRPr="005510BD">
              <w:rPr>
                <w:b/>
              </w:rPr>
              <w:t>173 (.002</w:t>
            </w:r>
            <w:r w:rsidRPr="005510BD">
              <w:rPr>
                <w:b/>
              </w:rPr>
              <w:t>)</w:t>
            </w:r>
          </w:p>
        </w:tc>
      </w:tr>
      <w:tr w:rsidR="003D3650" w:rsidRPr="005510BD" w:rsidTr="0020505C">
        <w:tc>
          <w:tcPr>
            <w:tcW w:w="2687" w:type="dxa"/>
          </w:tcPr>
          <w:p w:rsidR="003D3650" w:rsidRPr="005510BD" w:rsidRDefault="003D3650" w:rsidP="003D3650">
            <w:r w:rsidRPr="005510BD">
              <w:t xml:space="preserve">                    little better</w:t>
            </w:r>
          </w:p>
        </w:tc>
        <w:tc>
          <w:tcPr>
            <w:tcW w:w="1489" w:type="dxa"/>
          </w:tcPr>
          <w:p w:rsidR="003D3650" w:rsidRPr="005510BD" w:rsidRDefault="003D3650" w:rsidP="00CE5100">
            <w:pPr>
              <w:jc w:val="right"/>
              <w:rPr>
                <w:b/>
              </w:rPr>
            </w:pPr>
            <w:r w:rsidRPr="005510BD">
              <w:rPr>
                <w:b/>
              </w:rPr>
              <w:t>1.</w:t>
            </w:r>
            <w:r w:rsidR="00CE5100" w:rsidRPr="005510BD">
              <w:rPr>
                <w:b/>
              </w:rPr>
              <w:t>4</w:t>
            </w:r>
            <w:r w:rsidRPr="005510BD">
              <w:rPr>
                <w:b/>
              </w:rPr>
              <w:t>0</w:t>
            </w:r>
            <w:r w:rsidR="00CE5100" w:rsidRPr="005510BD">
              <w:rPr>
                <w:b/>
              </w:rPr>
              <w:t xml:space="preserve">6 </w:t>
            </w:r>
            <w:r w:rsidRPr="005510BD">
              <w:rPr>
                <w:b/>
              </w:rPr>
              <w:t>(.000)</w:t>
            </w:r>
          </w:p>
        </w:tc>
        <w:tc>
          <w:tcPr>
            <w:tcW w:w="1489" w:type="dxa"/>
          </w:tcPr>
          <w:p w:rsidR="003D3650" w:rsidRPr="005510BD" w:rsidRDefault="003D3650" w:rsidP="003D3650">
            <w:pPr>
              <w:jc w:val="right"/>
              <w:rPr>
                <w:b/>
              </w:rPr>
            </w:pPr>
            <w:r w:rsidRPr="005510BD">
              <w:rPr>
                <w:b/>
              </w:rPr>
              <w:t>.7</w:t>
            </w:r>
            <w:r w:rsidR="001B4C2E" w:rsidRPr="005510BD">
              <w:rPr>
                <w:b/>
              </w:rPr>
              <w:t>86 (.012</w:t>
            </w:r>
            <w:r w:rsidRPr="005510BD">
              <w:rPr>
                <w:b/>
              </w:rPr>
              <w:t>)</w:t>
            </w:r>
          </w:p>
        </w:tc>
        <w:tc>
          <w:tcPr>
            <w:tcW w:w="1489" w:type="dxa"/>
          </w:tcPr>
          <w:p w:rsidR="003D3650" w:rsidRPr="005510BD" w:rsidRDefault="003D3650" w:rsidP="003D3650">
            <w:pPr>
              <w:jc w:val="right"/>
              <w:rPr>
                <w:b/>
              </w:rPr>
            </w:pPr>
            <w:r w:rsidRPr="005510BD">
              <w:rPr>
                <w:b/>
              </w:rPr>
              <w:t>.</w:t>
            </w:r>
            <w:r w:rsidR="00F67E77" w:rsidRPr="005510BD">
              <w:rPr>
                <w:b/>
              </w:rPr>
              <w:t>846 (.035</w:t>
            </w:r>
            <w:r w:rsidRPr="005510BD">
              <w:rPr>
                <w:b/>
              </w:rPr>
              <w:t>)</w:t>
            </w:r>
          </w:p>
        </w:tc>
      </w:tr>
      <w:tr w:rsidR="003D3650" w:rsidRPr="005510BD" w:rsidTr="0020505C">
        <w:tc>
          <w:tcPr>
            <w:tcW w:w="2687" w:type="dxa"/>
          </w:tcPr>
          <w:p w:rsidR="003D3650" w:rsidRPr="005510BD" w:rsidRDefault="003D3650" w:rsidP="003D3650">
            <w:r w:rsidRPr="005510BD">
              <w:t xml:space="preserve">                    lot better</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r>
      <w:tr w:rsidR="003D3650" w:rsidRPr="005510BD" w:rsidTr="0020505C">
        <w:tc>
          <w:tcPr>
            <w:tcW w:w="2687" w:type="dxa"/>
          </w:tcPr>
          <w:p w:rsidR="003D3650" w:rsidRPr="005510BD" w:rsidRDefault="003D3650" w:rsidP="003D3650">
            <w:pPr>
              <w:spacing w:after="160" w:line="259" w:lineRule="auto"/>
            </w:pPr>
            <w:r w:rsidRPr="005510BD">
              <w:t>Religiosity  extremely</w:t>
            </w:r>
          </w:p>
        </w:tc>
        <w:tc>
          <w:tcPr>
            <w:tcW w:w="1489" w:type="dxa"/>
          </w:tcPr>
          <w:p w:rsidR="003D3650" w:rsidRPr="005510BD" w:rsidRDefault="003D3650" w:rsidP="003D3650">
            <w:pPr>
              <w:spacing w:after="160" w:line="259" w:lineRule="auto"/>
              <w:jc w:val="right"/>
            </w:pPr>
            <w:r w:rsidRPr="005510BD">
              <w:t>-.2</w:t>
            </w:r>
            <w:r w:rsidR="00612C4A" w:rsidRPr="005510BD">
              <w:t>93 (.602</w:t>
            </w:r>
            <w:r w:rsidRPr="005510BD">
              <w:t>)</w:t>
            </w:r>
          </w:p>
        </w:tc>
        <w:tc>
          <w:tcPr>
            <w:tcW w:w="1489" w:type="dxa"/>
          </w:tcPr>
          <w:p w:rsidR="003D3650" w:rsidRPr="005510BD" w:rsidRDefault="003D3650" w:rsidP="00227C16">
            <w:pPr>
              <w:jc w:val="right"/>
            </w:pPr>
            <w:r w:rsidRPr="005510BD">
              <w:t>-.2</w:t>
            </w:r>
            <w:r w:rsidR="00227C16" w:rsidRPr="005510BD">
              <w:t>33 (.563</w:t>
            </w:r>
            <w:r w:rsidRPr="005510BD">
              <w:t>)</w:t>
            </w:r>
          </w:p>
        </w:tc>
        <w:tc>
          <w:tcPr>
            <w:tcW w:w="1489" w:type="dxa"/>
          </w:tcPr>
          <w:p w:rsidR="003D3650" w:rsidRPr="005510BD" w:rsidRDefault="003D3650" w:rsidP="003D3650">
            <w:pPr>
              <w:jc w:val="right"/>
            </w:pPr>
            <w:r w:rsidRPr="005510BD">
              <w:t>-.</w:t>
            </w:r>
            <w:r w:rsidR="00F67E77" w:rsidRPr="005510BD">
              <w:t>625 (.295</w:t>
            </w:r>
            <w:r w:rsidRPr="005510BD">
              <w:t>)</w:t>
            </w:r>
          </w:p>
        </w:tc>
      </w:tr>
      <w:tr w:rsidR="003D3650" w:rsidRPr="005510BD" w:rsidTr="0020505C">
        <w:tc>
          <w:tcPr>
            <w:tcW w:w="2687" w:type="dxa"/>
          </w:tcPr>
          <w:p w:rsidR="003D3650" w:rsidRPr="005510BD" w:rsidRDefault="003D3650" w:rsidP="003D3650">
            <w:r w:rsidRPr="005510BD">
              <w:t xml:space="preserve">                     very</w:t>
            </w:r>
          </w:p>
        </w:tc>
        <w:tc>
          <w:tcPr>
            <w:tcW w:w="1489" w:type="dxa"/>
          </w:tcPr>
          <w:p w:rsidR="003D3650" w:rsidRPr="005510BD" w:rsidRDefault="00612C4A" w:rsidP="003D3650">
            <w:pPr>
              <w:jc w:val="right"/>
            </w:pPr>
            <w:r w:rsidRPr="005510BD">
              <w:t>.386 (.088</w:t>
            </w:r>
            <w:r w:rsidR="003D3650" w:rsidRPr="005510BD">
              <w:t>)</w:t>
            </w:r>
          </w:p>
        </w:tc>
        <w:tc>
          <w:tcPr>
            <w:tcW w:w="1489" w:type="dxa"/>
          </w:tcPr>
          <w:p w:rsidR="003D3650" w:rsidRPr="005510BD" w:rsidRDefault="00227C16" w:rsidP="003D3650">
            <w:pPr>
              <w:jc w:val="right"/>
            </w:pPr>
            <w:r w:rsidRPr="005510BD">
              <w:t>-.154 (.513</w:t>
            </w:r>
            <w:r w:rsidR="003D3650" w:rsidRPr="005510BD">
              <w:t>)</w:t>
            </w:r>
          </w:p>
        </w:tc>
        <w:tc>
          <w:tcPr>
            <w:tcW w:w="1489" w:type="dxa"/>
          </w:tcPr>
          <w:p w:rsidR="003D3650" w:rsidRPr="005510BD" w:rsidRDefault="00A7225C" w:rsidP="003D3650">
            <w:pPr>
              <w:jc w:val="right"/>
            </w:pPr>
            <w:r w:rsidRPr="005510BD">
              <w:t>-.677 (.061</w:t>
            </w:r>
            <w:r w:rsidR="003D3650" w:rsidRPr="005510BD">
              <w:t>)</w:t>
            </w:r>
          </w:p>
        </w:tc>
      </w:tr>
      <w:tr w:rsidR="003D3650" w:rsidRPr="005510BD" w:rsidTr="0020505C">
        <w:tc>
          <w:tcPr>
            <w:tcW w:w="2687" w:type="dxa"/>
          </w:tcPr>
          <w:p w:rsidR="003D3650" w:rsidRPr="005510BD" w:rsidRDefault="003D3650" w:rsidP="003D3650">
            <w:r w:rsidRPr="005510BD">
              <w:t xml:space="preserve">                     somewhat</w:t>
            </w:r>
          </w:p>
        </w:tc>
        <w:tc>
          <w:tcPr>
            <w:tcW w:w="1489" w:type="dxa"/>
          </w:tcPr>
          <w:p w:rsidR="003D3650" w:rsidRPr="005510BD" w:rsidRDefault="00526422" w:rsidP="003D3650">
            <w:pPr>
              <w:jc w:val="right"/>
              <w:rPr>
                <w:b/>
              </w:rPr>
            </w:pPr>
            <w:r w:rsidRPr="005510BD">
              <w:rPr>
                <w:b/>
              </w:rPr>
              <w:t>.457 (.004</w:t>
            </w:r>
            <w:r w:rsidR="003D3650" w:rsidRPr="005510BD">
              <w:rPr>
                <w:b/>
              </w:rPr>
              <w:t>)</w:t>
            </w:r>
          </w:p>
        </w:tc>
        <w:tc>
          <w:tcPr>
            <w:tcW w:w="1489" w:type="dxa"/>
          </w:tcPr>
          <w:p w:rsidR="003D3650" w:rsidRPr="005510BD" w:rsidRDefault="00227C16" w:rsidP="003D3650">
            <w:pPr>
              <w:jc w:val="right"/>
            </w:pPr>
            <w:r w:rsidRPr="005510BD">
              <w:t>-.050 (.712</w:t>
            </w:r>
            <w:r w:rsidR="003D3650" w:rsidRPr="005510BD">
              <w:t>)</w:t>
            </w:r>
          </w:p>
        </w:tc>
        <w:tc>
          <w:tcPr>
            <w:tcW w:w="1489" w:type="dxa"/>
          </w:tcPr>
          <w:p w:rsidR="003D3650" w:rsidRPr="005510BD" w:rsidRDefault="00A7225C" w:rsidP="003D3650">
            <w:pPr>
              <w:jc w:val="right"/>
            </w:pPr>
            <w:r w:rsidRPr="005510BD">
              <w:t>-.151 (.4</w:t>
            </w:r>
            <w:r w:rsidR="003D3650" w:rsidRPr="005510BD">
              <w:t>1</w:t>
            </w:r>
            <w:r w:rsidRPr="005510BD">
              <w:t>0</w:t>
            </w:r>
            <w:r w:rsidR="003D3650" w:rsidRPr="005510BD">
              <w:t>)</w:t>
            </w:r>
          </w:p>
        </w:tc>
      </w:tr>
      <w:tr w:rsidR="003D3650" w:rsidRPr="005510BD" w:rsidTr="0020505C">
        <w:tc>
          <w:tcPr>
            <w:tcW w:w="2687" w:type="dxa"/>
          </w:tcPr>
          <w:p w:rsidR="003D3650" w:rsidRPr="005510BD" w:rsidRDefault="003D3650" w:rsidP="003D3650">
            <w:r w:rsidRPr="005510BD">
              <w:t xml:space="preserve">                     neither</w:t>
            </w:r>
          </w:p>
        </w:tc>
        <w:tc>
          <w:tcPr>
            <w:tcW w:w="1489" w:type="dxa"/>
          </w:tcPr>
          <w:p w:rsidR="003D3650" w:rsidRPr="005510BD" w:rsidRDefault="00526422" w:rsidP="003D3650">
            <w:pPr>
              <w:jc w:val="right"/>
            </w:pPr>
            <w:r w:rsidRPr="005510BD">
              <w:t>.269 (.184</w:t>
            </w:r>
            <w:r w:rsidR="003D3650" w:rsidRPr="005510BD">
              <w:t>)</w:t>
            </w:r>
          </w:p>
        </w:tc>
        <w:tc>
          <w:tcPr>
            <w:tcW w:w="1489" w:type="dxa"/>
          </w:tcPr>
          <w:p w:rsidR="003D3650" w:rsidRPr="005510BD" w:rsidRDefault="00227C16" w:rsidP="00227C16">
            <w:pPr>
              <w:jc w:val="right"/>
            </w:pPr>
            <w:r w:rsidRPr="005510BD">
              <w:t>-.099</w:t>
            </w:r>
            <w:r w:rsidR="003D3650" w:rsidRPr="005510BD">
              <w:t xml:space="preserve"> (.</w:t>
            </w:r>
            <w:r w:rsidRPr="005510BD">
              <w:t>51</w:t>
            </w:r>
            <w:r w:rsidR="003D3650" w:rsidRPr="005510BD">
              <w:t>7)</w:t>
            </w:r>
          </w:p>
        </w:tc>
        <w:tc>
          <w:tcPr>
            <w:tcW w:w="1489" w:type="dxa"/>
          </w:tcPr>
          <w:p w:rsidR="003D3650" w:rsidRPr="005510BD" w:rsidRDefault="00543EA2" w:rsidP="003D3650">
            <w:pPr>
              <w:jc w:val="right"/>
            </w:pPr>
            <w:r w:rsidRPr="005510BD">
              <w:t>-</w:t>
            </w:r>
            <w:r w:rsidR="003D3650" w:rsidRPr="005510BD">
              <w:t>.</w:t>
            </w:r>
            <w:r w:rsidRPr="005510BD">
              <w:t>072 (.717</w:t>
            </w:r>
            <w:r w:rsidR="003D3650" w:rsidRPr="005510BD">
              <w:t>)</w:t>
            </w:r>
          </w:p>
        </w:tc>
      </w:tr>
      <w:tr w:rsidR="003D3650" w:rsidRPr="005510BD" w:rsidTr="0020505C">
        <w:tc>
          <w:tcPr>
            <w:tcW w:w="2687" w:type="dxa"/>
          </w:tcPr>
          <w:p w:rsidR="003D3650" w:rsidRPr="005510BD" w:rsidRDefault="003D3650" w:rsidP="003D3650">
            <w:r w:rsidRPr="005510BD">
              <w:t xml:space="preserve">                     somewhat un</w:t>
            </w:r>
          </w:p>
        </w:tc>
        <w:tc>
          <w:tcPr>
            <w:tcW w:w="1489" w:type="dxa"/>
          </w:tcPr>
          <w:p w:rsidR="003D3650" w:rsidRPr="005510BD" w:rsidRDefault="00526422" w:rsidP="003D3650">
            <w:pPr>
              <w:jc w:val="right"/>
              <w:rPr>
                <w:b/>
              </w:rPr>
            </w:pPr>
            <w:r w:rsidRPr="005510BD">
              <w:rPr>
                <w:b/>
              </w:rPr>
              <w:t>.</w:t>
            </w:r>
            <w:r w:rsidR="003D3650" w:rsidRPr="005510BD">
              <w:rPr>
                <w:b/>
              </w:rPr>
              <w:t>39</w:t>
            </w:r>
            <w:r w:rsidRPr="005510BD">
              <w:rPr>
                <w:b/>
              </w:rPr>
              <w:t>7 (.</w:t>
            </w:r>
            <w:r w:rsidR="003D3650" w:rsidRPr="005510BD">
              <w:rPr>
                <w:b/>
              </w:rPr>
              <w:t>0</w:t>
            </w:r>
            <w:r w:rsidRPr="005510BD">
              <w:rPr>
                <w:b/>
              </w:rPr>
              <w:t>43</w:t>
            </w:r>
            <w:r w:rsidR="003D3650" w:rsidRPr="005510BD">
              <w:rPr>
                <w:b/>
              </w:rPr>
              <w:t>)</w:t>
            </w:r>
          </w:p>
        </w:tc>
        <w:tc>
          <w:tcPr>
            <w:tcW w:w="1489" w:type="dxa"/>
          </w:tcPr>
          <w:p w:rsidR="003D3650" w:rsidRPr="005510BD" w:rsidRDefault="00227C16" w:rsidP="003D3650">
            <w:pPr>
              <w:jc w:val="right"/>
            </w:pPr>
            <w:r w:rsidRPr="005510BD">
              <w:t>-.028 (.873</w:t>
            </w:r>
            <w:r w:rsidR="003D3650" w:rsidRPr="005510BD">
              <w:t>)</w:t>
            </w:r>
          </w:p>
        </w:tc>
        <w:tc>
          <w:tcPr>
            <w:tcW w:w="1489" w:type="dxa"/>
          </w:tcPr>
          <w:p w:rsidR="003D3650" w:rsidRPr="005510BD" w:rsidRDefault="00543EA2" w:rsidP="003D3650">
            <w:pPr>
              <w:jc w:val="right"/>
            </w:pPr>
            <w:r w:rsidRPr="005510BD">
              <w:t>.186 (.399</w:t>
            </w:r>
            <w:r w:rsidR="003D3650" w:rsidRPr="005510BD">
              <w:t>)</w:t>
            </w:r>
          </w:p>
        </w:tc>
      </w:tr>
      <w:tr w:rsidR="003D3650" w:rsidRPr="005510BD" w:rsidTr="0020505C">
        <w:tc>
          <w:tcPr>
            <w:tcW w:w="2687" w:type="dxa"/>
          </w:tcPr>
          <w:p w:rsidR="003D3650" w:rsidRPr="005510BD" w:rsidRDefault="003D3650" w:rsidP="003D3650">
            <w:r w:rsidRPr="005510BD">
              <w:t xml:space="preserve">                     very un</w:t>
            </w:r>
          </w:p>
        </w:tc>
        <w:tc>
          <w:tcPr>
            <w:tcW w:w="1489" w:type="dxa"/>
          </w:tcPr>
          <w:p w:rsidR="003D3650" w:rsidRPr="005510BD" w:rsidRDefault="00526422" w:rsidP="003D3650">
            <w:pPr>
              <w:jc w:val="right"/>
            </w:pPr>
            <w:r w:rsidRPr="005510BD">
              <w:t>.040 (.891</w:t>
            </w:r>
            <w:r w:rsidR="003D3650" w:rsidRPr="005510BD">
              <w:t>)</w:t>
            </w:r>
          </w:p>
        </w:tc>
        <w:tc>
          <w:tcPr>
            <w:tcW w:w="1489" w:type="dxa"/>
          </w:tcPr>
          <w:p w:rsidR="003D3650" w:rsidRPr="005510BD" w:rsidRDefault="00227C16" w:rsidP="00227C16">
            <w:pPr>
              <w:jc w:val="right"/>
            </w:pPr>
            <w:r w:rsidRPr="005510BD">
              <w:t>1.125 (.525</w:t>
            </w:r>
            <w:r w:rsidR="003D3650" w:rsidRPr="005510BD">
              <w:t>)</w:t>
            </w:r>
          </w:p>
        </w:tc>
        <w:tc>
          <w:tcPr>
            <w:tcW w:w="1489" w:type="dxa"/>
          </w:tcPr>
          <w:p w:rsidR="003D3650" w:rsidRPr="005510BD" w:rsidRDefault="003D3650" w:rsidP="003D3650">
            <w:pPr>
              <w:jc w:val="right"/>
            </w:pPr>
            <w:r w:rsidRPr="005510BD">
              <w:t>.</w:t>
            </w:r>
            <w:r w:rsidR="00543EA2" w:rsidRPr="005510BD">
              <w:t>366 (.191</w:t>
            </w:r>
            <w:r w:rsidRPr="005510BD">
              <w:t>)</w:t>
            </w:r>
          </w:p>
        </w:tc>
      </w:tr>
      <w:tr w:rsidR="003D3650" w:rsidRPr="005510BD" w:rsidTr="0020505C">
        <w:tc>
          <w:tcPr>
            <w:tcW w:w="2687" w:type="dxa"/>
          </w:tcPr>
          <w:p w:rsidR="003D3650" w:rsidRPr="005510BD" w:rsidRDefault="003D3650" w:rsidP="003D3650">
            <w:r w:rsidRPr="005510BD">
              <w:t xml:space="preserve">                     extremely un</w:t>
            </w:r>
          </w:p>
        </w:tc>
        <w:tc>
          <w:tcPr>
            <w:tcW w:w="1489" w:type="dxa"/>
          </w:tcPr>
          <w:p w:rsidR="003D3650" w:rsidRPr="005510BD" w:rsidRDefault="003D3650" w:rsidP="003D3650">
            <w:pPr>
              <w:jc w:val="center"/>
            </w:pPr>
            <w:r w:rsidRPr="005510BD">
              <w:rPr>
                <w:b/>
              </w:rPr>
              <w:t>-</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r>
      <w:tr w:rsidR="003D3650" w:rsidRPr="005510BD" w:rsidTr="0020505C">
        <w:tc>
          <w:tcPr>
            <w:tcW w:w="2687" w:type="dxa"/>
          </w:tcPr>
          <w:p w:rsidR="003D3650" w:rsidRPr="005510BD" w:rsidRDefault="003D3650" w:rsidP="003D3650">
            <w:pPr>
              <w:spacing w:after="160" w:line="259" w:lineRule="auto"/>
            </w:pPr>
            <w:r w:rsidRPr="005510BD">
              <w:t>Deg Educated       yes</w:t>
            </w:r>
          </w:p>
        </w:tc>
        <w:tc>
          <w:tcPr>
            <w:tcW w:w="1489" w:type="dxa"/>
          </w:tcPr>
          <w:p w:rsidR="003D3650" w:rsidRPr="005510BD" w:rsidRDefault="003D3650" w:rsidP="003D3650">
            <w:pPr>
              <w:spacing w:after="160" w:line="259" w:lineRule="auto"/>
              <w:jc w:val="right"/>
              <w:rPr>
                <w:b/>
              </w:rPr>
            </w:pPr>
            <w:r w:rsidRPr="005510BD">
              <w:rPr>
                <w:b/>
              </w:rPr>
              <w:t>-.</w:t>
            </w:r>
            <w:r w:rsidR="00C65813" w:rsidRPr="005510BD">
              <w:rPr>
                <w:b/>
              </w:rPr>
              <w:t>292</w:t>
            </w:r>
            <w:r w:rsidRPr="005510BD">
              <w:rPr>
                <w:b/>
              </w:rPr>
              <w:t xml:space="preserve"> (.</w:t>
            </w:r>
            <w:r w:rsidR="00C65813" w:rsidRPr="005510BD">
              <w:rPr>
                <w:b/>
              </w:rPr>
              <w:t>021</w:t>
            </w:r>
            <w:r w:rsidRPr="005510BD">
              <w:rPr>
                <w:b/>
              </w:rPr>
              <w:t>)</w:t>
            </w:r>
          </w:p>
        </w:tc>
        <w:tc>
          <w:tcPr>
            <w:tcW w:w="1489" w:type="dxa"/>
          </w:tcPr>
          <w:p w:rsidR="003D3650" w:rsidRPr="005510BD" w:rsidRDefault="003D3650" w:rsidP="003D3650">
            <w:pPr>
              <w:jc w:val="right"/>
            </w:pPr>
            <w:r w:rsidRPr="005510BD">
              <w:t>-.</w:t>
            </w:r>
            <w:r w:rsidR="00395B12" w:rsidRPr="005510BD">
              <w:t>081</w:t>
            </w:r>
            <w:r w:rsidRPr="005510BD">
              <w:t xml:space="preserve"> (.</w:t>
            </w:r>
            <w:r w:rsidR="00395B12" w:rsidRPr="005510BD">
              <w:t>443</w:t>
            </w:r>
            <w:r w:rsidRPr="005510BD">
              <w:t>)</w:t>
            </w:r>
          </w:p>
        </w:tc>
        <w:tc>
          <w:tcPr>
            <w:tcW w:w="1489" w:type="dxa"/>
          </w:tcPr>
          <w:p w:rsidR="003D3650" w:rsidRPr="005510BD" w:rsidRDefault="003D3650" w:rsidP="003D3650">
            <w:pPr>
              <w:jc w:val="right"/>
            </w:pPr>
            <w:r w:rsidRPr="005510BD">
              <w:t>-.</w:t>
            </w:r>
            <w:r w:rsidR="00A8289C" w:rsidRPr="005510BD">
              <w:t>1</w:t>
            </w:r>
            <w:r w:rsidRPr="005510BD">
              <w:t>1</w:t>
            </w:r>
            <w:r w:rsidR="00A8289C" w:rsidRPr="005510BD">
              <w:t>4</w:t>
            </w:r>
            <w:r w:rsidRPr="005510BD">
              <w:t xml:space="preserve"> (.</w:t>
            </w:r>
            <w:r w:rsidR="00A8289C" w:rsidRPr="005510BD">
              <w:t>506</w:t>
            </w:r>
            <w:r w:rsidRPr="005510BD">
              <w:t>)</w:t>
            </w:r>
          </w:p>
        </w:tc>
      </w:tr>
      <w:tr w:rsidR="003D3650" w:rsidRPr="005510BD" w:rsidTr="0020505C">
        <w:tc>
          <w:tcPr>
            <w:tcW w:w="2687" w:type="dxa"/>
          </w:tcPr>
          <w:p w:rsidR="003D3650" w:rsidRPr="005510BD" w:rsidRDefault="003D3650" w:rsidP="003D3650">
            <w:r w:rsidRPr="005510BD">
              <w:t xml:space="preserve">                                no</w:t>
            </w:r>
          </w:p>
        </w:tc>
        <w:tc>
          <w:tcPr>
            <w:tcW w:w="1489" w:type="dxa"/>
          </w:tcPr>
          <w:p w:rsidR="003D3650" w:rsidRPr="005510BD" w:rsidRDefault="003D3650" w:rsidP="003D3650">
            <w:pPr>
              <w:jc w:val="center"/>
            </w:pPr>
            <w:r w:rsidRPr="005510BD">
              <w:rPr>
                <w:b/>
              </w:rPr>
              <w:t>-</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r>
      <w:tr w:rsidR="003D3650" w:rsidRPr="005510BD" w:rsidTr="0020505C">
        <w:tc>
          <w:tcPr>
            <w:tcW w:w="2687" w:type="dxa"/>
          </w:tcPr>
          <w:p w:rsidR="003D3650" w:rsidRPr="005510BD" w:rsidRDefault="003D3650" w:rsidP="003D3650">
            <w:pPr>
              <w:spacing w:after="160" w:line="259" w:lineRule="auto"/>
            </w:pPr>
            <w:r w:rsidRPr="005510BD">
              <w:t>Claiming Benefits yes</w:t>
            </w:r>
          </w:p>
        </w:tc>
        <w:tc>
          <w:tcPr>
            <w:tcW w:w="1489" w:type="dxa"/>
          </w:tcPr>
          <w:p w:rsidR="003D3650" w:rsidRPr="005510BD" w:rsidRDefault="00C65813" w:rsidP="00C65813">
            <w:pPr>
              <w:spacing w:after="160" w:line="259" w:lineRule="auto"/>
              <w:jc w:val="right"/>
            </w:pPr>
            <w:r w:rsidRPr="005510BD">
              <w:t>-</w:t>
            </w:r>
            <w:r w:rsidR="003D3650" w:rsidRPr="005510BD">
              <w:t>.03</w:t>
            </w:r>
            <w:r w:rsidRPr="005510BD">
              <w:t>7</w:t>
            </w:r>
            <w:r w:rsidR="003D3650" w:rsidRPr="005510BD">
              <w:t xml:space="preserve"> (.</w:t>
            </w:r>
            <w:r w:rsidRPr="005510BD">
              <w:t>801</w:t>
            </w:r>
            <w:r w:rsidR="003D3650" w:rsidRPr="005510BD">
              <w:t>)</w:t>
            </w:r>
          </w:p>
        </w:tc>
        <w:tc>
          <w:tcPr>
            <w:tcW w:w="1489" w:type="dxa"/>
          </w:tcPr>
          <w:p w:rsidR="003D3650" w:rsidRPr="005510BD" w:rsidRDefault="003D3650" w:rsidP="003D3650">
            <w:pPr>
              <w:jc w:val="right"/>
              <w:rPr>
                <w:b/>
              </w:rPr>
            </w:pPr>
            <w:r w:rsidRPr="005510BD">
              <w:rPr>
                <w:b/>
              </w:rPr>
              <w:t>.2</w:t>
            </w:r>
            <w:r w:rsidR="00321994" w:rsidRPr="005510BD">
              <w:rPr>
                <w:b/>
              </w:rPr>
              <w:t>88 (.014</w:t>
            </w:r>
            <w:r w:rsidRPr="005510BD">
              <w:rPr>
                <w:b/>
              </w:rPr>
              <w:t>)</w:t>
            </w:r>
          </w:p>
        </w:tc>
        <w:tc>
          <w:tcPr>
            <w:tcW w:w="1489" w:type="dxa"/>
          </w:tcPr>
          <w:p w:rsidR="003D3650" w:rsidRPr="005510BD" w:rsidRDefault="003D3650" w:rsidP="003D3650">
            <w:pPr>
              <w:jc w:val="right"/>
            </w:pPr>
            <w:r w:rsidRPr="005510BD">
              <w:t>.</w:t>
            </w:r>
            <w:r w:rsidR="00A8289C" w:rsidRPr="005510BD">
              <w:t>166 (.</w:t>
            </w:r>
            <w:r w:rsidRPr="005510BD">
              <w:t>2</w:t>
            </w:r>
            <w:r w:rsidR="00A8289C" w:rsidRPr="005510BD">
              <w:t>45</w:t>
            </w:r>
            <w:r w:rsidRPr="005510BD">
              <w:t>)</w:t>
            </w:r>
          </w:p>
        </w:tc>
      </w:tr>
      <w:tr w:rsidR="003D3650" w:rsidRPr="005510BD" w:rsidTr="0020505C">
        <w:tc>
          <w:tcPr>
            <w:tcW w:w="2687" w:type="dxa"/>
          </w:tcPr>
          <w:p w:rsidR="003D3650" w:rsidRPr="005510BD" w:rsidRDefault="003D3650" w:rsidP="003D3650">
            <w:r w:rsidRPr="005510BD">
              <w:t xml:space="preserve">                                no</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c>
          <w:tcPr>
            <w:tcW w:w="1489" w:type="dxa"/>
          </w:tcPr>
          <w:p w:rsidR="003D3650" w:rsidRPr="005510BD" w:rsidRDefault="003D3650" w:rsidP="003D3650">
            <w:pPr>
              <w:jc w:val="center"/>
              <w:rPr>
                <w:b/>
              </w:rPr>
            </w:pPr>
            <w:r w:rsidRPr="005510BD">
              <w:rPr>
                <w:b/>
              </w:rPr>
              <w:t>-</w:t>
            </w:r>
          </w:p>
        </w:tc>
      </w:tr>
      <w:tr w:rsidR="003D3650" w:rsidRPr="005510BD" w:rsidTr="005F4823">
        <w:tc>
          <w:tcPr>
            <w:tcW w:w="2687" w:type="dxa"/>
            <w:shd w:val="clear" w:color="auto" w:fill="FFFFFF" w:themeFill="background1"/>
          </w:tcPr>
          <w:p w:rsidR="003D3650" w:rsidRPr="005510BD" w:rsidRDefault="003D3650" w:rsidP="003D3650">
            <w:pPr>
              <w:spacing w:after="160" w:line="259" w:lineRule="auto"/>
            </w:pPr>
            <w:r w:rsidRPr="005510BD">
              <w:t>IMD Quartile         1</w:t>
            </w:r>
            <w:r w:rsidRPr="005510BD">
              <w:rPr>
                <w:vertAlign w:val="superscript"/>
              </w:rPr>
              <w:t>st</w:t>
            </w:r>
          </w:p>
        </w:tc>
        <w:tc>
          <w:tcPr>
            <w:tcW w:w="1489" w:type="dxa"/>
            <w:shd w:val="clear" w:color="auto" w:fill="FFFFFF" w:themeFill="background1"/>
          </w:tcPr>
          <w:p w:rsidR="003D3650" w:rsidRPr="005510BD" w:rsidRDefault="003D3650" w:rsidP="003D3650">
            <w:pPr>
              <w:spacing w:after="160" w:line="259" w:lineRule="auto"/>
              <w:jc w:val="right"/>
              <w:rPr>
                <w:b/>
              </w:rPr>
            </w:pPr>
            <w:r w:rsidRPr="005510BD">
              <w:rPr>
                <w:b/>
              </w:rPr>
              <w:t>-.</w:t>
            </w:r>
            <w:r w:rsidR="00C65813" w:rsidRPr="005510BD">
              <w:rPr>
                <w:b/>
              </w:rPr>
              <w:t>929</w:t>
            </w:r>
            <w:r w:rsidRPr="005510BD">
              <w:rPr>
                <w:b/>
              </w:rPr>
              <w:t xml:space="preserve"> (.000)</w:t>
            </w:r>
          </w:p>
        </w:tc>
        <w:tc>
          <w:tcPr>
            <w:tcW w:w="1489" w:type="dxa"/>
            <w:shd w:val="clear" w:color="auto" w:fill="FFFFFF" w:themeFill="background1"/>
          </w:tcPr>
          <w:p w:rsidR="003D3650" w:rsidRPr="005510BD" w:rsidRDefault="003D3650" w:rsidP="00321994">
            <w:pPr>
              <w:jc w:val="right"/>
              <w:rPr>
                <w:b/>
              </w:rPr>
            </w:pPr>
            <w:r w:rsidRPr="005510BD">
              <w:rPr>
                <w:b/>
              </w:rPr>
              <w:t>-.7</w:t>
            </w:r>
            <w:r w:rsidR="00321994" w:rsidRPr="005510BD">
              <w:rPr>
                <w:b/>
              </w:rPr>
              <w:t>5</w:t>
            </w:r>
            <w:r w:rsidRPr="005510BD">
              <w:rPr>
                <w:b/>
              </w:rPr>
              <w:t>8 (.000)</w:t>
            </w:r>
          </w:p>
        </w:tc>
        <w:tc>
          <w:tcPr>
            <w:tcW w:w="1489" w:type="dxa"/>
            <w:shd w:val="clear" w:color="auto" w:fill="FFFFFF" w:themeFill="background1"/>
          </w:tcPr>
          <w:p w:rsidR="003D3650" w:rsidRPr="005510BD" w:rsidRDefault="003D3650" w:rsidP="003D3650">
            <w:pPr>
              <w:jc w:val="right"/>
              <w:rPr>
                <w:b/>
              </w:rPr>
            </w:pPr>
            <w:r w:rsidRPr="005510BD">
              <w:rPr>
                <w:b/>
              </w:rPr>
              <w:t>-.</w:t>
            </w:r>
            <w:r w:rsidR="00A8289C" w:rsidRPr="005510BD">
              <w:rPr>
                <w:b/>
              </w:rPr>
              <w:t>725</w:t>
            </w:r>
            <w:r w:rsidRPr="005510BD">
              <w:rPr>
                <w:b/>
              </w:rPr>
              <w:t xml:space="preserve"> (.000)</w:t>
            </w:r>
          </w:p>
        </w:tc>
      </w:tr>
      <w:tr w:rsidR="003D3650" w:rsidRPr="005510BD" w:rsidTr="005F4823">
        <w:tc>
          <w:tcPr>
            <w:tcW w:w="2687" w:type="dxa"/>
            <w:shd w:val="clear" w:color="auto" w:fill="FFFFFF" w:themeFill="background1"/>
          </w:tcPr>
          <w:p w:rsidR="003D3650" w:rsidRPr="005510BD" w:rsidRDefault="003D3650" w:rsidP="003D3650">
            <w:r w:rsidRPr="005510BD">
              <w:t xml:space="preserve">                                2</w:t>
            </w:r>
            <w:r w:rsidRPr="005510BD">
              <w:rPr>
                <w:vertAlign w:val="superscript"/>
              </w:rPr>
              <w:t>nd</w:t>
            </w:r>
          </w:p>
        </w:tc>
        <w:tc>
          <w:tcPr>
            <w:tcW w:w="1489" w:type="dxa"/>
            <w:shd w:val="clear" w:color="auto" w:fill="FFFFFF" w:themeFill="background1"/>
          </w:tcPr>
          <w:p w:rsidR="003D3650" w:rsidRPr="005510BD" w:rsidRDefault="00C65813" w:rsidP="003D3650">
            <w:pPr>
              <w:jc w:val="right"/>
              <w:rPr>
                <w:b/>
              </w:rPr>
            </w:pPr>
            <w:r w:rsidRPr="005510BD">
              <w:rPr>
                <w:b/>
              </w:rPr>
              <w:t>-.687</w:t>
            </w:r>
            <w:r w:rsidR="003D3650" w:rsidRPr="005510BD">
              <w:rPr>
                <w:b/>
              </w:rPr>
              <w:t xml:space="preserve"> (.000)</w:t>
            </w:r>
          </w:p>
        </w:tc>
        <w:tc>
          <w:tcPr>
            <w:tcW w:w="1489" w:type="dxa"/>
            <w:shd w:val="clear" w:color="auto" w:fill="FFFFFF" w:themeFill="background1"/>
          </w:tcPr>
          <w:p w:rsidR="003D3650" w:rsidRPr="005510BD" w:rsidRDefault="003D3650" w:rsidP="00321994">
            <w:pPr>
              <w:jc w:val="right"/>
              <w:rPr>
                <w:b/>
              </w:rPr>
            </w:pPr>
            <w:r w:rsidRPr="005510BD">
              <w:rPr>
                <w:b/>
              </w:rPr>
              <w:t>-.5</w:t>
            </w:r>
            <w:r w:rsidR="00321994" w:rsidRPr="005510BD">
              <w:rPr>
                <w:b/>
              </w:rPr>
              <w:t>8</w:t>
            </w:r>
            <w:r w:rsidRPr="005510BD">
              <w:rPr>
                <w:b/>
              </w:rPr>
              <w:t>4 (.000)</w:t>
            </w:r>
          </w:p>
        </w:tc>
        <w:tc>
          <w:tcPr>
            <w:tcW w:w="1489" w:type="dxa"/>
            <w:shd w:val="clear" w:color="auto" w:fill="FFFFFF" w:themeFill="background1"/>
          </w:tcPr>
          <w:p w:rsidR="003D3650" w:rsidRPr="005510BD" w:rsidRDefault="003D3650" w:rsidP="003D3650">
            <w:pPr>
              <w:jc w:val="right"/>
            </w:pPr>
            <w:r w:rsidRPr="005510BD">
              <w:t>-</w:t>
            </w:r>
            <w:r w:rsidR="00A8289C" w:rsidRPr="005510BD">
              <w:t>.215 (.235</w:t>
            </w:r>
            <w:r w:rsidRPr="005510BD">
              <w:t>)</w:t>
            </w:r>
          </w:p>
        </w:tc>
      </w:tr>
      <w:tr w:rsidR="003D3650" w:rsidRPr="005510BD" w:rsidTr="005F4823">
        <w:tc>
          <w:tcPr>
            <w:tcW w:w="2687" w:type="dxa"/>
            <w:shd w:val="clear" w:color="auto" w:fill="FFFFFF" w:themeFill="background1"/>
          </w:tcPr>
          <w:p w:rsidR="003D3650" w:rsidRPr="005510BD" w:rsidRDefault="003D3650" w:rsidP="003D3650">
            <w:r w:rsidRPr="005510BD">
              <w:t xml:space="preserve">                                3</w:t>
            </w:r>
            <w:r w:rsidRPr="005510BD">
              <w:rPr>
                <w:vertAlign w:val="superscript"/>
              </w:rPr>
              <w:t>rd</w:t>
            </w:r>
            <w:r w:rsidRPr="005510BD">
              <w:t xml:space="preserve"> </w:t>
            </w:r>
          </w:p>
        </w:tc>
        <w:tc>
          <w:tcPr>
            <w:tcW w:w="1489" w:type="dxa"/>
            <w:shd w:val="clear" w:color="auto" w:fill="FFFFFF" w:themeFill="background1"/>
          </w:tcPr>
          <w:p w:rsidR="003D3650" w:rsidRPr="005510BD" w:rsidRDefault="00C65813" w:rsidP="00C65813">
            <w:pPr>
              <w:jc w:val="right"/>
              <w:rPr>
                <w:b/>
              </w:rPr>
            </w:pPr>
            <w:r w:rsidRPr="005510BD">
              <w:rPr>
                <w:b/>
              </w:rPr>
              <w:t>-.560</w:t>
            </w:r>
            <w:r w:rsidR="003D3650" w:rsidRPr="005510BD">
              <w:rPr>
                <w:b/>
              </w:rPr>
              <w:t xml:space="preserve"> (.00</w:t>
            </w:r>
            <w:r w:rsidRPr="005510BD">
              <w:rPr>
                <w:b/>
              </w:rPr>
              <w:t>3</w:t>
            </w:r>
            <w:r w:rsidR="003D3650" w:rsidRPr="005510BD">
              <w:rPr>
                <w:b/>
              </w:rPr>
              <w:t>)</w:t>
            </w:r>
          </w:p>
        </w:tc>
        <w:tc>
          <w:tcPr>
            <w:tcW w:w="1489" w:type="dxa"/>
            <w:shd w:val="clear" w:color="auto" w:fill="FFFFFF" w:themeFill="background1"/>
          </w:tcPr>
          <w:p w:rsidR="003D3650" w:rsidRPr="005510BD" w:rsidRDefault="003D3650" w:rsidP="00321994">
            <w:pPr>
              <w:jc w:val="right"/>
              <w:rPr>
                <w:b/>
              </w:rPr>
            </w:pPr>
            <w:r w:rsidRPr="005510BD">
              <w:rPr>
                <w:b/>
              </w:rPr>
              <w:t>-</w:t>
            </w:r>
            <w:r w:rsidR="00321994" w:rsidRPr="005510BD">
              <w:rPr>
                <w:b/>
              </w:rPr>
              <w:t>.32</w:t>
            </w:r>
            <w:r w:rsidRPr="005510BD">
              <w:rPr>
                <w:b/>
              </w:rPr>
              <w:t>3 (.</w:t>
            </w:r>
            <w:r w:rsidR="00C65813" w:rsidRPr="005510BD">
              <w:rPr>
                <w:b/>
              </w:rPr>
              <w:t>0</w:t>
            </w:r>
            <w:r w:rsidR="00321994" w:rsidRPr="005510BD">
              <w:rPr>
                <w:b/>
              </w:rPr>
              <w:t>17</w:t>
            </w:r>
            <w:r w:rsidRPr="005510BD">
              <w:rPr>
                <w:b/>
              </w:rPr>
              <w:t>)</w:t>
            </w:r>
          </w:p>
        </w:tc>
        <w:tc>
          <w:tcPr>
            <w:tcW w:w="1489" w:type="dxa"/>
            <w:shd w:val="clear" w:color="auto" w:fill="FFFFFF" w:themeFill="background1"/>
          </w:tcPr>
          <w:p w:rsidR="003D3650" w:rsidRPr="005510BD" w:rsidRDefault="003D3650" w:rsidP="003D3650">
            <w:pPr>
              <w:jc w:val="right"/>
              <w:rPr>
                <w:b/>
              </w:rPr>
            </w:pPr>
            <w:r w:rsidRPr="005510BD">
              <w:rPr>
                <w:b/>
              </w:rPr>
              <w:t>-</w:t>
            </w:r>
            <w:r w:rsidR="00A8289C" w:rsidRPr="005510BD">
              <w:rPr>
                <w:b/>
              </w:rPr>
              <w:t>.361 (.026</w:t>
            </w:r>
            <w:r w:rsidRPr="005510BD">
              <w:rPr>
                <w:b/>
              </w:rPr>
              <w:t>)</w:t>
            </w:r>
          </w:p>
        </w:tc>
      </w:tr>
      <w:tr w:rsidR="003D3650" w:rsidRPr="005510BD" w:rsidTr="005F4823">
        <w:tc>
          <w:tcPr>
            <w:tcW w:w="2687" w:type="dxa"/>
            <w:shd w:val="clear" w:color="auto" w:fill="FFFFFF" w:themeFill="background1"/>
          </w:tcPr>
          <w:p w:rsidR="003D3650" w:rsidRPr="005510BD" w:rsidRDefault="003D3650" w:rsidP="003D3650">
            <w:r w:rsidRPr="005510BD">
              <w:t xml:space="preserve">                                4</w:t>
            </w:r>
            <w:r w:rsidRPr="005510BD">
              <w:rPr>
                <w:vertAlign w:val="superscript"/>
              </w:rPr>
              <w:t>th</w:t>
            </w:r>
            <w:r w:rsidRPr="005510BD">
              <w:t xml:space="preserve"> </w:t>
            </w:r>
          </w:p>
        </w:tc>
        <w:tc>
          <w:tcPr>
            <w:tcW w:w="1489" w:type="dxa"/>
            <w:shd w:val="clear" w:color="auto" w:fill="FFFFFF" w:themeFill="background1"/>
          </w:tcPr>
          <w:p w:rsidR="003D3650" w:rsidRPr="005510BD" w:rsidRDefault="003D3650" w:rsidP="003D3650">
            <w:pPr>
              <w:jc w:val="center"/>
              <w:rPr>
                <w:b/>
              </w:rPr>
            </w:pPr>
            <w:r w:rsidRPr="005510BD">
              <w:rPr>
                <w:b/>
              </w:rPr>
              <w:t>-</w:t>
            </w:r>
          </w:p>
        </w:tc>
        <w:tc>
          <w:tcPr>
            <w:tcW w:w="1489" w:type="dxa"/>
            <w:shd w:val="clear" w:color="auto" w:fill="FFFFFF" w:themeFill="background1"/>
          </w:tcPr>
          <w:p w:rsidR="003D3650" w:rsidRPr="005510BD" w:rsidRDefault="003D3650" w:rsidP="003D3650">
            <w:pPr>
              <w:jc w:val="center"/>
              <w:rPr>
                <w:b/>
              </w:rPr>
            </w:pPr>
            <w:r w:rsidRPr="005510BD">
              <w:rPr>
                <w:b/>
              </w:rPr>
              <w:t>-</w:t>
            </w:r>
          </w:p>
        </w:tc>
        <w:tc>
          <w:tcPr>
            <w:tcW w:w="1489" w:type="dxa"/>
            <w:shd w:val="clear" w:color="auto" w:fill="FFFFFF" w:themeFill="background1"/>
          </w:tcPr>
          <w:p w:rsidR="003D3650" w:rsidRPr="005510BD" w:rsidRDefault="003D3650" w:rsidP="003D3650">
            <w:pPr>
              <w:jc w:val="center"/>
              <w:rPr>
                <w:b/>
              </w:rPr>
            </w:pPr>
            <w:r w:rsidRPr="005510BD">
              <w:rPr>
                <w:b/>
              </w:rPr>
              <w:t>-</w:t>
            </w:r>
          </w:p>
        </w:tc>
      </w:tr>
      <w:tr w:rsidR="003D3650" w:rsidRPr="005510BD" w:rsidTr="005F4823">
        <w:tc>
          <w:tcPr>
            <w:tcW w:w="2687" w:type="dxa"/>
            <w:shd w:val="clear" w:color="auto" w:fill="FFFFFF" w:themeFill="background1"/>
          </w:tcPr>
          <w:p w:rsidR="003D3650" w:rsidRPr="005510BD" w:rsidRDefault="003D3650" w:rsidP="003D3650">
            <w:pPr>
              <w:spacing w:after="160" w:line="259" w:lineRule="auto"/>
            </w:pPr>
            <w:r w:rsidRPr="005510BD">
              <w:t xml:space="preserve">Urban                  yes </w:t>
            </w:r>
          </w:p>
        </w:tc>
        <w:tc>
          <w:tcPr>
            <w:tcW w:w="1489" w:type="dxa"/>
            <w:shd w:val="clear" w:color="auto" w:fill="FFFFFF" w:themeFill="background1"/>
          </w:tcPr>
          <w:p w:rsidR="003D3650" w:rsidRPr="005510BD" w:rsidRDefault="00C65813" w:rsidP="003D3650">
            <w:pPr>
              <w:spacing w:after="160" w:line="259" w:lineRule="auto"/>
              <w:jc w:val="right"/>
              <w:rPr>
                <w:b/>
              </w:rPr>
            </w:pPr>
            <w:r w:rsidRPr="005510BD">
              <w:rPr>
                <w:b/>
              </w:rPr>
              <w:t>1.321</w:t>
            </w:r>
            <w:r w:rsidR="003D3650" w:rsidRPr="005510BD">
              <w:rPr>
                <w:b/>
              </w:rPr>
              <w:t xml:space="preserve"> (.000)</w:t>
            </w:r>
          </w:p>
        </w:tc>
        <w:tc>
          <w:tcPr>
            <w:tcW w:w="1489" w:type="dxa"/>
            <w:shd w:val="clear" w:color="auto" w:fill="FFFFFF" w:themeFill="background1"/>
          </w:tcPr>
          <w:p w:rsidR="003D3650" w:rsidRPr="005510BD" w:rsidRDefault="00321994" w:rsidP="003D3650">
            <w:pPr>
              <w:jc w:val="right"/>
              <w:rPr>
                <w:b/>
              </w:rPr>
            </w:pPr>
            <w:r w:rsidRPr="005510BD">
              <w:rPr>
                <w:b/>
              </w:rPr>
              <w:t>.865</w:t>
            </w:r>
            <w:r w:rsidR="003D3650" w:rsidRPr="005510BD">
              <w:rPr>
                <w:b/>
              </w:rPr>
              <w:t xml:space="preserve"> (.000)</w:t>
            </w:r>
          </w:p>
        </w:tc>
        <w:tc>
          <w:tcPr>
            <w:tcW w:w="1489" w:type="dxa"/>
            <w:shd w:val="clear" w:color="auto" w:fill="FFFFFF" w:themeFill="background1"/>
          </w:tcPr>
          <w:p w:rsidR="003D3650" w:rsidRPr="005510BD" w:rsidRDefault="00A8289C" w:rsidP="003D3650">
            <w:pPr>
              <w:jc w:val="right"/>
              <w:rPr>
                <w:b/>
              </w:rPr>
            </w:pPr>
            <w:r w:rsidRPr="005510BD">
              <w:rPr>
                <w:b/>
              </w:rPr>
              <w:t>1.210</w:t>
            </w:r>
            <w:r w:rsidR="003D3650" w:rsidRPr="005510BD">
              <w:rPr>
                <w:b/>
              </w:rPr>
              <w:t xml:space="preserve"> (.000)</w:t>
            </w:r>
          </w:p>
        </w:tc>
      </w:tr>
      <w:tr w:rsidR="003D3650" w:rsidRPr="005510BD" w:rsidTr="005F4823">
        <w:tc>
          <w:tcPr>
            <w:tcW w:w="2687" w:type="dxa"/>
            <w:shd w:val="clear" w:color="auto" w:fill="FFFFFF" w:themeFill="background1"/>
          </w:tcPr>
          <w:p w:rsidR="003D3650" w:rsidRPr="005510BD" w:rsidRDefault="003D3650" w:rsidP="003D3650">
            <w:r w:rsidRPr="005510BD">
              <w:t xml:space="preserve">                            no</w:t>
            </w:r>
          </w:p>
        </w:tc>
        <w:tc>
          <w:tcPr>
            <w:tcW w:w="1489" w:type="dxa"/>
            <w:shd w:val="clear" w:color="auto" w:fill="FFFFFF" w:themeFill="background1"/>
          </w:tcPr>
          <w:p w:rsidR="003D3650" w:rsidRPr="005510BD" w:rsidRDefault="003D3650" w:rsidP="003D3650">
            <w:pPr>
              <w:jc w:val="center"/>
              <w:rPr>
                <w:b/>
              </w:rPr>
            </w:pPr>
            <w:r w:rsidRPr="005510BD">
              <w:rPr>
                <w:b/>
              </w:rPr>
              <w:t>-</w:t>
            </w:r>
          </w:p>
        </w:tc>
        <w:tc>
          <w:tcPr>
            <w:tcW w:w="1489" w:type="dxa"/>
            <w:shd w:val="clear" w:color="auto" w:fill="FFFFFF" w:themeFill="background1"/>
          </w:tcPr>
          <w:p w:rsidR="003D3650" w:rsidRPr="005510BD" w:rsidRDefault="003D3650" w:rsidP="003D3650">
            <w:pPr>
              <w:jc w:val="center"/>
              <w:rPr>
                <w:b/>
              </w:rPr>
            </w:pPr>
            <w:r w:rsidRPr="005510BD">
              <w:rPr>
                <w:b/>
              </w:rPr>
              <w:t>-</w:t>
            </w:r>
          </w:p>
        </w:tc>
        <w:tc>
          <w:tcPr>
            <w:tcW w:w="1489" w:type="dxa"/>
            <w:shd w:val="clear" w:color="auto" w:fill="FFFFFF" w:themeFill="background1"/>
          </w:tcPr>
          <w:p w:rsidR="003D3650" w:rsidRPr="005510BD" w:rsidRDefault="003D3650" w:rsidP="003D3650">
            <w:pPr>
              <w:jc w:val="center"/>
              <w:rPr>
                <w:b/>
              </w:rPr>
            </w:pPr>
            <w:r w:rsidRPr="005510BD">
              <w:rPr>
                <w:b/>
              </w:rPr>
              <w:t>-</w:t>
            </w:r>
          </w:p>
        </w:tc>
      </w:tr>
      <w:tr w:rsidR="003D3650" w:rsidRPr="005510BD" w:rsidTr="005F4823">
        <w:tc>
          <w:tcPr>
            <w:tcW w:w="2687" w:type="dxa"/>
            <w:tcBorders>
              <w:bottom w:val="single" w:sz="4" w:space="0" w:color="auto"/>
            </w:tcBorders>
            <w:shd w:val="clear" w:color="auto" w:fill="FFFFFF" w:themeFill="background1"/>
          </w:tcPr>
          <w:p w:rsidR="003D3650" w:rsidRPr="005510BD" w:rsidRDefault="003D3650" w:rsidP="003D3650">
            <w:pPr>
              <w:spacing w:after="160" w:line="259" w:lineRule="auto"/>
            </w:pPr>
            <w:r w:rsidRPr="005510BD">
              <w:t>Victimisation     no</w:t>
            </w:r>
          </w:p>
        </w:tc>
        <w:tc>
          <w:tcPr>
            <w:tcW w:w="1489" w:type="dxa"/>
            <w:tcBorders>
              <w:bottom w:val="single" w:sz="4" w:space="0" w:color="auto"/>
            </w:tcBorders>
            <w:shd w:val="clear" w:color="auto" w:fill="FFFFFF" w:themeFill="background1"/>
          </w:tcPr>
          <w:p w:rsidR="003D3650" w:rsidRPr="005510BD" w:rsidRDefault="003D3650" w:rsidP="003D3650">
            <w:pPr>
              <w:spacing w:after="160" w:line="259" w:lineRule="auto"/>
              <w:jc w:val="right"/>
            </w:pPr>
            <w:r w:rsidRPr="005510BD">
              <w:t>-.</w:t>
            </w:r>
            <w:r w:rsidR="00C65813" w:rsidRPr="005510BD">
              <w:t>235 (.157</w:t>
            </w:r>
            <w:r w:rsidRPr="005510BD">
              <w:t>)</w:t>
            </w:r>
          </w:p>
        </w:tc>
        <w:tc>
          <w:tcPr>
            <w:tcW w:w="1489" w:type="dxa"/>
            <w:tcBorders>
              <w:bottom w:val="single" w:sz="4" w:space="0" w:color="auto"/>
            </w:tcBorders>
            <w:shd w:val="clear" w:color="auto" w:fill="FFFFFF" w:themeFill="background1"/>
          </w:tcPr>
          <w:p w:rsidR="003D3650" w:rsidRPr="005510BD" w:rsidRDefault="003D3650" w:rsidP="003D3650">
            <w:pPr>
              <w:jc w:val="right"/>
            </w:pPr>
            <w:r w:rsidRPr="005510BD">
              <w:t>-.2</w:t>
            </w:r>
            <w:r w:rsidR="00321994" w:rsidRPr="005510BD">
              <w:t>49 (.063</w:t>
            </w:r>
            <w:r w:rsidRPr="005510BD">
              <w:t>)</w:t>
            </w:r>
          </w:p>
        </w:tc>
        <w:tc>
          <w:tcPr>
            <w:tcW w:w="1489" w:type="dxa"/>
            <w:tcBorders>
              <w:bottom w:val="single" w:sz="4" w:space="0" w:color="auto"/>
            </w:tcBorders>
            <w:shd w:val="clear" w:color="auto" w:fill="FFFFFF" w:themeFill="background1"/>
          </w:tcPr>
          <w:p w:rsidR="003D3650" w:rsidRPr="005510BD" w:rsidRDefault="003D3650" w:rsidP="003D3650">
            <w:pPr>
              <w:jc w:val="right"/>
              <w:rPr>
                <w:b/>
              </w:rPr>
            </w:pPr>
            <w:r w:rsidRPr="005510BD">
              <w:rPr>
                <w:b/>
              </w:rPr>
              <w:t>-.412 (.000)</w:t>
            </w:r>
          </w:p>
        </w:tc>
      </w:tr>
      <w:tr w:rsidR="003D3650" w:rsidRPr="005510BD" w:rsidTr="005F4823">
        <w:tc>
          <w:tcPr>
            <w:tcW w:w="2687" w:type="dxa"/>
            <w:shd w:val="clear" w:color="auto" w:fill="FFFFFF" w:themeFill="background1"/>
          </w:tcPr>
          <w:p w:rsidR="003D3650" w:rsidRPr="005510BD" w:rsidRDefault="003D3650" w:rsidP="003D3650">
            <w:r w:rsidRPr="005510BD">
              <w:t xml:space="preserve">                            yes</w:t>
            </w:r>
          </w:p>
        </w:tc>
        <w:tc>
          <w:tcPr>
            <w:tcW w:w="1489" w:type="dxa"/>
            <w:shd w:val="clear" w:color="auto" w:fill="FFFFFF" w:themeFill="background1"/>
          </w:tcPr>
          <w:p w:rsidR="003D3650" w:rsidRPr="005510BD" w:rsidRDefault="003D3650" w:rsidP="003D3650">
            <w:pPr>
              <w:jc w:val="center"/>
              <w:rPr>
                <w:b/>
              </w:rPr>
            </w:pPr>
            <w:r w:rsidRPr="005510BD">
              <w:rPr>
                <w:b/>
              </w:rPr>
              <w:t>-</w:t>
            </w:r>
          </w:p>
        </w:tc>
        <w:tc>
          <w:tcPr>
            <w:tcW w:w="1489" w:type="dxa"/>
            <w:shd w:val="clear" w:color="auto" w:fill="FFFFFF" w:themeFill="background1"/>
          </w:tcPr>
          <w:p w:rsidR="003D3650" w:rsidRPr="005510BD" w:rsidRDefault="003D3650" w:rsidP="003D3650">
            <w:pPr>
              <w:jc w:val="center"/>
              <w:rPr>
                <w:b/>
              </w:rPr>
            </w:pPr>
            <w:r w:rsidRPr="005510BD">
              <w:rPr>
                <w:b/>
              </w:rPr>
              <w:t>-</w:t>
            </w:r>
          </w:p>
        </w:tc>
        <w:tc>
          <w:tcPr>
            <w:tcW w:w="1489" w:type="dxa"/>
            <w:shd w:val="clear" w:color="auto" w:fill="FFFFFF" w:themeFill="background1"/>
          </w:tcPr>
          <w:p w:rsidR="003D3650" w:rsidRPr="005510BD" w:rsidRDefault="003D3650" w:rsidP="003D3650">
            <w:pPr>
              <w:jc w:val="center"/>
              <w:rPr>
                <w:b/>
              </w:rPr>
            </w:pPr>
            <w:r w:rsidRPr="005510BD">
              <w:rPr>
                <w:b/>
              </w:rPr>
              <w:t>-</w:t>
            </w:r>
          </w:p>
        </w:tc>
      </w:tr>
      <w:tr w:rsidR="003D3650" w:rsidRPr="005510BD" w:rsidTr="005F4823">
        <w:tc>
          <w:tcPr>
            <w:tcW w:w="2687" w:type="dxa"/>
            <w:shd w:val="clear" w:color="auto" w:fill="FFFFFF" w:themeFill="background1"/>
          </w:tcPr>
          <w:p w:rsidR="003D3650" w:rsidRPr="005510BD" w:rsidRDefault="003D3650" w:rsidP="003D3650">
            <w:pPr>
              <w:spacing w:after="160" w:line="259" w:lineRule="auto"/>
            </w:pPr>
            <w:r w:rsidRPr="005510BD">
              <w:t>Nostalgia</w:t>
            </w:r>
          </w:p>
        </w:tc>
        <w:tc>
          <w:tcPr>
            <w:tcW w:w="1489" w:type="dxa"/>
            <w:shd w:val="clear" w:color="auto" w:fill="FFFFFF" w:themeFill="background1"/>
          </w:tcPr>
          <w:p w:rsidR="003D3650" w:rsidRPr="005510BD" w:rsidRDefault="003D3650" w:rsidP="003D3650">
            <w:pPr>
              <w:spacing w:after="160" w:line="259" w:lineRule="auto"/>
              <w:jc w:val="right"/>
              <w:rPr>
                <w:b/>
              </w:rPr>
            </w:pPr>
            <w:r w:rsidRPr="005510BD">
              <w:rPr>
                <w:b/>
              </w:rPr>
              <w:t>.</w:t>
            </w:r>
            <w:r w:rsidR="00B07AF3" w:rsidRPr="005510BD">
              <w:rPr>
                <w:b/>
              </w:rPr>
              <w:t>236</w:t>
            </w:r>
            <w:r w:rsidRPr="005510BD">
              <w:rPr>
                <w:b/>
              </w:rPr>
              <w:t xml:space="preserve"> (.000)</w:t>
            </w:r>
          </w:p>
        </w:tc>
        <w:tc>
          <w:tcPr>
            <w:tcW w:w="1489" w:type="dxa"/>
            <w:shd w:val="clear" w:color="auto" w:fill="FFFFFF" w:themeFill="background1"/>
          </w:tcPr>
          <w:p w:rsidR="003D3650" w:rsidRPr="005510BD" w:rsidRDefault="003D3650" w:rsidP="003D3650">
            <w:pPr>
              <w:jc w:val="right"/>
              <w:rPr>
                <w:b/>
              </w:rPr>
            </w:pPr>
            <w:r w:rsidRPr="005510BD">
              <w:rPr>
                <w:b/>
              </w:rPr>
              <w:t>.</w:t>
            </w:r>
            <w:r w:rsidR="009527B3" w:rsidRPr="005510BD">
              <w:rPr>
                <w:b/>
              </w:rPr>
              <w:t>461</w:t>
            </w:r>
            <w:r w:rsidRPr="005510BD">
              <w:rPr>
                <w:b/>
              </w:rPr>
              <w:t xml:space="preserve"> (.000)</w:t>
            </w:r>
          </w:p>
        </w:tc>
        <w:tc>
          <w:tcPr>
            <w:tcW w:w="1489" w:type="dxa"/>
            <w:shd w:val="clear" w:color="auto" w:fill="FFFFFF" w:themeFill="background1"/>
          </w:tcPr>
          <w:p w:rsidR="003D3650" w:rsidRPr="005510BD" w:rsidRDefault="003D3650" w:rsidP="003D3650">
            <w:pPr>
              <w:jc w:val="right"/>
              <w:rPr>
                <w:b/>
              </w:rPr>
            </w:pPr>
            <w:r w:rsidRPr="005510BD">
              <w:rPr>
                <w:b/>
              </w:rPr>
              <w:t>.</w:t>
            </w:r>
            <w:r w:rsidR="001F02A0" w:rsidRPr="005510BD">
              <w:rPr>
                <w:b/>
              </w:rPr>
              <w:t>288</w:t>
            </w:r>
            <w:r w:rsidRPr="005510BD">
              <w:rPr>
                <w:b/>
              </w:rPr>
              <w:t xml:space="preserve"> (.000)</w:t>
            </w:r>
          </w:p>
        </w:tc>
      </w:tr>
      <w:tr w:rsidR="003D3650" w:rsidRPr="005510BD" w:rsidTr="0020505C">
        <w:tc>
          <w:tcPr>
            <w:tcW w:w="2687" w:type="dxa"/>
          </w:tcPr>
          <w:p w:rsidR="003D3650" w:rsidRPr="005510BD" w:rsidRDefault="003D3650" w:rsidP="003D3650">
            <w:pPr>
              <w:spacing w:after="160" w:line="259" w:lineRule="auto"/>
            </w:pPr>
            <w:proofErr w:type="spellStart"/>
            <w:r w:rsidRPr="005510BD">
              <w:t>Nagelkerke</w:t>
            </w:r>
            <w:proofErr w:type="spellEnd"/>
            <w:r w:rsidRPr="005510BD">
              <w:t xml:space="preserve"> Pseudo R-</w:t>
            </w:r>
            <w:proofErr w:type="spellStart"/>
            <w:r w:rsidRPr="005510BD">
              <w:t>Sq</w:t>
            </w:r>
            <w:proofErr w:type="spellEnd"/>
          </w:p>
        </w:tc>
        <w:tc>
          <w:tcPr>
            <w:tcW w:w="1489" w:type="dxa"/>
          </w:tcPr>
          <w:p w:rsidR="003D3650" w:rsidRPr="005510BD" w:rsidRDefault="00B07AF3" w:rsidP="003D3650">
            <w:pPr>
              <w:spacing w:after="160" w:line="259" w:lineRule="auto"/>
              <w:jc w:val="center"/>
            </w:pPr>
            <w:r w:rsidRPr="005510BD">
              <w:t>19.6</w:t>
            </w:r>
          </w:p>
        </w:tc>
        <w:tc>
          <w:tcPr>
            <w:tcW w:w="1489" w:type="dxa"/>
          </w:tcPr>
          <w:p w:rsidR="003D3650" w:rsidRPr="005510BD" w:rsidRDefault="00700339" w:rsidP="003D3650">
            <w:pPr>
              <w:jc w:val="center"/>
            </w:pPr>
            <w:r w:rsidRPr="005510BD">
              <w:t>17.1</w:t>
            </w:r>
          </w:p>
        </w:tc>
        <w:tc>
          <w:tcPr>
            <w:tcW w:w="1489" w:type="dxa"/>
          </w:tcPr>
          <w:p w:rsidR="003D3650" w:rsidRPr="005510BD" w:rsidRDefault="00EE03FC" w:rsidP="003D3650">
            <w:pPr>
              <w:jc w:val="center"/>
            </w:pPr>
            <w:r w:rsidRPr="005510BD">
              <w:t>21.0</w:t>
            </w:r>
          </w:p>
        </w:tc>
      </w:tr>
      <w:tr w:rsidR="00B07AF3" w:rsidRPr="005510BD" w:rsidTr="0020505C">
        <w:tc>
          <w:tcPr>
            <w:tcW w:w="2687" w:type="dxa"/>
          </w:tcPr>
          <w:p w:rsidR="00B07AF3" w:rsidRPr="005510BD" w:rsidRDefault="00B07AF3" w:rsidP="003D3650">
            <w:r w:rsidRPr="005510BD">
              <w:t>N</w:t>
            </w:r>
          </w:p>
        </w:tc>
        <w:tc>
          <w:tcPr>
            <w:tcW w:w="1489" w:type="dxa"/>
          </w:tcPr>
          <w:p w:rsidR="00B07AF3" w:rsidRPr="005510BD" w:rsidRDefault="00B07AF3" w:rsidP="003D3650">
            <w:pPr>
              <w:jc w:val="center"/>
            </w:pPr>
            <w:r w:rsidRPr="005510BD">
              <w:t>1247</w:t>
            </w:r>
          </w:p>
        </w:tc>
        <w:tc>
          <w:tcPr>
            <w:tcW w:w="1489" w:type="dxa"/>
          </w:tcPr>
          <w:p w:rsidR="00B07AF3" w:rsidRPr="005510BD" w:rsidRDefault="00B07AF3" w:rsidP="003D3650">
            <w:pPr>
              <w:jc w:val="center"/>
            </w:pPr>
            <w:r w:rsidRPr="005510BD">
              <w:t>1872</w:t>
            </w:r>
          </w:p>
        </w:tc>
        <w:tc>
          <w:tcPr>
            <w:tcW w:w="1489" w:type="dxa"/>
          </w:tcPr>
          <w:p w:rsidR="00B07AF3" w:rsidRPr="005510BD" w:rsidRDefault="00B07AF3" w:rsidP="003D3650">
            <w:pPr>
              <w:jc w:val="center"/>
            </w:pPr>
            <w:r w:rsidRPr="005510BD">
              <w:t>1182</w:t>
            </w:r>
          </w:p>
        </w:tc>
      </w:tr>
    </w:tbl>
    <w:p w:rsidR="009A45C2" w:rsidRPr="005510BD" w:rsidRDefault="003D3650" w:rsidP="003D3650">
      <w:pPr>
        <w:ind w:left="284"/>
      </w:pPr>
      <w:proofErr w:type="spellStart"/>
      <w:r w:rsidRPr="005510BD">
        <w:t>Unstandardised</w:t>
      </w:r>
      <w:proofErr w:type="spellEnd"/>
      <w:r w:rsidRPr="005510BD">
        <w:t xml:space="preserve"> coefficients (p value). Figures in bold are stat sig. The shading is for visual ease.</w:t>
      </w:r>
    </w:p>
    <w:p w:rsidR="006B46EC" w:rsidRPr="005510BD" w:rsidRDefault="009A45C2" w:rsidP="009A45C2">
      <w:r w:rsidRPr="005510BD">
        <w:lastRenderedPageBreak/>
        <w:t xml:space="preserve">For the Junior Middle Class, </w:t>
      </w:r>
      <w:r w:rsidR="00A918EC" w:rsidRPr="005510BD">
        <w:rPr>
          <w:i/>
        </w:rPr>
        <w:t>G</w:t>
      </w:r>
      <w:r w:rsidRPr="005510BD">
        <w:rPr>
          <w:i/>
        </w:rPr>
        <w:t>ender</w:t>
      </w:r>
      <w:r w:rsidRPr="005510BD">
        <w:t xml:space="preserve"> was again associated with </w:t>
      </w:r>
      <w:r w:rsidR="00A918EC" w:rsidRPr="005510BD">
        <w:rPr>
          <w:i/>
        </w:rPr>
        <w:t>F</w:t>
      </w:r>
      <w:r w:rsidRPr="005510BD">
        <w:rPr>
          <w:i/>
        </w:rPr>
        <w:t>ear</w:t>
      </w:r>
      <w:r w:rsidRPr="005510BD">
        <w:t xml:space="preserve"> (and again men were more fearful than were women), and younger members of the junior middle class (those aged below 35) were more likely to report high levels of the fear of crime than were the other age bands. Assessments of one’s </w:t>
      </w:r>
      <w:r w:rsidR="00A918EC" w:rsidRPr="005510BD">
        <w:rPr>
          <w:i/>
        </w:rPr>
        <w:t>F</w:t>
      </w:r>
      <w:r w:rsidRPr="005510BD">
        <w:rPr>
          <w:i/>
        </w:rPr>
        <w:t>inances</w:t>
      </w:r>
      <w:r w:rsidRPr="005510BD">
        <w:t xml:space="preserve"> were again associated with higher levels of </w:t>
      </w:r>
      <w:r w:rsidR="00A918EC" w:rsidRPr="005510BD">
        <w:rPr>
          <w:i/>
        </w:rPr>
        <w:t>F</w:t>
      </w:r>
      <w:r w:rsidRPr="005510BD">
        <w:rPr>
          <w:i/>
        </w:rPr>
        <w:t xml:space="preserve">ear of </w:t>
      </w:r>
      <w:r w:rsidR="00A918EC" w:rsidRPr="005510BD">
        <w:rPr>
          <w:i/>
        </w:rPr>
        <w:t>C</w:t>
      </w:r>
      <w:r w:rsidRPr="005510BD">
        <w:rPr>
          <w:i/>
        </w:rPr>
        <w:t>rime</w:t>
      </w:r>
      <w:r w:rsidRPr="005510BD">
        <w:t xml:space="preserve"> such that those who felt that their </w:t>
      </w:r>
      <w:r w:rsidR="00A918EC" w:rsidRPr="005510BD">
        <w:rPr>
          <w:i/>
        </w:rPr>
        <w:t>F</w:t>
      </w:r>
      <w:r w:rsidRPr="005510BD">
        <w:rPr>
          <w:i/>
        </w:rPr>
        <w:t>inances</w:t>
      </w:r>
      <w:r w:rsidRPr="005510BD">
        <w:t xml:space="preserve"> had got worse reported more </w:t>
      </w:r>
      <w:r w:rsidR="00A918EC" w:rsidRPr="005510BD">
        <w:rPr>
          <w:i/>
        </w:rPr>
        <w:t>F</w:t>
      </w:r>
      <w:r w:rsidRPr="005510BD">
        <w:rPr>
          <w:i/>
        </w:rPr>
        <w:t>ear</w:t>
      </w:r>
      <w:r w:rsidRPr="005510BD">
        <w:t xml:space="preserve">. </w:t>
      </w:r>
      <w:r w:rsidR="00A918EC" w:rsidRPr="005510BD">
        <w:rPr>
          <w:i/>
        </w:rPr>
        <w:t>Claiming B</w:t>
      </w:r>
      <w:r w:rsidRPr="005510BD">
        <w:rPr>
          <w:i/>
        </w:rPr>
        <w:t>enefits</w:t>
      </w:r>
      <w:r w:rsidRPr="005510BD">
        <w:t xml:space="preserve"> was also associated with higher levels of the </w:t>
      </w:r>
      <w:r w:rsidR="00A918EC" w:rsidRPr="005510BD">
        <w:rPr>
          <w:i/>
        </w:rPr>
        <w:t>F</w:t>
      </w:r>
      <w:r w:rsidRPr="005510BD">
        <w:rPr>
          <w:i/>
        </w:rPr>
        <w:t xml:space="preserve">ear of </w:t>
      </w:r>
      <w:r w:rsidR="00A918EC" w:rsidRPr="005510BD">
        <w:rPr>
          <w:i/>
        </w:rPr>
        <w:t>C</w:t>
      </w:r>
      <w:r w:rsidRPr="005510BD">
        <w:rPr>
          <w:i/>
        </w:rPr>
        <w:t>rime</w:t>
      </w:r>
      <w:r w:rsidRPr="005510BD">
        <w:t xml:space="preserve">, </w:t>
      </w:r>
      <w:r w:rsidR="006B46EC" w:rsidRPr="005510BD">
        <w:t xml:space="preserve">as were </w:t>
      </w:r>
      <w:r w:rsidR="006B46EC" w:rsidRPr="005510BD">
        <w:rPr>
          <w:i/>
        </w:rPr>
        <w:t>IMD</w:t>
      </w:r>
      <w:r w:rsidR="006B46EC" w:rsidRPr="005510BD">
        <w:t xml:space="preserve"> quartile and living in an </w:t>
      </w:r>
      <w:r w:rsidR="00A918EC" w:rsidRPr="005510BD">
        <w:rPr>
          <w:i/>
        </w:rPr>
        <w:t>U</w:t>
      </w:r>
      <w:r w:rsidR="006B46EC" w:rsidRPr="005510BD">
        <w:rPr>
          <w:i/>
        </w:rPr>
        <w:t>rb</w:t>
      </w:r>
      <w:r w:rsidR="000733CF" w:rsidRPr="005510BD">
        <w:rPr>
          <w:i/>
        </w:rPr>
        <w:t>an</w:t>
      </w:r>
      <w:r w:rsidR="000733CF" w:rsidRPr="005510BD">
        <w:t xml:space="preserve"> area. For this group, </w:t>
      </w:r>
      <w:r w:rsidR="000733CF" w:rsidRPr="005510BD">
        <w:rPr>
          <w:i/>
        </w:rPr>
        <w:t>Nostal</w:t>
      </w:r>
      <w:r w:rsidR="006B46EC" w:rsidRPr="005510BD">
        <w:rPr>
          <w:i/>
        </w:rPr>
        <w:t>g</w:t>
      </w:r>
      <w:r w:rsidR="000733CF" w:rsidRPr="005510BD">
        <w:rPr>
          <w:i/>
        </w:rPr>
        <w:t>i</w:t>
      </w:r>
      <w:r w:rsidR="006B46EC" w:rsidRPr="005510BD">
        <w:rPr>
          <w:i/>
        </w:rPr>
        <w:t>a</w:t>
      </w:r>
      <w:r w:rsidR="006B46EC" w:rsidRPr="005510BD">
        <w:t xml:space="preserve"> was especially strongly related to their </w:t>
      </w:r>
      <w:r w:rsidR="002E60A2" w:rsidRPr="005510BD">
        <w:rPr>
          <w:i/>
        </w:rPr>
        <w:t>F</w:t>
      </w:r>
      <w:r w:rsidR="006B46EC" w:rsidRPr="005510BD">
        <w:rPr>
          <w:i/>
        </w:rPr>
        <w:t xml:space="preserve">ear of </w:t>
      </w:r>
      <w:r w:rsidR="002E60A2" w:rsidRPr="005510BD">
        <w:rPr>
          <w:i/>
        </w:rPr>
        <w:t>C</w:t>
      </w:r>
      <w:r w:rsidR="006B46EC" w:rsidRPr="005510BD">
        <w:rPr>
          <w:i/>
        </w:rPr>
        <w:t>rime</w:t>
      </w:r>
      <w:r w:rsidR="006B46EC" w:rsidRPr="005510BD">
        <w:t>.</w:t>
      </w:r>
    </w:p>
    <w:p w:rsidR="003D3650" w:rsidRPr="005510BD" w:rsidRDefault="000733CF" w:rsidP="00044CDA">
      <w:r w:rsidRPr="005510BD">
        <w:t>In t</w:t>
      </w:r>
      <w:r w:rsidR="009C020B" w:rsidRPr="005510BD">
        <w:t xml:space="preserve">he model for </w:t>
      </w:r>
      <w:r w:rsidR="006B46EC" w:rsidRPr="005510BD">
        <w:t xml:space="preserve">the Working Class respondents in our survey, </w:t>
      </w:r>
      <w:r w:rsidR="002E60A2" w:rsidRPr="005510BD">
        <w:rPr>
          <w:i/>
        </w:rPr>
        <w:t>G</w:t>
      </w:r>
      <w:r w:rsidR="006B46EC" w:rsidRPr="005510BD">
        <w:rPr>
          <w:i/>
        </w:rPr>
        <w:t>ender</w:t>
      </w:r>
      <w:r w:rsidR="006B46EC" w:rsidRPr="005510BD">
        <w:t xml:space="preserve"> was again associated with the </w:t>
      </w:r>
      <w:r w:rsidR="002E60A2" w:rsidRPr="005510BD">
        <w:rPr>
          <w:i/>
        </w:rPr>
        <w:t>F</w:t>
      </w:r>
      <w:r w:rsidR="006B46EC" w:rsidRPr="005510BD">
        <w:rPr>
          <w:i/>
        </w:rPr>
        <w:t xml:space="preserve">ear of </w:t>
      </w:r>
      <w:r w:rsidR="002E60A2" w:rsidRPr="005510BD">
        <w:rPr>
          <w:i/>
        </w:rPr>
        <w:t>C</w:t>
      </w:r>
      <w:r w:rsidR="006B46EC" w:rsidRPr="005510BD">
        <w:rPr>
          <w:i/>
        </w:rPr>
        <w:t>rime</w:t>
      </w:r>
      <w:r w:rsidR="006B46EC" w:rsidRPr="005510BD">
        <w:t xml:space="preserve"> along the same lines as for other social classes, as were ass</w:t>
      </w:r>
      <w:r w:rsidRPr="005510BD">
        <w:t xml:space="preserve">essments of their </w:t>
      </w:r>
      <w:r w:rsidR="002E60A2" w:rsidRPr="005510BD">
        <w:rPr>
          <w:i/>
        </w:rPr>
        <w:t>F</w:t>
      </w:r>
      <w:r w:rsidRPr="005510BD">
        <w:rPr>
          <w:i/>
        </w:rPr>
        <w:t>inances</w:t>
      </w:r>
      <w:r w:rsidRPr="005510BD">
        <w:t xml:space="preserve">, </w:t>
      </w:r>
      <w:r w:rsidR="006B46EC" w:rsidRPr="005510BD">
        <w:t xml:space="preserve">their </w:t>
      </w:r>
      <w:r w:rsidR="006B46EC" w:rsidRPr="005510BD">
        <w:rPr>
          <w:i/>
        </w:rPr>
        <w:t>IMD</w:t>
      </w:r>
      <w:r w:rsidR="006B46EC" w:rsidRPr="005510BD">
        <w:t xml:space="preserve"> and if they were living in an </w:t>
      </w:r>
      <w:r w:rsidR="002E60A2" w:rsidRPr="005510BD">
        <w:rPr>
          <w:i/>
        </w:rPr>
        <w:t>U</w:t>
      </w:r>
      <w:r w:rsidR="006B46EC" w:rsidRPr="005510BD">
        <w:rPr>
          <w:i/>
        </w:rPr>
        <w:t>rban</w:t>
      </w:r>
      <w:r w:rsidR="006B46EC" w:rsidRPr="005510BD">
        <w:t xml:space="preserve"> area.</w:t>
      </w:r>
      <w:r w:rsidR="001F02A0" w:rsidRPr="005510BD">
        <w:t xml:space="preserve"> Being a victim of crime in the past year was associated with </w:t>
      </w:r>
      <w:r w:rsidR="0083058B" w:rsidRPr="005510BD">
        <w:t>high</w:t>
      </w:r>
      <w:r w:rsidR="001F02A0" w:rsidRPr="005510BD">
        <w:t xml:space="preserve">er levels of the </w:t>
      </w:r>
      <w:r w:rsidR="002E60A2" w:rsidRPr="005510BD">
        <w:rPr>
          <w:i/>
        </w:rPr>
        <w:t>F</w:t>
      </w:r>
      <w:r w:rsidR="001F02A0" w:rsidRPr="005510BD">
        <w:rPr>
          <w:i/>
        </w:rPr>
        <w:t xml:space="preserve">ear of </w:t>
      </w:r>
      <w:r w:rsidR="002E60A2" w:rsidRPr="005510BD">
        <w:rPr>
          <w:i/>
        </w:rPr>
        <w:t>C</w:t>
      </w:r>
      <w:r w:rsidR="001F02A0" w:rsidRPr="005510BD">
        <w:rPr>
          <w:i/>
        </w:rPr>
        <w:t>rime</w:t>
      </w:r>
      <w:r w:rsidR="001F02A0" w:rsidRPr="005510BD">
        <w:t xml:space="preserve"> for the Working Class, </w:t>
      </w:r>
      <w:r w:rsidRPr="005510BD">
        <w:t>and</w:t>
      </w:r>
      <w:r w:rsidR="001F02A0" w:rsidRPr="005510BD">
        <w:t xml:space="preserve"> feelings of </w:t>
      </w:r>
      <w:r w:rsidR="001F02A0" w:rsidRPr="005510BD">
        <w:rPr>
          <w:i/>
        </w:rPr>
        <w:t>Nostalgia</w:t>
      </w:r>
      <w:r w:rsidR="001F02A0" w:rsidRPr="005510BD">
        <w:t xml:space="preserve"> were positively associated with higher levels of the </w:t>
      </w:r>
      <w:r w:rsidR="002E60A2" w:rsidRPr="005510BD">
        <w:rPr>
          <w:i/>
        </w:rPr>
        <w:t>F</w:t>
      </w:r>
      <w:r w:rsidR="001F02A0" w:rsidRPr="005510BD">
        <w:rPr>
          <w:i/>
        </w:rPr>
        <w:t xml:space="preserve">ear of </w:t>
      </w:r>
      <w:r w:rsidR="002E60A2" w:rsidRPr="005510BD">
        <w:rPr>
          <w:i/>
        </w:rPr>
        <w:t>C</w:t>
      </w:r>
      <w:r w:rsidR="001F02A0" w:rsidRPr="005510BD">
        <w:rPr>
          <w:i/>
        </w:rPr>
        <w:t>rime</w:t>
      </w:r>
      <w:r w:rsidR="001F02A0" w:rsidRPr="005510BD">
        <w:t xml:space="preserve">. </w:t>
      </w:r>
    </w:p>
    <w:p w:rsidR="001C3CFB" w:rsidRPr="005510BD" w:rsidRDefault="001C3CFB" w:rsidP="00F311E4">
      <w:pPr>
        <w:jc w:val="center"/>
      </w:pPr>
    </w:p>
    <w:p w:rsidR="002E28DA" w:rsidRPr="005510BD" w:rsidRDefault="002E28DA" w:rsidP="002E28DA">
      <w:pPr>
        <w:jc w:val="center"/>
        <w:rPr>
          <w:b/>
        </w:rPr>
      </w:pPr>
      <w:r w:rsidRPr="005510BD">
        <w:rPr>
          <w:b/>
        </w:rPr>
        <w:t>Discussion and Conclusion</w:t>
      </w:r>
    </w:p>
    <w:p w:rsidR="00B74FB4" w:rsidRPr="005510BD" w:rsidRDefault="00B74FB4" w:rsidP="00054CCF">
      <w:r w:rsidRPr="005510BD">
        <w:t xml:space="preserve">We wish to start this concluding section with a reflection on the measurement of nostalgia. Nostalgia is a concept which can be approached – and indeed </w:t>
      </w:r>
      <w:r w:rsidRPr="005510BD">
        <w:rPr>
          <w:i/>
        </w:rPr>
        <w:t>needs</w:t>
      </w:r>
      <w:r w:rsidRPr="005510BD">
        <w:t xml:space="preserve"> to be approached – in a number of different ways. The </w:t>
      </w:r>
      <w:r w:rsidRPr="005510BD">
        <w:rPr>
          <w:i/>
        </w:rPr>
        <w:t>context specific</w:t>
      </w:r>
      <w:r w:rsidRPr="005510BD">
        <w:t xml:space="preserve"> nature of what people may feel nostalgic about means that there are few universal measures of nostalgia. The closest one gets to such measures are those outlined in Figure Two relating to </w:t>
      </w:r>
      <w:r w:rsidR="00752485" w:rsidRPr="005510BD">
        <w:t>feelings about the/</w:t>
      </w:r>
      <w:r w:rsidRPr="005510BD">
        <w:t xml:space="preserve">my </w:t>
      </w:r>
      <w:r w:rsidR="00752485" w:rsidRPr="005510BD">
        <w:t>“</w:t>
      </w:r>
      <w:r w:rsidRPr="005510BD">
        <w:t>country”. As such, anyone wishing to replicate the findings we have reported on herein will need to design measures of nostalgia which</w:t>
      </w:r>
      <w:r w:rsidR="00752485" w:rsidRPr="005510BD">
        <w:t xml:space="preserve"> are meaningful</w:t>
      </w:r>
      <w:r w:rsidRPr="005510BD">
        <w:t xml:space="preserve"> to respondents in the country or culture which they are studying. Similarly, studies undertaken with cohorts of respondents of a different age or living in a different era will need to develop measures which speak to their feelings and experiences of the pasts they have lived through</w:t>
      </w:r>
      <w:r w:rsidR="00FD7B5F" w:rsidRPr="005510BD">
        <w:t xml:space="preserve"> (and also those they have learnt about vicariously via discussions with parents and grandparents)</w:t>
      </w:r>
      <w:r w:rsidR="00916F7E" w:rsidRPr="005510BD">
        <w:t xml:space="preserve"> (see Gray at el</w:t>
      </w:r>
      <w:r w:rsidR="00E701AB" w:rsidRPr="005510BD">
        <w:t>, 2019</w:t>
      </w:r>
      <w:r w:rsidR="00916F7E" w:rsidRPr="005510BD">
        <w:t>, for a discussion of fear of crime over different political cohorts in England and Wales from 1930-2010)</w:t>
      </w:r>
      <w:r w:rsidRPr="005510BD">
        <w:t xml:space="preserve">. </w:t>
      </w:r>
      <w:r w:rsidR="00E15CD0" w:rsidRPr="005510BD">
        <w:t>In periods of abrupt social and economic change (for example, the reunification of Germany during the late-1980s, or the collapse of Soviet Communism throughout the 1990s), feelings of nostalgia may be easier to identify and to design measures of. In other instances, when the changes experienced are less abrupt and therefore harder to identify (either for the populations affected, or the researchers)</w:t>
      </w:r>
      <w:r w:rsidR="006B0007" w:rsidRPr="005510BD">
        <w:t>,</w:t>
      </w:r>
      <w:r w:rsidR="00E15CD0" w:rsidRPr="005510BD">
        <w:t xml:space="preserve"> the tracing of such feelings and the design of measures of nostalgia may prove more complex. </w:t>
      </w:r>
      <w:r w:rsidR="00DD6A37" w:rsidRPr="005510BD">
        <w:t xml:space="preserve">Nostalgia, therefore, or more precisely, the </w:t>
      </w:r>
      <w:r w:rsidR="00DD6A37" w:rsidRPr="005510BD">
        <w:rPr>
          <w:i/>
        </w:rPr>
        <w:t>measurement</w:t>
      </w:r>
      <w:r w:rsidR="00DD6A37" w:rsidRPr="005510BD">
        <w:t xml:space="preserve"> of nostalgia</w:t>
      </w:r>
      <w:r w:rsidR="006B0007" w:rsidRPr="005510BD">
        <w:t>,</w:t>
      </w:r>
      <w:r w:rsidR="00DD6A37" w:rsidRPr="005510BD">
        <w:t xml:space="preserve"> is an ever-changing task. Nevertheless, whilst the objects and processes about which nostalgic values are held may change and develop over time, the underlying concept has proven useful in explaining contemporary developments (see Gest, 2016 and </w:t>
      </w:r>
      <w:proofErr w:type="spellStart"/>
      <w:r w:rsidR="00DD6A37" w:rsidRPr="005510BD">
        <w:t>Farrall</w:t>
      </w:r>
      <w:proofErr w:type="spellEnd"/>
      <w:r w:rsidR="00DD6A37" w:rsidRPr="005510BD">
        <w:t xml:space="preserve"> et al 2020</w:t>
      </w:r>
      <w:r w:rsidR="009925BE" w:rsidRPr="005510BD">
        <w:t>b</w:t>
      </w:r>
      <w:r w:rsidR="00DD6A37" w:rsidRPr="005510BD">
        <w:t xml:space="preserve"> for examples), and would appear to be of use in explaining the fear of crime. </w:t>
      </w:r>
      <w:r w:rsidR="000450D5" w:rsidRPr="005510BD">
        <w:t>Nostalgia, it also needs to be acknowledged, needs some sort of ‘distance’</w:t>
      </w:r>
      <w:r w:rsidR="00E15CD0" w:rsidRPr="005510BD">
        <w:t xml:space="preserve"> </w:t>
      </w:r>
      <w:r w:rsidR="000450D5" w:rsidRPr="005510BD">
        <w:t>(usually temporal, but in some cases geographic too, in the case of</w:t>
      </w:r>
      <w:r w:rsidR="004955C7" w:rsidRPr="005510BD">
        <w:t xml:space="preserve"> migrants) in order to be identifi</w:t>
      </w:r>
      <w:r w:rsidR="000450D5" w:rsidRPr="005510BD">
        <w:t xml:space="preserve">ed. One can only feel nostalgic about what is no longer present. As such, research which unpacks historic processes and their contemporary manifestations (even if these are the manifestations of </w:t>
      </w:r>
      <w:r w:rsidR="000450D5" w:rsidRPr="005510BD">
        <w:rPr>
          <w:i/>
        </w:rPr>
        <w:t>absence</w:t>
      </w:r>
      <w:r w:rsidR="000450D5" w:rsidRPr="005510BD">
        <w:t xml:space="preserve">, </w:t>
      </w:r>
      <w:proofErr w:type="spellStart"/>
      <w:r w:rsidR="000450D5" w:rsidRPr="005510BD">
        <w:t>Winlow</w:t>
      </w:r>
      <w:proofErr w:type="spellEnd"/>
      <w:r w:rsidR="000450D5" w:rsidRPr="005510BD">
        <w:t xml:space="preserve"> et al 2015) is best suited to studying processes of nostalgia.  </w:t>
      </w:r>
      <w:r w:rsidR="00E15CD0" w:rsidRPr="005510BD">
        <w:t xml:space="preserve"> </w:t>
      </w:r>
      <w:r w:rsidRPr="005510BD">
        <w:t xml:space="preserve"> </w:t>
      </w:r>
    </w:p>
    <w:p w:rsidR="002E28DA" w:rsidRPr="005510BD" w:rsidRDefault="002E28DA" w:rsidP="00054CCF">
      <w:r w:rsidRPr="005510BD">
        <w:t xml:space="preserve">The modelling we have undertaken suggests that the concept of nostalgia is an important one in explaining the fear of crime. When used in </w:t>
      </w:r>
      <w:r w:rsidR="004955C7" w:rsidRPr="005510BD">
        <w:t>ordinal</w:t>
      </w:r>
      <w:r w:rsidRPr="005510BD">
        <w:t xml:space="preserve"> regressions we find that the </w:t>
      </w:r>
      <w:r w:rsidR="009925BE" w:rsidRPr="005510BD">
        <w:t>measurement</w:t>
      </w:r>
      <w:r w:rsidRPr="005510BD">
        <w:t xml:space="preserve"> of </w:t>
      </w:r>
      <w:r w:rsidR="000D1D76" w:rsidRPr="005510BD">
        <w:rPr>
          <w:i/>
        </w:rPr>
        <w:t>N</w:t>
      </w:r>
      <w:r w:rsidRPr="005510BD">
        <w:rPr>
          <w:i/>
        </w:rPr>
        <w:t>ostalgia</w:t>
      </w:r>
      <w:r w:rsidRPr="005510BD">
        <w:t xml:space="preserve"> we had constructed</w:t>
      </w:r>
      <w:r w:rsidR="009B67D8" w:rsidRPr="005510BD">
        <w:t xml:space="preserve"> improved</w:t>
      </w:r>
      <w:r w:rsidRPr="005510BD">
        <w:t xml:space="preserve"> the model</w:t>
      </w:r>
      <w:r w:rsidR="00A83377" w:rsidRPr="005510BD">
        <w:t xml:space="preserve"> fit</w:t>
      </w:r>
      <w:r w:rsidRPr="005510BD">
        <w:t xml:space="preserve">. </w:t>
      </w:r>
      <w:r w:rsidR="004A7A1C" w:rsidRPr="005510BD">
        <w:t xml:space="preserve">The </w:t>
      </w:r>
      <w:r w:rsidR="004A7A1C" w:rsidRPr="005510BD">
        <w:rPr>
          <w:i/>
        </w:rPr>
        <w:t>Nostalgia</w:t>
      </w:r>
      <w:r w:rsidR="004A7A1C" w:rsidRPr="005510BD">
        <w:t xml:space="preserve"> coefficients in the </w:t>
      </w:r>
      <w:r w:rsidR="00794680" w:rsidRPr="005510BD">
        <w:t>analyses in which we controlled for social class</w:t>
      </w:r>
      <w:r w:rsidR="004A7A1C" w:rsidRPr="005510BD">
        <w:t xml:space="preserve"> were highest for the lower middle class (.4</w:t>
      </w:r>
      <w:r w:rsidR="00794680" w:rsidRPr="005510BD">
        <w:t>61</w:t>
      </w:r>
      <w:r w:rsidR="004A7A1C" w:rsidRPr="005510BD">
        <w:t>), with the working class (.</w:t>
      </w:r>
      <w:r w:rsidR="00794680" w:rsidRPr="005510BD">
        <w:t>288</w:t>
      </w:r>
      <w:r w:rsidR="004A7A1C" w:rsidRPr="005510BD">
        <w:t xml:space="preserve">) and the middle class </w:t>
      </w:r>
      <w:r w:rsidR="00794680" w:rsidRPr="005510BD">
        <w:t>(.236</w:t>
      </w:r>
      <w:r w:rsidR="004A7A1C" w:rsidRPr="005510BD">
        <w:t>)</w:t>
      </w:r>
      <w:r w:rsidR="00794680" w:rsidRPr="005510BD">
        <w:t xml:space="preserve"> much lower</w:t>
      </w:r>
      <w:r w:rsidR="004A7A1C" w:rsidRPr="005510BD">
        <w:t xml:space="preserve">. So those arguably </w:t>
      </w:r>
      <w:r w:rsidR="004A7A1C" w:rsidRPr="005510BD">
        <w:rPr>
          <w:i/>
        </w:rPr>
        <w:t>least</w:t>
      </w:r>
      <w:r w:rsidR="004A7A1C" w:rsidRPr="005510BD">
        <w:t xml:space="preserve"> affected negatively by </w:t>
      </w:r>
      <w:r w:rsidR="004A7A1C" w:rsidRPr="005510BD">
        <w:lastRenderedPageBreak/>
        <w:t xml:space="preserve">the changes since the 1980s </w:t>
      </w:r>
      <w:r w:rsidR="00794680" w:rsidRPr="005510BD">
        <w:t xml:space="preserve">(the established middle class) </w:t>
      </w:r>
      <w:r w:rsidR="004A7A1C" w:rsidRPr="005510BD">
        <w:t xml:space="preserve">have the weakest relationship between </w:t>
      </w:r>
      <w:r w:rsidR="004A7A1C" w:rsidRPr="005510BD">
        <w:rPr>
          <w:i/>
        </w:rPr>
        <w:t>Nostalgia</w:t>
      </w:r>
      <w:r w:rsidR="004A7A1C" w:rsidRPr="005510BD">
        <w:t xml:space="preserve"> and </w:t>
      </w:r>
      <w:r w:rsidR="004A7A1C" w:rsidRPr="005510BD">
        <w:rPr>
          <w:i/>
        </w:rPr>
        <w:t xml:space="preserve">Fear </w:t>
      </w:r>
      <w:r w:rsidR="004A7A1C" w:rsidRPr="005510BD">
        <w:t xml:space="preserve">(and the lowest levels of </w:t>
      </w:r>
      <w:r w:rsidR="0033098D" w:rsidRPr="005510BD">
        <w:rPr>
          <w:i/>
        </w:rPr>
        <w:t>Nostalgia</w:t>
      </w:r>
      <w:r w:rsidR="0033098D" w:rsidRPr="005510BD">
        <w:t xml:space="preserve">). The lower middle class (junior either due to their age or their position in the social and economic hierarchy) appear therefore to </w:t>
      </w:r>
      <w:r w:rsidR="00794680" w:rsidRPr="005510BD">
        <w:t>have the strongest relationship between their feelings of nostalgia and</w:t>
      </w:r>
      <w:r w:rsidR="00473422" w:rsidRPr="005510BD">
        <w:t xml:space="preserve"> their fear of crime (in that nostalgia plays a </w:t>
      </w:r>
      <w:r w:rsidR="00794680" w:rsidRPr="005510BD">
        <w:t>larger</w:t>
      </w:r>
      <w:r w:rsidR="00473422" w:rsidRPr="005510BD">
        <w:t xml:space="preserve"> part in explaining their levels of fear, these analyses would suggest). </w:t>
      </w:r>
      <w:r w:rsidR="00473422" w:rsidRPr="005510BD">
        <w:rPr>
          <w:i/>
        </w:rPr>
        <w:t>Age</w:t>
      </w:r>
      <w:r w:rsidR="00473422" w:rsidRPr="005510BD">
        <w:t xml:space="preserve"> </w:t>
      </w:r>
      <w:r w:rsidR="005F26E3" w:rsidRPr="005510BD">
        <w:t>– although not statistically significant in</w:t>
      </w:r>
      <w:r w:rsidR="00DC6F44" w:rsidRPr="005510BD">
        <w:t xml:space="preserve"> the above</w:t>
      </w:r>
      <w:r w:rsidR="005F26E3" w:rsidRPr="005510BD">
        <w:t xml:space="preserve"> analyses – appears to influence the </w:t>
      </w:r>
      <w:r w:rsidR="005F26E3" w:rsidRPr="005510BD">
        <w:rPr>
          <w:i/>
        </w:rPr>
        <w:t>Nostalgia</w:t>
      </w:r>
      <w:r w:rsidR="005F26E3" w:rsidRPr="005510BD">
        <w:t>-</w:t>
      </w:r>
      <w:r w:rsidR="005F26E3" w:rsidRPr="005510BD">
        <w:rPr>
          <w:i/>
        </w:rPr>
        <w:t>Fear</w:t>
      </w:r>
      <w:r w:rsidR="005F26E3" w:rsidRPr="005510BD">
        <w:t xml:space="preserve"> relationship, such that </w:t>
      </w:r>
      <w:r w:rsidR="00473422" w:rsidRPr="005510BD">
        <w:t xml:space="preserve">it is the </w:t>
      </w:r>
      <w:r w:rsidR="005F26E3" w:rsidRPr="005510BD">
        <w:t xml:space="preserve">younger (rather than the </w:t>
      </w:r>
      <w:r w:rsidR="00473422" w:rsidRPr="005510BD">
        <w:t>older</w:t>
      </w:r>
      <w:r w:rsidR="005F26E3" w:rsidRPr="005510BD">
        <w:t>)</w:t>
      </w:r>
      <w:r w:rsidR="00473422" w:rsidRPr="005510BD">
        <w:t xml:space="preserve"> members of </w:t>
      </w:r>
      <w:r w:rsidR="005F26E3" w:rsidRPr="005510BD">
        <w:t xml:space="preserve">society </w:t>
      </w:r>
      <w:r w:rsidR="00473422" w:rsidRPr="005510BD">
        <w:t xml:space="preserve">who </w:t>
      </w:r>
      <w:r w:rsidR="005F26E3" w:rsidRPr="005510BD">
        <w:t>exhibit the strongest relationship between their feelings of nostalgia and their fear of crime</w:t>
      </w:r>
      <w:r w:rsidR="00473422" w:rsidRPr="005510BD">
        <w:t xml:space="preserve">. </w:t>
      </w:r>
      <w:r w:rsidR="00484566" w:rsidRPr="005510BD">
        <w:t xml:space="preserve">This may seem counter-intuitive, however, as Ditton and </w:t>
      </w:r>
      <w:proofErr w:type="spellStart"/>
      <w:r w:rsidR="00484566" w:rsidRPr="005510BD">
        <w:t>Chadee</w:t>
      </w:r>
      <w:proofErr w:type="spellEnd"/>
      <w:r w:rsidR="00484566" w:rsidRPr="005510BD">
        <w:t xml:space="preserve"> note in their review of the literature on age and the fear of crime </w:t>
      </w:r>
      <w:r w:rsidR="001527F0" w:rsidRPr="005510BD">
        <w:t xml:space="preserve">up to the year 2000 </w:t>
      </w:r>
      <w:r w:rsidR="00484566" w:rsidRPr="005510BD">
        <w:t>(2003:417-420)</w:t>
      </w:r>
      <w:r w:rsidR="001527F0" w:rsidRPr="005510BD">
        <w:t>, as many studies find younger people to be more fearful as do older people to be more fearful.</w:t>
      </w:r>
      <w:r w:rsidR="00484566" w:rsidRPr="005510BD">
        <w:t xml:space="preserve"> </w:t>
      </w:r>
      <w:r w:rsidR="0005024B" w:rsidRPr="005510BD">
        <w:t xml:space="preserve">Moreover, older respondents (unlike younger respondents) lived-through both the 1980s and the period leading up to the changes associated with that decade. For them, the problems faced by Britain during the 1970s in particular, will have been experienced first-hand, whilst for younger respondents the challenges of the 1970s were more abstract. An awareness of the deficiencies of the 1970s on the part of older respondents may go some way to accounting for why it is that the nostalgia-fear relationship is stronger for younger respondents; older respondents were less nostalgic for this period and see the 1980s as heralding a new, better arrangement for the country. </w:t>
      </w:r>
      <w:r w:rsidR="00473422" w:rsidRPr="005510BD">
        <w:rPr>
          <w:i/>
        </w:rPr>
        <w:t>Victimisation</w:t>
      </w:r>
      <w:r w:rsidR="00473422" w:rsidRPr="005510BD">
        <w:t xml:space="preserve"> in the past year continues to predict </w:t>
      </w:r>
      <w:r w:rsidR="00043963" w:rsidRPr="005510BD">
        <w:rPr>
          <w:i/>
        </w:rPr>
        <w:t>F</w:t>
      </w:r>
      <w:r w:rsidR="00473422" w:rsidRPr="005510BD">
        <w:rPr>
          <w:i/>
        </w:rPr>
        <w:t xml:space="preserve">ear of </w:t>
      </w:r>
      <w:r w:rsidR="00043963" w:rsidRPr="005510BD">
        <w:rPr>
          <w:i/>
        </w:rPr>
        <w:t>C</w:t>
      </w:r>
      <w:r w:rsidR="00473422" w:rsidRPr="005510BD">
        <w:rPr>
          <w:i/>
        </w:rPr>
        <w:t>rime</w:t>
      </w:r>
      <w:r w:rsidR="00473422" w:rsidRPr="005510BD">
        <w:t xml:space="preserve"> for the working class, but neither of the middle c</w:t>
      </w:r>
      <w:r w:rsidR="00A52A1A" w:rsidRPr="005510BD">
        <w:t>l</w:t>
      </w:r>
      <w:r w:rsidR="00473422" w:rsidRPr="005510BD">
        <w:t xml:space="preserve">ass groups. However, higher </w:t>
      </w:r>
      <w:r w:rsidR="00473422" w:rsidRPr="005510BD">
        <w:rPr>
          <w:i/>
        </w:rPr>
        <w:t>IMD</w:t>
      </w:r>
      <w:r w:rsidR="00473422" w:rsidRPr="005510BD">
        <w:t xml:space="preserve"> scores (which could be read as the perceived threat of victimisation) are related to fear of crime</w:t>
      </w:r>
      <w:r w:rsidR="0033098D" w:rsidRPr="005510BD">
        <w:t xml:space="preserve">.  </w:t>
      </w:r>
      <w:r w:rsidR="0087724E" w:rsidRPr="005510BD">
        <w:t>Nevertheless, n</w:t>
      </w:r>
      <w:r w:rsidRPr="005510BD">
        <w:t>ostalgia</w:t>
      </w:r>
      <w:r w:rsidR="0087724E" w:rsidRPr="005510BD">
        <w:t xml:space="preserve"> </w:t>
      </w:r>
      <w:r w:rsidRPr="005510BD">
        <w:t>appears</w:t>
      </w:r>
      <w:r w:rsidR="00DA5DEA" w:rsidRPr="005510BD">
        <w:t xml:space="preserve"> to be</w:t>
      </w:r>
      <w:r w:rsidR="00907953" w:rsidRPr="005510BD">
        <w:t xml:space="preserve"> a strong predictor of the fear of crime, and hence future studies</w:t>
      </w:r>
      <w:r w:rsidR="0087724E" w:rsidRPr="005510BD">
        <w:t xml:space="preserve"> ought to seek to explore this relationship in greater depth.</w:t>
      </w:r>
      <w:r w:rsidR="00833807" w:rsidRPr="005510BD">
        <w:t xml:space="preserve"> </w:t>
      </w:r>
    </w:p>
    <w:p w:rsidR="00CE14AF" w:rsidRPr="005510BD" w:rsidRDefault="00752485" w:rsidP="00CE14AF">
      <w:pPr>
        <w:rPr>
          <w:rFonts w:cstheme="minorHAnsi"/>
        </w:rPr>
      </w:pPr>
      <w:r w:rsidRPr="005510BD">
        <w:t xml:space="preserve">For several decades, </w:t>
      </w:r>
      <w:r w:rsidR="00761C85" w:rsidRPr="005510BD">
        <w:t>researchers and policy-makers have sought to relate the fear of crime to rates of crime, victimisation, feelings of immediate (and crime-related) security, psychological processes</w:t>
      </w:r>
      <w:r w:rsidR="00267516" w:rsidRPr="005510BD">
        <w:t>,</w:t>
      </w:r>
      <w:r w:rsidR="00761C85" w:rsidRPr="005510BD">
        <w:t xml:space="preserve"> features of the built environment, such as human or electronic surveillance. On the basis of previous findings, many interventions involving CCTV, door-buzzer entry systems, street-lighting, visible </w:t>
      </w:r>
      <w:r w:rsidR="00FE0B5E" w:rsidRPr="005510BD">
        <w:t xml:space="preserve">(‘reassurance’) </w:t>
      </w:r>
      <w:r w:rsidR="00761C85" w:rsidRPr="005510BD">
        <w:t xml:space="preserve">policing, cleaner streets with clearer sightlines have been introduced in many urban communities.  </w:t>
      </w:r>
      <w:r w:rsidR="00715143" w:rsidRPr="005510BD">
        <w:t xml:space="preserve">Doubtless, these have gone some way, even if only temporarily, to reducing levels of fear of crime. However, this paper suggests an additional aetiology to the fear of crime – that of concerns borne out of the wider </w:t>
      </w:r>
      <w:r w:rsidR="00C0132E" w:rsidRPr="005510BD">
        <w:t>and long</w:t>
      </w:r>
      <w:r w:rsidR="00267516" w:rsidRPr="005510BD">
        <w:t>er</w:t>
      </w:r>
      <w:r w:rsidR="00C0132E" w:rsidRPr="005510BD">
        <w:t xml:space="preserve">-term </w:t>
      </w:r>
      <w:r w:rsidR="00715143" w:rsidRPr="005510BD">
        <w:t xml:space="preserve">societal and economic changes. This, at least in part casts a new set of explanatory processes in our thinking on the, arguably, ‘more remote’, that is structurally-located and historically-embedded, drivers to the fear of crime. It suggests that the fear of crime is not as readily reduced to features of the local environment, and can be read (at least in </w:t>
      </w:r>
      <w:r w:rsidR="00715143" w:rsidRPr="005510BD">
        <w:rPr>
          <w:rFonts w:cstheme="minorHAnsi"/>
        </w:rPr>
        <w:t xml:space="preserve">part in the UK’s recent experiences) </w:t>
      </w:r>
      <w:r w:rsidR="0083058B" w:rsidRPr="005510BD">
        <w:rPr>
          <w:rFonts w:cstheme="minorHAnsi"/>
        </w:rPr>
        <w:t>a</w:t>
      </w:r>
      <w:r w:rsidR="00715143" w:rsidRPr="005510BD">
        <w:rPr>
          <w:rFonts w:cstheme="minorHAnsi"/>
        </w:rPr>
        <w:t>s one of the symptoms of ‘decline’ and the narratives (from politicians on both the left and right) developed about ‘</w:t>
      </w:r>
      <w:proofErr w:type="spellStart"/>
      <w:r w:rsidR="00715143" w:rsidRPr="005510BD">
        <w:rPr>
          <w:rFonts w:cstheme="minorHAnsi"/>
        </w:rPr>
        <w:t>declinism</w:t>
      </w:r>
      <w:proofErr w:type="spellEnd"/>
      <w:r w:rsidR="00715143" w:rsidRPr="005510BD">
        <w:rPr>
          <w:rFonts w:cstheme="minorHAnsi"/>
        </w:rPr>
        <w:t xml:space="preserve">’ (Gamble </w:t>
      </w:r>
      <w:r w:rsidR="00677143" w:rsidRPr="005510BD">
        <w:rPr>
          <w:rFonts w:cstheme="minorHAnsi"/>
        </w:rPr>
        <w:t>1981</w:t>
      </w:r>
      <w:r w:rsidR="00715143" w:rsidRPr="005510BD">
        <w:rPr>
          <w:rFonts w:cstheme="minorHAnsi"/>
        </w:rPr>
        <w:t>).</w:t>
      </w:r>
    </w:p>
    <w:p w:rsidR="00752485" w:rsidRPr="005510BD" w:rsidRDefault="00510F57" w:rsidP="006A5D52">
      <w:pPr>
        <w:rPr>
          <w:rFonts w:cstheme="minorHAnsi"/>
          <w:color w:val="000000" w:themeColor="text1"/>
        </w:rPr>
      </w:pPr>
      <w:r w:rsidRPr="005510BD">
        <w:rPr>
          <w:rFonts w:cstheme="minorHAnsi"/>
        </w:rPr>
        <w:t xml:space="preserve">These results </w:t>
      </w:r>
      <w:r w:rsidR="00106301" w:rsidRPr="005510BD">
        <w:rPr>
          <w:rFonts w:cstheme="minorHAnsi"/>
        </w:rPr>
        <w:t>indicate that</w:t>
      </w:r>
      <w:r w:rsidRPr="005510BD">
        <w:rPr>
          <w:rFonts w:cstheme="minorHAnsi"/>
        </w:rPr>
        <w:t xml:space="preserve"> fear of crime </w:t>
      </w:r>
      <w:r w:rsidR="00106301" w:rsidRPr="005510BD">
        <w:rPr>
          <w:rFonts w:cstheme="minorHAnsi"/>
        </w:rPr>
        <w:t xml:space="preserve">is not only an ‘expression’ of </w:t>
      </w:r>
      <w:r w:rsidR="00106301" w:rsidRPr="005510BD">
        <w:rPr>
          <w:rFonts w:cstheme="minorHAnsi"/>
          <w:i/>
        </w:rPr>
        <w:t>current</w:t>
      </w:r>
      <w:r w:rsidR="00106301" w:rsidRPr="005510BD">
        <w:rPr>
          <w:rFonts w:cstheme="minorHAnsi"/>
        </w:rPr>
        <w:t xml:space="preserve"> social </w:t>
      </w:r>
      <w:r w:rsidR="009B67D8" w:rsidRPr="005510BD">
        <w:rPr>
          <w:rFonts w:cstheme="minorHAnsi"/>
        </w:rPr>
        <w:t>arrangements</w:t>
      </w:r>
      <w:r w:rsidR="00106301" w:rsidRPr="005510BD">
        <w:rPr>
          <w:rFonts w:cstheme="minorHAnsi"/>
        </w:rPr>
        <w:t xml:space="preserve">, but </w:t>
      </w:r>
      <w:r w:rsidR="00D740F9" w:rsidRPr="005510BD">
        <w:rPr>
          <w:rFonts w:cstheme="minorHAnsi"/>
        </w:rPr>
        <w:t xml:space="preserve">may </w:t>
      </w:r>
      <w:r w:rsidR="00B86C1F" w:rsidRPr="005510BD">
        <w:rPr>
          <w:rFonts w:cstheme="minorHAnsi"/>
        </w:rPr>
        <w:t xml:space="preserve">stretch </w:t>
      </w:r>
      <w:r w:rsidR="00D740F9" w:rsidRPr="005510BD">
        <w:rPr>
          <w:rFonts w:cstheme="minorHAnsi"/>
        </w:rPr>
        <w:t xml:space="preserve">back to </w:t>
      </w:r>
      <w:r w:rsidR="00A05ECA" w:rsidRPr="005510BD">
        <w:rPr>
          <w:rFonts w:cstheme="minorHAnsi"/>
        </w:rPr>
        <w:t xml:space="preserve">assessments of social arrangements and changes to these which are rooted </w:t>
      </w:r>
      <w:r w:rsidR="00CE14AF" w:rsidRPr="005510BD">
        <w:rPr>
          <w:rFonts w:cstheme="minorHAnsi"/>
        </w:rPr>
        <w:t>in the past</w:t>
      </w:r>
      <w:r w:rsidR="00D740F9" w:rsidRPr="005510BD">
        <w:rPr>
          <w:rFonts w:cstheme="minorHAnsi"/>
        </w:rPr>
        <w:t>. O</w:t>
      </w:r>
      <w:r w:rsidR="00106301" w:rsidRPr="005510BD">
        <w:rPr>
          <w:rFonts w:cstheme="minorHAnsi"/>
        </w:rPr>
        <w:t>ur analysis points to the impermanence of foundations that may once ha</w:t>
      </w:r>
      <w:r w:rsidR="00D740F9" w:rsidRPr="005510BD">
        <w:rPr>
          <w:rFonts w:cstheme="minorHAnsi"/>
        </w:rPr>
        <w:t>ve been considered solid, but are</w:t>
      </w:r>
      <w:r w:rsidR="00106301" w:rsidRPr="005510BD">
        <w:rPr>
          <w:rFonts w:cstheme="minorHAnsi"/>
        </w:rPr>
        <w:t xml:space="preserve"> </w:t>
      </w:r>
      <w:r w:rsidR="00D740F9" w:rsidRPr="005510BD">
        <w:rPr>
          <w:rFonts w:cstheme="minorHAnsi"/>
        </w:rPr>
        <w:t xml:space="preserve">now </w:t>
      </w:r>
      <w:r w:rsidR="00106301" w:rsidRPr="005510BD">
        <w:rPr>
          <w:rFonts w:cstheme="minorHAnsi"/>
        </w:rPr>
        <w:t>mourned or longed for</w:t>
      </w:r>
      <w:r w:rsidR="007E6E39" w:rsidRPr="005510BD">
        <w:rPr>
          <w:rFonts w:cstheme="minorHAnsi"/>
        </w:rPr>
        <w:t xml:space="preserve"> nostalgically</w:t>
      </w:r>
      <w:r w:rsidR="00106301" w:rsidRPr="005510BD">
        <w:rPr>
          <w:rFonts w:cstheme="minorHAnsi"/>
        </w:rPr>
        <w:t xml:space="preserve">. </w:t>
      </w:r>
      <w:r w:rsidR="00D740F9" w:rsidRPr="005510BD">
        <w:rPr>
          <w:rFonts w:cstheme="minorHAnsi"/>
        </w:rPr>
        <w:t>Intuitively</w:t>
      </w:r>
      <w:r w:rsidR="00106301" w:rsidRPr="005510BD">
        <w:rPr>
          <w:rFonts w:cstheme="minorHAnsi"/>
        </w:rPr>
        <w:t>, Goldie (2004</w:t>
      </w:r>
      <w:r w:rsidR="009B67D8" w:rsidRPr="005510BD">
        <w:rPr>
          <w:rFonts w:cstheme="minorHAnsi"/>
        </w:rPr>
        <w:t>:593</w:t>
      </w:r>
      <w:r w:rsidR="00106301" w:rsidRPr="005510BD">
        <w:rPr>
          <w:rFonts w:cstheme="minorHAnsi"/>
        </w:rPr>
        <w:t xml:space="preserve">) emphasised the </w:t>
      </w:r>
      <w:r w:rsidR="00D740F9" w:rsidRPr="005510BD">
        <w:rPr>
          <w:rFonts w:cstheme="minorHAnsi"/>
        </w:rPr>
        <w:t>backwards</w:t>
      </w:r>
      <w:r w:rsidR="00B86C1F" w:rsidRPr="005510BD">
        <w:rPr>
          <w:rFonts w:cstheme="minorHAnsi"/>
        </w:rPr>
        <w:t>-</w:t>
      </w:r>
      <w:r w:rsidR="00D740F9" w:rsidRPr="005510BD">
        <w:rPr>
          <w:rFonts w:cstheme="minorHAnsi"/>
        </w:rPr>
        <w:t xml:space="preserve">facing </w:t>
      </w:r>
      <w:r w:rsidR="00106301" w:rsidRPr="005510BD">
        <w:rPr>
          <w:rFonts w:cstheme="minorHAnsi"/>
        </w:rPr>
        <w:t>nature of</w:t>
      </w:r>
      <w:r w:rsidR="00D740F9" w:rsidRPr="005510BD">
        <w:rPr>
          <w:rFonts w:cstheme="minorHAnsi"/>
        </w:rPr>
        <w:t xml:space="preserve"> </w:t>
      </w:r>
      <w:r w:rsidR="00106301" w:rsidRPr="005510BD">
        <w:rPr>
          <w:rFonts w:cstheme="minorHAnsi"/>
        </w:rPr>
        <w:t>emotions; “In much of our life</w:t>
      </w:r>
      <w:r w:rsidR="009B67D8" w:rsidRPr="005510BD">
        <w:rPr>
          <w:rFonts w:cstheme="minorHAnsi"/>
        </w:rPr>
        <w:t xml:space="preserve"> ..</w:t>
      </w:r>
      <w:r w:rsidR="00106301" w:rsidRPr="005510BD">
        <w:rPr>
          <w:rFonts w:cstheme="minorHAnsi"/>
        </w:rPr>
        <w:t>.  the “event” is not so tightly connected to the emotion that it elicits. We feel emotions in looking backwards at events that took place long ago in our own lives: nostalgia, grief, sadness, regret and shame</w:t>
      </w:r>
      <w:r w:rsidR="009B67D8" w:rsidRPr="005510BD">
        <w:rPr>
          <w:rFonts w:cstheme="minorHAnsi"/>
        </w:rPr>
        <w:t xml:space="preserve"> ..</w:t>
      </w:r>
      <w:r w:rsidR="00106301" w:rsidRPr="005510BD">
        <w:rPr>
          <w:rFonts w:cstheme="minorHAnsi"/>
        </w:rPr>
        <w:t>.”. Accordingly, some experiences of fear of crime may be difficult for a respondent to ‘anchor’ in their memory or to a specific event. Instead it might be the result of a collective grief connected to an unsettling past</w:t>
      </w:r>
      <w:r w:rsidR="00267516" w:rsidRPr="005510BD">
        <w:rPr>
          <w:rFonts w:cstheme="minorHAnsi"/>
        </w:rPr>
        <w:t xml:space="preserve">; </w:t>
      </w:r>
      <w:r w:rsidR="00106301" w:rsidRPr="005510BD">
        <w:rPr>
          <w:rFonts w:cstheme="minorHAnsi"/>
        </w:rPr>
        <w:t>it may be inflated by imagination</w:t>
      </w:r>
      <w:r w:rsidR="00EC491C" w:rsidRPr="005510BD">
        <w:rPr>
          <w:rFonts w:cstheme="minorHAnsi"/>
        </w:rPr>
        <w:t xml:space="preserve">, </w:t>
      </w:r>
      <w:r w:rsidR="00106301" w:rsidRPr="005510BD">
        <w:rPr>
          <w:rFonts w:cstheme="minorHAnsi"/>
        </w:rPr>
        <w:t xml:space="preserve">reappraised at will or invoked by </w:t>
      </w:r>
      <w:r w:rsidR="00EC491C" w:rsidRPr="005510BD">
        <w:rPr>
          <w:rFonts w:cstheme="minorHAnsi"/>
        </w:rPr>
        <w:t>memories of</w:t>
      </w:r>
      <w:r w:rsidR="00106301" w:rsidRPr="005510BD">
        <w:rPr>
          <w:rFonts w:cstheme="minorHAnsi"/>
        </w:rPr>
        <w:t xml:space="preserve"> social and economic climate one </w:t>
      </w:r>
      <w:r w:rsidR="00EC491C" w:rsidRPr="005510BD">
        <w:rPr>
          <w:rFonts w:cstheme="minorHAnsi"/>
        </w:rPr>
        <w:t>grew up in (Gray et al, 2019)</w:t>
      </w:r>
      <w:r w:rsidR="00106301" w:rsidRPr="005510BD">
        <w:rPr>
          <w:rFonts w:cstheme="minorHAnsi"/>
        </w:rPr>
        <w:t xml:space="preserve">. </w:t>
      </w:r>
      <w:r w:rsidR="00267516" w:rsidRPr="005510BD">
        <w:rPr>
          <w:rFonts w:cstheme="minorHAnsi"/>
        </w:rPr>
        <w:t xml:space="preserve">For those without direct experience of what has been lost, it may be provoked by conversations with those with direct experience of the past and with what </w:t>
      </w:r>
      <w:r w:rsidR="00267516" w:rsidRPr="005510BD">
        <w:rPr>
          <w:rFonts w:cstheme="minorHAnsi"/>
        </w:rPr>
        <w:lastRenderedPageBreak/>
        <w:t xml:space="preserve">has passed into history.  </w:t>
      </w:r>
      <w:r w:rsidR="00D740F9" w:rsidRPr="005510BD">
        <w:rPr>
          <w:rFonts w:cstheme="minorHAnsi"/>
        </w:rPr>
        <w:t xml:space="preserve">Emotions about crime, as </w:t>
      </w:r>
      <w:r w:rsidR="007E6E39" w:rsidRPr="005510BD">
        <w:rPr>
          <w:rFonts w:cstheme="minorHAnsi"/>
        </w:rPr>
        <w:t xml:space="preserve">explored </w:t>
      </w:r>
      <w:r w:rsidR="00D740F9" w:rsidRPr="005510BD">
        <w:rPr>
          <w:rFonts w:cstheme="minorHAnsi"/>
        </w:rPr>
        <w:t xml:space="preserve">herein demonstrate how feelings about the present can be shaped by the past, and </w:t>
      </w:r>
      <w:r w:rsidR="007E6E39" w:rsidRPr="005510BD">
        <w:rPr>
          <w:rFonts w:cstheme="minorHAnsi"/>
        </w:rPr>
        <w:t>may also influence how the future is ant</w:t>
      </w:r>
      <w:r w:rsidR="00106301" w:rsidRPr="005510BD">
        <w:rPr>
          <w:rFonts w:cstheme="minorHAnsi"/>
          <w:color w:val="000000" w:themeColor="text1"/>
        </w:rPr>
        <w:t>icipated.</w:t>
      </w:r>
      <w:r w:rsidR="007E6E39" w:rsidRPr="005510BD">
        <w:rPr>
          <w:rFonts w:cstheme="minorHAnsi"/>
          <w:color w:val="000000" w:themeColor="text1"/>
        </w:rPr>
        <w:t xml:space="preserve"> In sum, by e</w:t>
      </w:r>
      <w:r w:rsidR="00B86C1F" w:rsidRPr="005510BD">
        <w:rPr>
          <w:rFonts w:cstheme="minorHAnsi"/>
          <w:color w:val="000000" w:themeColor="text1"/>
        </w:rPr>
        <w:t xml:space="preserve">mploying the lens of ‘nostalgia’, we </w:t>
      </w:r>
      <w:r w:rsidR="007E6E39" w:rsidRPr="005510BD">
        <w:rPr>
          <w:rFonts w:cstheme="minorHAnsi"/>
          <w:color w:val="000000" w:themeColor="text1"/>
        </w:rPr>
        <w:t xml:space="preserve">can identify how </w:t>
      </w:r>
      <w:r w:rsidR="00B86C1F" w:rsidRPr="005510BD">
        <w:rPr>
          <w:rFonts w:cstheme="minorHAnsi"/>
          <w:color w:val="000000" w:themeColor="text1"/>
        </w:rPr>
        <w:t xml:space="preserve">distant political and cultural undercurrents </w:t>
      </w:r>
      <w:r w:rsidR="007E6E39" w:rsidRPr="005510BD">
        <w:rPr>
          <w:rFonts w:cstheme="minorHAnsi"/>
          <w:color w:val="000000" w:themeColor="text1"/>
        </w:rPr>
        <w:t xml:space="preserve">can </w:t>
      </w:r>
      <w:r w:rsidR="00B86C1F" w:rsidRPr="005510BD">
        <w:rPr>
          <w:rFonts w:cstheme="minorHAnsi"/>
          <w:color w:val="000000" w:themeColor="text1"/>
        </w:rPr>
        <w:t xml:space="preserve">have the </w:t>
      </w:r>
      <w:r w:rsidR="007E6E39" w:rsidRPr="005510BD">
        <w:rPr>
          <w:rFonts w:cstheme="minorHAnsi"/>
          <w:color w:val="000000" w:themeColor="text1"/>
        </w:rPr>
        <w:t xml:space="preserve">enduring potential to influence perceptions </w:t>
      </w:r>
      <w:r w:rsidR="00EC491C" w:rsidRPr="005510BD">
        <w:rPr>
          <w:rFonts w:cstheme="minorHAnsi"/>
          <w:color w:val="000000" w:themeColor="text1"/>
        </w:rPr>
        <w:t xml:space="preserve">and imaginations </w:t>
      </w:r>
      <w:r w:rsidR="007E6E39" w:rsidRPr="005510BD">
        <w:rPr>
          <w:rFonts w:cstheme="minorHAnsi"/>
          <w:color w:val="000000" w:themeColor="text1"/>
        </w:rPr>
        <w:t xml:space="preserve">of crime. </w:t>
      </w:r>
      <w:r w:rsidR="00D803AD" w:rsidRPr="005510BD">
        <w:t xml:space="preserve">This, arguably, takes us full circle back to the somewhat murky origins of this concept, and the use of it by Republican politicians in the 1960s (Loo, 2007, Ditton and </w:t>
      </w:r>
      <w:proofErr w:type="spellStart"/>
      <w:r w:rsidR="00D803AD" w:rsidRPr="005510BD">
        <w:t>Farrall</w:t>
      </w:r>
      <w:proofErr w:type="spellEnd"/>
      <w:r w:rsidR="00D803AD" w:rsidRPr="005510BD">
        <w:t xml:space="preserve">, 2000 and </w:t>
      </w:r>
      <w:proofErr w:type="spellStart"/>
      <w:r w:rsidR="00D803AD" w:rsidRPr="005510BD">
        <w:t>Farrall</w:t>
      </w:r>
      <w:proofErr w:type="spellEnd"/>
      <w:r w:rsidR="00D803AD" w:rsidRPr="005510BD">
        <w:t xml:space="preserve"> et al 2009) to mobilise the ‘silent majority’ against the changes in the US Constitution and wider society, which extended civil rights to black Americans. If this is the case, the fear of crime is as much as barometer of social and economic changes as it is a feature of crime rates, the criminal justice system or responses to crime. </w:t>
      </w:r>
      <w:r w:rsidR="00715143" w:rsidRPr="005510BD">
        <w:t xml:space="preserve">    </w:t>
      </w:r>
    </w:p>
    <w:p w:rsidR="00D51240" w:rsidRPr="005510BD" w:rsidRDefault="00D51240" w:rsidP="00D51240">
      <w:pPr>
        <w:jc w:val="center"/>
        <w:rPr>
          <w:b/>
        </w:rPr>
      </w:pPr>
      <w:r w:rsidRPr="005510BD">
        <w:rPr>
          <w:b/>
        </w:rPr>
        <w:t>References</w:t>
      </w:r>
    </w:p>
    <w:p w:rsidR="00771531" w:rsidRPr="005510BD" w:rsidRDefault="00771531" w:rsidP="00771531">
      <w:pPr>
        <w:rPr>
          <w:rFonts w:ascii="Calibri" w:hAnsi="Calibri"/>
        </w:rPr>
      </w:pPr>
      <w:proofErr w:type="spellStart"/>
      <w:r w:rsidRPr="005510BD">
        <w:rPr>
          <w:rFonts w:ascii="Calibri" w:hAnsi="Calibri"/>
        </w:rPr>
        <w:t>Bonnett</w:t>
      </w:r>
      <w:proofErr w:type="spellEnd"/>
      <w:r w:rsidRPr="005510BD">
        <w:rPr>
          <w:rFonts w:ascii="Calibri" w:hAnsi="Calibri"/>
        </w:rPr>
        <w:t xml:space="preserve">, A. (2010) </w:t>
      </w:r>
      <w:r w:rsidRPr="005510BD">
        <w:rPr>
          <w:rFonts w:ascii="Calibri" w:hAnsi="Calibri"/>
          <w:b/>
        </w:rPr>
        <w:t>Left in the Past</w:t>
      </w:r>
      <w:r w:rsidR="0068309F" w:rsidRPr="005510BD">
        <w:rPr>
          <w:rFonts w:ascii="Calibri" w:hAnsi="Calibri"/>
          <w:b/>
        </w:rPr>
        <w:t>,</w:t>
      </w:r>
      <w:r w:rsidRPr="005510BD">
        <w:rPr>
          <w:rFonts w:ascii="Calibri" w:hAnsi="Calibri"/>
        </w:rPr>
        <w:t xml:space="preserve"> Continuum: New York. </w:t>
      </w:r>
    </w:p>
    <w:p w:rsidR="00D51240" w:rsidRPr="005510BD" w:rsidRDefault="00D51240" w:rsidP="00D51240">
      <w:pPr>
        <w:rPr>
          <w:rFonts w:ascii="Calibri" w:hAnsi="Calibri"/>
        </w:rPr>
      </w:pPr>
      <w:proofErr w:type="spellStart"/>
      <w:r w:rsidRPr="005510BD">
        <w:rPr>
          <w:rFonts w:ascii="Calibri" w:hAnsi="Calibri"/>
        </w:rPr>
        <w:t>Dardot</w:t>
      </w:r>
      <w:proofErr w:type="spellEnd"/>
      <w:r w:rsidRPr="005510BD">
        <w:rPr>
          <w:rFonts w:ascii="Calibri" w:hAnsi="Calibri"/>
        </w:rPr>
        <w:t xml:space="preserve">, P. and Laval, C. (2013) </w:t>
      </w:r>
      <w:r w:rsidRPr="005510BD">
        <w:rPr>
          <w:rFonts w:ascii="Calibri" w:hAnsi="Calibri"/>
          <w:b/>
        </w:rPr>
        <w:t>The New Way of the World</w:t>
      </w:r>
      <w:r w:rsidRPr="005510BD">
        <w:rPr>
          <w:rFonts w:ascii="Calibri" w:hAnsi="Calibri"/>
        </w:rPr>
        <w:t>, Verso, London.</w:t>
      </w:r>
    </w:p>
    <w:p w:rsidR="00E912B1" w:rsidRPr="005510BD" w:rsidRDefault="00E912B1" w:rsidP="00D51240">
      <w:pPr>
        <w:rPr>
          <w:rFonts w:ascii="Calibri" w:hAnsi="Calibri"/>
          <w:b/>
        </w:rPr>
      </w:pPr>
      <w:r w:rsidRPr="005510BD">
        <w:rPr>
          <w:rFonts w:ascii="Calibri" w:hAnsi="Calibri"/>
        </w:rPr>
        <w:t xml:space="preserve">Ditton, J. and </w:t>
      </w:r>
      <w:proofErr w:type="spellStart"/>
      <w:r w:rsidRPr="005510BD">
        <w:rPr>
          <w:rFonts w:ascii="Calibri" w:hAnsi="Calibri"/>
        </w:rPr>
        <w:t>Chadee</w:t>
      </w:r>
      <w:proofErr w:type="spellEnd"/>
      <w:r w:rsidRPr="005510BD">
        <w:rPr>
          <w:rFonts w:ascii="Calibri" w:hAnsi="Calibri"/>
        </w:rPr>
        <w:t xml:space="preserve">, D. (2003) </w:t>
      </w:r>
      <w:r w:rsidRPr="005510BD">
        <w:rPr>
          <w:rFonts w:ascii="Calibri" w:hAnsi="Calibri"/>
          <w:i/>
        </w:rPr>
        <w:t xml:space="preserve">Are Older People Most Afraid of </w:t>
      </w:r>
      <w:proofErr w:type="gramStart"/>
      <w:r w:rsidRPr="005510BD">
        <w:rPr>
          <w:rFonts w:ascii="Calibri" w:hAnsi="Calibri"/>
          <w:i/>
        </w:rPr>
        <w:t>Crime?</w:t>
      </w:r>
      <w:r w:rsidRPr="005510BD">
        <w:rPr>
          <w:rFonts w:ascii="Calibri" w:hAnsi="Calibri"/>
        </w:rPr>
        <w:t>,</w:t>
      </w:r>
      <w:proofErr w:type="gramEnd"/>
      <w:r w:rsidRPr="005510BD">
        <w:rPr>
          <w:rFonts w:ascii="Calibri" w:hAnsi="Calibri"/>
        </w:rPr>
        <w:t xml:space="preserve"> </w:t>
      </w:r>
      <w:r w:rsidRPr="005510BD">
        <w:rPr>
          <w:rFonts w:ascii="Calibri" w:hAnsi="Calibri"/>
          <w:b/>
        </w:rPr>
        <w:t>British Journal of</w:t>
      </w:r>
    </w:p>
    <w:p w:rsidR="00E912B1" w:rsidRPr="005510BD" w:rsidRDefault="00E912B1" w:rsidP="00E912B1">
      <w:pPr>
        <w:ind w:firstLine="720"/>
        <w:rPr>
          <w:rFonts w:ascii="Calibri" w:hAnsi="Calibri"/>
        </w:rPr>
      </w:pPr>
      <w:r w:rsidRPr="005510BD">
        <w:rPr>
          <w:rFonts w:ascii="Calibri" w:hAnsi="Calibri"/>
          <w:b/>
        </w:rPr>
        <w:t>Criminology</w:t>
      </w:r>
      <w:r w:rsidRPr="005510BD">
        <w:rPr>
          <w:rFonts w:ascii="Calibri" w:hAnsi="Calibri"/>
        </w:rPr>
        <w:t>, 43:417-433.</w:t>
      </w:r>
    </w:p>
    <w:p w:rsidR="001278D2" w:rsidRPr="005510BD" w:rsidRDefault="001278D2" w:rsidP="00D51240">
      <w:pPr>
        <w:rPr>
          <w:rFonts w:ascii="Calibri" w:hAnsi="Calibri"/>
        </w:rPr>
      </w:pPr>
      <w:r w:rsidRPr="005510BD">
        <w:rPr>
          <w:rFonts w:ascii="Calibri" w:hAnsi="Calibri"/>
        </w:rPr>
        <w:t xml:space="preserve">Ditton, J. and </w:t>
      </w:r>
      <w:proofErr w:type="spellStart"/>
      <w:r w:rsidRPr="005510BD">
        <w:rPr>
          <w:rFonts w:ascii="Calibri" w:hAnsi="Calibri"/>
        </w:rPr>
        <w:t>Farrall</w:t>
      </w:r>
      <w:proofErr w:type="spellEnd"/>
      <w:r w:rsidRPr="005510BD">
        <w:rPr>
          <w:rFonts w:ascii="Calibri" w:hAnsi="Calibri"/>
        </w:rPr>
        <w:t xml:space="preserve">, S. (2000) </w:t>
      </w:r>
      <w:r w:rsidRPr="005510BD">
        <w:rPr>
          <w:rFonts w:ascii="Calibri" w:hAnsi="Calibri"/>
          <w:i/>
        </w:rPr>
        <w:t>Introduction</w:t>
      </w:r>
      <w:r w:rsidRPr="005510BD">
        <w:rPr>
          <w:rFonts w:ascii="Calibri" w:hAnsi="Calibri"/>
        </w:rPr>
        <w:t xml:space="preserve">, in Ditton, J. and </w:t>
      </w:r>
      <w:proofErr w:type="spellStart"/>
      <w:r w:rsidRPr="005510BD">
        <w:rPr>
          <w:rFonts w:ascii="Calibri" w:hAnsi="Calibri"/>
        </w:rPr>
        <w:t>Farrall</w:t>
      </w:r>
      <w:proofErr w:type="spellEnd"/>
      <w:r w:rsidRPr="005510BD">
        <w:rPr>
          <w:rFonts w:ascii="Calibri" w:hAnsi="Calibri"/>
        </w:rPr>
        <w:t>, S. (</w:t>
      </w:r>
      <w:proofErr w:type="spellStart"/>
      <w:r w:rsidRPr="005510BD">
        <w:rPr>
          <w:rFonts w:ascii="Calibri" w:hAnsi="Calibri"/>
        </w:rPr>
        <w:t>eds</w:t>
      </w:r>
      <w:proofErr w:type="spellEnd"/>
      <w:r w:rsidRPr="005510BD">
        <w:rPr>
          <w:rFonts w:ascii="Calibri" w:hAnsi="Calibri"/>
        </w:rPr>
        <w:t>)</w:t>
      </w:r>
      <w:r w:rsidRPr="005510BD">
        <w:rPr>
          <w:rFonts w:ascii="Calibri" w:hAnsi="Calibri"/>
          <w:b/>
        </w:rPr>
        <w:t xml:space="preserve"> The Fear of Crime</w:t>
      </w:r>
      <w:r w:rsidRPr="005510BD">
        <w:rPr>
          <w:rFonts w:ascii="Calibri" w:hAnsi="Calibri"/>
        </w:rPr>
        <w:t>,</w:t>
      </w:r>
    </w:p>
    <w:p w:rsidR="001278D2" w:rsidRPr="005510BD" w:rsidRDefault="001278D2" w:rsidP="001278D2">
      <w:pPr>
        <w:ind w:left="720"/>
        <w:rPr>
          <w:rFonts w:ascii="Calibri" w:hAnsi="Calibri"/>
        </w:rPr>
      </w:pPr>
      <w:proofErr w:type="spellStart"/>
      <w:r w:rsidRPr="005510BD">
        <w:rPr>
          <w:rFonts w:ascii="Calibri" w:hAnsi="Calibri"/>
        </w:rPr>
        <w:t>Ashgate</w:t>
      </w:r>
      <w:proofErr w:type="spellEnd"/>
      <w:r w:rsidRPr="005510BD">
        <w:rPr>
          <w:rFonts w:ascii="Calibri" w:hAnsi="Calibri"/>
        </w:rPr>
        <w:t>, Aldershot.</w:t>
      </w:r>
    </w:p>
    <w:p w:rsidR="00505FF7" w:rsidRPr="005510BD" w:rsidRDefault="00505FF7" w:rsidP="00D51240">
      <w:pPr>
        <w:rPr>
          <w:rFonts w:ascii="Calibri" w:hAnsi="Calibri"/>
        </w:rPr>
      </w:pPr>
      <w:r w:rsidRPr="005510BD">
        <w:rPr>
          <w:rFonts w:ascii="Calibri" w:hAnsi="Calibri"/>
        </w:rPr>
        <w:t xml:space="preserve">Ehrenreich, B. (1989) </w:t>
      </w:r>
      <w:r w:rsidRPr="005510BD">
        <w:rPr>
          <w:rFonts w:ascii="Calibri" w:hAnsi="Calibri"/>
          <w:b/>
        </w:rPr>
        <w:t>Fear of Falling</w:t>
      </w:r>
      <w:r w:rsidRPr="005510BD">
        <w:rPr>
          <w:rFonts w:ascii="Calibri" w:hAnsi="Calibri"/>
        </w:rPr>
        <w:t xml:space="preserve">, Pantheon, New York. </w:t>
      </w:r>
    </w:p>
    <w:p w:rsidR="00792EA1" w:rsidRPr="005510BD" w:rsidRDefault="00792EA1" w:rsidP="00D51240">
      <w:pPr>
        <w:rPr>
          <w:rFonts w:ascii="Calibri" w:hAnsi="Calibri"/>
        </w:rPr>
      </w:pPr>
      <w:proofErr w:type="spellStart"/>
      <w:r w:rsidRPr="005510BD">
        <w:rPr>
          <w:rFonts w:ascii="Calibri" w:hAnsi="Calibri"/>
        </w:rPr>
        <w:t>Eriksen</w:t>
      </w:r>
      <w:proofErr w:type="spellEnd"/>
      <w:r w:rsidRPr="005510BD">
        <w:rPr>
          <w:rFonts w:ascii="Calibri" w:hAnsi="Calibri"/>
        </w:rPr>
        <w:t>, T. (</w:t>
      </w:r>
      <w:r w:rsidR="00AE61EE" w:rsidRPr="005510BD">
        <w:rPr>
          <w:rFonts w:ascii="Calibri" w:hAnsi="Calibri"/>
        </w:rPr>
        <w:t>2016</w:t>
      </w:r>
      <w:r w:rsidRPr="005510BD">
        <w:rPr>
          <w:rFonts w:ascii="Calibri" w:hAnsi="Calibri"/>
        </w:rPr>
        <w:t xml:space="preserve">) </w:t>
      </w:r>
      <w:r w:rsidRPr="005510BD">
        <w:rPr>
          <w:rFonts w:ascii="Calibri" w:hAnsi="Calibri"/>
          <w:b/>
        </w:rPr>
        <w:t>Overheating: An Anthropology of Accelerated Change</w:t>
      </w:r>
      <w:r w:rsidRPr="005510BD">
        <w:rPr>
          <w:rFonts w:ascii="Calibri" w:hAnsi="Calibri"/>
        </w:rPr>
        <w:t xml:space="preserve">, </w:t>
      </w:r>
      <w:proofErr w:type="spellStart"/>
      <w:r w:rsidRPr="005510BD">
        <w:rPr>
          <w:rFonts w:ascii="Calibri" w:hAnsi="Calibri"/>
        </w:rPr>
        <w:t>PlutoPress</w:t>
      </w:r>
      <w:proofErr w:type="spellEnd"/>
      <w:r w:rsidRPr="005510BD">
        <w:rPr>
          <w:rFonts w:ascii="Calibri" w:hAnsi="Calibri"/>
        </w:rPr>
        <w:t>, London.</w:t>
      </w:r>
    </w:p>
    <w:p w:rsidR="00792EA1" w:rsidRPr="005510BD" w:rsidRDefault="00792EA1" w:rsidP="00D51240">
      <w:pPr>
        <w:rPr>
          <w:rFonts w:ascii="Calibri" w:hAnsi="Calibri"/>
        </w:rPr>
      </w:pPr>
      <w:proofErr w:type="spellStart"/>
      <w:r w:rsidRPr="005510BD">
        <w:rPr>
          <w:rFonts w:ascii="Calibri" w:hAnsi="Calibri"/>
        </w:rPr>
        <w:t>Eriksen</w:t>
      </w:r>
      <w:proofErr w:type="spellEnd"/>
      <w:r w:rsidRPr="005510BD">
        <w:rPr>
          <w:rFonts w:ascii="Calibri" w:hAnsi="Calibri"/>
        </w:rPr>
        <w:t xml:space="preserve">, T. </w:t>
      </w:r>
      <w:r w:rsidR="0087724E" w:rsidRPr="005510BD">
        <w:rPr>
          <w:rFonts w:ascii="Calibri" w:hAnsi="Calibri"/>
        </w:rPr>
        <w:t>a</w:t>
      </w:r>
      <w:r w:rsidRPr="005510BD">
        <w:rPr>
          <w:rFonts w:ascii="Calibri" w:hAnsi="Calibri"/>
        </w:rPr>
        <w:t xml:space="preserve">nd </w:t>
      </w:r>
      <w:proofErr w:type="spellStart"/>
      <w:r w:rsidRPr="005510BD">
        <w:rPr>
          <w:rFonts w:ascii="Calibri" w:hAnsi="Calibri"/>
        </w:rPr>
        <w:t>Schober</w:t>
      </w:r>
      <w:proofErr w:type="spellEnd"/>
      <w:r w:rsidRPr="005510BD">
        <w:rPr>
          <w:rFonts w:ascii="Calibri" w:hAnsi="Calibri"/>
        </w:rPr>
        <w:t>, E. (2016) (</w:t>
      </w:r>
      <w:proofErr w:type="spellStart"/>
      <w:r w:rsidRPr="005510BD">
        <w:rPr>
          <w:rFonts w:ascii="Calibri" w:hAnsi="Calibri"/>
        </w:rPr>
        <w:t>Eds</w:t>
      </w:r>
      <w:proofErr w:type="spellEnd"/>
      <w:r w:rsidRPr="005510BD">
        <w:rPr>
          <w:rFonts w:ascii="Calibri" w:hAnsi="Calibri"/>
        </w:rPr>
        <w:t xml:space="preserve">) </w:t>
      </w:r>
      <w:r w:rsidRPr="005510BD">
        <w:rPr>
          <w:rFonts w:ascii="Calibri" w:hAnsi="Calibri"/>
          <w:b/>
        </w:rPr>
        <w:t xml:space="preserve">Identity </w:t>
      </w:r>
      <w:proofErr w:type="spellStart"/>
      <w:r w:rsidRPr="005510BD">
        <w:rPr>
          <w:rFonts w:ascii="Calibri" w:hAnsi="Calibri"/>
          <w:b/>
        </w:rPr>
        <w:t>Destablised</w:t>
      </w:r>
      <w:proofErr w:type="spellEnd"/>
      <w:r w:rsidRPr="005510BD">
        <w:rPr>
          <w:rFonts w:ascii="Calibri" w:hAnsi="Calibri"/>
        </w:rPr>
        <w:t xml:space="preserve">, </w:t>
      </w:r>
      <w:proofErr w:type="spellStart"/>
      <w:r w:rsidRPr="005510BD">
        <w:rPr>
          <w:rFonts w:ascii="Calibri" w:hAnsi="Calibri"/>
        </w:rPr>
        <w:t>PlutoPress</w:t>
      </w:r>
      <w:proofErr w:type="spellEnd"/>
      <w:r w:rsidRPr="005510BD">
        <w:rPr>
          <w:rFonts w:ascii="Calibri" w:hAnsi="Calibri"/>
        </w:rPr>
        <w:t>, London.</w:t>
      </w:r>
    </w:p>
    <w:p w:rsidR="0060464B" w:rsidRPr="005510BD" w:rsidRDefault="0060464B" w:rsidP="0060464B">
      <w:pPr>
        <w:ind w:right="-383"/>
        <w:rPr>
          <w:i/>
        </w:rPr>
      </w:pPr>
      <w:proofErr w:type="spellStart"/>
      <w:r w:rsidRPr="005510BD">
        <w:rPr>
          <w:rFonts w:ascii="Calibri" w:eastAsia="Calibri" w:hAnsi="Calibri" w:cs="Times New Roman"/>
        </w:rPr>
        <w:t>Farrall</w:t>
      </w:r>
      <w:proofErr w:type="spellEnd"/>
      <w:r w:rsidRPr="005510BD">
        <w:rPr>
          <w:rFonts w:ascii="Calibri" w:eastAsia="Calibri" w:hAnsi="Calibri" w:cs="Times New Roman"/>
        </w:rPr>
        <w:t xml:space="preserve">, S., Bannister, J., Ditton, J. and Gilchrist, E. (1997) </w:t>
      </w:r>
      <w:r w:rsidRPr="005510BD">
        <w:rPr>
          <w:rFonts w:ascii="Calibri" w:eastAsia="Calibri" w:hAnsi="Calibri" w:cs="Times New Roman"/>
          <w:i/>
        </w:rPr>
        <w:t>Questioning the Measurement of the Fear of</w:t>
      </w:r>
    </w:p>
    <w:p w:rsidR="0060464B" w:rsidRPr="005510BD" w:rsidRDefault="0060464B" w:rsidP="0060464B">
      <w:pPr>
        <w:ind w:right="-383" w:firstLine="720"/>
        <w:rPr>
          <w:rFonts w:ascii="Calibri" w:eastAsia="Calibri" w:hAnsi="Calibri" w:cs="Times New Roman"/>
        </w:rPr>
      </w:pPr>
      <w:r w:rsidRPr="005510BD">
        <w:rPr>
          <w:rFonts w:ascii="Calibri" w:eastAsia="Calibri" w:hAnsi="Calibri" w:cs="Times New Roman"/>
          <w:i/>
        </w:rPr>
        <w:t>Crime</w:t>
      </w:r>
      <w:r w:rsidRPr="005510BD">
        <w:rPr>
          <w:rFonts w:ascii="Calibri" w:eastAsia="Calibri" w:hAnsi="Calibri" w:cs="Times New Roman"/>
        </w:rPr>
        <w:t xml:space="preserve">, </w:t>
      </w:r>
      <w:r w:rsidRPr="005510BD">
        <w:rPr>
          <w:rFonts w:ascii="Calibri" w:eastAsia="Calibri" w:hAnsi="Calibri" w:cs="Times New Roman"/>
          <w:b/>
        </w:rPr>
        <w:t>British Journal of Criminology</w:t>
      </w:r>
      <w:r w:rsidRPr="005510BD">
        <w:t>, 37(4):</w:t>
      </w:r>
      <w:r w:rsidRPr="005510BD">
        <w:rPr>
          <w:rFonts w:ascii="Calibri" w:eastAsia="Calibri" w:hAnsi="Calibri" w:cs="Times New Roman"/>
        </w:rPr>
        <w:t xml:space="preserve">657-78. </w:t>
      </w:r>
    </w:p>
    <w:p w:rsidR="0060464B" w:rsidRPr="005510BD" w:rsidRDefault="0060464B" w:rsidP="0060464B">
      <w:pPr>
        <w:ind w:right="-383"/>
      </w:pPr>
      <w:proofErr w:type="spellStart"/>
      <w:r w:rsidRPr="005510BD">
        <w:rPr>
          <w:rFonts w:ascii="Calibri" w:eastAsia="Calibri" w:hAnsi="Calibri" w:cs="Times New Roman"/>
        </w:rPr>
        <w:t>Farrall</w:t>
      </w:r>
      <w:proofErr w:type="spellEnd"/>
      <w:r w:rsidRPr="005510BD">
        <w:rPr>
          <w:rFonts w:ascii="Calibri" w:eastAsia="Calibri" w:hAnsi="Calibri" w:cs="Times New Roman"/>
        </w:rPr>
        <w:t xml:space="preserve">, S. and Gadd, D. (2004) </w:t>
      </w:r>
      <w:r w:rsidRPr="005510BD">
        <w:rPr>
          <w:rFonts w:ascii="Calibri" w:eastAsia="Calibri" w:hAnsi="Calibri" w:cs="Times New Roman"/>
          <w:i/>
        </w:rPr>
        <w:t>The Frequency of the Fear of Crime</w:t>
      </w:r>
      <w:r w:rsidRPr="005510BD">
        <w:rPr>
          <w:rFonts w:ascii="Calibri" w:eastAsia="Calibri" w:hAnsi="Calibri" w:cs="Times New Roman"/>
        </w:rPr>
        <w:t xml:space="preserve">, </w:t>
      </w:r>
      <w:r w:rsidRPr="005510BD">
        <w:rPr>
          <w:rFonts w:ascii="Calibri" w:eastAsia="Calibri" w:hAnsi="Calibri" w:cs="Times New Roman"/>
          <w:b/>
        </w:rPr>
        <w:t>British Journal of Criminology</w:t>
      </w:r>
      <w:r w:rsidRPr="005510BD">
        <w:rPr>
          <w:rFonts w:ascii="Calibri" w:eastAsia="Calibri" w:hAnsi="Calibri" w:cs="Times New Roman"/>
        </w:rPr>
        <w:t>,</w:t>
      </w:r>
    </w:p>
    <w:p w:rsidR="0060464B" w:rsidRPr="005510BD" w:rsidRDefault="0060464B" w:rsidP="0060464B">
      <w:pPr>
        <w:ind w:right="-383" w:firstLine="720"/>
        <w:rPr>
          <w:rFonts w:ascii="Calibri" w:eastAsia="Calibri" w:hAnsi="Calibri" w:cs="Times New Roman"/>
          <w:b/>
        </w:rPr>
      </w:pPr>
      <w:r w:rsidRPr="005510BD">
        <w:rPr>
          <w:rFonts w:ascii="Calibri" w:eastAsia="Calibri" w:hAnsi="Calibri" w:cs="Times New Roman"/>
        </w:rPr>
        <w:t xml:space="preserve"> 44(1):127-132. </w:t>
      </w:r>
    </w:p>
    <w:p w:rsidR="0087724E" w:rsidRPr="005510BD" w:rsidRDefault="0038523F" w:rsidP="0087724E">
      <w:pPr>
        <w:ind w:right="-383"/>
        <w:rPr>
          <w:i/>
          <w:iCs/>
        </w:rPr>
      </w:pPr>
      <w:proofErr w:type="spellStart"/>
      <w:r w:rsidRPr="005510BD">
        <w:t>Farrall</w:t>
      </w:r>
      <w:proofErr w:type="spellEnd"/>
      <w:r w:rsidRPr="005510BD">
        <w:t>, S., Gray, E., Jennings, W. and Hay, C. (2016)</w:t>
      </w:r>
      <w:r w:rsidRPr="005510BD">
        <w:rPr>
          <w:i/>
          <w:iCs/>
        </w:rPr>
        <w:t xml:space="preserve"> Thatcherite Ideology, Housing Tenure, and Crime,</w:t>
      </w:r>
    </w:p>
    <w:p w:rsidR="0038523F" w:rsidRPr="005510BD" w:rsidRDefault="0038523F" w:rsidP="0038523F">
      <w:pPr>
        <w:ind w:right="-383" w:firstLine="720"/>
        <w:rPr>
          <w:i/>
          <w:iCs/>
        </w:rPr>
      </w:pPr>
      <w:r w:rsidRPr="005510BD">
        <w:rPr>
          <w:b/>
          <w:bCs/>
          <w:lang w:val="en-US"/>
        </w:rPr>
        <w:t xml:space="preserve"> British Journal of</w:t>
      </w:r>
      <w:r w:rsidR="0087724E" w:rsidRPr="005510BD">
        <w:rPr>
          <w:b/>
          <w:bCs/>
          <w:lang w:val="en-US"/>
        </w:rPr>
        <w:t xml:space="preserve"> </w:t>
      </w:r>
      <w:r w:rsidRPr="005510BD">
        <w:rPr>
          <w:b/>
          <w:bCs/>
          <w:lang w:val="en-US"/>
        </w:rPr>
        <w:t>Criminology</w:t>
      </w:r>
      <w:r w:rsidR="009F7A48" w:rsidRPr="005510BD">
        <w:rPr>
          <w:lang w:val="en-US"/>
        </w:rPr>
        <w:t>, 56(6):</w:t>
      </w:r>
      <w:r w:rsidRPr="005510BD">
        <w:rPr>
          <w:lang w:val="en-US"/>
        </w:rPr>
        <w:t>1235-1252.</w:t>
      </w:r>
    </w:p>
    <w:p w:rsidR="00705197" w:rsidRPr="005510BD" w:rsidRDefault="00705197" w:rsidP="00705197">
      <w:pPr>
        <w:ind w:right="-383"/>
        <w:rPr>
          <w:bCs/>
          <w:i/>
        </w:rPr>
      </w:pPr>
      <w:proofErr w:type="spellStart"/>
      <w:r w:rsidRPr="005510BD">
        <w:rPr>
          <w:bCs/>
        </w:rPr>
        <w:t>Farrall</w:t>
      </w:r>
      <w:proofErr w:type="spellEnd"/>
      <w:r w:rsidRPr="005510BD">
        <w:rPr>
          <w:bCs/>
        </w:rPr>
        <w:t xml:space="preserve">, S., </w:t>
      </w:r>
      <w:proofErr w:type="spellStart"/>
      <w:r w:rsidRPr="005510BD">
        <w:rPr>
          <w:bCs/>
        </w:rPr>
        <w:t>Gray</w:t>
      </w:r>
      <w:proofErr w:type="spellEnd"/>
      <w:r w:rsidRPr="005510BD">
        <w:rPr>
          <w:bCs/>
        </w:rPr>
        <w:t>, E. and Jones, P. (2020</w:t>
      </w:r>
      <w:r w:rsidR="00B57C35" w:rsidRPr="005510BD">
        <w:rPr>
          <w:bCs/>
        </w:rPr>
        <w:t>a</w:t>
      </w:r>
      <w:r w:rsidRPr="005510BD">
        <w:rPr>
          <w:bCs/>
        </w:rPr>
        <w:t xml:space="preserve">) </w:t>
      </w:r>
      <w:r w:rsidRPr="005510BD">
        <w:rPr>
          <w:bCs/>
          <w:i/>
        </w:rPr>
        <w:t xml:space="preserve">Politics, Social and Economic Change and Crime: Exploring the </w:t>
      </w:r>
    </w:p>
    <w:p w:rsidR="00705197" w:rsidRPr="005510BD" w:rsidRDefault="00705197" w:rsidP="00705197">
      <w:pPr>
        <w:ind w:right="-383"/>
        <w:rPr>
          <w:bCs/>
          <w:i/>
        </w:rPr>
      </w:pPr>
      <w:r w:rsidRPr="005510BD">
        <w:rPr>
          <w:bCs/>
          <w:i/>
        </w:rPr>
        <w:tab/>
        <w:t>Impact of Contextual Effects on Offending Trajectories</w:t>
      </w:r>
      <w:r w:rsidRPr="005510BD">
        <w:rPr>
          <w:bCs/>
        </w:rPr>
        <w:t xml:space="preserve">, </w:t>
      </w:r>
      <w:r w:rsidRPr="005510BD">
        <w:rPr>
          <w:b/>
          <w:bCs/>
        </w:rPr>
        <w:t>Politics and Society</w:t>
      </w:r>
      <w:r w:rsidRPr="005510BD">
        <w:rPr>
          <w:bCs/>
        </w:rPr>
        <w:t>, 48(3):357-388.</w:t>
      </w:r>
    </w:p>
    <w:p w:rsidR="009F7A48" w:rsidRPr="005510BD" w:rsidRDefault="0012044B" w:rsidP="009F7A48">
      <w:pPr>
        <w:ind w:right="-383"/>
        <w:rPr>
          <w:b/>
          <w:bCs/>
        </w:rPr>
      </w:pPr>
      <w:proofErr w:type="spellStart"/>
      <w:r w:rsidRPr="005510BD">
        <w:rPr>
          <w:bCs/>
        </w:rPr>
        <w:t>Farrall</w:t>
      </w:r>
      <w:proofErr w:type="spellEnd"/>
      <w:r w:rsidRPr="005510BD">
        <w:rPr>
          <w:bCs/>
        </w:rPr>
        <w:t>, S., Hay, C., Gray, E. and Jones, P., (2020</w:t>
      </w:r>
      <w:r w:rsidR="00B57C35" w:rsidRPr="005510BD">
        <w:rPr>
          <w:bCs/>
        </w:rPr>
        <w:t>b</w:t>
      </w:r>
      <w:r w:rsidRPr="005510BD">
        <w:rPr>
          <w:bCs/>
        </w:rPr>
        <w:t xml:space="preserve">) </w:t>
      </w:r>
      <w:r w:rsidRPr="005510BD">
        <w:rPr>
          <w:bCs/>
          <w:i/>
        </w:rPr>
        <w:t>Behavioural Thatcherism and Nostalgia</w:t>
      </w:r>
      <w:r w:rsidRPr="005510BD">
        <w:rPr>
          <w:bCs/>
        </w:rPr>
        <w:t xml:space="preserve">, </w:t>
      </w:r>
      <w:r w:rsidRPr="005510BD">
        <w:rPr>
          <w:b/>
          <w:bCs/>
        </w:rPr>
        <w:t>British</w:t>
      </w:r>
    </w:p>
    <w:p w:rsidR="0012044B" w:rsidRPr="005510BD" w:rsidRDefault="0012044B" w:rsidP="009F7A48">
      <w:pPr>
        <w:ind w:right="-383" w:firstLine="720"/>
        <w:rPr>
          <w:bCs/>
          <w:i/>
        </w:rPr>
      </w:pPr>
      <w:r w:rsidRPr="005510BD">
        <w:rPr>
          <w:b/>
          <w:bCs/>
        </w:rPr>
        <w:t>Politics</w:t>
      </w:r>
      <w:r w:rsidRPr="005510BD">
        <w:rPr>
          <w:bCs/>
        </w:rPr>
        <w:t>.</w:t>
      </w:r>
    </w:p>
    <w:p w:rsidR="000A3698" w:rsidRPr="005510BD" w:rsidRDefault="000A3698" w:rsidP="000A3698">
      <w:pPr>
        <w:ind w:right="-383"/>
      </w:pPr>
      <w:proofErr w:type="spellStart"/>
      <w:r w:rsidRPr="005510BD">
        <w:t>Farrall</w:t>
      </w:r>
      <w:proofErr w:type="spellEnd"/>
      <w:r w:rsidRPr="005510BD">
        <w:t xml:space="preserve">, S., Jackson, J. and Gray, E. (2009) </w:t>
      </w:r>
      <w:r w:rsidRPr="005510BD">
        <w:rPr>
          <w:b/>
          <w:bCs/>
        </w:rPr>
        <w:t>Social Order and the Fear of Crime in Contemporary Times</w:t>
      </w:r>
      <w:r w:rsidRPr="005510BD">
        <w:t>,</w:t>
      </w:r>
    </w:p>
    <w:p w:rsidR="0060464B" w:rsidRPr="005510BD" w:rsidRDefault="000A3698" w:rsidP="0060464B">
      <w:pPr>
        <w:ind w:right="-383" w:firstLine="720"/>
      </w:pPr>
      <w:r w:rsidRPr="005510BD">
        <w:t xml:space="preserve">OUP, Oxford. </w:t>
      </w:r>
    </w:p>
    <w:p w:rsidR="00B05CF4" w:rsidRPr="005510BD" w:rsidRDefault="0060464B" w:rsidP="00B05CF4">
      <w:pPr>
        <w:ind w:right="-383"/>
        <w:rPr>
          <w:rFonts w:ascii="Calibri" w:eastAsia="Calibri" w:hAnsi="Calibri" w:cs="Times New Roman"/>
          <w:b/>
          <w:bCs/>
        </w:rPr>
      </w:pPr>
      <w:proofErr w:type="spellStart"/>
      <w:r w:rsidRPr="005510BD">
        <w:rPr>
          <w:rFonts w:ascii="Calibri" w:eastAsia="Calibri" w:hAnsi="Calibri" w:cs="Times New Roman"/>
        </w:rPr>
        <w:t>Farrall</w:t>
      </w:r>
      <w:proofErr w:type="spellEnd"/>
      <w:r w:rsidRPr="005510BD">
        <w:rPr>
          <w:rFonts w:ascii="Calibri" w:eastAsia="Calibri" w:hAnsi="Calibri" w:cs="Times New Roman"/>
        </w:rPr>
        <w:t xml:space="preserve">, S. and </w:t>
      </w:r>
      <w:proofErr w:type="spellStart"/>
      <w:r w:rsidRPr="005510BD">
        <w:rPr>
          <w:rFonts w:ascii="Calibri" w:eastAsia="Calibri" w:hAnsi="Calibri" w:cs="Times New Roman"/>
        </w:rPr>
        <w:t>Karstedt</w:t>
      </w:r>
      <w:proofErr w:type="spellEnd"/>
      <w:r w:rsidRPr="005510BD">
        <w:rPr>
          <w:rFonts w:ascii="Calibri" w:eastAsia="Calibri" w:hAnsi="Calibri" w:cs="Times New Roman"/>
        </w:rPr>
        <w:t>, S. (</w:t>
      </w:r>
      <w:r w:rsidR="00B05CF4" w:rsidRPr="005510BD">
        <w:rPr>
          <w:rFonts w:ascii="Calibri" w:eastAsia="Calibri" w:hAnsi="Calibri" w:cs="Times New Roman"/>
        </w:rPr>
        <w:t>2020</w:t>
      </w:r>
      <w:r w:rsidRPr="005510BD">
        <w:rPr>
          <w:rFonts w:ascii="Calibri" w:eastAsia="Calibri" w:hAnsi="Calibri" w:cs="Times New Roman"/>
        </w:rPr>
        <w:t xml:space="preserve">) </w:t>
      </w:r>
      <w:r w:rsidRPr="005510BD">
        <w:rPr>
          <w:rFonts w:ascii="Calibri" w:eastAsia="Calibri" w:hAnsi="Calibri" w:cs="Times New Roman"/>
          <w:b/>
          <w:bCs/>
        </w:rPr>
        <w:t>Respectable Citizens – Shady Practices: The Economic Morality</w:t>
      </w:r>
      <w:r w:rsidR="00B05CF4" w:rsidRPr="005510BD">
        <w:rPr>
          <w:rFonts w:ascii="Calibri" w:eastAsia="Calibri" w:hAnsi="Calibri" w:cs="Times New Roman"/>
          <w:b/>
          <w:bCs/>
        </w:rPr>
        <w:t xml:space="preserve"> </w:t>
      </w:r>
      <w:r w:rsidRPr="005510BD">
        <w:rPr>
          <w:rFonts w:ascii="Calibri" w:eastAsia="Calibri" w:hAnsi="Calibri" w:cs="Times New Roman"/>
          <w:b/>
          <w:bCs/>
        </w:rPr>
        <w:t>of the</w:t>
      </w:r>
    </w:p>
    <w:p w:rsidR="0060464B" w:rsidRPr="005510BD" w:rsidRDefault="00B05CF4" w:rsidP="00B05CF4">
      <w:pPr>
        <w:ind w:right="-383"/>
        <w:rPr>
          <w:rFonts w:ascii="Calibri" w:eastAsia="Calibri" w:hAnsi="Calibri" w:cs="Times New Roman"/>
          <w:b/>
          <w:bCs/>
        </w:rPr>
      </w:pPr>
      <w:r w:rsidRPr="005510BD">
        <w:rPr>
          <w:rFonts w:ascii="Calibri" w:eastAsia="Calibri" w:hAnsi="Calibri" w:cs="Times New Roman"/>
          <w:b/>
          <w:bCs/>
        </w:rPr>
        <w:tab/>
      </w:r>
      <w:r w:rsidR="0060464B" w:rsidRPr="005510BD">
        <w:rPr>
          <w:rFonts w:ascii="Calibri" w:eastAsia="Calibri" w:hAnsi="Calibri" w:cs="Times New Roman"/>
          <w:b/>
          <w:bCs/>
        </w:rPr>
        <w:t xml:space="preserve"> Middle Classes, </w:t>
      </w:r>
      <w:r w:rsidR="0060464B" w:rsidRPr="005510BD">
        <w:rPr>
          <w:rFonts w:ascii="Calibri" w:eastAsia="Calibri" w:hAnsi="Calibri" w:cs="Times New Roman"/>
        </w:rPr>
        <w:t>OUP, Oxford.</w:t>
      </w:r>
    </w:p>
    <w:p w:rsidR="00AE61EE" w:rsidRPr="005510BD" w:rsidRDefault="00AE61EE" w:rsidP="00AE61EE">
      <w:pPr>
        <w:rPr>
          <w:i/>
          <w:iCs/>
        </w:rPr>
      </w:pPr>
      <w:r w:rsidRPr="005510BD">
        <w:rPr>
          <w:iCs/>
        </w:rPr>
        <w:lastRenderedPageBreak/>
        <w:t xml:space="preserve">Ferraro, K. and LaGrange, R. (1987). </w:t>
      </w:r>
      <w:r w:rsidRPr="005510BD">
        <w:rPr>
          <w:i/>
          <w:iCs/>
        </w:rPr>
        <w:t>The Measurement of Fear of Crime</w:t>
      </w:r>
      <w:r w:rsidRPr="005510BD">
        <w:rPr>
          <w:iCs/>
        </w:rPr>
        <w:t xml:space="preserve">, </w:t>
      </w:r>
      <w:r w:rsidRPr="005510BD">
        <w:rPr>
          <w:b/>
          <w:iCs/>
        </w:rPr>
        <w:t>Sociological Inquiry</w:t>
      </w:r>
      <w:r w:rsidRPr="005510BD">
        <w:rPr>
          <w:i/>
          <w:iCs/>
        </w:rPr>
        <w:t>,</w:t>
      </w:r>
    </w:p>
    <w:p w:rsidR="00AE61EE" w:rsidRPr="005510BD" w:rsidRDefault="00AE61EE" w:rsidP="00AE61EE">
      <w:pPr>
        <w:ind w:firstLine="720"/>
        <w:rPr>
          <w:iCs/>
        </w:rPr>
      </w:pPr>
      <w:r w:rsidRPr="005510BD">
        <w:rPr>
          <w:iCs/>
        </w:rPr>
        <w:t xml:space="preserve"> 57(1):70-101.</w:t>
      </w:r>
    </w:p>
    <w:p w:rsidR="009F7A48" w:rsidRPr="005510BD" w:rsidRDefault="00771531" w:rsidP="009F7A48">
      <w:pPr>
        <w:rPr>
          <w:b/>
          <w:iCs/>
        </w:rPr>
      </w:pPr>
      <w:proofErr w:type="spellStart"/>
      <w:r w:rsidRPr="005510BD">
        <w:rPr>
          <w:iCs/>
        </w:rPr>
        <w:t>Flemmen</w:t>
      </w:r>
      <w:proofErr w:type="spellEnd"/>
      <w:r w:rsidRPr="005510BD">
        <w:rPr>
          <w:iCs/>
        </w:rPr>
        <w:t xml:space="preserve">, M. and Savage, M. (2017) </w:t>
      </w:r>
      <w:r w:rsidRPr="005510BD">
        <w:rPr>
          <w:i/>
          <w:iCs/>
        </w:rPr>
        <w:t>The politics of nationalism and white racism in the UK</w:t>
      </w:r>
      <w:r w:rsidR="009F7A48" w:rsidRPr="005510BD">
        <w:rPr>
          <w:i/>
          <w:iCs/>
        </w:rPr>
        <w:t xml:space="preserve">, </w:t>
      </w:r>
      <w:r w:rsidRPr="005510BD">
        <w:rPr>
          <w:b/>
          <w:iCs/>
        </w:rPr>
        <w:t>British</w:t>
      </w:r>
    </w:p>
    <w:p w:rsidR="00771531" w:rsidRPr="005510BD" w:rsidRDefault="00771531" w:rsidP="009F7A48">
      <w:pPr>
        <w:ind w:firstLine="720"/>
        <w:rPr>
          <w:iCs/>
        </w:rPr>
      </w:pPr>
      <w:r w:rsidRPr="005510BD">
        <w:rPr>
          <w:b/>
          <w:iCs/>
        </w:rPr>
        <w:t>Journal of Sociology</w:t>
      </w:r>
      <w:r w:rsidRPr="005510BD">
        <w:rPr>
          <w:iCs/>
        </w:rPr>
        <w:t>: doi.org/10.1111/1468-4446.12311</w:t>
      </w:r>
    </w:p>
    <w:p w:rsidR="00F815CD" w:rsidRPr="005510BD" w:rsidRDefault="00F815CD" w:rsidP="00771531">
      <w:pPr>
        <w:rPr>
          <w:iCs/>
        </w:rPr>
      </w:pPr>
      <w:r w:rsidRPr="005510BD">
        <w:rPr>
          <w:iCs/>
        </w:rPr>
        <w:t xml:space="preserve">Gamble, A. (1981) </w:t>
      </w:r>
      <w:r w:rsidRPr="005510BD">
        <w:rPr>
          <w:b/>
          <w:iCs/>
        </w:rPr>
        <w:t>Britain in Decline</w:t>
      </w:r>
      <w:r w:rsidRPr="005510BD">
        <w:rPr>
          <w:iCs/>
        </w:rPr>
        <w:t>, MacMillan. London.</w:t>
      </w:r>
    </w:p>
    <w:p w:rsidR="00771531" w:rsidRPr="005510BD" w:rsidRDefault="00771531" w:rsidP="00771531">
      <w:pPr>
        <w:rPr>
          <w:b/>
          <w:iCs/>
        </w:rPr>
      </w:pPr>
      <w:r w:rsidRPr="005510BD">
        <w:rPr>
          <w:iCs/>
        </w:rPr>
        <w:t xml:space="preserve">Gaston, S. and </w:t>
      </w:r>
      <w:proofErr w:type="spellStart"/>
      <w:r w:rsidRPr="005510BD">
        <w:rPr>
          <w:iCs/>
        </w:rPr>
        <w:t>Hilhorst</w:t>
      </w:r>
      <w:proofErr w:type="spellEnd"/>
      <w:r w:rsidRPr="005510BD">
        <w:rPr>
          <w:iCs/>
        </w:rPr>
        <w:t xml:space="preserve">, S. (2018) </w:t>
      </w:r>
      <w:r w:rsidRPr="005510BD">
        <w:rPr>
          <w:b/>
          <w:iCs/>
        </w:rPr>
        <w:t>Nostalgia as a Cultural and Political Force in Britain, France and</w:t>
      </w:r>
    </w:p>
    <w:p w:rsidR="00771531" w:rsidRPr="005510BD" w:rsidRDefault="00771531" w:rsidP="00771531">
      <w:pPr>
        <w:ind w:left="720"/>
        <w:rPr>
          <w:iCs/>
        </w:rPr>
      </w:pPr>
      <w:r w:rsidRPr="005510BD">
        <w:rPr>
          <w:b/>
          <w:iCs/>
        </w:rPr>
        <w:t>Germany: At Home in One’s Past.</w:t>
      </w:r>
      <w:r w:rsidRPr="005510BD">
        <w:rPr>
          <w:iCs/>
        </w:rPr>
        <w:t xml:space="preserve"> London: Demos. </w:t>
      </w:r>
      <w:hyperlink r:id="rId9" w:history="1">
        <w:r w:rsidRPr="005510BD">
          <w:rPr>
            <w:rStyle w:val="Hyperlink"/>
            <w:iCs/>
          </w:rPr>
          <w:t>https://demosuk.wpengine.com/wp-content/uploads/2018/05/At-Home-in-Ones-Past-Report.pdf</w:t>
        </w:r>
      </w:hyperlink>
      <w:r w:rsidRPr="005510BD">
        <w:rPr>
          <w:iCs/>
        </w:rPr>
        <w:t xml:space="preserve"> (Accessed </w:t>
      </w:r>
      <w:r w:rsidR="0068309F" w:rsidRPr="005510BD">
        <w:rPr>
          <w:iCs/>
        </w:rPr>
        <w:t>7/1/</w:t>
      </w:r>
      <w:r w:rsidRPr="005510BD">
        <w:rPr>
          <w:iCs/>
        </w:rPr>
        <w:t>202</w:t>
      </w:r>
      <w:r w:rsidR="0068309F" w:rsidRPr="005510BD">
        <w:rPr>
          <w:iCs/>
        </w:rPr>
        <w:t>1</w:t>
      </w:r>
      <w:r w:rsidRPr="005510BD">
        <w:rPr>
          <w:iCs/>
        </w:rPr>
        <w:t>)</w:t>
      </w:r>
    </w:p>
    <w:p w:rsidR="00771531" w:rsidRPr="005510BD" w:rsidRDefault="00771531" w:rsidP="00771531">
      <w:pPr>
        <w:rPr>
          <w:iCs/>
        </w:rPr>
      </w:pPr>
      <w:r w:rsidRPr="005510BD">
        <w:rPr>
          <w:iCs/>
        </w:rPr>
        <w:t xml:space="preserve">Gest, J. (2016) </w:t>
      </w:r>
      <w:r w:rsidRPr="005510BD">
        <w:rPr>
          <w:b/>
          <w:iCs/>
        </w:rPr>
        <w:t>The New Minority</w:t>
      </w:r>
      <w:r w:rsidRPr="005510BD">
        <w:rPr>
          <w:iCs/>
        </w:rPr>
        <w:t>, OUP: Oxford.</w:t>
      </w:r>
    </w:p>
    <w:p w:rsidR="00771531" w:rsidRPr="005510BD" w:rsidRDefault="00771531" w:rsidP="00ED4C36">
      <w:pPr>
        <w:rPr>
          <w:rFonts w:ascii="Calibri" w:hAnsi="Calibri" w:cs="Calibri"/>
          <w:iCs/>
        </w:rPr>
      </w:pPr>
      <w:r w:rsidRPr="005510BD">
        <w:rPr>
          <w:iCs/>
        </w:rPr>
        <w:t xml:space="preserve">Gest, J. (2018) </w:t>
      </w:r>
      <w:r w:rsidRPr="005510BD">
        <w:rPr>
          <w:b/>
          <w:iCs/>
        </w:rPr>
        <w:t xml:space="preserve">The </w:t>
      </w:r>
      <w:r w:rsidRPr="005510BD">
        <w:rPr>
          <w:rFonts w:ascii="Calibri" w:hAnsi="Calibri" w:cs="Calibri"/>
          <w:b/>
          <w:iCs/>
        </w:rPr>
        <w:t>White Working Class: What Everyone Needs to Know</w:t>
      </w:r>
      <w:r w:rsidRPr="005510BD">
        <w:rPr>
          <w:rFonts w:ascii="Calibri" w:hAnsi="Calibri" w:cs="Calibri"/>
          <w:iCs/>
        </w:rPr>
        <w:t xml:space="preserve">, OUP: Oxford. </w:t>
      </w:r>
    </w:p>
    <w:p w:rsidR="00771531" w:rsidRPr="005510BD" w:rsidRDefault="00771531" w:rsidP="00ED4C36">
      <w:pPr>
        <w:rPr>
          <w:rFonts w:ascii="Calibri" w:hAnsi="Calibri" w:cs="Calibri"/>
          <w:i/>
          <w:iCs/>
        </w:rPr>
      </w:pPr>
      <w:r w:rsidRPr="005510BD">
        <w:rPr>
          <w:rFonts w:ascii="Calibri" w:hAnsi="Calibri" w:cs="Calibri"/>
          <w:iCs/>
        </w:rPr>
        <w:t>Gest, J.</w:t>
      </w:r>
      <w:r w:rsidR="009F7A48" w:rsidRPr="005510BD">
        <w:rPr>
          <w:rFonts w:ascii="Calibri" w:hAnsi="Calibri" w:cs="Calibri"/>
          <w:iCs/>
        </w:rPr>
        <w:t>,</w:t>
      </w:r>
      <w:r w:rsidRPr="005510BD">
        <w:rPr>
          <w:rFonts w:ascii="Calibri" w:hAnsi="Calibri" w:cs="Calibri"/>
          <w:iCs/>
        </w:rPr>
        <w:t xml:space="preserve"> </w:t>
      </w:r>
      <w:proofErr w:type="spellStart"/>
      <w:r w:rsidRPr="005510BD">
        <w:rPr>
          <w:rFonts w:ascii="Calibri" w:hAnsi="Calibri" w:cs="Calibri"/>
          <w:iCs/>
        </w:rPr>
        <w:t>Reny</w:t>
      </w:r>
      <w:proofErr w:type="spellEnd"/>
      <w:r w:rsidRPr="005510BD">
        <w:rPr>
          <w:rFonts w:ascii="Calibri" w:hAnsi="Calibri" w:cs="Calibri"/>
          <w:iCs/>
        </w:rPr>
        <w:t>,</w:t>
      </w:r>
      <w:r w:rsidR="00A05ECA" w:rsidRPr="005510BD">
        <w:rPr>
          <w:rFonts w:ascii="Calibri" w:hAnsi="Calibri" w:cs="Calibri"/>
          <w:iCs/>
        </w:rPr>
        <w:t xml:space="preserve"> </w:t>
      </w:r>
      <w:r w:rsidRPr="005510BD">
        <w:rPr>
          <w:rFonts w:ascii="Calibri" w:hAnsi="Calibri" w:cs="Calibri"/>
          <w:iCs/>
        </w:rPr>
        <w:t>T</w:t>
      </w:r>
      <w:r w:rsidR="00A05ECA" w:rsidRPr="005510BD">
        <w:rPr>
          <w:rFonts w:ascii="Calibri" w:hAnsi="Calibri" w:cs="Calibri"/>
          <w:iCs/>
        </w:rPr>
        <w:t>.</w:t>
      </w:r>
      <w:r w:rsidRPr="005510BD">
        <w:rPr>
          <w:rFonts w:ascii="Calibri" w:hAnsi="Calibri" w:cs="Calibri"/>
          <w:iCs/>
        </w:rPr>
        <w:t xml:space="preserve"> and Mayer, J. (2017) </w:t>
      </w:r>
      <w:r w:rsidRPr="005510BD">
        <w:rPr>
          <w:rFonts w:ascii="Calibri" w:hAnsi="Calibri" w:cs="Calibri"/>
          <w:i/>
          <w:iCs/>
        </w:rPr>
        <w:t xml:space="preserve">Roots of the Radical Right: Nostalgic Deprivation in the United </w:t>
      </w:r>
    </w:p>
    <w:p w:rsidR="00771531" w:rsidRPr="005510BD" w:rsidRDefault="00ED4C36" w:rsidP="00ED4C36">
      <w:pPr>
        <w:rPr>
          <w:rFonts w:ascii="Calibri" w:hAnsi="Calibri" w:cs="Calibri"/>
          <w:iCs/>
        </w:rPr>
      </w:pPr>
      <w:r w:rsidRPr="005510BD">
        <w:rPr>
          <w:rFonts w:ascii="Calibri" w:hAnsi="Calibri" w:cs="Calibri"/>
          <w:i/>
          <w:iCs/>
        </w:rPr>
        <w:tab/>
      </w:r>
      <w:r w:rsidR="00771531" w:rsidRPr="005510BD">
        <w:rPr>
          <w:rFonts w:ascii="Calibri" w:hAnsi="Calibri" w:cs="Calibri"/>
          <w:i/>
          <w:iCs/>
        </w:rPr>
        <w:t>States and Britain,</w:t>
      </w:r>
      <w:r w:rsidR="00771531" w:rsidRPr="005510BD">
        <w:rPr>
          <w:rFonts w:ascii="Calibri" w:hAnsi="Calibri" w:cs="Calibri"/>
          <w:iCs/>
        </w:rPr>
        <w:t xml:space="preserve"> </w:t>
      </w:r>
      <w:r w:rsidR="00771531" w:rsidRPr="005510BD">
        <w:rPr>
          <w:rFonts w:ascii="Calibri" w:hAnsi="Calibri" w:cs="Calibri"/>
          <w:b/>
          <w:iCs/>
        </w:rPr>
        <w:t>Comparative Political Studies</w:t>
      </w:r>
      <w:r w:rsidR="0068309F" w:rsidRPr="005510BD">
        <w:rPr>
          <w:rFonts w:ascii="Calibri" w:hAnsi="Calibri" w:cs="Calibri"/>
          <w:iCs/>
        </w:rPr>
        <w:t>, 51(13):1694-1919.</w:t>
      </w:r>
    </w:p>
    <w:p w:rsidR="00ED4C36" w:rsidRPr="005510BD" w:rsidRDefault="00EC491C" w:rsidP="00ED4C36">
      <w:pPr>
        <w:rPr>
          <w:b/>
        </w:rPr>
      </w:pPr>
      <w:r w:rsidRPr="005510BD">
        <w:t xml:space="preserve">Goldie, P. (2004) </w:t>
      </w:r>
      <w:r w:rsidRPr="005510BD">
        <w:rPr>
          <w:i/>
        </w:rPr>
        <w:t>The life of the mind: commentar</w:t>
      </w:r>
      <w:r w:rsidR="00A05ECA" w:rsidRPr="005510BD">
        <w:rPr>
          <w:i/>
        </w:rPr>
        <w:t>y on ‘Emotions in everyday life</w:t>
      </w:r>
      <w:r w:rsidRPr="005510BD">
        <w:t xml:space="preserve">, </w:t>
      </w:r>
      <w:r w:rsidRPr="005510BD">
        <w:rPr>
          <w:b/>
        </w:rPr>
        <w:t xml:space="preserve">Social Science </w:t>
      </w:r>
    </w:p>
    <w:p w:rsidR="00A05ECA" w:rsidRPr="005510BD" w:rsidRDefault="00ED4C36" w:rsidP="00ED4C36">
      <w:r w:rsidRPr="005510BD">
        <w:rPr>
          <w:b/>
        </w:rPr>
        <w:tab/>
      </w:r>
      <w:r w:rsidR="00EC491C" w:rsidRPr="005510BD">
        <w:rPr>
          <w:b/>
        </w:rPr>
        <w:t>Information</w:t>
      </w:r>
      <w:r w:rsidR="00A05ECA" w:rsidRPr="005510BD">
        <w:t>,</w:t>
      </w:r>
      <w:r w:rsidR="00EC491C" w:rsidRPr="005510BD">
        <w:t xml:space="preserve"> 43</w:t>
      </w:r>
      <w:r w:rsidR="00A05ECA" w:rsidRPr="005510BD">
        <w:t>(</w:t>
      </w:r>
      <w:r w:rsidR="00EC491C" w:rsidRPr="005510BD">
        <w:t>4</w:t>
      </w:r>
      <w:r w:rsidR="00A05ECA" w:rsidRPr="005510BD">
        <w:t>)</w:t>
      </w:r>
      <w:r w:rsidR="009F7A48" w:rsidRPr="005510BD">
        <w:t>:</w:t>
      </w:r>
      <w:r w:rsidR="00EC491C" w:rsidRPr="005510BD">
        <w:t>591-598</w:t>
      </w:r>
      <w:r w:rsidR="00A05ECA" w:rsidRPr="005510BD">
        <w:t>.</w:t>
      </w:r>
    </w:p>
    <w:p w:rsidR="00B05CF4" w:rsidRPr="005510BD" w:rsidRDefault="00781FD9" w:rsidP="00ED4C36">
      <w:pPr>
        <w:rPr>
          <w:rFonts w:ascii="Calibri" w:hAnsi="Calibri" w:cs="Calibri"/>
          <w:iCs/>
        </w:rPr>
      </w:pPr>
      <w:r w:rsidRPr="005510BD">
        <w:rPr>
          <w:rFonts w:ascii="Calibri" w:hAnsi="Calibri" w:cs="Calibri"/>
          <w:iCs/>
        </w:rPr>
        <w:t xml:space="preserve">Green, E. (1999) </w:t>
      </w:r>
      <w:r w:rsidRPr="005510BD">
        <w:rPr>
          <w:rFonts w:ascii="Calibri" w:hAnsi="Calibri" w:cs="Calibri"/>
          <w:i/>
          <w:iCs/>
        </w:rPr>
        <w:t>Thatcherism: An Historical Perspective</w:t>
      </w:r>
      <w:r w:rsidRPr="005510BD">
        <w:rPr>
          <w:rFonts w:ascii="Calibri" w:hAnsi="Calibri" w:cs="Calibri"/>
          <w:iCs/>
        </w:rPr>
        <w:t xml:space="preserve">, </w:t>
      </w:r>
      <w:r w:rsidRPr="005510BD">
        <w:rPr>
          <w:rFonts w:ascii="Calibri" w:hAnsi="Calibri" w:cs="Calibri"/>
          <w:b/>
          <w:iCs/>
        </w:rPr>
        <w:t>Transactions of the Royal Historical Society</w:t>
      </w:r>
      <w:r w:rsidRPr="005510BD">
        <w:rPr>
          <w:rFonts w:ascii="Calibri" w:hAnsi="Calibri" w:cs="Calibri"/>
          <w:iCs/>
        </w:rPr>
        <w:t xml:space="preserve">, </w:t>
      </w:r>
    </w:p>
    <w:p w:rsidR="00781FD9" w:rsidRPr="005510BD" w:rsidRDefault="00B05CF4" w:rsidP="00ED4C36">
      <w:pPr>
        <w:ind w:hanging="709"/>
        <w:rPr>
          <w:rFonts w:ascii="Calibri" w:hAnsi="Calibri" w:cs="Calibri"/>
          <w:iCs/>
        </w:rPr>
      </w:pPr>
      <w:r w:rsidRPr="005510BD">
        <w:rPr>
          <w:rFonts w:ascii="Calibri" w:hAnsi="Calibri" w:cs="Calibri"/>
          <w:iCs/>
        </w:rPr>
        <w:tab/>
      </w:r>
      <w:r w:rsidR="00ED4C36" w:rsidRPr="005510BD">
        <w:rPr>
          <w:rFonts w:ascii="Calibri" w:hAnsi="Calibri" w:cs="Calibri"/>
          <w:iCs/>
        </w:rPr>
        <w:tab/>
      </w:r>
      <w:r w:rsidR="00781FD9" w:rsidRPr="005510BD">
        <w:rPr>
          <w:rFonts w:ascii="Calibri" w:hAnsi="Calibri" w:cs="Calibri"/>
          <w:iCs/>
        </w:rPr>
        <w:t>9:17-42.</w:t>
      </w:r>
    </w:p>
    <w:p w:rsidR="00F52D3C" w:rsidRPr="005510BD" w:rsidRDefault="009F7A48" w:rsidP="00ED4C36">
      <w:pPr>
        <w:rPr>
          <w:rFonts w:ascii="Calibri" w:hAnsi="Calibri" w:cs="Calibri"/>
          <w:iCs/>
        </w:rPr>
      </w:pPr>
      <w:r w:rsidRPr="005510BD">
        <w:rPr>
          <w:rFonts w:ascii="Calibri" w:hAnsi="Calibri" w:cs="Calibri"/>
          <w:iCs/>
        </w:rPr>
        <w:t>Gould, J. a</w:t>
      </w:r>
      <w:r w:rsidR="00781FD9" w:rsidRPr="005510BD">
        <w:rPr>
          <w:rFonts w:ascii="Calibri" w:hAnsi="Calibri" w:cs="Calibri"/>
          <w:iCs/>
        </w:rPr>
        <w:t xml:space="preserve">nd Anderson, D. (1987) </w:t>
      </w:r>
      <w:r w:rsidR="00781FD9" w:rsidRPr="005510BD">
        <w:rPr>
          <w:rFonts w:ascii="Calibri" w:hAnsi="Calibri" w:cs="Calibri"/>
          <w:i/>
          <w:iCs/>
        </w:rPr>
        <w:t>Thatcherism and British Society</w:t>
      </w:r>
      <w:r w:rsidR="00E323C1" w:rsidRPr="005510BD">
        <w:rPr>
          <w:rFonts w:ascii="Calibri" w:hAnsi="Calibri" w:cs="Calibri"/>
          <w:iCs/>
        </w:rPr>
        <w:t>, in Min</w:t>
      </w:r>
      <w:r w:rsidR="00781FD9" w:rsidRPr="005510BD">
        <w:rPr>
          <w:rFonts w:ascii="Calibri" w:hAnsi="Calibri" w:cs="Calibri"/>
          <w:iCs/>
        </w:rPr>
        <w:t>o</w:t>
      </w:r>
      <w:r w:rsidR="00E323C1" w:rsidRPr="005510BD">
        <w:rPr>
          <w:rFonts w:ascii="Calibri" w:hAnsi="Calibri" w:cs="Calibri"/>
          <w:iCs/>
        </w:rPr>
        <w:t>g</w:t>
      </w:r>
      <w:r w:rsidR="00781FD9" w:rsidRPr="005510BD">
        <w:rPr>
          <w:rFonts w:ascii="Calibri" w:hAnsi="Calibri" w:cs="Calibri"/>
          <w:iCs/>
        </w:rPr>
        <w:t xml:space="preserve">ue, K. and </w:t>
      </w:r>
      <w:proofErr w:type="spellStart"/>
      <w:r w:rsidR="00781FD9" w:rsidRPr="005510BD">
        <w:rPr>
          <w:rFonts w:ascii="Calibri" w:hAnsi="Calibri" w:cs="Calibri"/>
          <w:iCs/>
        </w:rPr>
        <w:t>Middiss</w:t>
      </w:r>
      <w:proofErr w:type="spellEnd"/>
      <w:r w:rsidR="00E323C1" w:rsidRPr="005510BD">
        <w:rPr>
          <w:rFonts w:ascii="Calibri" w:hAnsi="Calibri" w:cs="Calibri"/>
          <w:iCs/>
        </w:rPr>
        <w:t xml:space="preserve">, </w:t>
      </w:r>
      <w:r w:rsidR="00F52D3C" w:rsidRPr="005510BD">
        <w:rPr>
          <w:rFonts w:ascii="Calibri" w:hAnsi="Calibri" w:cs="Calibri"/>
          <w:iCs/>
        </w:rPr>
        <w:t>M</w:t>
      </w:r>
      <w:r w:rsidR="00E323C1" w:rsidRPr="005510BD">
        <w:rPr>
          <w:rFonts w:ascii="Calibri" w:hAnsi="Calibri" w:cs="Calibri"/>
          <w:iCs/>
        </w:rPr>
        <w:t>.</w:t>
      </w:r>
    </w:p>
    <w:p w:rsidR="00781FD9" w:rsidRPr="005510BD" w:rsidRDefault="00781FD9" w:rsidP="00ED4C36">
      <w:pPr>
        <w:ind w:firstLine="720"/>
        <w:rPr>
          <w:rFonts w:ascii="Calibri" w:hAnsi="Calibri" w:cs="Calibri"/>
          <w:iCs/>
        </w:rPr>
      </w:pPr>
      <w:r w:rsidRPr="005510BD">
        <w:rPr>
          <w:rFonts w:ascii="Calibri" w:hAnsi="Calibri" w:cs="Calibri"/>
          <w:iCs/>
        </w:rPr>
        <w:t>(</w:t>
      </w:r>
      <w:proofErr w:type="spellStart"/>
      <w:r w:rsidRPr="005510BD">
        <w:rPr>
          <w:rFonts w:ascii="Calibri" w:hAnsi="Calibri" w:cs="Calibri"/>
          <w:iCs/>
        </w:rPr>
        <w:t>eds</w:t>
      </w:r>
      <w:proofErr w:type="spellEnd"/>
      <w:r w:rsidRPr="005510BD">
        <w:rPr>
          <w:rFonts w:ascii="Calibri" w:hAnsi="Calibri" w:cs="Calibri"/>
          <w:iCs/>
        </w:rPr>
        <w:t>)</w:t>
      </w:r>
      <w:r w:rsidR="00F52D3C" w:rsidRPr="005510BD">
        <w:rPr>
          <w:rFonts w:ascii="Calibri" w:hAnsi="Calibri" w:cs="Calibri"/>
          <w:iCs/>
        </w:rPr>
        <w:t xml:space="preserve"> </w:t>
      </w:r>
      <w:r w:rsidRPr="005510BD">
        <w:rPr>
          <w:rFonts w:ascii="Calibri" w:hAnsi="Calibri" w:cs="Calibri"/>
          <w:b/>
          <w:iCs/>
        </w:rPr>
        <w:t>Thatcherism</w:t>
      </w:r>
      <w:r w:rsidRPr="005510BD">
        <w:rPr>
          <w:rFonts w:ascii="Calibri" w:hAnsi="Calibri" w:cs="Calibri"/>
          <w:iCs/>
        </w:rPr>
        <w:t xml:space="preserve">, </w:t>
      </w:r>
      <w:r w:rsidR="00F52D3C" w:rsidRPr="005510BD">
        <w:rPr>
          <w:rFonts w:ascii="Calibri" w:hAnsi="Calibri" w:cs="Calibri"/>
          <w:iCs/>
        </w:rPr>
        <w:t>Palgrave</w:t>
      </w:r>
      <w:r w:rsidRPr="005510BD">
        <w:rPr>
          <w:rFonts w:ascii="Calibri" w:hAnsi="Calibri" w:cs="Calibri"/>
          <w:iCs/>
        </w:rPr>
        <w:t xml:space="preserve">, London.  </w:t>
      </w:r>
    </w:p>
    <w:p w:rsidR="00ED4C36" w:rsidRPr="005510BD" w:rsidRDefault="00EC491C" w:rsidP="00ED4C36">
      <w:pPr>
        <w:rPr>
          <w:rFonts w:ascii="Calibri" w:hAnsi="Calibri" w:cs="Calibri"/>
          <w:i/>
          <w:color w:val="2A2A2A"/>
          <w:shd w:val="clear" w:color="auto" w:fill="FFFFFF"/>
        </w:rPr>
      </w:pPr>
      <w:r w:rsidRPr="005510BD">
        <w:rPr>
          <w:rFonts w:ascii="Calibri" w:hAnsi="Calibri" w:cs="Calibri"/>
          <w:color w:val="2A2A2A"/>
          <w:shd w:val="clear" w:color="auto" w:fill="FFFFFF"/>
        </w:rPr>
        <w:t xml:space="preserve">Gray, E. Grasso, M. </w:t>
      </w:r>
      <w:proofErr w:type="spellStart"/>
      <w:r w:rsidRPr="005510BD">
        <w:rPr>
          <w:rFonts w:ascii="Calibri" w:hAnsi="Calibri" w:cs="Calibri"/>
          <w:color w:val="2A2A2A"/>
          <w:shd w:val="clear" w:color="auto" w:fill="FFFFFF"/>
        </w:rPr>
        <w:t>Farrall</w:t>
      </w:r>
      <w:proofErr w:type="spellEnd"/>
      <w:r w:rsidRPr="005510BD">
        <w:rPr>
          <w:rFonts w:ascii="Calibri" w:hAnsi="Calibri" w:cs="Calibri"/>
          <w:color w:val="2A2A2A"/>
          <w:shd w:val="clear" w:color="auto" w:fill="FFFFFF"/>
        </w:rPr>
        <w:t xml:space="preserve">, S. Jennings, W, and Hay, C. (2019), </w:t>
      </w:r>
      <w:r w:rsidRPr="005510BD">
        <w:rPr>
          <w:rFonts w:ascii="Calibri" w:hAnsi="Calibri" w:cs="Calibri"/>
          <w:i/>
          <w:color w:val="2A2A2A"/>
          <w:shd w:val="clear" w:color="auto" w:fill="FFFFFF"/>
        </w:rPr>
        <w:t xml:space="preserve">Political Socialization, Worry about </w:t>
      </w:r>
    </w:p>
    <w:p w:rsidR="00ED4C36" w:rsidRPr="005510BD" w:rsidRDefault="00ED4C36" w:rsidP="00ED4C36">
      <w:pPr>
        <w:rPr>
          <w:rStyle w:val="Emphasis"/>
          <w:rFonts w:ascii="Calibri" w:hAnsi="Calibri" w:cs="Calibri"/>
          <w:b/>
          <w:i w:val="0"/>
          <w:color w:val="2A2A2A"/>
          <w:bdr w:val="none" w:sz="0" w:space="0" w:color="auto" w:frame="1"/>
          <w:shd w:val="clear" w:color="auto" w:fill="FFFFFF"/>
        </w:rPr>
      </w:pPr>
      <w:r w:rsidRPr="005510BD">
        <w:rPr>
          <w:rFonts w:ascii="Calibri" w:hAnsi="Calibri" w:cs="Calibri"/>
          <w:i/>
          <w:color w:val="2A2A2A"/>
          <w:shd w:val="clear" w:color="auto" w:fill="FFFFFF"/>
        </w:rPr>
        <w:tab/>
      </w:r>
      <w:r w:rsidR="00EC491C" w:rsidRPr="005510BD">
        <w:rPr>
          <w:rFonts w:ascii="Calibri" w:hAnsi="Calibri" w:cs="Calibri"/>
          <w:i/>
          <w:color w:val="2A2A2A"/>
          <w:shd w:val="clear" w:color="auto" w:fill="FFFFFF"/>
        </w:rPr>
        <w:t>Crime and Antisocial Behaviour: An Analysis of Age, Period and Cohort Effects</w:t>
      </w:r>
      <w:r w:rsidR="00EC491C" w:rsidRPr="005510BD">
        <w:rPr>
          <w:rFonts w:ascii="Calibri" w:hAnsi="Calibri" w:cs="Calibri"/>
          <w:color w:val="2A2A2A"/>
          <w:shd w:val="clear" w:color="auto" w:fill="FFFFFF"/>
        </w:rPr>
        <w:t>, </w:t>
      </w:r>
      <w:r w:rsidR="00EC491C" w:rsidRPr="005510BD">
        <w:rPr>
          <w:rStyle w:val="Emphasis"/>
          <w:rFonts w:ascii="Calibri" w:hAnsi="Calibri" w:cs="Calibri"/>
          <w:b/>
          <w:i w:val="0"/>
          <w:color w:val="2A2A2A"/>
          <w:bdr w:val="none" w:sz="0" w:space="0" w:color="auto" w:frame="1"/>
          <w:shd w:val="clear" w:color="auto" w:fill="FFFFFF"/>
        </w:rPr>
        <w:t>British Journal</w:t>
      </w:r>
    </w:p>
    <w:p w:rsidR="00EC491C" w:rsidRPr="005510BD" w:rsidRDefault="00EC491C" w:rsidP="00ED4C36">
      <w:pPr>
        <w:ind w:firstLine="720"/>
        <w:rPr>
          <w:rFonts w:ascii="Calibri" w:hAnsi="Calibri" w:cs="Calibri"/>
          <w:iCs/>
        </w:rPr>
      </w:pPr>
      <w:r w:rsidRPr="005510BD">
        <w:rPr>
          <w:rStyle w:val="Emphasis"/>
          <w:rFonts w:ascii="Calibri" w:hAnsi="Calibri" w:cs="Calibri"/>
          <w:b/>
          <w:i w:val="0"/>
          <w:color w:val="2A2A2A"/>
          <w:bdr w:val="none" w:sz="0" w:space="0" w:color="auto" w:frame="1"/>
          <w:shd w:val="clear" w:color="auto" w:fill="FFFFFF"/>
        </w:rPr>
        <w:t>of Criminology</w:t>
      </w:r>
      <w:r w:rsidRPr="005510BD">
        <w:rPr>
          <w:rFonts w:ascii="Calibri" w:hAnsi="Calibri" w:cs="Calibri"/>
          <w:color w:val="2A2A2A"/>
          <w:shd w:val="clear" w:color="auto" w:fill="FFFFFF"/>
        </w:rPr>
        <w:t>, 59</w:t>
      </w:r>
      <w:r w:rsidR="00ED4C36" w:rsidRPr="005510BD">
        <w:rPr>
          <w:rFonts w:ascii="Calibri" w:hAnsi="Calibri" w:cs="Calibri"/>
          <w:color w:val="2A2A2A"/>
          <w:shd w:val="clear" w:color="auto" w:fill="FFFFFF"/>
        </w:rPr>
        <w:t>(</w:t>
      </w:r>
      <w:r w:rsidRPr="005510BD">
        <w:rPr>
          <w:rFonts w:ascii="Calibri" w:hAnsi="Calibri" w:cs="Calibri"/>
          <w:color w:val="2A2A2A"/>
          <w:shd w:val="clear" w:color="auto" w:fill="FFFFFF"/>
        </w:rPr>
        <w:t>2</w:t>
      </w:r>
      <w:r w:rsidR="00ED4C36" w:rsidRPr="005510BD">
        <w:rPr>
          <w:rFonts w:ascii="Calibri" w:hAnsi="Calibri" w:cs="Calibri"/>
          <w:color w:val="2A2A2A"/>
          <w:shd w:val="clear" w:color="auto" w:fill="FFFFFF"/>
        </w:rPr>
        <w:t>)</w:t>
      </w:r>
      <w:r w:rsidRPr="005510BD">
        <w:rPr>
          <w:rFonts w:ascii="Calibri" w:hAnsi="Calibri" w:cs="Calibri"/>
          <w:color w:val="2A2A2A"/>
          <w:shd w:val="clear" w:color="auto" w:fill="FFFFFF"/>
        </w:rPr>
        <w:t xml:space="preserve">:435–460. </w:t>
      </w:r>
      <w:r w:rsidRPr="005510BD">
        <w:rPr>
          <w:rFonts w:ascii="Calibri" w:hAnsi="Calibri" w:cs="Calibri"/>
          <w:iCs/>
        </w:rPr>
        <w:t xml:space="preserve"> </w:t>
      </w:r>
    </w:p>
    <w:p w:rsidR="00A05ECA" w:rsidRPr="005510BD" w:rsidRDefault="005805E3" w:rsidP="00ED4C36">
      <w:pPr>
        <w:rPr>
          <w:iCs/>
        </w:rPr>
      </w:pPr>
      <w:r w:rsidRPr="005510BD">
        <w:rPr>
          <w:rFonts w:ascii="Calibri" w:hAnsi="Calibri" w:cs="Calibri"/>
          <w:iCs/>
        </w:rPr>
        <w:t xml:space="preserve">Gunn, S. and Bell, R. (2002) </w:t>
      </w:r>
      <w:r w:rsidRPr="005510BD">
        <w:rPr>
          <w:rFonts w:ascii="Calibri" w:hAnsi="Calibri" w:cs="Calibri"/>
          <w:b/>
          <w:iCs/>
        </w:rPr>
        <w:t>The Middle</w:t>
      </w:r>
      <w:r w:rsidRPr="005510BD">
        <w:rPr>
          <w:b/>
          <w:iCs/>
        </w:rPr>
        <w:t xml:space="preserve"> Classes</w:t>
      </w:r>
      <w:r w:rsidR="00A05ECA" w:rsidRPr="005510BD">
        <w:rPr>
          <w:iCs/>
        </w:rPr>
        <w:t>, Phoenix, London.</w:t>
      </w:r>
    </w:p>
    <w:p w:rsidR="00A05ECA" w:rsidRPr="005510BD" w:rsidRDefault="00E12B35" w:rsidP="00ED4C36">
      <w:pPr>
        <w:rPr>
          <w:iCs/>
        </w:rPr>
      </w:pPr>
      <w:r w:rsidRPr="005510BD">
        <w:rPr>
          <w:iCs/>
        </w:rPr>
        <w:t xml:space="preserve">Hale, C. (1996) </w:t>
      </w:r>
      <w:r w:rsidRPr="005510BD">
        <w:rPr>
          <w:i/>
          <w:iCs/>
        </w:rPr>
        <w:t>Fear of Crime</w:t>
      </w:r>
      <w:r w:rsidRPr="005510BD">
        <w:rPr>
          <w:iCs/>
        </w:rPr>
        <w:t xml:space="preserve">, </w:t>
      </w:r>
      <w:r w:rsidRPr="005510BD">
        <w:rPr>
          <w:b/>
          <w:iCs/>
        </w:rPr>
        <w:t>International Review of Victimology</w:t>
      </w:r>
      <w:r w:rsidRPr="005510BD">
        <w:rPr>
          <w:iCs/>
        </w:rPr>
        <w:t xml:space="preserve">, </w:t>
      </w:r>
      <w:r w:rsidR="00505FF7" w:rsidRPr="005510BD">
        <w:rPr>
          <w:rFonts w:cs="AdvPSA33E"/>
          <w:lang w:val="en-US"/>
        </w:rPr>
        <w:t>4</w:t>
      </w:r>
      <w:r w:rsidR="00E1272D" w:rsidRPr="005510BD">
        <w:rPr>
          <w:rFonts w:cs="AdvPSA33E"/>
          <w:lang w:val="en-US"/>
        </w:rPr>
        <w:t>(1)</w:t>
      </w:r>
      <w:r w:rsidR="00505FF7" w:rsidRPr="005510BD">
        <w:rPr>
          <w:rFonts w:cs="AdvPSA33E"/>
          <w:lang w:val="en-US"/>
        </w:rPr>
        <w:t>:79–150.</w:t>
      </w:r>
    </w:p>
    <w:p w:rsidR="00AE61EE" w:rsidRPr="005510BD" w:rsidRDefault="00AE61EE" w:rsidP="00ED4C36">
      <w:pPr>
        <w:rPr>
          <w:iCs/>
        </w:rPr>
      </w:pPr>
      <w:r w:rsidRPr="005510BD">
        <w:t xml:space="preserve">Jackson, J. (2004). </w:t>
      </w:r>
      <w:r w:rsidRPr="005510BD">
        <w:rPr>
          <w:i/>
        </w:rPr>
        <w:t>Experience and Expression: Social and Cultural Significance in the Fear of Crime,</w:t>
      </w:r>
    </w:p>
    <w:p w:rsidR="00A05ECA" w:rsidRPr="005510BD" w:rsidRDefault="00AE61EE" w:rsidP="00ED4C36">
      <w:pPr>
        <w:ind w:firstLine="720"/>
      </w:pPr>
      <w:r w:rsidRPr="005510BD">
        <w:rPr>
          <w:b/>
          <w:iCs/>
        </w:rPr>
        <w:t>British Journal of Criminology</w:t>
      </w:r>
      <w:r w:rsidRPr="005510BD">
        <w:t>, 44(6):</w:t>
      </w:r>
      <w:r w:rsidR="00A05ECA" w:rsidRPr="005510BD">
        <w:t>946-966.</w:t>
      </w:r>
    </w:p>
    <w:p w:rsidR="00C273CA" w:rsidRPr="005510BD" w:rsidRDefault="00C273CA" w:rsidP="00A05ECA">
      <w:r w:rsidRPr="005510BD">
        <w:t>Lash</w:t>
      </w:r>
      <w:r w:rsidR="0087724E" w:rsidRPr="005510BD">
        <w:t>, S.</w:t>
      </w:r>
      <w:r w:rsidRPr="005510BD">
        <w:t xml:space="preserve"> and </w:t>
      </w:r>
      <w:proofErr w:type="spellStart"/>
      <w:r w:rsidRPr="005510BD">
        <w:t>Urry</w:t>
      </w:r>
      <w:proofErr w:type="spellEnd"/>
      <w:r w:rsidR="0087724E" w:rsidRPr="005510BD">
        <w:t>, J.</w:t>
      </w:r>
      <w:r w:rsidRPr="005510BD">
        <w:t xml:space="preserve"> (1994) </w:t>
      </w:r>
      <w:r w:rsidR="0087724E" w:rsidRPr="005510BD">
        <w:rPr>
          <w:b/>
        </w:rPr>
        <w:t>Economies of Signs and Space</w:t>
      </w:r>
      <w:r w:rsidR="0087724E" w:rsidRPr="005510BD">
        <w:t>, London, Sage.</w:t>
      </w:r>
    </w:p>
    <w:p w:rsidR="00A20908" w:rsidRPr="005510BD" w:rsidRDefault="00A20908" w:rsidP="00AE61EE">
      <w:r w:rsidRPr="005510BD">
        <w:t xml:space="preserve">Loo, D. (2009) </w:t>
      </w:r>
      <w:r w:rsidRPr="005510BD">
        <w:rPr>
          <w:i/>
          <w:lang w:val="en-US"/>
        </w:rPr>
        <w:t xml:space="preserve">The “Moral Panic” That Wasn’t: </w:t>
      </w:r>
      <w:proofErr w:type="gramStart"/>
      <w:r w:rsidRPr="005510BD">
        <w:rPr>
          <w:i/>
          <w:lang w:val="en-US"/>
        </w:rPr>
        <w:t>the</w:t>
      </w:r>
      <w:proofErr w:type="gramEnd"/>
      <w:r w:rsidRPr="005510BD">
        <w:rPr>
          <w:i/>
          <w:lang w:val="en-US"/>
        </w:rPr>
        <w:t xml:space="preserve"> Sixties Crime Issue in the U.S.</w:t>
      </w:r>
      <w:r w:rsidRPr="005510BD">
        <w:t xml:space="preserve"> in Lee, M. and</w:t>
      </w:r>
    </w:p>
    <w:p w:rsidR="00A20908" w:rsidRPr="005510BD" w:rsidRDefault="00A20908" w:rsidP="00A20908">
      <w:pPr>
        <w:ind w:firstLine="720"/>
      </w:pPr>
      <w:proofErr w:type="spellStart"/>
      <w:r w:rsidRPr="005510BD">
        <w:t>Farrall</w:t>
      </w:r>
      <w:proofErr w:type="spellEnd"/>
      <w:r w:rsidRPr="005510BD">
        <w:t xml:space="preserve">, S. (2009) </w:t>
      </w:r>
      <w:r w:rsidRPr="005510BD">
        <w:rPr>
          <w:b/>
          <w:lang w:val="en-US"/>
        </w:rPr>
        <w:t>Fear of Crime</w:t>
      </w:r>
      <w:r w:rsidRPr="005510BD">
        <w:rPr>
          <w:lang w:val="en-US"/>
        </w:rPr>
        <w:t>, Routledge, London.</w:t>
      </w:r>
    </w:p>
    <w:p w:rsidR="00AE61EE" w:rsidRPr="005510BD" w:rsidRDefault="00AE61EE" w:rsidP="00AE61EE">
      <w:r w:rsidRPr="005510BD">
        <w:t xml:space="preserve">Pearson, G. (1983), </w:t>
      </w:r>
      <w:r w:rsidRPr="005510BD">
        <w:rPr>
          <w:b/>
        </w:rPr>
        <w:t>Hooligan</w:t>
      </w:r>
      <w:r w:rsidRPr="005510BD">
        <w:t>, London: Macmillan.</w:t>
      </w:r>
    </w:p>
    <w:p w:rsidR="005805E3" w:rsidRPr="005510BD" w:rsidRDefault="005805E3" w:rsidP="00054CCF">
      <w:r w:rsidRPr="005510BD">
        <w:t>Pear</w:t>
      </w:r>
      <w:r w:rsidR="00FF32E2" w:rsidRPr="005510BD">
        <w:t>s</w:t>
      </w:r>
      <w:r w:rsidRPr="005510BD">
        <w:t>on</w:t>
      </w:r>
      <w:r w:rsidR="00FF32E2" w:rsidRPr="005510BD">
        <w:t>, G.</w:t>
      </w:r>
      <w:r w:rsidRPr="005510BD">
        <w:t xml:space="preserve"> (198</w:t>
      </w:r>
      <w:r w:rsidR="00AE61EE" w:rsidRPr="005510BD">
        <w:t>7</w:t>
      </w:r>
      <w:r w:rsidRPr="005510BD">
        <w:t xml:space="preserve">) </w:t>
      </w:r>
      <w:r w:rsidRPr="005510BD">
        <w:rPr>
          <w:b/>
        </w:rPr>
        <w:t>The New Heroin Users</w:t>
      </w:r>
      <w:r w:rsidR="00AE61EE" w:rsidRPr="005510BD">
        <w:t>, Wiley, London.</w:t>
      </w:r>
    </w:p>
    <w:p w:rsidR="009F7A48" w:rsidRPr="005510BD" w:rsidRDefault="0060464B" w:rsidP="009F7A48">
      <w:pPr>
        <w:pStyle w:val="BodyText"/>
        <w:jc w:val="left"/>
        <w:rPr>
          <w:rFonts w:ascii="Calibri" w:hAnsi="Calibri"/>
          <w:b/>
          <w:sz w:val="22"/>
          <w:szCs w:val="22"/>
        </w:rPr>
      </w:pPr>
      <w:r w:rsidRPr="005510BD">
        <w:rPr>
          <w:rFonts w:ascii="Calibri" w:hAnsi="Calibri"/>
          <w:sz w:val="22"/>
          <w:szCs w:val="22"/>
        </w:rPr>
        <w:t xml:space="preserve">Sutton, R. and </w:t>
      </w:r>
      <w:proofErr w:type="spellStart"/>
      <w:r w:rsidRPr="005510BD">
        <w:rPr>
          <w:rFonts w:ascii="Calibri" w:hAnsi="Calibri"/>
          <w:sz w:val="22"/>
          <w:szCs w:val="22"/>
        </w:rPr>
        <w:t>Farrall</w:t>
      </w:r>
      <w:proofErr w:type="spellEnd"/>
      <w:r w:rsidRPr="005510BD">
        <w:rPr>
          <w:rFonts w:ascii="Calibri" w:hAnsi="Calibri"/>
          <w:sz w:val="22"/>
          <w:szCs w:val="22"/>
        </w:rPr>
        <w:t xml:space="preserve">, S. (2005) </w:t>
      </w:r>
      <w:r w:rsidRPr="005510BD">
        <w:rPr>
          <w:rFonts w:ascii="Calibri" w:hAnsi="Calibri"/>
          <w:i/>
          <w:sz w:val="22"/>
          <w:szCs w:val="22"/>
        </w:rPr>
        <w:t>Gender, Socially Desirable Respon</w:t>
      </w:r>
      <w:r w:rsidR="009F7A48" w:rsidRPr="005510BD">
        <w:rPr>
          <w:rFonts w:ascii="Calibri" w:hAnsi="Calibri"/>
          <w:i/>
          <w:sz w:val="22"/>
          <w:szCs w:val="22"/>
        </w:rPr>
        <w:t>ding, and the Fear of Crime,</w:t>
      </w:r>
      <w:r w:rsidRPr="005510BD">
        <w:rPr>
          <w:rFonts w:ascii="Calibri" w:hAnsi="Calibri"/>
          <w:b/>
          <w:sz w:val="22"/>
          <w:szCs w:val="22"/>
        </w:rPr>
        <w:t xml:space="preserve"> British</w:t>
      </w:r>
    </w:p>
    <w:p w:rsidR="009F7A48" w:rsidRPr="005510BD" w:rsidRDefault="009F7A48" w:rsidP="009F7A48">
      <w:pPr>
        <w:pStyle w:val="BodyText"/>
        <w:jc w:val="left"/>
        <w:rPr>
          <w:rFonts w:ascii="Calibri" w:hAnsi="Calibri"/>
          <w:b/>
          <w:sz w:val="22"/>
          <w:szCs w:val="22"/>
        </w:rPr>
      </w:pPr>
    </w:p>
    <w:p w:rsidR="0060464B" w:rsidRPr="005510BD" w:rsidRDefault="0060464B" w:rsidP="009F7A48">
      <w:pPr>
        <w:pStyle w:val="BodyText"/>
        <w:ind w:firstLine="720"/>
        <w:jc w:val="left"/>
        <w:rPr>
          <w:rFonts w:ascii="Calibri" w:hAnsi="Calibri"/>
          <w:i/>
          <w:sz w:val="22"/>
          <w:szCs w:val="22"/>
        </w:rPr>
      </w:pPr>
      <w:r w:rsidRPr="005510BD">
        <w:rPr>
          <w:rFonts w:ascii="Calibri" w:hAnsi="Calibri"/>
          <w:b/>
          <w:sz w:val="22"/>
          <w:szCs w:val="22"/>
        </w:rPr>
        <w:lastRenderedPageBreak/>
        <w:t>Journal of Criminology</w:t>
      </w:r>
      <w:r w:rsidRPr="005510BD">
        <w:rPr>
          <w:rFonts w:ascii="Calibri" w:hAnsi="Calibri"/>
          <w:sz w:val="22"/>
          <w:szCs w:val="22"/>
        </w:rPr>
        <w:t>, 45(2):212-24.</w:t>
      </w:r>
    </w:p>
    <w:p w:rsidR="0060464B" w:rsidRPr="005510BD" w:rsidRDefault="0060464B" w:rsidP="0060464B">
      <w:pPr>
        <w:pStyle w:val="BodyText"/>
        <w:ind w:firstLine="720"/>
        <w:jc w:val="left"/>
        <w:rPr>
          <w:rFonts w:ascii="Calibri" w:hAnsi="Calibri"/>
          <w:sz w:val="22"/>
          <w:szCs w:val="22"/>
        </w:rPr>
      </w:pPr>
    </w:p>
    <w:p w:rsidR="00AE61EE" w:rsidRPr="005510BD" w:rsidRDefault="00AE61EE" w:rsidP="00AE61EE">
      <w:pPr>
        <w:rPr>
          <w:i/>
        </w:rPr>
      </w:pPr>
      <w:smartTag w:uri="urn:schemas-microsoft-com:office:smarttags" w:element="City">
        <w:r w:rsidRPr="005510BD">
          <w:t>Taylor</w:t>
        </w:r>
      </w:smartTag>
      <w:r w:rsidRPr="005510BD">
        <w:t xml:space="preserve">, </w:t>
      </w:r>
      <w:smartTag w:uri="urn:schemas-microsoft-com:office:smarttags" w:element="place">
        <w:r w:rsidRPr="005510BD">
          <w:t>I.</w:t>
        </w:r>
      </w:smartTag>
      <w:r w:rsidRPr="005510BD">
        <w:t xml:space="preserve"> and Jamieson, R (1998) </w:t>
      </w:r>
      <w:r w:rsidRPr="005510BD">
        <w:rPr>
          <w:i/>
        </w:rPr>
        <w:t>Fear of Crime and Fear of Falling: English Anxieties Approaching the</w:t>
      </w:r>
    </w:p>
    <w:p w:rsidR="00AE61EE" w:rsidRPr="005510BD" w:rsidRDefault="00AE61EE" w:rsidP="00AE61EE">
      <w:pPr>
        <w:ind w:firstLine="720"/>
      </w:pPr>
      <w:r w:rsidRPr="005510BD">
        <w:rPr>
          <w:i/>
        </w:rPr>
        <w:t>Millennium</w:t>
      </w:r>
      <w:r w:rsidRPr="005510BD">
        <w:t xml:space="preserve">, </w:t>
      </w:r>
      <w:r w:rsidRPr="005510BD">
        <w:rPr>
          <w:b/>
        </w:rPr>
        <w:t xml:space="preserve">Archives </w:t>
      </w:r>
      <w:proofErr w:type="spellStart"/>
      <w:r w:rsidRPr="005510BD">
        <w:rPr>
          <w:b/>
        </w:rPr>
        <w:t>Europeanee</w:t>
      </w:r>
      <w:proofErr w:type="spellEnd"/>
      <w:r w:rsidRPr="005510BD">
        <w:rPr>
          <w:b/>
        </w:rPr>
        <w:t xml:space="preserve"> de </w:t>
      </w:r>
      <w:proofErr w:type="spellStart"/>
      <w:r w:rsidRPr="005510BD">
        <w:rPr>
          <w:b/>
        </w:rPr>
        <w:t>Sociologie</w:t>
      </w:r>
      <w:proofErr w:type="spellEnd"/>
      <w:r w:rsidRPr="005510BD">
        <w:t xml:space="preserve">, 19(1):149-75. </w:t>
      </w:r>
    </w:p>
    <w:p w:rsidR="009F7A48" w:rsidRPr="005510BD" w:rsidRDefault="00792EA1" w:rsidP="009F7A48">
      <w:pPr>
        <w:rPr>
          <w:rFonts w:ascii="Calibri" w:hAnsi="Calibri"/>
          <w:b/>
        </w:rPr>
      </w:pPr>
      <w:proofErr w:type="spellStart"/>
      <w:r w:rsidRPr="005510BD">
        <w:t>Thorleifsson</w:t>
      </w:r>
      <w:proofErr w:type="spellEnd"/>
      <w:r w:rsidRPr="005510BD">
        <w:t xml:space="preserve">, C. (2016) </w:t>
      </w:r>
      <w:r w:rsidRPr="005510BD">
        <w:rPr>
          <w:i/>
        </w:rPr>
        <w:t>Guarding the Frontier</w:t>
      </w:r>
      <w:r w:rsidRPr="005510BD">
        <w:t xml:space="preserve">, in </w:t>
      </w:r>
      <w:proofErr w:type="spellStart"/>
      <w:r w:rsidRPr="005510BD">
        <w:rPr>
          <w:rFonts w:ascii="Calibri" w:hAnsi="Calibri"/>
        </w:rPr>
        <w:t>Eriksen</w:t>
      </w:r>
      <w:proofErr w:type="spellEnd"/>
      <w:r w:rsidRPr="005510BD">
        <w:rPr>
          <w:rFonts w:ascii="Calibri" w:hAnsi="Calibri"/>
        </w:rPr>
        <w:t xml:space="preserve">, T. </w:t>
      </w:r>
      <w:r w:rsidR="00707EC3" w:rsidRPr="005510BD">
        <w:rPr>
          <w:rFonts w:ascii="Calibri" w:hAnsi="Calibri"/>
        </w:rPr>
        <w:t>a</w:t>
      </w:r>
      <w:r w:rsidRPr="005510BD">
        <w:rPr>
          <w:rFonts w:ascii="Calibri" w:hAnsi="Calibri"/>
        </w:rPr>
        <w:t xml:space="preserve">nd </w:t>
      </w:r>
      <w:proofErr w:type="spellStart"/>
      <w:r w:rsidRPr="005510BD">
        <w:rPr>
          <w:rFonts w:ascii="Calibri" w:hAnsi="Calibri"/>
        </w:rPr>
        <w:t>Schober</w:t>
      </w:r>
      <w:proofErr w:type="spellEnd"/>
      <w:r w:rsidRPr="005510BD">
        <w:rPr>
          <w:rFonts w:ascii="Calibri" w:hAnsi="Calibri"/>
        </w:rPr>
        <w:t>, E. (</w:t>
      </w:r>
      <w:proofErr w:type="spellStart"/>
      <w:r w:rsidRPr="005510BD">
        <w:rPr>
          <w:rFonts w:ascii="Calibri" w:hAnsi="Calibri"/>
        </w:rPr>
        <w:t>Eds</w:t>
      </w:r>
      <w:proofErr w:type="spellEnd"/>
      <w:r w:rsidRPr="005510BD">
        <w:rPr>
          <w:rFonts w:ascii="Calibri" w:hAnsi="Calibri"/>
        </w:rPr>
        <w:t xml:space="preserve">) </w:t>
      </w:r>
      <w:r w:rsidR="009F7A48" w:rsidRPr="005510BD">
        <w:rPr>
          <w:rFonts w:ascii="Calibri" w:hAnsi="Calibri"/>
          <w:b/>
        </w:rPr>
        <w:t>Identity</w:t>
      </w:r>
    </w:p>
    <w:p w:rsidR="00792EA1" w:rsidRPr="005510BD" w:rsidRDefault="00792EA1" w:rsidP="009F7A48">
      <w:pPr>
        <w:ind w:firstLine="720"/>
        <w:rPr>
          <w:rFonts w:ascii="Calibri" w:hAnsi="Calibri"/>
          <w:b/>
        </w:rPr>
      </w:pPr>
      <w:proofErr w:type="spellStart"/>
      <w:r w:rsidRPr="005510BD">
        <w:rPr>
          <w:rFonts w:ascii="Calibri" w:hAnsi="Calibri"/>
          <w:b/>
        </w:rPr>
        <w:t>Destablised</w:t>
      </w:r>
      <w:proofErr w:type="spellEnd"/>
      <w:r w:rsidRPr="005510BD">
        <w:rPr>
          <w:rFonts w:ascii="Calibri" w:hAnsi="Calibri"/>
        </w:rPr>
        <w:t xml:space="preserve">, </w:t>
      </w:r>
      <w:proofErr w:type="spellStart"/>
      <w:r w:rsidRPr="005510BD">
        <w:rPr>
          <w:rFonts w:ascii="Calibri" w:hAnsi="Calibri"/>
        </w:rPr>
        <w:t>PlutoPress</w:t>
      </w:r>
      <w:proofErr w:type="spellEnd"/>
      <w:r w:rsidRPr="005510BD">
        <w:rPr>
          <w:rFonts w:ascii="Calibri" w:hAnsi="Calibri"/>
        </w:rPr>
        <w:t>, London, pp99-113.</w:t>
      </w:r>
    </w:p>
    <w:p w:rsidR="00AE61EE" w:rsidRPr="005510BD" w:rsidRDefault="00AE61EE" w:rsidP="00AE61EE">
      <w:proofErr w:type="spellStart"/>
      <w:r w:rsidRPr="005510BD">
        <w:t>Walklate</w:t>
      </w:r>
      <w:proofErr w:type="spellEnd"/>
      <w:r w:rsidRPr="005510BD">
        <w:t xml:space="preserve">, S. (2002) </w:t>
      </w:r>
      <w:r w:rsidRPr="005510BD">
        <w:rPr>
          <w:i/>
        </w:rPr>
        <w:t>Issues in Local Community Safety</w:t>
      </w:r>
      <w:r w:rsidRPr="005510BD">
        <w:t>, in Crawford. A. (</w:t>
      </w:r>
      <w:proofErr w:type="spellStart"/>
      <w:r w:rsidRPr="005510BD">
        <w:t>ed</w:t>
      </w:r>
      <w:proofErr w:type="spellEnd"/>
      <w:r w:rsidRPr="005510BD">
        <w:t xml:space="preserve">) </w:t>
      </w:r>
      <w:r w:rsidRPr="005510BD">
        <w:rPr>
          <w:b/>
        </w:rPr>
        <w:t>Crime and Insecurity</w:t>
      </w:r>
      <w:r w:rsidRPr="005510BD">
        <w:t xml:space="preserve">, </w:t>
      </w:r>
    </w:p>
    <w:p w:rsidR="00AE61EE" w:rsidRPr="005510BD" w:rsidRDefault="00AE61EE" w:rsidP="00AE61EE">
      <w:r w:rsidRPr="005510BD">
        <w:tab/>
      </w:r>
      <w:proofErr w:type="spellStart"/>
      <w:r w:rsidRPr="005510BD">
        <w:t>Willan</w:t>
      </w:r>
      <w:proofErr w:type="spellEnd"/>
      <w:r w:rsidRPr="005510BD">
        <w:t xml:space="preserve"> Publishing, </w:t>
      </w:r>
      <w:proofErr w:type="spellStart"/>
      <w:r w:rsidRPr="005510BD">
        <w:t>Cullompton</w:t>
      </w:r>
      <w:proofErr w:type="spellEnd"/>
      <w:r w:rsidRPr="005510BD">
        <w:t>, Devon.</w:t>
      </w:r>
    </w:p>
    <w:p w:rsidR="00C273CA" w:rsidRPr="005510BD" w:rsidRDefault="001311C3" w:rsidP="00054CCF">
      <w:proofErr w:type="spellStart"/>
      <w:r w:rsidRPr="005510BD">
        <w:t>Weinburger</w:t>
      </w:r>
      <w:proofErr w:type="spellEnd"/>
      <w:r w:rsidRPr="005510BD">
        <w:t xml:space="preserve"> </w:t>
      </w:r>
      <w:r w:rsidR="0087724E" w:rsidRPr="005510BD">
        <w:t xml:space="preserve">, B., </w:t>
      </w:r>
      <w:r w:rsidRPr="005510BD">
        <w:t xml:space="preserve">(1995) </w:t>
      </w:r>
      <w:r w:rsidR="0087724E" w:rsidRPr="005510BD">
        <w:rPr>
          <w:b/>
        </w:rPr>
        <w:t>The Best Place in the World</w:t>
      </w:r>
      <w:r w:rsidR="0087724E" w:rsidRPr="005510BD">
        <w:t xml:space="preserve">, Aldershot, Scholar Press. </w:t>
      </w:r>
    </w:p>
    <w:p w:rsidR="00BE10D1" w:rsidRPr="005510BD" w:rsidRDefault="00BE10D1" w:rsidP="00054CCF">
      <w:proofErr w:type="spellStart"/>
      <w:r w:rsidRPr="005510BD">
        <w:t>Winlow</w:t>
      </w:r>
      <w:proofErr w:type="spellEnd"/>
      <w:r w:rsidRPr="005510BD">
        <w:t xml:space="preserve">, S., Hall, S., Treadwell, J. and Briggs, D. (2015) </w:t>
      </w:r>
      <w:r w:rsidRPr="005510BD">
        <w:rPr>
          <w:b/>
        </w:rPr>
        <w:t>Riots and Political Protest</w:t>
      </w:r>
      <w:r w:rsidRPr="005510BD">
        <w:t xml:space="preserve">, Routledge, London. </w:t>
      </w:r>
    </w:p>
    <w:p w:rsidR="001311C3" w:rsidRDefault="00C273CA" w:rsidP="00054CCF">
      <w:r w:rsidRPr="005510BD">
        <w:t>Wright</w:t>
      </w:r>
      <w:r w:rsidR="0087724E" w:rsidRPr="005510BD">
        <w:t>, P.</w:t>
      </w:r>
      <w:r w:rsidRPr="005510BD">
        <w:t xml:space="preserve"> (1985) </w:t>
      </w:r>
      <w:r w:rsidR="0087724E" w:rsidRPr="005510BD">
        <w:rPr>
          <w:b/>
        </w:rPr>
        <w:t>On Living in an Old Country</w:t>
      </w:r>
      <w:r w:rsidR="0087724E" w:rsidRPr="005510BD">
        <w:t xml:space="preserve">, London, Verso. </w:t>
      </w:r>
    </w:p>
    <w:p w:rsidR="00A379A1" w:rsidRPr="005510BD" w:rsidRDefault="00A379A1" w:rsidP="00054CCF"/>
    <w:p w:rsidR="005F057B" w:rsidRPr="005510BD" w:rsidRDefault="005F057B" w:rsidP="009F7A48">
      <w:pPr>
        <w:jc w:val="center"/>
        <w:rPr>
          <w:b/>
        </w:rPr>
      </w:pPr>
      <w:r w:rsidRPr="005510BD">
        <w:rPr>
          <w:b/>
        </w:rPr>
        <w:t>Appendix: Distribution of Key Socio-Demographic Variables</w:t>
      </w:r>
    </w:p>
    <w:tbl>
      <w:tblPr>
        <w:tblStyle w:val="TableGrid"/>
        <w:tblW w:w="0" w:type="auto"/>
        <w:tblLook w:val="04A0" w:firstRow="1" w:lastRow="0" w:firstColumn="1" w:lastColumn="0" w:noHBand="0" w:noVBand="1"/>
      </w:tblPr>
      <w:tblGrid>
        <w:gridCol w:w="1980"/>
        <w:gridCol w:w="1594"/>
        <w:gridCol w:w="1595"/>
        <w:gridCol w:w="1595"/>
        <w:gridCol w:w="1595"/>
      </w:tblGrid>
      <w:tr w:rsidR="005F057B" w:rsidRPr="005510BD" w:rsidTr="005F057B">
        <w:tc>
          <w:tcPr>
            <w:tcW w:w="1980" w:type="dxa"/>
          </w:tcPr>
          <w:p w:rsidR="005F057B" w:rsidRPr="005510BD" w:rsidRDefault="005F057B" w:rsidP="005F057B">
            <w:pPr>
              <w:jc w:val="center"/>
              <w:rPr>
                <w:b/>
              </w:rPr>
            </w:pPr>
            <w:r w:rsidRPr="005510BD">
              <w:rPr>
                <w:b/>
              </w:rPr>
              <w:t>Variable</w:t>
            </w:r>
          </w:p>
        </w:tc>
        <w:tc>
          <w:tcPr>
            <w:tcW w:w="1594" w:type="dxa"/>
          </w:tcPr>
          <w:p w:rsidR="005F057B" w:rsidRPr="005510BD" w:rsidRDefault="005F057B" w:rsidP="005F057B">
            <w:pPr>
              <w:jc w:val="center"/>
              <w:rPr>
                <w:b/>
              </w:rPr>
            </w:pPr>
            <w:r w:rsidRPr="005510BD">
              <w:rPr>
                <w:b/>
              </w:rPr>
              <w:t>Value</w:t>
            </w:r>
          </w:p>
        </w:tc>
        <w:tc>
          <w:tcPr>
            <w:tcW w:w="1595" w:type="dxa"/>
          </w:tcPr>
          <w:p w:rsidR="005F057B" w:rsidRPr="005510BD" w:rsidRDefault="005F057B" w:rsidP="005F057B">
            <w:pPr>
              <w:jc w:val="center"/>
              <w:rPr>
                <w:b/>
              </w:rPr>
            </w:pPr>
            <w:r w:rsidRPr="005510BD">
              <w:rPr>
                <w:b/>
              </w:rPr>
              <w:t>Number</w:t>
            </w:r>
          </w:p>
        </w:tc>
        <w:tc>
          <w:tcPr>
            <w:tcW w:w="1595" w:type="dxa"/>
          </w:tcPr>
          <w:p w:rsidR="005F057B" w:rsidRPr="005510BD" w:rsidRDefault="005F057B" w:rsidP="005F057B">
            <w:pPr>
              <w:jc w:val="center"/>
              <w:rPr>
                <w:b/>
              </w:rPr>
            </w:pPr>
            <w:r w:rsidRPr="005510BD">
              <w:rPr>
                <w:b/>
              </w:rPr>
              <w:t>Percentage</w:t>
            </w:r>
          </w:p>
        </w:tc>
        <w:tc>
          <w:tcPr>
            <w:tcW w:w="1595" w:type="dxa"/>
          </w:tcPr>
          <w:p w:rsidR="005F057B" w:rsidRPr="005510BD" w:rsidRDefault="005F057B" w:rsidP="005F057B">
            <w:pPr>
              <w:jc w:val="center"/>
              <w:rPr>
                <w:b/>
              </w:rPr>
            </w:pPr>
            <w:r w:rsidRPr="005510BD">
              <w:rPr>
                <w:b/>
              </w:rPr>
              <w:t>Mean</w:t>
            </w:r>
          </w:p>
        </w:tc>
      </w:tr>
      <w:tr w:rsidR="005F057B" w:rsidRPr="005510BD" w:rsidTr="005F057B">
        <w:tc>
          <w:tcPr>
            <w:tcW w:w="1980" w:type="dxa"/>
          </w:tcPr>
          <w:p w:rsidR="005F057B" w:rsidRPr="005510BD" w:rsidRDefault="005F057B" w:rsidP="00054CCF">
            <w:r w:rsidRPr="005510BD">
              <w:t>Gender</w:t>
            </w:r>
          </w:p>
        </w:tc>
        <w:tc>
          <w:tcPr>
            <w:tcW w:w="1594" w:type="dxa"/>
          </w:tcPr>
          <w:p w:rsidR="005F057B" w:rsidRPr="005510BD" w:rsidRDefault="005F057B" w:rsidP="00054CCF"/>
        </w:tc>
        <w:tc>
          <w:tcPr>
            <w:tcW w:w="1595" w:type="dxa"/>
          </w:tcPr>
          <w:p w:rsidR="005F057B" w:rsidRPr="005510BD" w:rsidRDefault="005F057B" w:rsidP="005F057B">
            <w:pPr>
              <w:jc w:val="right"/>
            </w:pPr>
          </w:p>
        </w:tc>
        <w:tc>
          <w:tcPr>
            <w:tcW w:w="1595" w:type="dxa"/>
          </w:tcPr>
          <w:p w:rsidR="005F057B" w:rsidRPr="005510BD" w:rsidRDefault="005F057B" w:rsidP="005F057B">
            <w:pPr>
              <w:jc w:val="right"/>
            </w:pPr>
          </w:p>
        </w:tc>
        <w:tc>
          <w:tcPr>
            <w:tcW w:w="1595" w:type="dxa"/>
          </w:tcPr>
          <w:p w:rsidR="005F057B" w:rsidRPr="005510BD" w:rsidRDefault="005F057B" w:rsidP="005F057B">
            <w:pPr>
              <w:jc w:val="center"/>
            </w:pPr>
          </w:p>
        </w:tc>
      </w:tr>
      <w:tr w:rsidR="005F057B" w:rsidRPr="005510BD" w:rsidTr="005F057B">
        <w:tc>
          <w:tcPr>
            <w:tcW w:w="1980" w:type="dxa"/>
          </w:tcPr>
          <w:p w:rsidR="005F057B" w:rsidRPr="005510BD" w:rsidRDefault="005F057B" w:rsidP="005F057B"/>
        </w:tc>
        <w:tc>
          <w:tcPr>
            <w:tcW w:w="1594" w:type="dxa"/>
          </w:tcPr>
          <w:p w:rsidR="005F057B" w:rsidRPr="005510BD" w:rsidRDefault="005F057B" w:rsidP="005F057B">
            <w:r w:rsidRPr="005510BD">
              <w:t>Female</w:t>
            </w:r>
          </w:p>
        </w:tc>
        <w:tc>
          <w:tcPr>
            <w:tcW w:w="1595" w:type="dxa"/>
          </w:tcPr>
          <w:p w:rsidR="005F057B" w:rsidRPr="005510BD" w:rsidRDefault="00481526" w:rsidP="005F057B">
            <w:pPr>
              <w:jc w:val="right"/>
            </w:pPr>
            <w:r w:rsidRPr="005510BD">
              <w:t>3087</w:t>
            </w:r>
          </w:p>
        </w:tc>
        <w:tc>
          <w:tcPr>
            <w:tcW w:w="1595" w:type="dxa"/>
          </w:tcPr>
          <w:p w:rsidR="005F057B" w:rsidRPr="005510BD" w:rsidRDefault="0073528A" w:rsidP="005F057B">
            <w:pPr>
              <w:jc w:val="right"/>
            </w:pPr>
            <w:r w:rsidRPr="005510BD">
              <w:t>53</w:t>
            </w:r>
          </w:p>
        </w:tc>
        <w:tc>
          <w:tcPr>
            <w:tcW w:w="1595" w:type="dxa"/>
          </w:tcPr>
          <w:p w:rsidR="005F057B" w:rsidRPr="005510BD" w:rsidRDefault="005F057B" w:rsidP="005F057B">
            <w:pPr>
              <w:jc w:val="center"/>
            </w:pPr>
            <w:r w:rsidRPr="005510BD">
              <w:t>-</w:t>
            </w:r>
          </w:p>
        </w:tc>
      </w:tr>
      <w:tr w:rsidR="005F057B" w:rsidRPr="005510BD" w:rsidTr="005F057B">
        <w:tc>
          <w:tcPr>
            <w:tcW w:w="1980" w:type="dxa"/>
          </w:tcPr>
          <w:p w:rsidR="005F057B" w:rsidRPr="005510BD" w:rsidRDefault="005F057B" w:rsidP="005F057B"/>
        </w:tc>
        <w:tc>
          <w:tcPr>
            <w:tcW w:w="1594" w:type="dxa"/>
          </w:tcPr>
          <w:p w:rsidR="005F057B" w:rsidRPr="005510BD" w:rsidRDefault="005F057B" w:rsidP="005F057B">
            <w:r w:rsidRPr="005510BD">
              <w:t>Male</w:t>
            </w:r>
          </w:p>
        </w:tc>
        <w:tc>
          <w:tcPr>
            <w:tcW w:w="1595" w:type="dxa"/>
          </w:tcPr>
          <w:p w:rsidR="005F057B" w:rsidRPr="005510BD" w:rsidRDefault="00481526" w:rsidP="005F057B">
            <w:pPr>
              <w:jc w:val="right"/>
            </w:pPr>
            <w:r w:rsidRPr="005510BD">
              <w:t>2694</w:t>
            </w:r>
          </w:p>
        </w:tc>
        <w:tc>
          <w:tcPr>
            <w:tcW w:w="1595" w:type="dxa"/>
          </w:tcPr>
          <w:p w:rsidR="005F057B" w:rsidRPr="005510BD" w:rsidRDefault="0073528A" w:rsidP="005F057B">
            <w:pPr>
              <w:jc w:val="right"/>
            </w:pPr>
            <w:r w:rsidRPr="005510BD">
              <w:t>47</w:t>
            </w:r>
          </w:p>
        </w:tc>
        <w:tc>
          <w:tcPr>
            <w:tcW w:w="1595" w:type="dxa"/>
          </w:tcPr>
          <w:p w:rsidR="005F057B" w:rsidRPr="005510BD" w:rsidRDefault="005F057B" w:rsidP="005F057B">
            <w:pPr>
              <w:jc w:val="center"/>
            </w:pPr>
            <w:r w:rsidRPr="005510BD">
              <w:t>-</w:t>
            </w:r>
          </w:p>
        </w:tc>
      </w:tr>
      <w:tr w:rsidR="005F057B" w:rsidRPr="005510BD" w:rsidTr="005F057B">
        <w:tc>
          <w:tcPr>
            <w:tcW w:w="1980" w:type="dxa"/>
          </w:tcPr>
          <w:p w:rsidR="005F057B" w:rsidRPr="005510BD" w:rsidRDefault="005F057B" w:rsidP="005F057B">
            <w:r w:rsidRPr="005510BD">
              <w:t>Age</w:t>
            </w:r>
          </w:p>
        </w:tc>
        <w:tc>
          <w:tcPr>
            <w:tcW w:w="1594" w:type="dxa"/>
          </w:tcPr>
          <w:p w:rsidR="005F057B" w:rsidRPr="005510BD" w:rsidRDefault="005F057B" w:rsidP="005F057B"/>
        </w:tc>
        <w:tc>
          <w:tcPr>
            <w:tcW w:w="1595" w:type="dxa"/>
          </w:tcPr>
          <w:p w:rsidR="005F057B" w:rsidRPr="005510BD" w:rsidRDefault="005F057B" w:rsidP="005F057B">
            <w:pPr>
              <w:jc w:val="right"/>
            </w:pPr>
          </w:p>
        </w:tc>
        <w:tc>
          <w:tcPr>
            <w:tcW w:w="1595" w:type="dxa"/>
          </w:tcPr>
          <w:p w:rsidR="005F057B" w:rsidRPr="005510BD" w:rsidRDefault="005F057B" w:rsidP="005F057B">
            <w:pPr>
              <w:jc w:val="right"/>
            </w:pPr>
          </w:p>
        </w:tc>
        <w:tc>
          <w:tcPr>
            <w:tcW w:w="1595" w:type="dxa"/>
          </w:tcPr>
          <w:p w:rsidR="005F057B" w:rsidRPr="005510BD" w:rsidRDefault="00A26F2E" w:rsidP="005F057B">
            <w:pPr>
              <w:jc w:val="center"/>
            </w:pPr>
            <w:r w:rsidRPr="005510BD">
              <w:t>49.66</w:t>
            </w:r>
          </w:p>
        </w:tc>
      </w:tr>
      <w:tr w:rsidR="005F057B" w:rsidRPr="005510BD" w:rsidTr="005F057B">
        <w:tc>
          <w:tcPr>
            <w:tcW w:w="1980" w:type="dxa"/>
          </w:tcPr>
          <w:p w:rsidR="005F057B" w:rsidRPr="005510BD" w:rsidRDefault="005F057B" w:rsidP="005F057B"/>
        </w:tc>
        <w:tc>
          <w:tcPr>
            <w:tcW w:w="1594" w:type="dxa"/>
          </w:tcPr>
          <w:p w:rsidR="005F057B" w:rsidRPr="005510BD" w:rsidRDefault="00481526" w:rsidP="005F057B">
            <w:r w:rsidRPr="005510BD">
              <w:t>16-24</w:t>
            </w:r>
          </w:p>
        </w:tc>
        <w:tc>
          <w:tcPr>
            <w:tcW w:w="1595" w:type="dxa"/>
          </w:tcPr>
          <w:p w:rsidR="005F057B" w:rsidRPr="005510BD" w:rsidRDefault="0073528A" w:rsidP="005F057B">
            <w:pPr>
              <w:jc w:val="right"/>
            </w:pPr>
            <w:r w:rsidRPr="005510BD">
              <w:t>409</w:t>
            </w:r>
          </w:p>
        </w:tc>
        <w:tc>
          <w:tcPr>
            <w:tcW w:w="1595" w:type="dxa"/>
          </w:tcPr>
          <w:p w:rsidR="005F057B" w:rsidRPr="005510BD" w:rsidRDefault="0073528A" w:rsidP="005F057B">
            <w:pPr>
              <w:jc w:val="right"/>
            </w:pPr>
            <w:r w:rsidRPr="005510BD">
              <w:t>7</w:t>
            </w:r>
          </w:p>
        </w:tc>
        <w:tc>
          <w:tcPr>
            <w:tcW w:w="1595" w:type="dxa"/>
          </w:tcPr>
          <w:p w:rsidR="005F057B" w:rsidRPr="005510BD" w:rsidRDefault="00A26F2E" w:rsidP="005F057B">
            <w:pPr>
              <w:jc w:val="center"/>
            </w:pPr>
            <w:r w:rsidRPr="005510BD">
              <w:t>-</w:t>
            </w:r>
          </w:p>
        </w:tc>
      </w:tr>
      <w:tr w:rsidR="005F057B" w:rsidRPr="005510BD" w:rsidTr="005F057B">
        <w:tc>
          <w:tcPr>
            <w:tcW w:w="1980" w:type="dxa"/>
          </w:tcPr>
          <w:p w:rsidR="005F057B" w:rsidRPr="005510BD" w:rsidRDefault="005F057B" w:rsidP="005F057B"/>
        </w:tc>
        <w:tc>
          <w:tcPr>
            <w:tcW w:w="1594" w:type="dxa"/>
          </w:tcPr>
          <w:p w:rsidR="005F057B" w:rsidRPr="005510BD" w:rsidRDefault="00481526" w:rsidP="005F057B">
            <w:r w:rsidRPr="005510BD">
              <w:t>25-34</w:t>
            </w:r>
          </w:p>
        </w:tc>
        <w:tc>
          <w:tcPr>
            <w:tcW w:w="1595" w:type="dxa"/>
          </w:tcPr>
          <w:p w:rsidR="005F057B" w:rsidRPr="005510BD" w:rsidRDefault="0073528A" w:rsidP="005F057B">
            <w:pPr>
              <w:jc w:val="right"/>
            </w:pPr>
            <w:r w:rsidRPr="005510BD">
              <w:t>994</w:t>
            </w:r>
          </w:p>
        </w:tc>
        <w:tc>
          <w:tcPr>
            <w:tcW w:w="1595" w:type="dxa"/>
          </w:tcPr>
          <w:p w:rsidR="005F057B" w:rsidRPr="005510BD" w:rsidRDefault="0073528A" w:rsidP="005F057B">
            <w:pPr>
              <w:jc w:val="right"/>
            </w:pPr>
            <w:r w:rsidRPr="005510BD">
              <w:t>17</w:t>
            </w:r>
          </w:p>
        </w:tc>
        <w:tc>
          <w:tcPr>
            <w:tcW w:w="1595" w:type="dxa"/>
          </w:tcPr>
          <w:p w:rsidR="005F057B" w:rsidRPr="005510BD" w:rsidRDefault="00A26F2E" w:rsidP="005F057B">
            <w:pPr>
              <w:jc w:val="center"/>
            </w:pPr>
            <w:r w:rsidRPr="005510BD">
              <w:t>-</w:t>
            </w:r>
          </w:p>
        </w:tc>
      </w:tr>
      <w:tr w:rsidR="00481526" w:rsidRPr="005510BD" w:rsidTr="005F057B">
        <w:tc>
          <w:tcPr>
            <w:tcW w:w="1980" w:type="dxa"/>
          </w:tcPr>
          <w:p w:rsidR="00481526" w:rsidRPr="005510BD" w:rsidRDefault="00481526" w:rsidP="005F057B"/>
        </w:tc>
        <w:tc>
          <w:tcPr>
            <w:tcW w:w="1594" w:type="dxa"/>
          </w:tcPr>
          <w:p w:rsidR="00481526" w:rsidRPr="005510BD" w:rsidRDefault="00481526" w:rsidP="005F057B">
            <w:r w:rsidRPr="005510BD">
              <w:t>35-44</w:t>
            </w:r>
          </w:p>
        </w:tc>
        <w:tc>
          <w:tcPr>
            <w:tcW w:w="1595" w:type="dxa"/>
          </w:tcPr>
          <w:p w:rsidR="00481526" w:rsidRPr="005510BD" w:rsidRDefault="0073528A" w:rsidP="005F057B">
            <w:pPr>
              <w:jc w:val="right"/>
            </w:pPr>
            <w:r w:rsidRPr="005510BD">
              <w:t>833</w:t>
            </w:r>
          </w:p>
        </w:tc>
        <w:tc>
          <w:tcPr>
            <w:tcW w:w="1595" w:type="dxa"/>
          </w:tcPr>
          <w:p w:rsidR="00481526" w:rsidRPr="005510BD" w:rsidRDefault="0073528A" w:rsidP="005F057B">
            <w:pPr>
              <w:jc w:val="right"/>
            </w:pPr>
            <w:r w:rsidRPr="005510BD">
              <w:t>14</w:t>
            </w:r>
          </w:p>
        </w:tc>
        <w:tc>
          <w:tcPr>
            <w:tcW w:w="1595" w:type="dxa"/>
          </w:tcPr>
          <w:p w:rsidR="00481526" w:rsidRPr="005510BD" w:rsidRDefault="00A26F2E" w:rsidP="005F057B">
            <w:pPr>
              <w:jc w:val="center"/>
            </w:pPr>
            <w:r w:rsidRPr="005510BD">
              <w:t>-</w:t>
            </w:r>
          </w:p>
        </w:tc>
      </w:tr>
      <w:tr w:rsidR="00481526" w:rsidRPr="005510BD" w:rsidTr="005F057B">
        <w:tc>
          <w:tcPr>
            <w:tcW w:w="1980" w:type="dxa"/>
          </w:tcPr>
          <w:p w:rsidR="00481526" w:rsidRPr="005510BD" w:rsidRDefault="00481526" w:rsidP="005F057B"/>
        </w:tc>
        <w:tc>
          <w:tcPr>
            <w:tcW w:w="1594" w:type="dxa"/>
          </w:tcPr>
          <w:p w:rsidR="00481526" w:rsidRPr="005510BD" w:rsidRDefault="00481526" w:rsidP="005F057B">
            <w:r w:rsidRPr="005510BD">
              <w:t>45-54</w:t>
            </w:r>
          </w:p>
        </w:tc>
        <w:tc>
          <w:tcPr>
            <w:tcW w:w="1595" w:type="dxa"/>
          </w:tcPr>
          <w:p w:rsidR="00481526" w:rsidRPr="005510BD" w:rsidRDefault="0073528A" w:rsidP="005F057B">
            <w:pPr>
              <w:jc w:val="right"/>
            </w:pPr>
            <w:r w:rsidRPr="005510BD">
              <w:t>1107</w:t>
            </w:r>
          </w:p>
        </w:tc>
        <w:tc>
          <w:tcPr>
            <w:tcW w:w="1595" w:type="dxa"/>
          </w:tcPr>
          <w:p w:rsidR="00481526" w:rsidRPr="005510BD" w:rsidRDefault="0073528A" w:rsidP="005F057B">
            <w:pPr>
              <w:jc w:val="right"/>
            </w:pPr>
            <w:r w:rsidRPr="005510BD">
              <w:t>19</w:t>
            </w:r>
          </w:p>
        </w:tc>
        <w:tc>
          <w:tcPr>
            <w:tcW w:w="1595" w:type="dxa"/>
          </w:tcPr>
          <w:p w:rsidR="00481526" w:rsidRPr="005510BD" w:rsidRDefault="00A26F2E" w:rsidP="005F057B">
            <w:pPr>
              <w:jc w:val="center"/>
            </w:pPr>
            <w:r w:rsidRPr="005510BD">
              <w:t>-</w:t>
            </w:r>
          </w:p>
        </w:tc>
      </w:tr>
      <w:tr w:rsidR="00481526" w:rsidRPr="005510BD" w:rsidTr="005F057B">
        <w:tc>
          <w:tcPr>
            <w:tcW w:w="1980" w:type="dxa"/>
          </w:tcPr>
          <w:p w:rsidR="00481526" w:rsidRPr="005510BD" w:rsidRDefault="00481526" w:rsidP="005F057B"/>
        </w:tc>
        <w:tc>
          <w:tcPr>
            <w:tcW w:w="1594" w:type="dxa"/>
          </w:tcPr>
          <w:p w:rsidR="00481526" w:rsidRPr="005510BD" w:rsidRDefault="00481526" w:rsidP="005F057B">
            <w:r w:rsidRPr="005510BD">
              <w:t>55-64</w:t>
            </w:r>
          </w:p>
        </w:tc>
        <w:tc>
          <w:tcPr>
            <w:tcW w:w="1595" w:type="dxa"/>
          </w:tcPr>
          <w:p w:rsidR="00481526" w:rsidRPr="005510BD" w:rsidRDefault="00940125" w:rsidP="005F057B">
            <w:pPr>
              <w:jc w:val="right"/>
            </w:pPr>
            <w:r w:rsidRPr="005510BD">
              <w:t>1015</w:t>
            </w:r>
          </w:p>
        </w:tc>
        <w:tc>
          <w:tcPr>
            <w:tcW w:w="1595" w:type="dxa"/>
          </w:tcPr>
          <w:p w:rsidR="00481526" w:rsidRPr="005510BD" w:rsidRDefault="00940125" w:rsidP="005F057B">
            <w:pPr>
              <w:jc w:val="right"/>
            </w:pPr>
            <w:r w:rsidRPr="005510BD">
              <w:t>18</w:t>
            </w:r>
          </w:p>
        </w:tc>
        <w:tc>
          <w:tcPr>
            <w:tcW w:w="1595" w:type="dxa"/>
          </w:tcPr>
          <w:p w:rsidR="00481526" w:rsidRPr="005510BD" w:rsidRDefault="00A26F2E" w:rsidP="005F057B">
            <w:pPr>
              <w:jc w:val="center"/>
            </w:pPr>
            <w:r w:rsidRPr="005510BD">
              <w:t>-</w:t>
            </w:r>
          </w:p>
        </w:tc>
      </w:tr>
      <w:tr w:rsidR="00481526" w:rsidRPr="005510BD" w:rsidTr="005F057B">
        <w:tc>
          <w:tcPr>
            <w:tcW w:w="1980" w:type="dxa"/>
          </w:tcPr>
          <w:p w:rsidR="00481526" w:rsidRPr="005510BD" w:rsidRDefault="00481526" w:rsidP="005F057B"/>
        </w:tc>
        <w:tc>
          <w:tcPr>
            <w:tcW w:w="1594" w:type="dxa"/>
          </w:tcPr>
          <w:p w:rsidR="00481526" w:rsidRPr="005510BD" w:rsidRDefault="00481526" w:rsidP="005F057B">
            <w:r w:rsidRPr="005510BD">
              <w:t>65-74</w:t>
            </w:r>
          </w:p>
        </w:tc>
        <w:tc>
          <w:tcPr>
            <w:tcW w:w="1595" w:type="dxa"/>
          </w:tcPr>
          <w:p w:rsidR="00481526" w:rsidRPr="005510BD" w:rsidRDefault="00940125" w:rsidP="005F057B">
            <w:pPr>
              <w:jc w:val="right"/>
            </w:pPr>
            <w:r w:rsidRPr="005510BD">
              <w:t>1115</w:t>
            </w:r>
          </w:p>
        </w:tc>
        <w:tc>
          <w:tcPr>
            <w:tcW w:w="1595" w:type="dxa"/>
          </w:tcPr>
          <w:p w:rsidR="00481526" w:rsidRPr="005510BD" w:rsidRDefault="00940125" w:rsidP="005F057B">
            <w:pPr>
              <w:jc w:val="right"/>
            </w:pPr>
            <w:r w:rsidRPr="005510BD">
              <w:t>19</w:t>
            </w:r>
          </w:p>
        </w:tc>
        <w:tc>
          <w:tcPr>
            <w:tcW w:w="1595" w:type="dxa"/>
          </w:tcPr>
          <w:p w:rsidR="00481526" w:rsidRPr="005510BD" w:rsidRDefault="00A26F2E" w:rsidP="005F057B">
            <w:pPr>
              <w:jc w:val="center"/>
            </w:pPr>
            <w:r w:rsidRPr="005510BD">
              <w:t>-</w:t>
            </w:r>
          </w:p>
        </w:tc>
      </w:tr>
      <w:tr w:rsidR="00481526" w:rsidRPr="005510BD" w:rsidTr="005F057B">
        <w:tc>
          <w:tcPr>
            <w:tcW w:w="1980" w:type="dxa"/>
          </w:tcPr>
          <w:p w:rsidR="00481526" w:rsidRPr="005510BD" w:rsidRDefault="00481526" w:rsidP="005F057B"/>
        </w:tc>
        <w:tc>
          <w:tcPr>
            <w:tcW w:w="1594" w:type="dxa"/>
          </w:tcPr>
          <w:p w:rsidR="00481526" w:rsidRPr="005510BD" w:rsidRDefault="00481526" w:rsidP="005F057B">
            <w:r w:rsidRPr="005510BD">
              <w:t>&gt;75</w:t>
            </w:r>
          </w:p>
        </w:tc>
        <w:tc>
          <w:tcPr>
            <w:tcW w:w="1595" w:type="dxa"/>
          </w:tcPr>
          <w:p w:rsidR="00481526" w:rsidRPr="005510BD" w:rsidRDefault="00940125" w:rsidP="005F057B">
            <w:pPr>
              <w:jc w:val="right"/>
            </w:pPr>
            <w:r w:rsidRPr="005510BD">
              <w:t>803</w:t>
            </w:r>
          </w:p>
        </w:tc>
        <w:tc>
          <w:tcPr>
            <w:tcW w:w="1595" w:type="dxa"/>
          </w:tcPr>
          <w:p w:rsidR="00481526" w:rsidRPr="005510BD" w:rsidRDefault="00940125" w:rsidP="005F057B">
            <w:pPr>
              <w:jc w:val="right"/>
            </w:pPr>
            <w:r w:rsidRPr="005510BD">
              <w:t>5</w:t>
            </w:r>
          </w:p>
        </w:tc>
        <w:tc>
          <w:tcPr>
            <w:tcW w:w="1595" w:type="dxa"/>
          </w:tcPr>
          <w:p w:rsidR="00481526" w:rsidRPr="005510BD" w:rsidRDefault="00A26F2E" w:rsidP="005F057B">
            <w:pPr>
              <w:jc w:val="center"/>
            </w:pPr>
            <w:r w:rsidRPr="005510BD">
              <w:t>-</w:t>
            </w:r>
          </w:p>
        </w:tc>
      </w:tr>
      <w:tr w:rsidR="00481526" w:rsidRPr="005510BD" w:rsidTr="005F057B">
        <w:tc>
          <w:tcPr>
            <w:tcW w:w="1980" w:type="dxa"/>
          </w:tcPr>
          <w:p w:rsidR="00481526" w:rsidRPr="005510BD" w:rsidRDefault="00481526" w:rsidP="005F057B"/>
        </w:tc>
        <w:tc>
          <w:tcPr>
            <w:tcW w:w="1594" w:type="dxa"/>
          </w:tcPr>
          <w:p w:rsidR="00481526" w:rsidRPr="005510BD" w:rsidRDefault="00481526" w:rsidP="005F057B"/>
        </w:tc>
        <w:tc>
          <w:tcPr>
            <w:tcW w:w="1595" w:type="dxa"/>
          </w:tcPr>
          <w:p w:rsidR="00481526" w:rsidRPr="005510BD" w:rsidRDefault="00481526" w:rsidP="005F057B">
            <w:pPr>
              <w:jc w:val="right"/>
            </w:pPr>
          </w:p>
        </w:tc>
        <w:tc>
          <w:tcPr>
            <w:tcW w:w="1595" w:type="dxa"/>
          </w:tcPr>
          <w:p w:rsidR="00481526" w:rsidRPr="005510BD" w:rsidRDefault="00481526" w:rsidP="005F057B">
            <w:pPr>
              <w:jc w:val="right"/>
            </w:pPr>
          </w:p>
        </w:tc>
        <w:tc>
          <w:tcPr>
            <w:tcW w:w="1595" w:type="dxa"/>
          </w:tcPr>
          <w:p w:rsidR="00481526" w:rsidRPr="005510BD" w:rsidRDefault="00481526" w:rsidP="005F057B">
            <w:pPr>
              <w:jc w:val="center"/>
            </w:pPr>
          </w:p>
        </w:tc>
      </w:tr>
      <w:tr w:rsidR="005F057B" w:rsidRPr="005510BD" w:rsidTr="005F057B">
        <w:tc>
          <w:tcPr>
            <w:tcW w:w="1980" w:type="dxa"/>
          </w:tcPr>
          <w:p w:rsidR="005F057B" w:rsidRPr="005510BD" w:rsidRDefault="005F057B" w:rsidP="005F057B">
            <w:r w:rsidRPr="005510BD">
              <w:t>Area of residence</w:t>
            </w:r>
          </w:p>
        </w:tc>
        <w:tc>
          <w:tcPr>
            <w:tcW w:w="1594" w:type="dxa"/>
          </w:tcPr>
          <w:p w:rsidR="005F057B" w:rsidRPr="005510BD" w:rsidRDefault="005F057B" w:rsidP="005F057B"/>
        </w:tc>
        <w:tc>
          <w:tcPr>
            <w:tcW w:w="1595" w:type="dxa"/>
          </w:tcPr>
          <w:p w:rsidR="005F057B" w:rsidRPr="005510BD" w:rsidRDefault="005F057B" w:rsidP="005F057B">
            <w:pPr>
              <w:jc w:val="right"/>
            </w:pPr>
          </w:p>
        </w:tc>
        <w:tc>
          <w:tcPr>
            <w:tcW w:w="1595" w:type="dxa"/>
          </w:tcPr>
          <w:p w:rsidR="005F057B" w:rsidRPr="005510BD" w:rsidRDefault="005F057B" w:rsidP="005F057B">
            <w:pPr>
              <w:jc w:val="right"/>
            </w:pPr>
          </w:p>
        </w:tc>
        <w:tc>
          <w:tcPr>
            <w:tcW w:w="1595" w:type="dxa"/>
          </w:tcPr>
          <w:p w:rsidR="005F057B" w:rsidRPr="005510BD" w:rsidRDefault="005F057B" w:rsidP="005F057B">
            <w:pPr>
              <w:jc w:val="center"/>
            </w:pPr>
          </w:p>
        </w:tc>
      </w:tr>
      <w:tr w:rsidR="005F057B" w:rsidRPr="005510BD" w:rsidTr="005F057B">
        <w:tc>
          <w:tcPr>
            <w:tcW w:w="1980" w:type="dxa"/>
          </w:tcPr>
          <w:p w:rsidR="005F057B" w:rsidRPr="005510BD" w:rsidRDefault="005F057B" w:rsidP="005F057B"/>
        </w:tc>
        <w:tc>
          <w:tcPr>
            <w:tcW w:w="1594" w:type="dxa"/>
          </w:tcPr>
          <w:p w:rsidR="005F057B" w:rsidRPr="005510BD" w:rsidRDefault="005F057B" w:rsidP="005F057B">
            <w:r w:rsidRPr="005510BD">
              <w:t>Urban</w:t>
            </w:r>
          </w:p>
        </w:tc>
        <w:tc>
          <w:tcPr>
            <w:tcW w:w="1595" w:type="dxa"/>
          </w:tcPr>
          <w:p w:rsidR="005F057B" w:rsidRPr="005510BD" w:rsidRDefault="005F057B" w:rsidP="005F057B">
            <w:pPr>
              <w:jc w:val="right"/>
            </w:pPr>
            <w:r w:rsidRPr="005510BD">
              <w:t>4705</w:t>
            </w:r>
          </w:p>
        </w:tc>
        <w:tc>
          <w:tcPr>
            <w:tcW w:w="1595" w:type="dxa"/>
          </w:tcPr>
          <w:p w:rsidR="005F057B" w:rsidRPr="005510BD" w:rsidRDefault="0073528A" w:rsidP="005F057B">
            <w:pPr>
              <w:jc w:val="right"/>
            </w:pPr>
            <w:r w:rsidRPr="005510BD">
              <w:t>81</w:t>
            </w:r>
          </w:p>
        </w:tc>
        <w:tc>
          <w:tcPr>
            <w:tcW w:w="1595" w:type="dxa"/>
          </w:tcPr>
          <w:p w:rsidR="005F057B" w:rsidRPr="005510BD" w:rsidRDefault="005F057B" w:rsidP="005F057B">
            <w:pPr>
              <w:jc w:val="center"/>
            </w:pPr>
            <w:r w:rsidRPr="005510BD">
              <w:t>-</w:t>
            </w:r>
          </w:p>
        </w:tc>
      </w:tr>
      <w:tr w:rsidR="005F057B" w:rsidRPr="005510BD" w:rsidTr="005F057B">
        <w:tc>
          <w:tcPr>
            <w:tcW w:w="1980" w:type="dxa"/>
          </w:tcPr>
          <w:p w:rsidR="005F057B" w:rsidRPr="005510BD" w:rsidRDefault="005F057B" w:rsidP="005F057B"/>
        </w:tc>
        <w:tc>
          <w:tcPr>
            <w:tcW w:w="1594" w:type="dxa"/>
          </w:tcPr>
          <w:p w:rsidR="005F057B" w:rsidRPr="005510BD" w:rsidRDefault="005F057B" w:rsidP="005F057B">
            <w:r w:rsidRPr="005510BD">
              <w:t>Rural</w:t>
            </w:r>
          </w:p>
        </w:tc>
        <w:tc>
          <w:tcPr>
            <w:tcW w:w="1595" w:type="dxa"/>
          </w:tcPr>
          <w:p w:rsidR="005F057B" w:rsidRPr="005510BD" w:rsidRDefault="005F057B" w:rsidP="005F057B">
            <w:pPr>
              <w:jc w:val="right"/>
            </w:pPr>
            <w:r w:rsidRPr="005510BD">
              <w:t>1076</w:t>
            </w:r>
          </w:p>
        </w:tc>
        <w:tc>
          <w:tcPr>
            <w:tcW w:w="1595" w:type="dxa"/>
          </w:tcPr>
          <w:p w:rsidR="005F057B" w:rsidRPr="005510BD" w:rsidRDefault="0073528A" w:rsidP="005F057B">
            <w:pPr>
              <w:jc w:val="right"/>
            </w:pPr>
            <w:r w:rsidRPr="005510BD">
              <w:t>19</w:t>
            </w:r>
          </w:p>
        </w:tc>
        <w:tc>
          <w:tcPr>
            <w:tcW w:w="1595" w:type="dxa"/>
          </w:tcPr>
          <w:p w:rsidR="005F057B" w:rsidRPr="005510BD" w:rsidRDefault="005F057B" w:rsidP="005F057B">
            <w:pPr>
              <w:jc w:val="center"/>
            </w:pPr>
            <w:r w:rsidRPr="005510BD">
              <w:t>-</w:t>
            </w:r>
          </w:p>
        </w:tc>
      </w:tr>
      <w:tr w:rsidR="005F057B" w:rsidRPr="005510BD" w:rsidTr="005F057B">
        <w:tc>
          <w:tcPr>
            <w:tcW w:w="1980" w:type="dxa"/>
          </w:tcPr>
          <w:p w:rsidR="005F057B" w:rsidRPr="005510BD" w:rsidRDefault="005F057B" w:rsidP="005F057B"/>
        </w:tc>
        <w:tc>
          <w:tcPr>
            <w:tcW w:w="1594" w:type="dxa"/>
          </w:tcPr>
          <w:p w:rsidR="005F057B" w:rsidRPr="005510BD" w:rsidRDefault="005F057B" w:rsidP="005F057B"/>
        </w:tc>
        <w:tc>
          <w:tcPr>
            <w:tcW w:w="1595" w:type="dxa"/>
          </w:tcPr>
          <w:p w:rsidR="005F057B" w:rsidRPr="005510BD" w:rsidRDefault="005F057B" w:rsidP="005F057B">
            <w:pPr>
              <w:jc w:val="right"/>
            </w:pPr>
          </w:p>
        </w:tc>
        <w:tc>
          <w:tcPr>
            <w:tcW w:w="1595" w:type="dxa"/>
          </w:tcPr>
          <w:p w:rsidR="005F057B" w:rsidRPr="005510BD" w:rsidRDefault="005F057B" w:rsidP="005F057B">
            <w:pPr>
              <w:jc w:val="right"/>
            </w:pPr>
          </w:p>
        </w:tc>
        <w:tc>
          <w:tcPr>
            <w:tcW w:w="1595" w:type="dxa"/>
          </w:tcPr>
          <w:p w:rsidR="005F057B" w:rsidRPr="005510BD" w:rsidRDefault="005F057B" w:rsidP="005F057B">
            <w:pPr>
              <w:jc w:val="center"/>
            </w:pPr>
          </w:p>
        </w:tc>
      </w:tr>
      <w:tr w:rsidR="00940125" w:rsidRPr="005510BD" w:rsidTr="005F057B">
        <w:tc>
          <w:tcPr>
            <w:tcW w:w="1980" w:type="dxa"/>
          </w:tcPr>
          <w:p w:rsidR="00940125" w:rsidRPr="005510BD" w:rsidRDefault="00940125" w:rsidP="005F057B">
            <w:r w:rsidRPr="005510BD">
              <w:t>EU Referendum</w:t>
            </w:r>
          </w:p>
        </w:tc>
        <w:tc>
          <w:tcPr>
            <w:tcW w:w="1594" w:type="dxa"/>
          </w:tcPr>
          <w:p w:rsidR="00940125" w:rsidRPr="005510BD" w:rsidRDefault="00940125" w:rsidP="005F057B"/>
        </w:tc>
        <w:tc>
          <w:tcPr>
            <w:tcW w:w="1595" w:type="dxa"/>
          </w:tcPr>
          <w:p w:rsidR="00940125" w:rsidRPr="005510BD" w:rsidRDefault="00940125" w:rsidP="005F057B">
            <w:pPr>
              <w:jc w:val="right"/>
            </w:pPr>
          </w:p>
        </w:tc>
        <w:tc>
          <w:tcPr>
            <w:tcW w:w="1595" w:type="dxa"/>
          </w:tcPr>
          <w:p w:rsidR="00940125" w:rsidRPr="005510BD" w:rsidRDefault="00940125" w:rsidP="005F057B">
            <w:pPr>
              <w:jc w:val="right"/>
            </w:pPr>
          </w:p>
        </w:tc>
        <w:tc>
          <w:tcPr>
            <w:tcW w:w="1595" w:type="dxa"/>
          </w:tcPr>
          <w:p w:rsidR="00940125" w:rsidRPr="005510BD" w:rsidRDefault="00940125" w:rsidP="005F057B">
            <w:pPr>
              <w:jc w:val="center"/>
            </w:pPr>
          </w:p>
        </w:tc>
      </w:tr>
      <w:tr w:rsidR="00940125" w:rsidRPr="005510BD" w:rsidTr="005F057B">
        <w:tc>
          <w:tcPr>
            <w:tcW w:w="1980" w:type="dxa"/>
          </w:tcPr>
          <w:p w:rsidR="00940125" w:rsidRPr="005510BD" w:rsidRDefault="00940125" w:rsidP="005F057B"/>
        </w:tc>
        <w:tc>
          <w:tcPr>
            <w:tcW w:w="1594" w:type="dxa"/>
          </w:tcPr>
          <w:p w:rsidR="00940125" w:rsidRPr="005510BD" w:rsidRDefault="00940125" w:rsidP="005F057B">
            <w:r w:rsidRPr="005510BD">
              <w:t>Leave voter</w:t>
            </w:r>
          </w:p>
        </w:tc>
        <w:tc>
          <w:tcPr>
            <w:tcW w:w="1595" w:type="dxa"/>
          </w:tcPr>
          <w:p w:rsidR="00940125" w:rsidRPr="005510BD" w:rsidRDefault="00A26F2E" w:rsidP="005F057B">
            <w:pPr>
              <w:jc w:val="right"/>
            </w:pPr>
            <w:r w:rsidRPr="005510BD">
              <w:t>2400</w:t>
            </w:r>
          </w:p>
        </w:tc>
        <w:tc>
          <w:tcPr>
            <w:tcW w:w="1595" w:type="dxa"/>
          </w:tcPr>
          <w:p w:rsidR="00940125" w:rsidRPr="005510BD" w:rsidRDefault="00A26F2E" w:rsidP="005F057B">
            <w:pPr>
              <w:jc w:val="right"/>
            </w:pPr>
            <w:r w:rsidRPr="005510BD">
              <w:t>(of voters): 52</w:t>
            </w:r>
          </w:p>
        </w:tc>
        <w:tc>
          <w:tcPr>
            <w:tcW w:w="1595" w:type="dxa"/>
          </w:tcPr>
          <w:p w:rsidR="00940125" w:rsidRPr="005510BD" w:rsidRDefault="00A26F2E" w:rsidP="005F057B">
            <w:pPr>
              <w:jc w:val="center"/>
            </w:pPr>
            <w:r w:rsidRPr="005510BD">
              <w:t>-</w:t>
            </w:r>
          </w:p>
        </w:tc>
      </w:tr>
      <w:tr w:rsidR="00940125" w:rsidRPr="005510BD" w:rsidTr="005F057B">
        <w:tc>
          <w:tcPr>
            <w:tcW w:w="1980" w:type="dxa"/>
          </w:tcPr>
          <w:p w:rsidR="00940125" w:rsidRPr="005510BD" w:rsidRDefault="00940125" w:rsidP="005F057B"/>
        </w:tc>
        <w:tc>
          <w:tcPr>
            <w:tcW w:w="1594" w:type="dxa"/>
          </w:tcPr>
          <w:p w:rsidR="00940125" w:rsidRPr="005510BD" w:rsidRDefault="00940125" w:rsidP="005F057B">
            <w:r w:rsidRPr="005510BD">
              <w:t>Remain voter</w:t>
            </w:r>
          </w:p>
        </w:tc>
        <w:tc>
          <w:tcPr>
            <w:tcW w:w="1595" w:type="dxa"/>
          </w:tcPr>
          <w:p w:rsidR="00940125" w:rsidRPr="005510BD" w:rsidRDefault="00A26F2E" w:rsidP="005F057B">
            <w:pPr>
              <w:jc w:val="right"/>
            </w:pPr>
            <w:r w:rsidRPr="005510BD">
              <w:t>2230</w:t>
            </w:r>
          </w:p>
        </w:tc>
        <w:tc>
          <w:tcPr>
            <w:tcW w:w="1595" w:type="dxa"/>
          </w:tcPr>
          <w:p w:rsidR="00940125" w:rsidRPr="005510BD" w:rsidRDefault="00A26F2E" w:rsidP="005F057B">
            <w:pPr>
              <w:jc w:val="right"/>
            </w:pPr>
            <w:r w:rsidRPr="005510BD">
              <w:t>(of voters): 48</w:t>
            </w:r>
          </w:p>
        </w:tc>
        <w:tc>
          <w:tcPr>
            <w:tcW w:w="1595" w:type="dxa"/>
          </w:tcPr>
          <w:p w:rsidR="00940125" w:rsidRPr="005510BD" w:rsidRDefault="00A26F2E" w:rsidP="005F057B">
            <w:pPr>
              <w:jc w:val="center"/>
            </w:pPr>
            <w:r w:rsidRPr="005510BD">
              <w:t>-</w:t>
            </w:r>
          </w:p>
        </w:tc>
      </w:tr>
      <w:tr w:rsidR="00940125" w:rsidTr="005F057B">
        <w:tc>
          <w:tcPr>
            <w:tcW w:w="1980" w:type="dxa"/>
          </w:tcPr>
          <w:p w:rsidR="00940125" w:rsidRPr="005510BD" w:rsidRDefault="00940125" w:rsidP="005F057B"/>
        </w:tc>
        <w:tc>
          <w:tcPr>
            <w:tcW w:w="1594" w:type="dxa"/>
          </w:tcPr>
          <w:p w:rsidR="00940125" w:rsidRPr="005510BD" w:rsidRDefault="00A26F2E" w:rsidP="005F057B">
            <w:r w:rsidRPr="005510BD">
              <w:t>Non-voters</w:t>
            </w:r>
          </w:p>
        </w:tc>
        <w:tc>
          <w:tcPr>
            <w:tcW w:w="1595" w:type="dxa"/>
          </w:tcPr>
          <w:p w:rsidR="00940125" w:rsidRPr="005510BD" w:rsidRDefault="00A26F2E" w:rsidP="005F057B">
            <w:pPr>
              <w:jc w:val="right"/>
            </w:pPr>
            <w:r w:rsidRPr="005510BD">
              <w:t>1151</w:t>
            </w:r>
          </w:p>
        </w:tc>
        <w:tc>
          <w:tcPr>
            <w:tcW w:w="1595" w:type="dxa"/>
          </w:tcPr>
          <w:p w:rsidR="00940125" w:rsidRPr="005510BD" w:rsidRDefault="00A26F2E" w:rsidP="005F057B">
            <w:pPr>
              <w:jc w:val="right"/>
            </w:pPr>
            <w:r w:rsidRPr="005510BD">
              <w:t>(of sample): 20</w:t>
            </w:r>
          </w:p>
        </w:tc>
        <w:tc>
          <w:tcPr>
            <w:tcW w:w="1595" w:type="dxa"/>
          </w:tcPr>
          <w:p w:rsidR="00940125" w:rsidRPr="005510BD" w:rsidRDefault="00A26F2E" w:rsidP="005F057B">
            <w:pPr>
              <w:jc w:val="center"/>
            </w:pPr>
            <w:r w:rsidRPr="005510BD">
              <w:t>-</w:t>
            </w:r>
          </w:p>
        </w:tc>
      </w:tr>
    </w:tbl>
    <w:p w:rsidR="005F057B" w:rsidRDefault="005F057B" w:rsidP="00054CCF"/>
    <w:p w:rsidR="006D77A8" w:rsidRPr="006D77A8" w:rsidRDefault="006D77A8" w:rsidP="00A379A1">
      <w:pPr>
        <w:spacing w:after="0"/>
        <w:rPr>
          <w:b/>
        </w:rPr>
      </w:pPr>
      <w:r>
        <w:rPr>
          <w:b/>
        </w:rPr>
        <w:t>Acknowledgments</w:t>
      </w:r>
    </w:p>
    <w:p w:rsidR="005F057B" w:rsidRPr="00D51240" w:rsidRDefault="006D77A8" w:rsidP="00054CCF">
      <w:r w:rsidRPr="006D77A8">
        <w:t>We would like to thank the ESRC for their generous funding (as award number ES/P002862/1). At BMG Research, we extend our thanks to Rob Struthers for organising the survey fieldwork so smoothly. We would also like to extend our thanks to t</w:t>
      </w:r>
      <w:r>
        <w:t>wo</w:t>
      </w:r>
      <w:r w:rsidRPr="006D77A8">
        <w:t xml:space="preserve"> anonymous reviewers, for their comments on draft versions of the paper, which undoubtedly helped to improve the quality and clarity of our arguments. </w:t>
      </w:r>
      <w:bookmarkStart w:id="0" w:name="_GoBack"/>
      <w:bookmarkEnd w:id="0"/>
    </w:p>
    <w:sectPr w:rsidR="005F057B" w:rsidRPr="00D51240" w:rsidSect="00DA72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8D" w:rsidRDefault="00B81A8D" w:rsidP="00902ACF">
      <w:pPr>
        <w:spacing w:after="0" w:line="240" w:lineRule="auto"/>
      </w:pPr>
      <w:r>
        <w:separator/>
      </w:r>
    </w:p>
  </w:endnote>
  <w:endnote w:type="continuationSeparator" w:id="0">
    <w:p w:rsidR="00B81A8D" w:rsidRDefault="00B81A8D" w:rsidP="0090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vPSA33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44681"/>
      <w:docPartObj>
        <w:docPartGallery w:val="Page Numbers (Bottom of Page)"/>
        <w:docPartUnique/>
      </w:docPartObj>
    </w:sdtPr>
    <w:sdtEndPr>
      <w:rPr>
        <w:noProof/>
      </w:rPr>
    </w:sdtEndPr>
    <w:sdtContent>
      <w:p w:rsidR="006D77A8" w:rsidRDefault="006D77A8">
        <w:pPr>
          <w:pStyle w:val="Footer"/>
          <w:jc w:val="center"/>
        </w:pP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aa934cba9702b9d7bcc668e9" descr="{&quot;HashCode&quot;:2698183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7A8" w:rsidRPr="00DD6920" w:rsidRDefault="006D77A8" w:rsidP="00DD6920">
                              <w:pPr>
                                <w:spacing w:after="0"/>
                                <w:rPr>
                                  <w:rFonts w:ascii="Calibri" w:hAnsi="Calibri" w:cs="Calibri"/>
                                  <w:color w:val="000000"/>
                                  <w:sz w:val="2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a934cba9702b9d7bcc668e9"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" o:allowincell="f" filled="f" stroked="f">
                  <v:textbox inset="20pt,0,,0">
                    <w:txbxContent>
                      <w:p w:rsidR="00254AA7" w:rsidRPr="00DD6920" w:rsidRDefault="00254AA7" w:rsidP="00DD6920">
                        <w:pPr>
                          <w:spacing w:after="0"/>
                          <w:rPr>
                            <w:rFonts w:ascii="Calibri" w:hAnsi="Calibri" w:cs="Calibri"/>
                            <w:color w:val="000000"/>
                            <w:sz w:val="24"/>
                          </w:rPr>
                        </w:pPr>
                      </w:p>
                    </w:txbxContent>
                  </v:textbox>
                  <w10:wrap anchorx="page" anchory="page"/>
                </v:shape>
              </w:pict>
            </mc:Fallback>
          </mc:AlternateContent>
        </w:r>
        <w:r>
          <w:fldChar w:fldCharType="begin"/>
        </w:r>
        <w:r>
          <w:instrText xml:space="preserve"> PAGE   \* MERGEFORMAT </w:instrText>
        </w:r>
        <w:r>
          <w:fldChar w:fldCharType="separate"/>
        </w:r>
        <w:r w:rsidR="00A379A1">
          <w:rPr>
            <w:noProof/>
          </w:rPr>
          <w:t>20</w:t>
        </w:r>
        <w:r>
          <w:rPr>
            <w:noProof/>
          </w:rPr>
          <w:fldChar w:fldCharType="end"/>
        </w:r>
      </w:p>
    </w:sdtContent>
  </w:sdt>
  <w:p w:rsidR="006D77A8" w:rsidRDefault="006D7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8D" w:rsidRDefault="00B81A8D" w:rsidP="00902ACF">
      <w:pPr>
        <w:spacing w:after="0" w:line="240" w:lineRule="auto"/>
      </w:pPr>
      <w:r>
        <w:separator/>
      </w:r>
    </w:p>
  </w:footnote>
  <w:footnote w:type="continuationSeparator" w:id="0">
    <w:p w:rsidR="00B81A8D" w:rsidRDefault="00B81A8D" w:rsidP="00902ACF">
      <w:pPr>
        <w:spacing w:after="0" w:line="240" w:lineRule="auto"/>
      </w:pPr>
      <w:r>
        <w:continuationSeparator/>
      </w:r>
    </w:p>
  </w:footnote>
  <w:footnote w:id="1">
    <w:p w:rsidR="006D77A8" w:rsidRDefault="006D77A8" w:rsidP="000F000B">
      <w:pPr>
        <w:pStyle w:val="FootnoteText"/>
      </w:pPr>
      <w:r>
        <w:rPr>
          <w:rStyle w:val="FootnoteReference"/>
        </w:rPr>
        <w:footnoteRef/>
      </w:r>
      <w:r>
        <w:t xml:space="preserve"> </w:t>
      </w:r>
      <w:r>
        <w:rPr>
          <w:rFonts w:cstheme="minorHAnsi"/>
          <w:color w:val="000000" w:themeColor="text1"/>
        </w:rPr>
        <w:t>UKIP</w:t>
      </w:r>
      <w:r w:rsidRPr="007B5D95">
        <w:rPr>
          <w:rFonts w:cstheme="minorHAnsi"/>
          <w:color w:val="000000" w:themeColor="text1"/>
        </w:rPr>
        <w:t xml:space="preserve"> collected 27</w:t>
      </w:r>
      <w:r>
        <w:rPr>
          <w:rFonts w:cstheme="minorHAnsi"/>
          <w:color w:val="000000" w:themeColor="text1"/>
        </w:rPr>
        <w:t>.5</w:t>
      </w:r>
      <w:r w:rsidRPr="007B5D95">
        <w:rPr>
          <w:rFonts w:cstheme="minorHAnsi"/>
          <w:color w:val="000000" w:themeColor="text1"/>
        </w:rPr>
        <w:t xml:space="preserve">% of the British vote in the 2014 European elections </w:t>
      </w:r>
      <w:r>
        <w:rPr>
          <w:rFonts w:cstheme="minorHAnsi"/>
          <w:color w:val="000000" w:themeColor="text1"/>
        </w:rPr>
        <w:t xml:space="preserve">(BBC News, 2014) </w:t>
      </w:r>
      <w:r w:rsidRPr="007B5D95">
        <w:rPr>
          <w:rFonts w:cstheme="minorHAnsi"/>
          <w:color w:val="000000" w:themeColor="text1"/>
        </w:rPr>
        <w:t>and 12</w:t>
      </w:r>
      <w:r>
        <w:rPr>
          <w:rFonts w:cstheme="minorHAnsi"/>
          <w:color w:val="000000" w:themeColor="text1"/>
        </w:rPr>
        <w:t>.6</w:t>
      </w:r>
      <w:r w:rsidRPr="007B5D95">
        <w:rPr>
          <w:rFonts w:cstheme="minorHAnsi"/>
          <w:color w:val="000000" w:themeColor="text1"/>
        </w:rPr>
        <w:t>% in the 2015 Parliamentary</w:t>
      </w:r>
      <w:r>
        <w:rPr>
          <w:rFonts w:cstheme="minorHAnsi"/>
          <w:color w:val="000000" w:themeColor="text1"/>
        </w:rPr>
        <w:t xml:space="preserve"> </w:t>
      </w:r>
      <w:r w:rsidRPr="007B5D95">
        <w:rPr>
          <w:rFonts w:cstheme="minorHAnsi"/>
          <w:color w:val="000000" w:themeColor="text1"/>
        </w:rPr>
        <w:t>election (BBC News, 2015)</w:t>
      </w:r>
      <w:r>
        <w:rPr>
          <w:rFonts w:cstheme="minorHAnsi"/>
          <w:color w:val="000000" w:themeColor="text1"/>
        </w:rPr>
        <w:t xml:space="preserve">. </w:t>
      </w:r>
    </w:p>
  </w:footnote>
  <w:footnote w:id="2">
    <w:p w:rsidR="006D77A8" w:rsidRDefault="006D77A8">
      <w:pPr>
        <w:pStyle w:val="FootnoteText"/>
      </w:pPr>
      <w:r>
        <w:rPr>
          <w:rStyle w:val="FootnoteReference"/>
        </w:rPr>
        <w:footnoteRef/>
      </w:r>
      <w:r>
        <w:t xml:space="preserve"> As distinct from the overseas past, in which Britain ‘ruled the waves’ and the Empire could be relied upon to bolster any challenges to national greatness, should these arise. </w:t>
      </w:r>
    </w:p>
  </w:footnote>
  <w:footnote w:id="3">
    <w:p w:rsidR="006D77A8" w:rsidRDefault="006D77A8">
      <w:pPr>
        <w:pStyle w:val="FootnoteText"/>
      </w:pPr>
      <w:r>
        <w:rPr>
          <w:rStyle w:val="FootnoteReference"/>
        </w:rPr>
        <w:footnoteRef/>
      </w:r>
      <w:r>
        <w:t xml:space="preserve"> Despite her gender, Margaret Thatcher rarely spoke of business women, and promoted few other women in her Cabinets. </w:t>
      </w:r>
    </w:p>
  </w:footnote>
  <w:footnote w:id="4">
    <w:p w:rsidR="006D77A8" w:rsidRPr="0022742E" w:rsidRDefault="006D77A8" w:rsidP="0022742E">
      <w:pPr>
        <w:pStyle w:val="NoSpacing"/>
        <w:rPr>
          <w:rFonts w:cstheme="minorHAnsi"/>
        </w:rPr>
      </w:pPr>
      <w:r w:rsidRPr="0022742E">
        <w:rPr>
          <w:rStyle w:val="FootnoteReference"/>
          <w:rFonts w:cstheme="minorHAnsi"/>
        </w:rPr>
        <w:footnoteRef/>
      </w:r>
      <w:r w:rsidRPr="0022742E">
        <w:rPr>
          <w:rFonts w:cstheme="minorHAnsi"/>
        </w:rPr>
        <w:t xml:space="preserve"> The figure of 34% includes those who did not participate following the invitation (29%), those who started but dropped out prior to completing the survey (4%), and those who were removed for completing survey at excessive speed (1%). Of the remaining 66%, 14% were willing to complete the survey, but were unable to as regional </w:t>
      </w:r>
      <w:r w:rsidRPr="0074470C">
        <w:rPr>
          <w:rFonts w:cstheme="minorHAnsi"/>
        </w:rPr>
        <w:t xml:space="preserve">targets had been met, whilst 51% were able to complete the survey in full. </w:t>
      </w:r>
      <w:r w:rsidRPr="0074470C">
        <w:rPr>
          <w:rFonts w:cstheme="minorHAnsi"/>
          <w:color w:val="000000" w:themeColor="text1"/>
        </w:rPr>
        <w:t>A range of steps were undertaken during the development of the survey. This included two pilot surveys, two rounds of cognitive interviews and a pilot survey during which questions were adapted and re-tested. A</w:t>
      </w:r>
      <w:r w:rsidRPr="0074470C">
        <w:rPr>
          <w:rFonts w:eastAsia="SimSun" w:cstheme="minorHAnsi"/>
          <w:color w:val="000000" w:themeColor="text1"/>
        </w:rPr>
        <w:t xml:space="preserve"> small number (200) of face-to-face interviews by were conducted with low internet users to increase the representativeness of the sample.</w:t>
      </w:r>
    </w:p>
    <w:p w:rsidR="006D77A8" w:rsidRDefault="006D77A8" w:rsidP="00902ACF">
      <w:pPr>
        <w:pStyle w:val="FootnoteText"/>
      </w:pPr>
    </w:p>
  </w:footnote>
  <w:footnote w:id="5">
    <w:p w:rsidR="006D77A8" w:rsidRDefault="006D77A8" w:rsidP="004812FE">
      <w:pPr>
        <w:pStyle w:val="FootnoteText"/>
      </w:pPr>
      <w:r>
        <w:rPr>
          <w:rStyle w:val="FootnoteReference"/>
        </w:rPr>
        <w:footnoteRef/>
      </w:r>
      <w:r>
        <w:t xml:space="preserve"> Respondents were invited to use the following scale: Strongly agree; Agree; Neither agree nor disagree; Disagree; Strongly disagree.  This scale was used for all questions unless otherwise noted. </w:t>
      </w:r>
    </w:p>
  </w:footnote>
  <w:footnote w:id="6">
    <w:p w:rsidR="006D77A8" w:rsidRDefault="006D77A8">
      <w:pPr>
        <w:pStyle w:val="FootnoteText"/>
      </w:pPr>
      <w:r>
        <w:rPr>
          <w:rStyle w:val="FootnoteReference"/>
        </w:rPr>
        <w:footnoteRef/>
      </w:r>
      <w:r>
        <w:t xml:space="preserve"> </w:t>
      </w:r>
      <w:r w:rsidRPr="004753FF">
        <w:t>The KMO (Kaiser-Meyer-</w:t>
      </w:r>
      <w:proofErr w:type="spellStart"/>
      <w:r w:rsidRPr="004753FF">
        <w:t>Olkin</w:t>
      </w:r>
      <w:proofErr w:type="spellEnd"/>
      <w:r w:rsidRPr="004753FF">
        <w:t>) Test is a measure of how suited the data is for </w:t>
      </w:r>
      <w:r w:rsidRPr="004753FF">
        <w:rPr>
          <w:bCs/>
        </w:rPr>
        <w:t>Factor Analysis</w:t>
      </w:r>
      <w:r w:rsidRPr="004753FF">
        <w:t>. The test measures sampling adequacy for each variable in the model </w:t>
      </w:r>
      <w:r w:rsidRPr="004753FF">
        <w:rPr>
          <w:bCs/>
        </w:rPr>
        <w:t>and </w:t>
      </w:r>
      <w:r w:rsidRPr="004753FF">
        <w:t>for the complete model. KMO values range between 0 and 1. A </w:t>
      </w:r>
      <w:r w:rsidRPr="004753FF">
        <w:rPr>
          <w:bCs/>
        </w:rPr>
        <w:t>rule of thumb</w:t>
      </w:r>
      <w:r w:rsidRPr="004753FF">
        <w:rPr>
          <w:b/>
          <w:bCs/>
        </w:rPr>
        <w:t> </w:t>
      </w:r>
      <w:r w:rsidRPr="004753FF">
        <w:t>for interpreting the statistic is that KMO values between 0.8 and 1 indicate the sampling is adequate, whilst those below 0.6 indicate the sampling is not adequate and that remedial action should be taken.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7BB"/>
    <w:multiLevelType w:val="hybridMultilevel"/>
    <w:tmpl w:val="492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88"/>
    <w:rsid w:val="000077D4"/>
    <w:rsid w:val="00011BB0"/>
    <w:rsid w:val="00012C4B"/>
    <w:rsid w:val="00025BC2"/>
    <w:rsid w:val="00030B50"/>
    <w:rsid w:val="00043963"/>
    <w:rsid w:val="00044CDA"/>
    <w:rsid w:val="000450D5"/>
    <w:rsid w:val="0005024B"/>
    <w:rsid w:val="00054CCF"/>
    <w:rsid w:val="00060306"/>
    <w:rsid w:val="00065145"/>
    <w:rsid w:val="00073044"/>
    <w:rsid w:val="000733CF"/>
    <w:rsid w:val="00080AFD"/>
    <w:rsid w:val="00085C8A"/>
    <w:rsid w:val="00085E47"/>
    <w:rsid w:val="00090DBA"/>
    <w:rsid w:val="000978AB"/>
    <w:rsid w:val="000A1A0C"/>
    <w:rsid w:val="000A3698"/>
    <w:rsid w:val="000A4A32"/>
    <w:rsid w:val="000A6100"/>
    <w:rsid w:val="000B1700"/>
    <w:rsid w:val="000C02E0"/>
    <w:rsid w:val="000D1147"/>
    <w:rsid w:val="000D1D76"/>
    <w:rsid w:val="000D3D22"/>
    <w:rsid w:val="000D6966"/>
    <w:rsid w:val="000D70F9"/>
    <w:rsid w:val="000E3A80"/>
    <w:rsid w:val="000F000B"/>
    <w:rsid w:val="000F6734"/>
    <w:rsid w:val="00104030"/>
    <w:rsid w:val="0010600C"/>
    <w:rsid w:val="00106301"/>
    <w:rsid w:val="00107A53"/>
    <w:rsid w:val="00114717"/>
    <w:rsid w:val="0012044B"/>
    <w:rsid w:val="00125B46"/>
    <w:rsid w:val="001265C5"/>
    <w:rsid w:val="001278D2"/>
    <w:rsid w:val="001311C3"/>
    <w:rsid w:val="00146E08"/>
    <w:rsid w:val="001527F0"/>
    <w:rsid w:val="0016720D"/>
    <w:rsid w:val="00167EB3"/>
    <w:rsid w:val="001713D0"/>
    <w:rsid w:val="00194C93"/>
    <w:rsid w:val="00196540"/>
    <w:rsid w:val="001A7F53"/>
    <w:rsid w:val="001B4C2E"/>
    <w:rsid w:val="001C1C18"/>
    <w:rsid w:val="001C3084"/>
    <w:rsid w:val="001C3CFB"/>
    <w:rsid w:val="001D095B"/>
    <w:rsid w:val="001F02A0"/>
    <w:rsid w:val="00200F6F"/>
    <w:rsid w:val="0020505C"/>
    <w:rsid w:val="00217521"/>
    <w:rsid w:val="002259E9"/>
    <w:rsid w:val="0022742E"/>
    <w:rsid w:val="00227C16"/>
    <w:rsid w:val="002402A3"/>
    <w:rsid w:val="00243670"/>
    <w:rsid w:val="0025011C"/>
    <w:rsid w:val="00250397"/>
    <w:rsid w:val="00254AA7"/>
    <w:rsid w:val="002602A4"/>
    <w:rsid w:val="00267516"/>
    <w:rsid w:val="0027288F"/>
    <w:rsid w:val="002735E0"/>
    <w:rsid w:val="00293F74"/>
    <w:rsid w:val="002A0CFF"/>
    <w:rsid w:val="002A2996"/>
    <w:rsid w:val="002A7511"/>
    <w:rsid w:val="002B52F8"/>
    <w:rsid w:val="002B64FD"/>
    <w:rsid w:val="002C5218"/>
    <w:rsid w:val="002D0F98"/>
    <w:rsid w:val="002E28DA"/>
    <w:rsid w:val="002E60A2"/>
    <w:rsid w:val="002E7208"/>
    <w:rsid w:val="002F019D"/>
    <w:rsid w:val="003103A7"/>
    <w:rsid w:val="00321994"/>
    <w:rsid w:val="00321A33"/>
    <w:rsid w:val="00325718"/>
    <w:rsid w:val="0033098D"/>
    <w:rsid w:val="0035189B"/>
    <w:rsid w:val="00352D18"/>
    <w:rsid w:val="00357F44"/>
    <w:rsid w:val="00361A1B"/>
    <w:rsid w:val="003806F8"/>
    <w:rsid w:val="00381C89"/>
    <w:rsid w:val="00383DDE"/>
    <w:rsid w:val="0038523F"/>
    <w:rsid w:val="00387E86"/>
    <w:rsid w:val="003905E9"/>
    <w:rsid w:val="00391AB8"/>
    <w:rsid w:val="00395B12"/>
    <w:rsid w:val="003A4976"/>
    <w:rsid w:val="003B3996"/>
    <w:rsid w:val="003C6B88"/>
    <w:rsid w:val="003D3650"/>
    <w:rsid w:val="003D72F7"/>
    <w:rsid w:val="003E569D"/>
    <w:rsid w:val="003F7591"/>
    <w:rsid w:val="004159C7"/>
    <w:rsid w:val="0043259C"/>
    <w:rsid w:val="004379E5"/>
    <w:rsid w:val="00444148"/>
    <w:rsid w:val="00444A42"/>
    <w:rsid w:val="0044544B"/>
    <w:rsid w:val="00454AA5"/>
    <w:rsid w:val="00460AAB"/>
    <w:rsid w:val="00462586"/>
    <w:rsid w:val="00463346"/>
    <w:rsid w:val="0047209E"/>
    <w:rsid w:val="00473422"/>
    <w:rsid w:val="004753FF"/>
    <w:rsid w:val="004812FE"/>
    <w:rsid w:val="00481526"/>
    <w:rsid w:val="004842AC"/>
    <w:rsid w:val="00484566"/>
    <w:rsid w:val="004955C7"/>
    <w:rsid w:val="004A22B4"/>
    <w:rsid w:val="004A289E"/>
    <w:rsid w:val="004A7A1C"/>
    <w:rsid w:val="004C0822"/>
    <w:rsid w:val="004D57B4"/>
    <w:rsid w:val="00504777"/>
    <w:rsid w:val="00505DEC"/>
    <w:rsid w:val="00505FF7"/>
    <w:rsid w:val="00510F57"/>
    <w:rsid w:val="005133F8"/>
    <w:rsid w:val="00515D9A"/>
    <w:rsid w:val="0052148E"/>
    <w:rsid w:val="00524C05"/>
    <w:rsid w:val="00526422"/>
    <w:rsid w:val="00532B8C"/>
    <w:rsid w:val="00543EA2"/>
    <w:rsid w:val="00544717"/>
    <w:rsid w:val="005510BD"/>
    <w:rsid w:val="00552874"/>
    <w:rsid w:val="00561857"/>
    <w:rsid w:val="00571997"/>
    <w:rsid w:val="00572A50"/>
    <w:rsid w:val="00576E9F"/>
    <w:rsid w:val="005802C1"/>
    <w:rsid w:val="005805E3"/>
    <w:rsid w:val="005906DD"/>
    <w:rsid w:val="00594ED5"/>
    <w:rsid w:val="00595188"/>
    <w:rsid w:val="005A3AD7"/>
    <w:rsid w:val="005A4D63"/>
    <w:rsid w:val="005B5E42"/>
    <w:rsid w:val="005D2E17"/>
    <w:rsid w:val="005E4B18"/>
    <w:rsid w:val="005E759B"/>
    <w:rsid w:val="005F057B"/>
    <w:rsid w:val="005F26E3"/>
    <w:rsid w:val="005F4823"/>
    <w:rsid w:val="005F4C90"/>
    <w:rsid w:val="005F73B6"/>
    <w:rsid w:val="00602048"/>
    <w:rsid w:val="00602AA5"/>
    <w:rsid w:val="00603BCD"/>
    <w:rsid w:val="0060464B"/>
    <w:rsid w:val="00612C4A"/>
    <w:rsid w:val="00620070"/>
    <w:rsid w:val="00636EEF"/>
    <w:rsid w:val="00637DDF"/>
    <w:rsid w:val="00653CF5"/>
    <w:rsid w:val="00666F04"/>
    <w:rsid w:val="00675EDA"/>
    <w:rsid w:val="00677143"/>
    <w:rsid w:val="0068309F"/>
    <w:rsid w:val="00683C7F"/>
    <w:rsid w:val="00683F88"/>
    <w:rsid w:val="00685AED"/>
    <w:rsid w:val="00690AD0"/>
    <w:rsid w:val="006915E1"/>
    <w:rsid w:val="00694DA4"/>
    <w:rsid w:val="00697215"/>
    <w:rsid w:val="006A5D52"/>
    <w:rsid w:val="006B0007"/>
    <w:rsid w:val="006B46EC"/>
    <w:rsid w:val="006B51FD"/>
    <w:rsid w:val="006B75FC"/>
    <w:rsid w:val="006C5A91"/>
    <w:rsid w:val="006D0D49"/>
    <w:rsid w:val="006D6C50"/>
    <w:rsid w:val="006D77A8"/>
    <w:rsid w:val="006E0FD1"/>
    <w:rsid w:val="006E1730"/>
    <w:rsid w:val="006E41B5"/>
    <w:rsid w:val="00700339"/>
    <w:rsid w:val="00705197"/>
    <w:rsid w:val="00707EC3"/>
    <w:rsid w:val="00715143"/>
    <w:rsid w:val="0071643C"/>
    <w:rsid w:val="00733159"/>
    <w:rsid w:val="0073528A"/>
    <w:rsid w:val="0074470C"/>
    <w:rsid w:val="00747EBB"/>
    <w:rsid w:val="00750088"/>
    <w:rsid w:val="00752485"/>
    <w:rsid w:val="00757618"/>
    <w:rsid w:val="00761C85"/>
    <w:rsid w:val="00762AF1"/>
    <w:rsid w:val="00766A59"/>
    <w:rsid w:val="00770C09"/>
    <w:rsid w:val="00771531"/>
    <w:rsid w:val="00781357"/>
    <w:rsid w:val="00781FD9"/>
    <w:rsid w:val="007878B9"/>
    <w:rsid w:val="00792EA1"/>
    <w:rsid w:val="00794680"/>
    <w:rsid w:val="00794B2E"/>
    <w:rsid w:val="007A33A0"/>
    <w:rsid w:val="007B596F"/>
    <w:rsid w:val="007B7749"/>
    <w:rsid w:val="007B786B"/>
    <w:rsid w:val="007C00E9"/>
    <w:rsid w:val="007C1A08"/>
    <w:rsid w:val="007D727E"/>
    <w:rsid w:val="007E6E39"/>
    <w:rsid w:val="008155E4"/>
    <w:rsid w:val="008237EE"/>
    <w:rsid w:val="00825854"/>
    <w:rsid w:val="0083058B"/>
    <w:rsid w:val="00831757"/>
    <w:rsid w:val="008324F7"/>
    <w:rsid w:val="00833807"/>
    <w:rsid w:val="00840E3A"/>
    <w:rsid w:val="00841F9D"/>
    <w:rsid w:val="00864D97"/>
    <w:rsid w:val="00876713"/>
    <w:rsid w:val="0087724E"/>
    <w:rsid w:val="008814A0"/>
    <w:rsid w:val="00890D26"/>
    <w:rsid w:val="00893088"/>
    <w:rsid w:val="00894B75"/>
    <w:rsid w:val="008B0DBF"/>
    <w:rsid w:val="008B5EE7"/>
    <w:rsid w:val="008B62D0"/>
    <w:rsid w:val="008B6E9F"/>
    <w:rsid w:val="008C08B2"/>
    <w:rsid w:val="008D715B"/>
    <w:rsid w:val="008E5583"/>
    <w:rsid w:val="008E6F07"/>
    <w:rsid w:val="00902ACF"/>
    <w:rsid w:val="009056A3"/>
    <w:rsid w:val="00906AE8"/>
    <w:rsid w:val="00907953"/>
    <w:rsid w:val="00916F7E"/>
    <w:rsid w:val="009210D2"/>
    <w:rsid w:val="00924EE3"/>
    <w:rsid w:val="0092548D"/>
    <w:rsid w:val="00927A9D"/>
    <w:rsid w:val="00930B5F"/>
    <w:rsid w:val="00936D8B"/>
    <w:rsid w:val="00937E2A"/>
    <w:rsid w:val="00940125"/>
    <w:rsid w:val="009527B3"/>
    <w:rsid w:val="00960872"/>
    <w:rsid w:val="009662D4"/>
    <w:rsid w:val="00975593"/>
    <w:rsid w:val="00977B48"/>
    <w:rsid w:val="00981AFA"/>
    <w:rsid w:val="009836EB"/>
    <w:rsid w:val="009925BE"/>
    <w:rsid w:val="009A45C2"/>
    <w:rsid w:val="009B67D8"/>
    <w:rsid w:val="009C020B"/>
    <w:rsid w:val="009C4F39"/>
    <w:rsid w:val="009C64D6"/>
    <w:rsid w:val="009D3542"/>
    <w:rsid w:val="009E2040"/>
    <w:rsid w:val="009F7A48"/>
    <w:rsid w:val="00A048BF"/>
    <w:rsid w:val="00A05ECA"/>
    <w:rsid w:val="00A20908"/>
    <w:rsid w:val="00A262A0"/>
    <w:rsid w:val="00A26F2E"/>
    <w:rsid w:val="00A30EE1"/>
    <w:rsid w:val="00A32760"/>
    <w:rsid w:val="00A375FD"/>
    <w:rsid w:val="00A379A1"/>
    <w:rsid w:val="00A46C20"/>
    <w:rsid w:val="00A52A1A"/>
    <w:rsid w:val="00A5700C"/>
    <w:rsid w:val="00A65970"/>
    <w:rsid w:val="00A65FDC"/>
    <w:rsid w:val="00A7225C"/>
    <w:rsid w:val="00A804F1"/>
    <w:rsid w:val="00A8289C"/>
    <w:rsid w:val="00A83377"/>
    <w:rsid w:val="00A875AA"/>
    <w:rsid w:val="00A918EC"/>
    <w:rsid w:val="00A928BF"/>
    <w:rsid w:val="00AA7595"/>
    <w:rsid w:val="00AB28B4"/>
    <w:rsid w:val="00AB4AA0"/>
    <w:rsid w:val="00AC5834"/>
    <w:rsid w:val="00AD04EE"/>
    <w:rsid w:val="00AD3F54"/>
    <w:rsid w:val="00AD6FCD"/>
    <w:rsid w:val="00AE38B1"/>
    <w:rsid w:val="00AE61EE"/>
    <w:rsid w:val="00AF6665"/>
    <w:rsid w:val="00B021F3"/>
    <w:rsid w:val="00B05CF4"/>
    <w:rsid w:val="00B07AF3"/>
    <w:rsid w:val="00B13933"/>
    <w:rsid w:val="00B32A6B"/>
    <w:rsid w:val="00B4404D"/>
    <w:rsid w:val="00B45438"/>
    <w:rsid w:val="00B559B8"/>
    <w:rsid w:val="00B57C35"/>
    <w:rsid w:val="00B727EA"/>
    <w:rsid w:val="00B74FB4"/>
    <w:rsid w:val="00B75BCF"/>
    <w:rsid w:val="00B81A8D"/>
    <w:rsid w:val="00B83F9F"/>
    <w:rsid w:val="00B86C1F"/>
    <w:rsid w:val="00BA0855"/>
    <w:rsid w:val="00BA16A6"/>
    <w:rsid w:val="00BA5665"/>
    <w:rsid w:val="00BA6C8B"/>
    <w:rsid w:val="00BB09AB"/>
    <w:rsid w:val="00BB5A59"/>
    <w:rsid w:val="00BC5E69"/>
    <w:rsid w:val="00BD10D6"/>
    <w:rsid w:val="00BD1CE3"/>
    <w:rsid w:val="00BD1F75"/>
    <w:rsid w:val="00BD327B"/>
    <w:rsid w:val="00BD42A5"/>
    <w:rsid w:val="00BD43FB"/>
    <w:rsid w:val="00BE10D1"/>
    <w:rsid w:val="00BE1288"/>
    <w:rsid w:val="00BE5F78"/>
    <w:rsid w:val="00C00C41"/>
    <w:rsid w:val="00C0132E"/>
    <w:rsid w:val="00C1496C"/>
    <w:rsid w:val="00C22A1C"/>
    <w:rsid w:val="00C273CA"/>
    <w:rsid w:val="00C40369"/>
    <w:rsid w:val="00C42200"/>
    <w:rsid w:val="00C440F4"/>
    <w:rsid w:val="00C44820"/>
    <w:rsid w:val="00C553BD"/>
    <w:rsid w:val="00C61381"/>
    <w:rsid w:val="00C65813"/>
    <w:rsid w:val="00C815BD"/>
    <w:rsid w:val="00C91057"/>
    <w:rsid w:val="00C91CBF"/>
    <w:rsid w:val="00CA3DC0"/>
    <w:rsid w:val="00CC032A"/>
    <w:rsid w:val="00CC7D23"/>
    <w:rsid w:val="00CE14AF"/>
    <w:rsid w:val="00CE31D6"/>
    <w:rsid w:val="00CE33D3"/>
    <w:rsid w:val="00CE5100"/>
    <w:rsid w:val="00CE7440"/>
    <w:rsid w:val="00CF4A93"/>
    <w:rsid w:val="00D01594"/>
    <w:rsid w:val="00D17A0B"/>
    <w:rsid w:val="00D234C5"/>
    <w:rsid w:val="00D35306"/>
    <w:rsid w:val="00D41E9E"/>
    <w:rsid w:val="00D51240"/>
    <w:rsid w:val="00D56C06"/>
    <w:rsid w:val="00D61D61"/>
    <w:rsid w:val="00D712C2"/>
    <w:rsid w:val="00D731E2"/>
    <w:rsid w:val="00D733BA"/>
    <w:rsid w:val="00D740F9"/>
    <w:rsid w:val="00D76F6E"/>
    <w:rsid w:val="00D80095"/>
    <w:rsid w:val="00D803AD"/>
    <w:rsid w:val="00D944A7"/>
    <w:rsid w:val="00DA508C"/>
    <w:rsid w:val="00DA5DEA"/>
    <w:rsid w:val="00DA6ACC"/>
    <w:rsid w:val="00DA7257"/>
    <w:rsid w:val="00DC2BA1"/>
    <w:rsid w:val="00DC4E97"/>
    <w:rsid w:val="00DC6F44"/>
    <w:rsid w:val="00DD6920"/>
    <w:rsid w:val="00DD6A37"/>
    <w:rsid w:val="00DE2A1F"/>
    <w:rsid w:val="00DF170E"/>
    <w:rsid w:val="00E05823"/>
    <w:rsid w:val="00E1272D"/>
    <w:rsid w:val="00E12B35"/>
    <w:rsid w:val="00E130BD"/>
    <w:rsid w:val="00E138E9"/>
    <w:rsid w:val="00E15CD0"/>
    <w:rsid w:val="00E206AA"/>
    <w:rsid w:val="00E22E9E"/>
    <w:rsid w:val="00E24C51"/>
    <w:rsid w:val="00E313AA"/>
    <w:rsid w:val="00E323C1"/>
    <w:rsid w:val="00E40C31"/>
    <w:rsid w:val="00E44369"/>
    <w:rsid w:val="00E45A12"/>
    <w:rsid w:val="00E5239E"/>
    <w:rsid w:val="00E60DB2"/>
    <w:rsid w:val="00E64232"/>
    <w:rsid w:val="00E6516D"/>
    <w:rsid w:val="00E701AB"/>
    <w:rsid w:val="00E76182"/>
    <w:rsid w:val="00E81952"/>
    <w:rsid w:val="00E82CF1"/>
    <w:rsid w:val="00E84A54"/>
    <w:rsid w:val="00E912B1"/>
    <w:rsid w:val="00E96FE5"/>
    <w:rsid w:val="00EA3C11"/>
    <w:rsid w:val="00EA442A"/>
    <w:rsid w:val="00EB0149"/>
    <w:rsid w:val="00EB1251"/>
    <w:rsid w:val="00EC491C"/>
    <w:rsid w:val="00ED4C36"/>
    <w:rsid w:val="00EE03FC"/>
    <w:rsid w:val="00EE3AB1"/>
    <w:rsid w:val="00EF02D9"/>
    <w:rsid w:val="00EF2F06"/>
    <w:rsid w:val="00EF4428"/>
    <w:rsid w:val="00F03EF0"/>
    <w:rsid w:val="00F109F3"/>
    <w:rsid w:val="00F12586"/>
    <w:rsid w:val="00F15974"/>
    <w:rsid w:val="00F311E4"/>
    <w:rsid w:val="00F34ABF"/>
    <w:rsid w:val="00F52D3C"/>
    <w:rsid w:val="00F64137"/>
    <w:rsid w:val="00F67278"/>
    <w:rsid w:val="00F67E77"/>
    <w:rsid w:val="00F76A21"/>
    <w:rsid w:val="00F815CD"/>
    <w:rsid w:val="00F818AE"/>
    <w:rsid w:val="00F83620"/>
    <w:rsid w:val="00F83F9F"/>
    <w:rsid w:val="00FA0F9A"/>
    <w:rsid w:val="00FA52F0"/>
    <w:rsid w:val="00FB2CAE"/>
    <w:rsid w:val="00FC22CF"/>
    <w:rsid w:val="00FD7B5F"/>
    <w:rsid w:val="00FE0B5E"/>
    <w:rsid w:val="00FE1A53"/>
    <w:rsid w:val="00FF32E2"/>
    <w:rsid w:val="00FF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D382E8E"/>
  <w15:docId w15:val="{4CD10F83-C3D4-4E31-9987-AA92E296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ACF"/>
    <w:rPr>
      <w:sz w:val="20"/>
      <w:szCs w:val="20"/>
    </w:rPr>
  </w:style>
  <w:style w:type="character" w:styleId="FootnoteReference">
    <w:name w:val="footnote reference"/>
    <w:basedOn w:val="DefaultParagraphFont"/>
    <w:uiPriority w:val="99"/>
    <w:semiHidden/>
    <w:unhideWhenUsed/>
    <w:rsid w:val="00902ACF"/>
    <w:rPr>
      <w:vertAlign w:val="superscript"/>
    </w:rPr>
  </w:style>
  <w:style w:type="paragraph" w:styleId="Header">
    <w:name w:val="header"/>
    <w:basedOn w:val="Normal"/>
    <w:link w:val="HeaderChar"/>
    <w:uiPriority w:val="99"/>
    <w:unhideWhenUsed/>
    <w:rsid w:val="00B4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438"/>
  </w:style>
  <w:style w:type="paragraph" w:styleId="Footer">
    <w:name w:val="footer"/>
    <w:basedOn w:val="Normal"/>
    <w:link w:val="FooterChar"/>
    <w:uiPriority w:val="99"/>
    <w:unhideWhenUsed/>
    <w:rsid w:val="00B4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438"/>
  </w:style>
  <w:style w:type="paragraph" w:styleId="BalloonText">
    <w:name w:val="Balloon Text"/>
    <w:basedOn w:val="Normal"/>
    <w:link w:val="BalloonTextChar"/>
    <w:uiPriority w:val="99"/>
    <w:semiHidden/>
    <w:unhideWhenUsed/>
    <w:rsid w:val="000D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47"/>
    <w:rPr>
      <w:rFonts w:ascii="Tahoma" w:hAnsi="Tahoma" w:cs="Tahoma"/>
      <w:sz w:val="16"/>
      <w:szCs w:val="16"/>
    </w:rPr>
  </w:style>
  <w:style w:type="paragraph" w:styleId="BodyText">
    <w:name w:val="Body Text"/>
    <w:basedOn w:val="Normal"/>
    <w:link w:val="BodyTextChar"/>
    <w:rsid w:val="0060464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0464B"/>
    <w:rPr>
      <w:rFonts w:ascii="Times New Roman" w:eastAsia="Times New Roman" w:hAnsi="Times New Roman" w:cs="Times New Roman"/>
      <w:sz w:val="24"/>
      <w:szCs w:val="20"/>
    </w:rPr>
  </w:style>
  <w:style w:type="paragraph" w:styleId="ListParagraph">
    <w:name w:val="List Paragraph"/>
    <w:basedOn w:val="Normal"/>
    <w:uiPriority w:val="34"/>
    <w:qFormat/>
    <w:rsid w:val="00975593"/>
    <w:pPr>
      <w:ind w:left="720"/>
      <w:contextualSpacing/>
    </w:pPr>
  </w:style>
  <w:style w:type="character" w:styleId="CommentReference">
    <w:name w:val="annotation reference"/>
    <w:basedOn w:val="DefaultParagraphFont"/>
    <w:uiPriority w:val="99"/>
    <w:semiHidden/>
    <w:unhideWhenUsed/>
    <w:rsid w:val="00E6516D"/>
    <w:rPr>
      <w:sz w:val="16"/>
      <w:szCs w:val="16"/>
    </w:rPr>
  </w:style>
  <w:style w:type="paragraph" w:styleId="CommentText">
    <w:name w:val="annotation text"/>
    <w:basedOn w:val="Normal"/>
    <w:link w:val="CommentTextChar"/>
    <w:uiPriority w:val="99"/>
    <w:semiHidden/>
    <w:unhideWhenUsed/>
    <w:rsid w:val="00E6516D"/>
    <w:pPr>
      <w:spacing w:line="240" w:lineRule="auto"/>
    </w:pPr>
    <w:rPr>
      <w:sz w:val="20"/>
      <w:szCs w:val="20"/>
    </w:rPr>
  </w:style>
  <w:style w:type="character" w:customStyle="1" w:styleId="CommentTextChar">
    <w:name w:val="Comment Text Char"/>
    <w:basedOn w:val="DefaultParagraphFont"/>
    <w:link w:val="CommentText"/>
    <w:uiPriority w:val="99"/>
    <w:semiHidden/>
    <w:rsid w:val="00E6516D"/>
    <w:rPr>
      <w:sz w:val="20"/>
      <w:szCs w:val="20"/>
    </w:rPr>
  </w:style>
  <w:style w:type="paragraph" w:styleId="CommentSubject">
    <w:name w:val="annotation subject"/>
    <w:basedOn w:val="CommentText"/>
    <w:next w:val="CommentText"/>
    <w:link w:val="CommentSubjectChar"/>
    <w:uiPriority w:val="99"/>
    <w:semiHidden/>
    <w:unhideWhenUsed/>
    <w:rsid w:val="00E6516D"/>
    <w:rPr>
      <w:b/>
      <w:bCs/>
    </w:rPr>
  </w:style>
  <w:style w:type="character" w:customStyle="1" w:styleId="CommentSubjectChar">
    <w:name w:val="Comment Subject Char"/>
    <w:basedOn w:val="CommentTextChar"/>
    <w:link w:val="CommentSubject"/>
    <w:uiPriority w:val="99"/>
    <w:semiHidden/>
    <w:rsid w:val="00E6516D"/>
    <w:rPr>
      <w:b/>
      <w:bCs/>
      <w:sz w:val="20"/>
      <w:szCs w:val="20"/>
    </w:rPr>
  </w:style>
  <w:style w:type="character" w:styleId="Hyperlink">
    <w:name w:val="Hyperlink"/>
    <w:basedOn w:val="DefaultParagraphFont"/>
    <w:uiPriority w:val="99"/>
    <w:unhideWhenUsed/>
    <w:rsid w:val="00771531"/>
    <w:rPr>
      <w:color w:val="0563C1" w:themeColor="hyperlink"/>
      <w:u w:val="single"/>
    </w:rPr>
  </w:style>
  <w:style w:type="character" w:styleId="FollowedHyperlink">
    <w:name w:val="FollowedHyperlink"/>
    <w:basedOn w:val="DefaultParagraphFont"/>
    <w:uiPriority w:val="99"/>
    <w:semiHidden/>
    <w:unhideWhenUsed/>
    <w:rsid w:val="00771531"/>
    <w:rPr>
      <w:color w:val="954F72" w:themeColor="followedHyperlink"/>
      <w:u w:val="single"/>
    </w:rPr>
  </w:style>
  <w:style w:type="character" w:styleId="Emphasis">
    <w:name w:val="Emphasis"/>
    <w:basedOn w:val="DefaultParagraphFont"/>
    <w:uiPriority w:val="20"/>
    <w:qFormat/>
    <w:rsid w:val="00EC491C"/>
    <w:rPr>
      <w:i/>
      <w:iCs/>
    </w:rPr>
  </w:style>
  <w:style w:type="paragraph" w:styleId="NoSpacing">
    <w:name w:val="No Spacing"/>
    <w:uiPriority w:val="1"/>
    <w:qFormat/>
    <w:rsid w:val="00227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mosuk.wpengine.com/wp-content/uploads/2018/05/At-Home-in-Ones-Pas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3789-E2E8-4ED6-93CF-6716A612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9237</Words>
  <Characters>52653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lw1sxf</dc:creator>
  <cp:lastModifiedBy>lw1sxf</cp:lastModifiedBy>
  <cp:revision>23</cp:revision>
  <cp:lastPrinted>2019-11-28T14:59:00Z</cp:lastPrinted>
  <dcterms:created xsi:type="dcterms:W3CDTF">2021-01-14T08:12:00Z</dcterms:created>
  <dcterms:modified xsi:type="dcterms:W3CDTF">2021-01-19T08:44:00Z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786467@derby.ac.uk</vt:lpwstr>
  </property>
  <property fmtid="{D5CDD505-2E9C-101B-9397-08002B2CF9AE}" pid="5" name="MSIP_Label_b47d098f-2640-4837-b575-e0be04df0525_SetDate">
    <vt:lpwstr>2019-11-28T15:21:30.5114376Z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786467@derby.ac.uk</vt:lpwstr>
  </property>
  <property fmtid="{D5CDD505-2E9C-101B-9397-08002B2CF9AE}" pid="12" name="MSIP_Label_501a0944-9d81-4c75-b857-2ec7863455b7_SetDate">
    <vt:lpwstr>2019-11-28T15:21:30.5114376Z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