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E8" w:rsidRPr="00DD6420" w:rsidRDefault="00720B80" w:rsidP="00736C3D">
      <w:pPr>
        <w:spacing w:line="480" w:lineRule="auto"/>
        <w:jc w:val="both"/>
        <w:rPr>
          <w:rFonts w:ascii="Times New Roman" w:hAnsi="Times New Roman" w:cs="Times New Roman"/>
          <w:b/>
          <w:sz w:val="28"/>
          <w:szCs w:val="28"/>
          <w:lang w:val="en-US"/>
        </w:rPr>
      </w:pPr>
      <w:r w:rsidRPr="00DD6420">
        <w:rPr>
          <w:rFonts w:ascii="Times New Roman" w:hAnsi="Times New Roman" w:cs="Times New Roman"/>
          <w:b/>
          <w:sz w:val="28"/>
          <w:szCs w:val="28"/>
          <w:lang w:val="en-US"/>
        </w:rPr>
        <w:t>T</w:t>
      </w:r>
      <w:r w:rsidR="009905BE">
        <w:rPr>
          <w:rFonts w:ascii="Times New Roman" w:hAnsi="Times New Roman" w:cs="Times New Roman"/>
          <w:b/>
          <w:sz w:val="28"/>
          <w:szCs w:val="28"/>
          <w:lang w:val="en-US"/>
        </w:rPr>
        <w:t>HE</w:t>
      </w:r>
      <w:r w:rsidRPr="00DD6420">
        <w:rPr>
          <w:rFonts w:ascii="Times New Roman" w:hAnsi="Times New Roman" w:cs="Times New Roman"/>
          <w:b/>
          <w:sz w:val="28"/>
          <w:szCs w:val="28"/>
          <w:lang w:val="en-US"/>
        </w:rPr>
        <w:t xml:space="preserve"> </w:t>
      </w:r>
      <w:r w:rsidR="00DD6420" w:rsidRPr="00DD6420">
        <w:rPr>
          <w:rFonts w:ascii="Times New Roman" w:hAnsi="Times New Roman" w:cs="Times New Roman"/>
          <w:b/>
          <w:sz w:val="28"/>
          <w:szCs w:val="28"/>
          <w:lang w:val="en-US"/>
        </w:rPr>
        <w:t>R</w:t>
      </w:r>
      <w:r w:rsidR="009905BE">
        <w:rPr>
          <w:rFonts w:ascii="Times New Roman" w:hAnsi="Times New Roman" w:cs="Times New Roman"/>
          <w:b/>
          <w:sz w:val="28"/>
          <w:szCs w:val="28"/>
          <w:lang w:val="en-US"/>
        </w:rPr>
        <w:t>OLE</w:t>
      </w:r>
      <w:r w:rsidR="00522048" w:rsidRPr="00DD6420">
        <w:rPr>
          <w:rFonts w:ascii="Times New Roman" w:hAnsi="Times New Roman" w:cs="Times New Roman"/>
          <w:b/>
          <w:sz w:val="28"/>
          <w:szCs w:val="28"/>
          <w:lang w:val="en-US"/>
        </w:rPr>
        <w:t xml:space="preserve"> </w:t>
      </w:r>
      <w:r w:rsidR="009905BE">
        <w:rPr>
          <w:rFonts w:ascii="Times New Roman" w:hAnsi="Times New Roman" w:cs="Times New Roman"/>
          <w:b/>
          <w:sz w:val="28"/>
          <w:szCs w:val="28"/>
          <w:lang w:val="en-US"/>
        </w:rPr>
        <w:t>OF</w:t>
      </w:r>
      <w:r w:rsidR="00522048" w:rsidRPr="00DD6420">
        <w:rPr>
          <w:rFonts w:ascii="Times New Roman" w:hAnsi="Times New Roman" w:cs="Times New Roman"/>
          <w:b/>
          <w:sz w:val="28"/>
          <w:szCs w:val="28"/>
          <w:lang w:val="en-US"/>
        </w:rPr>
        <w:t xml:space="preserve"> </w:t>
      </w:r>
      <w:r w:rsidR="009905BE">
        <w:rPr>
          <w:rFonts w:ascii="Times New Roman" w:hAnsi="Times New Roman" w:cs="Times New Roman"/>
          <w:b/>
          <w:sz w:val="28"/>
          <w:szCs w:val="28"/>
          <w:lang w:val="en-US"/>
        </w:rPr>
        <w:t>THE</w:t>
      </w:r>
      <w:r w:rsidR="00522048" w:rsidRPr="00DD6420">
        <w:rPr>
          <w:rFonts w:ascii="Times New Roman" w:hAnsi="Times New Roman" w:cs="Times New Roman"/>
          <w:b/>
          <w:sz w:val="28"/>
          <w:szCs w:val="28"/>
          <w:lang w:val="en-US"/>
        </w:rPr>
        <w:t xml:space="preserve"> </w:t>
      </w:r>
      <w:r w:rsidR="00DD6420" w:rsidRPr="00DD6420">
        <w:rPr>
          <w:rFonts w:ascii="Times New Roman" w:hAnsi="Times New Roman" w:cs="Times New Roman"/>
          <w:b/>
          <w:sz w:val="28"/>
          <w:szCs w:val="28"/>
          <w:lang w:val="en-US"/>
        </w:rPr>
        <w:t>D</w:t>
      </w:r>
      <w:r w:rsidR="009905BE">
        <w:rPr>
          <w:rFonts w:ascii="Times New Roman" w:hAnsi="Times New Roman" w:cs="Times New Roman"/>
          <w:b/>
          <w:sz w:val="28"/>
          <w:szCs w:val="28"/>
          <w:lang w:val="en-US"/>
        </w:rPr>
        <w:t>EBT</w:t>
      </w:r>
      <w:r w:rsidR="00522048" w:rsidRPr="00DD6420">
        <w:rPr>
          <w:rFonts w:ascii="Times New Roman" w:hAnsi="Times New Roman" w:cs="Times New Roman"/>
          <w:b/>
          <w:sz w:val="28"/>
          <w:szCs w:val="28"/>
          <w:lang w:val="en-US"/>
        </w:rPr>
        <w:t>-</w:t>
      </w:r>
      <w:r w:rsidR="00DD6420" w:rsidRPr="00DD6420">
        <w:rPr>
          <w:rFonts w:ascii="Times New Roman" w:hAnsi="Times New Roman" w:cs="Times New Roman"/>
          <w:b/>
          <w:sz w:val="28"/>
          <w:szCs w:val="28"/>
          <w:lang w:val="en-US"/>
        </w:rPr>
        <w:t>S</w:t>
      </w:r>
      <w:r w:rsidR="009905BE">
        <w:rPr>
          <w:rFonts w:ascii="Times New Roman" w:hAnsi="Times New Roman" w:cs="Times New Roman"/>
          <w:b/>
          <w:sz w:val="28"/>
          <w:szCs w:val="28"/>
          <w:lang w:val="en-US"/>
        </w:rPr>
        <w:t>ERVICE</w:t>
      </w:r>
      <w:r w:rsidR="00522048" w:rsidRPr="00DD6420">
        <w:rPr>
          <w:rFonts w:ascii="Times New Roman" w:hAnsi="Times New Roman" w:cs="Times New Roman"/>
          <w:b/>
          <w:sz w:val="28"/>
          <w:szCs w:val="28"/>
          <w:lang w:val="en-US"/>
        </w:rPr>
        <w:t xml:space="preserve"> </w:t>
      </w:r>
      <w:r w:rsidR="00DD6420" w:rsidRPr="00DD6420">
        <w:rPr>
          <w:rFonts w:ascii="Times New Roman" w:hAnsi="Times New Roman" w:cs="Times New Roman"/>
          <w:b/>
          <w:sz w:val="28"/>
          <w:szCs w:val="28"/>
          <w:lang w:val="en-US"/>
        </w:rPr>
        <w:t>R</w:t>
      </w:r>
      <w:r w:rsidR="009905BE">
        <w:rPr>
          <w:rFonts w:ascii="Times New Roman" w:hAnsi="Times New Roman" w:cs="Times New Roman"/>
          <w:b/>
          <w:sz w:val="28"/>
          <w:szCs w:val="28"/>
          <w:lang w:val="en-US"/>
        </w:rPr>
        <w:t>ATIO</w:t>
      </w:r>
      <w:r w:rsidR="00522048" w:rsidRPr="00DD6420">
        <w:rPr>
          <w:rFonts w:ascii="Times New Roman" w:hAnsi="Times New Roman" w:cs="Times New Roman"/>
          <w:b/>
          <w:sz w:val="28"/>
          <w:szCs w:val="28"/>
          <w:lang w:val="en-US"/>
        </w:rPr>
        <w:t xml:space="preserve"> </w:t>
      </w:r>
      <w:r w:rsidR="009905BE">
        <w:rPr>
          <w:rFonts w:ascii="Times New Roman" w:hAnsi="Times New Roman" w:cs="Times New Roman"/>
          <w:b/>
          <w:sz w:val="28"/>
          <w:szCs w:val="28"/>
          <w:lang w:val="en-US"/>
        </w:rPr>
        <w:t>AS</w:t>
      </w:r>
      <w:r w:rsidR="00522048" w:rsidRPr="00DD6420">
        <w:rPr>
          <w:rFonts w:ascii="Times New Roman" w:hAnsi="Times New Roman" w:cs="Times New Roman"/>
          <w:b/>
          <w:sz w:val="28"/>
          <w:szCs w:val="28"/>
          <w:lang w:val="en-US"/>
        </w:rPr>
        <w:t xml:space="preserve"> </w:t>
      </w:r>
      <w:r w:rsidR="009905BE">
        <w:rPr>
          <w:rFonts w:ascii="Times New Roman" w:hAnsi="Times New Roman" w:cs="Times New Roman"/>
          <w:b/>
          <w:sz w:val="28"/>
          <w:szCs w:val="28"/>
          <w:lang w:val="en-US"/>
        </w:rPr>
        <w:t>A</w:t>
      </w:r>
      <w:r w:rsidR="00522048" w:rsidRPr="00DD6420">
        <w:rPr>
          <w:rFonts w:ascii="Times New Roman" w:hAnsi="Times New Roman" w:cs="Times New Roman"/>
          <w:b/>
          <w:sz w:val="28"/>
          <w:szCs w:val="28"/>
          <w:lang w:val="en-US"/>
        </w:rPr>
        <w:t xml:space="preserve"> </w:t>
      </w:r>
      <w:r w:rsidR="00DD6420" w:rsidRPr="00DD6420">
        <w:rPr>
          <w:rFonts w:ascii="Times New Roman" w:hAnsi="Times New Roman" w:cs="Times New Roman"/>
          <w:b/>
          <w:sz w:val="28"/>
          <w:szCs w:val="28"/>
          <w:lang w:val="en-US"/>
        </w:rPr>
        <w:t>L</w:t>
      </w:r>
      <w:r w:rsidR="009905BE">
        <w:rPr>
          <w:rFonts w:ascii="Times New Roman" w:hAnsi="Times New Roman" w:cs="Times New Roman"/>
          <w:b/>
          <w:sz w:val="28"/>
          <w:szCs w:val="28"/>
          <w:lang w:val="en-US"/>
        </w:rPr>
        <w:t>EA</w:t>
      </w:r>
      <w:r w:rsidR="006B124A">
        <w:rPr>
          <w:rFonts w:ascii="Times New Roman" w:hAnsi="Times New Roman" w:cs="Times New Roman"/>
          <w:b/>
          <w:sz w:val="28"/>
          <w:szCs w:val="28"/>
          <w:lang w:val="en-US"/>
        </w:rPr>
        <w:t>D</w:t>
      </w:r>
      <w:r w:rsidR="009905BE">
        <w:rPr>
          <w:rFonts w:ascii="Times New Roman" w:hAnsi="Times New Roman" w:cs="Times New Roman"/>
          <w:b/>
          <w:sz w:val="28"/>
          <w:szCs w:val="28"/>
          <w:lang w:val="en-US"/>
        </w:rPr>
        <w:t>ING</w:t>
      </w:r>
      <w:r w:rsidR="00522048" w:rsidRPr="00DD6420">
        <w:rPr>
          <w:rFonts w:ascii="Times New Roman" w:hAnsi="Times New Roman" w:cs="Times New Roman"/>
          <w:b/>
          <w:sz w:val="28"/>
          <w:szCs w:val="28"/>
          <w:lang w:val="en-US"/>
        </w:rPr>
        <w:t xml:space="preserve"> </w:t>
      </w:r>
      <w:r w:rsidR="00DD6420" w:rsidRPr="00DD6420">
        <w:rPr>
          <w:rFonts w:ascii="Times New Roman" w:hAnsi="Times New Roman" w:cs="Times New Roman"/>
          <w:b/>
          <w:sz w:val="28"/>
          <w:szCs w:val="28"/>
          <w:lang w:val="en-US"/>
        </w:rPr>
        <w:t>I</w:t>
      </w:r>
      <w:r w:rsidR="009905BE">
        <w:rPr>
          <w:rFonts w:ascii="Times New Roman" w:hAnsi="Times New Roman" w:cs="Times New Roman"/>
          <w:b/>
          <w:sz w:val="28"/>
          <w:szCs w:val="28"/>
          <w:lang w:val="en-US"/>
        </w:rPr>
        <w:t>NDICATOR</w:t>
      </w:r>
      <w:r w:rsidR="00522048" w:rsidRPr="00DD6420">
        <w:rPr>
          <w:rFonts w:ascii="Times New Roman" w:hAnsi="Times New Roman" w:cs="Times New Roman"/>
          <w:b/>
          <w:sz w:val="28"/>
          <w:szCs w:val="28"/>
          <w:lang w:val="en-US"/>
        </w:rPr>
        <w:t xml:space="preserve"> </w:t>
      </w:r>
      <w:r w:rsidR="009905BE">
        <w:rPr>
          <w:rFonts w:ascii="Times New Roman" w:hAnsi="Times New Roman" w:cs="Times New Roman"/>
          <w:b/>
          <w:sz w:val="28"/>
          <w:szCs w:val="28"/>
          <w:lang w:val="en-US"/>
        </w:rPr>
        <w:t>OF</w:t>
      </w:r>
      <w:r w:rsidR="00522048" w:rsidRPr="00DD6420">
        <w:rPr>
          <w:rFonts w:ascii="Times New Roman" w:hAnsi="Times New Roman" w:cs="Times New Roman"/>
          <w:b/>
          <w:sz w:val="28"/>
          <w:szCs w:val="28"/>
          <w:lang w:val="en-US"/>
        </w:rPr>
        <w:t xml:space="preserve"> </w:t>
      </w:r>
      <w:r w:rsidR="00DD6420" w:rsidRPr="00DD6420">
        <w:rPr>
          <w:rFonts w:ascii="Times New Roman" w:hAnsi="Times New Roman" w:cs="Times New Roman"/>
          <w:b/>
          <w:sz w:val="28"/>
          <w:szCs w:val="28"/>
          <w:lang w:val="en-US"/>
        </w:rPr>
        <w:t>H</w:t>
      </w:r>
      <w:r w:rsidR="009905BE">
        <w:rPr>
          <w:rFonts w:ascii="Times New Roman" w:hAnsi="Times New Roman" w:cs="Times New Roman"/>
          <w:b/>
          <w:sz w:val="28"/>
          <w:szCs w:val="28"/>
          <w:lang w:val="en-US"/>
        </w:rPr>
        <w:t>OUSEHOLDS</w:t>
      </w:r>
      <w:r w:rsidR="00522048" w:rsidRPr="00DD6420">
        <w:rPr>
          <w:rFonts w:ascii="Times New Roman" w:hAnsi="Times New Roman" w:cs="Times New Roman"/>
          <w:b/>
          <w:sz w:val="28"/>
          <w:szCs w:val="28"/>
          <w:lang w:val="en-US"/>
        </w:rPr>
        <w:t xml:space="preserve"> </w:t>
      </w:r>
      <w:r w:rsidR="00DD6420" w:rsidRPr="00DD6420">
        <w:rPr>
          <w:rFonts w:ascii="Times New Roman" w:hAnsi="Times New Roman" w:cs="Times New Roman"/>
          <w:b/>
          <w:sz w:val="28"/>
          <w:szCs w:val="28"/>
          <w:lang w:val="en-US"/>
        </w:rPr>
        <w:t>C</w:t>
      </w:r>
      <w:r w:rsidR="009905BE">
        <w:rPr>
          <w:rFonts w:ascii="Times New Roman" w:hAnsi="Times New Roman" w:cs="Times New Roman"/>
          <w:b/>
          <w:sz w:val="28"/>
          <w:szCs w:val="28"/>
          <w:lang w:val="en-US"/>
        </w:rPr>
        <w:t>ONSUMPTION</w:t>
      </w:r>
    </w:p>
    <w:p w:rsidR="0075713F" w:rsidRDefault="0075713F" w:rsidP="00E24DA5">
      <w:pPr>
        <w:spacing w:line="480" w:lineRule="auto"/>
        <w:jc w:val="both"/>
        <w:rPr>
          <w:rFonts w:ascii="Times New Roman" w:hAnsi="Times New Roman" w:cs="Times New Roman"/>
          <w:sz w:val="24"/>
          <w:szCs w:val="24"/>
          <w:lang w:val="en-US"/>
        </w:rPr>
      </w:pPr>
    </w:p>
    <w:p w:rsidR="0075713F" w:rsidRPr="009905BE" w:rsidRDefault="0075713F" w:rsidP="001735E3">
      <w:pPr>
        <w:spacing w:line="480" w:lineRule="auto"/>
        <w:jc w:val="center"/>
        <w:rPr>
          <w:rFonts w:ascii="Times New Roman" w:hAnsi="Times New Roman" w:cs="Times New Roman"/>
          <w:sz w:val="24"/>
          <w:szCs w:val="24"/>
          <w:lang w:val="en-US"/>
        </w:rPr>
      </w:pPr>
      <w:r w:rsidRPr="009905BE">
        <w:rPr>
          <w:rFonts w:ascii="Times New Roman" w:hAnsi="Times New Roman" w:cs="Times New Roman"/>
          <w:sz w:val="24"/>
          <w:szCs w:val="24"/>
          <w:lang w:val="en-US"/>
        </w:rPr>
        <w:t>N</w:t>
      </w:r>
      <w:r w:rsidR="009905BE">
        <w:rPr>
          <w:rFonts w:ascii="Times New Roman" w:hAnsi="Times New Roman" w:cs="Times New Roman"/>
          <w:sz w:val="24"/>
          <w:szCs w:val="24"/>
          <w:lang w:val="en-US"/>
        </w:rPr>
        <w:t>ICHOLAS</w:t>
      </w:r>
      <w:r w:rsidRPr="009905BE">
        <w:rPr>
          <w:rFonts w:ascii="Times New Roman" w:hAnsi="Times New Roman" w:cs="Times New Roman"/>
          <w:sz w:val="24"/>
          <w:szCs w:val="24"/>
          <w:lang w:val="en-US"/>
        </w:rPr>
        <w:t xml:space="preserve"> A</w:t>
      </w:r>
      <w:r w:rsidR="009905BE">
        <w:rPr>
          <w:rFonts w:ascii="Times New Roman" w:hAnsi="Times New Roman" w:cs="Times New Roman"/>
          <w:sz w:val="24"/>
          <w:szCs w:val="24"/>
          <w:lang w:val="en-US"/>
        </w:rPr>
        <w:t>PERGIS</w:t>
      </w:r>
    </w:p>
    <w:p w:rsidR="0075713F" w:rsidRPr="009905BE" w:rsidRDefault="0075713F" w:rsidP="001735E3">
      <w:pPr>
        <w:spacing w:line="480" w:lineRule="auto"/>
        <w:jc w:val="center"/>
        <w:rPr>
          <w:rFonts w:ascii="Times New Roman" w:hAnsi="Times New Roman" w:cs="Times New Roman"/>
          <w:i/>
          <w:sz w:val="24"/>
          <w:szCs w:val="24"/>
          <w:lang w:val="en-US"/>
        </w:rPr>
      </w:pPr>
      <w:r w:rsidRPr="009905BE">
        <w:rPr>
          <w:rFonts w:ascii="Times New Roman" w:hAnsi="Times New Roman" w:cs="Times New Roman"/>
          <w:i/>
          <w:sz w:val="24"/>
          <w:szCs w:val="24"/>
          <w:lang w:val="en-US"/>
        </w:rPr>
        <w:t>University of Piraeus</w:t>
      </w:r>
      <w:r w:rsidR="009905BE">
        <w:rPr>
          <w:rFonts w:ascii="Times New Roman" w:hAnsi="Times New Roman" w:cs="Times New Roman"/>
          <w:i/>
          <w:sz w:val="24"/>
          <w:szCs w:val="24"/>
          <w:lang w:val="en-US"/>
        </w:rPr>
        <w:t xml:space="preserve">, </w:t>
      </w:r>
      <w:hyperlink r:id="rId8" w:history="1">
        <w:r w:rsidRPr="009905BE">
          <w:rPr>
            <w:rStyle w:val="-"/>
            <w:rFonts w:ascii="Times New Roman" w:hAnsi="Times New Roman" w:cs="Times New Roman"/>
            <w:i/>
            <w:sz w:val="24"/>
            <w:szCs w:val="24"/>
            <w:lang w:val="en-US"/>
          </w:rPr>
          <w:t>napergis@unipi.gr</w:t>
        </w:r>
      </w:hyperlink>
    </w:p>
    <w:p w:rsidR="009905BE" w:rsidRPr="009905BE" w:rsidRDefault="009905BE" w:rsidP="001735E3">
      <w:pPr>
        <w:spacing w:line="480" w:lineRule="auto"/>
        <w:jc w:val="cente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a</w:t>
      </w:r>
      <w:r w:rsidRPr="009905BE">
        <w:rPr>
          <w:rFonts w:ascii="Times New Roman" w:hAnsi="Times New Roman" w:cs="Times New Roman"/>
          <w:i/>
          <w:sz w:val="24"/>
          <w:szCs w:val="24"/>
          <w:lang w:val="en-US"/>
        </w:rPr>
        <w:t>nd</w:t>
      </w:r>
      <w:proofErr w:type="gramEnd"/>
    </w:p>
    <w:p w:rsidR="009905BE" w:rsidRPr="009905BE" w:rsidRDefault="009905BE" w:rsidP="001735E3">
      <w:pPr>
        <w:spacing w:line="480" w:lineRule="auto"/>
        <w:jc w:val="center"/>
        <w:rPr>
          <w:rFonts w:ascii="Times New Roman" w:hAnsi="Times New Roman" w:cs="Times New Roman"/>
          <w:i/>
          <w:sz w:val="24"/>
          <w:szCs w:val="24"/>
          <w:lang w:val="en-US"/>
        </w:rPr>
      </w:pPr>
      <w:r w:rsidRPr="009905BE">
        <w:rPr>
          <w:rFonts w:ascii="Times New Roman" w:hAnsi="Times New Roman" w:cs="Times New Roman"/>
          <w:i/>
          <w:sz w:val="24"/>
          <w:szCs w:val="24"/>
          <w:lang w:val="en-US"/>
        </w:rPr>
        <w:t>University of Derby</w:t>
      </w:r>
    </w:p>
    <w:p w:rsidR="0075713F" w:rsidRDefault="0075713F" w:rsidP="00E24DA5">
      <w:pPr>
        <w:spacing w:line="480" w:lineRule="auto"/>
        <w:jc w:val="both"/>
        <w:rPr>
          <w:rFonts w:ascii="Times New Roman" w:hAnsi="Times New Roman" w:cs="Times New Roman"/>
          <w:sz w:val="24"/>
          <w:szCs w:val="24"/>
          <w:lang w:val="en-US"/>
        </w:rPr>
      </w:pPr>
    </w:p>
    <w:p w:rsidR="00DD3717" w:rsidRDefault="00DD3717" w:rsidP="00E24DA5">
      <w:pPr>
        <w:spacing w:line="480" w:lineRule="auto"/>
        <w:jc w:val="both"/>
        <w:rPr>
          <w:rFonts w:ascii="Times New Roman" w:hAnsi="Times New Roman" w:cs="Times New Roman"/>
          <w:sz w:val="24"/>
          <w:szCs w:val="24"/>
          <w:lang w:val="en-US"/>
        </w:rPr>
      </w:pPr>
    </w:p>
    <w:p w:rsidR="00DD3717" w:rsidRDefault="00DD3717" w:rsidP="00E24DA5">
      <w:pPr>
        <w:spacing w:line="480" w:lineRule="auto"/>
        <w:jc w:val="both"/>
        <w:rPr>
          <w:rFonts w:ascii="Times New Roman" w:hAnsi="Times New Roman" w:cs="Times New Roman"/>
          <w:sz w:val="24"/>
          <w:szCs w:val="24"/>
          <w:lang w:val="en-US"/>
        </w:rPr>
      </w:pPr>
    </w:p>
    <w:p w:rsidR="00DD3717" w:rsidRDefault="00DD3717" w:rsidP="00E24DA5">
      <w:pPr>
        <w:spacing w:line="480" w:lineRule="auto"/>
        <w:jc w:val="both"/>
        <w:rPr>
          <w:rFonts w:ascii="Times New Roman" w:hAnsi="Times New Roman" w:cs="Times New Roman"/>
          <w:sz w:val="24"/>
          <w:szCs w:val="24"/>
          <w:lang w:val="en-US"/>
        </w:rPr>
      </w:pPr>
    </w:p>
    <w:p w:rsidR="00DD3717" w:rsidRDefault="00DD3717" w:rsidP="00E24DA5">
      <w:pPr>
        <w:spacing w:line="480" w:lineRule="auto"/>
        <w:jc w:val="both"/>
        <w:rPr>
          <w:rFonts w:ascii="Times New Roman" w:hAnsi="Times New Roman" w:cs="Times New Roman"/>
          <w:sz w:val="24"/>
          <w:szCs w:val="24"/>
          <w:lang w:val="en-US"/>
        </w:rPr>
      </w:pPr>
    </w:p>
    <w:p w:rsidR="00DD3717" w:rsidRDefault="00DD3717" w:rsidP="00E24DA5">
      <w:pPr>
        <w:spacing w:line="480" w:lineRule="auto"/>
        <w:jc w:val="both"/>
        <w:rPr>
          <w:rFonts w:ascii="Times New Roman" w:hAnsi="Times New Roman" w:cs="Times New Roman"/>
          <w:sz w:val="24"/>
          <w:szCs w:val="24"/>
          <w:lang w:val="en-US"/>
        </w:rPr>
      </w:pPr>
    </w:p>
    <w:p w:rsidR="00DD3717" w:rsidRDefault="00DD3717" w:rsidP="00E24DA5">
      <w:pPr>
        <w:spacing w:line="480" w:lineRule="auto"/>
        <w:jc w:val="both"/>
        <w:rPr>
          <w:rFonts w:ascii="Times New Roman" w:hAnsi="Times New Roman" w:cs="Times New Roman"/>
          <w:sz w:val="24"/>
          <w:szCs w:val="24"/>
          <w:lang w:val="en-US"/>
        </w:rPr>
      </w:pPr>
    </w:p>
    <w:p w:rsidR="001F31C0" w:rsidRDefault="001F31C0" w:rsidP="00E24DA5">
      <w:pPr>
        <w:spacing w:line="480" w:lineRule="auto"/>
        <w:jc w:val="both"/>
        <w:rPr>
          <w:rFonts w:ascii="Times New Roman" w:hAnsi="Times New Roman" w:cs="Times New Roman"/>
          <w:sz w:val="24"/>
          <w:szCs w:val="24"/>
          <w:lang w:val="en-US"/>
        </w:rPr>
      </w:pPr>
    </w:p>
    <w:p w:rsidR="001F31C0" w:rsidRDefault="001F31C0" w:rsidP="00E24DA5">
      <w:pPr>
        <w:spacing w:line="480" w:lineRule="auto"/>
        <w:jc w:val="both"/>
        <w:rPr>
          <w:rFonts w:ascii="Times New Roman" w:hAnsi="Times New Roman" w:cs="Times New Roman"/>
          <w:sz w:val="24"/>
          <w:szCs w:val="24"/>
          <w:lang w:val="en-US"/>
        </w:rPr>
      </w:pPr>
    </w:p>
    <w:p w:rsidR="00DD3717" w:rsidRDefault="001F31C0" w:rsidP="00E24DA5">
      <w:pPr>
        <w:spacing w:line="480" w:lineRule="auto"/>
        <w:jc w:val="both"/>
        <w:rPr>
          <w:rFonts w:ascii="Times New Roman" w:hAnsi="Times New Roman" w:cs="Times New Roman"/>
          <w:sz w:val="24"/>
          <w:szCs w:val="24"/>
          <w:lang w:val="en-US"/>
        </w:rPr>
      </w:pPr>
      <w:r w:rsidRPr="001F31C0">
        <w:rPr>
          <w:rFonts w:ascii="Times New Roman" w:hAnsi="Times New Roman" w:cs="Times New Roman"/>
          <w:b/>
          <w:sz w:val="24"/>
          <w:szCs w:val="24"/>
          <w:lang w:val="en-US"/>
        </w:rPr>
        <w:t>Acknowledgements</w:t>
      </w:r>
      <w:r>
        <w:rPr>
          <w:rFonts w:ascii="Times New Roman" w:hAnsi="Times New Roman" w:cs="Times New Roman"/>
          <w:sz w:val="24"/>
          <w:szCs w:val="24"/>
          <w:lang w:val="en-US"/>
        </w:rPr>
        <w:t>: The author needs to express his deep gratitude to two referees of this journal whose comments and suggestions enhanced the merit of this work. Special thanks also go to the Editor who g</w:t>
      </w:r>
      <w:r w:rsidR="0068610A">
        <w:rPr>
          <w:rFonts w:ascii="Times New Roman" w:hAnsi="Times New Roman" w:cs="Times New Roman"/>
          <w:sz w:val="24"/>
          <w:szCs w:val="24"/>
          <w:lang w:val="en-US"/>
        </w:rPr>
        <w:t>a</w:t>
      </w:r>
      <w:r>
        <w:rPr>
          <w:rFonts w:ascii="Times New Roman" w:hAnsi="Times New Roman" w:cs="Times New Roman"/>
          <w:sz w:val="24"/>
          <w:szCs w:val="24"/>
          <w:lang w:val="en-US"/>
        </w:rPr>
        <w:t>ve him the opportunity to revise his work. Needless to say, the usual disclaimer applies.</w:t>
      </w:r>
    </w:p>
    <w:p w:rsidR="009905BE" w:rsidRPr="00DD6420" w:rsidRDefault="009905BE" w:rsidP="009905BE">
      <w:pPr>
        <w:spacing w:line="480" w:lineRule="auto"/>
        <w:jc w:val="both"/>
        <w:rPr>
          <w:rFonts w:ascii="Times New Roman" w:hAnsi="Times New Roman" w:cs="Times New Roman"/>
          <w:b/>
          <w:sz w:val="28"/>
          <w:szCs w:val="28"/>
          <w:lang w:val="en-US"/>
        </w:rPr>
      </w:pPr>
      <w:r w:rsidRPr="00DD6420">
        <w:rPr>
          <w:rFonts w:ascii="Times New Roman" w:hAnsi="Times New Roman" w:cs="Times New Roman"/>
          <w:b/>
          <w:sz w:val="28"/>
          <w:szCs w:val="28"/>
          <w:lang w:val="en-US"/>
        </w:rPr>
        <w:lastRenderedPageBreak/>
        <w:t>T</w:t>
      </w:r>
      <w:r>
        <w:rPr>
          <w:rFonts w:ascii="Times New Roman" w:hAnsi="Times New Roman" w:cs="Times New Roman"/>
          <w:b/>
          <w:sz w:val="28"/>
          <w:szCs w:val="28"/>
          <w:lang w:val="en-US"/>
        </w:rPr>
        <w:t>HE</w:t>
      </w:r>
      <w:r w:rsidRPr="00DD6420">
        <w:rPr>
          <w:rFonts w:ascii="Times New Roman" w:hAnsi="Times New Roman" w:cs="Times New Roman"/>
          <w:b/>
          <w:sz w:val="28"/>
          <w:szCs w:val="28"/>
          <w:lang w:val="en-US"/>
        </w:rPr>
        <w:t xml:space="preserve"> R</w:t>
      </w:r>
      <w:r>
        <w:rPr>
          <w:rFonts w:ascii="Times New Roman" w:hAnsi="Times New Roman" w:cs="Times New Roman"/>
          <w:b/>
          <w:sz w:val="28"/>
          <w:szCs w:val="28"/>
          <w:lang w:val="en-US"/>
        </w:rPr>
        <w:t>OLE</w:t>
      </w:r>
      <w:r w:rsidRPr="00DD6420">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DD6420">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w:t>
      </w:r>
      <w:r w:rsidRPr="00DD6420">
        <w:rPr>
          <w:rFonts w:ascii="Times New Roman" w:hAnsi="Times New Roman" w:cs="Times New Roman"/>
          <w:b/>
          <w:sz w:val="28"/>
          <w:szCs w:val="28"/>
          <w:lang w:val="en-US"/>
        </w:rPr>
        <w:t xml:space="preserve"> D</w:t>
      </w:r>
      <w:r>
        <w:rPr>
          <w:rFonts w:ascii="Times New Roman" w:hAnsi="Times New Roman" w:cs="Times New Roman"/>
          <w:b/>
          <w:sz w:val="28"/>
          <w:szCs w:val="28"/>
          <w:lang w:val="en-US"/>
        </w:rPr>
        <w:t>EBT</w:t>
      </w:r>
      <w:r w:rsidRPr="00DD6420">
        <w:rPr>
          <w:rFonts w:ascii="Times New Roman" w:hAnsi="Times New Roman" w:cs="Times New Roman"/>
          <w:b/>
          <w:sz w:val="28"/>
          <w:szCs w:val="28"/>
          <w:lang w:val="en-US"/>
        </w:rPr>
        <w:t>-S</w:t>
      </w:r>
      <w:r>
        <w:rPr>
          <w:rFonts w:ascii="Times New Roman" w:hAnsi="Times New Roman" w:cs="Times New Roman"/>
          <w:b/>
          <w:sz w:val="28"/>
          <w:szCs w:val="28"/>
          <w:lang w:val="en-US"/>
        </w:rPr>
        <w:t>ERVICE</w:t>
      </w:r>
      <w:r w:rsidRPr="00DD6420">
        <w:rPr>
          <w:rFonts w:ascii="Times New Roman" w:hAnsi="Times New Roman" w:cs="Times New Roman"/>
          <w:b/>
          <w:sz w:val="28"/>
          <w:szCs w:val="28"/>
          <w:lang w:val="en-US"/>
        </w:rPr>
        <w:t xml:space="preserve"> R</w:t>
      </w:r>
      <w:r>
        <w:rPr>
          <w:rFonts w:ascii="Times New Roman" w:hAnsi="Times New Roman" w:cs="Times New Roman"/>
          <w:b/>
          <w:sz w:val="28"/>
          <w:szCs w:val="28"/>
          <w:lang w:val="en-US"/>
        </w:rPr>
        <w:t>ATIO</w:t>
      </w:r>
      <w:r w:rsidRPr="00DD6420">
        <w:rPr>
          <w:rFonts w:ascii="Times New Roman" w:hAnsi="Times New Roman" w:cs="Times New Roman"/>
          <w:b/>
          <w:sz w:val="28"/>
          <w:szCs w:val="28"/>
          <w:lang w:val="en-US"/>
        </w:rPr>
        <w:t xml:space="preserve"> </w:t>
      </w:r>
      <w:r>
        <w:rPr>
          <w:rFonts w:ascii="Times New Roman" w:hAnsi="Times New Roman" w:cs="Times New Roman"/>
          <w:b/>
          <w:sz w:val="28"/>
          <w:szCs w:val="28"/>
          <w:lang w:val="en-US"/>
        </w:rPr>
        <w:t>AS</w:t>
      </w:r>
      <w:r w:rsidRPr="00DD6420">
        <w:rPr>
          <w:rFonts w:ascii="Times New Roman" w:hAnsi="Times New Roman" w:cs="Times New Roman"/>
          <w:b/>
          <w:sz w:val="28"/>
          <w:szCs w:val="28"/>
          <w:lang w:val="en-US"/>
        </w:rPr>
        <w:t xml:space="preserve"> </w:t>
      </w:r>
      <w:r>
        <w:rPr>
          <w:rFonts w:ascii="Times New Roman" w:hAnsi="Times New Roman" w:cs="Times New Roman"/>
          <w:b/>
          <w:sz w:val="28"/>
          <w:szCs w:val="28"/>
          <w:lang w:val="en-US"/>
        </w:rPr>
        <w:t>A</w:t>
      </w:r>
      <w:r w:rsidRPr="00DD6420">
        <w:rPr>
          <w:rFonts w:ascii="Times New Roman" w:hAnsi="Times New Roman" w:cs="Times New Roman"/>
          <w:b/>
          <w:sz w:val="28"/>
          <w:szCs w:val="28"/>
          <w:lang w:val="en-US"/>
        </w:rPr>
        <w:t xml:space="preserve"> L</w:t>
      </w:r>
      <w:r w:rsidR="006B124A">
        <w:rPr>
          <w:rFonts w:ascii="Times New Roman" w:hAnsi="Times New Roman" w:cs="Times New Roman"/>
          <w:b/>
          <w:sz w:val="28"/>
          <w:szCs w:val="28"/>
          <w:lang w:val="en-US"/>
        </w:rPr>
        <w:t>EAD</w:t>
      </w:r>
      <w:r>
        <w:rPr>
          <w:rFonts w:ascii="Times New Roman" w:hAnsi="Times New Roman" w:cs="Times New Roman"/>
          <w:b/>
          <w:sz w:val="28"/>
          <w:szCs w:val="28"/>
          <w:lang w:val="en-US"/>
        </w:rPr>
        <w:t>ING</w:t>
      </w:r>
      <w:r w:rsidRPr="00DD6420">
        <w:rPr>
          <w:rFonts w:ascii="Times New Roman" w:hAnsi="Times New Roman" w:cs="Times New Roman"/>
          <w:b/>
          <w:sz w:val="28"/>
          <w:szCs w:val="28"/>
          <w:lang w:val="en-US"/>
        </w:rPr>
        <w:t xml:space="preserve"> I</w:t>
      </w:r>
      <w:r>
        <w:rPr>
          <w:rFonts w:ascii="Times New Roman" w:hAnsi="Times New Roman" w:cs="Times New Roman"/>
          <w:b/>
          <w:sz w:val="28"/>
          <w:szCs w:val="28"/>
          <w:lang w:val="en-US"/>
        </w:rPr>
        <w:t>NDICATOR</w:t>
      </w:r>
      <w:r w:rsidRPr="00DD6420">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DD6420">
        <w:rPr>
          <w:rFonts w:ascii="Times New Roman" w:hAnsi="Times New Roman" w:cs="Times New Roman"/>
          <w:b/>
          <w:sz w:val="28"/>
          <w:szCs w:val="28"/>
          <w:lang w:val="en-US"/>
        </w:rPr>
        <w:t xml:space="preserve"> H</w:t>
      </w:r>
      <w:r>
        <w:rPr>
          <w:rFonts w:ascii="Times New Roman" w:hAnsi="Times New Roman" w:cs="Times New Roman"/>
          <w:b/>
          <w:sz w:val="28"/>
          <w:szCs w:val="28"/>
          <w:lang w:val="en-US"/>
        </w:rPr>
        <w:t>OUSEHOLDS</w:t>
      </w:r>
      <w:r w:rsidRPr="00DD6420">
        <w:rPr>
          <w:rFonts w:ascii="Times New Roman" w:hAnsi="Times New Roman" w:cs="Times New Roman"/>
          <w:b/>
          <w:sz w:val="28"/>
          <w:szCs w:val="28"/>
          <w:lang w:val="en-US"/>
        </w:rPr>
        <w:t xml:space="preserve"> C</w:t>
      </w:r>
      <w:r>
        <w:rPr>
          <w:rFonts w:ascii="Times New Roman" w:hAnsi="Times New Roman" w:cs="Times New Roman"/>
          <w:b/>
          <w:sz w:val="28"/>
          <w:szCs w:val="28"/>
          <w:lang w:val="en-US"/>
        </w:rPr>
        <w:t>ONSUMPTION</w:t>
      </w:r>
    </w:p>
    <w:p w:rsidR="00DD3717" w:rsidRDefault="00DD3717" w:rsidP="00E24DA5">
      <w:pPr>
        <w:spacing w:line="480" w:lineRule="auto"/>
        <w:jc w:val="both"/>
        <w:rPr>
          <w:rFonts w:ascii="Times New Roman" w:hAnsi="Times New Roman" w:cs="Times New Roman"/>
          <w:sz w:val="24"/>
          <w:szCs w:val="24"/>
          <w:lang w:val="en-US"/>
        </w:rPr>
      </w:pPr>
    </w:p>
    <w:p w:rsidR="00522048" w:rsidRPr="001735E3" w:rsidRDefault="00522048" w:rsidP="00E24DA5">
      <w:pPr>
        <w:spacing w:line="480" w:lineRule="auto"/>
        <w:jc w:val="both"/>
        <w:rPr>
          <w:rFonts w:ascii="Times New Roman" w:hAnsi="Times New Roman" w:cs="Times New Roman"/>
          <w:sz w:val="24"/>
          <w:szCs w:val="24"/>
          <w:lang w:val="en-US"/>
        </w:rPr>
      </w:pPr>
      <w:r w:rsidRPr="001735E3">
        <w:rPr>
          <w:rFonts w:ascii="Times New Roman" w:hAnsi="Times New Roman" w:cs="Times New Roman"/>
          <w:sz w:val="24"/>
          <w:szCs w:val="24"/>
          <w:lang w:val="en-US"/>
        </w:rPr>
        <w:t xml:space="preserve">Given that household debt raises certain concerns about the resilience of the economy, against this backdrop, this paper explores whether household debt service matters as a leading indicator for consumption. Employing data from 32 countries, spanning the period 1999-2017, </w:t>
      </w:r>
      <w:proofErr w:type="gramStart"/>
      <w:r w:rsidRPr="001735E3">
        <w:rPr>
          <w:rFonts w:ascii="Times New Roman" w:hAnsi="Times New Roman" w:cs="Times New Roman"/>
          <w:sz w:val="24"/>
          <w:szCs w:val="24"/>
          <w:lang w:val="en-US"/>
        </w:rPr>
        <w:t>the</w:t>
      </w:r>
      <w:proofErr w:type="gramEnd"/>
      <w:r w:rsidRPr="001735E3">
        <w:rPr>
          <w:rFonts w:ascii="Times New Roman" w:hAnsi="Times New Roman" w:cs="Times New Roman"/>
          <w:sz w:val="24"/>
          <w:szCs w:val="24"/>
          <w:lang w:val="en-US"/>
        </w:rPr>
        <w:t xml:space="preserve"> empirical analysis provides fresh informa</w:t>
      </w:r>
      <w:r w:rsidR="0059151B" w:rsidRPr="001735E3">
        <w:rPr>
          <w:rFonts w:ascii="Times New Roman" w:hAnsi="Times New Roman" w:cs="Times New Roman"/>
          <w:sz w:val="24"/>
          <w:szCs w:val="24"/>
          <w:lang w:val="en-US"/>
        </w:rPr>
        <w:t>tion on th</w:t>
      </w:r>
      <w:r w:rsidR="003E6059">
        <w:rPr>
          <w:rFonts w:ascii="Times New Roman" w:hAnsi="Times New Roman" w:cs="Times New Roman"/>
          <w:sz w:val="24"/>
          <w:szCs w:val="24"/>
          <w:lang w:val="en-US"/>
        </w:rPr>
        <w:t>e</w:t>
      </w:r>
      <w:r w:rsidR="0059151B" w:rsidRPr="001735E3">
        <w:rPr>
          <w:rFonts w:ascii="Times New Roman" w:hAnsi="Times New Roman" w:cs="Times New Roman"/>
          <w:sz w:val="24"/>
          <w:szCs w:val="24"/>
          <w:lang w:val="en-US"/>
        </w:rPr>
        <w:t xml:space="preserve"> fact that the debt-</w:t>
      </w:r>
      <w:r w:rsidRPr="001735E3">
        <w:rPr>
          <w:rFonts w:ascii="Times New Roman" w:hAnsi="Times New Roman" w:cs="Times New Roman"/>
          <w:sz w:val="24"/>
          <w:szCs w:val="24"/>
          <w:lang w:val="en-US"/>
        </w:rPr>
        <w:t xml:space="preserve">service ratio </w:t>
      </w:r>
      <w:r w:rsidR="00B9768C" w:rsidRPr="001735E3">
        <w:rPr>
          <w:rFonts w:ascii="Times New Roman" w:hAnsi="Times New Roman" w:cs="Times New Roman"/>
          <w:sz w:val="24"/>
          <w:szCs w:val="24"/>
          <w:lang w:val="en-US"/>
        </w:rPr>
        <w:t>strongly predicts consumption expenditure</w:t>
      </w:r>
      <w:r w:rsidR="0001504C" w:rsidRPr="001735E3">
        <w:rPr>
          <w:rFonts w:ascii="Times New Roman" w:hAnsi="Times New Roman" w:cs="Times New Roman"/>
          <w:sz w:val="24"/>
          <w:szCs w:val="24"/>
          <w:lang w:val="en-US"/>
        </w:rPr>
        <w:t>. The results also document that the effect of the debt</w:t>
      </w:r>
      <w:r w:rsidR="0059151B" w:rsidRPr="001735E3">
        <w:rPr>
          <w:rFonts w:ascii="Times New Roman" w:hAnsi="Times New Roman" w:cs="Times New Roman"/>
          <w:sz w:val="24"/>
          <w:szCs w:val="24"/>
          <w:lang w:val="en-US"/>
        </w:rPr>
        <w:t>-</w:t>
      </w:r>
      <w:r w:rsidR="0001504C" w:rsidRPr="001735E3">
        <w:rPr>
          <w:rFonts w:ascii="Times New Roman" w:hAnsi="Times New Roman" w:cs="Times New Roman"/>
          <w:sz w:val="24"/>
          <w:szCs w:val="24"/>
          <w:lang w:val="en-US"/>
        </w:rPr>
        <w:t xml:space="preserve">service ratio on consumer expenditure differs across types of consumer spending (durables </w:t>
      </w:r>
      <w:proofErr w:type="spellStart"/>
      <w:r w:rsidR="0001504C" w:rsidRPr="001735E3">
        <w:rPr>
          <w:rFonts w:ascii="Times New Roman" w:hAnsi="Times New Roman" w:cs="Times New Roman"/>
          <w:sz w:val="24"/>
          <w:szCs w:val="24"/>
          <w:lang w:val="en-US"/>
        </w:rPr>
        <w:t>vs</w:t>
      </w:r>
      <w:proofErr w:type="spellEnd"/>
      <w:r w:rsidR="0001504C" w:rsidRPr="001735E3">
        <w:rPr>
          <w:rFonts w:ascii="Times New Roman" w:hAnsi="Times New Roman" w:cs="Times New Roman"/>
          <w:sz w:val="24"/>
          <w:szCs w:val="24"/>
          <w:lang w:val="en-US"/>
        </w:rPr>
        <w:t xml:space="preserve"> nondurables </w:t>
      </w:r>
      <w:proofErr w:type="spellStart"/>
      <w:r w:rsidR="003E6059">
        <w:rPr>
          <w:rFonts w:ascii="Times New Roman" w:hAnsi="Times New Roman" w:cs="Times New Roman"/>
          <w:sz w:val="24"/>
          <w:szCs w:val="24"/>
          <w:lang w:val="en-US"/>
        </w:rPr>
        <w:t>vs</w:t>
      </w:r>
      <w:proofErr w:type="spellEnd"/>
      <w:r w:rsidR="0001504C" w:rsidRPr="001735E3">
        <w:rPr>
          <w:rFonts w:ascii="Times New Roman" w:hAnsi="Times New Roman" w:cs="Times New Roman"/>
          <w:sz w:val="24"/>
          <w:szCs w:val="24"/>
          <w:lang w:val="en-US"/>
        </w:rPr>
        <w:t xml:space="preserve"> services). In particular, the impact is strong for the case of the durable goods and weaker in the other two cases. The findings imply</w:t>
      </w:r>
      <w:r w:rsidR="0059151B" w:rsidRPr="001735E3">
        <w:rPr>
          <w:rFonts w:ascii="Times New Roman" w:hAnsi="Times New Roman" w:cs="Times New Roman"/>
          <w:sz w:val="24"/>
          <w:szCs w:val="24"/>
          <w:lang w:val="en-US"/>
        </w:rPr>
        <w:t xml:space="preserve"> that debt service</w:t>
      </w:r>
      <w:r w:rsidR="0001504C" w:rsidRPr="001735E3">
        <w:rPr>
          <w:rFonts w:ascii="Times New Roman" w:hAnsi="Times New Roman" w:cs="Times New Roman"/>
          <w:sz w:val="24"/>
          <w:szCs w:val="24"/>
          <w:lang w:val="en-US"/>
        </w:rPr>
        <w:t xml:space="preserve"> may serve as an important channel</w:t>
      </w:r>
      <w:r w:rsidR="003E6059">
        <w:rPr>
          <w:rFonts w:ascii="Times New Roman" w:hAnsi="Times New Roman" w:cs="Times New Roman"/>
          <w:sz w:val="24"/>
          <w:szCs w:val="24"/>
          <w:lang w:val="en-US"/>
        </w:rPr>
        <w:t>,</w:t>
      </w:r>
      <w:r w:rsidR="0001504C" w:rsidRPr="001735E3">
        <w:rPr>
          <w:rFonts w:ascii="Times New Roman" w:hAnsi="Times New Roman" w:cs="Times New Roman"/>
          <w:sz w:val="24"/>
          <w:szCs w:val="24"/>
          <w:lang w:val="en-US"/>
        </w:rPr>
        <w:t xml:space="preserve"> running from debt to consumer spending.</w:t>
      </w:r>
      <w:r w:rsidR="00B9768C" w:rsidRPr="001735E3">
        <w:rPr>
          <w:rFonts w:ascii="Times New Roman" w:hAnsi="Times New Roman" w:cs="Times New Roman"/>
          <w:sz w:val="24"/>
          <w:szCs w:val="24"/>
          <w:lang w:val="en-US"/>
        </w:rPr>
        <w:t xml:space="preserve"> Finally, the results survive a number of robustness tests</w:t>
      </w:r>
      <w:r w:rsidR="00762076">
        <w:rPr>
          <w:rFonts w:ascii="Times New Roman" w:hAnsi="Times New Roman" w:cs="Times New Roman"/>
          <w:sz w:val="24"/>
          <w:szCs w:val="24"/>
          <w:lang w:val="en-US"/>
        </w:rPr>
        <w:t>, while liquidity constraints seem to dominate the drivers of household consumption decisions.</w:t>
      </w:r>
    </w:p>
    <w:p w:rsidR="00522048" w:rsidRDefault="00522048" w:rsidP="00E24DA5">
      <w:pPr>
        <w:spacing w:line="480" w:lineRule="auto"/>
        <w:jc w:val="both"/>
        <w:rPr>
          <w:rFonts w:ascii="Times New Roman" w:hAnsi="Times New Roman" w:cs="Times New Roman"/>
          <w:sz w:val="24"/>
          <w:szCs w:val="24"/>
          <w:lang w:val="en-US"/>
        </w:rPr>
      </w:pPr>
      <w:r w:rsidRPr="00736C3D">
        <w:rPr>
          <w:rFonts w:ascii="Times New Roman" w:hAnsi="Times New Roman" w:cs="Times New Roman"/>
          <w:i/>
          <w:sz w:val="24"/>
          <w:szCs w:val="24"/>
          <w:lang w:val="en-US"/>
        </w:rPr>
        <w:t>Keywords</w:t>
      </w:r>
      <w:r>
        <w:rPr>
          <w:rFonts w:ascii="Times New Roman" w:hAnsi="Times New Roman" w:cs="Times New Roman"/>
          <w:sz w:val="24"/>
          <w:szCs w:val="24"/>
          <w:lang w:val="en-US"/>
        </w:rPr>
        <w:t>:</w:t>
      </w:r>
      <w:r w:rsidR="009826CE">
        <w:rPr>
          <w:rFonts w:ascii="Times New Roman" w:hAnsi="Times New Roman" w:cs="Times New Roman"/>
          <w:sz w:val="24"/>
          <w:szCs w:val="24"/>
          <w:lang w:val="en-US"/>
        </w:rPr>
        <w:t xml:space="preserve"> debt-service ratio, consumer spending,</w:t>
      </w:r>
      <w:r w:rsidR="0001504C">
        <w:rPr>
          <w:rFonts w:ascii="Times New Roman" w:hAnsi="Times New Roman" w:cs="Times New Roman"/>
          <w:sz w:val="24"/>
          <w:szCs w:val="24"/>
          <w:lang w:val="en-US"/>
        </w:rPr>
        <w:t xml:space="preserve"> panel </w:t>
      </w:r>
      <w:r w:rsidR="00B9768C">
        <w:rPr>
          <w:rFonts w:ascii="Times New Roman" w:hAnsi="Times New Roman" w:cs="Times New Roman"/>
          <w:sz w:val="24"/>
          <w:szCs w:val="24"/>
          <w:lang w:val="en-US"/>
        </w:rPr>
        <w:t xml:space="preserve">country </w:t>
      </w:r>
      <w:r w:rsidR="0001504C">
        <w:rPr>
          <w:rFonts w:ascii="Times New Roman" w:hAnsi="Times New Roman" w:cs="Times New Roman"/>
          <w:sz w:val="24"/>
          <w:szCs w:val="24"/>
          <w:lang w:val="en-US"/>
        </w:rPr>
        <w:t>data</w:t>
      </w:r>
    </w:p>
    <w:p w:rsidR="00522048" w:rsidRDefault="00522048" w:rsidP="00E24DA5">
      <w:pPr>
        <w:spacing w:line="480" w:lineRule="auto"/>
        <w:jc w:val="both"/>
        <w:rPr>
          <w:rFonts w:ascii="Times New Roman" w:hAnsi="Times New Roman" w:cs="Times New Roman"/>
          <w:sz w:val="24"/>
          <w:szCs w:val="24"/>
          <w:lang w:val="en-US"/>
        </w:rPr>
      </w:pPr>
      <w:r w:rsidRPr="00736C3D">
        <w:rPr>
          <w:rFonts w:ascii="Times New Roman" w:hAnsi="Times New Roman" w:cs="Times New Roman"/>
          <w:i/>
          <w:sz w:val="24"/>
          <w:szCs w:val="24"/>
          <w:lang w:val="en-US"/>
        </w:rPr>
        <w:t>JEL Classification</w:t>
      </w:r>
      <w:r>
        <w:rPr>
          <w:rFonts w:ascii="Times New Roman" w:hAnsi="Times New Roman" w:cs="Times New Roman"/>
          <w:sz w:val="24"/>
          <w:szCs w:val="24"/>
          <w:lang w:val="en-US"/>
        </w:rPr>
        <w:t>:</w:t>
      </w:r>
      <w:r w:rsidR="0001504C">
        <w:rPr>
          <w:rFonts w:ascii="Times New Roman" w:hAnsi="Times New Roman" w:cs="Times New Roman"/>
          <w:sz w:val="24"/>
          <w:szCs w:val="24"/>
          <w:lang w:val="en-US"/>
        </w:rPr>
        <w:t xml:space="preserve"> E21; C33</w:t>
      </w:r>
    </w:p>
    <w:p w:rsidR="00522048" w:rsidRDefault="00522048" w:rsidP="00E24DA5">
      <w:pPr>
        <w:spacing w:line="480" w:lineRule="auto"/>
        <w:jc w:val="both"/>
        <w:rPr>
          <w:rFonts w:ascii="Times New Roman" w:hAnsi="Times New Roman" w:cs="Times New Roman"/>
          <w:sz w:val="24"/>
          <w:szCs w:val="24"/>
          <w:lang w:val="en-US"/>
        </w:rPr>
      </w:pPr>
    </w:p>
    <w:p w:rsidR="001735E3" w:rsidRPr="009905BE" w:rsidRDefault="009905BE" w:rsidP="00736C3D">
      <w:pPr>
        <w:spacing w:line="480" w:lineRule="auto"/>
        <w:rPr>
          <w:rFonts w:ascii="Times New Roman" w:hAnsi="Times New Roman" w:cs="Times New Roman"/>
          <w:sz w:val="24"/>
          <w:szCs w:val="24"/>
          <w:lang w:val="en-US"/>
        </w:rPr>
      </w:pPr>
      <w:r w:rsidRPr="009905BE">
        <w:rPr>
          <w:rFonts w:ascii="Times New Roman" w:hAnsi="Times New Roman" w:cs="Times New Roman"/>
          <w:sz w:val="24"/>
          <w:szCs w:val="24"/>
          <w:lang w:val="en-US"/>
        </w:rPr>
        <w:t>1</w:t>
      </w:r>
      <w:r w:rsidR="00736C3D" w:rsidRPr="009905BE">
        <w:rPr>
          <w:rFonts w:ascii="Times New Roman" w:hAnsi="Times New Roman" w:cs="Times New Roman"/>
          <w:sz w:val="24"/>
          <w:szCs w:val="24"/>
          <w:lang w:val="en-US"/>
        </w:rPr>
        <w:t xml:space="preserve"> </w:t>
      </w:r>
      <w:r w:rsidR="001735E3" w:rsidRPr="009905BE">
        <w:rPr>
          <w:rFonts w:ascii="Times New Roman" w:hAnsi="Times New Roman" w:cs="Times New Roman"/>
          <w:sz w:val="24"/>
          <w:szCs w:val="24"/>
          <w:lang w:val="en-US"/>
        </w:rPr>
        <w:t>I</w:t>
      </w:r>
      <w:r w:rsidRPr="009905BE">
        <w:rPr>
          <w:rFonts w:ascii="Times New Roman" w:hAnsi="Times New Roman" w:cs="Times New Roman"/>
          <w:sz w:val="24"/>
          <w:szCs w:val="24"/>
          <w:lang w:val="en-US"/>
        </w:rPr>
        <w:t>NTRODUCTION</w:t>
      </w:r>
    </w:p>
    <w:p w:rsidR="00264E20" w:rsidRDefault="00542E6E" w:rsidP="00DD642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is linked to the strand of the literature that explores the demand side of macro-financial linkages. In particular, this literatures examines how sharp fluctuations in asset prices, credit and capital flows impact on the financial position of </w:t>
      </w:r>
      <w:r>
        <w:rPr>
          <w:rFonts w:ascii="Times New Roman" w:hAnsi="Times New Roman" w:cs="Times New Roman"/>
          <w:sz w:val="24"/>
          <w:szCs w:val="24"/>
          <w:lang w:val="en-US"/>
        </w:rPr>
        <w:lastRenderedPageBreak/>
        <w:t>households, firms and sovereign countries (</w:t>
      </w:r>
      <w:proofErr w:type="spellStart"/>
      <w:r>
        <w:rPr>
          <w:rFonts w:ascii="Times New Roman" w:hAnsi="Times New Roman" w:cs="Times New Roman"/>
          <w:sz w:val="24"/>
          <w:szCs w:val="24"/>
          <w:lang w:val="en-US"/>
        </w:rPr>
        <w:t>Solimano</w:t>
      </w:r>
      <w:proofErr w:type="spellEnd"/>
      <w:r>
        <w:rPr>
          <w:rFonts w:ascii="Times New Roman" w:hAnsi="Times New Roman" w:cs="Times New Roman"/>
          <w:sz w:val="24"/>
          <w:szCs w:val="24"/>
          <w:lang w:val="en-US"/>
        </w:rPr>
        <w:t xml:space="preserve">, 2010; </w:t>
      </w:r>
      <w:proofErr w:type="spellStart"/>
      <w:r>
        <w:rPr>
          <w:rFonts w:ascii="Times New Roman" w:hAnsi="Times New Roman" w:cs="Times New Roman"/>
          <w:sz w:val="24"/>
          <w:szCs w:val="24"/>
          <w:lang w:val="en-US"/>
        </w:rPr>
        <w:t>Caprio</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Gertler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Kiyotaki</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Borio</w:t>
      </w:r>
      <w:proofErr w:type="spellEnd"/>
      <w:r>
        <w:rPr>
          <w:rFonts w:ascii="Times New Roman" w:hAnsi="Times New Roman" w:cs="Times New Roman"/>
          <w:sz w:val="24"/>
          <w:szCs w:val="24"/>
          <w:lang w:val="en-US"/>
        </w:rPr>
        <w:t xml:space="preserve">, 2014; </w:t>
      </w:r>
      <w:proofErr w:type="spellStart"/>
      <w:r>
        <w:rPr>
          <w:rFonts w:ascii="Times New Roman" w:hAnsi="Times New Roman" w:cs="Times New Roman"/>
          <w:sz w:val="24"/>
          <w:szCs w:val="24"/>
          <w:lang w:val="en-US"/>
        </w:rPr>
        <w:t>Morlev</w:t>
      </w:r>
      <w:proofErr w:type="spellEnd"/>
      <w:r>
        <w:rPr>
          <w:rFonts w:ascii="Times New Roman" w:hAnsi="Times New Roman" w:cs="Times New Roman"/>
          <w:sz w:val="24"/>
          <w:szCs w:val="24"/>
          <w:lang w:val="en-US"/>
        </w:rPr>
        <w:t xml:space="preserve">, 2016). Moreover, the recent financial crisis event of 2008 has inspired a debate on the role of financial market imperfections in explaining macroeconomic fluctuations. The majority of the literature support that these imperfections tend to intensify fluctuations both on the financial and </w:t>
      </w:r>
      <w:r w:rsidR="003E6059">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the real side of the economy. </w:t>
      </w:r>
      <w:r w:rsidR="00A424A4">
        <w:rPr>
          <w:rFonts w:ascii="Times New Roman" w:hAnsi="Times New Roman" w:cs="Times New Roman"/>
          <w:sz w:val="24"/>
          <w:szCs w:val="24"/>
          <w:lang w:val="en-US"/>
        </w:rPr>
        <w:t>F</w:t>
      </w:r>
      <w:r w:rsidR="00264E20">
        <w:rPr>
          <w:rFonts w:ascii="Times New Roman" w:hAnsi="Times New Roman" w:cs="Times New Roman"/>
          <w:sz w:val="24"/>
          <w:szCs w:val="24"/>
          <w:lang w:val="en-US"/>
        </w:rPr>
        <w:t xml:space="preserve">inancial market imperfections are closely linked to information asymmetries and enforcement problems. The presence of such asymmetries incurs large costs for lenders, which leads them to abstain from lending. Moreover, such asymmetries generate incomplete financial markets, which results in high transaction costs and adverse </w:t>
      </w:r>
      <w:r w:rsidR="003E6059">
        <w:rPr>
          <w:rFonts w:ascii="Times New Roman" w:hAnsi="Times New Roman" w:cs="Times New Roman"/>
          <w:sz w:val="24"/>
          <w:szCs w:val="24"/>
          <w:lang w:val="en-US"/>
        </w:rPr>
        <w:t>se</w:t>
      </w:r>
      <w:r w:rsidR="00264E20">
        <w:rPr>
          <w:rFonts w:ascii="Times New Roman" w:hAnsi="Times New Roman" w:cs="Times New Roman"/>
          <w:sz w:val="24"/>
          <w:szCs w:val="24"/>
          <w:lang w:val="en-US"/>
        </w:rPr>
        <w:t xml:space="preserve">lection </w:t>
      </w:r>
      <w:r w:rsidR="003E6059">
        <w:rPr>
          <w:rFonts w:ascii="Times New Roman" w:hAnsi="Times New Roman" w:cs="Times New Roman"/>
          <w:sz w:val="24"/>
          <w:szCs w:val="24"/>
          <w:lang w:val="en-US"/>
        </w:rPr>
        <w:t>phenomena</w:t>
      </w:r>
      <w:r w:rsidR="00264E20">
        <w:rPr>
          <w:rFonts w:ascii="Times New Roman" w:hAnsi="Times New Roman" w:cs="Times New Roman"/>
          <w:sz w:val="24"/>
          <w:szCs w:val="24"/>
          <w:lang w:val="en-US"/>
        </w:rPr>
        <w:t xml:space="preserve">, thus, resulting in higher costs of external financing </w:t>
      </w:r>
      <w:r w:rsidR="00A424A4">
        <w:rPr>
          <w:rFonts w:ascii="Times New Roman" w:hAnsi="Times New Roman" w:cs="Times New Roman"/>
          <w:sz w:val="24"/>
          <w:szCs w:val="24"/>
          <w:lang w:val="en-US"/>
        </w:rPr>
        <w:t>and rationing schemes from lenders (</w:t>
      </w:r>
      <w:proofErr w:type="spellStart"/>
      <w:r w:rsidR="00A424A4">
        <w:rPr>
          <w:rFonts w:ascii="Times New Roman" w:hAnsi="Times New Roman" w:cs="Times New Roman"/>
          <w:sz w:val="24"/>
          <w:szCs w:val="24"/>
          <w:lang w:val="en-US"/>
        </w:rPr>
        <w:t>Stiglitz</w:t>
      </w:r>
      <w:proofErr w:type="spellEnd"/>
      <w:r w:rsidR="00A424A4">
        <w:rPr>
          <w:rFonts w:ascii="Times New Roman" w:hAnsi="Times New Roman" w:cs="Times New Roman"/>
          <w:sz w:val="24"/>
          <w:szCs w:val="24"/>
          <w:lang w:val="en-US"/>
        </w:rPr>
        <w:t xml:space="preserve"> and Weiss, 1981). </w:t>
      </w:r>
    </w:p>
    <w:p w:rsidR="00A424A4" w:rsidRDefault="00A424A4" w:rsidP="00F206B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Strong research efforts have examined the above arguments </w:t>
      </w:r>
      <w:r w:rsidR="003E6059">
        <w:rPr>
          <w:rFonts w:ascii="Times New Roman" w:hAnsi="Times New Roman" w:cs="Times New Roman"/>
          <w:sz w:val="24"/>
          <w:szCs w:val="24"/>
          <w:lang w:val="en-US"/>
        </w:rPr>
        <w:t>on</w:t>
      </w:r>
      <w:r>
        <w:rPr>
          <w:rFonts w:ascii="Times New Roman" w:hAnsi="Times New Roman" w:cs="Times New Roman"/>
          <w:sz w:val="24"/>
          <w:szCs w:val="24"/>
          <w:lang w:val="en-US"/>
        </w:rPr>
        <w:t xml:space="preserve"> the role of imperfections in the link between internal cash flows and investment flows (Kaplan and </w:t>
      </w:r>
      <w:proofErr w:type="spellStart"/>
      <w:r>
        <w:rPr>
          <w:rFonts w:ascii="Times New Roman" w:hAnsi="Times New Roman" w:cs="Times New Roman"/>
          <w:sz w:val="24"/>
          <w:szCs w:val="24"/>
          <w:lang w:val="en-US"/>
        </w:rPr>
        <w:t>Zingales</w:t>
      </w:r>
      <w:proofErr w:type="spellEnd"/>
      <w:r>
        <w:rPr>
          <w:rFonts w:ascii="Times New Roman" w:hAnsi="Times New Roman" w:cs="Times New Roman"/>
          <w:sz w:val="24"/>
          <w:szCs w:val="24"/>
          <w:lang w:val="en-US"/>
        </w:rPr>
        <w:t>, 1997, 2000), for small firms, especially during times of financial stress (</w:t>
      </w:r>
      <w:proofErr w:type="spellStart"/>
      <w:r>
        <w:rPr>
          <w:rFonts w:ascii="Times New Roman" w:hAnsi="Times New Roman" w:cs="Times New Roman"/>
          <w:sz w:val="24"/>
          <w:szCs w:val="24"/>
          <w:lang w:val="en-US"/>
        </w:rPr>
        <w:t>Campello</w:t>
      </w:r>
      <w:proofErr w:type="spellEnd"/>
      <w:r>
        <w:rPr>
          <w:rFonts w:ascii="Times New Roman" w:hAnsi="Times New Roman" w:cs="Times New Roman"/>
          <w:sz w:val="24"/>
          <w:szCs w:val="24"/>
          <w:lang w:val="en-US"/>
        </w:rPr>
        <w:t xml:space="preserve"> et al., 2010; Fort et al., 2013), </w:t>
      </w:r>
      <w:r w:rsidR="003E6059">
        <w:rPr>
          <w:rFonts w:ascii="Times New Roman" w:hAnsi="Times New Roman" w:cs="Times New Roman"/>
          <w:sz w:val="24"/>
          <w:szCs w:val="24"/>
          <w:lang w:val="en-US"/>
        </w:rPr>
        <w:t xml:space="preserve">in </w:t>
      </w:r>
      <w:r>
        <w:rPr>
          <w:rFonts w:ascii="Times New Roman" w:hAnsi="Times New Roman" w:cs="Times New Roman"/>
          <w:sz w:val="24"/>
          <w:szCs w:val="24"/>
          <w:lang w:val="en-US"/>
        </w:rPr>
        <w:t>the link between internal cash flows and asset prices (</w:t>
      </w:r>
      <w:proofErr w:type="spellStart"/>
      <w:r>
        <w:rPr>
          <w:rFonts w:ascii="Times New Roman" w:hAnsi="Times New Roman" w:cs="Times New Roman"/>
          <w:sz w:val="24"/>
          <w:szCs w:val="24"/>
          <w:lang w:val="en-US"/>
        </w:rPr>
        <w:t>Gan</w:t>
      </w:r>
      <w:proofErr w:type="spellEnd"/>
      <w:r>
        <w:rPr>
          <w:rFonts w:ascii="Times New Roman" w:hAnsi="Times New Roman" w:cs="Times New Roman"/>
          <w:sz w:val="24"/>
          <w:szCs w:val="24"/>
          <w:lang w:val="en-US"/>
        </w:rPr>
        <w:t>, 2007;</w:t>
      </w:r>
      <w:r w:rsidR="003E6059">
        <w:rPr>
          <w:rFonts w:ascii="Times New Roman" w:hAnsi="Times New Roman" w:cs="Times New Roman"/>
          <w:sz w:val="24"/>
          <w:szCs w:val="24"/>
          <w:lang w:val="en-US"/>
        </w:rPr>
        <w:t xml:space="preserve"> Chaney et al., 2012), </w:t>
      </w:r>
      <w:r>
        <w:rPr>
          <w:rFonts w:ascii="Times New Roman" w:hAnsi="Times New Roman" w:cs="Times New Roman"/>
          <w:sz w:val="24"/>
          <w:szCs w:val="24"/>
          <w:lang w:val="en-US"/>
        </w:rPr>
        <w:t>credit constraints for firms and households (</w:t>
      </w:r>
      <w:proofErr w:type="spellStart"/>
      <w:r>
        <w:rPr>
          <w:rFonts w:ascii="Times New Roman" w:hAnsi="Times New Roman" w:cs="Times New Roman"/>
          <w:sz w:val="24"/>
          <w:szCs w:val="24"/>
          <w:lang w:val="en-US"/>
        </w:rPr>
        <w:t>Gertler</w:t>
      </w:r>
      <w:proofErr w:type="spellEnd"/>
      <w:r>
        <w:rPr>
          <w:rFonts w:ascii="Times New Roman" w:hAnsi="Times New Roman" w:cs="Times New Roman"/>
          <w:sz w:val="24"/>
          <w:szCs w:val="24"/>
          <w:lang w:val="en-US"/>
        </w:rPr>
        <w:t xml:space="preserve"> and Gilchrist, 1994), the inability of household to borrow (</w:t>
      </w:r>
      <w:proofErr w:type="spellStart"/>
      <w:r>
        <w:rPr>
          <w:rFonts w:ascii="Times New Roman" w:hAnsi="Times New Roman" w:cs="Times New Roman"/>
          <w:sz w:val="24"/>
          <w:szCs w:val="24"/>
          <w:lang w:val="en-US"/>
        </w:rPr>
        <w:t>Jappelli</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Pistaferri</w:t>
      </w:r>
      <w:proofErr w:type="spellEnd"/>
      <w:r>
        <w:rPr>
          <w:rFonts w:ascii="Times New Roman" w:hAnsi="Times New Roman" w:cs="Times New Roman"/>
          <w:sz w:val="24"/>
          <w:szCs w:val="24"/>
          <w:lang w:val="en-US"/>
        </w:rPr>
        <w:t xml:space="preserve">, 2010 for a review), house prices </w:t>
      </w:r>
      <w:r w:rsidR="003E6059">
        <w:rPr>
          <w:rFonts w:ascii="Times New Roman" w:hAnsi="Times New Roman" w:cs="Times New Roman"/>
          <w:sz w:val="24"/>
          <w:szCs w:val="24"/>
          <w:lang w:val="en-US"/>
        </w:rPr>
        <w:t>and</w:t>
      </w:r>
      <w:r>
        <w:rPr>
          <w:rFonts w:ascii="Times New Roman" w:hAnsi="Times New Roman" w:cs="Times New Roman"/>
          <w:sz w:val="24"/>
          <w:szCs w:val="24"/>
          <w:lang w:val="en-US"/>
        </w:rPr>
        <w:t xml:space="preserve"> households’ borrowing (Almeida et al., 2006; </w:t>
      </w:r>
      <w:proofErr w:type="spellStart"/>
      <w:r>
        <w:rPr>
          <w:rFonts w:ascii="Times New Roman" w:hAnsi="Times New Roman" w:cs="Times New Roman"/>
          <w:sz w:val="24"/>
          <w:szCs w:val="24"/>
          <w:lang w:val="en-US"/>
        </w:rPr>
        <w:t>Claessens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Kose</w:t>
      </w:r>
      <w:proofErr w:type="spellEnd"/>
      <w:r>
        <w:rPr>
          <w:rFonts w:ascii="Times New Roman" w:hAnsi="Times New Roman" w:cs="Times New Roman"/>
          <w:sz w:val="24"/>
          <w:szCs w:val="24"/>
          <w:lang w:val="en-US"/>
        </w:rPr>
        <w:t xml:space="preserve">, 2017), housing prices </w:t>
      </w:r>
      <w:r w:rsidR="003E6059">
        <w:rPr>
          <w:rFonts w:ascii="Times New Roman" w:hAnsi="Times New Roman" w:cs="Times New Roman"/>
          <w:sz w:val="24"/>
          <w:szCs w:val="24"/>
          <w:lang w:val="en-US"/>
        </w:rPr>
        <w:t>and</w:t>
      </w:r>
      <w:r>
        <w:rPr>
          <w:rFonts w:ascii="Times New Roman" w:hAnsi="Times New Roman" w:cs="Times New Roman"/>
          <w:sz w:val="24"/>
          <w:szCs w:val="24"/>
          <w:lang w:val="en-US"/>
        </w:rPr>
        <w:t xml:space="preserve"> local credit and growth developments (</w:t>
      </w:r>
      <w:proofErr w:type="spellStart"/>
      <w:r>
        <w:rPr>
          <w:rFonts w:ascii="Times New Roman" w:hAnsi="Times New Roman" w:cs="Times New Roman"/>
          <w:sz w:val="24"/>
          <w:szCs w:val="24"/>
          <w:lang w:val="en-US"/>
        </w:rPr>
        <w:t>Mian</w:t>
      </w:r>
      <w:proofErr w:type="spellEnd"/>
      <w:r>
        <w:rPr>
          <w:rFonts w:ascii="Times New Roman" w:hAnsi="Times New Roman" w:cs="Times New Roman"/>
          <w:sz w:val="24"/>
          <w:szCs w:val="24"/>
          <w:lang w:val="en-US"/>
        </w:rPr>
        <w:t xml:space="preserve"> and Sufi, 2010; </w:t>
      </w:r>
      <w:proofErr w:type="spellStart"/>
      <w:r>
        <w:rPr>
          <w:rFonts w:ascii="Times New Roman" w:hAnsi="Times New Roman" w:cs="Times New Roman"/>
          <w:sz w:val="24"/>
          <w:szCs w:val="24"/>
          <w:lang w:val="en-US"/>
        </w:rPr>
        <w:t>Benmelech</w:t>
      </w:r>
      <w:proofErr w:type="spellEnd"/>
      <w:r>
        <w:rPr>
          <w:rFonts w:ascii="Times New Roman" w:hAnsi="Times New Roman" w:cs="Times New Roman"/>
          <w:sz w:val="24"/>
          <w:szCs w:val="24"/>
          <w:lang w:val="en-US"/>
        </w:rPr>
        <w:t xml:space="preserve"> et al., 2017)</w:t>
      </w:r>
      <w:r w:rsidR="00D46FAB">
        <w:rPr>
          <w:rFonts w:ascii="Times New Roman" w:hAnsi="Times New Roman" w:cs="Times New Roman"/>
          <w:sz w:val="24"/>
          <w:szCs w:val="24"/>
          <w:lang w:val="en-US"/>
        </w:rPr>
        <w:t>, the ability of sovereign nations to borrow from international markets (</w:t>
      </w:r>
      <w:proofErr w:type="spellStart"/>
      <w:r w:rsidR="00D46FAB">
        <w:rPr>
          <w:rFonts w:ascii="Times New Roman" w:hAnsi="Times New Roman" w:cs="Times New Roman"/>
          <w:sz w:val="24"/>
          <w:szCs w:val="24"/>
          <w:lang w:val="en-US"/>
        </w:rPr>
        <w:t>Obstfeld</w:t>
      </w:r>
      <w:proofErr w:type="spellEnd"/>
      <w:r w:rsidR="00D46FAB">
        <w:rPr>
          <w:rFonts w:ascii="Times New Roman" w:hAnsi="Times New Roman" w:cs="Times New Roman"/>
          <w:sz w:val="24"/>
          <w:szCs w:val="24"/>
          <w:lang w:val="en-US"/>
        </w:rPr>
        <w:t xml:space="preserve"> and </w:t>
      </w:r>
      <w:proofErr w:type="spellStart"/>
      <w:r w:rsidR="00D46FAB">
        <w:rPr>
          <w:rFonts w:ascii="Times New Roman" w:hAnsi="Times New Roman" w:cs="Times New Roman"/>
          <w:sz w:val="24"/>
          <w:szCs w:val="24"/>
          <w:lang w:val="en-US"/>
        </w:rPr>
        <w:t>Rogoff</w:t>
      </w:r>
      <w:proofErr w:type="spellEnd"/>
      <w:r w:rsidR="00D46FAB">
        <w:rPr>
          <w:rFonts w:ascii="Times New Roman" w:hAnsi="Times New Roman" w:cs="Times New Roman"/>
          <w:sz w:val="24"/>
          <w:szCs w:val="24"/>
          <w:lang w:val="en-US"/>
        </w:rPr>
        <w:t xml:space="preserve">, 2002; Ferraris and </w:t>
      </w:r>
      <w:proofErr w:type="spellStart"/>
      <w:r w:rsidR="00D46FAB">
        <w:rPr>
          <w:rFonts w:ascii="Times New Roman" w:hAnsi="Times New Roman" w:cs="Times New Roman"/>
          <w:sz w:val="24"/>
          <w:szCs w:val="24"/>
          <w:lang w:val="en-US"/>
        </w:rPr>
        <w:t>Minetti</w:t>
      </w:r>
      <w:proofErr w:type="spellEnd"/>
      <w:r w:rsidR="00D46FAB">
        <w:rPr>
          <w:rFonts w:ascii="Times New Roman" w:hAnsi="Times New Roman" w:cs="Times New Roman"/>
          <w:sz w:val="24"/>
          <w:szCs w:val="24"/>
          <w:lang w:val="en-US"/>
        </w:rPr>
        <w:t xml:space="preserve">, 2013; </w:t>
      </w:r>
      <w:proofErr w:type="spellStart"/>
      <w:r w:rsidR="00D46FAB">
        <w:rPr>
          <w:rFonts w:ascii="Times New Roman" w:hAnsi="Times New Roman" w:cs="Times New Roman"/>
          <w:sz w:val="24"/>
          <w:szCs w:val="24"/>
          <w:lang w:val="en-US"/>
        </w:rPr>
        <w:t>Korinek</w:t>
      </w:r>
      <w:proofErr w:type="spellEnd"/>
      <w:r w:rsidR="00D46FAB">
        <w:rPr>
          <w:rFonts w:ascii="Times New Roman" w:hAnsi="Times New Roman" w:cs="Times New Roman"/>
          <w:sz w:val="24"/>
          <w:szCs w:val="24"/>
          <w:lang w:val="en-US"/>
        </w:rPr>
        <w:t xml:space="preserve"> and Mendoza, 2014), the impact on countries’ exchange rates (</w:t>
      </w:r>
      <w:proofErr w:type="spellStart"/>
      <w:r w:rsidR="00D46FAB">
        <w:rPr>
          <w:rFonts w:ascii="Times New Roman" w:hAnsi="Times New Roman" w:cs="Times New Roman"/>
          <w:sz w:val="24"/>
          <w:szCs w:val="24"/>
          <w:lang w:val="en-US"/>
        </w:rPr>
        <w:t>Aghion</w:t>
      </w:r>
      <w:proofErr w:type="spellEnd"/>
      <w:r w:rsidR="00D46FAB">
        <w:rPr>
          <w:rFonts w:ascii="Times New Roman" w:hAnsi="Times New Roman" w:cs="Times New Roman"/>
          <w:sz w:val="24"/>
          <w:szCs w:val="24"/>
          <w:lang w:val="en-US"/>
        </w:rPr>
        <w:t xml:space="preserve"> et al., 2000; Cook, 2004), the transmission process of business cycles (</w:t>
      </w:r>
      <w:proofErr w:type="spellStart"/>
      <w:r w:rsidR="00D46FAB">
        <w:rPr>
          <w:rFonts w:ascii="Times New Roman" w:hAnsi="Times New Roman" w:cs="Times New Roman"/>
          <w:sz w:val="24"/>
          <w:szCs w:val="24"/>
          <w:lang w:val="en-US"/>
        </w:rPr>
        <w:t>Guerrieri</w:t>
      </w:r>
      <w:proofErr w:type="spellEnd"/>
      <w:r w:rsidR="00D46FAB">
        <w:rPr>
          <w:rFonts w:ascii="Times New Roman" w:hAnsi="Times New Roman" w:cs="Times New Roman"/>
          <w:sz w:val="24"/>
          <w:szCs w:val="24"/>
          <w:lang w:val="en-US"/>
        </w:rPr>
        <w:t xml:space="preserve"> et al., 2012), and finally, in explaining the synchronized nature of the 2008 financial crisis (</w:t>
      </w:r>
      <w:proofErr w:type="spellStart"/>
      <w:r w:rsidR="00D46FAB">
        <w:rPr>
          <w:rFonts w:ascii="Times New Roman" w:hAnsi="Times New Roman" w:cs="Times New Roman"/>
          <w:sz w:val="24"/>
          <w:szCs w:val="24"/>
          <w:lang w:val="en-US"/>
        </w:rPr>
        <w:t>Kalemli-Ozcan</w:t>
      </w:r>
      <w:proofErr w:type="spellEnd"/>
      <w:r w:rsidR="00D46FAB">
        <w:rPr>
          <w:rFonts w:ascii="Times New Roman" w:hAnsi="Times New Roman" w:cs="Times New Roman"/>
          <w:sz w:val="24"/>
          <w:szCs w:val="24"/>
          <w:lang w:val="en-US"/>
        </w:rPr>
        <w:t xml:space="preserve"> et al., 2013; </w:t>
      </w:r>
      <w:proofErr w:type="spellStart"/>
      <w:r w:rsidR="00D46FAB">
        <w:rPr>
          <w:rFonts w:ascii="Times New Roman" w:hAnsi="Times New Roman" w:cs="Times New Roman"/>
          <w:sz w:val="24"/>
          <w:szCs w:val="24"/>
          <w:lang w:val="en-US"/>
        </w:rPr>
        <w:t>Quadrini</w:t>
      </w:r>
      <w:proofErr w:type="spellEnd"/>
      <w:r w:rsidR="00D46FAB">
        <w:rPr>
          <w:rFonts w:ascii="Times New Roman" w:hAnsi="Times New Roman" w:cs="Times New Roman"/>
          <w:sz w:val="24"/>
          <w:szCs w:val="24"/>
          <w:lang w:val="en-US"/>
        </w:rPr>
        <w:t>, 2014).</w:t>
      </w:r>
      <w:r w:rsidR="00F206BC">
        <w:rPr>
          <w:rFonts w:ascii="Times New Roman" w:hAnsi="Times New Roman" w:cs="Times New Roman"/>
          <w:sz w:val="24"/>
          <w:szCs w:val="24"/>
          <w:lang w:val="en-US"/>
        </w:rPr>
        <w:t xml:space="preserve"> </w:t>
      </w:r>
      <w:r w:rsidR="00F206BC" w:rsidRPr="00F206BC">
        <w:rPr>
          <w:rFonts w:ascii="Times New Roman" w:hAnsi="Times New Roman" w:cs="Times New Roman"/>
          <w:sz w:val="24"/>
          <w:szCs w:val="24"/>
          <w:lang w:val="en-US"/>
        </w:rPr>
        <w:t xml:space="preserve">The </w:t>
      </w:r>
      <w:r w:rsidR="00F206BC">
        <w:rPr>
          <w:rFonts w:ascii="Times New Roman" w:hAnsi="Times New Roman" w:cs="Times New Roman"/>
          <w:sz w:val="24"/>
          <w:szCs w:val="24"/>
          <w:lang w:val="en-US"/>
        </w:rPr>
        <w:lastRenderedPageBreak/>
        <w:t xml:space="preserve">likelihood </w:t>
      </w:r>
      <w:r w:rsidR="00F206BC" w:rsidRPr="00F206BC">
        <w:rPr>
          <w:rFonts w:ascii="Times New Roman" w:hAnsi="Times New Roman" w:cs="Times New Roman"/>
          <w:sz w:val="24"/>
          <w:szCs w:val="24"/>
          <w:lang w:val="en-US"/>
        </w:rPr>
        <w:t>that higher levels of household</w:t>
      </w:r>
      <w:r w:rsidR="00F206BC">
        <w:rPr>
          <w:rFonts w:ascii="Times New Roman" w:hAnsi="Times New Roman" w:cs="Times New Roman"/>
          <w:sz w:val="24"/>
          <w:szCs w:val="24"/>
          <w:lang w:val="en-US"/>
        </w:rPr>
        <w:t xml:space="preserve"> </w:t>
      </w:r>
      <w:r w:rsidR="00F206BC" w:rsidRPr="00F206BC">
        <w:rPr>
          <w:rFonts w:ascii="Times New Roman" w:hAnsi="Times New Roman" w:cs="Times New Roman"/>
          <w:sz w:val="24"/>
          <w:szCs w:val="24"/>
          <w:lang w:val="en-US"/>
        </w:rPr>
        <w:t xml:space="preserve">debt </w:t>
      </w:r>
      <w:r w:rsidR="00F206BC">
        <w:rPr>
          <w:rFonts w:ascii="Times New Roman" w:hAnsi="Times New Roman" w:cs="Times New Roman"/>
          <w:sz w:val="24"/>
          <w:szCs w:val="24"/>
          <w:lang w:val="en-US"/>
        </w:rPr>
        <w:t xml:space="preserve">could </w:t>
      </w:r>
      <w:r w:rsidR="00F206BC" w:rsidRPr="00F206BC">
        <w:rPr>
          <w:rFonts w:ascii="Times New Roman" w:hAnsi="Times New Roman" w:cs="Times New Roman"/>
          <w:sz w:val="24"/>
          <w:szCs w:val="24"/>
          <w:lang w:val="en-US"/>
        </w:rPr>
        <w:t>induce deeper or longer</w:t>
      </w:r>
      <w:r w:rsidR="00F206BC">
        <w:rPr>
          <w:rFonts w:ascii="Times New Roman" w:hAnsi="Times New Roman" w:cs="Times New Roman"/>
          <w:sz w:val="24"/>
          <w:szCs w:val="24"/>
          <w:lang w:val="en-US"/>
        </w:rPr>
        <w:t xml:space="preserve"> </w:t>
      </w:r>
      <w:r w:rsidR="00F206BC" w:rsidRPr="00F206BC">
        <w:rPr>
          <w:rFonts w:ascii="Times New Roman" w:hAnsi="Times New Roman" w:cs="Times New Roman"/>
          <w:sz w:val="24"/>
          <w:szCs w:val="24"/>
          <w:lang w:val="en-US"/>
        </w:rPr>
        <w:t xml:space="preserve">recessions has important implications for </w:t>
      </w:r>
      <w:r w:rsidR="00F206BC">
        <w:rPr>
          <w:rFonts w:ascii="Times New Roman" w:hAnsi="Times New Roman" w:cs="Times New Roman"/>
          <w:sz w:val="24"/>
          <w:szCs w:val="24"/>
          <w:lang w:val="en-US"/>
        </w:rPr>
        <w:t xml:space="preserve">the overall course of </w:t>
      </w:r>
      <w:r w:rsidR="00F206BC" w:rsidRPr="00F206BC">
        <w:rPr>
          <w:rFonts w:ascii="Times New Roman" w:hAnsi="Times New Roman" w:cs="Times New Roman"/>
          <w:sz w:val="24"/>
          <w:szCs w:val="24"/>
          <w:lang w:val="en-US"/>
        </w:rPr>
        <w:t>the business cycle</w:t>
      </w:r>
      <w:r w:rsidR="00F206BC">
        <w:rPr>
          <w:rFonts w:ascii="Times New Roman" w:hAnsi="Times New Roman" w:cs="Times New Roman"/>
          <w:sz w:val="24"/>
          <w:szCs w:val="24"/>
          <w:lang w:val="en-US"/>
        </w:rPr>
        <w:t>, as well as for its components, such as consumption</w:t>
      </w:r>
      <w:r w:rsidR="00F206BC" w:rsidRPr="00F206BC">
        <w:rPr>
          <w:rFonts w:ascii="Times New Roman" w:hAnsi="Times New Roman" w:cs="Times New Roman"/>
          <w:sz w:val="24"/>
          <w:szCs w:val="24"/>
          <w:lang w:val="en-US"/>
        </w:rPr>
        <w:t xml:space="preserve">. </w:t>
      </w:r>
      <w:r w:rsidR="00F206BC">
        <w:rPr>
          <w:rFonts w:ascii="Times New Roman" w:hAnsi="Times New Roman" w:cs="Times New Roman"/>
          <w:sz w:val="24"/>
          <w:szCs w:val="24"/>
          <w:lang w:val="en-US"/>
        </w:rPr>
        <w:t xml:space="preserve">Therefore, </w:t>
      </w:r>
      <w:r w:rsidR="00F206BC" w:rsidRPr="00F206BC">
        <w:rPr>
          <w:rFonts w:ascii="Times New Roman" w:hAnsi="Times New Roman" w:cs="Times New Roman"/>
          <w:sz w:val="24"/>
          <w:szCs w:val="24"/>
          <w:lang w:val="en-US"/>
        </w:rPr>
        <w:t>a better understanding of the</w:t>
      </w:r>
      <w:r w:rsidR="00F206BC">
        <w:rPr>
          <w:rFonts w:ascii="Times New Roman" w:hAnsi="Times New Roman" w:cs="Times New Roman"/>
          <w:sz w:val="24"/>
          <w:szCs w:val="24"/>
          <w:lang w:val="en-US"/>
        </w:rPr>
        <w:t xml:space="preserve"> </w:t>
      </w:r>
      <w:r w:rsidR="00F206BC" w:rsidRPr="00F206BC">
        <w:rPr>
          <w:rFonts w:ascii="Times New Roman" w:hAnsi="Times New Roman" w:cs="Times New Roman"/>
          <w:sz w:val="24"/>
          <w:szCs w:val="24"/>
          <w:lang w:val="en-US"/>
        </w:rPr>
        <w:t xml:space="preserve">dynamic relationship between a household's spending decisions, income process, and </w:t>
      </w:r>
      <w:r w:rsidR="00F206BC">
        <w:rPr>
          <w:rFonts w:ascii="Times New Roman" w:hAnsi="Times New Roman" w:cs="Times New Roman"/>
          <w:sz w:val="24"/>
          <w:szCs w:val="24"/>
          <w:lang w:val="en-US"/>
        </w:rPr>
        <w:t xml:space="preserve">debt ratios seems to be </w:t>
      </w:r>
      <w:r w:rsidR="00F206BC" w:rsidRPr="00F206BC">
        <w:rPr>
          <w:rFonts w:ascii="Times New Roman" w:hAnsi="Times New Roman" w:cs="Times New Roman"/>
          <w:sz w:val="24"/>
          <w:szCs w:val="24"/>
          <w:lang w:val="en-US"/>
        </w:rPr>
        <w:t xml:space="preserve">imperative to accurately describing </w:t>
      </w:r>
      <w:r w:rsidR="003825A7">
        <w:rPr>
          <w:rFonts w:ascii="Times New Roman" w:hAnsi="Times New Roman" w:cs="Times New Roman"/>
          <w:sz w:val="24"/>
          <w:szCs w:val="24"/>
          <w:lang w:val="en-US"/>
        </w:rPr>
        <w:t>the</w:t>
      </w:r>
      <w:r w:rsidR="00F206BC" w:rsidRPr="00F206BC">
        <w:rPr>
          <w:rFonts w:ascii="Times New Roman" w:hAnsi="Times New Roman" w:cs="Times New Roman"/>
          <w:sz w:val="24"/>
          <w:szCs w:val="24"/>
          <w:lang w:val="en-US"/>
        </w:rPr>
        <w:t xml:space="preserve"> drivers of business cycles.</w:t>
      </w:r>
    </w:p>
    <w:p w:rsidR="00961935" w:rsidRDefault="00D46FAB" w:rsidP="009720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However, given the abundance of empirical work on studying the role of the demand side of macro-financial linkages, a number of questions </w:t>
      </w:r>
      <w:r w:rsidR="00D1735C">
        <w:rPr>
          <w:rFonts w:ascii="Times New Roman" w:hAnsi="Times New Roman" w:cs="Times New Roman"/>
          <w:sz w:val="24"/>
          <w:szCs w:val="24"/>
          <w:lang w:val="en-US"/>
        </w:rPr>
        <w:t>remain</w:t>
      </w:r>
      <w:r>
        <w:rPr>
          <w:rFonts w:ascii="Times New Roman" w:hAnsi="Times New Roman" w:cs="Times New Roman"/>
          <w:sz w:val="24"/>
          <w:szCs w:val="24"/>
          <w:lang w:val="en-US"/>
        </w:rPr>
        <w:t xml:space="preserve"> open. The goal of this paper is to explore</w:t>
      </w:r>
      <w:r w:rsidR="0067764B">
        <w:rPr>
          <w:rFonts w:ascii="Times New Roman" w:hAnsi="Times New Roman" w:cs="Times New Roman"/>
          <w:sz w:val="24"/>
          <w:szCs w:val="24"/>
          <w:lang w:val="en-US"/>
        </w:rPr>
        <w:t xml:space="preserve"> </w:t>
      </w:r>
      <w:r w:rsidR="00042F8F">
        <w:rPr>
          <w:rFonts w:ascii="Times New Roman" w:hAnsi="Times New Roman" w:cs="Times New Roman"/>
          <w:sz w:val="24"/>
          <w:szCs w:val="24"/>
          <w:lang w:val="en-US"/>
        </w:rPr>
        <w:t>one of th</w:t>
      </w:r>
      <w:r w:rsidR="00100448">
        <w:rPr>
          <w:rFonts w:ascii="Times New Roman" w:hAnsi="Times New Roman" w:cs="Times New Roman"/>
          <w:sz w:val="24"/>
          <w:szCs w:val="24"/>
          <w:lang w:val="en-US"/>
        </w:rPr>
        <w:t>ose questions</w:t>
      </w:r>
      <w:r w:rsidR="00042F8F">
        <w:rPr>
          <w:rFonts w:ascii="Times New Roman" w:hAnsi="Times New Roman" w:cs="Times New Roman"/>
          <w:sz w:val="24"/>
          <w:szCs w:val="24"/>
          <w:lang w:val="en-US"/>
        </w:rPr>
        <w:t xml:space="preserve"> and in particular </w:t>
      </w:r>
      <w:r w:rsidR="00100448">
        <w:rPr>
          <w:rFonts w:ascii="Times New Roman" w:hAnsi="Times New Roman" w:cs="Times New Roman"/>
          <w:sz w:val="24"/>
          <w:szCs w:val="24"/>
          <w:lang w:val="en-US"/>
        </w:rPr>
        <w:t xml:space="preserve">what is </w:t>
      </w:r>
      <w:r w:rsidR="0067764B">
        <w:rPr>
          <w:rFonts w:ascii="Times New Roman" w:hAnsi="Times New Roman" w:cs="Times New Roman"/>
          <w:sz w:val="24"/>
          <w:szCs w:val="24"/>
          <w:lang w:val="en-US"/>
        </w:rPr>
        <w:t>the role of the debt</w:t>
      </w:r>
      <w:r w:rsidR="0059151B">
        <w:rPr>
          <w:rFonts w:ascii="Times New Roman" w:hAnsi="Times New Roman" w:cs="Times New Roman"/>
          <w:sz w:val="24"/>
          <w:szCs w:val="24"/>
          <w:lang w:val="en-US"/>
        </w:rPr>
        <w:t>-</w:t>
      </w:r>
      <w:r w:rsidR="0067764B">
        <w:rPr>
          <w:rFonts w:ascii="Times New Roman" w:hAnsi="Times New Roman" w:cs="Times New Roman"/>
          <w:sz w:val="24"/>
          <w:szCs w:val="24"/>
          <w:lang w:val="en-US"/>
        </w:rPr>
        <w:t xml:space="preserve">service ratio as a leading indicator of household consumption. </w:t>
      </w:r>
      <w:r w:rsidR="007317D7" w:rsidRPr="007317D7">
        <w:rPr>
          <w:rFonts w:ascii="Times New Roman" w:hAnsi="Times New Roman" w:cs="Times New Roman"/>
          <w:sz w:val="24"/>
          <w:szCs w:val="24"/>
          <w:lang w:val="en-US"/>
        </w:rPr>
        <w:t>Debt</w:t>
      </w:r>
      <w:r w:rsidR="0059151B">
        <w:rPr>
          <w:rFonts w:ascii="Times New Roman" w:hAnsi="Times New Roman" w:cs="Times New Roman"/>
          <w:sz w:val="24"/>
          <w:szCs w:val="24"/>
          <w:lang w:val="en-US"/>
        </w:rPr>
        <w:t>-</w:t>
      </w:r>
      <w:r w:rsidR="007317D7" w:rsidRPr="007317D7">
        <w:rPr>
          <w:rFonts w:ascii="Times New Roman" w:hAnsi="Times New Roman" w:cs="Times New Roman"/>
          <w:sz w:val="24"/>
          <w:szCs w:val="24"/>
          <w:lang w:val="en-US"/>
        </w:rPr>
        <w:t>service ratio</w:t>
      </w:r>
      <w:r w:rsidR="007317D7">
        <w:rPr>
          <w:rFonts w:ascii="Times New Roman" w:hAnsi="Times New Roman" w:cs="Times New Roman"/>
          <w:sz w:val="24"/>
          <w:szCs w:val="24"/>
          <w:lang w:val="en-US"/>
        </w:rPr>
        <w:t xml:space="preserve">s provide important information on the interaction between debt and the </w:t>
      </w:r>
      <w:proofErr w:type="spellStart"/>
      <w:r w:rsidR="007317D7">
        <w:rPr>
          <w:rFonts w:ascii="Times New Roman" w:hAnsi="Times New Roman" w:cs="Times New Roman"/>
          <w:sz w:val="24"/>
          <w:szCs w:val="24"/>
          <w:lang w:val="en-US"/>
        </w:rPr>
        <w:t>macroeconomy</w:t>
      </w:r>
      <w:proofErr w:type="spellEnd"/>
      <w:r w:rsidR="007317D7">
        <w:rPr>
          <w:rFonts w:ascii="Times New Roman" w:hAnsi="Times New Roman" w:cs="Times New Roman"/>
          <w:sz w:val="24"/>
          <w:szCs w:val="24"/>
          <w:lang w:val="en-US"/>
        </w:rPr>
        <w:t>. More specifically, they indicate the amount of income used for interest payments and amortizations</w:t>
      </w:r>
      <w:r w:rsidR="005857ED">
        <w:rPr>
          <w:rFonts w:ascii="Times New Roman" w:hAnsi="Times New Roman" w:cs="Times New Roman"/>
          <w:sz w:val="24"/>
          <w:szCs w:val="24"/>
          <w:lang w:val="en-US"/>
        </w:rPr>
        <w:t>, while they are a direct outcome of previous borrowing decisions. They move slowly as they depend on the duration and other terms of credit contracts. As a result, they have a direct impact on borrower’s budget constraint and</w:t>
      </w:r>
      <w:r w:rsidR="00C652A3">
        <w:rPr>
          <w:rFonts w:ascii="Times New Roman" w:hAnsi="Times New Roman" w:cs="Times New Roman"/>
          <w:sz w:val="24"/>
          <w:szCs w:val="24"/>
          <w:lang w:val="en-US"/>
        </w:rPr>
        <w:t>,</w:t>
      </w:r>
      <w:r w:rsidR="005857ED">
        <w:rPr>
          <w:rFonts w:ascii="Times New Roman" w:hAnsi="Times New Roman" w:cs="Times New Roman"/>
          <w:sz w:val="24"/>
          <w:szCs w:val="24"/>
          <w:lang w:val="en-US"/>
        </w:rPr>
        <w:t xml:space="preserve"> therefore</w:t>
      </w:r>
      <w:r w:rsidR="00C652A3">
        <w:rPr>
          <w:rFonts w:ascii="Times New Roman" w:hAnsi="Times New Roman" w:cs="Times New Roman"/>
          <w:sz w:val="24"/>
          <w:szCs w:val="24"/>
          <w:lang w:val="en-US"/>
        </w:rPr>
        <w:t>,</w:t>
      </w:r>
      <w:r w:rsidR="005857ED">
        <w:rPr>
          <w:rFonts w:ascii="Times New Roman" w:hAnsi="Times New Roman" w:cs="Times New Roman"/>
          <w:sz w:val="24"/>
          <w:szCs w:val="24"/>
          <w:lang w:val="en-US"/>
        </w:rPr>
        <w:t xml:space="preserve"> they are capable of affecting consumption expen</w:t>
      </w:r>
      <w:r w:rsidR="0059151B">
        <w:rPr>
          <w:rFonts w:ascii="Times New Roman" w:hAnsi="Times New Roman" w:cs="Times New Roman"/>
          <w:sz w:val="24"/>
          <w:szCs w:val="24"/>
          <w:lang w:val="en-US"/>
        </w:rPr>
        <w:t>ses. In other words, debt-</w:t>
      </w:r>
      <w:r w:rsidR="005857ED">
        <w:rPr>
          <w:rFonts w:ascii="Times New Roman" w:hAnsi="Times New Roman" w:cs="Times New Roman"/>
          <w:sz w:val="24"/>
          <w:szCs w:val="24"/>
          <w:lang w:val="en-US"/>
        </w:rPr>
        <w:t xml:space="preserve">service ratios </w:t>
      </w:r>
      <w:r w:rsidR="00C652A3">
        <w:rPr>
          <w:rFonts w:ascii="Times New Roman" w:hAnsi="Times New Roman" w:cs="Times New Roman"/>
          <w:sz w:val="24"/>
          <w:szCs w:val="24"/>
          <w:lang w:val="en-US"/>
        </w:rPr>
        <w:t xml:space="preserve">can </w:t>
      </w:r>
      <w:r w:rsidR="005857ED">
        <w:rPr>
          <w:rFonts w:ascii="Times New Roman" w:hAnsi="Times New Roman" w:cs="Times New Roman"/>
          <w:sz w:val="24"/>
          <w:szCs w:val="24"/>
          <w:lang w:val="en-US"/>
        </w:rPr>
        <w:t>capture</w:t>
      </w:r>
      <w:r w:rsidR="007317D7">
        <w:rPr>
          <w:rFonts w:ascii="Times New Roman" w:hAnsi="Times New Roman" w:cs="Times New Roman"/>
          <w:sz w:val="24"/>
          <w:szCs w:val="24"/>
          <w:lang w:val="en-US"/>
        </w:rPr>
        <w:t xml:space="preserve"> </w:t>
      </w:r>
      <w:r w:rsidR="005857ED">
        <w:rPr>
          <w:rFonts w:ascii="Times New Roman" w:hAnsi="Times New Roman" w:cs="Times New Roman"/>
          <w:sz w:val="24"/>
          <w:szCs w:val="24"/>
          <w:lang w:val="en-US"/>
        </w:rPr>
        <w:t xml:space="preserve">the link between debt-related payments and consumption expenses. </w:t>
      </w:r>
      <w:r w:rsidR="0098653D">
        <w:rPr>
          <w:rFonts w:ascii="Times New Roman" w:hAnsi="Times New Roman" w:cs="Times New Roman"/>
          <w:sz w:val="24"/>
          <w:szCs w:val="24"/>
          <w:lang w:val="en-US"/>
        </w:rPr>
        <w:t xml:space="preserve">Elevated ratios can provide an indication of increased vulnerability in the financial system and, consequently, in the entire real economy. Furthermore, this increased vulnerability could make the financial system further less stable to rises in interest rates, especially in cases that borrowers have not allowed for interest rate increases in their financial planning. Borrowers faced with elevated debt-service ratios may have the option to ease financial pressures, primarily through reduced consumption or lengthier tenures of loans, but in cases of rising interest rates, combined with weakening macroeconomic environments, this option could be </w:t>
      </w:r>
      <w:r w:rsidR="0098653D">
        <w:rPr>
          <w:rFonts w:ascii="Times New Roman" w:hAnsi="Times New Roman" w:cs="Times New Roman"/>
          <w:sz w:val="24"/>
          <w:szCs w:val="24"/>
          <w:lang w:val="en-US"/>
        </w:rPr>
        <w:lastRenderedPageBreak/>
        <w:t xml:space="preserve">unavailable, leading to a likely rise in defaults. </w:t>
      </w:r>
      <w:r w:rsidR="00C64718">
        <w:rPr>
          <w:rFonts w:ascii="Times New Roman" w:hAnsi="Times New Roman" w:cs="Times New Roman"/>
          <w:sz w:val="24"/>
          <w:szCs w:val="24"/>
          <w:lang w:val="en-US"/>
        </w:rPr>
        <w:t>In general, p</w:t>
      </w:r>
      <w:r w:rsidR="00C64718" w:rsidRPr="00C64718">
        <w:rPr>
          <w:rFonts w:ascii="Times New Roman" w:hAnsi="Times New Roman" w:cs="Times New Roman"/>
          <w:sz w:val="24"/>
          <w:szCs w:val="24"/>
          <w:lang w:val="en-US"/>
        </w:rPr>
        <w:t>rudent borrowing can enhance the overall economic</w:t>
      </w:r>
      <w:r w:rsidR="00C64718">
        <w:rPr>
          <w:rFonts w:ascii="Times New Roman" w:hAnsi="Times New Roman" w:cs="Times New Roman"/>
          <w:sz w:val="24"/>
          <w:szCs w:val="24"/>
          <w:lang w:val="en-US"/>
        </w:rPr>
        <w:t xml:space="preserve"> </w:t>
      </w:r>
      <w:r w:rsidR="00C64718" w:rsidRPr="00C64718">
        <w:rPr>
          <w:rFonts w:ascii="Times New Roman" w:hAnsi="Times New Roman" w:cs="Times New Roman"/>
          <w:sz w:val="24"/>
          <w:szCs w:val="24"/>
          <w:lang w:val="en-US"/>
        </w:rPr>
        <w:t xml:space="preserve">welfare of households, by </w:t>
      </w:r>
      <w:r w:rsidR="00C64718">
        <w:rPr>
          <w:rFonts w:ascii="Times New Roman" w:hAnsi="Times New Roman" w:cs="Times New Roman"/>
          <w:sz w:val="24"/>
          <w:szCs w:val="24"/>
          <w:lang w:val="en-US"/>
        </w:rPr>
        <w:t>‘smoothing’</w:t>
      </w:r>
      <w:r w:rsidR="00C64718" w:rsidRPr="00C64718">
        <w:rPr>
          <w:rFonts w:ascii="Times New Roman" w:hAnsi="Times New Roman" w:cs="Times New Roman"/>
          <w:sz w:val="24"/>
          <w:szCs w:val="24"/>
          <w:lang w:val="en-US"/>
        </w:rPr>
        <w:t xml:space="preserve"> consumption</w:t>
      </w:r>
      <w:r w:rsidR="00C64718">
        <w:rPr>
          <w:rFonts w:ascii="Times New Roman" w:hAnsi="Times New Roman" w:cs="Times New Roman"/>
          <w:sz w:val="24"/>
          <w:szCs w:val="24"/>
          <w:lang w:val="en-US"/>
        </w:rPr>
        <w:t xml:space="preserve"> </w:t>
      </w:r>
      <w:r w:rsidR="00C64718" w:rsidRPr="00C64718">
        <w:rPr>
          <w:rFonts w:ascii="Times New Roman" w:hAnsi="Times New Roman" w:cs="Times New Roman"/>
          <w:sz w:val="24"/>
          <w:szCs w:val="24"/>
          <w:lang w:val="en-US"/>
        </w:rPr>
        <w:t xml:space="preserve">across different stages of </w:t>
      </w:r>
      <w:r w:rsidR="00C64718">
        <w:rPr>
          <w:rFonts w:ascii="Times New Roman" w:hAnsi="Times New Roman" w:cs="Times New Roman"/>
          <w:sz w:val="24"/>
          <w:szCs w:val="24"/>
          <w:lang w:val="en-US"/>
        </w:rPr>
        <w:t>households’</w:t>
      </w:r>
      <w:r w:rsidR="00C64718" w:rsidRPr="00C64718">
        <w:rPr>
          <w:rFonts w:ascii="Times New Roman" w:hAnsi="Times New Roman" w:cs="Times New Roman"/>
          <w:sz w:val="24"/>
          <w:szCs w:val="24"/>
          <w:lang w:val="en-US"/>
        </w:rPr>
        <w:t xml:space="preserve"> life cycle.</w:t>
      </w:r>
      <w:r w:rsidR="00C64718">
        <w:rPr>
          <w:rFonts w:ascii="Times New Roman" w:hAnsi="Times New Roman" w:cs="Times New Roman"/>
          <w:sz w:val="24"/>
          <w:szCs w:val="24"/>
          <w:lang w:val="en-US"/>
        </w:rPr>
        <w:t xml:space="preserve"> </w:t>
      </w:r>
      <w:r w:rsidR="00C64718" w:rsidRPr="00C64718">
        <w:rPr>
          <w:rFonts w:ascii="Times New Roman" w:hAnsi="Times New Roman" w:cs="Times New Roman"/>
          <w:sz w:val="24"/>
          <w:szCs w:val="24"/>
          <w:lang w:val="en-US"/>
        </w:rPr>
        <w:t>Borrowing can also</w:t>
      </w:r>
      <w:r w:rsidR="00C64718">
        <w:rPr>
          <w:rFonts w:ascii="Times New Roman" w:hAnsi="Times New Roman" w:cs="Times New Roman"/>
          <w:sz w:val="24"/>
          <w:szCs w:val="24"/>
          <w:lang w:val="en-US"/>
        </w:rPr>
        <w:t xml:space="preserve"> </w:t>
      </w:r>
      <w:r w:rsidR="00C64718" w:rsidRPr="00C64718">
        <w:rPr>
          <w:rFonts w:ascii="Times New Roman" w:hAnsi="Times New Roman" w:cs="Times New Roman"/>
          <w:sz w:val="24"/>
          <w:szCs w:val="24"/>
          <w:lang w:val="en-US"/>
        </w:rPr>
        <w:t>ac</w:t>
      </w:r>
      <w:r w:rsidR="00C64718">
        <w:rPr>
          <w:rFonts w:ascii="Times New Roman" w:hAnsi="Times New Roman" w:cs="Times New Roman"/>
          <w:sz w:val="24"/>
          <w:szCs w:val="24"/>
          <w:lang w:val="en-US"/>
        </w:rPr>
        <w:t>t as a ‘</w:t>
      </w:r>
      <w:r w:rsidR="00C64718" w:rsidRPr="00C64718">
        <w:rPr>
          <w:rFonts w:ascii="Times New Roman" w:hAnsi="Times New Roman" w:cs="Times New Roman"/>
          <w:sz w:val="24"/>
          <w:szCs w:val="24"/>
          <w:lang w:val="en-US"/>
        </w:rPr>
        <w:t>buffer</w:t>
      </w:r>
      <w:r w:rsidR="00C64718">
        <w:rPr>
          <w:rFonts w:ascii="Times New Roman" w:hAnsi="Times New Roman" w:cs="Times New Roman"/>
          <w:sz w:val="24"/>
          <w:szCs w:val="24"/>
          <w:lang w:val="en-US"/>
        </w:rPr>
        <w:t>’,</w:t>
      </w:r>
      <w:r w:rsidR="00C64718" w:rsidRPr="00C64718">
        <w:rPr>
          <w:rFonts w:ascii="Times New Roman" w:hAnsi="Times New Roman" w:cs="Times New Roman"/>
          <w:sz w:val="24"/>
          <w:szCs w:val="24"/>
          <w:lang w:val="en-US"/>
        </w:rPr>
        <w:t xml:space="preserve"> allowing households to maintain a relatively</w:t>
      </w:r>
      <w:r w:rsidR="00C64718">
        <w:rPr>
          <w:rFonts w:ascii="Times New Roman" w:hAnsi="Times New Roman" w:cs="Times New Roman"/>
          <w:sz w:val="24"/>
          <w:szCs w:val="24"/>
          <w:lang w:val="en-US"/>
        </w:rPr>
        <w:t xml:space="preserve"> </w:t>
      </w:r>
      <w:r w:rsidR="00C64718" w:rsidRPr="00C64718">
        <w:rPr>
          <w:rFonts w:ascii="Times New Roman" w:hAnsi="Times New Roman" w:cs="Times New Roman"/>
          <w:sz w:val="24"/>
          <w:szCs w:val="24"/>
          <w:lang w:val="en-US"/>
        </w:rPr>
        <w:t>stable level of consumption during a temporary</w:t>
      </w:r>
      <w:r w:rsidR="00C64718">
        <w:rPr>
          <w:rFonts w:ascii="Times New Roman" w:hAnsi="Times New Roman" w:cs="Times New Roman"/>
          <w:sz w:val="24"/>
          <w:szCs w:val="24"/>
          <w:lang w:val="en-US"/>
        </w:rPr>
        <w:t xml:space="preserve"> </w:t>
      </w:r>
      <w:r w:rsidR="00C64718" w:rsidRPr="00C64718">
        <w:rPr>
          <w:rFonts w:ascii="Times New Roman" w:hAnsi="Times New Roman" w:cs="Times New Roman"/>
          <w:sz w:val="24"/>
          <w:szCs w:val="24"/>
          <w:lang w:val="en-US"/>
        </w:rPr>
        <w:t>loss of income. Sustaining household consumption this way can</w:t>
      </w:r>
      <w:r w:rsidR="00C64718">
        <w:rPr>
          <w:rFonts w:ascii="Times New Roman" w:hAnsi="Times New Roman" w:cs="Times New Roman"/>
          <w:sz w:val="24"/>
          <w:szCs w:val="24"/>
          <w:lang w:val="en-US"/>
        </w:rPr>
        <w:t xml:space="preserve"> </w:t>
      </w:r>
      <w:r w:rsidR="00C64718" w:rsidRPr="00C64718">
        <w:rPr>
          <w:rFonts w:ascii="Times New Roman" w:hAnsi="Times New Roman" w:cs="Times New Roman"/>
          <w:sz w:val="24"/>
          <w:szCs w:val="24"/>
          <w:lang w:val="en-US"/>
        </w:rPr>
        <w:t xml:space="preserve">help support overall activity in the economy during </w:t>
      </w:r>
      <w:r w:rsidR="00C64718">
        <w:rPr>
          <w:rFonts w:ascii="Times New Roman" w:hAnsi="Times New Roman" w:cs="Times New Roman"/>
          <w:sz w:val="24"/>
          <w:szCs w:val="24"/>
          <w:lang w:val="en-US"/>
        </w:rPr>
        <w:t xml:space="preserve">stressful </w:t>
      </w:r>
      <w:r w:rsidR="00C64718" w:rsidRPr="00C64718">
        <w:rPr>
          <w:rFonts w:ascii="Times New Roman" w:hAnsi="Times New Roman" w:cs="Times New Roman"/>
          <w:sz w:val="24"/>
          <w:szCs w:val="24"/>
          <w:lang w:val="en-US"/>
        </w:rPr>
        <w:t>times.</w:t>
      </w:r>
      <w:r w:rsidR="000E7714">
        <w:rPr>
          <w:rFonts w:ascii="Times New Roman" w:hAnsi="Times New Roman" w:cs="Times New Roman"/>
          <w:sz w:val="24"/>
          <w:szCs w:val="24"/>
          <w:lang w:val="en-US"/>
        </w:rPr>
        <w:t xml:space="preserve"> Moreover, given that</w:t>
      </w:r>
      <w:r w:rsidR="000E7714" w:rsidRPr="000E7714">
        <w:rPr>
          <w:rFonts w:ascii="Times New Roman" w:hAnsi="Times New Roman" w:cs="Times New Roman"/>
          <w:sz w:val="24"/>
          <w:szCs w:val="24"/>
          <w:lang w:val="en-US"/>
        </w:rPr>
        <w:t xml:space="preserve"> households are such an important component</w:t>
      </w:r>
      <w:r w:rsidR="000E7714">
        <w:rPr>
          <w:rFonts w:ascii="Times New Roman" w:hAnsi="Times New Roman" w:cs="Times New Roman"/>
          <w:sz w:val="24"/>
          <w:szCs w:val="24"/>
          <w:lang w:val="en-US"/>
        </w:rPr>
        <w:t xml:space="preserve"> </w:t>
      </w:r>
      <w:r w:rsidR="000E7714" w:rsidRPr="000E7714">
        <w:rPr>
          <w:rFonts w:ascii="Times New Roman" w:hAnsi="Times New Roman" w:cs="Times New Roman"/>
          <w:sz w:val="24"/>
          <w:szCs w:val="24"/>
          <w:lang w:val="en-US"/>
        </w:rPr>
        <w:t xml:space="preserve">of </w:t>
      </w:r>
      <w:r w:rsidR="000E7714">
        <w:rPr>
          <w:rFonts w:ascii="Times New Roman" w:hAnsi="Times New Roman" w:cs="Times New Roman"/>
          <w:sz w:val="24"/>
          <w:szCs w:val="24"/>
          <w:lang w:val="en-US"/>
        </w:rPr>
        <w:t>the</w:t>
      </w:r>
      <w:r w:rsidR="000E7714" w:rsidRPr="000E7714">
        <w:rPr>
          <w:rFonts w:ascii="Times New Roman" w:hAnsi="Times New Roman" w:cs="Times New Roman"/>
          <w:sz w:val="24"/>
          <w:szCs w:val="24"/>
          <w:lang w:val="en-US"/>
        </w:rPr>
        <w:t xml:space="preserve"> economy, the strength or weakness of </w:t>
      </w:r>
      <w:r w:rsidR="000E7714">
        <w:rPr>
          <w:rFonts w:ascii="Times New Roman" w:hAnsi="Times New Roman" w:cs="Times New Roman"/>
          <w:sz w:val="24"/>
          <w:szCs w:val="24"/>
          <w:lang w:val="en-US"/>
        </w:rPr>
        <w:t xml:space="preserve">households’ </w:t>
      </w:r>
      <w:r w:rsidR="000E7714" w:rsidRPr="000E7714">
        <w:rPr>
          <w:rFonts w:ascii="Times New Roman" w:hAnsi="Times New Roman" w:cs="Times New Roman"/>
          <w:sz w:val="24"/>
          <w:szCs w:val="24"/>
          <w:lang w:val="en-US"/>
        </w:rPr>
        <w:t>finances has a sig</w:t>
      </w:r>
      <w:r w:rsidR="000E7714" w:rsidRPr="00972013">
        <w:rPr>
          <w:rFonts w:ascii="Times New Roman" w:hAnsi="Times New Roman" w:cs="Times New Roman"/>
          <w:sz w:val="24"/>
          <w:szCs w:val="24"/>
          <w:lang w:val="en-US"/>
        </w:rPr>
        <w:t>nificant effect on the overall economic well-being and financial stability.</w:t>
      </w:r>
      <w:r w:rsidR="00972013" w:rsidRPr="00972013">
        <w:rPr>
          <w:rFonts w:ascii="Times New Roman" w:hAnsi="Times New Roman" w:cs="Times New Roman"/>
          <w:sz w:val="24"/>
          <w:szCs w:val="24"/>
        </w:rPr>
        <w:t xml:space="preserve"> </w:t>
      </w:r>
      <w:r w:rsidR="00972013" w:rsidRPr="00972013">
        <w:rPr>
          <w:rFonts w:ascii="Times New Roman" w:hAnsi="Times New Roman" w:cs="Times New Roman"/>
          <w:sz w:val="24"/>
          <w:szCs w:val="24"/>
          <w:lang w:val="en-US"/>
        </w:rPr>
        <w:t>Therefore, excessive debt can make households</w:t>
      </w:r>
      <w:r w:rsidR="00972013">
        <w:rPr>
          <w:rFonts w:ascii="Times New Roman" w:hAnsi="Times New Roman" w:cs="Times New Roman"/>
          <w:sz w:val="24"/>
          <w:szCs w:val="24"/>
          <w:lang w:val="en-US"/>
        </w:rPr>
        <w:t xml:space="preserve"> </w:t>
      </w:r>
      <w:r w:rsidR="00972013" w:rsidRPr="00972013">
        <w:rPr>
          <w:rFonts w:ascii="Times New Roman" w:hAnsi="Times New Roman" w:cs="Times New Roman"/>
          <w:sz w:val="24"/>
          <w:szCs w:val="24"/>
          <w:lang w:val="en-US"/>
        </w:rPr>
        <w:t>more vulnerable to shocks and increase risks to the</w:t>
      </w:r>
      <w:r w:rsidR="00972013">
        <w:rPr>
          <w:rFonts w:ascii="Times New Roman" w:hAnsi="Times New Roman" w:cs="Times New Roman"/>
          <w:sz w:val="24"/>
          <w:szCs w:val="24"/>
          <w:lang w:val="en-US"/>
        </w:rPr>
        <w:t xml:space="preserve"> </w:t>
      </w:r>
      <w:r w:rsidR="00972013" w:rsidRPr="00972013">
        <w:rPr>
          <w:rFonts w:ascii="Times New Roman" w:hAnsi="Times New Roman" w:cs="Times New Roman"/>
          <w:sz w:val="24"/>
          <w:szCs w:val="24"/>
          <w:lang w:val="en-US"/>
        </w:rPr>
        <w:t>financial system and the economy</w:t>
      </w:r>
    </w:p>
    <w:p w:rsidR="003B206D" w:rsidRDefault="009139C6" w:rsidP="006808CE">
      <w:pPr>
        <w:spacing w:line="480" w:lineRule="auto"/>
        <w:ind w:firstLine="720"/>
        <w:jc w:val="both"/>
        <w:rPr>
          <w:rFonts w:ascii="Times New Roman" w:hAnsi="Times New Roman" w:cs="Times New Roman"/>
          <w:sz w:val="24"/>
          <w:szCs w:val="24"/>
          <w:lang w:val="en-US"/>
        </w:rPr>
      </w:pPr>
      <w:r w:rsidRPr="009139C6">
        <w:rPr>
          <w:rFonts w:ascii="Times New Roman" w:hAnsi="Times New Roman" w:cs="Times New Roman"/>
          <w:sz w:val="24"/>
          <w:szCs w:val="24"/>
          <w:lang w:val="en-US"/>
        </w:rPr>
        <w:t>Th</w:t>
      </w:r>
      <w:r>
        <w:rPr>
          <w:rFonts w:ascii="Times New Roman" w:hAnsi="Times New Roman" w:cs="Times New Roman"/>
          <w:sz w:val="24"/>
          <w:szCs w:val="24"/>
          <w:lang w:val="en-US"/>
        </w:rPr>
        <w:t>e above</w:t>
      </w:r>
      <w:r w:rsidRPr="009139C6">
        <w:rPr>
          <w:rFonts w:ascii="Times New Roman" w:hAnsi="Times New Roman" w:cs="Times New Roman"/>
          <w:sz w:val="24"/>
          <w:szCs w:val="24"/>
          <w:lang w:val="en-US"/>
        </w:rPr>
        <w:t xml:space="preserve"> </w:t>
      </w:r>
      <w:r>
        <w:rPr>
          <w:rFonts w:ascii="Times New Roman" w:hAnsi="Times New Roman" w:cs="Times New Roman"/>
          <w:sz w:val="24"/>
          <w:szCs w:val="24"/>
          <w:lang w:val="en-US"/>
        </w:rPr>
        <w:t>discussion on the DSR</w:t>
      </w:r>
      <w:r w:rsidRPr="009139C6">
        <w:rPr>
          <w:rFonts w:ascii="Times New Roman" w:hAnsi="Times New Roman" w:cs="Times New Roman"/>
          <w:sz w:val="24"/>
          <w:szCs w:val="24"/>
          <w:lang w:val="en-US"/>
        </w:rPr>
        <w:t xml:space="preserve"> has generated </w:t>
      </w:r>
      <w:r>
        <w:rPr>
          <w:rFonts w:ascii="Times New Roman" w:hAnsi="Times New Roman" w:cs="Times New Roman"/>
          <w:sz w:val="24"/>
          <w:szCs w:val="24"/>
          <w:lang w:val="en-US"/>
        </w:rPr>
        <w:t xml:space="preserve">substantial </w:t>
      </w:r>
      <w:r w:rsidRPr="009139C6">
        <w:rPr>
          <w:rFonts w:ascii="Times New Roman" w:hAnsi="Times New Roman" w:cs="Times New Roman"/>
          <w:sz w:val="24"/>
          <w:szCs w:val="24"/>
          <w:lang w:val="en-US"/>
        </w:rPr>
        <w:t>interest because it could potentially cause</w:t>
      </w:r>
      <w:r>
        <w:rPr>
          <w:rFonts w:ascii="Times New Roman" w:hAnsi="Times New Roman" w:cs="Times New Roman"/>
          <w:sz w:val="24"/>
          <w:szCs w:val="24"/>
          <w:lang w:val="en-US"/>
        </w:rPr>
        <w:t xml:space="preserve"> </w:t>
      </w:r>
      <w:r w:rsidRPr="009139C6">
        <w:rPr>
          <w:rFonts w:ascii="Times New Roman" w:hAnsi="Times New Roman" w:cs="Times New Roman"/>
          <w:sz w:val="24"/>
          <w:szCs w:val="24"/>
          <w:lang w:val="en-US"/>
        </w:rPr>
        <w:t xml:space="preserve">households to </w:t>
      </w:r>
      <w:r>
        <w:rPr>
          <w:rFonts w:ascii="Times New Roman" w:hAnsi="Times New Roman" w:cs="Times New Roman"/>
          <w:sz w:val="24"/>
          <w:szCs w:val="24"/>
          <w:lang w:val="en-US"/>
        </w:rPr>
        <w:t xml:space="preserve">change </w:t>
      </w:r>
      <w:r w:rsidRPr="009139C6">
        <w:rPr>
          <w:rFonts w:ascii="Times New Roman" w:hAnsi="Times New Roman" w:cs="Times New Roman"/>
          <w:sz w:val="24"/>
          <w:szCs w:val="24"/>
          <w:lang w:val="en-US"/>
        </w:rPr>
        <w:t>their spending</w:t>
      </w:r>
      <w:r>
        <w:rPr>
          <w:rFonts w:ascii="Times New Roman" w:hAnsi="Times New Roman" w:cs="Times New Roman"/>
          <w:sz w:val="24"/>
          <w:szCs w:val="24"/>
          <w:lang w:val="en-US"/>
        </w:rPr>
        <w:t xml:space="preserve"> behavior</w:t>
      </w:r>
      <w:r w:rsidRPr="009139C6">
        <w:rPr>
          <w:rFonts w:ascii="Times New Roman" w:hAnsi="Times New Roman" w:cs="Times New Roman"/>
          <w:sz w:val="24"/>
          <w:szCs w:val="24"/>
          <w:lang w:val="en-US"/>
        </w:rPr>
        <w:t>.</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The evidence in the literature to date is not only contradictory, but hard to interpret</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because of the number of different </w:t>
      </w:r>
      <w:r w:rsidR="006808CE">
        <w:rPr>
          <w:rFonts w:ascii="Times New Roman" w:hAnsi="Times New Roman" w:cs="Times New Roman"/>
          <w:sz w:val="24"/>
          <w:szCs w:val="24"/>
          <w:lang w:val="en-US"/>
        </w:rPr>
        <w:t>channels through which</w:t>
      </w:r>
      <w:r w:rsidR="006808CE" w:rsidRPr="006808CE">
        <w:rPr>
          <w:rFonts w:ascii="Times New Roman" w:hAnsi="Times New Roman" w:cs="Times New Roman"/>
          <w:sz w:val="24"/>
          <w:szCs w:val="24"/>
          <w:lang w:val="en-US"/>
        </w:rPr>
        <w:t xml:space="preserve"> debt payments affect consumption. </w:t>
      </w:r>
      <w:r w:rsidR="006808CE">
        <w:rPr>
          <w:rFonts w:ascii="Times New Roman" w:hAnsi="Times New Roman" w:cs="Times New Roman"/>
          <w:sz w:val="24"/>
          <w:szCs w:val="24"/>
          <w:lang w:val="en-US"/>
        </w:rPr>
        <w:t>According to the f</w:t>
      </w:r>
      <w:r w:rsidR="006808CE" w:rsidRPr="006808CE">
        <w:rPr>
          <w:rFonts w:ascii="Times New Roman" w:hAnsi="Times New Roman" w:cs="Times New Roman"/>
          <w:sz w:val="24"/>
          <w:szCs w:val="24"/>
          <w:lang w:val="en-US"/>
        </w:rPr>
        <w:t>irst</w:t>
      </w:r>
      <w:r w:rsidR="006808CE">
        <w:rPr>
          <w:rFonts w:ascii="Times New Roman" w:hAnsi="Times New Roman" w:cs="Times New Roman"/>
          <w:sz w:val="24"/>
          <w:szCs w:val="24"/>
          <w:lang w:val="en-US"/>
        </w:rPr>
        <w:t xml:space="preserve"> channel</w:t>
      </w:r>
      <w:r w:rsidR="006808CE" w:rsidRPr="006808CE">
        <w:rPr>
          <w:rFonts w:ascii="Times New Roman" w:hAnsi="Times New Roman" w:cs="Times New Roman"/>
          <w:sz w:val="24"/>
          <w:szCs w:val="24"/>
          <w:lang w:val="en-US"/>
        </w:rPr>
        <w:t>,</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interest rates jointly determine debt payments and consumption. </w:t>
      </w:r>
      <w:r w:rsidR="006808CE">
        <w:rPr>
          <w:rFonts w:ascii="Times New Roman" w:hAnsi="Times New Roman" w:cs="Times New Roman"/>
          <w:sz w:val="24"/>
          <w:szCs w:val="24"/>
          <w:lang w:val="en-US"/>
        </w:rPr>
        <w:t>More specifically, w</w:t>
      </w:r>
      <w:r w:rsidR="006808CE" w:rsidRPr="006808CE">
        <w:rPr>
          <w:rFonts w:ascii="Times New Roman" w:hAnsi="Times New Roman" w:cs="Times New Roman"/>
          <w:sz w:val="24"/>
          <w:szCs w:val="24"/>
          <w:lang w:val="en-US"/>
        </w:rPr>
        <w:t>hen interest</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rates fall, households borrow more to pull forward a portion of future consumption,</w:t>
      </w:r>
      <w:r w:rsidR="006808CE">
        <w:rPr>
          <w:rFonts w:ascii="Times New Roman" w:hAnsi="Times New Roman" w:cs="Times New Roman"/>
          <w:sz w:val="24"/>
          <w:szCs w:val="24"/>
          <w:lang w:val="en-US"/>
        </w:rPr>
        <w:t xml:space="preserve"> leading to</w:t>
      </w:r>
      <w:r w:rsidR="006808CE" w:rsidRPr="006808CE">
        <w:rPr>
          <w:rFonts w:ascii="Times New Roman" w:hAnsi="Times New Roman" w:cs="Times New Roman"/>
          <w:sz w:val="24"/>
          <w:szCs w:val="24"/>
          <w:lang w:val="en-US"/>
        </w:rPr>
        <w:t xml:space="preserve"> a positive relationship between debt payments and consumption. For given</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level</w:t>
      </w:r>
      <w:r w:rsidR="006808CE">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xml:space="preserve"> of debt, a </w:t>
      </w:r>
      <w:r w:rsidR="006808CE">
        <w:rPr>
          <w:rFonts w:ascii="Times New Roman" w:hAnsi="Times New Roman" w:cs="Times New Roman"/>
          <w:sz w:val="24"/>
          <w:szCs w:val="24"/>
          <w:lang w:val="en-US"/>
        </w:rPr>
        <w:t>decline</w:t>
      </w:r>
      <w:r w:rsidR="006808CE" w:rsidRPr="006808CE">
        <w:rPr>
          <w:rFonts w:ascii="Times New Roman" w:hAnsi="Times New Roman" w:cs="Times New Roman"/>
          <w:sz w:val="24"/>
          <w:szCs w:val="24"/>
          <w:lang w:val="en-US"/>
        </w:rPr>
        <w:t xml:space="preserve"> in interest rate</w:t>
      </w:r>
      <w:r w:rsidR="006808CE">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xml:space="preserve"> also reduce debt payment</w:t>
      </w:r>
      <w:r w:rsidR="006808CE">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but given the</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maturity of most household loans, this effect is small relative to the effect of a rise in debt</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on payments.</w:t>
      </w:r>
      <w:r w:rsidR="006808CE">
        <w:rPr>
          <w:rFonts w:ascii="Times New Roman" w:hAnsi="Times New Roman" w:cs="Times New Roman"/>
          <w:sz w:val="24"/>
          <w:szCs w:val="24"/>
          <w:lang w:val="en-US"/>
        </w:rPr>
        <w:t xml:space="preserve"> The second transmission channel argues that </w:t>
      </w:r>
      <w:r w:rsidR="006808CE" w:rsidRPr="006808CE">
        <w:rPr>
          <w:rFonts w:ascii="Times New Roman" w:hAnsi="Times New Roman" w:cs="Times New Roman"/>
          <w:sz w:val="24"/>
          <w:szCs w:val="24"/>
          <w:lang w:val="en-US"/>
        </w:rPr>
        <w:t>debt payments may be correlated with household consumption because they</w:t>
      </w:r>
      <w:r w:rsidR="006808CE">
        <w:rPr>
          <w:rFonts w:ascii="Times New Roman" w:hAnsi="Times New Roman" w:cs="Times New Roman"/>
          <w:sz w:val="24"/>
          <w:szCs w:val="24"/>
          <w:lang w:val="en-US"/>
        </w:rPr>
        <w:t xml:space="preserve"> act as an</w:t>
      </w:r>
      <w:r w:rsidR="006808CE" w:rsidRPr="006808CE">
        <w:rPr>
          <w:rFonts w:ascii="Times New Roman" w:hAnsi="Times New Roman" w:cs="Times New Roman"/>
          <w:sz w:val="24"/>
          <w:szCs w:val="24"/>
          <w:lang w:val="en-US"/>
        </w:rPr>
        <w:t xml:space="preserve"> indicator of expected future income growth. As households become more</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confident that their income </w:t>
      </w:r>
      <w:r w:rsidR="006808CE">
        <w:rPr>
          <w:rFonts w:ascii="Times New Roman" w:hAnsi="Times New Roman" w:cs="Times New Roman"/>
          <w:sz w:val="24"/>
          <w:szCs w:val="24"/>
          <w:lang w:val="en-US"/>
        </w:rPr>
        <w:t xml:space="preserve">is expected to </w:t>
      </w:r>
      <w:r w:rsidR="006808CE" w:rsidRPr="006808CE">
        <w:rPr>
          <w:rFonts w:ascii="Times New Roman" w:hAnsi="Times New Roman" w:cs="Times New Roman"/>
          <w:sz w:val="24"/>
          <w:szCs w:val="24"/>
          <w:lang w:val="en-US"/>
        </w:rPr>
        <w:t xml:space="preserve">rise, they become more </w:t>
      </w:r>
      <w:r w:rsidR="006808CE">
        <w:rPr>
          <w:rFonts w:ascii="Times New Roman" w:hAnsi="Times New Roman" w:cs="Times New Roman"/>
          <w:sz w:val="24"/>
          <w:szCs w:val="24"/>
          <w:lang w:val="en-US"/>
        </w:rPr>
        <w:t>open</w:t>
      </w:r>
      <w:r w:rsidR="006808CE" w:rsidRPr="006808CE">
        <w:rPr>
          <w:rFonts w:ascii="Times New Roman" w:hAnsi="Times New Roman" w:cs="Times New Roman"/>
          <w:sz w:val="24"/>
          <w:szCs w:val="24"/>
          <w:lang w:val="en-US"/>
        </w:rPr>
        <w:t xml:space="preserve"> to commit</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themselves to future debt repayment</w:t>
      </w:r>
      <w:r w:rsidR="006808CE">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Under this hypothesis, the relationship between</w:t>
      </w:r>
      <w:r w:rsidR="006808CE">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debt payments and future consumption is also </w:t>
      </w:r>
      <w:r w:rsidR="006808CE" w:rsidRPr="006808CE">
        <w:rPr>
          <w:rFonts w:ascii="Times New Roman" w:hAnsi="Times New Roman" w:cs="Times New Roman"/>
          <w:sz w:val="24"/>
          <w:szCs w:val="24"/>
          <w:lang w:val="en-US"/>
        </w:rPr>
        <w:lastRenderedPageBreak/>
        <w:t>positive.</w:t>
      </w:r>
      <w:r w:rsidR="006808CE">
        <w:rPr>
          <w:rFonts w:ascii="Times New Roman" w:hAnsi="Times New Roman" w:cs="Times New Roman"/>
          <w:sz w:val="24"/>
          <w:szCs w:val="24"/>
          <w:lang w:val="en-US"/>
        </w:rPr>
        <w:t xml:space="preserve"> </w:t>
      </w:r>
      <w:r w:rsidR="003B206D">
        <w:rPr>
          <w:rFonts w:ascii="Times New Roman" w:hAnsi="Times New Roman" w:cs="Times New Roman"/>
          <w:sz w:val="24"/>
          <w:szCs w:val="24"/>
          <w:lang w:val="en-US"/>
        </w:rPr>
        <w:t>In terms of t</w:t>
      </w:r>
      <w:r w:rsidR="006808CE" w:rsidRPr="006808CE">
        <w:rPr>
          <w:rFonts w:ascii="Times New Roman" w:hAnsi="Times New Roman" w:cs="Times New Roman"/>
          <w:sz w:val="24"/>
          <w:szCs w:val="24"/>
          <w:lang w:val="en-US"/>
        </w:rPr>
        <w:t>he third and fourth channels</w:t>
      </w:r>
      <w:r w:rsidR="003B206D">
        <w:rPr>
          <w:rFonts w:ascii="Times New Roman" w:hAnsi="Times New Roman" w:cs="Times New Roman"/>
          <w:sz w:val="24"/>
          <w:szCs w:val="24"/>
          <w:lang w:val="en-US"/>
        </w:rPr>
        <w:t>, the link here is the role of</w:t>
      </w:r>
      <w:r w:rsidR="006808CE" w:rsidRPr="006808CE">
        <w:rPr>
          <w:rFonts w:ascii="Times New Roman" w:hAnsi="Times New Roman" w:cs="Times New Roman"/>
          <w:sz w:val="24"/>
          <w:szCs w:val="24"/>
          <w:lang w:val="en-US"/>
        </w:rPr>
        <w:t xml:space="preserve"> durable goods. </w:t>
      </w:r>
      <w:r w:rsidR="003B206D">
        <w:rPr>
          <w:rFonts w:ascii="Times New Roman" w:hAnsi="Times New Roman" w:cs="Times New Roman"/>
          <w:sz w:val="24"/>
          <w:szCs w:val="24"/>
          <w:lang w:val="en-US"/>
        </w:rPr>
        <w:t>In particular, a</w:t>
      </w:r>
      <w:r w:rsidR="006808CE" w:rsidRPr="006808CE">
        <w:rPr>
          <w:rFonts w:ascii="Times New Roman" w:hAnsi="Times New Roman" w:cs="Times New Roman"/>
          <w:sz w:val="24"/>
          <w:szCs w:val="24"/>
          <w:lang w:val="en-US"/>
        </w:rPr>
        <w:t xml:space="preserve"> rise in a household’s debt</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payments raises the probability that a household </w:t>
      </w:r>
      <w:r w:rsidR="003B206D">
        <w:rPr>
          <w:rFonts w:ascii="Times New Roman" w:hAnsi="Times New Roman" w:cs="Times New Roman"/>
          <w:sz w:val="24"/>
          <w:szCs w:val="24"/>
          <w:lang w:val="en-US"/>
        </w:rPr>
        <w:t>may</w:t>
      </w:r>
      <w:r w:rsidR="006808CE" w:rsidRPr="006808CE">
        <w:rPr>
          <w:rFonts w:ascii="Times New Roman" w:hAnsi="Times New Roman" w:cs="Times New Roman"/>
          <w:sz w:val="24"/>
          <w:szCs w:val="24"/>
          <w:lang w:val="en-US"/>
        </w:rPr>
        <w:t xml:space="preserve"> find </w:t>
      </w:r>
      <w:r w:rsidR="003B206D">
        <w:rPr>
          <w:rFonts w:ascii="Times New Roman" w:hAnsi="Times New Roman" w:cs="Times New Roman"/>
          <w:sz w:val="24"/>
          <w:szCs w:val="24"/>
          <w:lang w:val="en-US"/>
        </w:rPr>
        <w:t xml:space="preserve">herself </w:t>
      </w:r>
      <w:r w:rsidR="006808CE" w:rsidRPr="006808CE">
        <w:rPr>
          <w:rFonts w:ascii="Times New Roman" w:hAnsi="Times New Roman" w:cs="Times New Roman"/>
          <w:sz w:val="24"/>
          <w:szCs w:val="24"/>
          <w:lang w:val="en-US"/>
        </w:rPr>
        <w:t>in financial distress and</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need to sell </w:t>
      </w:r>
      <w:r w:rsidR="003B206D">
        <w:rPr>
          <w:rFonts w:ascii="Times New Roman" w:hAnsi="Times New Roman" w:cs="Times New Roman"/>
          <w:sz w:val="24"/>
          <w:szCs w:val="24"/>
          <w:lang w:val="en-US"/>
        </w:rPr>
        <w:t>her</w:t>
      </w:r>
      <w:r w:rsidR="006808CE" w:rsidRPr="006808CE">
        <w:rPr>
          <w:rFonts w:ascii="Times New Roman" w:hAnsi="Times New Roman" w:cs="Times New Roman"/>
          <w:sz w:val="24"/>
          <w:szCs w:val="24"/>
          <w:lang w:val="en-US"/>
        </w:rPr>
        <w:t xml:space="preserve"> durable</w:t>
      </w:r>
      <w:r w:rsidR="003B206D">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xml:space="preserve"> for less than their full value. Thus, households with</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higher debt payments should be less </w:t>
      </w:r>
      <w:r w:rsidR="003B206D">
        <w:rPr>
          <w:rFonts w:ascii="Times New Roman" w:hAnsi="Times New Roman" w:cs="Times New Roman"/>
          <w:sz w:val="24"/>
          <w:szCs w:val="24"/>
          <w:lang w:val="en-US"/>
        </w:rPr>
        <w:t>open</w:t>
      </w:r>
      <w:r w:rsidR="006808CE" w:rsidRPr="006808CE">
        <w:rPr>
          <w:rFonts w:ascii="Times New Roman" w:hAnsi="Times New Roman" w:cs="Times New Roman"/>
          <w:sz w:val="24"/>
          <w:szCs w:val="24"/>
          <w:lang w:val="en-US"/>
        </w:rPr>
        <w:t xml:space="preserve"> to hold durable</w:t>
      </w:r>
      <w:r w:rsidR="003B206D">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xml:space="preserve"> and more </w:t>
      </w:r>
      <w:r w:rsidR="003B206D">
        <w:rPr>
          <w:rFonts w:ascii="Times New Roman" w:hAnsi="Times New Roman" w:cs="Times New Roman"/>
          <w:sz w:val="24"/>
          <w:szCs w:val="24"/>
          <w:lang w:val="en-US"/>
        </w:rPr>
        <w:t>open</w:t>
      </w:r>
      <w:r w:rsidR="006808CE" w:rsidRPr="006808CE">
        <w:rPr>
          <w:rFonts w:ascii="Times New Roman" w:hAnsi="Times New Roman" w:cs="Times New Roman"/>
          <w:sz w:val="24"/>
          <w:szCs w:val="24"/>
          <w:lang w:val="en-US"/>
        </w:rPr>
        <w:t xml:space="preserve"> to</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hold liquid financial assets, </w:t>
      </w:r>
      <w:r w:rsidR="003B206D">
        <w:rPr>
          <w:rFonts w:ascii="Times New Roman" w:hAnsi="Times New Roman" w:cs="Times New Roman"/>
          <w:sz w:val="24"/>
          <w:szCs w:val="24"/>
          <w:lang w:val="en-US"/>
        </w:rPr>
        <w:t>generating</w:t>
      </w:r>
      <w:r w:rsidR="006808CE" w:rsidRPr="006808CE">
        <w:rPr>
          <w:rFonts w:ascii="Times New Roman" w:hAnsi="Times New Roman" w:cs="Times New Roman"/>
          <w:sz w:val="24"/>
          <w:szCs w:val="24"/>
          <w:lang w:val="en-US"/>
        </w:rPr>
        <w:t xml:space="preserve"> a negative relationship between debt payments and</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durable goods expenditures. </w:t>
      </w:r>
      <w:r w:rsidR="003B206D">
        <w:rPr>
          <w:rFonts w:ascii="Times New Roman" w:hAnsi="Times New Roman" w:cs="Times New Roman"/>
          <w:sz w:val="24"/>
          <w:szCs w:val="24"/>
          <w:lang w:val="en-US"/>
        </w:rPr>
        <w:t>Moreover</w:t>
      </w:r>
      <w:r w:rsidR="006808CE" w:rsidRPr="006808CE">
        <w:rPr>
          <w:rFonts w:ascii="Times New Roman" w:hAnsi="Times New Roman" w:cs="Times New Roman"/>
          <w:sz w:val="24"/>
          <w:szCs w:val="24"/>
          <w:lang w:val="en-US"/>
        </w:rPr>
        <w:t>, many households finance durable goods purchases</w:t>
      </w:r>
      <w:r w:rsidR="003B206D">
        <w:rPr>
          <w:rFonts w:ascii="Times New Roman" w:hAnsi="Times New Roman" w:cs="Times New Roman"/>
          <w:sz w:val="24"/>
          <w:szCs w:val="24"/>
          <w:lang w:val="en-US"/>
        </w:rPr>
        <w:t xml:space="preserve"> through</w:t>
      </w:r>
      <w:r w:rsidR="006808CE" w:rsidRPr="006808CE">
        <w:rPr>
          <w:rFonts w:ascii="Times New Roman" w:hAnsi="Times New Roman" w:cs="Times New Roman"/>
          <w:sz w:val="24"/>
          <w:szCs w:val="24"/>
          <w:lang w:val="en-US"/>
        </w:rPr>
        <w:t xml:space="preserve"> consumer credit, which allows </w:t>
      </w:r>
      <w:r w:rsidR="003B206D">
        <w:rPr>
          <w:rFonts w:ascii="Times New Roman" w:hAnsi="Times New Roman" w:cs="Times New Roman"/>
          <w:sz w:val="24"/>
          <w:szCs w:val="24"/>
          <w:lang w:val="en-US"/>
        </w:rPr>
        <w:t>them</w:t>
      </w:r>
      <w:r w:rsidR="006808CE" w:rsidRPr="006808CE">
        <w:rPr>
          <w:rFonts w:ascii="Times New Roman" w:hAnsi="Times New Roman" w:cs="Times New Roman"/>
          <w:sz w:val="24"/>
          <w:szCs w:val="24"/>
          <w:lang w:val="en-US"/>
        </w:rPr>
        <w:t xml:space="preserve"> to better match the</w:t>
      </w:r>
      <w:r w:rsidR="003B206D">
        <w:rPr>
          <w:rFonts w:ascii="Times New Roman" w:hAnsi="Times New Roman" w:cs="Times New Roman"/>
          <w:sz w:val="24"/>
          <w:szCs w:val="24"/>
          <w:lang w:val="en-US"/>
        </w:rPr>
        <w:t>ir</w:t>
      </w:r>
      <w:r w:rsidR="006808CE" w:rsidRPr="006808CE">
        <w:rPr>
          <w:rFonts w:ascii="Times New Roman" w:hAnsi="Times New Roman" w:cs="Times New Roman"/>
          <w:sz w:val="24"/>
          <w:szCs w:val="24"/>
          <w:lang w:val="en-US"/>
        </w:rPr>
        <w:t xml:space="preserve"> payment stream</w:t>
      </w:r>
      <w:r w:rsidR="003B206D">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xml:space="preserve"> with the consumption of their services. </w:t>
      </w:r>
      <w:r w:rsidR="003B206D">
        <w:rPr>
          <w:rFonts w:ascii="Times New Roman" w:hAnsi="Times New Roman" w:cs="Times New Roman"/>
          <w:sz w:val="24"/>
          <w:szCs w:val="24"/>
          <w:lang w:val="en-US"/>
        </w:rPr>
        <w:t>Given that</w:t>
      </w:r>
      <w:r w:rsidR="006808CE" w:rsidRPr="006808CE">
        <w:rPr>
          <w:rFonts w:ascii="Times New Roman" w:hAnsi="Times New Roman" w:cs="Times New Roman"/>
          <w:sz w:val="24"/>
          <w:szCs w:val="24"/>
          <w:lang w:val="en-US"/>
        </w:rPr>
        <w:t xml:space="preserve"> durable goods purchases</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are lumpy, a surge in expenditures in one period, </w:t>
      </w:r>
      <w:r w:rsidR="003B206D">
        <w:rPr>
          <w:rFonts w:ascii="Times New Roman" w:hAnsi="Times New Roman" w:cs="Times New Roman"/>
          <w:sz w:val="24"/>
          <w:szCs w:val="24"/>
          <w:lang w:val="en-US"/>
        </w:rPr>
        <w:t>leading</w:t>
      </w:r>
      <w:r w:rsidR="006808CE" w:rsidRPr="006808CE">
        <w:rPr>
          <w:rFonts w:ascii="Times New Roman" w:hAnsi="Times New Roman" w:cs="Times New Roman"/>
          <w:sz w:val="24"/>
          <w:szCs w:val="24"/>
          <w:lang w:val="en-US"/>
        </w:rPr>
        <w:t xml:space="preserve"> to higher debt</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payments, will likely result in a decline in expenditures in the following period. </w:t>
      </w:r>
      <w:r w:rsidR="003B206D">
        <w:rPr>
          <w:rFonts w:ascii="Times New Roman" w:hAnsi="Times New Roman" w:cs="Times New Roman"/>
          <w:sz w:val="24"/>
          <w:szCs w:val="24"/>
          <w:lang w:val="en-US"/>
        </w:rPr>
        <w:t>In that sense</w:t>
      </w:r>
      <w:r w:rsidR="006808CE" w:rsidRPr="006808CE">
        <w:rPr>
          <w:rFonts w:ascii="Times New Roman" w:hAnsi="Times New Roman" w:cs="Times New Roman"/>
          <w:sz w:val="24"/>
          <w:szCs w:val="24"/>
          <w:lang w:val="en-US"/>
        </w:rPr>
        <w:t>,</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debt payments and durable goods expenditures are negatively</w:t>
      </w:r>
      <w:r w:rsidR="003B206D">
        <w:rPr>
          <w:rFonts w:ascii="Times New Roman" w:hAnsi="Times New Roman" w:cs="Times New Roman"/>
          <w:sz w:val="24"/>
          <w:szCs w:val="24"/>
          <w:lang w:val="en-US"/>
        </w:rPr>
        <w:t xml:space="preserve"> associated</w:t>
      </w:r>
      <w:r w:rsidR="006808CE" w:rsidRPr="006808CE">
        <w:rPr>
          <w:rFonts w:ascii="Times New Roman" w:hAnsi="Times New Roman" w:cs="Times New Roman"/>
          <w:sz w:val="24"/>
          <w:szCs w:val="24"/>
          <w:lang w:val="en-US"/>
        </w:rPr>
        <w:t>.</w:t>
      </w:r>
      <w:r w:rsidR="003B206D">
        <w:rPr>
          <w:rFonts w:ascii="Times New Roman" w:hAnsi="Times New Roman" w:cs="Times New Roman"/>
          <w:sz w:val="24"/>
          <w:szCs w:val="24"/>
          <w:lang w:val="en-US"/>
        </w:rPr>
        <w:t xml:space="preserve"> Finally, </w:t>
      </w:r>
      <w:r w:rsidR="006808CE" w:rsidRPr="006808CE">
        <w:rPr>
          <w:rFonts w:ascii="Times New Roman" w:hAnsi="Times New Roman" w:cs="Times New Roman"/>
          <w:sz w:val="24"/>
          <w:szCs w:val="24"/>
          <w:lang w:val="en-US"/>
        </w:rPr>
        <w:t xml:space="preserve">household debt payments may also be </w:t>
      </w:r>
      <w:r w:rsidR="003B206D">
        <w:rPr>
          <w:rFonts w:ascii="Times New Roman" w:hAnsi="Times New Roman" w:cs="Times New Roman"/>
          <w:sz w:val="24"/>
          <w:szCs w:val="24"/>
          <w:lang w:val="en-US"/>
        </w:rPr>
        <w:t>associated</w:t>
      </w:r>
      <w:r w:rsidR="006808CE" w:rsidRPr="006808CE">
        <w:rPr>
          <w:rFonts w:ascii="Times New Roman" w:hAnsi="Times New Roman" w:cs="Times New Roman"/>
          <w:sz w:val="24"/>
          <w:szCs w:val="24"/>
          <w:lang w:val="en-US"/>
        </w:rPr>
        <w:t xml:space="preserve"> with household</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consumption</w:t>
      </w:r>
      <w:r w:rsidR="00B86CC2">
        <w:rPr>
          <w:rFonts w:ascii="Times New Roman" w:hAnsi="Times New Roman" w:cs="Times New Roman"/>
          <w:sz w:val="24"/>
          <w:szCs w:val="24"/>
          <w:lang w:val="en-US"/>
        </w:rPr>
        <w:t>,</w:t>
      </w:r>
      <w:r w:rsidR="006808CE" w:rsidRPr="006808CE">
        <w:rPr>
          <w:rFonts w:ascii="Times New Roman" w:hAnsi="Times New Roman" w:cs="Times New Roman"/>
          <w:sz w:val="24"/>
          <w:szCs w:val="24"/>
          <w:lang w:val="en-US"/>
        </w:rPr>
        <w:t xml:space="preserve"> because </w:t>
      </w:r>
      <w:r w:rsidR="003B206D">
        <w:rPr>
          <w:rFonts w:ascii="Times New Roman" w:hAnsi="Times New Roman" w:cs="Times New Roman"/>
          <w:sz w:val="24"/>
          <w:szCs w:val="24"/>
          <w:lang w:val="en-US"/>
        </w:rPr>
        <w:t>certain</w:t>
      </w:r>
      <w:r w:rsidR="006808CE" w:rsidRPr="006808CE">
        <w:rPr>
          <w:rFonts w:ascii="Times New Roman" w:hAnsi="Times New Roman" w:cs="Times New Roman"/>
          <w:sz w:val="24"/>
          <w:szCs w:val="24"/>
          <w:lang w:val="en-US"/>
        </w:rPr>
        <w:t xml:space="preserve"> households </w:t>
      </w:r>
      <w:r w:rsidR="003B206D">
        <w:rPr>
          <w:rFonts w:ascii="Times New Roman" w:hAnsi="Times New Roman" w:cs="Times New Roman"/>
          <w:sz w:val="24"/>
          <w:szCs w:val="24"/>
          <w:lang w:val="en-US"/>
        </w:rPr>
        <w:t>face serious</w:t>
      </w:r>
      <w:r w:rsidR="006808CE" w:rsidRPr="006808CE">
        <w:rPr>
          <w:rFonts w:ascii="Times New Roman" w:hAnsi="Times New Roman" w:cs="Times New Roman"/>
          <w:sz w:val="24"/>
          <w:szCs w:val="24"/>
          <w:lang w:val="en-US"/>
        </w:rPr>
        <w:t xml:space="preserve"> borrowing constrain</w:t>
      </w:r>
      <w:r w:rsidR="003B206D">
        <w:rPr>
          <w:rFonts w:ascii="Times New Roman" w:hAnsi="Times New Roman" w:cs="Times New Roman"/>
          <w:sz w:val="24"/>
          <w:szCs w:val="24"/>
          <w:lang w:val="en-US"/>
        </w:rPr>
        <w:t>ts</w:t>
      </w:r>
      <w:r w:rsidR="006808CE" w:rsidRPr="006808CE">
        <w:rPr>
          <w:rFonts w:ascii="Times New Roman" w:hAnsi="Times New Roman" w:cs="Times New Roman"/>
          <w:sz w:val="24"/>
          <w:szCs w:val="24"/>
          <w:lang w:val="en-US"/>
        </w:rPr>
        <w:t xml:space="preserve">. </w:t>
      </w:r>
      <w:r w:rsidR="003B206D">
        <w:rPr>
          <w:rFonts w:ascii="Times New Roman" w:hAnsi="Times New Roman" w:cs="Times New Roman"/>
          <w:sz w:val="24"/>
          <w:szCs w:val="24"/>
          <w:lang w:val="en-US"/>
        </w:rPr>
        <w:t xml:space="preserve">The presence of such </w:t>
      </w:r>
      <w:r w:rsidR="006808CE" w:rsidRPr="006808CE">
        <w:rPr>
          <w:rFonts w:ascii="Times New Roman" w:hAnsi="Times New Roman" w:cs="Times New Roman"/>
          <w:sz w:val="24"/>
          <w:szCs w:val="24"/>
          <w:lang w:val="en-US"/>
        </w:rPr>
        <w:t xml:space="preserve">constraints can </w:t>
      </w:r>
      <w:r w:rsidR="003B206D">
        <w:rPr>
          <w:rFonts w:ascii="Times New Roman" w:hAnsi="Times New Roman" w:cs="Times New Roman"/>
          <w:sz w:val="24"/>
          <w:szCs w:val="24"/>
          <w:lang w:val="en-US"/>
        </w:rPr>
        <w:t>generate</w:t>
      </w:r>
      <w:r w:rsidR="006808CE" w:rsidRPr="006808CE">
        <w:rPr>
          <w:rFonts w:ascii="Times New Roman" w:hAnsi="Times New Roman" w:cs="Times New Roman"/>
          <w:sz w:val="24"/>
          <w:szCs w:val="24"/>
          <w:lang w:val="en-US"/>
        </w:rPr>
        <w:t xml:space="preserve"> either a positive or a negative relationship</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between DSR</w:t>
      </w:r>
      <w:r w:rsidR="003B206D">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xml:space="preserve"> and consumption. </w:t>
      </w:r>
      <w:r w:rsidR="003B206D">
        <w:rPr>
          <w:rFonts w:ascii="Times New Roman" w:hAnsi="Times New Roman" w:cs="Times New Roman"/>
          <w:sz w:val="24"/>
          <w:szCs w:val="24"/>
          <w:lang w:val="en-US"/>
        </w:rPr>
        <w:t xml:space="preserve">However, </w:t>
      </w:r>
      <w:r w:rsidR="006808CE" w:rsidRPr="006808CE">
        <w:rPr>
          <w:rFonts w:ascii="Times New Roman" w:hAnsi="Times New Roman" w:cs="Times New Roman"/>
          <w:sz w:val="24"/>
          <w:szCs w:val="24"/>
          <w:lang w:val="en-US"/>
        </w:rPr>
        <w:t>a rise in DSR</w:t>
      </w:r>
      <w:r w:rsidR="003B206D">
        <w:rPr>
          <w:rFonts w:ascii="Times New Roman" w:hAnsi="Times New Roman" w:cs="Times New Roman"/>
          <w:sz w:val="24"/>
          <w:szCs w:val="24"/>
          <w:lang w:val="en-US"/>
        </w:rPr>
        <w:t>s</w:t>
      </w:r>
      <w:r w:rsidR="006808CE" w:rsidRPr="006808CE">
        <w:rPr>
          <w:rFonts w:ascii="Times New Roman" w:hAnsi="Times New Roman" w:cs="Times New Roman"/>
          <w:sz w:val="24"/>
          <w:szCs w:val="24"/>
          <w:lang w:val="en-US"/>
        </w:rPr>
        <w:t xml:space="preserve"> </w:t>
      </w:r>
      <w:r w:rsidR="003B206D">
        <w:rPr>
          <w:rFonts w:ascii="Times New Roman" w:hAnsi="Times New Roman" w:cs="Times New Roman"/>
          <w:sz w:val="24"/>
          <w:szCs w:val="24"/>
          <w:lang w:val="en-US"/>
        </w:rPr>
        <w:t>may indicate that certain</w:t>
      </w:r>
      <w:r w:rsidR="006808CE" w:rsidRPr="006808CE">
        <w:rPr>
          <w:rFonts w:ascii="Times New Roman" w:hAnsi="Times New Roman" w:cs="Times New Roman"/>
          <w:sz w:val="24"/>
          <w:szCs w:val="24"/>
          <w:lang w:val="en-US"/>
        </w:rPr>
        <w:t xml:space="preserve"> households have reached their borrowing limit and cannot increase their</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consumption as rapidly as they had </w:t>
      </w:r>
      <w:r w:rsidR="003B206D">
        <w:rPr>
          <w:rFonts w:ascii="Times New Roman" w:hAnsi="Times New Roman" w:cs="Times New Roman"/>
          <w:sz w:val="24"/>
          <w:szCs w:val="24"/>
          <w:lang w:val="en-US"/>
        </w:rPr>
        <w:t>done it before, or</w:t>
      </w:r>
      <w:r w:rsidR="006808CE" w:rsidRPr="006808CE">
        <w:rPr>
          <w:rFonts w:ascii="Times New Roman" w:hAnsi="Times New Roman" w:cs="Times New Roman"/>
          <w:sz w:val="24"/>
          <w:szCs w:val="24"/>
          <w:lang w:val="en-US"/>
        </w:rPr>
        <w:t xml:space="preserve"> a rise in DSR</w:t>
      </w:r>
      <w:r w:rsidR="003B206D">
        <w:rPr>
          <w:rFonts w:ascii="Times New Roman" w:hAnsi="Times New Roman" w:cs="Times New Roman"/>
          <w:sz w:val="24"/>
          <w:szCs w:val="24"/>
          <w:lang w:val="en-US"/>
        </w:rPr>
        <w:t xml:space="preserve">s may denote </w:t>
      </w:r>
      <w:r w:rsidR="006808CE" w:rsidRPr="006808CE">
        <w:rPr>
          <w:rFonts w:ascii="Times New Roman" w:hAnsi="Times New Roman" w:cs="Times New Roman"/>
          <w:sz w:val="24"/>
          <w:szCs w:val="24"/>
          <w:lang w:val="en-US"/>
        </w:rPr>
        <w:t xml:space="preserve">a relaxation of credit constraints so that </w:t>
      </w:r>
      <w:r w:rsidR="003B206D">
        <w:rPr>
          <w:rFonts w:ascii="Times New Roman" w:hAnsi="Times New Roman" w:cs="Times New Roman"/>
          <w:sz w:val="24"/>
          <w:szCs w:val="24"/>
          <w:lang w:val="en-US"/>
        </w:rPr>
        <w:t>certain</w:t>
      </w:r>
      <w:r w:rsidR="006808CE" w:rsidRPr="006808CE">
        <w:rPr>
          <w:rFonts w:ascii="Times New Roman" w:hAnsi="Times New Roman" w:cs="Times New Roman"/>
          <w:sz w:val="24"/>
          <w:szCs w:val="24"/>
          <w:lang w:val="en-US"/>
        </w:rPr>
        <w:t xml:space="preserve"> households can increase their consumption</w:t>
      </w:r>
      <w:r w:rsidR="003B206D">
        <w:rPr>
          <w:rFonts w:ascii="Times New Roman" w:hAnsi="Times New Roman" w:cs="Times New Roman"/>
          <w:sz w:val="24"/>
          <w:szCs w:val="24"/>
          <w:lang w:val="en-US"/>
        </w:rPr>
        <w:t xml:space="preserve"> </w:t>
      </w:r>
      <w:r w:rsidR="006808CE" w:rsidRPr="006808CE">
        <w:rPr>
          <w:rFonts w:ascii="Times New Roman" w:hAnsi="Times New Roman" w:cs="Times New Roman"/>
          <w:sz w:val="24"/>
          <w:szCs w:val="24"/>
          <w:lang w:val="en-US"/>
        </w:rPr>
        <w:t xml:space="preserve">more than in the past. </w:t>
      </w:r>
      <w:r w:rsidRPr="009139C6">
        <w:rPr>
          <w:rFonts w:ascii="Times New Roman" w:hAnsi="Times New Roman" w:cs="Times New Roman"/>
          <w:sz w:val="24"/>
          <w:szCs w:val="24"/>
          <w:lang w:val="en-US"/>
        </w:rPr>
        <w:t xml:space="preserve"> </w:t>
      </w:r>
    </w:p>
    <w:p w:rsidR="009139C6" w:rsidRPr="00262F8D" w:rsidRDefault="009139C6" w:rsidP="00262F8D">
      <w:pPr>
        <w:spacing w:line="480" w:lineRule="auto"/>
        <w:ind w:firstLine="720"/>
        <w:jc w:val="both"/>
        <w:rPr>
          <w:rFonts w:ascii="Times New Roman" w:hAnsi="Times New Roman" w:cs="Times New Roman"/>
          <w:sz w:val="24"/>
          <w:szCs w:val="24"/>
          <w:lang w:val="en-US"/>
        </w:rPr>
      </w:pPr>
      <w:r w:rsidRPr="009139C6">
        <w:rPr>
          <w:rFonts w:ascii="Times New Roman" w:hAnsi="Times New Roman" w:cs="Times New Roman"/>
          <w:sz w:val="24"/>
          <w:szCs w:val="24"/>
          <w:lang w:val="en-US"/>
        </w:rPr>
        <w:t>Th</w:t>
      </w:r>
      <w:r w:rsidR="003B206D">
        <w:rPr>
          <w:rFonts w:ascii="Times New Roman" w:hAnsi="Times New Roman" w:cs="Times New Roman"/>
          <w:sz w:val="24"/>
          <w:szCs w:val="24"/>
          <w:lang w:val="en-US"/>
        </w:rPr>
        <w:t>ese</w:t>
      </w:r>
      <w:r w:rsidRPr="009139C6">
        <w:rPr>
          <w:rFonts w:ascii="Times New Roman" w:hAnsi="Times New Roman" w:cs="Times New Roman"/>
          <w:sz w:val="24"/>
          <w:szCs w:val="24"/>
          <w:lang w:val="en-US"/>
        </w:rPr>
        <w:t xml:space="preserve"> hypothesized link</w:t>
      </w:r>
      <w:r w:rsidR="003B206D">
        <w:rPr>
          <w:rFonts w:ascii="Times New Roman" w:hAnsi="Times New Roman" w:cs="Times New Roman"/>
          <w:sz w:val="24"/>
          <w:szCs w:val="24"/>
          <w:lang w:val="en-US"/>
        </w:rPr>
        <w:t>s</w:t>
      </w:r>
      <w:r w:rsidRPr="009139C6">
        <w:rPr>
          <w:rFonts w:ascii="Times New Roman" w:hAnsi="Times New Roman" w:cs="Times New Roman"/>
          <w:sz w:val="24"/>
          <w:szCs w:val="24"/>
          <w:lang w:val="en-US"/>
        </w:rPr>
        <w:t xml:space="preserve"> ha</w:t>
      </w:r>
      <w:r w:rsidR="003B206D">
        <w:rPr>
          <w:rFonts w:ascii="Times New Roman" w:hAnsi="Times New Roman" w:cs="Times New Roman"/>
          <w:sz w:val="24"/>
          <w:szCs w:val="24"/>
          <w:lang w:val="en-US"/>
        </w:rPr>
        <w:t>ve</w:t>
      </w:r>
      <w:r w:rsidRPr="009139C6">
        <w:rPr>
          <w:rFonts w:ascii="Times New Roman" w:hAnsi="Times New Roman" w:cs="Times New Roman"/>
          <w:sz w:val="24"/>
          <w:szCs w:val="24"/>
          <w:lang w:val="en-US"/>
        </w:rPr>
        <w:t xml:space="preserve"> been studied in the</w:t>
      </w:r>
      <w:r w:rsidR="009756CF">
        <w:rPr>
          <w:rFonts w:ascii="Times New Roman" w:hAnsi="Times New Roman" w:cs="Times New Roman"/>
          <w:sz w:val="24"/>
          <w:szCs w:val="24"/>
          <w:lang w:val="en-US"/>
        </w:rPr>
        <w:t xml:space="preserve"> </w:t>
      </w:r>
      <w:r w:rsidRPr="009139C6">
        <w:rPr>
          <w:rFonts w:ascii="Times New Roman" w:hAnsi="Times New Roman" w:cs="Times New Roman"/>
          <w:sz w:val="24"/>
          <w:szCs w:val="24"/>
          <w:lang w:val="en-US"/>
        </w:rPr>
        <w:t xml:space="preserve">literature, </w:t>
      </w:r>
      <w:r w:rsidR="009756CF">
        <w:rPr>
          <w:rFonts w:ascii="Times New Roman" w:hAnsi="Times New Roman" w:cs="Times New Roman"/>
          <w:sz w:val="24"/>
          <w:szCs w:val="24"/>
          <w:lang w:val="en-US"/>
        </w:rPr>
        <w:t>with</w:t>
      </w:r>
      <w:r w:rsidRPr="009139C6">
        <w:rPr>
          <w:rFonts w:ascii="Times New Roman" w:hAnsi="Times New Roman" w:cs="Times New Roman"/>
          <w:sz w:val="24"/>
          <w:szCs w:val="24"/>
          <w:lang w:val="en-US"/>
        </w:rPr>
        <w:t xml:space="preserve"> the results </w:t>
      </w:r>
      <w:r w:rsidR="009756CF">
        <w:rPr>
          <w:rFonts w:ascii="Times New Roman" w:hAnsi="Times New Roman" w:cs="Times New Roman"/>
          <w:sz w:val="24"/>
          <w:szCs w:val="24"/>
          <w:lang w:val="en-US"/>
        </w:rPr>
        <w:t>being mixed. Some researchers examine</w:t>
      </w:r>
      <w:r w:rsidRPr="009139C6">
        <w:rPr>
          <w:rFonts w:ascii="Times New Roman" w:hAnsi="Times New Roman" w:cs="Times New Roman"/>
          <w:sz w:val="24"/>
          <w:szCs w:val="24"/>
          <w:lang w:val="en-US"/>
        </w:rPr>
        <w:t xml:space="preserve"> the link</w:t>
      </w:r>
      <w:r w:rsidR="009756CF">
        <w:rPr>
          <w:rFonts w:ascii="Times New Roman" w:hAnsi="Times New Roman" w:cs="Times New Roman"/>
          <w:sz w:val="24"/>
          <w:szCs w:val="24"/>
          <w:lang w:val="en-US"/>
        </w:rPr>
        <w:t xml:space="preserve"> </w:t>
      </w:r>
      <w:r w:rsidRPr="009139C6">
        <w:rPr>
          <w:rFonts w:ascii="Times New Roman" w:hAnsi="Times New Roman" w:cs="Times New Roman"/>
          <w:sz w:val="24"/>
          <w:szCs w:val="24"/>
          <w:lang w:val="en-US"/>
        </w:rPr>
        <w:t>between aggregate household debt and consumption</w:t>
      </w:r>
      <w:r w:rsidR="009756CF">
        <w:rPr>
          <w:rFonts w:ascii="Times New Roman" w:hAnsi="Times New Roman" w:cs="Times New Roman"/>
          <w:sz w:val="24"/>
          <w:szCs w:val="24"/>
          <w:lang w:val="en-US"/>
        </w:rPr>
        <w:t xml:space="preserve"> (</w:t>
      </w:r>
      <w:proofErr w:type="spellStart"/>
      <w:r w:rsidR="009756CF">
        <w:rPr>
          <w:rFonts w:ascii="Times New Roman" w:hAnsi="Times New Roman" w:cs="Times New Roman"/>
          <w:sz w:val="24"/>
          <w:szCs w:val="24"/>
          <w:lang w:val="en-US"/>
        </w:rPr>
        <w:t>Bachetta</w:t>
      </w:r>
      <w:proofErr w:type="spellEnd"/>
      <w:r w:rsidR="009756CF">
        <w:rPr>
          <w:rFonts w:ascii="Times New Roman" w:hAnsi="Times New Roman" w:cs="Times New Roman"/>
          <w:sz w:val="24"/>
          <w:szCs w:val="24"/>
          <w:lang w:val="en-US"/>
        </w:rPr>
        <w:t xml:space="preserve"> and </w:t>
      </w:r>
      <w:proofErr w:type="spellStart"/>
      <w:r w:rsidR="009756CF">
        <w:rPr>
          <w:rFonts w:ascii="Times New Roman" w:hAnsi="Times New Roman" w:cs="Times New Roman"/>
          <w:sz w:val="24"/>
          <w:szCs w:val="24"/>
          <w:lang w:val="en-US"/>
        </w:rPr>
        <w:t>Gerlach</w:t>
      </w:r>
      <w:proofErr w:type="spellEnd"/>
      <w:r w:rsidR="009756CF">
        <w:rPr>
          <w:rFonts w:ascii="Times New Roman" w:hAnsi="Times New Roman" w:cs="Times New Roman"/>
          <w:sz w:val="24"/>
          <w:szCs w:val="24"/>
          <w:lang w:val="en-US"/>
        </w:rPr>
        <w:t xml:space="preserve">, 1997; </w:t>
      </w:r>
      <w:proofErr w:type="spellStart"/>
      <w:r w:rsidRPr="009139C6">
        <w:rPr>
          <w:rFonts w:ascii="Times New Roman" w:hAnsi="Times New Roman" w:cs="Times New Roman"/>
          <w:sz w:val="24"/>
          <w:szCs w:val="24"/>
          <w:lang w:val="en-US"/>
        </w:rPr>
        <w:t>Ludvigson</w:t>
      </w:r>
      <w:proofErr w:type="spellEnd"/>
      <w:r w:rsidRPr="009139C6">
        <w:rPr>
          <w:rFonts w:ascii="Times New Roman" w:hAnsi="Times New Roman" w:cs="Times New Roman"/>
          <w:sz w:val="24"/>
          <w:szCs w:val="24"/>
          <w:lang w:val="en-US"/>
        </w:rPr>
        <w:t>, 1999)</w:t>
      </w:r>
      <w:r w:rsidR="009756CF">
        <w:rPr>
          <w:rFonts w:ascii="Times New Roman" w:hAnsi="Times New Roman" w:cs="Times New Roman"/>
          <w:sz w:val="24"/>
          <w:szCs w:val="24"/>
          <w:lang w:val="en-US"/>
        </w:rPr>
        <w:t>; their findings illustrate</w:t>
      </w:r>
      <w:r w:rsidRPr="009139C6">
        <w:rPr>
          <w:rFonts w:ascii="Times New Roman" w:hAnsi="Times New Roman" w:cs="Times New Roman"/>
          <w:sz w:val="24"/>
          <w:szCs w:val="24"/>
          <w:lang w:val="en-US"/>
        </w:rPr>
        <w:t xml:space="preserve"> that a rise in the growth of household debt raises the growth</w:t>
      </w:r>
      <w:r w:rsidR="009756CF">
        <w:rPr>
          <w:rFonts w:ascii="Times New Roman" w:hAnsi="Times New Roman" w:cs="Times New Roman"/>
          <w:sz w:val="24"/>
          <w:szCs w:val="24"/>
          <w:lang w:val="en-US"/>
        </w:rPr>
        <w:t xml:space="preserve"> of consumption. By contrast</w:t>
      </w:r>
      <w:r w:rsidRPr="009139C6">
        <w:rPr>
          <w:rFonts w:ascii="Times New Roman" w:hAnsi="Times New Roman" w:cs="Times New Roman"/>
          <w:sz w:val="24"/>
          <w:szCs w:val="24"/>
          <w:lang w:val="en-US"/>
        </w:rPr>
        <w:t xml:space="preserve">, </w:t>
      </w:r>
      <w:proofErr w:type="gramStart"/>
      <w:r w:rsidRPr="009139C6">
        <w:rPr>
          <w:rFonts w:ascii="Times New Roman" w:hAnsi="Times New Roman" w:cs="Times New Roman"/>
          <w:sz w:val="24"/>
          <w:szCs w:val="24"/>
          <w:lang w:val="en-US"/>
        </w:rPr>
        <w:t xml:space="preserve">Johnson (2007) </w:t>
      </w:r>
      <w:r w:rsidR="009756CF">
        <w:rPr>
          <w:rFonts w:ascii="Times New Roman" w:hAnsi="Times New Roman" w:cs="Times New Roman"/>
          <w:sz w:val="24"/>
          <w:szCs w:val="24"/>
          <w:lang w:val="en-US"/>
        </w:rPr>
        <w:t>documents</w:t>
      </w:r>
      <w:r w:rsidRPr="009139C6">
        <w:rPr>
          <w:rFonts w:ascii="Times New Roman" w:hAnsi="Times New Roman" w:cs="Times New Roman"/>
          <w:sz w:val="24"/>
          <w:szCs w:val="24"/>
          <w:lang w:val="en-US"/>
        </w:rPr>
        <w:t xml:space="preserve"> that rise</w:t>
      </w:r>
      <w:r w:rsidR="00B86CC2">
        <w:rPr>
          <w:rFonts w:ascii="Times New Roman" w:hAnsi="Times New Roman" w:cs="Times New Roman"/>
          <w:sz w:val="24"/>
          <w:szCs w:val="24"/>
          <w:lang w:val="en-US"/>
        </w:rPr>
        <w:t>s</w:t>
      </w:r>
      <w:proofErr w:type="gramEnd"/>
      <w:r w:rsidRPr="009139C6">
        <w:rPr>
          <w:rFonts w:ascii="Times New Roman" w:hAnsi="Times New Roman" w:cs="Times New Roman"/>
          <w:sz w:val="24"/>
          <w:szCs w:val="24"/>
          <w:lang w:val="en-US"/>
        </w:rPr>
        <w:t xml:space="preserve"> in the growth of</w:t>
      </w:r>
      <w:r w:rsidR="00B86CC2">
        <w:rPr>
          <w:rFonts w:ascii="Times New Roman" w:hAnsi="Times New Roman" w:cs="Times New Roman"/>
          <w:sz w:val="24"/>
          <w:szCs w:val="24"/>
          <w:lang w:val="en-US"/>
        </w:rPr>
        <w:t xml:space="preserve"> revolving consumer debt reduce</w:t>
      </w:r>
      <w:r w:rsidRPr="009139C6">
        <w:rPr>
          <w:rFonts w:ascii="Times New Roman" w:hAnsi="Times New Roman" w:cs="Times New Roman"/>
          <w:sz w:val="24"/>
          <w:szCs w:val="24"/>
          <w:lang w:val="en-US"/>
        </w:rPr>
        <w:t xml:space="preserve"> the growth of consumption. Other</w:t>
      </w:r>
      <w:r w:rsidR="009756CF">
        <w:rPr>
          <w:rFonts w:ascii="Times New Roman" w:hAnsi="Times New Roman" w:cs="Times New Roman"/>
          <w:sz w:val="24"/>
          <w:szCs w:val="24"/>
          <w:lang w:val="en-US"/>
        </w:rPr>
        <w:t>s f</w:t>
      </w:r>
      <w:r w:rsidRPr="009139C6">
        <w:rPr>
          <w:rFonts w:ascii="Times New Roman" w:hAnsi="Times New Roman" w:cs="Times New Roman"/>
          <w:sz w:val="24"/>
          <w:szCs w:val="24"/>
          <w:lang w:val="en-US"/>
        </w:rPr>
        <w:t xml:space="preserve">ocus on the link between aggregate </w:t>
      </w:r>
      <w:r w:rsidRPr="009139C6">
        <w:rPr>
          <w:rFonts w:ascii="Times New Roman" w:hAnsi="Times New Roman" w:cs="Times New Roman"/>
          <w:sz w:val="24"/>
          <w:szCs w:val="24"/>
          <w:lang w:val="en-US"/>
        </w:rPr>
        <w:lastRenderedPageBreak/>
        <w:t>payments on debt and consumption.</w:t>
      </w:r>
      <w:r w:rsidR="009756CF">
        <w:rPr>
          <w:rFonts w:ascii="Times New Roman" w:hAnsi="Times New Roman" w:cs="Times New Roman"/>
          <w:sz w:val="24"/>
          <w:szCs w:val="24"/>
          <w:lang w:val="en-US"/>
        </w:rPr>
        <w:t xml:space="preserve"> </w:t>
      </w:r>
      <w:r w:rsidR="00B86CC2">
        <w:rPr>
          <w:rFonts w:ascii="Times New Roman" w:hAnsi="Times New Roman" w:cs="Times New Roman"/>
          <w:sz w:val="24"/>
          <w:szCs w:val="24"/>
          <w:lang w:val="en-US"/>
        </w:rPr>
        <w:t xml:space="preserve">Within this strand of research, </w:t>
      </w:r>
      <w:proofErr w:type="spellStart"/>
      <w:r w:rsidRPr="009139C6">
        <w:rPr>
          <w:rFonts w:ascii="Times New Roman" w:hAnsi="Times New Roman" w:cs="Times New Roman"/>
          <w:sz w:val="24"/>
          <w:szCs w:val="24"/>
          <w:lang w:val="en-US"/>
        </w:rPr>
        <w:t>Mishkin</w:t>
      </w:r>
      <w:proofErr w:type="spellEnd"/>
      <w:r w:rsidRPr="009139C6">
        <w:rPr>
          <w:rFonts w:ascii="Times New Roman" w:hAnsi="Times New Roman" w:cs="Times New Roman"/>
          <w:sz w:val="24"/>
          <w:szCs w:val="24"/>
          <w:lang w:val="en-US"/>
        </w:rPr>
        <w:t xml:space="preserve"> (1976) and McCarthy (1997) </w:t>
      </w:r>
      <w:r w:rsidR="009756CF">
        <w:rPr>
          <w:rFonts w:ascii="Times New Roman" w:hAnsi="Times New Roman" w:cs="Times New Roman"/>
          <w:sz w:val="24"/>
          <w:szCs w:val="24"/>
          <w:lang w:val="en-US"/>
        </w:rPr>
        <w:t>provide evidence that</w:t>
      </w:r>
      <w:r w:rsidRPr="009139C6">
        <w:rPr>
          <w:rFonts w:ascii="Times New Roman" w:hAnsi="Times New Roman" w:cs="Times New Roman"/>
          <w:sz w:val="24"/>
          <w:szCs w:val="24"/>
          <w:lang w:val="en-US"/>
        </w:rPr>
        <w:t xml:space="preserve"> a rise in debt payments leads to lower</w:t>
      </w:r>
      <w:r w:rsidR="009756CF">
        <w:rPr>
          <w:rFonts w:ascii="Times New Roman" w:hAnsi="Times New Roman" w:cs="Times New Roman"/>
          <w:sz w:val="24"/>
          <w:szCs w:val="24"/>
          <w:lang w:val="en-US"/>
        </w:rPr>
        <w:t xml:space="preserve"> consumption </w:t>
      </w:r>
      <w:r w:rsidR="00B86CC2">
        <w:rPr>
          <w:rFonts w:ascii="Times New Roman" w:hAnsi="Times New Roman" w:cs="Times New Roman"/>
          <w:sz w:val="24"/>
          <w:szCs w:val="24"/>
          <w:lang w:val="en-US"/>
        </w:rPr>
        <w:t>expenditures on durables; by contrast,</w:t>
      </w:r>
      <w:r w:rsidRPr="009139C6">
        <w:rPr>
          <w:rFonts w:ascii="Times New Roman" w:hAnsi="Times New Roman" w:cs="Times New Roman"/>
          <w:sz w:val="24"/>
          <w:szCs w:val="24"/>
          <w:lang w:val="en-US"/>
        </w:rPr>
        <w:t xml:space="preserve"> McCarthy</w:t>
      </w:r>
      <w:r w:rsidR="009756CF">
        <w:rPr>
          <w:rFonts w:ascii="Times New Roman" w:hAnsi="Times New Roman" w:cs="Times New Roman"/>
          <w:sz w:val="24"/>
          <w:szCs w:val="24"/>
          <w:lang w:val="en-US"/>
        </w:rPr>
        <w:t xml:space="preserve"> (1997) and Maki (2002) show</w:t>
      </w:r>
      <w:r w:rsidRPr="009139C6">
        <w:rPr>
          <w:rFonts w:ascii="Times New Roman" w:hAnsi="Times New Roman" w:cs="Times New Roman"/>
          <w:sz w:val="24"/>
          <w:szCs w:val="24"/>
          <w:lang w:val="en-US"/>
        </w:rPr>
        <w:t xml:space="preserve"> that it</w:t>
      </w:r>
      <w:r w:rsidR="009756CF">
        <w:rPr>
          <w:rFonts w:ascii="Times New Roman" w:hAnsi="Times New Roman" w:cs="Times New Roman"/>
          <w:sz w:val="24"/>
          <w:szCs w:val="24"/>
          <w:lang w:val="en-US"/>
        </w:rPr>
        <w:t xml:space="preserve"> </w:t>
      </w:r>
      <w:r w:rsidRPr="009139C6">
        <w:rPr>
          <w:rFonts w:ascii="Times New Roman" w:hAnsi="Times New Roman" w:cs="Times New Roman"/>
          <w:sz w:val="24"/>
          <w:szCs w:val="24"/>
          <w:lang w:val="en-US"/>
        </w:rPr>
        <w:t>does not lead to lower</w:t>
      </w:r>
      <w:r w:rsidR="009756CF">
        <w:rPr>
          <w:rFonts w:ascii="Times New Roman" w:hAnsi="Times New Roman" w:cs="Times New Roman"/>
          <w:sz w:val="24"/>
          <w:szCs w:val="24"/>
          <w:lang w:val="en-US"/>
        </w:rPr>
        <w:t xml:space="preserve"> overall spending. Finally, others</w:t>
      </w:r>
      <w:r w:rsidRPr="009139C6">
        <w:rPr>
          <w:rFonts w:ascii="Times New Roman" w:hAnsi="Times New Roman" w:cs="Times New Roman"/>
          <w:sz w:val="24"/>
          <w:szCs w:val="24"/>
          <w:lang w:val="en-US"/>
        </w:rPr>
        <w:t xml:space="preserve"> </w:t>
      </w:r>
      <w:r w:rsidR="009756CF">
        <w:rPr>
          <w:rFonts w:ascii="Times New Roman" w:hAnsi="Times New Roman" w:cs="Times New Roman"/>
          <w:sz w:val="24"/>
          <w:szCs w:val="24"/>
          <w:lang w:val="en-US"/>
        </w:rPr>
        <w:t>explore</w:t>
      </w:r>
      <w:r w:rsidRPr="009139C6">
        <w:rPr>
          <w:rFonts w:ascii="Times New Roman" w:hAnsi="Times New Roman" w:cs="Times New Roman"/>
          <w:sz w:val="24"/>
          <w:szCs w:val="24"/>
          <w:lang w:val="en-US"/>
        </w:rPr>
        <w:t xml:space="preserve"> this link at the</w:t>
      </w:r>
      <w:r w:rsidR="009756CF">
        <w:rPr>
          <w:rFonts w:ascii="Times New Roman" w:hAnsi="Times New Roman" w:cs="Times New Roman"/>
          <w:sz w:val="24"/>
          <w:szCs w:val="24"/>
          <w:lang w:val="en-US"/>
        </w:rPr>
        <w:t xml:space="preserve"> </w:t>
      </w:r>
      <w:r w:rsidRPr="009139C6">
        <w:rPr>
          <w:rFonts w:ascii="Times New Roman" w:hAnsi="Times New Roman" w:cs="Times New Roman"/>
          <w:sz w:val="24"/>
          <w:szCs w:val="24"/>
          <w:lang w:val="en-US"/>
        </w:rPr>
        <w:t>household level, studying the effect of exogenous changes in debt payments on</w:t>
      </w:r>
      <w:r w:rsidR="009756CF">
        <w:rPr>
          <w:rFonts w:ascii="Times New Roman" w:hAnsi="Times New Roman" w:cs="Times New Roman"/>
          <w:sz w:val="24"/>
          <w:szCs w:val="24"/>
          <w:lang w:val="en-US"/>
        </w:rPr>
        <w:t xml:space="preserve"> </w:t>
      </w:r>
      <w:r w:rsidRPr="009139C6">
        <w:rPr>
          <w:rFonts w:ascii="Times New Roman" w:hAnsi="Times New Roman" w:cs="Times New Roman"/>
          <w:sz w:val="24"/>
          <w:szCs w:val="24"/>
          <w:lang w:val="en-US"/>
        </w:rPr>
        <w:t xml:space="preserve">household consumption, </w:t>
      </w:r>
      <w:r w:rsidR="00B86CC2">
        <w:rPr>
          <w:rFonts w:ascii="Times New Roman" w:hAnsi="Times New Roman" w:cs="Times New Roman"/>
          <w:sz w:val="24"/>
          <w:szCs w:val="24"/>
          <w:lang w:val="en-US"/>
        </w:rPr>
        <w:t>albeit</w:t>
      </w:r>
      <w:r w:rsidRPr="009139C6">
        <w:rPr>
          <w:rFonts w:ascii="Times New Roman" w:hAnsi="Times New Roman" w:cs="Times New Roman"/>
          <w:sz w:val="24"/>
          <w:szCs w:val="24"/>
          <w:lang w:val="en-US"/>
        </w:rPr>
        <w:t xml:space="preserve"> their </w:t>
      </w:r>
      <w:r w:rsidR="009756CF">
        <w:rPr>
          <w:rFonts w:ascii="Times New Roman" w:hAnsi="Times New Roman" w:cs="Times New Roman"/>
          <w:sz w:val="24"/>
          <w:szCs w:val="24"/>
          <w:lang w:val="en-US"/>
        </w:rPr>
        <w:t xml:space="preserve">findings </w:t>
      </w:r>
      <w:r w:rsidR="00B86CC2">
        <w:rPr>
          <w:rFonts w:ascii="Times New Roman" w:hAnsi="Times New Roman" w:cs="Times New Roman"/>
          <w:sz w:val="24"/>
          <w:szCs w:val="24"/>
          <w:lang w:val="en-US"/>
        </w:rPr>
        <w:t>turn out to be</w:t>
      </w:r>
      <w:r w:rsidR="00541BB1">
        <w:rPr>
          <w:rFonts w:ascii="Times New Roman" w:hAnsi="Times New Roman" w:cs="Times New Roman"/>
          <w:sz w:val="24"/>
          <w:szCs w:val="24"/>
          <w:lang w:val="en-US"/>
        </w:rPr>
        <w:t xml:space="preserve"> inconclusive. Stephens (2008</w:t>
      </w:r>
      <w:r w:rsidRPr="009139C6">
        <w:rPr>
          <w:rFonts w:ascii="Times New Roman" w:hAnsi="Times New Roman" w:cs="Times New Roman"/>
          <w:sz w:val="24"/>
          <w:szCs w:val="24"/>
          <w:lang w:val="en-US"/>
        </w:rPr>
        <w:t>) concludes</w:t>
      </w:r>
      <w:r w:rsidR="009756CF">
        <w:rPr>
          <w:rFonts w:ascii="Times New Roman" w:hAnsi="Times New Roman" w:cs="Times New Roman"/>
          <w:sz w:val="24"/>
          <w:szCs w:val="24"/>
          <w:lang w:val="en-US"/>
        </w:rPr>
        <w:t xml:space="preserve"> </w:t>
      </w:r>
      <w:r w:rsidR="00B86CC2">
        <w:rPr>
          <w:rFonts w:ascii="Times New Roman" w:hAnsi="Times New Roman" w:cs="Times New Roman"/>
          <w:sz w:val="24"/>
          <w:szCs w:val="24"/>
          <w:lang w:val="en-US"/>
        </w:rPr>
        <w:t>that nondurable expenditure</w:t>
      </w:r>
      <w:r w:rsidRPr="009139C6">
        <w:rPr>
          <w:rFonts w:ascii="Times New Roman" w:hAnsi="Times New Roman" w:cs="Times New Roman"/>
          <w:sz w:val="24"/>
          <w:szCs w:val="24"/>
          <w:lang w:val="en-US"/>
        </w:rPr>
        <w:t xml:space="preserve"> respond to the repayment of a vehicle loan, whereas</w:t>
      </w:r>
      <w:r w:rsidR="009756CF">
        <w:rPr>
          <w:rFonts w:ascii="Times New Roman" w:hAnsi="Times New Roman" w:cs="Times New Roman"/>
          <w:sz w:val="24"/>
          <w:szCs w:val="24"/>
          <w:lang w:val="en-US"/>
        </w:rPr>
        <w:t xml:space="preserve"> </w:t>
      </w:r>
      <w:proofErr w:type="spellStart"/>
      <w:r w:rsidRPr="009139C6">
        <w:rPr>
          <w:rFonts w:ascii="Times New Roman" w:hAnsi="Times New Roman" w:cs="Times New Roman"/>
          <w:sz w:val="24"/>
          <w:szCs w:val="24"/>
          <w:lang w:val="en-US"/>
        </w:rPr>
        <w:t>Coulibaly</w:t>
      </w:r>
      <w:proofErr w:type="spellEnd"/>
      <w:r w:rsidRPr="009139C6">
        <w:rPr>
          <w:rFonts w:ascii="Times New Roman" w:hAnsi="Times New Roman" w:cs="Times New Roman"/>
          <w:sz w:val="24"/>
          <w:szCs w:val="24"/>
          <w:lang w:val="en-US"/>
        </w:rPr>
        <w:t xml:space="preserve"> and Li (2006) </w:t>
      </w:r>
      <w:r w:rsidR="00B86CC2">
        <w:rPr>
          <w:rFonts w:ascii="Times New Roman" w:hAnsi="Times New Roman" w:cs="Times New Roman"/>
          <w:sz w:val="24"/>
          <w:szCs w:val="24"/>
          <w:lang w:val="en-US"/>
        </w:rPr>
        <w:t>document</w:t>
      </w:r>
      <w:r w:rsidRPr="009139C6">
        <w:rPr>
          <w:rFonts w:ascii="Times New Roman" w:hAnsi="Times New Roman" w:cs="Times New Roman"/>
          <w:sz w:val="24"/>
          <w:szCs w:val="24"/>
          <w:lang w:val="en-US"/>
        </w:rPr>
        <w:t xml:space="preserve"> that only durable goods expen</w:t>
      </w:r>
      <w:r w:rsidR="009756CF">
        <w:rPr>
          <w:rFonts w:ascii="Times New Roman" w:hAnsi="Times New Roman" w:cs="Times New Roman"/>
          <w:sz w:val="24"/>
          <w:szCs w:val="24"/>
          <w:lang w:val="en-US"/>
        </w:rPr>
        <w:t>ses (</w:t>
      </w:r>
      <w:r w:rsidR="00B86CC2">
        <w:rPr>
          <w:rFonts w:ascii="Times New Roman" w:hAnsi="Times New Roman" w:cs="Times New Roman"/>
          <w:sz w:val="24"/>
          <w:szCs w:val="24"/>
          <w:lang w:val="en-US"/>
        </w:rPr>
        <w:t>i.e.,</w:t>
      </w:r>
      <w:r w:rsidR="009756CF">
        <w:rPr>
          <w:rFonts w:ascii="Times New Roman" w:hAnsi="Times New Roman" w:cs="Times New Roman"/>
          <w:sz w:val="24"/>
          <w:szCs w:val="24"/>
          <w:lang w:val="en-US"/>
        </w:rPr>
        <w:t xml:space="preserve"> </w:t>
      </w:r>
      <w:r w:rsidRPr="009139C6">
        <w:rPr>
          <w:rFonts w:ascii="Times New Roman" w:hAnsi="Times New Roman" w:cs="Times New Roman"/>
          <w:sz w:val="24"/>
          <w:szCs w:val="24"/>
          <w:lang w:val="en-US"/>
        </w:rPr>
        <w:t>household furnishings</w:t>
      </w:r>
      <w:r w:rsidR="009756CF">
        <w:rPr>
          <w:rFonts w:ascii="Times New Roman" w:hAnsi="Times New Roman" w:cs="Times New Roman"/>
          <w:sz w:val="24"/>
          <w:szCs w:val="24"/>
          <w:lang w:val="en-US"/>
        </w:rPr>
        <w:t xml:space="preserve">) </w:t>
      </w:r>
      <w:r w:rsidRPr="009139C6">
        <w:rPr>
          <w:rFonts w:ascii="Times New Roman" w:hAnsi="Times New Roman" w:cs="Times New Roman"/>
          <w:sz w:val="24"/>
          <w:szCs w:val="24"/>
          <w:lang w:val="en-US"/>
        </w:rPr>
        <w:t>respond to the repayment of a mortgage loan.</w:t>
      </w:r>
      <w:r w:rsidR="00B86CC2">
        <w:rPr>
          <w:rFonts w:ascii="Times New Roman" w:hAnsi="Times New Roman" w:cs="Times New Roman"/>
          <w:sz w:val="24"/>
          <w:szCs w:val="24"/>
          <w:lang w:val="en-US"/>
        </w:rPr>
        <w:t xml:space="preserve"> Our</w:t>
      </w:r>
      <w:r w:rsidR="00BA365C" w:rsidRPr="00BA365C">
        <w:rPr>
          <w:rFonts w:ascii="Times New Roman" w:hAnsi="Times New Roman" w:cs="Times New Roman"/>
          <w:sz w:val="24"/>
          <w:szCs w:val="24"/>
          <w:lang w:val="en-US"/>
        </w:rPr>
        <w:t xml:space="preserve"> </w:t>
      </w:r>
      <w:r w:rsidR="00BA365C">
        <w:rPr>
          <w:rFonts w:ascii="Times New Roman" w:hAnsi="Times New Roman" w:cs="Times New Roman"/>
          <w:sz w:val="24"/>
          <w:szCs w:val="24"/>
          <w:lang w:val="en-US"/>
        </w:rPr>
        <w:t>work</w:t>
      </w:r>
      <w:r w:rsidR="00BA365C" w:rsidRPr="00BA365C">
        <w:rPr>
          <w:rFonts w:ascii="Times New Roman" w:hAnsi="Times New Roman" w:cs="Times New Roman"/>
          <w:sz w:val="24"/>
          <w:szCs w:val="24"/>
          <w:lang w:val="en-US"/>
        </w:rPr>
        <w:t xml:space="preserve"> explore</w:t>
      </w:r>
      <w:r w:rsidR="00BA365C">
        <w:rPr>
          <w:rFonts w:ascii="Times New Roman" w:hAnsi="Times New Roman" w:cs="Times New Roman"/>
          <w:sz w:val="24"/>
          <w:szCs w:val="24"/>
          <w:lang w:val="en-US"/>
        </w:rPr>
        <w:t>s</w:t>
      </w:r>
      <w:r w:rsidR="00BA365C" w:rsidRPr="00BA365C">
        <w:rPr>
          <w:rFonts w:ascii="Times New Roman" w:hAnsi="Times New Roman" w:cs="Times New Roman"/>
          <w:sz w:val="24"/>
          <w:szCs w:val="24"/>
          <w:lang w:val="en-US"/>
        </w:rPr>
        <w:t xml:space="preserve"> </w:t>
      </w:r>
      <w:r w:rsidR="00BA365C">
        <w:rPr>
          <w:rFonts w:ascii="Times New Roman" w:hAnsi="Times New Roman" w:cs="Times New Roman"/>
          <w:sz w:val="24"/>
          <w:szCs w:val="24"/>
          <w:lang w:val="en-US"/>
        </w:rPr>
        <w:t>how DSRs affect households’ consumption expenses</w:t>
      </w:r>
      <w:r w:rsidR="00BA365C" w:rsidRPr="00BA365C">
        <w:rPr>
          <w:rFonts w:ascii="Times New Roman" w:hAnsi="Times New Roman" w:cs="Times New Roman"/>
          <w:sz w:val="24"/>
          <w:szCs w:val="24"/>
          <w:lang w:val="en-US"/>
        </w:rPr>
        <w:t xml:space="preserve">. </w:t>
      </w:r>
      <w:r w:rsidR="00E61E0C">
        <w:rPr>
          <w:rFonts w:ascii="Times New Roman" w:hAnsi="Times New Roman" w:cs="Times New Roman"/>
          <w:sz w:val="24"/>
          <w:szCs w:val="24"/>
          <w:lang w:val="en-US"/>
        </w:rPr>
        <w:t>T</w:t>
      </w:r>
      <w:r w:rsidR="00E61E0C" w:rsidRPr="00E61E0C">
        <w:rPr>
          <w:rFonts w:ascii="Times New Roman" w:hAnsi="Times New Roman" w:cs="Times New Roman"/>
          <w:sz w:val="24"/>
          <w:szCs w:val="24"/>
          <w:lang w:val="en-US"/>
        </w:rPr>
        <w:t xml:space="preserve">his </w:t>
      </w:r>
      <w:r w:rsidR="00E61E0C">
        <w:rPr>
          <w:rFonts w:ascii="Times New Roman" w:hAnsi="Times New Roman" w:cs="Times New Roman"/>
          <w:sz w:val="24"/>
          <w:szCs w:val="24"/>
          <w:lang w:val="en-US"/>
        </w:rPr>
        <w:t>work</w:t>
      </w:r>
      <w:r w:rsidR="00E61E0C" w:rsidRPr="00E61E0C">
        <w:rPr>
          <w:rFonts w:ascii="Times New Roman" w:hAnsi="Times New Roman" w:cs="Times New Roman"/>
          <w:sz w:val="24"/>
          <w:szCs w:val="24"/>
          <w:lang w:val="en-US"/>
        </w:rPr>
        <w:t xml:space="preserve"> </w:t>
      </w:r>
      <w:r w:rsidR="00E61E0C">
        <w:rPr>
          <w:rFonts w:ascii="Times New Roman" w:hAnsi="Times New Roman" w:cs="Times New Roman"/>
          <w:sz w:val="24"/>
          <w:szCs w:val="24"/>
          <w:lang w:val="en-US"/>
        </w:rPr>
        <w:t>is characterized by</w:t>
      </w:r>
      <w:r w:rsidR="00E61E0C" w:rsidRPr="00E61E0C">
        <w:rPr>
          <w:rFonts w:ascii="Times New Roman" w:hAnsi="Times New Roman" w:cs="Times New Roman"/>
          <w:sz w:val="24"/>
          <w:szCs w:val="24"/>
          <w:lang w:val="en-US"/>
        </w:rPr>
        <w:t xml:space="preserve"> </w:t>
      </w:r>
      <w:r w:rsidR="001A4236">
        <w:rPr>
          <w:rFonts w:ascii="Times New Roman" w:hAnsi="Times New Roman" w:cs="Times New Roman"/>
          <w:sz w:val="24"/>
          <w:szCs w:val="24"/>
          <w:lang w:val="en-US"/>
        </w:rPr>
        <w:t>two</w:t>
      </w:r>
      <w:r w:rsidR="00E61E0C" w:rsidRPr="00E61E0C">
        <w:rPr>
          <w:rFonts w:ascii="Times New Roman" w:hAnsi="Times New Roman" w:cs="Times New Roman"/>
          <w:sz w:val="24"/>
          <w:szCs w:val="24"/>
          <w:lang w:val="en-US"/>
        </w:rPr>
        <w:t xml:space="preserve"> primary </w:t>
      </w:r>
      <w:r w:rsidR="00E61E0C">
        <w:rPr>
          <w:rFonts w:ascii="Times New Roman" w:hAnsi="Times New Roman" w:cs="Times New Roman"/>
          <w:sz w:val="24"/>
          <w:szCs w:val="24"/>
          <w:lang w:val="en-US"/>
        </w:rPr>
        <w:t>novelties</w:t>
      </w:r>
      <w:r w:rsidR="00E61E0C" w:rsidRPr="00E61E0C">
        <w:rPr>
          <w:rFonts w:ascii="Times New Roman" w:hAnsi="Times New Roman" w:cs="Times New Roman"/>
          <w:sz w:val="24"/>
          <w:szCs w:val="24"/>
          <w:lang w:val="en-US"/>
        </w:rPr>
        <w:t xml:space="preserve">. First, </w:t>
      </w:r>
      <w:r w:rsidR="00E61E0C">
        <w:rPr>
          <w:rFonts w:ascii="Times New Roman" w:hAnsi="Times New Roman" w:cs="Times New Roman"/>
          <w:sz w:val="24"/>
          <w:szCs w:val="24"/>
          <w:lang w:val="en-US"/>
        </w:rPr>
        <w:t>it</w:t>
      </w:r>
      <w:r w:rsidR="00E61E0C" w:rsidRPr="00E61E0C">
        <w:rPr>
          <w:rFonts w:ascii="Times New Roman" w:hAnsi="Times New Roman" w:cs="Times New Roman"/>
          <w:sz w:val="24"/>
          <w:szCs w:val="24"/>
          <w:lang w:val="en-US"/>
        </w:rPr>
        <w:t xml:space="preserve"> develop</w:t>
      </w:r>
      <w:r w:rsidR="00E61E0C">
        <w:rPr>
          <w:rFonts w:ascii="Times New Roman" w:hAnsi="Times New Roman" w:cs="Times New Roman"/>
          <w:sz w:val="24"/>
          <w:szCs w:val="24"/>
          <w:lang w:val="en-US"/>
        </w:rPr>
        <w:t>s</w:t>
      </w:r>
      <w:r w:rsidR="00E61E0C" w:rsidRPr="00E61E0C">
        <w:rPr>
          <w:rFonts w:ascii="Times New Roman" w:hAnsi="Times New Roman" w:cs="Times New Roman"/>
          <w:sz w:val="24"/>
          <w:szCs w:val="24"/>
          <w:lang w:val="en-US"/>
        </w:rPr>
        <w:t xml:space="preserve"> a panel dataset featuring </w:t>
      </w:r>
      <w:r w:rsidR="00E61E0C">
        <w:rPr>
          <w:rFonts w:ascii="Times New Roman" w:hAnsi="Times New Roman" w:cs="Times New Roman"/>
          <w:sz w:val="24"/>
          <w:szCs w:val="24"/>
          <w:lang w:val="en-US"/>
        </w:rPr>
        <w:t xml:space="preserve">DSRs </w:t>
      </w:r>
      <w:r w:rsidR="00E61E0C" w:rsidRPr="00E61E0C">
        <w:rPr>
          <w:rFonts w:ascii="Times New Roman" w:hAnsi="Times New Roman" w:cs="Times New Roman"/>
          <w:sz w:val="24"/>
          <w:szCs w:val="24"/>
          <w:lang w:val="en-US"/>
        </w:rPr>
        <w:t xml:space="preserve">data from </w:t>
      </w:r>
      <w:r w:rsidR="00E61E0C">
        <w:rPr>
          <w:rFonts w:ascii="Times New Roman" w:hAnsi="Times New Roman" w:cs="Times New Roman"/>
          <w:sz w:val="24"/>
          <w:szCs w:val="24"/>
          <w:lang w:val="en-US"/>
        </w:rPr>
        <w:t>32 countries</w:t>
      </w:r>
      <w:r w:rsidR="00E61E0C" w:rsidRPr="00E61E0C">
        <w:rPr>
          <w:rFonts w:ascii="Times New Roman" w:hAnsi="Times New Roman" w:cs="Times New Roman"/>
          <w:sz w:val="24"/>
          <w:szCs w:val="24"/>
          <w:lang w:val="en-US"/>
        </w:rPr>
        <w:t>.</w:t>
      </w:r>
      <w:r w:rsidR="00E61E0C">
        <w:rPr>
          <w:rFonts w:ascii="Times New Roman" w:hAnsi="Times New Roman" w:cs="Times New Roman"/>
          <w:sz w:val="24"/>
          <w:szCs w:val="24"/>
          <w:lang w:val="en-US"/>
        </w:rPr>
        <w:t xml:space="preserve"> The evidence documents that balance sheet data are an important mechanism driving consumption expenses, thus, lending </w:t>
      </w:r>
      <w:r w:rsidR="00E61E0C" w:rsidRPr="00E61E0C">
        <w:rPr>
          <w:rFonts w:ascii="Times New Roman" w:hAnsi="Times New Roman" w:cs="Times New Roman"/>
          <w:sz w:val="24"/>
          <w:szCs w:val="24"/>
          <w:lang w:val="en-US"/>
        </w:rPr>
        <w:t>less than full support for the permanent income hypothesis</w:t>
      </w:r>
      <w:r w:rsidR="001A4236">
        <w:rPr>
          <w:rFonts w:ascii="Times New Roman" w:hAnsi="Times New Roman" w:cs="Times New Roman"/>
          <w:sz w:val="24"/>
          <w:szCs w:val="24"/>
          <w:lang w:val="en-US"/>
        </w:rPr>
        <w:t xml:space="preserve"> (</w:t>
      </w:r>
      <w:proofErr w:type="spellStart"/>
      <w:r w:rsidR="001A4236" w:rsidRPr="001A4236">
        <w:rPr>
          <w:rFonts w:ascii="Times New Roman" w:hAnsi="Times New Roman" w:cs="Times New Roman"/>
          <w:sz w:val="24"/>
          <w:szCs w:val="24"/>
          <w:lang w:val="en-US"/>
        </w:rPr>
        <w:t>Agarwal</w:t>
      </w:r>
      <w:proofErr w:type="spellEnd"/>
      <w:r w:rsidR="001A4236" w:rsidRPr="001A4236">
        <w:rPr>
          <w:rFonts w:ascii="Times New Roman" w:hAnsi="Times New Roman" w:cs="Times New Roman"/>
          <w:sz w:val="24"/>
          <w:szCs w:val="24"/>
          <w:lang w:val="en-US"/>
        </w:rPr>
        <w:t xml:space="preserve"> et al.</w:t>
      </w:r>
      <w:r w:rsidR="001A4236">
        <w:rPr>
          <w:rFonts w:ascii="Times New Roman" w:hAnsi="Times New Roman" w:cs="Times New Roman"/>
          <w:sz w:val="24"/>
          <w:szCs w:val="24"/>
          <w:lang w:val="en-US"/>
        </w:rPr>
        <w:t>,</w:t>
      </w:r>
      <w:r w:rsidR="001A4236" w:rsidRPr="001A4236">
        <w:rPr>
          <w:rFonts w:ascii="Times New Roman" w:hAnsi="Times New Roman" w:cs="Times New Roman"/>
          <w:sz w:val="24"/>
          <w:szCs w:val="24"/>
          <w:lang w:val="en-US"/>
        </w:rPr>
        <w:t xml:space="preserve"> 2007)</w:t>
      </w:r>
      <w:r w:rsidR="00E61E0C">
        <w:rPr>
          <w:rFonts w:ascii="Times New Roman" w:hAnsi="Times New Roman" w:cs="Times New Roman"/>
          <w:sz w:val="24"/>
          <w:szCs w:val="24"/>
          <w:lang w:val="en-US"/>
        </w:rPr>
        <w:t>.</w:t>
      </w:r>
      <w:r w:rsidR="001A4236">
        <w:rPr>
          <w:rFonts w:ascii="Times New Roman" w:hAnsi="Times New Roman" w:cs="Times New Roman"/>
          <w:sz w:val="24"/>
          <w:szCs w:val="24"/>
          <w:lang w:val="en-US"/>
        </w:rPr>
        <w:t xml:space="preserve"> </w:t>
      </w:r>
      <w:r w:rsidR="00E61E0C" w:rsidRPr="00E61E0C">
        <w:rPr>
          <w:rFonts w:ascii="Times New Roman" w:hAnsi="Times New Roman" w:cs="Times New Roman"/>
          <w:sz w:val="24"/>
          <w:szCs w:val="24"/>
          <w:lang w:val="en-US"/>
        </w:rPr>
        <w:t xml:space="preserve">Second, </w:t>
      </w:r>
      <w:r w:rsidR="001A4236">
        <w:rPr>
          <w:rFonts w:ascii="Times New Roman" w:hAnsi="Times New Roman" w:cs="Times New Roman"/>
          <w:sz w:val="24"/>
          <w:szCs w:val="24"/>
          <w:lang w:val="en-US"/>
        </w:rPr>
        <w:t>it</w:t>
      </w:r>
      <w:r w:rsidR="00E61E0C" w:rsidRPr="00E61E0C">
        <w:rPr>
          <w:rFonts w:ascii="Times New Roman" w:hAnsi="Times New Roman" w:cs="Times New Roman"/>
          <w:sz w:val="24"/>
          <w:szCs w:val="24"/>
          <w:lang w:val="en-US"/>
        </w:rPr>
        <w:t xml:space="preserve"> show</w:t>
      </w:r>
      <w:r w:rsidR="001A4236">
        <w:rPr>
          <w:rFonts w:ascii="Times New Roman" w:hAnsi="Times New Roman" w:cs="Times New Roman"/>
          <w:sz w:val="24"/>
          <w:szCs w:val="24"/>
          <w:lang w:val="en-US"/>
        </w:rPr>
        <w:t>s</w:t>
      </w:r>
      <w:r w:rsidR="00E61E0C" w:rsidRPr="00E61E0C">
        <w:rPr>
          <w:rFonts w:ascii="Times New Roman" w:hAnsi="Times New Roman" w:cs="Times New Roman"/>
          <w:sz w:val="24"/>
          <w:szCs w:val="24"/>
          <w:lang w:val="en-US"/>
        </w:rPr>
        <w:t xml:space="preserve"> that household consumption </w:t>
      </w:r>
      <w:proofErr w:type="spellStart"/>
      <w:r w:rsidR="00E61E0C" w:rsidRPr="00E61E0C">
        <w:rPr>
          <w:rFonts w:ascii="Times New Roman" w:hAnsi="Times New Roman" w:cs="Times New Roman"/>
          <w:sz w:val="24"/>
          <w:szCs w:val="24"/>
          <w:lang w:val="en-US"/>
        </w:rPr>
        <w:t>elasticities</w:t>
      </w:r>
      <w:proofErr w:type="spellEnd"/>
      <w:r w:rsidR="00E61E0C" w:rsidRPr="00E61E0C">
        <w:rPr>
          <w:rFonts w:ascii="Times New Roman" w:hAnsi="Times New Roman" w:cs="Times New Roman"/>
          <w:sz w:val="24"/>
          <w:szCs w:val="24"/>
          <w:lang w:val="en-US"/>
        </w:rPr>
        <w:t xml:space="preserve"> </w:t>
      </w:r>
      <w:r w:rsidR="001A4236">
        <w:rPr>
          <w:rFonts w:ascii="Times New Roman" w:hAnsi="Times New Roman" w:cs="Times New Roman"/>
          <w:sz w:val="24"/>
          <w:szCs w:val="24"/>
          <w:lang w:val="en-US"/>
        </w:rPr>
        <w:t xml:space="preserve">can be substantially explained by </w:t>
      </w:r>
      <w:r w:rsidR="00E61E0C" w:rsidRPr="00E61E0C">
        <w:rPr>
          <w:rFonts w:ascii="Times New Roman" w:hAnsi="Times New Roman" w:cs="Times New Roman"/>
          <w:sz w:val="24"/>
          <w:szCs w:val="24"/>
          <w:lang w:val="en-US"/>
        </w:rPr>
        <w:t>borrowing</w:t>
      </w:r>
      <w:r w:rsidR="00615B95">
        <w:rPr>
          <w:rFonts w:ascii="Times New Roman" w:hAnsi="Times New Roman" w:cs="Times New Roman"/>
          <w:sz w:val="24"/>
          <w:szCs w:val="24"/>
          <w:lang w:val="en-US"/>
        </w:rPr>
        <w:t xml:space="preserve"> </w:t>
      </w:r>
      <w:r w:rsidR="00E61E0C" w:rsidRPr="00E61E0C">
        <w:rPr>
          <w:rFonts w:ascii="Times New Roman" w:hAnsi="Times New Roman" w:cs="Times New Roman"/>
          <w:sz w:val="24"/>
          <w:szCs w:val="24"/>
          <w:lang w:val="en-US"/>
        </w:rPr>
        <w:t>and liquidity constraints. This result is consistent</w:t>
      </w:r>
      <w:r w:rsidR="00615B95">
        <w:rPr>
          <w:rFonts w:ascii="Times New Roman" w:hAnsi="Times New Roman" w:cs="Times New Roman"/>
          <w:sz w:val="24"/>
          <w:szCs w:val="24"/>
          <w:lang w:val="en-US"/>
        </w:rPr>
        <w:t xml:space="preserve"> </w:t>
      </w:r>
      <w:r w:rsidR="00E61E0C" w:rsidRPr="00E61E0C">
        <w:rPr>
          <w:rFonts w:ascii="Times New Roman" w:hAnsi="Times New Roman" w:cs="Times New Roman"/>
          <w:sz w:val="24"/>
          <w:szCs w:val="24"/>
          <w:lang w:val="en-US"/>
        </w:rPr>
        <w:t xml:space="preserve">with </w:t>
      </w:r>
      <w:r w:rsidR="00615B95">
        <w:rPr>
          <w:rFonts w:ascii="Times New Roman" w:hAnsi="Times New Roman" w:cs="Times New Roman"/>
          <w:sz w:val="24"/>
          <w:szCs w:val="24"/>
          <w:lang w:val="en-US"/>
        </w:rPr>
        <w:t>relevant</w:t>
      </w:r>
      <w:r w:rsidR="00E61E0C" w:rsidRPr="00E61E0C">
        <w:rPr>
          <w:rFonts w:ascii="Times New Roman" w:hAnsi="Times New Roman" w:cs="Times New Roman"/>
          <w:sz w:val="24"/>
          <w:szCs w:val="24"/>
          <w:lang w:val="en-US"/>
        </w:rPr>
        <w:t xml:space="preserve"> studies of constrained consumers when</w:t>
      </w:r>
      <w:r w:rsidR="00615B95">
        <w:rPr>
          <w:rFonts w:ascii="Times New Roman" w:hAnsi="Times New Roman" w:cs="Times New Roman"/>
          <w:sz w:val="24"/>
          <w:szCs w:val="24"/>
          <w:lang w:val="en-US"/>
        </w:rPr>
        <w:t xml:space="preserve"> </w:t>
      </w:r>
      <w:r w:rsidR="00E61E0C" w:rsidRPr="00E61E0C">
        <w:rPr>
          <w:rFonts w:ascii="Times New Roman" w:hAnsi="Times New Roman" w:cs="Times New Roman"/>
          <w:sz w:val="24"/>
          <w:szCs w:val="24"/>
          <w:lang w:val="en-US"/>
        </w:rPr>
        <w:t>approaching borrowing limits</w:t>
      </w:r>
      <w:r w:rsidR="00615B95">
        <w:rPr>
          <w:rFonts w:ascii="Times New Roman" w:hAnsi="Times New Roman" w:cs="Times New Roman"/>
          <w:sz w:val="24"/>
          <w:szCs w:val="24"/>
          <w:lang w:val="en-US"/>
        </w:rPr>
        <w:t xml:space="preserve"> (Shea, 1995; Blundell et al., 2008).</w:t>
      </w:r>
      <w:r w:rsidR="00E61E0C" w:rsidRPr="00E61E0C">
        <w:rPr>
          <w:rFonts w:ascii="Times New Roman" w:hAnsi="Times New Roman" w:cs="Times New Roman"/>
          <w:sz w:val="24"/>
          <w:szCs w:val="24"/>
          <w:lang w:val="en-US"/>
        </w:rPr>
        <w:t xml:space="preserve"> The strong relationship between household balance sheet positions and</w:t>
      </w:r>
      <w:r w:rsidR="00615B95">
        <w:rPr>
          <w:rFonts w:ascii="Times New Roman" w:hAnsi="Times New Roman" w:cs="Times New Roman"/>
          <w:sz w:val="24"/>
          <w:szCs w:val="24"/>
          <w:lang w:val="en-US"/>
        </w:rPr>
        <w:t xml:space="preserve"> </w:t>
      </w:r>
      <w:r w:rsidR="00615B95" w:rsidRPr="00615B95">
        <w:rPr>
          <w:rFonts w:ascii="Times New Roman" w:hAnsi="Times New Roman" w:cs="Times New Roman"/>
          <w:sz w:val="24"/>
          <w:szCs w:val="24"/>
          <w:lang w:val="en-US"/>
        </w:rPr>
        <w:t xml:space="preserve">consumption behavior stresses the importance of models </w:t>
      </w:r>
      <w:r w:rsidR="00615B95">
        <w:rPr>
          <w:rFonts w:ascii="Times New Roman" w:hAnsi="Times New Roman" w:cs="Times New Roman"/>
          <w:sz w:val="24"/>
          <w:szCs w:val="24"/>
          <w:lang w:val="en-US"/>
        </w:rPr>
        <w:t xml:space="preserve">that </w:t>
      </w:r>
      <w:r w:rsidR="00615B95" w:rsidRPr="00615B95">
        <w:rPr>
          <w:rFonts w:ascii="Times New Roman" w:hAnsi="Times New Roman" w:cs="Times New Roman"/>
          <w:sz w:val="24"/>
          <w:szCs w:val="24"/>
          <w:lang w:val="en-US"/>
        </w:rPr>
        <w:t>includ</w:t>
      </w:r>
      <w:r w:rsidR="00615B95">
        <w:rPr>
          <w:rFonts w:ascii="Times New Roman" w:hAnsi="Times New Roman" w:cs="Times New Roman"/>
          <w:sz w:val="24"/>
          <w:szCs w:val="24"/>
          <w:lang w:val="en-US"/>
        </w:rPr>
        <w:t>e</w:t>
      </w:r>
      <w:r w:rsidR="00615B95" w:rsidRPr="00615B95">
        <w:rPr>
          <w:rFonts w:ascii="Times New Roman" w:hAnsi="Times New Roman" w:cs="Times New Roman"/>
          <w:sz w:val="24"/>
          <w:szCs w:val="24"/>
          <w:lang w:val="en-US"/>
        </w:rPr>
        <w:t xml:space="preserve"> aspects</w:t>
      </w:r>
      <w:r w:rsidR="00615B95">
        <w:rPr>
          <w:rFonts w:ascii="Times New Roman" w:hAnsi="Times New Roman" w:cs="Times New Roman"/>
          <w:sz w:val="24"/>
          <w:szCs w:val="24"/>
          <w:lang w:val="en-US"/>
        </w:rPr>
        <w:t>,</w:t>
      </w:r>
      <w:r w:rsidR="00615B95" w:rsidRPr="00615B95">
        <w:rPr>
          <w:rFonts w:ascii="Times New Roman" w:hAnsi="Times New Roman" w:cs="Times New Roman"/>
          <w:sz w:val="24"/>
          <w:szCs w:val="24"/>
          <w:lang w:val="en-US"/>
        </w:rPr>
        <w:t xml:space="preserve"> such as borrowing constraints or simultaneous asset and debt holdings.</w:t>
      </w:r>
      <w:r w:rsidR="00615B95">
        <w:rPr>
          <w:rFonts w:ascii="Times New Roman" w:hAnsi="Times New Roman" w:cs="Times New Roman"/>
          <w:sz w:val="24"/>
          <w:szCs w:val="24"/>
          <w:lang w:val="en-US"/>
        </w:rPr>
        <w:t xml:space="preserve"> Overall, t</w:t>
      </w:r>
      <w:r w:rsidR="00BA365C" w:rsidRPr="00BA365C">
        <w:rPr>
          <w:rFonts w:ascii="Times New Roman" w:hAnsi="Times New Roman" w:cs="Times New Roman"/>
          <w:sz w:val="24"/>
          <w:szCs w:val="24"/>
          <w:lang w:val="en-US"/>
        </w:rPr>
        <w:t>o</w:t>
      </w:r>
      <w:r w:rsidR="00BA365C">
        <w:rPr>
          <w:rFonts w:ascii="Times New Roman" w:hAnsi="Times New Roman" w:cs="Times New Roman"/>
          <w:sz w:val="24"/>
          <w:szCs w:val="24"/>
          <w:lang w:val="en-US"/>
        </w:rPr>
        <w:t xml:space="preserve"> provide </w:t>
      </w:r>
      <w:r w:rsidR="00B86CC2">
        <w:rPr>
          <w:rFonts w:ascii="Times New Roman" w:hAnsi="Times New Roman" w:cs="Times New Roman"/>
          <w:sz w:val="24"/>
          <w:szCs w:val="24"/>
          <w:lang w:val="en-US"/>
        </w:rPr>
        <w:t xml:space="preserve">new </w:t>
      </w:r>
      <w:r w:rsidR="00BA365C">
        <w:rPr>
          <w:rFonts w:ascii="Times New Roman" w:hAnsi="Times New Roman" w:cs="Times New Roman"/>
          <w:sz w:val="24"/>
          <w:szCs w:val="24"/>
          <w:lang w:val="en-US"/>
        </w:rPr>
        <w:t xml:space="preserve">evidence, </w:t>
      </w:r>
      <w:r w:rsidR="00615B95">
        <w:rPr>
          <w:rFonts w:ascii="Times New Roman" w:hAnsi="Times New Roman" w:cs="Times New Roman"/>
          <w:sz w:val="24"/>
          <w:szCs w:val="24"/>
          <w:lang w:val="en-US"/>
        </w:rPr>
        <w:t>the paper</w:t>
      </w:r>
      <w:r w:rsidR="00BA365C">
        <w:rPr>
          <w:rFonts w:ascii="Times New Roman" w:hAnsi="Times New Roman" w:cs="Times New Roman"/>
          <w:sz w:val="24"/>
          <w:szCs w:val="24"/>
          <w:lang w:val="en-US"/>
        </w:rPr>
        <w:t xml:space="preserve"> uses</w:t>
      </w:r>
      <w:r w:rsidR="009D07A3">
        <w:rPr>
          <w:rFonts w:ascii="Times New Roman" w:hAnsi="Times New Roman" w:cs="Times New Roman"/>
          <w:sz w:val="24"/>
          <w:szCs w:val="24"/>
          <w:lang w:val="en-US"/>
        </w:rPr>
        <w:t xml:space="preserve">, for the first time to </w:t>
      </w:r>
      <w:r w:rsidR="00B86CC2">
        <w:rPr>
          <w:rFonts w:ascii="Times New Roman" w:hAnsi="Times New Roman" w:cs="Times New Roman"/>
          <w:sz w:val="24"/>
          <w:szCs w:val="24"/>
          <w:lang w:val="en-US"/>
        </w:rPr>
        <w:t>the author’s</w:t>
      </w:r>
      <w:r w:rsidR="009D07A3" w:rsidRPr="00262F8D">
        <w:rPr>
          <w:rFonts w:ascii="Times New Roman" w:hAnsi="Times New Roman" w:cs="Times New Roman"/>
          <w:sz w:val="24"/>
          <w:szCs w:val="24"/>
          <w:lang w:val="en-US"/>
        </w:rPr>
        <w:t xml:space="preserve"> best of knowledge,</w:t>
      </w:r>
      <w:r w:rsidR="00BA365C" w:rsidRPr="00262F8D">
        <w:rPr>
          <w:rFonts w:ascii="Times New Roman" w:hAnsi="Times New Roman" w:cs="Times New Roman"/>
          <w:sz w:val="24"/>
          <w:szCs w:val="24"/>
          <w:lang w:val="en-US"/>
        </w:rPr>
        <w:t xml:space="preserve"> an extended country sample which contains data on household-level </w:t>
      </w:r>
      <w:r w:rsidR="0059151B" w:rsidRPr="00262F8D">
        <w:rPr>
          <w:rFonts w:ascii="Times New Roman" w:hAnsi="Times New Roman" w:cs="Times New Roman"/>
          <w:sz w:val="24"/>
          <w:szCs w:val="24"/>
          <w:lang w:val="en-US"/>
        </w:rPr>
        <w:t>debt-</w:t>
      </w:r>
      <w:r w:rsidR="009D07A3" w:rsidRPr="00262F8D">
        <w:rPr>
          <w:rFonts w:ascii="Times New Roman" w:hAnsi="Times New Roman" w:cs="Times New Roman"/>
          <w:sz w:val="24"/>
          <w:szCs w:val="24"/>
          <w:lang w:val="en-US"/>
        </w:rPr>
        <w:t>service ratios</w:t>
      </w:r>
      <w:r w:rsidR="00BA365C" w:rsidRPr="00262F8D">
        <w:rPr>
          <w:rFonts w:ascii="Times New Roman" w:hAnsi="Times New Roman" w:cs="Times New Roman"/>
          <w:sz w:val="24"/>
          <w:szCs w:val="24"/>
          <w:lang w:val="en-US"/>
        </w:rPr>
        <w:t>.</w:t>
      </w:r>
      <w:r w:rsidR="00D871E3" w:rsidRPr="00262F8D">
        <w:rPr>
          <w:rFonts w:ascii="Times New Roman" w:hAnsi="Times New Roman" w:cs="Times New Roman"/>
          <w:sz w:val="24"/>
          <w:szCs w:val="24"/>
          <w:lang w:val="en-US"/>
        </w:rPr>
        <w:t xml:space="preserve"> </w:t>
      </w:r>
      <w:r w:rsidR="00262F8D">
        <w:rPr>
          <w:rFonts w:ascii="Times New Roman" w:hAnsi="Times New Roman" w:cs="Times New Roman"/>
          <w:sz w:val="24"/>
          <w:szCs w:val="24"/>
          <w:lang w:val="en-US"/>
        </w:rPr>
        <w:t>T</w:t>
      </w:r>
      <w:r w:rsidR="00262F8D" w:rsidRPr="00262F8D">
        <w:rPr>
          <w:rFonts w:ascii="Times New Roman" w:hAnsi="Times New Roman" w:cs="Times New Roman"/>
          <w:sz w:val="24"/>
          <w:szCs w:val="24"/>
          <w:lang w:val="en-US"/>
        </w:rPr>
        <w:t xml:space="preserve">his </w:t>
      </w:r>
      <w:r w:rsidR="00262F8D">
        <w:rPr>
          <w:rFonts w:ascii="Times New Roman" w:hAnsi="Times New Roman" w:cs="Times New Roman"/>
          <w:sz w:val="24"/>
          <w:szCs w:val="24"/>
          <w:lang w:val="en-US"/>
        </w:rPr>
        <w:t>extended country sample</w:t>
      </w:r>
      <w:r w:rsidR="00262F8D" w:rsidRPr="00262F8D">
        <w:rPr>
          <w:rFonts w:ascii="Times New Roman" w:hAnsi="Times New Roman" w:cs="Times New Roman"/>
          <w:sz w:val="24"/>
          <w:szCs w:val="24"/>
          <w:lang w:val="en-US"/>
        </w:rPr>
        <w:t xml:space="preserve"> is the first serious look at DSRs, which vary substantially both across time and </w:t>
      </w:r>
      <w:r w:rsidR="00262F8D">
        <w:rPr>
          <w:rFonts w:ascii="Times New Roman" w:hAnsi="Times New Roman" w:cs="Times New Roman"/>
          <w:sz w:val="24"/>
          <w:szCs w:val="24"/>
          <w:lang w:val="en-US"/>
        </w:rPr>
        <w:t>countries</w:t>
      </w:r>
      <w:r w:rsidR="00F73F87">
        <w:rPr>
          <w:rFonts w:ascii="Times New Roman" w:hAnsi="Times New Roman" w:cs="Times New Roman"/>
          <w:sz w:val="24"/>
          <w:szCs w:val="24"/>
          <w:lang w:val="en-US"/>
        </w:rPr>
        <w:t xml:space="preserve"> and</w:t>
      </w:r>
      <w:r w:rsidR="00262F8D">
        <w:rPr>
          <w:rFonts w:ascii="Times New Roman" w:hAnsi="Times New Roman" w:cs="Times New Roman"/>
          <w:sz w:val="24"/>
          <w:szCs w:val="24"/>
          <w:lang w:val="en-US"/>
        </w:rPr>
        <w:t xml:space="preserve"> indicates a </w:t>
      </w:r>
      <w:r w:rsidR="00262F8D" w:rsidRPr="00262F8D">
        <w:rPr>
          <w:rFonts w:ascii="Times New Roman" w:hAnsi="Times New Roman" w:cs="Times New Roman"/>
          <w:sz w:val="24"/>
          <w:szCs w:val="24"/>
          <w:lang w:val="en-US"/>
        </w:rPr>
        <w:t>considerable amount of heterogeneity</w:t>
      </w:r>
      <w:r w:rsidR="00262F8D">
        <w:rPr>
          <w:rFonts w:ascii="Times New Roman" w:hAnsi="Times New Roman" w:cs="Times New Roman"/>
          <w:sz w:val="24"/>
          <w:szCs w:val="24"/>
          <w:lang w:val="en-US"/>
        </w:rPr>
        <w:t xml:space="preserve"> that can be studie</w:t>
      </w:r>
      <w:r w:rsidR="00F73F87">
        <w:rPr>
          <w:rFonts w:ascii="Times New Roman" w:hAnsi="Times New Roman" w:cs="Times New Roman"/>
          <w:sz w:val="24"/>
          <w:szCs w:val="24"/>
          <w:lang w:val="en-US"/>
        </w:rPr>
        <w:t>d</w:t>
      </w:r>
      <w:r w:rsidR="00262F8D">
        <w:rPr>
          <w:rFonts w:ascii="Times New Roman" w:hAnsi="Times New Roman" w:cs="Times New Roman"/>
          <w:sz w:val="24"/>
          <w:szCs w:val="24"/>
          <w:lang w:val="en-US"/>
        </w:rPr>
        <w:t xml:space="preserve"> through panel data methods</w:t>
      </w:r>
      <w:r w:rsidR="00262F8D" w:rsidRPr="00262F8D">
        <w:rPr>
          <w:rFonts w:ascii="Times New Roman" w:hAnsi="Times New Roman" w:cs="Times New Roman"/>
          <w:sz w:val="24"/>
          <w:szCs w:val="24"/>
          <w:lang w:val="en-US"/>
        </w:rPr>
        <w:t>.</w:t>
      </w:r>
      <w:r w:rsidR="00262F8D">
        <w:rPr>
          <w:rFonts w:ascii="Times New Roman" w:hAnsi="Times New Roman" w:cs="Times New Roman"/>
          <w:sz w:val="24"/>
          <w:szCs w:val="24"/>
          <w:lang w:val="en-US"/>
        </w:rPr>
        <w:t xml:space="preserve"> </w:t>
      </w:r>
      <w:r w:rsidR="00D871E3" w:rsidRPr="00262F8D">
        <w:rPr>
          <w:rFonts w:ascii="Times New Roman" w:hAnsi="Times New Roman" w:cs="Times New Roman"/>
          <w:sz w:val="24"/>
          <w:szCs w:val="24"/>
          <w:lang w:val="en-US"/>
        </w:rPr>
        <w:t xml:space="preserve">In that sense, we can better </w:t>
      </w:r>
      <w:r w:rsidR="00D871E3" w:rsidRPr="00262F8D">
        <w:rPr>
          <w:rFonts w:ascii="Times New Roman" w:hAnsi="Times New Roman" w:cs="Times New Roman"/>
          <w:sz w:val="24"/>
          <w:szCs w:val="24"/>
          <w:lang w:val="en-US"/>
        </w:rPr>
        <w:lastRenderedPageBreak/>
        <w:t>understand the relationship between household debt and consumption on a more global basis.</w:t>
      </w:r>
    </w:p>
    <w:p w:rsidR="007317D7" w:rsidRPr="00262F8D" w:rsidRDefault="009905BE" w:rsidP="00736C3D">
      <w:pPr>
        <w:spacing w:line="480" w:lineRule="auto"/>
        <w:rPr>
          <w:rFonts w:ascii="Times New Roman" w:hAnsi="Times New Roman" w:cs="Times New Roman"/>
          <w:sz w:val="24"/>
          <w:szCs w:val="24"/>
          <w:lang w:val="en-US"/>
        </w:rPr>
      </w:pPr>
      <w:r w:rsidRPr="00262F8D">
        <w:rPr>
          <w:rFonts w:ascii="Times New Roman" w:hAnsi="Times New Roman" w:cs="Times New Roman"/>
          <w:sz w:val="24"/>
          <w:szCs w:val="24"/>
          <w:lang w:val="en-US"/>
        </w:rPr>
        <w:t>2</w:t>
      </w:r>
      <w:r w:rsidR="00736C3D" w:rsidRPr="00262F8D">
        <w:rPr>
          <w:rFonts w:ascii="Times New Roman" w:hAnsi="Times New Roman" w:cs="Times New Roman"/>
          <w:sz w:val="24"/>
          <w:szCs w:val="24"/>
          <w:lang w:val="en-US"/>
        </w:rPr>
        <w:t xml:space="preserve"> </w:t>
      </w:r>
      <w:r w:rsidR="007317D7" w:rsidRPr="00262F8D">
        <w:rPr>
          <w:rFonts w:ascii="Times New Roman" w:hAnsi="Times New Roman" w:cs="Times New Roman"/>
          <w:sz w:val="24"/>
          <w:szCs w:val="24"/>
          <w:lang w:val="en-US"/>
        </w:rPr>
        <w:t>D</w:t>
      </w:r>
      <w:r w:rsidRPr="00262F8D">
        <w:rPr>
          <w:rFonts w:ascii="Times New Roman" w:hAnsi="Times New Roman" w:cs="Times New Roman"/>
          <w:sz w:val="24"/>
          <w:szCs w:val="24"/>
          <w:lang w:val="en-US"/>
        </w:rPr>
        <w:t>ATA</w:t>
      </w:r>
    </w:p>
    <w:p w:rsidR="007317D7" w:rsidRDefault="007317D7" w:rsidP="00DD6420">
      <w:pPr>
        <w:spacing w:line="480" w:lineRule="auto"/>
        <w:jc w:val="both"/>
        <w:rPr>
          <w:rFonts w:ascii="Times New Roman" w:hAnsi="Times New Roman" w:cs="Times New Roman"/>
          <w:sz w:val="24"/>
          <w:szCs w:val="24"/>
          <w:lang w:val="en-US"/>
        </w:rPr>
      </w:pPr>
      <w:r w:rsidRPr="00262F8D">
        <w:rPr>
          <w:rFonts w:ascii="Times New Roman" w:hAnsi="Times New Roman" w:cs="Times New Roman"/>
          <w:sz w:val="24"/>
          <w:szCs w:val="24"/>
          <w:lang w:val="en-US"/>
        </w:rPr>
        <w:t xml:space="preserve">Data </w:t>
      </w:r>
      <w:r w:rsidR="0059151B" w:rsidRPr="00262F8D">
        <w:rPr>
          <w:rFonts w:ascii="Times New Roman" w:hAnsi="Times New Roman" w:cs="Times New Roman"/>
          <w:sz w:val="24"/>
          <w:szCs w:val="24"/>
          <w:lang w:val="en-US"/>
        </w:rPr>
        <w:t>on the debt-</w:t>
      </w:r>
      <w:r w:rsidRPr="00262F8D">
        <w:rPr>
          <w:rFonts w:ascii="Times New Roman" w:hAnsi="Times New Roman" w:cs="Times New Roman"/>
          <w:sz w:val="24"/>
          <w:szCs w:val="24"/>
          <w:lang w:val="en-US"/>
        </w:rPr>
        <w:t xml:space="preserve">service ratios are obtained </w:t>
      </w:r>
      <w:r w:rsidR="00926C7D" w:rsidRPr="00262F8D">
        <w:rPr>
          <w:rFonts w:ascii="Times New Roman" w:hAnsi="Times New Roman" w:cs="Times New Roman"/>
          <w:sz w:val="24"/>
          <w:szCs w:val="24"/>
          <w:lang w:val="en-US"/>
        </w:rPr>
        <w:t>on a quarterly basis from the BIS database</w:t>
      </w:r>
      <w:r w:rsidR="002D095D" w:rsidRPr="00262F8D">
        <w:rPr>
          <w:rFonts w:ascii="Times New Roman" w:hAnsi="Times New Roman" w:cs="Times New Roman"/>
          <w:sz w:val="24"/>
          <w:szCs w:val="24"/>
          <w:lang w:val="en-US"/>
        </w:rPr>
        <w:t xml:space="preserve"> (www.bis.org/statistics/dsr.htm)</w:t>
      </w:r>
      <w:r w:rsidR="00926C7D" w:rsidRPr="00262F8D">
        <w:rPr>
          <w:rFonts w:ascii="Times New Roman" w:hAnsi="Times New Roman" w:cs="Times New Roman"/>
          <w:sz w:val="24"/>
          <w:szCs w:val="24"/>
          <w:lang w:val="en-US"/>
        </w:rPr>
        <w:t>;</w:t>
      </w:r>
      <w:r w:rsidRPr="00262F8D">
        <w:rPr>
          <w:rFonts w:ascii="Times New Roman" w:hAnsi="Times New Roman" w:cs="Times New Roman"/>
          <w:sz w:val="24"/>
          <w:szCs w:val="24"/>
          <w:lang w:val="en-US"/>
        </w:rPr>
        <w:t xml:space="preserve"> they are related to the total </w:t>
      </w:r>
      <w:r w:rsidR="005857ED" w:rsidRPr="00262F8D">
        <w:rPr>
          <w:rFonts w:ascii="Times New Roman" w:hAnsi="Times New Roman" w:cs="Times New Roman"/>
          <w:sz w:val="24"/>
          <w:szCs w:val="24"/>
          <w:lang w:val="en-US"/>
        </w:rPr>
        <w:t xml:space="preserve">aggregate </w:t>
      </w:r>
      <w:r w:rsidR="009139C6" w:rsidRPr="00262F8D">
        <w:rPr>
          <w:rFonts w:ascii="Times New Roman" w:hAnsi="Times New Roman" w:cs="Times New Roman"/>
          <w:sz w:val="24"/>
          <w:szCs w:val="24"/>
          <w:lang w:val="en-US"/>
        </w:rPr>
        <w:t>household sector</w:t>
      </w:r>
      <w:r w:rsidRPr="00262F8D">
        <w:rPr>
          <w:rFonts w:ascii="Times New Roman" w:hAnsi="Times New Roman" w:cs="Times New Roman"/>
          <w:sz w:val="24"/>
          <w:szCs w:val="24"/>
          <w:lang w:val="en-US"/>
        </w:rPr>
        <w:t xml:space="preserve"> for 32 countries,</w:t>
      </w:r>
      <w:r w:rsidR="005857ED" w:rsidRPr="00262F8D">
        <w:rPr>
          <w:rFonts w:ascii="Times New Roman" w:hAnsi="Times New Roman" w:cs="Times New Roman"/>
          <w:sz w:val="24"/>
          <w:szCs w:val="24"/>
          <w:lang w:val="en-US"/>
        </w:rPr>
        <w:t xml:space="preserve"> i.e. Australia, </w:t>
      </w:r>
      <w:r w:rsidR="0046520E" w:rsidRPr="00262F8D">
        <w:rPr>
          <w:rFonts w:ascii="Times New Roman" w:hAnsi="Times New Roman" w:cs="Times New Roman"/>
          <w:sz w:val="24"/>
          <w:szCs w:val="24"/>
          <w:lang w:val="en-US"/>
        </w:rPr>
        <w:t>Belg</w:t>
      </w:r>
      <w:r w:rsidR="0046520E">
        <w:rPr>
          <w:rFonts w:ascii="Times New Roman" w:hAnsi="Times New Roman" w:cs="Times New Roman"/>
          <w:sz w:val="24"/>
          <w:szCs w:val="24"/>
          <w:lang w:val="en-US"/>
        </w:rPr>
        <w:t xml:space="preserve">ium, Brazil, Canada, China, Czech Rep., Denmark, Finland, France, Germany, Hong Kong, Hungary, India, Indonesia, </w:t>
      </w:r>
      <w:r w:rsidR="00E22BF0">
        <w:rPr>
          <w:rFonts w:ascii="Times New Roman" w:hAnsi="Times New Roman" w:cs="Times New Roman"/>
          <w:sz w:val="24"/>
          <w:szCs w:val="24"/>
          <w:lang w:val="en-US"/>
        </w:rPr>
        <w:t>Italy, Japan, Korea, Malaysia, M</w:t>
      </w:r>
      <w:r w:rsidR="0046520E">
        <w:rPr>
          <w:rFonts w:ascii="Times New Roman" w:hAnsi="Times New Roman" w:cs="Times New Roman"/>
          <w:sz w:val="24"/>
          <w:szCs w:val="24"/>
          <w:lang w:val="en-US"/>
        </w:rPr>
        <w:t>exico, Netherlands, Norway, Poland, Portugal, Russia, South Africa, Spain, Sweden, Switzerland, Thailand, Turkey, UK, US,</w:t>
      </w:r>
      <w:r>
        <w:rPr>
          <w:rFonts w:ascii="Times New Roman" w:hAnsi="Times New Roman" w:cs="Times New Roman"/>
          <w:sz w:val="24"/>
          <w:szCs w:val="24"/>
          <w:lang w:val="en-US"/>
        </w:rPr>
        <w:t xml:space="preserve"> spanning the period 1999-2017. </w:t>
      </w:r>
      <w:r w:rsidR="005857ED">
        <w:rPr>
          <w:rFonts w:ascii="Times New Roman" w:hAnsi="Times New Roman" w:cs="Times New Roman"/>
          <w:sz w:val="24"/>
          <w:szCs w:val="24"/>
          <w:lang w:val="en-US"/>
        </w:rPr>
        <w:t>Th</w:t>
      </w:r>
      <w:r w:rsidR="0059151B">
        <w:rPr>
          <w:rFonts w:ascii="Times New Roman" w:hAnsi="Times New Roman" w:cs="Times New Roman"/>
          <w:sz w:val="24"/>
          <w:szCs w:val="24"/>
          <w:lang w:val="en-US"/>
        </w:rPr>
        <w:t>e debt-</w:t>
      </w:r>
      <w:r w:rsidR="005857ED">
        <w:rPr>
          <w:rFonts w:ascii="Times New Roman" w:hAnsi="Times New Roman" w:cs="Times New Roman"/>
          <w:sz w:val="24"/>
          <w:szCs w:val="24"/>
          <w:lang w:val="en-US"/>
        </w:rPr>
        <w:t>service ratio is defined as the ratio of interest payments plus amortizations to income. Thus, the ratio provides information on the flow of debt</w:t>
      </w:r>
      <w:r w:rsidR="0059151B">
        <w:rPr>
          <w:rFonts w:ascii="Times New Roman" w:hAnsi="Times New Roman" w:cs="Times New Roman"/>
          <w:sz w:val="24"/>
          <w:szCs w:val="24"/>
          <w:lang w:val="en-US"/>
        </w:rPr>
        <w:t>-</w:t>
      </w:r>
      <w:r w:rsidR="005857ED">
        <w:rPr>
          <w:rFonts w:ascii="Times New Roman" w:hAnsi="Times New Roman" w:cs="Times New Roman"/>
          <w:sz w:val="24"/>
          <w:szCs w:val="24"/>
          <w:lang w:val="en-US"/>
        </w:rPr>
        <w:t>service payments divided by the flow of income.</w:t>
      </w:r>
      <w:r w:rsidR="008B06E8">
        <w:rPr>
          <w:rFonts w:ascii="Times New Roman" w:hAnsi="Times New Roman" w:cs="Times New Roman"/>
          <w:sz w:val="24"/>
          <w:szCs w:val="24"/>
          <w:lang w:val="en-US"/>
        </w:rPr>
        <w:t xml:space="preserve"> The formula on which these ratios have been provided yields:</w:t>
      </w:r>
    </w:p>
    <w:p w:rsidR="008B06E8" w:rsidRDefault="008B06E8" w:rsidP="00E24DA5">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DSR</w:t>
      </w:r>
      <w:r w:rsidRPr="008B06E8">
        <w:rPr>
          <w:rFonts w:ascii="Times New Roman" w:hAnsi="Times New Roman" w:cs="Times New Roman"/>
          <w:sz w:val="24"/>
          <w:szCs w:val="24"/>
          <w:vertAlign w:val="subscript"/>
          <w:lang w:val="en-US"/>
        </w:rPr>
        <w:t>j</w:t>
      </w:r>
      <w:proofErr w:type="gramStart"/>
      <w:r w:rsidRPr="008B06E8">
        <w:rPr>
          <w:rFonts w:ascii="Times New Roman" w:hAnsi="Times New Roman" w:cs="Times New Roman"/>
          <w:sz w:val="24"/>
          <w:szCs w:val="24"/>
          <w:vertAlign w:val="subscript"/>
          <w:lang w:val="en-US"/>
        </w:rPr>
        <w:t>,t</w:t>
      </w:r>
      <w:proofErr w:type="spellEnd"/>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i</w:t>
      </w:r>
      <w:r w:rsidRPr="008B06E8">
        <w:rPr>
          <w:rFonts w:ascii="Times New Roman" w:hAnsi="Times New Roman" w:cs="Times New Roman"/>
          <w:sz w:val="24"/>
          <w:szCs w:val="24"/>
          <w:vertAlign w:val="subscript"/>
          <w:lang w:val="en-US"/>
        </w:rPr>
        <w:t>j,t</w:t>
      </w:r>
      <w:proofErr w:type="spellEnd"/>
      <w:r>
        <w:rPr>
          <w:rFonts w:ascii="Times New Roman" w:hAnsi="Times New Roman" w:cs="Times New Roman"/>
          <w:sz w:val="24"/>
          <w:szCs w:val="24"/>
          <w:lang w:val="en-US"/>
        </w:rPr>
        <w:t xml:space="preserve"> / [</w:t>
      </w:r>
      <w:r w:rsidR="00B21AAA">
        <w:rPr>
          <w:rFonts w:ascii="Times New Roman" w:hAnsi="Times New Roman" w:cs="Times New Roman"/>
          <w:sz w:val="24"/>
          <w:szCs w:val="24"/>
          <w:lang w:val="en-US"/>
        </w:rPr>
        <w:t>1-(1+i</w:t>
      </w:r>
      <w:r w:rsidR="00B21AAA" w:rsidRPr="00B21AAA">
        <w:rPr>
          <w:rFonts w:ascii="Times New Roman" w:hAnsi="Times New Roman" w:cs="Times New Roman"/>
          <w:sz w:val="24"/>
          <w:szCs w:val="24"/>
          <w:vertAlign w:val="subscript"/>
          <w:lang w:val="en-US"/>
        </w:rPr>
        <w:t>j,t</w:t>
      </w:r>
      <w:r w:rsidR="00B21AAA">
        <w:rPr>
          <w:rFonts w:ascii="Times New Roman" w:hAnsi="Times New Roman" w:cs="Times New Roman"/>
          <w:sz w:val="24"/>
          <w:szCs w:val="24"/>
          <w:lang w:val="en-US"/>
        </w:rPr>
        <w:t>)</w:t>
      </w:r>
      <w:r w:rsidR="00B21AAA" w:rsidRPr="00B21AAA">
        <w:rPr>
          <w:rFonts w:ascii="Times New Roman" w:hAnsi="Times New Roman" w:cs="Times New Roman"/>
          <w:sz w:val="24"/>
          <w:szCs w:val="24"/>
          <w:vertAlign w:val="superscript"/>
          <w:lang w:val="en-US"/>
        </w:rPr>
        <w:t>-</w:t>
      </w:r>
      <w:proofErr w:type="spellStart"/>
      <w:r w:rsidR="00B21AAA" w:rsidRPr="00B21AAA">
        <w:rPr>
          <w:rFonts w:ascii="Times New Roman" w:hAnsi="Times New Roman" w:cs="Times New Roman"/>
          <w:sz w:val="24"/>
          <w:szCs w:val="24"/>
          <w:vertAlign w:val="superscript"/>
          <w:lang w:val="en-US"/>
        </w:rPr>
        <w:t>sj,t</w:t>
      </w:r>
      <w:proofErr w:type="spellEnd"/>
      <w:r w:rsidR="00B21AAA">
        <w:rPr>
          <w:rFonts w:ascii="Times New Roman" w:hAnsi="Times New Roman" w:cs="Times New Roman"/>
          <w:sz w:val="24"/>
          <w:szCs w:val="24"/>
          <w:lang w:val="en-US"/>
        </w:rPr>
        <w:t xml:space="preserve">] x </w:t>
      </w:r>
      <w:proofErr w:type="spellStart"/>
      <w:r w:rsidR="00B21AAA">
        <w:rPr>
          <w:rFonts w:ascii="Times New Roman" w:hAnsi="Times New Roman" w:cs="Times New Roman"/>
          <w:sz w:val="24"/>
          <w:szCs w:val="24"/>
          <w:lang w:val="en-US"/>
        </w:rPr>
        <w:t>D</w:t>
      </w:r>
      <w:r w:rsidR="00B21AAA" w:rsidRPr="00B21AAA">
        <w:rPr>
          <w:rFonts w:ascii="Times New Roman" w:hAnsi="Times New Roman" w:cs="Times New Roman"/>
          <w:sz w:val="24"/>
          <w:szCs w:val="24"/>
          <w:vertAlign w:val="subscript"/>
          <w:lang w:val="en-US"/>
        </w:rPr>
        <w:t>j,t</w:t>
      </w:r>
      <w:proofErr w:type="spellEnd"/>
      <w:r w:rsidR="00B21AAA">
        <w:rPr>
          <w:rFonts w:ascii="Times New Roman" w:hAnsi="Times New Roman" w:cs="Times New Roman"/>
          <w:sz w:val="24"/>
          <w:szCs w:val="24"/>
          <w:lang w:val="en-US"/>
        </w:rPr>
        <w:t>/</w:t>
      </w:r>
      <w:proofErr w:type="spellStart"/>
      <w:r w:rsidR="00B21AAA">
        <w:rPr>
          <w:rFonts w:ascii="Times New Roman" w:hAnsi="Times New Roman" w:cs="Times New Roman"/>
          <w:sz w:val="24"/>
          <w:szCs w:val="24"/>
          <w:lang w:val="en-US"/>
        </w:rPr>
        <w:t>Y</w:t>
      </w:r>
      <w:r w:rsidR="00B21AAA" w:rsidRPr="00B21AAA">
        <w:rPr>
          <w:rFonts w:ascii="Times New Roman" w:hAnsi="Times New Roman" w:cs="Times New Roman"/>
          <w:sz w:val="24"/>
          <w:szCs w:val="24"/>
          <w:vertAlign w:val="subscript"/>
          <w:lang w:val="en-US"/>
        </w:rPr>
        <w:t>j,t</w:t>
      </w:r>
      <w:proofErr w:type="spellEnd"/>
    </w:p>
    <w:p w:rsidR="009E7F24" w:rsidRDefault="00B21AAA" w:rsidP="00E24DA5">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B21AAA">
        <w:rPr>
          <w:rFonts w:ascii="Times New Roman" w:hAnsi="Times New Roman" w:cs="Times New Roman"/>
          <w:sz w:val="24"/>
          <w:szCs w:val="24"/>
          <w:vertAlign w:val="subscript"/>
          <w:lang w:val="en-US"/>
        </w:rPr>
        <w:t>j,t</w:t>
      </w:r>
      <w:proofErr w:type="spellEnd"/>
      <w:r>
        <w:rPr>
          <w:rFonts w:ascii="Times New Roman" w:hAnsi="Times New Roman" w:cs="Times New Roman"/>
          <w:sz w:val="24"/>
          <w:szCs w:val="24"/>
          <w:lang w:val="en-US"/>
        </w:rPr>
        <w:t xml:space="preserve"> denotes the total stock of debt, </w:t>
      </w:r>
      <w:proofErr w:type="spellStart"/>
      <w:r>
        <w:rPr>
          <w:rFonts w:ascii="Times New Roman" w:hAnsi="Times New Roman" w:cs="Times New Roman"/>
          <w:sz w:val="24"/>
          <w:szCs w:val="24"/>
          <w:lang w:val="en-US"/>
        </w:rPr>
        <w:t>Y</w:t>
      </w:r>
      <w:r w:rsidRPr="00B21AAA">
        <w:rPr>
          <w:rFonts w:ascii="Times New Roman" w:hAnsi="Times New Roman" w:cs="Times New Roman"/>
          <w:sz w:val="24"/>
          <w:szCs w:val="24"/>
          <w:vertAlign w:val="subscript"/>
          <w:lang w:val="en-US"/>
        </w:rPr>
        <w:t>j,t</w:t>
      </w:r>
      <w:proofErr w:type="spellEnd"/>
      <w:r>
        <w:rPr>
          <w:rFonts w:ascii="Times New Roman" w:hAnsi="Times New Roman" w:cs="Times New Roman"/>
          <w:sz w:val="24"/>
          <w:szCs w:val="24"/>
          <w:lang w:val="en-US"/>
        </w:rPr>
        <w:t xml:space="preserve"> shows aggr</w:t>
      </w:r>
      <w:r w:rsidR="0059151B">
        <w:rPr>
          <w:rFonts w:ascii="Times New Roman" w:hAnsi="Times New Roman" w:cs="Times New Roman"/>
          <w:sz w:val="24"/>
          <w:szCs w:val="24"/>
          <w:lang w:val="en-US"/>
        </w:rPr>
        <w:t>egate income available for debt-</w:t>
      </w:r>
      <w:r>
        <w:rPr>
          <w:rFonts w:ascii="Times New Roman" w:hAnsi="Times New Roman" w:cs="Times New Roman"/>
          <w:sz w:val="24"/>
          <w:szCs w:val="24"/>
          <w:lang w:val="en-US"/>
        </w:rPr>
        <w:t xml:space="preserve">service payments, </w:t>
      </w:r>
      <w:proofErr w:type="spellStart"/>
      <w:r>
        <w:rPr>
          <w:rFonts w:ascii="Times New Roman" w:hAnsi="Times New Roman" w:cs="Times New Roman"/>
          <w:sz w:val="24"/>
          <w:szCs w:val="24"/>
          <w:lang w:val="en-US"/>
        </w:rPr>
        <w:t>i</w:t>
      </w:r>
      <w:r w:rsidRPr="00B21AAA">
        <w:rPr>
          <w:rFonts w:ascii="Times New Roman" w:hAnsi="Times New Roman" w:cs="Times New Roman"/>
          <w:sz w:val="24"/>
          <w:szCs w:val="24"/>
          <w:vertAlign w:val="subscript"/>
          <w:lang w:val="en-US"/>
        </w:rPr>
        <w:t>j,t</w:t>
      </w:r>
      <w:proofErr w:type="spellEnd"/>
      <w:r>
        <w:rPr>
          <w:rFonts w:ascii="Times New Roman" w:hAnsi="Times New Roman" w:cs="Times New Roman"/>
          <w:sz w:val="24"/>
          <w:szCs w:val="24"/>
          <w:lang w:val="en-US"/>
        </w:rPr>
        <w:t xml:space="preserve"> displays the average interest rate on the existing stock of debt, and </w:t>
      </w:r>
      <w:proofErr w:type="spellStart"/>
      <w:r>
        <w:rPr>
          <w:rFonts w:ascii="Times New Roman" w:hAnsi="Times New Roman" w:cs="Times New Roman"/>
          <w:sz w:val="24"/>
          <w:szCs w:val="24"/>
          <w:lang w:val="en-US"/>
        </w:rPr>
        <w:t>s</w:t>
      </w:r>
      <w:r w:rsidRPr="00B21AAA">
        <w:rPr>
          <w:rFonts w:ascii="Times New Roman" w:hAnsi="Times New Roman" w:cs="Times New Roman"/>
          <w:sz w:val="24"/>
          <w:szCs w:val="24"/>
          <w:vertAlign w:val="subscript"/>
          <w:lang w:val="en-US"/>
        </w:rPr>
        <w:t>j,t</w:t>
      </w:r>
      <w:proofErr w:type="spellEnd"/>
      <w:r>
        <w:rPr>
          <w:rFonts w:ascii="Times New Roman" w:hAnsi="Times New Roman" w:cs="Times New Roman"/>
          <w:sz w:val="24"/>
          <w:szCs w:val="24"/>
          <w:lang w:val="en-US"/>
        </w:rPr>
        <w:t xml:space="preserve"> is the average remaining maturity across the stock of debt. This formula captures amortizations through the non-linear interest rate term in the denominator of the above first component of the formula. </w:t>
      </w:r>
      <w:r w:rsidR="000F73A6">
        <w:rPr>
          <w:rFonts w:ascii="Times New Roman" w:hAnsi="Times New Roman" w:cs="Times New Roman"/>
          <w:sz w:val="24"/>
          <w:szCs w:val="24"/>
          <w:lang w:val="en-US"/>
        </w:rPr>
        <w:t>Figure 1 illustrates the evoluti</w:t>
      </w:r>
      <w:r w:rsidR="007A7CA0">
        <w:rPr>
          <w:rFonts w:ascii="Times New Roman" w:hAnsi="Times New Roman" w:cs="Times New Roman"/>
          <w:sz w:val="24"/>
          <w:szCs w:val="24"/>
          <w:lang w:val="en-US"/>
        </w:rPr>
        <w:t>on of those ratios across time based on</w:t>
      </w:r>
      <w:r w:rsidR="0039671A">
        <w:rPr>
          <w:rFonts w:ascii="Times New Roman" w:hAnsi="Times New Roman" w:cs="Times New Roman"/>
          <w:sz w:val="24"/>
          <w:szCs w:val="24"/>
          <w:lang w:val="en-US"/>
        </w:rPr>
        <w:t xml:space="preserve"> the average ratios across all countries</w:t>
      </w:r>
      <w:r w:rsidR="007A7CA0">
        <w:rPr>
          <w:rFonts w:ascii="Times New Roman" w:hAnsi="Times New Roman" w:cs="Times New Roman"/>
          <w:sz w:val="24"/>
          <w:szCs w:val="24"/>
          <w:lang w:val="en-US"/>
        </w:rPr>
        <w:t xml:space="preserve">, while </w:t>
      </w:r>
      <w:r w:rsidR="00A66787">
        <w:rPr>
          <w:rFonts w:ascii="Times New Roman" w:hAnsi="Times New Roman" w:cs="Times New Roman"/>
          <w:sz w:val="24"/>
          <w:szCs w:val="24"/>
          <w:lang w:val="en-US"/>
        </w:rPr>
        <w:t xml:space="preserve">Figure 2 illustrates through the average ratios across countries, the difference that reflects that certain country groups have lower debt-service ratios relative to the other country group. The group country classification is based on the median of those two country groups and provides the following two groups: Low (less than the median), i.e. </w:t>
      </w:r>
      <w:r w:rsidR="00A66787">
        <w:rPr>
          <w:rFonts w:ascii="Times New Roman" w:hAnsi="Times New Roman" w:cs="Times New Roman"/>
          <w:sz w:val="24"/>
          <w:szCs w:val="24"/>
          <w:lang w:val="en-US"/>
        </w:rPr>
        <w:lastRenderedPageBreak/>
        <w:t xml:space="preserve">Belgium, Czech Rep., Germany, Spain, Finland, France, Indonesia, India, Italy, Japan, Mexico, Poland, Portugal, Russia, US, South Africa and High (above the median), i.e. Australia, Brazil, Canada, Switzerland, China, Denmark, UK, Hong-Kong, </w:t>
      </w:r>
      <w:proofErr w:type="spellStart"/>
      <w:r w:rsidR="00A66787">
        <w:rPr>
          <w:rFonts w:ascii="Times New Roman" w:hAnsi="Times New Roman" w:cs="Times New Roman"/>
          <w:sz w:val="24"/>
          <w:szCs w:val="24"/>
          <w:lang w:val="en-US"/>
        </w:rPr>
        <w:t>Humgary</w:t>
      </w:r>
      <w:proofErr w:type="spellEnd"/>
      <w:r w:rsidR="00A66787">
        <w:rPr>
          <w:rFonts w:ascii="Times New Roman" w:hAnsi="Times New Roman" w:cs="Times New Roman"/>
          <w:sz w:val="24"/>
          <w:szCs w:val="24"/>
          <w:lang w:val="en-US"/>
        </w:rPr>
        <w:t xml:space="preserve">, Korea, Malaysia, the Netherlands, Norway, Sweden, Thailand, Turkey. Finally, </w:t>
      </w:r>
      <w:r w:rsidR="007A7CA0">
        <w:rPr>
          <w:rFonts w:ascii="Times New Roman" w:hAnsi="Times New Roman" w:cs="Times New Roman"/>
          <w:sz w:val="24"/>
          <w:szCs w:val="24"/>
          <w:lang w:val="en-US"/>
        </w:rPr>
        <w:t xml:space="preserve">Figure </w:t>
      </w:r>
      <w:r w:rsidR="00A66787">
        <w:rPr>
          <w:rFonts w:ascii="Times New Roman" w:hAnsi="Times New Roman" w:cs="Times New Roman"/>
          <w:sz w:val="24"/>
          <w:szCs w:val="24"/>
          <w:lang w:val="en-US"/>
        </w:rPr>
        <w:t>3</w:t>
      </w:r>
      <w:r w:rsidR="0039671A">
        <w:rPr>
          <w:rFonts w:ascii="Times New Roman" w:hAnsi="Times New Roman" w:cs="Times New Roman"/>
          <w:sz w:val="24"/>
          <w:szCs w:val="24"/>
          <w:lang w:val="en-US"/>
        </w:rPr>
        <w:t xml:space="preserve"> </w:t>
      </w:r>
      <w:r w:rsidR="007A7CA0">
        <w:rPr>
          <w:rFonts w:ascii="Times New Roman" w:hAnsi="Times New Roman" w:cs="Times New Roman"/>
          <w:sz w:val="24"/>
          <w:szCs w:val="24"/>
          <w:lang w:val="en-US"/>
        </w:rPr>
        <w:t>illustrates those ratios with respect to</w:t>
      </w:r>
      <w:r w:rsidR="0039671A">
        <w:rPr>
          <w:rFonts w:ascii="Times New Roman" w:hAnsi="Times New Roman" w:cs="Times New Roman"/>
          <w:sz w:val="24"/>
          <w:szCs w:val="24"/>
          <w:lang w:val="en-US"/>
        </w:rPr>
        <w:t xml:space="preserve"> selected countries. </w:t>
      </w:r>
      <w:r w:rsidR="000F73A6">
        <w:rPr>
          <w:rFonts w:ascii="Times New Roman" w:hAnsi="Times New Roman" w:cs="Times New Roman"/>
          <w:sz w:val="24"/>
          <w:szCs w:val="24"/>
          <w:lang w:val="en-US"/>
        </w:rPr>
        <w:t xml:space="preserve">It is worth pointing out that the ratios illustrated denote </w:t>
      </w:r>
      <w:r w:rsidR="008435D1">
        <w:rPr>
          <w:rFonts w:ascii="Times New Roman" w:hAnsi="Times New Roman" w:cs="Times New Roman"/>
          <w:sz w:val="24"/>
          <w:szCs w:val="24"/>
          <w:lang w:val="en-US"/>
        </w:rPr>
        <w:t xml:space="preserve">the rising trend of those ratios, </w:t>
      </w:r>
      <w:r w:rsidR="0039671A">
        <w:rPr>
          <w:rFonts w:ascii="Times New Roman" w:hAnsi="Times New Roman" w:cs="Times New Roman"/>
          <w:sz w:val="24"/>
          <w:szCs w:val="24"/>
          <w:lang w:val="en-US"/>
        </w:rPr>
        <w:t>as well as</w:t>
      </w:r>
      <w:r w:rsidR="008435D1">
        <w:rPr>
          <w:rFonts w:ascii="Times New Roman" w:hAnsi="Times New Roman" w:cs="Times New Roman"/>
          <w:sz w:val="24"/>
          <w:szCs w:val="24"/>
          <w:lang w:val="en-US"/>
        </w:rPr>
        <w:t xml:space="preserve"> </w:t>
      </w:r>
      <w:r w:rsidR="000F73A6">
        <w:rPr>
          <w:rFonts w:ascii="Times New Roman" w:hAnsi="Times New Roman" w:cs="Times New Roman"/>
          <w:sz w:val="24"/>
          <w:szCs w:val="24"/>
          <w:lang w:val="en-US"/>
        </w:rPr>
        <w:t xml:space="preserve">the limited deleveraging since the financial crisis (this is also supported by </w:t>
      </w:r>
      <w:proofErr w:type="spellStart"/>
      <w:r w:rsidR="000F73A6">
        <w:rPr>
          <w:rFonts w:ascii="Times New Roman" w:hAnsi="Times New Roman" w:cs="Times New Roman"/>
          <w:sz w:val="24"/>
          <w:szCs w:val="24"/>
          <w:lang w:val="en-US"/>
        </w:rPr>
        <w:t>Buttiglione</w:t>
      </w:r>
      <w:proofErr w:type="spellEnd"/>
      <w:r w:rsidR="000F73A6">
        <w:rPr>
          <w:rFonts w:ascii="Times New Roman" w:hAnsi="Times New Roman" w:cs="Times New Roman"/>
          <w:sz w:val="24"/>
          <w:szCs w:val="24"/>
          <w:lang w:val="en-US"/>
        </w:rPr>
        <w:t xml:space="preserve"> et al. (2015)). </w:t>
      </w:r>
      <w:r w:rsidR="0039671A">
        <w:rPr>
          <w:rFonts w:ascii="Times New Roman" w:hAnsi="Times New Roman" w:cs="Times New Roman"/>
          <w:sz w:val="24"/>
          <w:szCs w:val="24"/>
          <w:lang w:val="en-US"/>
        </w:rPr>
        <w:t>For the cases of Belgium, Denmark, France, Germany, Hong-Kong, and the US</w:t>
      </w:r>
      <w:r w:rsidR="00962F5B">
        <w:rPr>
          <w:rFonts w:ascii="Times New Roman" w:hAnsi="Times New Roman" w:cs="Times New Roman"/>
          <w:sz w:val="24"/>
          <w:szCs w:val="24"/>
          <w:lang w:val="en-US"/>
        </w:rPr>
        <w:t>,</w:t>
      </w:r>
      <w:r w:rsidR="0039671A">
        <w:rPr>
          <w:rFonts w:ascii="Times New Roman" w:hAnsi="Times New Roman" w:cs="Times New Roman"/>
          <w:sz w:val="24"/>
          <w:szCs w:val="24"/>
          <w:lang w:val="en-US"/>
        </w:rPr>
        <w:t xml:space="preserve"> these</w:t>
      </w:r>
      <w:r w:rsidR="000F73A6">
        <w:rPr>
          <w:rFonts w:ascii="Times New Roman" w:hAnsi="Times New Roman" w:cs="Times New Roman"/>
          <w:sz w:val="24"/>
          <w:szCs w:val="24"/>
          <w:lang w:val="en-US"/>
        </w:rPr>
        <w:t xml:space="preserve"> rati</w:t>
      </w:r>
      <w:r w:rsidR="008435D1">
        <w:rPr>
          <w:rFonts w:ascii="Times New Roman" w:hAnsi="Times New Roman" w:cs="Times New Roman"/>
          <w:sz w:val="24"/>
          <w:szCs w:val="24"/>
          <w:lang w:val="en-US"/>
        </w:rPr>
        <w:t>os have been rising</w:t>
      </w:r>
      <w:r w:rsidR="000F73A6">
        <w:rPr>
          <w:rFonts w:ascii="Times New Roman" w:hAnsi="Times New Roman" w:cs="Times New Roman"/>
          <w:sz w:val="24"/>
          <w:szCs w:val="24"/>
          <w:lang w:val="en-US"/>
        </w:rPr>
        <w:t xml:space="preserve">. According to </w:t>
      </w:r>
      <w:proofErr w:type="spellStart"/>
      <w:r w:rsidR="000F73A6">
        <w:rPr>
          <w:rFonts w:ascii="Times New Roman" w:hAnsi="Times New Roman" w:cs="Times New Roman"/>
          <w:sz w:val="24"/>
          <w:szCs w:val="24"/>
          <w:lang w:val="en-US"/>
        </w:rPr>
        <w:t>Juselius</w:t>
      </w:r>
      <w:proofErr w:type="spellEnd"/>
      <w:r w:rsidR="000F73A6">
        <w:rPr>
          <w:rFonts w:ascii="Times New Roman" w:hAnsi="Times New Roman" w:cs="Times New Roman"/>
          <w:sz w:val="24"/>
          <w:szCs w:val="24"/>
          <w:lang w:val="en-US"/>
        </w:rPr>
        <w:t xml:space="preserve"> and </w:t>
      </w:r>
      <w:proofErr w:type="spellStart"/>
      <w:r w:rsidR="000F73A6">
        <w:rPr>
          <w:rFonts w:ascii="Times New Roman" w:hAnsi="Times New Roman" w:cs="Times New Roman"/>
          <w:sz w:val="24"/>
          <w:szCs w:val="24"/>
          <w:lang w:val="en-US"/>
        </w:rPr>
        <w:t>Drehmann</w:t>
      </w:r>
      <w:proofErr w:type="spellEnd"/>
      <w:r w:rsidR="000F73A6">
        <w:rPr>
          <w:rFonts w:ascii="Times New Roman" w:hAnsi="Times New Roman" w:cs="Times New Roman"/>
          <w:sz w:val="24"/>
          <w:szCs w:val="24"/>
          <w:lang w:val="en-US"/>
        </w:rPr>
        <w:t xml:space="preserve"> (2015), these ratios took several years to return to normal levels, which is a rational explanation of the weak post-crisis recovery.</w:t>
      </w:r>
      <w:r w:rsidR="00795B03">
        <w:rPr>
          <w:rFonts w:ascii="Times New Roman" w:hAnsi="Times New Roman" w:cs="Times New Roman"/>
          <w:sz w:val="24"/>
          <w:szCs w:val="24"/>
          <w:lang w:val="en-US"/>
        </w:rPr>
        <w:t xml:space="preserve"> </w:t>
      </w:r>
    </w:p>
    <w:p w:rsidR="005635A0" w:rsidRDefault="00F73F87" w:rsidP="009E7F2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E7F24" w:rsidRPr="009E7F24">
        <w:rPr>
          <w:rFonts w:ascii="Times New Roman" w:hAnsi="Times New Roman" w:cs="Times New Roman"/>
          <w:sz w:val="24"/>
          <w:szCs w:val="24"/>
          <w:lang w:val="en-US"/>
        </w:rPr>
        <w:t xml:space="preserve">wo second-generation panel unit root tests are </w:t>
      </w:r>
      <w:r>
        <w:rPr>
          <w:rFonts w:ascii="Times New Roman" w:hAnsi="Times New Roman" w:cs="Times New Roman"/>
          <w:sz w:val="24"/>
          <w:szCs w:val="24"/>
          <w:lang w:val="en-US"/>
        </w:rPr>
        <w:t xml:space="preserve">also </w:t>
      </w:r>
      <w:r w:rsidR="009E7F24" w:rsidRPr="009E7F24">
        <w:rPr>
          <w:rFonts w:ascii="Times New Roman" w:hAnsi="Times New Roman" w:cs="Times New Roman"/>
          <w:sz w:val="24"/>
          <w:szCs w:val="24"/>
          <w:lang w:val="en-US"/>
        </w:rPr>
        <w:t xml:space="preserve">employed to determine the degree of integration in the respective variables. The </w:t>
      </w:r>
      <w:proofErr w:type="spellStart"/>
      <w:r w:rsidR="009E7F24" w:rsidRPr="009E7F24">
        <w:rPr>
          <w:rFonts w:ascii="Times New Roman" w:hAnsi="Times New Roman" w:cs="Times New Roman"/>
          <w:sz w:val="24"/>
          <w:szCs w:val="24"/>
          <w:lang w:val="en-US"/>
        </w:rPr>
        <w:t>Pesaran</w:t>
      </w:r>
      <w:proofErr w:type="spellEnd"/>
      <w:r w:rsidR="009E7F24" w:rsidRPr="009E7F24">
        <w:rPr>
          <w:rFonts w:ascii="Times New Roman" w:hAnsi="Times New Roman" w:cs="Times New Roman"/>
          <w:sz w:val="24"/>
          <w:szCs w:val="24"/>
          <w:lang w:val="en-US"/>
        </w:rPr>
        <w:t xml:space="preserve"> (2007) panel unit root test does not require the estimation of factor loading to eliminate cross-sectional dependence. Specifically, the usual ADF regression is augmented to include the lagged cross-sectional mean and its first difference to capture the cross-sectional dependence that arises through a single-factor model. </w:t>
      </w:r>
      <w:r w:rsidR="005635A0">
        <w:rPr>
          <w:rFonts w:ascii="Times New Roman" w:hAnsi="Times New Roman" w:cs="Times New Roman"/>
          <w:sz w:val="24"/>
          <w:szCs w:val="24"/>
          <w:lang w:val="en-US"/>
        </w:rPr>
        <w:t>The basic model underlying this test is:</w:t>
      </w:r>
    </w:p>
    <w:p w:rsidR="005635A0" w:rsidRDefault="005635A0" w:rsidP="005635A0">
      <w:pPr>
        <w:spacing w:line="240" w:lineRule="auto"/>
        <w:ind w:left="144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proofErr w:type="gramEnd"/>
    </w:p>
    <w:p w:rsidR="005635A0" w:rsidRPr="005635A0" w:rsidRDefault="005635A0" w:rsidP="005635A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Δ</w:t>
      </w:r>
      <w:proofErr w:type="spellStart"/>
      <w:r>
        <w:rPr>
          <w:rFonts w:ascii="Times New Roman" w:hAnsi="Times New Roman" w:cs="Times New Roman"/>
          <w:sz w:val="24"/>
          <w:szCs w:val="24"/>
          <w:lang w:val="en-US"/>
        </w:rPr>
        <w:t>Y</w:t>
      </w:r>
      <w:r w:rsidRPr="005635A0">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α</w:t>
      </w:r>
      <w:proofErr w:type="spellStart"/>
      <w:r w:rsidRPr="005635A0">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ρ</w:t>
      </w:r>
      <w:proofErr w:type="spellStart"/>
      <w:r w:rsidRPr="005635A0">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Y</w:t>
      </w:r>
      <w:r w:rsidRPr="005635A0">
        <w:rPr>
          <w:rFonts w:ascii="Times New Roman" w:hAnsi="Times New Roman" w:cs="Times New Roman"/>
          <w:sz w:val="24"/>
          <w:szCs w:val="24"/>
          <w:vertAlign w:val="subscript"/>
          <w:lang w:val="en-US"/>
        </w:rPr>
        <w:t>i,t-1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5635A0">
        <w:rPr>
          <w:rFonts w:ascii="Times New Roman" w:hAnsi="Times New Roman" w:cs="Times New Roman"/>
          <w:sz w:val="40"/>
          <w:szCs w:val="40"/>
        </w:rPr>
        <w:t>Σ</w:t>
      </w:r>
      <w:r>
        <w:rPr>
          <w:rFonts w:ascii="Times New Roman" w:hAnsi="Times New Roman" w:cs="Times New Roman"/>
          <w:sz w:val="24"/>
          <w:szCs w:val="24"/>
        </w:rPr>
        <w:t>β</w:t>
      </w:r>
      <w:proofErr w:type="spellStart"/>
      <w:r w:rsidRPr="005635A0">
        <w:rPr>
          <w:rFonts w:ascii="Times New Roman" w:hAnsi="Times New Roman" w:cs="Times New Roman"/>
          <w:sz w:val="24"/>
          <w:szCs w:val="24"/>
          <w:vertAlign w:val="subscript"/>
          <w:lang w:val="en-US"/>
        </w:rPr>
        <w:t>i,k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Δ</w:t>
      </w:r>
      <w:proofErr w:type="spellStart"/>
      <w:r>
        <w:rPr>
          <w:rFonts w:ascii="Times New Roman" w:hAnsi="Times New Roman" w:cs="Times New Roman"/>
          <w:sz w:val="24"/>
          <w:szCs w:val="24"/>
          <w:lang w:val="en-US"/>
        </w:rPr>
        <w:t>Y</w:t>
      </w:r>
      <w:r w:rsidRPr="005635A0">
        <w:rPr>
          <w:rFonts w:ascii="Times New Roman" w:hAnsi="Times New Roman" w:cs="Times New Roman"/>
          <w:sz w:val="24"/>
          <w:szCs w:val="24"/>
          <w:vertAlign w:val="subscript"/>
          <w:lang w:val="en-US"/>
        </w:rPr>
        <w:t>i,t</w:t>
      </w:r>
      <w:proofErr w:type="spellEnd"/>
      <w:r w:rsidRPr="005635A0">
        <w:rPr>
          <w:rFonts w:ascii="Times New Roman" w:hAnsi="Times New Roman" w:cs="Times New Roman"/>
          <w:sz w:val="24"/>
          <w:szCs w:val="24"/>
          <w:vertAlign w:val="subscript"/>
          <w:lang w:val="en-US"/>
        </w:rPr>
        <w:t>-k</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v</w:t>
      </w:r>
      <w:r w:rsidRPr="005635A0">
        <w:rPr>
          <w:rFonts w:ascii="Times New Roman" w:hAnsi="Times New Roman" w:cs="Times New Roman"/>
          <w:sz w:val="24"/>
          <w:szCs w:val="24"/>
          <w:vertAlign w:val="subscript"/>
          <w:lang w:val="en-US"/>
        </w:rPr>
        <w:t>t</w:t>
      </w:r>
      <w:proofErr w:type="spellEnd"/>
    </w:p>
    <w:p w:rsidR="005635A0" w:rsidRDefault="005635A0" w:rsidP="005635A0">
      <w:pPr>
        <w:spacing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k=1</w:t>
      </w:r>
    </w:p>
    <w:p w:rsidR="005635A0" w:rsidRDefault="005635A0" w:rsidP="005635A0">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for</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 1, …, N and t = 1, …, T</w:t>
      </w:r>
      <w:r w:rsidR="00A67219">
        <w:rPr>
          <w:rFonts w:ascii="Times New Roman" w:hAnsi="Times New Roman" w:cs="Times New Roman"/>
          <w:sz w:val="24"/>
          <w:szCs w:val="24"/>
          <w:lang w:val="en-US"/>
        </w:rPr>
        <w:t xml:space="preserve">, with </w:t>
      </w:r>
      <w:r w:rsidR="00A67219">
        <w:rPr>
          <w:rFonts w:ascii="Times New Roman" w:hAnsi="Times New Roman" w:cs="Times New Roman"/>
          <w:sz w:val="24"/>
          <w:szCs w:val="24"/>
        </w:rPr>
        <w:t>α</w:t>
      </w:r>
      <w:proofErr w:type="spellStart"/>
      <w:r w:rsidR="00A67219" w:rsidRPr="00A67219">
        <w:rPr>
          <w:rFonts w:ascii="Times New Roman" w:hAnsi="Times New Roman" w:cs="Times New Roman"/>
          <w:sz w:val="24"/>
          <w:szCs w:val="24"/>
          <w:vertAlign w:val="subscript"/>
          <w:lang w:val="en-US"/>
        </w:rPr>
        <w:t>i</w:t>
      </w:r>
      <w:proofErr w:type="spellEnd"/>
      <w:r w:rsidR="00A67219">
        <w:rPr>
          <w:rFonts w:ascii="Times New Roman" w:hAnsi="Times New Roman" w:cs="Times New Roman"/>
          <w:sz w:val="24"/>
          <w:szCs w:val="24"/>
          <w:lang w:val="en-US"/>
        </w:rPr>
        <w:t xml:space="preserve"> indicating fixed effects</w:t>
      </w:r>
      <w:r>
        <w:rPr>
          <w:rFonts w:ascii="Times New Roman" w:hAnsi="Times New Roman" w:cs="Times New Roman"/>
          <w:sz w:val="24"/>
          <w:szCs w:val="24"/>
          <w:lang w:val="en-US"/>
        </w:rPr>
        <w:t xml:space="preserve">. </w:t>
      </w:r>
      <w:r w:rsidRPr="009E7F24">
        <w:rPr>
          <w:rFonts w:ascii="Times New Roman" w:hAnsi="Times New Roman" w:cs="Times New Roman"/>
          <w:sz w:val="24"/>
          <w:szCs w:val="24"/>
          <w:lang w:val="en-US"/>
        </w:rPr>
        <w:t>The null hypothesis is a unit root</w:t>
      </w:r>
      <w:r>
        <w:rPr>
          <w:rFonts w:ascii="Times New Roman" w:hAnsi="Times New Roman" w:cs="Times New Roman"/>
          <w:sz w:val="24"/>
          <w:szCs w:val="24"/>
          <w:lang w:val="en-US"/>
        </w:rPr>
        <w:t>, i.e. H</w:t>
      </w:r>
      <w:r w:rsidRPr="005635A0">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w:t>
      </w:r>
      <w:r>
        <w:rPr>
          <w:rFonts w:ascii="Times New Roman" w:hAnsi="Times New Roman" w:cs="Times New Roman"/>
          <w:sz w:val="24"/>
          <w:szCs w:val="24"/>
        </w:rPr>
        <w:t>ρ</w:t>
      </w:r>
      <w:proofErr w:type="spellStart"/>
      <w:r w:rsidRPr="005635A0">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=0 for all </w:t>
      </w:r>
      <w:proofErr w:type="spellStart"/>
      <w:r w:rsidR="006803E4">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 1, …, N</w:t>
      </w:r>
      <w:r w:rsidRPr="009E7F24">
        <w:rPr>
          <w:rFonts w:ascii="Times New Roman" w:hAnsi="Times New Roman" w:cs="Times New Roman"/>
          <w:sz w:val="24"/>
          <w:szCs w:val="24"/>
          <w:lang w:val="en-US"/>
        </w:rPr>
        <w:t>.</w:t>
      </w:r>
      <w:r w:rsidR="00A67219">
        <w:rPr>
          <w:rFonts w:ascii="Times New Roman" w:hAnsi="Times New Roman" w:cs="Times New Roman"/>
          <w:sz w:val="24"/>
          <w:szCs w:val="24"/>
          <w:lang w:val="en-US"/>
        </w:rPr>
        <w:t xml:space="preserve"> The test uses the cross-sectional ADF statistics (CADF), which is denoted as a cross-sectional augmented </w:t>
      </w:r>
      <w:proofErr w:type="spellStart"/>
      <w:r w:rsidR="00A67219">
        <w:rPr>
          <w:rFonts w:ascii="Times New Roman" w:hAnsi="Times New Roman" w:cs="Times New Roman"/>
          <w:sz w:val="24"/>
          <w:szCs w:val="24"/>
          <w:lang w:val="en-US"/>
        </w:rPr>
        <w:t>Im</w:t>
      </w:r>
      <w:proofErr w:type="spellEnd"/>
      <w:r w:rsidR="00A67219">
        <w:rPr>
          <w:rFonts w:ascii="Times New Roman" w:hAnsi="Times New Roman" w:cs="Times New Roman"/>
          <w:sz w:val="24"/>
          <w:szCs w:val="24"/>
          <w:lang w:val="en-US"/>
        </w:rPr>
        <w:t xml:space="preserve"> et al. </w:t>
      </w:r>
      <w:r w:rsidR="006803E4">
        <w:rPr>
          <w:rFonts w:ascii="Times New Roman" w:hAnsi="Times New Roman" w:cs="Times New Roman"/>
          <w:sz w:val="24"/>
          <w:szCs w:val="24"/>
          <w:lang w:val="en-US"/>
        </w:rPr>
        <w:t xml:space="preserve">(2003) </w:t>
      </w:r>
      <w:r w:rsidR="00A67219">
        <w:rPr>
          <w:rFonts w:ascii="Times New Roman" w:hAnsi="Times New Roman" w:cs="Times New Roman"/>
          <w:sz w:val="24"/>
          <w:szCs w:val="24"/>
          <w:lang w:val="en-US"/>
        </w:rPr>
        <w:t>test (CIPS):</w:t>
      </w:r>
    </w:p>
    <w:p w:rsidR="00A67219" w:rsidRDefault="00A67219" w:rsidP="00A67219">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N</w:t>
      </w:r>
    </w:p>
    <w:p w:rsidR="00A67219" w:rsidRDefault="00A67219" w:rsidP="00A6721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CIPS = 1/N </w:t>
      </w:r>
      <w:r w:rsidRPr="00A67219">
        <w:rPr>
          <w:rFonts w:ascii="Times New Roman" w:hAnsi="Times New Roman" w:cs="Times New Roman"/>
          <w:sz w:val="40"/>
          <w:szCs w:val="40"/>
        </w:rPr>
        <w:t>Σ</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A67219">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(N</w:t>
      </w:r>
      <w:proofErr w:type="gramStart"/>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w:t>
      </w:r>
    </w:p>
    <w:p w:rsidR="00A67219" w:rsidRDefault="00A67219" w:rsidP="00A67219">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=1</w:t>
      </w:r>
    </w:p>
    <w:p w:rsidR="00A67219" w:rsidRPr="00A67219" w:rsidRDefault="00A67219" w:rsidP="00A67219">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A67219">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(N,T) is the t-statistic of the OLS estimate in the </w:t>
      </w:r>
      <w:r>
        <w:rPr>
          <w:rFonts w:ascii="Times New Roman" w:hAnsi="Times New Roman" w:cs="Times New Roman"/>
          <w:sz w:val="24"/>
          <w:szCs w:val="24"/>
        </w:rPr>
        <w:t>ρ</w:t>
      </w:r>
      <w:proofErr w:type="spellStart"/>
      <w:r w:rsidRPr="00A67219">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lang w:val="en-US"/>
        </w:rPr>
        <w:t xml:space="preserve"> estimates above.</w:t>
      </w:r>
    </w:p>
    <w:p w:rsidR="00961935" w:rsidRDefault="009E7F24" w:rsidP="009E7F24">
      <w:pPr>
        <w:spacing w:line="480" w:lineRule="auto"/>
        <w:ind w:firstLine="720"/>
        <w:jc w:val="both"/>
        <w:rPr>
          <w:rFonts w:ascii="Times New Roman" w:hAnsi="Times New Roman" w:cs="Times New Roman"/>
          <w:sz w:val="24"/>
          <w:szCs w:val="24"/>
          <w:lang w:val="en-US"/>
        </w:rPr>
      </w:pPr>
      <w:r w:rsidRPr="009E7F24">
        <w:rPr>
          <w:rFonts w:ascii="Times New Roman" w:hAnsi="Times New Roman" w:cs="Times New Roman"/>
          <w:sz w:val="24"/>
          <w:szCs w:val="24"/>
          <w:lang w:val="en-US"/>
        </w:rPr>
        <w:t xml:space="preserve">The bootstrap panel unit root tests by Smith et al. (2004) utilize a </w:t>
      </w:r>
      <w:r w:rsidR="006803E4">
        <w:rPr>
          <w:rFonts w:ascii="Times New Roman" w:hAnsi="Times New Roman" w:cs="Times New Roman"/>
          <w:sz w:val="24"/>
          <w:szCs w:val="24"/>
          <w:lang w:val="en-US"/>
        </w:rPr>
        <w:t>‘S</w:t>
      </w:r>
      <w:r w:rsidRPr="009E7F24">
        <w:rPr>
          <w:rFonts w:ascii="Times New Roman" w:hAnsi="Times New Roman" w:cs="Times New Roman"/>
          <w:sz w:val="24"/>
          <w:szCs w:val="24"/>
          <w:lang w:val="en-US"/>
        </w:rPr>
        <w:t>ieve</w:t>
      </w:r>
      <w:r w:rsidR="006803E4">
        <w:rPr>
          <w:rFonts w:ascii="Times New Roman" w:hAnsi="Times New Roman" w:cs="Times New Roman"/>
          <w:sz w:val="24"/>
          <w:szCs w:val="24"/>
          <w:lang w:val="en-US"/>
        </w:rPr>
        <w:t>’</w:t>
      </w:r>
      <w:r w:rsidRPr="009E7F24">
        <w:rPr>
          <w:rFonts w:ascii="Times New Roman" w:hAnsi="Times New Roman" w:cs="Times New Roman"/>
          <w:sz w:val="24"/>
          <w:szCs w:val="24"/>
          <w:lang w:val="en-US"/>
        </w:rPr>
        <w:t xml:space="preserve"> </w:t>
      </w:r>
      <w:r w:rsidR="006803E4">
        <w:rPr>
          <w:rFonts w:ascii="Times New Roman" w:hAnsi="Times New Roman" w:cs="Times New Roman"/>
          <w:sz w:val="24"/>
          <w:szCs w:val="24"/>
          <w:lang w:val="en-US"/>
        </w:rPr>
        <w:t>bootstrap</w:t>
      </w:r>
      <w:r w:rsidRPr="009E7F24">
        <w:rPr>
          <w:rFonts w:ascii="Times New Roman" w:hAnsi="Times New Roman" w:cs="Times New Roman"/>
          <w:sz w:val="24"/>
          <w:szCs w:val="24"/>
          <w:lang w:val="en-US"/>
        </w:rPr>
        <w:t xml:space="preserve"> scheme to account for both the time series and cross-sectional dependence in the data through bootstrap blocks. </w:t>
      </w:r>
      <w:r w:rsidR="006803E4">
        <w:rPr>
          <w:rFonts w:ascii="Times New Roman" w:hAnsi="Times New Roman" w:cs="Times New Roman"/>
          <w:sz w:val="24"/>
          <w:szCs w:val="24"/>
          <w:lang w:val="en-US"/>
        </w:rPr>
        <w:t xml:space="preserve">The method considers four alternative tests: t, LM, max and min, where t is the bootstrap version of the well-known panel unit root test by </w:t>
      </w:r>
      <w:proofErr w:type="spellStart"/>
      <w:r w:rsidR="006803E4">
        <w:rPr>
          <w:rFonts w:ascii="Times New Roman" w:hAnsi="Times New Roman" w:cs="Times New Roman"/>
          <w:sz w:val="24"/>
          <w:szCs w:val="24"/>
          <w:lang w:val="en-US"/>
        </w:rPr>
        <w:t>Im</w:t>
      </w:r>
      <w:proofErr w:type="spellEnd"/>
      <w:r w:rsidR="006803E4">
        <w:rPr>
          <w:rFonts w:ascii="Times New Roman" w:hAnsi="Times New Roman" w:cs="Times New Roman"/>
          <w:sz w:val="24"/>
          <w:szCs w:val="24"/>
          <w:lang w:val="en-US"/>
        </w:rPr>
        <w:t xml:space="preserve"> et al. (2003),</w:t>
      </w:r>
      <w:r w:rsidR="00C31A5F">
        <w:rPr>
          <w:rFonts w:ascii="Times New Roman" w:hAnsi="Times New Roman" w:cs="Times New Roman"/>
          <w:sz w:val="24"/>
          <w:szCs w:val="24"/>
          <w:lang w:val="en-US"/>
        </w:rPr>
        <w:t xml:space="preserve"> LM is the mean of the individual Lagrange Multiplier (LM) test statistics introduced by Solo (1984), max is the test offered by </w:t>
      </w:r>
      <w:proofErr w:type="spellStart"/>
      <w:r w:rsidR="00C31A5F">
        <w:rPr>
          <w:rFonts w:ascii="Times New Roman" w:hAnsi="Times New Roman" w:cs="Times New Roman"/>
          <w:sz w:val="24"/>
          <w:szCs w:val="24"/>
          <w:lang w:val="en-US"/>
        </w:rPr>
        <w:t>Leybourne</w:t>
      </w:r>
      <w:proofErr w:type="spellEnd"/>
      <w:r w:rsidR="00C31A5F">
        <w:rPr>
          <w:rFonts w:ascii="Times New Roman" w:hAnsi="Times New Roman" w:cs="Times New Roman"/>
          <w:sz w:val="24"/>
          <w:szCs w:val="24"/>
          <w:lang w:val="en-US"/>
        </w:rPr>
        <w:t xml:space="preserve"> (1995), and min is the mean of a more powerful variant of the individual LMs. </w:t>
      </w:r>
      <w:r w:rsidRPr="009E7F24">
        <w:rPr>
          <w:rFonts w:ascii="Times New Roman" w:hAnsi="Times New Roman" w:cs="Times New Roman"/>
          <w:sz w:val="24"/>
          <w:szCs w:val="24"/>
          <w:lang w:val="en-US"/>
        </w:rPr>
        <w:t xml:space="preserve">All four tests by Smith et al. (2004) are constructed with a unit root under the null hypothesis. The results of these panel unit root tests are reported in Table </w:t>
      </w:r>
      <w:r>
        <w:rPr>
          <w:rFonts w:ascii="Times New Roman" w:hAnsi="Times New Roman" w:cs="Times New Roman"/>
          <w:sz w:val="24"/>
          <w:szCs w:val="24"/>
          <w:lang w:val="en-US"/>
        </w:rPr>
        <w:t>1</w:t>
      </w:r>
      <w:r w:rsidR="00A67219">
        <w:rPr>
          <w:rFonts w:ascii="Times New Roman" w:hAnsi="Times New Roman" w:cs="Times New Roman"/>
          <w:sz w:val="24"/>
          <w:szCs w:val="24"/>
          <w:lang w:val="en-US"/>
        </w:rPr>
        <w:t xml:space="preserve">. </w:t>
      </w:r>
      <w:r w:rsidR="00C31A5F">
        <w:rPr>
          <w:rFonts w:ascii="Times New Roman" w:hAnsi="Times New Roman" w:cs="Times New Roman"/>
          <w:sz w:val="24"/>
          <w:szCs w:val="24"/>
          <w:lang w:val="en-US"/>
        </w:rPr>
        <w:t>More specifically, t</w:t>
      </w:r>
      <w:r w:rsidR="00A67219">
        <w:rPr>
          <w:rFonts w:ascii="Times New Roman" w:hAnsi="Times New Roman" w:cs="Times New Roman"/>
          <w:sz w:val="24"/>
          <w:szCs w:val="24"/>
          <w:lang w:val="en-US"/>
        </w:rPr>
        <w:t xml:space="preserve">he </w:t>
      </w:r>
      <w:proofErr w:type="spellStart"/>
      <w:r w:rsidR="00A67219">
        <w:rPr>
          <w:rFonts w:ascii="Times New Roman" w:hAnsi="Times New Roman" w:cs="Times New Roman"/>
          <w:sz w:val="24"/>
          <w:szCs w:val="24"/>
          <w:lang w:val="en-US"/>
        </w:rPr>
        <w:t>Pesaran</w:t>
      </w:r>
      <w:proofErr w:type="spellEnd"/>
      <w:r w:rsidR="00A67219">
        <w:rPr>
          <w:rFonts w:ascii="Times New Roman" w:hAnsi="Times New Roman" w:cs="Times New Roman"/>
          <w:sz w:val="24"/>
          <w:szCs w:val="24"/>
          <w:lang w:val="en-US"/>
        </w:rPr>
        <w:t xml:space="preserve"> (2007) CIPS test rejects the presence of unit roots only in the first differences of the variables under consideration and, thus, validates the </w:t>
      </w:r>
      <w:proofErr w:type="spellStart"/>
      <w:r w:rsidR="00A67219">
        <w:rPr>
          <w:rFonts w:ascii="Times New Roman" w:hAnsi="Times New Roman" w:cs="Times New Roman"/>
          <w:sz w:val="24"/>
          <w:szCs w:val="24"/>
          <w:lang w:val="en-US"/>
        </w:rPr>
        <w:t>stationarity</w:t>
      </w:r>
      <w:proofErr w:type="spellEnd"/>
      <w:r w:rsidR="00A67219">
        <w:rPr>
          <w:rFonts w:ascii="Times New Roman" w:hAnsi="Times New Roman" w:cs="Times New Roman"/>
          <w:sz w:val="24"/>
          <w:szCs w:val="24"/>
          <w:lang w:val="en-US"/>
        </w:rPr>
        <w:t xml:space="preserve"> properties of those first-differenced variables.</w:t>
      </w:r>
      <w:r w:rsidRPr="009E7F24">
        <w:rPr>
          <w:rFonts w:ascii="Times New Roman" w:hAnsi="Times New Roman" w:cs="Times New Roman"/>
          <w:sz w:val="24"/>
          <w:szCs w:val="24"/>
          <w:lang w:val="en-US"/>
        </w:rPr>
        <w:t xml:space="preserve"> </w:t>
      </w:r>
      <w:r w:rsidR="00C31A5F">
        <w:rPr>
          <w:rFonts w:ascii="Times New Roman" w:hAnsi="Times New Roman" w:cs="Times New Roman"/>
          <w:sz w:val="24"/>
          <w:szCs w:val="24"/>
          <w:lang w:val="en-US"/>
        </w:rPr>
        <w:t>Similarly, the results of the Smith et al. (2004) tests clearly document that all series under study are stationary in their first differences.</w:t>
      </w:r>
    </w:p>
    <w:p w:rsidR="002F3389" w:rsidRPr="002F3389" w:rsidRDefault="002F3389" w:rsidP="002F3389">
      <w:pPr>
        <w:spacing w:line="480" w:lineRule="auto"/>
        <w:jc w:val="center"/>
        <w:rPr>
          <w:rFonts w:ascii="Times New Roman" w:hAnsi="Times New Roman" w:cs="Times New Roman"/>
          <w:b/>
          <w:sz w:val="24"/>
          <w:szCs w:val="24"/>
          <w:lang w:val="en-US"/>
        </w:rPr>
      </w:pPr>
      <w:r w:rsidRPr="002F3389">
        <w:rPr>
          <w:rFonts w:ascii="Times New Roman" w:hAnsi="Times New Roman" w:cs="Times New Roman"/>
          <w:b/>
          <w:sz w:val="24"/>
          <w:szCs w:val="24"/>
          <w:lang w:val="en-US"/>
        </w:rPr>
        <w:t>[Insert Figure</w:t>
      </w:r>
      <w:r w:rsidR="004131D2">
        <w:rPr>
          <w:rFonts w:ascii="Times New Roman" w:hAnsi="Times New Roman" w:cs="Times New Roman"/>
          <w:b/>
          <w:sz w:val="24"/>
          <w:szCs w:val="24"/>
          <w:lang w:val="en-US"/>
        </w:rPr>
        <w:t>s</w:t>
      </w:r>
      <w:r w:rsidRPr="002F3389">
        <w:rPr>
          <w:rFonts w:ascii="Times New Roman" w:hAnsi="Times New Roman" w:cs="Times New Roman"/>
          <w:b/>
          <w:sz w:val="24"/>
          <w:szCs w:val="24"/>
          <w:lang w:val="en-US"/>
        </w:rPr>
        <w:t xml:space="preserve"> 1</w:t>
      </w:r>
      <w:r w:rsidR="00AD3B15">
        <w:rPr>
          <w:rFonts w:ascii="Times New Roman" w:hAnsi="Times New Roman" w:cs="Times New Roman"/>
          <w:b/>
          <w:sz w:val="24"/>
          <w:szCs w:val="24"/>
          <w:lang w:val="en-US"/>
        </w:rPr>
        <w:t>,</w:t>
      </w:r>
      <w:r w:rsidR="004131D2">
        <w:rPr>
          <w:rFonts w:ascii="Times New Roman" w:hAnsi="Times New Roman" w:cs="Times New Roman"/>
          <w:b/>
          <w:sz w:val="24"/>
          <w:szCs w:val="24"/>
          <w:lang w:val="en-US"/>
        </w:rPr>
        <w:t xml:space="preserve"> 2</w:t>
      </w:r>
      <w:r w:rsidR="00AD3B15">
        <w:rPr>
          <w:rFonts w:ascii="Times New Roman" w:hAnsi="Times New Roman" w:cs="Times New Roman"/>
          <w:b/>
          <w:sz w:val="24"/>
          <w:szCs w:val="24"/>
          <w:lang w:val="en-US"/>
        </w:rPr>
        <w:t xml:space="preserve"> and 3</w:t>
      </w:r>
      <w:r w:rsidRPr="002F3389">
        <w:rPr>
          <w:rFonts w:ascii="Times New Roman" w:hAnsi="Times New Roman" w:cs="Times New Roman"/>
          <w:b/>
          <w:sz w:val="24"/>
          <w:szCs w:val="24"/>
          <w:lang w:val="en-US"/>
        </w:rPr>
        <w:t xml:space="preserve"> about here]</w:t>
      </w:r>
    </w:p>
    <w:p w:rsidR="005C2BC1" w:rsidRPr="002F3389" w:rsidRDefault="005C2BC1" w:rsidP="005C2BC1">
      <w:pPr>
        <w:spacing w:line="480" w:lineRule="auto"/>
        <w:jc w:val="center"/>
        <w:rPr>
          <w:rFonts w:ascii="Times New Roman" w:hAnsi="Times New Roman" w:cs="Times New Roman"/>
          <w:b/>
          <w:sz w:val="24"/>
          <w:szCs w:val="24"/>
          <w:lang w:val="en-US"/>
        </w:rPr>
      </w:pPr>
      <w:r w:rsidRPr="002F3389">
        <w:rPr>
          <w:rFonts w:ascii="Times New Roman" w:hAnsi="Times New Roman" w:cs="Times New Roman"/>
          <w:b/>
          <w:sz w:val="24"/>
          <w:szCs w:val="24"/>
          <w:lang w:val="en-US"/>
        </w:rPr>
        <w:t xml:space="preserve">[Insert </w:t>
      </w:r>
      <w:r>
        <w:rPr>
          <w:rFonts w:ascii="Times New Roman" w:hAnsi="Times New Roman" w:cs="Times New Roman"/>
          <w:b/>
          <w:sz w:val="24"/>
          <w:szCs w:val="24"/>
          <w:lang w:val="en-US"/>
        </w:rPr>
        <w:t>Table 1</w:t>
      </w:r>
      <w:r w:rsidRPr="002F3389">
        <w:rPr>
          <w:rFonts w:ascii="Times New Roman" w:hAnsi="Times New Roman" w:cs="Times New Roman"/>
          <w:b/>
          <w:sz w:val="24"/>
          <w:szCs w:val="24"/>
          <w:lang w:val="en-US"/>
        </w:rPr>
        <w:t xml:space="preserve"> about here]</w:t>
      </w:r>
    </w:p>
    <w:p w:rsidR="00BE2024" w:rsidRDefault="00F73F87" w:rsidP="004C7A3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analysis </w:t>
      </w:r>
      <w:r w:rsidR="00BE2024" w:rsidRPr="00BE2024">
        <w:rPr>
          <w:rFonts w:ascii="Times New Roman" w:hAnsi="Times New Roman" w:cs="Times New Roman"/>
          <w:sz w:val="24"/>
          <w:szCs w:val="24"/>
          <w:lang w:val="en-US"/>
        </w:rPr>
        <w:t>use</w:t>
      </w:r>
      <w:r w:rsidR="00BE2024">
        <w:rPr>
          <w:rFonts w:ascii="Times New Roman" w:hAnsi="Times New Roman" w:cs="Times New Roman"/>
          <w:sz w:val="24"/>
          <w:szCs w:val="24"/>
          <w:lang w:val="en-US"/>
        </w:rPr>
        <w:t>s</w:t>
      </w:r>
      <w:r w:rsidR="00BE2024" w:rsidRPr="00BE2024">
        <w:rPr>
          <w:rFonts w:ascii="Times New Roman" w:hAnsi="Times New Roman" w:cs="Times New Roman"/>
          <w:sz w:val="24"/>
          <w:szCs w:val="24"/>
          <w:lang w:val="en-US"/>
        </w:rPr>
        <w:t xml:space="preserve"> </w:t>
      </w:r>
      <w:r w:rsidR="004C7A35" w:rsidRPr="004C7A35">
        <w:rPr>
          <w:rFonts w:ascii="Times New Roman" w:hAnsi="Times New Roman" w:cs="Times New Roman"/>
          <w:sz w:val="24"/>
          <w:szCs w:val="24"/>
          <w:lang w:val="en-US"/>
        </w:rPr>
        <w:t xml:space="preserve">final consumption expenditure, </w:t>
      </w:r>
      <w:r w:rsidR="004C7A35">
        <w:rPr>
          <w:rFonts w:ascii="Times New Roman" w:hAnsi="Times New Roman" w:cs="Times New Roman"/>
          <w:sz w:val="24"/>
          <w:szCs w:val="24"/>
          <w:lang w:val="en-US"/>
        </w:rPr>
        <w:t xml:space="preserve">measured in PPP terms, </w:t>
      </w:r>
      <w:r>
        <w:rPr>
          <w:rFonts w:ascii="Times New Roman" w:hAnsi="Times New Roman" w:cs="Times New Roman"/>
          <w:sz w:val="24"/>
          <w:szCs w:val="24"/>
          <w:lang w:val="en-US"/>
        </w:rPr>
        <w:t xml:space="preserve">which </w:t>
      </w:r>
      <w:r w:rsidR="004C7A35">
        <w:rPr>
          <w:rFonts w:ascii="Times New Roman" w:hAnsi="Times New Roman" w:cs="Times New Roman"/>
          <w:sz w:val="24"/>
          <w:szCs w:val="24"/>
          <w:lang w:val="en-US"/>
        </w:rPr>
        <w:t xml:space="preserve">includes </w:t>
      </w:r>
      <w:r w:rsidR="004C7A35" w:rsidRPr="004C7A35">
        <w:rPr>
          <w:rFonts w:ascii="Times New Roman" w:hAnsi="Times New Roman" w:cs="Times New Roman"/>
          <w:sz w:val="24"/>
          <w:szCs w:val="24"/>
          <w:lang w:val="en-US"/>
        </w:rPr>
        <w:t>durable</w:t>
      </w:r>
      <w:r w:rsidR="004C7A35">
        <w:rPr>
          <w:rFonts w:ascii="Times New Roman" w:hAnsi="Times New Roman" w:cs="Times New Roman"/>
          <w:sz w:val="24"/>
          <w:szCs w:val="24"/>
          <w:lang w:val="en-US"/>
        </w:rPr>
        <w:t xml:space="preserve"> goods</w:t>
      </w:r>
      <w:r w:rsidR="004C7A35" w:rsidRPr="004C7A35">
        <w:rPr>
          <w:rFonts w:ascii="Times New Roman" w:hAnsi="Times New Roman" w:cs="Times New Roman"/>
          <w:sz w:val="24"/>
          <w:szCs w:val="24"/>
          <w:lang w:val="en-US"/>
        </w:rPr>
        <w:t>, purchased by households</w:t>
      </w:r>
      <w:r w:rsidR="004C7A35">
        <w:rPr>
          <w:rFonts w:ascii="Times New Roman" w:hAnsi="Times New Roman" w:cs="Times New Roman"/>
          <w:sz w:val="24"/>
          <w:szCs w:val="24"/>
          <w:lang w:val="en-US"/>
        </w:rPr>
        <w:t>, and services</w:t>
      </w:r>
      <w:r w:rsidR="004C7A35" w:rsidRPr="004C7A35">
        <w:rPr>
          <w:rFonts w:ascii="Times New Roman" w:hAnsi="Times New Roman" w:cs="Times New Roman"/>
          <w:sz w:val="24"/>
          <w:szCs w:val="24"/>
          <w:lang w:val="en-US"/>
        </w:rPr>
        <w:t>. It also includes payments and fees to governments to obtain permits and licenses</w:t>
      </w:r>
      <w:r w:rsidR="004C7A35">
        <w:rPr>
          <w:rFonts w:ascii="Times New Roman" w:hAnsi="Times New Roman" w:cs="Times New Roman"/>
          <w:sz w:val="24"/>
          <w:szCs w:val="24"/>
          <w:lang w:val="en-US"/>
        </w:rPr>
        <w:t>. Data</w:t>
      </w:r>
      <w:r w:rsidR="005C5DA6">
        <w:rPr>
          <w:rFonts w:ascii="Times New Roman" w:hAnsi="Times New Roman" w:cs="Times New Roman"/>
          <w:sz w:val="24"/>
          <w:szCs w:val="24"/>
          <w:lang w:val="en-US"/>
        </w:rPr>
        <w:t xml:space="preserve"> are</w:t>
      </w:r>
      <w:r w:rsidR="00152108">
        <w:rPr>
          <w:rFonts w:ascii="Times New Roman" w:hAnsi="Times New Roman" w:cs="Times New Roman"/>
          <w:sz w:val="24"/>
          <w:szCs w:val="24"/>
          <w:lang w:val="en-US"/>
        </w:rPr>
        <w:t xml:space="preserve"> on a quarterly basis</w:t>
      </w:r>
      <w:r w:rsidR="005C5DA6">
        <w:rPr>
          <w:rFonts w:ascii="Times New Roman" w:hAnsi="Times New Roman" w:cs="Times New Roman"/>
          <w:sz w:val="24"/>
          <w:szCs w:val="24"/>
          <w:lang w:val="en-US"/>
        </w:rPr>
        <w:t xml:space="preserve"> and are</w:t>
      </w:r>
      <w:r w:rsidR="004C7A35">
        <w:rPr>
          <w:rFonts w:ascii="Times New Roman" w:hAnsi="Times New Roman" w:cs="Times New Roman"/>
          <w:sz w:val="24"/>
          <w:szCs w:val="24"/>
          <w:lang w:val="en-US"/>
        </w:rPr>
        <w:t xml:space="preserve"> sourced from </w:t>
      </w:r>
      <w:proofErr w:type="spellStart"/>
      <w:r w:rsidR="004C7A35">
        <w:rPr>
          <w:rFonts w:ascii="Times New Roman" w:hAnsi="Times New Roman" w:cs="Times New Roman"/>
          <w:sz w:val="24"/>
          <w:szCs w:val="24"/>
          <w:lang w:val="en-US"/>
        </w:rPr>
        <w:t>Datastream</w:t>
      </w:r>
      <w:proofErr w:type="spellEnd"/>
      <w:r w:rsidR="004C7A35">
        <w:rPr>
          <w:rFonts w:ascii="Times New Roman" w:hAnsi="Times New Roman" w:cs="Times New Roman"/>
          <w:sz w:val="24"/>
          <w:szCs w:val="24"/>
          <w:lang w:val="en-US"/>
        </w:rPr>
        <w:t>.</w:t>
      </w:r>
      <w:r w:rsidR="004C7A35" w:rsidRPr="004C7A35">
        <w:rPr>
          <w:rFonts w:ascii="Times New Roman" w:hAnsi="Times New Roman" w:cs="Times New Roman"/>
          <w:sz w:val="24"/>
          <w:szCs w:val="24"/>
          <w:lang w:val="en-US"/>
        </w:rPr>
        <w:t xml:space="preserve"> </w:t>
      </w:r>
      <w:r w:rsidR="00340BDD" w:rsidRPr="00340BDD">
        <w:rPr>
          <w:rFonts w:ascii="Times New Roman" w:hAnsi="Times New Roman" w:cs="Times New Roman"/>
          <w:sz w:val="24"/>
          <w:szCs w:val="24"/>
          <w:lang w:val="en-US"/>
        </w:rPr>
        <w:t>Disposable income remains at the core of the determinants behind consumption.</w:t>
      </w:r>
      <w:r w:rsidR="00340BDD">
        <w:rPr>
          <w:rFonts w:ascii="Times New Roman" w:hAnsi="Times New Roman" w:cs="Times New Roman"/>
          <w:sz w:val="24"/>
          <w:szCs w:val="24"/>
          <w:lang w:val="en-US"/>
        </w:rPr>
        <w:t xml:space="preserve"> Such i</w:t>
      </w:r>
      <w:r w:rsidR="004C7A35" w:rsidRPr="004C7A35">
        <w:rPr>
          <w:rFonts w:ascii="Times New Roman" w:hAnsi="Times New Roman" w:cs="Times New Roman"/>
          <w:sz w:val="24"/>
          <w:szCs w:val="24"/>
          <w:lang w:val="en-US"/>
        </w:rPr>
        <w:t xml:space="preserve">ncome </w:t>
      </w:r>
      <w:r>
        <w:rPr>
          <w:rFonts w:ascii="Times New Roman" w:hAnsi="Times New Roman" w:cs="Times New Roman"/>
          <w:sz w:val="24"/>
          <w:szCs w:val="24"/>
          <w:lang w:val="en-US"/>
        </w:rPr>
        <w:t>i</w:t>
      </w:r>
      <w:r w:rsidR="004C7A35" w:rsidRPr="004C7A35">
        <w:rPr>
          <w:rFonts w:ascii="Times New Roman" w:hAnsi="Times New Roman" w:cs="Times New Roman"/>
          <w:sz w:val="24"/>
          <w:szCs w:val="24"/>
          <w:lang w:val="en-US"/>
        </w:rPr>
        <w:t xml:space="preserve">s measured by </w:t>
      </w:r>
      <w:r w:rsidR="00340BDD">
        <w:rPr>
          <w:rFonts w:ascii="Times New Roman" w:hAnsi="Times New Roman" w:cs="Times New Roman"/>
          <w:sz w:val="24"/>
          <w:szCs w:val="24"/>
          <w:lang w:val="en-US"/>
        </w:rPr>
        <w:t xml:space="preserve">the net </w:t>
      </w:r>
      <w:r w:rsidR="00340BDD">
        <w:rPr>
          <w:rFonts w:ascii="Times New Roman" w:hAnsi="Times New Roman" w:cs="Times New Roman"/>
          <w:sz w:val="24"/>
          <w:szCs w:val="24"/>
          <w:lang w:val="en-US"/>
        </w:rPr>
        <w:lastRenderedPageBreak/>
        <w:t>sum of wages and salaries</w:t>
      </w:r>
      <w:r w:rsidR="004C7A35">
        <w:rPr>
          <w:rFonts w:ascii="Times New Roman" w:hAnsi="Times New Roman" w:cs="Times New Roman"/>
          <w:sz w:val="24"/>
          <w:szCs w:val="24"/>
          <w:lang w:val="en-US"/>
        </w:rPr>
        <w:t>, again in PPP terms</w:t>
      </w:r>
      <w:r w:rsidR="004C7A35" w:rsidRPr="004C7A35">
        <w:rPr>
          <w:rFonts w:ascii="Times New Roman" w:hAnsi="Times New Roman" w:cs="Times New Roman"/>
          <w:sz w:val="24"/>
          <w:szCs w:val="24"/>
          <w:lang w:val="en-US"/>
        </w:rPr>
        <w:t>.</w:t>
      </w:r>
      <w:r w:rsidR="004C7A35">
        <w:rPr>
          <w:rFonts w:ascii="Times New Roman" w:hAnsi="Times New Roman" w:cs="Times New Roman"/>
          <w:sz w:val="24"/>
          <w:szCs w:val="24"/>
          <w:lang w:val="en-US"/>
        </w:rPr>
        <w:t xml:space="preserve"> </w:t>
      </w:r>
      <w:r w:rsidR="005C5DA6">
        <w:rPr>
          <w:rFonts w:ascii="Times New Roman" w:hAnsi="Times New Roman" w:cs="Times New Roman"/>
          <w:sz w:val="24"/>
          <w:szCs w:val="24"/>
          <w:lang w:val="en-US"/>
        </w:rPr>
        <w:t xml:space="preserve">Both consumption and income are expressed in real terms (constant 2005 prices). </w:t>
      </w:r>
      <w:r w:rsidR="00BE2024" w:rsidRPr="00BE2024">
        <w:rPr>
          <w:rFonts w:ascii="Times New Roman" w:hAnsi="Times New Roman" w:cs="Times New Roman"/>
          <w:sz w:val="24"/>
          <w:szCs w:val="24"/>
          <w:lang w:val="en-US"/>
        </w:rPr>
        <w:t>Stock and house price indices are used as prox</w:t>
      </w:r>
      <w:r>
        <w:rPr>
          <w:rFonts w:ascii="Times New Roman" w:hAnsi="Times New Roman" w:cs="Times New Roman"/>
          <w:sz w:val="24"/>
          <w:szCs w:val="24"/>
          <w:lang w:val="en-US"/>
        </w:rPr>
        <w:t>ies</w:t>
      </w:r>
      <w:r w:rsidR="00BE2024" w:rsidRPr="00BE2024">
        <w:rPr>
          <w:rFonts w:ascii="Times New Roman" w:hAnsi="Times New Roman" w:cs="Times New Roman"/>
          <w:sz w:val="24"/>
          <w:szCs w:val="24"/>
          <w:lang w:val="en-US"/>
        </w:rPr>
        <w:t xml:space="preserve"> for financial and housing wealth,</w:t>
      </w:r>
      <w:r w:rsidR="00BE2024">
        <w:rPr>
          <w:rFonts w:ascii="Times New Roman" w:hAnsi="Times New Roman" w:cs="Times New Roman"/>
          <w:sz w:val="24"/>
          <w:szCs w:val="24"/>
          <w:lang w:val="en-US"/>
        </w:rPr>
        <w:t xml:space="preserve"> respectively, with data for housing indices being available from the FRB of Dallas</w:t>
      </w:r>
      <w:r w:rsidR="00152108">
        <w:rPr>
          <w:rFonts w:ascii="Times New Roman" w:hAnsi="Times New Roman" w:cs="Times New Roman"/>
          <w:sz w:val="24"/>
          <w:szCs w:val="24"/>
          <w:lang w:val="en-US"/>
        </w:rPr>
        <w:t xml:space="preserve">, while those for stock prices from </w:t>
      </w:r>
      <w:proofErr w:type="spellStart"/>
      <w:r w:rsidR="00152108">
        <w:rPr>
          <w:rFonts w:ascii="Times New Roman" w:hAnsi="Times New Roman" w:cs="Times New Roman"/>
          <w:sz w:val="24"/>
          <w:szCs w:val="24"/>
          <w:lang w:val="en-US"/>
        </w:rPr>
        <w:t>Datastream</w:t>
      </w:r>
      <w:proofErr w:type="spellEnd"/>
      <w:r w:rsidR="00BE2024">
        <w:rPr>
          <w:rFonts w:ascii="Times New Roman" w:hAnsi="Times New Roman" w:cs="Times New Roman"/>
          <w:sz w:val="24"/>
          <w:szCs w:val="24"/>
          <w:lang w:val="en-US"/>
        </w:rPr>
        <w:t xml:space="preserve">. </w:t>
      </w:r>
      <w:r w:rsidR="00BF25FC">
        <w:rPr>
          <w:rFonts w:ascii="Times New Roman" w:hAnsi="Times New Roman" w:cs="Times New Roman"/>
          <w:sz w:val="24"/>
          <w:szCs w:val="24"/>
          <w:lang w:val="en-US"/>
        </w:rPr>
        <w:t>T</w:t>
      </w:r>
      <w:r w:rsidR="00BF25FC" w:rsidRPr="00BF25FC">
        <w:rPr>
          <w:rFonts w:ascii="Times New Roman" w:hAnsi="Times New Roman" w:cs="Times New Roman"/>
          <w:sz w:val="24"/>
          <w:szCs w:val="24"/>
          <w:lang w:val="en-US"/>
        </w:rPr>
        <w:t xml:space="preserve">he </w:t>
      </w:r>
      <w:r w:rsidR="00BF25FC">
        <w:rPr>
          <w:rFonts w:ascii="Times New Roman" w:hAnsi="Times New Roman" w:cs="Times New Roman"/>
          <w:sz w:val="24"/>
          <w:szCs w:val="24"/>
          <w:lang w:val="en-US"/>
        </w:rPr>
        <w:t xml:space="preserve">stock and housing indices </w:t>
      </w:r>
      <w:r w:rsidR="00BF25FC" w:rsidRPr="00BF25FC">
        <w:rPr>
          <w:rFonts w:ascii="Times New Roman" w:hAnsi="Times New Roman" w:cs="Times New Roman"/>
          <w:sz w:val="24"/>
          <w:szCs w:val="24"/>
          <w:lang w:val="en-US"/>
        </w:rPr>
        <w:t>are de</w:t>
      </w:r>
      <w:r w:rsidR="00BF25FC">
        <w:rPr>
          <w:rFonts w:ascii="Times New Roman" w:hAnsi="Times New Roman" w:cs="Times New Roman"/>
          <w:sz w:val="24"/>
          <w:szCs w:val="24"/>
          <w:lang w:val="en-US"/>
        </w:rPr>
        <w:t>fl</w:t>
      </w:r>
      <w:r w:rsidR="00BF25FC" w:rsidRPr="00BF25FC">
        <w:rPr>
          <w:rFonts w:ascii="Times New Roman" w:hAnsi="Times New Roman" w:cs="Times New Roman"/>
          <w:sz w:val="24"/>
          <w:szCs w:val="24"/>
          <w:lang w:val="en-US"/>
        </w:rPr>
        <w:t xml:space="preserve">ated using the </w:t>
      </w:r>
      <w:r w:rsidR="005C5DA6">
        <w:rPr>
          <w:rFonts w:ascii="Times New Roman" w:hAnsi="Times New Roman" w:cs="Times New Roman"/>
          <w:sz w:val="24"/>
          <w:szCs w:val="24"/>
          <w:lang w:val="en-US"/>
        </w:rPr>
        <w:t>GDP deflator</w:t>
      </w:r>
      <w:r w:rsidR="00BF25FC" w:rsidRPr="00BF25FC">
        <w:rPr>
          <w:rFonts w:ascii="Times New Roman" w:hAnsi="Times New Roman" w:cs="Times New Roman"/>
          <w:sz w:val="24"/>
          <w:szCs w:val="24"/>
          <w:lang w:val="en-US"/>
        </w:rPr>
        <w:t xml:space="preserve"> index. </w:t>
      </w:r>
      <w:r w:rsidR="005C5DA6">
        <w:rPr>
          <w:rFonts w:ascii="Times New Roman" w:hAnsi="Times New Roman" w:cs="Times New Roman"/>
          <w:sz w:val="24"/>
          <w:szCs w:val="24"/>
          <w:lang w:val="en-US"/>
        </w:rPr>
        <w:t>Finally, a</w:t>
      </w:r>
      <w:r w:rsidR="00BE2024" w:rsidRPr="00BE2024">
        <w:rPr>
          <w:rFonts w:ascii="Times New Roman" w:hAnsi="Times New Roman" w:cs="Times New Roman"/>
          <w:sz w:val="24"/>
          <w:szCs w:val="24"/>
          <w:lang w:val="en-US"/>
        </w:rPr>
        <w:t xml:space="preserve">ll data are </w:t>
      </w:r>
      <w:r w:rsidR="00BE2024">
        <w:rPr>
          <w:rFonts w:ascii="Times New Roman" w:hAnsi="Times New Roman" w:cs="Times New Roman"/>
          <w:sz w:val="24"/>
          <w:szCs w:val="24"/>
          <w:lang w:val="en-US"/>
        </w:rPr>
        <w:t xml:space="preserve">expressed </w:t>
      </w:r>
      <w:r w:rsidR="00BE2024" w:rsidRPr="00BE2024">
        <w:rPr>
          <w:rFonts w:ascii="Times New Roman" w:hAnsi="Times New Roman" w:cs="Times New Roman"/>
          <w:sz w:val="24"/>
          <w:szCs w:val="24"/>
          <w:lang w:val="en-US"/>
        </w:rPr>
        <w:t>in log</w:t>
      </w:r>
      <w:r w:rsidR="005C5DA6">
        <w:rPr>
          <w:rFonts w:ascii="Times New Roman" w:hAnsi="Times New Roman" w:cs="Times New Roman"/>
          <w:sz w:val="24"/>
          <w:szCs w:val="24"/>
          <w:lang w:val="en-US"/>
        </w:rPr>
        <w:t>arithms</w:t>
      </w:r>
      <w:r w:rsidR="00BE2024" w:rsidRPr="00BE2024">
        <w:rPr>
          <w:rFonts w:ascii="Times New Roman" w:hAnsi="Times New Roman" w:cs="Times New Roman"/>
          <w:sz w:val="24"/>
          <w:szCs w:val="24"/>
          <w:lang w:val="en-US"/>
        </w:rPr>
        <w:t xml:space="preserve">. </w:t>
      </w:r>
    </w:p>
    <w:p w:rsidR="00C96149" w:rsidRPr="009905BE" w:rsidRDefault="009905BE" w:rsidP="00736C3D">
      <w:pPr>
        <w:spacing w:line="480" w:lineRule="auto"/>
        <w:jc w:val="both"/>
        <w:rPr>
          <w:rFonts w:ascii="Times New Roman" w:hAnsi="Times New Roman" w:cs="Times New Roman"/>
          <w:sz w:val="24"/>
          <w:szCs w:val="24"/>
          <w:lang w:val="en-US"/>
        </w:rPr>
      </w:pPr>
      <w:r w:rsidRPr="009905BE">
        <w:rPr>
          <w:rFonts w:ascii="Times New Roman" w:hAnsi="Times New Roman" w:cs="Times New Roman"/>
          <w:sz w:val="24"/>
          <w:szCs w:val="24"/>
          <w:lang w:val="en-US"/>
        </w:rPr>
        <w:t>3</w:t>
      </w:r>
      <w:r w:rsidR="00720B80" w:rsidRPr="009905BE">
        <w:rPr>
          <w:rFonts w:ascii="Times New Roman" w:hAnsi="Times New Roman" w:cs="Times New Roman"/>
          <w:sz w:val="24"/>
          <w:szCs w:val="24"/>
          <w:lang w:val="en-US"/>
        </w:rPr>
        <w:t xml:space="preserve"> </w:t>
      </w:r>
      <w:r w:rsidR="00EA3D7E" w:rsidRPr="009905BE">
        <w:rPr>
          <w:rFonts w:ascii="Times New Roman" w:hAnsi="Times New Roman" w:cs="Times New Roman"/>
          <w:sz w:val="24"/>
          <w:szCs w:val="24"/>
          <w:lang w:val="en-US"/>
        </w:rPr>
        <w:t>E</w:t>
      </w:r>
      <w:r w:rsidRPr="009905BE">
        <w:rPr>
          <w:rFonts w:ascii="Times New Roman" w:hAnsi="Times New Roman" w:cs="Times New Roman"/>
          <w:sz w:val="24"/>
          <w:szCs w:val="24"/>
          <w:lang w:val="en-US"/>
        </w:rPr>
        <w:t>MPIRICAL</w:t>
      </w:r>
      <w:r w:rsidR="00736C3D" w:rsidRPr="009905BE">
        <w:rPr>
          <w:rFonts w:ascii="Times New Roman" w:hAnsi="Times New Roman" w:cs="Times New Roman"/>
          <w:sz w:val="24"/>
          <w:szCs w:val="24"/>
          <w:lang w:val="en-US"/>
        </w:rPr>
        <w:t xml:space="preserve"> </w:t>
      </w:r>
      <w:proofErr w:type="gramStart"/>
      <w:r w:rsidR="00DD6420" w:rsidRPr="009905BE">
        <w:rPr>
          <w:rFonts w:ascii="Times New Roman" w:hAnsi="Times New Roman" w:cs="Times New Roman"/>
          <w:sz w:val="24"/>
          <w:szCs w:val="24"/>
          <w:lang w:val="en-US"/>
        </w:rPr>
        <w:t>A</w:t>
      </w:r>
      <w:r w:rsidRPr="009905BE">
        <w:rPr>
          <w:rFonts w:ascii="Times New Roman" w:hAnsi="Times New Roman" w:cs="Times New Roman"/>
          <w:sz w:val="24"/>
          <w:szCs w:val="24"/>
          <w:lang w:val="en-US"/>
        </w:rPr>
        <w:t>NALYSIS</w:t>
      </w:r>
      <w:proofErr w:type="gramEnd"/>
      <w:r w:rsidR="00736C3D"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B</w:t>
      </w:r>
      <w:r w:rsidRPr="009905BE">
        <w:rPr>
          <w:rFonts w:ascii="Times New Roman" w:hAnsi="Times New Roman" w:cs="Times New Roman"/>
          <w:sz w:val="24"/>
          <w:szCs w:val="24"/>
          <w:lang w:val="en-US"/>
        </w:rPr>
        <w:t>ASELINE</w:t>
      </w:r>
      <w:r w:rsidR="00736C3D"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R</w:t>
      </w:r>
      <w:r w:rsidRPr="009905BE">
        <w:rPr>
          <w:rFonts w:ascii="Times New Roman" w:hAnsi="Times New Roman" w:cs="Times New Roman"/>
          <w:sz w:val="24"/>
          <w:szCs w:val="24"/>
          <w:lang w:val="en-US"/>
        </w:rPr>
        <w:t>ESULTS</w:t>
      </w:r>
    </w:p>
    <w:p w:rsidR="00842F9C" w:rsidRDefault="00842F9C" w:rsidP="00654F8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turning into the empirical part of the paper, it is considered as highly useful to expose the link between consu</w:t>
      </w:r>
      <w:r w:rsidR="00722120">
        <w:rPr>
          <w:rFonts w:ascii="Times New Roman" w:hAnsi="Times New Roman" w:cs="Times New Roman"/>
          <w:sz w:val="24"/>
          <w:szCs w:val="24"/>
          <w:lang w:val="en-US"/>
        </w:rPr>
        <w:t>mption expenditure and the debt-</w:t>
      </w:r>
      <w:r>
        <w:rPr>
          <w:rFonts w:ascii="Times New Roman" w:hAnsi="Times New Roman" w:cs="Times New Roman"/>
          <w:sz w:val="24"/>
          <w:szCs w:val="24"/>
          <w:lang w:val="en-US"/>
        </w:rPr>
        <w:t>service ratio through a very simple theoretical model that justifies the nexus between the two underlying variables (plus a number of other control variables that drive consumption). More specifically,</w:t>
      </w:r>
      <w:r w:rsidR="00654F8A">
        <w:rPr>
          <w:rFonts w:ascii="Times New Roman" w:hAnsi="Times New Roman" w:cs="Times New Roman"/>
          <w:sz w:val="24"/>
          <w:szCs w:val="24"/>
          <w:lang w:val="en-US"/>
        </w:rPr>
        <w:t xml:space="preserve"> this theoretical part starts with </w:t>
      </w:r>
      <w:r w:rsidR="00654F8A" w:rsidRPr="00654F8A">
        <w:rPr>
          <w:rFonts w:ascii="Times New Roman" w:hAnsi="Times New Roman" w:cs="Times New Roman"/>
          <w:sz w:val="24"/>
          <w:szCs w:val="24"/>
          <w:lang w:val="en-US"/>
        </w:rPr>
        <w:t xml:space="preserve">a standard model of the sensitivity of consumption to income changes. </w:t>
      </w:r>
      <w:r w:rsidR="00654F8A">
        <w:rPr>
          <w:rFonts w:ascii="Times New Roman" w:hAnsi="Times New Roman" w:cs="Times New Roman"/>
          <w:sz w:val="24"/>
          <w:szCs w:val="24"/>
          <w:lang w:val="en-US"/>
        </w:rPr>
        <w:t xml:space="preserve">In that sense, </w:t>
      </w:r>
      <w:r w:rsidR="00654F8A" w:rsidRPr="00654F8A">
        <w:rPr>
          <w:rFonts w:ascii="Times New Roman" w:hAnsi="Times New Roman" w:cs="Times New Roman"/>
          <w:sz w:val="24"/>
          <w:szCs w:val="24"/>
          <w:lang w:val="en-US"/>
        </w:rPr>
        <w:t>households maximize the</w:t>
      </w:r>
      <w:r w:rsidR="00654F8A">
        <w:rPr>
          <w:rFonts w:ascii="Times New Roman" w:hAnsi="Times New Roman" w:cs="Times New Roman"/>
          <w:sz w:val="24"/>
          <w:szCs w:val="24"/>
          <w:lang w:val="en-US"/>
        </w:rPr>
        <w:t>ir</w:t>
      </w:r>
      <w:r w:rsidR="00654F8A" w:rsidRPr="00654F8A">
        <w:rPr>
          <w:rFonts w:ascii="Times New Roman" w:hAnsi="Times New Roman" w:cs="Times New Roman"/>
          <w:sz w:val="24"/>
          <w:szCs w:val="24"/>
          <w:lang w:val="en-US"/>
        </w:rPr>
        <w:t xml:space="preserve"> expected discounted sum of lifetime utility</w:t>
      </w:r>
      <w:r w:rsidR="00654F8A">
        <w:rPr>
          <w:rFonts w:ascii="Times New Roman" w:hAnsi="Times New Roman" w:cs="Times New Roman"/>
          <w:sz w:val="24"/>
          <w:szCs w:val="24"/>
          <w:lang w:val="en-US"/>
        </w:rPr>
        <w:t>:</w:t>
      </w:r>
    </w:p>
    <w:p w:rsidR="00654F8A" w:rsidRDefault="00654F8A" w:rsidP="00654F8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654F8A" w:rsidRPr="00654F8A" w:rsidRDefault="00654F8A" w:rsidP="00654F8A">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max</w:t>
      </w:r>
      <w:proofErr w:type="gramEnd"/>
      <w:r>
        <w:rPr>
          <w:rFonts w:ascii="Times New Roman" w:hAnsi="Times New Roman" w:cs="Times New Roman"/>
          <w:sz w:val="24"/>
          <w:szCs w:val="24"/>
          <w:lang w:val="en-US"/>
        </w:rPr>
        <w:t xml:space="preserve"> E </w:t>
      </w:r>
      <w:r w:rsidRPr="00654F8A">
        <w:rPr>
          <w:rFonts w:ascii="Times New Roman" w:hAnsi="Times New Roman" w:cs="Times New Roman"/>
          <w:sz w:val="40"/>
          <w:szCs w:val="40"/>
        </w:rPr>
        <w:t>Σ</w:t>
      </w:r>
      <w:r>
        <w:rPr>
          <w:rFonts w:ascii="Times New Roman" w:hAnsi="Times New Roman" w:cs="Times New Roman"/>
          <w:sz w:val="24"/>
          <w:szCs w:val="24"/>
          <w:lang w:val="en-US"/>
        </w:rPr>
        <w:t xml:space="preserve"> </w:t>
      </w:r>
      <w:r>
        <w:rPr>
          <w:rFonts w:ascii="Times New Roman" w:hAnsi="Times New Roman" w:cs="Times New Roman"/>
          <w:sz w:val="24"/>
          <w:szCs w:val="24"/>
        </w:rPr>
        <w:t>β</w:t>
      </w:r>
      <w:r w:rsidRPr="00654F8A">
        <w:rPr>
          <w:rFonts w:ascii="Times New Roman" w:hAnsi="Times New Roman" w:cs="Times New Roman"/>
          <w:sz w:val="24"/>
          <w:szCs w:val="24"/>
          <w:vertAlign w:val="superscript"/>
          <w:lang w:val="en-US"/>
        </w:rPr>
        <w:t>t</w:t>
      </w:r>
      <w:r>
        <w:rPr>
          <w:rFonts w:ascii="Times New Roman" w:hAnsi="Times New Roman" w:cs="Times New Roman"/>
          <w:sz w:val="24"/>
          <w:szCs w:val="24"/>
          <w:lang w:val="en-US"/>
        </w:rPr>
        <w:t xml:space="preserve"> U(C</w:t>
      </w:r>
      <w:r w:rsidRPr="00654F8A">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w:t>
      </w:r>
      <w:r>
        <w:rPr>
          <w:rFonts w:ascii="Times New Roman" w:hAnsi="Times New Roman" w:cs="Times New Roman"/>
          <w:sz w:val="24"/>
          <w:szCs w:val="24"/>
        </w:rPr>
        <w:t>θ</w:t>
      </w:r>
      <w:r w:rsidRPr="00654F8A">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w:t>
      </w:r>
      <w:r w:rsidR="00121AAF">
        <w:rPr>
          <w:rFonts w:ascii="Times New Roman" w:hAnsi="Times New Roman" w:cs="Times New Roman"/>
          <w:sz w:val="24"/>
          <w:szCs w:val="24"/>
          <w:lang w:val="en-US"/>
        </w:rPr>
        <w:t xml:space="preserve"> </w:t>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t>(1)</w:t>
      </w:r>
    </w:p>
    <w:p w:rsidR="00654F8A" w:rsidRDefault="00654F8A" w:rsidP="00654F8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t=0</w:t>
      </w:r>
    </w:p>
    <w:p w:rsidR="00654F8A" w:rsidRDefault="00654F8A" w:rsidP="00654F8A">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subject</w:t>
      </w:r>
      <w:proofErr w:type="gramEnd"/>
      <w:r>
        <w:rPr>
          <w:rFonts w:ascii="Times New Roman" w:hAnsi="Times New Roman" w:cs="Times New Roman"/>
          <w:sz w:val="24"/>
          <w:szCs w:val="24"/>
          <w:lang w:val="en-US"/>
        </w:rPr>
        <w:t xml:space="preserve"> to an income constraints:</w:t>
      </w:r>
    </w:p>
    <w:p w:rsidR="00654F8A" w:rsidRPr="00121AAF" w:rsidRDefault="00654F8A" w:rsidP="00654F8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7D2188">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A</w:t>
      </w:r>
      <w:r w:rsidRPr="007D2188">
        <w:rPr>
          <w:rFonts w:ascii="Times New Roman" w:hAnsi="Times New Roman" w:cs="Times New Roman"/>
          <w:sz w:val="24"/>
          <w:szCs w:val="24"/>
          <w:vertAlign w:val="subscript"/>
          <w:lang w:val="en-US"/>
        </w:rPr>
        <w:t>t</w:t>
      </w:r>
      <w:r w:rsidR="007D218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7D2188">
        <w:rPr>
          <w:rFonts w:ascii="Times New Roman" w:hAnsi="Times New Roman" w:cs="Times New Roman"/>
          <w:sz w:val="24"/>
          <w:szCs w:val="24"/>
          <w:lang w:val="en-US"/>
        </w:rPr>
        <w:t>1+</w:t>
      </w:r>
      <w:proofErr w:type="gramStart"/>
      <w:r w:rsidR="007D2188">
        <w:rPr>
          <w:rFonts w:ascii="Times New Roman" w:hAnsi="Times New Roman" w:cs="Times New Roman"/>
          <w:sz w:val="24"/>
          <w:szCs w:val="24"/>
          <w:lang w:val="en-US"/>
        </w:rPr>
        <w:t>r</w:t>
      </w:r>
      <w:r w:rsidR="00F73F87" w:rsidRPr="00F73F87">
        <w:rPr>
          <w:rFonts w:ascii="Times New Roman" w:hAnsi="Times New Roman" w:cs="Times New Roman"/>
          <w:sz w:val="24"/>
          <w:szCs w:val="24"/>
          <w:vertAlign w:val="subscript"/>
          <w:lang w:val="en-US"/>
        </w:rPr>
        <w:t>t</w:t>
      </w:r>
      <w:proofErr w:type="gramEnd"/>
      <w:r w:rsidR="007D2188">
        <w:rPr>
          <w:rFonts w:ascii="Times New Roman" w:hAnsi="Times New Roman" w:cs="Times New Roman"/>
          <w:sz w:val="24"/>
          <w:szCs w:val="24"/>
          <w:lang w:val="en-US"/>
        </w:rPr>
        <w:t xml:space="preserve">) + </w:t>
      </w:r>
      <w:proofErr w:type="spellStart"/>
      <w:r w:rsidR="007D2188">
        <w:rPr>
          <w:rFonts w:ascii="Times New Roman" w:hAnsi="Times New Roman" w:cs="Times New Roman"/>
          <w:sz w:val="24"/>
          <w:szCs w:val="24"/>
          <w:lang w:val="en-US"/>
        </w:rPr>
        <w:t>Y</w:t>
      </w:r>
      <w:r w:rsidR="007D2188" w:rsidRPr="007D2188">
        <w:rPr>
          <w:rFonts w:ascii="Times New Roman" w:hAnsi="Times New Roman" w:cs="Times New Roman"/>
          <w:sz w:val="24"/>
          <w:szCs w:val="24"/>
          <w:vertAlign w:val="subscript"/>
          <w:lang w:val="en-US"/>
        </w:rPr>
        <w:t>t</w:t>
      </w:r>
      <w:proofErr w:type="spellEnd"/>
      <w:r w:rsidR="007D2188">
        <w:rPr>
          <w:rFonts w:ascii="Times New Roman" w:hAnsi="Times New Roman" w:cs="Times New Roman"/>
          <w:sz w:val="24"/>
          <w:szCs w:val="24"/>
          <w:lang w:val="en-US"/>
        </w:rPr>
        <w:t xml:space="preserve"> – C</w:t>
      </w:r>
      <w:r w:rsidR="007D2188" w:rsidRPr="007D2188">
        <w:rPr>
          <w:rFonts w:ascii="Times New Roman" w:hAnsi="Times New Roman" w:cs="Times New Roman"/>
          <w:sz w:val="24"/>
          <w:szCs w:val="24"/>
          <w:vertAlign w:val="subscript"/>
          <w:lang w:val="en-US"/>
        </w:rPr>
        <w:t>t</w:t>
      </w:r>
      <w:r w:rsidR="00121AAF">
        <w:rPr>
          <w:rFonts w:ascii="Times New Roman" w:hAnsi="Times New Roman" w:cs="Times New Roman"/>
          <w:sz w:val="24"/>
          <w:szCs w:val="24"/>
          <w:lang w:val="en-US"/>
        </w:rPr>
        <w:t xml:space="preserve"> </w:t>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t>(2)</w:t>
      </w:r>
    </w:p>
    <w:p w:rsidR="007D2188" w:rsidRDefault="007D2188" w:rsidP="00654F8A">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-∞&lt;A</w:t>
      </w:r>
      <w:r w:rsidRPr="007D2188">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&lt;∞</w:t>
      </w:r>
    </w:p>
    <w:p w:rsidR="00654F8A" w:rsidRDefault="00FF4393" w:rsidP="007D2188">
      <w:pPr>
        <w:spacing w:line="480" w:lineRule="auto"/>
        <w:jc w:val="both"/>
        <w:rPr>
          <w:rFonts w:ascii="Times New Roman" w:hAnsi="Times New Roman" w:cs="Times New Roman"/>
          <w:sz w:val="24"/>
          <w:szCs w:val="24"/>
          <w:lang w:val="en-US"/>
        </w:rPr>
      </w:pPr>
      <w:proofErr w:type="gramStart"/>
      <w:r w:rsidRPr="00FF4393">
        <w:rPr>
          <w:rFonts w:ascii="Times New Roman" w:hAnsi="Times New Roman" w:cs="Times New Roman"/>
          <w:sz w:val="24"/>
          <w:szCs w:val="24"/>
          <w:lang w:val="en-US"/>
        </w:rPr>
        <w:t>and</w:t>
      </w:r>
      <w:proofErr w:type="gramEnd"/>
      <w:r w:rsidRPr="00FF4393">
        <w:rPr>
          <w:rFonts w:ascii="Times New Roman" w:hAnsi="Times New Roman" w:cs="Times New Roman"/>
          <w:sz w:val="24"/>
          <w:szCs w:val="24"/>
          <w:lang w:val="en-US"/>
        </w:rPr>
        <w:t xml:space="preserve"> a </w:t>
      </w:r>
      <w:proofErr w:type="spellStart"/>
      <w:r w:rsidRPr="00FF4393">
        <w:rPr>
          <w:rFonts w:ascii="Times New Roman" w:hAnsi="Times New Roman" w:cs="Times New Roman"/>
          <w:sz w:val="24"/>
          <w:szCs w:val="24"/>
          <w:lang w:val="en-US"/>
        </w:rPr>
        <w:t>transversality</w:t>
      </w:r>
      <w:proofErr w:type="spellEnd"/>
      <w:r w:rsidRPr="00FF4393">
        <w:rPr>
          <w:rFonts w:ascii="Times New Roman" w:hAnsi="Times New Roman" w:cs="Times New Roman"/>
          <w:sz w:val="24"/>
          <w:szCs w:val="24"/>
          <w:lang w:val="en-US"/>
        </w:rPr>
        <w:t xml:space="preserve"> condition</w:t>
      </w:r>
      <w:r>
        <w:rPr>
          <w:rFonts w:ascii="Times New Roman" w:hAnsi="Times New Roman" w:cs="Times New Roman"/>
          <w:sz w:val="24"/>
          <w:szCs w:val="24"/>
          <w:lang w:val="en-US"/>
        </w:rPr>
        <w:t>:</w:t>
      </w:r>
    </w:p>
    <w:p w:rsidR="00FF4393" w:rsidRDefault="00FF4393" w:rsidP="00FF439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limA</w:t>
      </w:r>
      <w:r w:rsidRPr="00FF4393">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≥0</w:t>
      </w:r>
    </w:p>
    <w:p w:rsidR="00FF4393" w:rsidRDefault="00FF4393" w:rsidP="00FF439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p>
    <w:p w:rsidR="00FF4393" w:rsidRDefault="00FF4393" w:rsidP="00FF4393">
      <w:pPr>
        <w:spacing w:line="480" w:lineRule="auto"/>
        <w:jc w:val="both"/>
        <w:rPr>
          <w:rFonts w:ascii="Times New Roman" w:hAnsi="Times New Roman" w:cs="Times New Roman"/>
          <w:sz w:val="24"/>
          <w:szCs w:val="24"/>
          <w:lang w:val="en-US"/>
        </w:rPr>
      </w:pPr>
      <w:r w:rsidRPr="00FF4393">
        <w:rPr>
          <w:rFonts w:ascii="Times New Roman" w:hAnsi="Times New Roman" w:cs="Times New Roman"/>
          <w:sz w:val="24"/>
          <w:szCs w:val="24"/>
          <w:lang w:val="en-US"/>
        </w:rPr>
        <w:lastRenderedPageBreak/>
        <w:t xml:space="preserve">where </w:t>
      </w:r>
      <w:r>
        <w:rPr>
          <w:rFonts w:ascii="Times New Roman" w:hAnsi="Times New Roman" w:cs="Times New Roman"/>
          <w:sz w:val="24"/>
          <w:szCs w:val="24"/>
        </w:rPr>
        <w:t>β</w:t>
      </w:r>
      <w:r w:rsidRPr="00FF4393">
        <w:rPr>
          <w:rFonts w:ascii="Times New Roman" w:hAnsi="Times New Roman" w:cs="Times New Roman"/>
          <w:sz w:val="24"/>
          <w:szCs w:val="24"/>
          <w:lang w:val="en-US"/>
        </w:rPr>
        <w:t>&lt;1 is the discount factor, C</w:t>
      </w:r>
      <w:r w:rsidRPr="00FF4393">
        <w:rPr>
          <w:rFonts w:ascii="Times New Roman" w:hAnsi="Times New Roman" w:cs="Times New Roman"/>
          <w:sz w:val="24"/>
          <w:szCs w:val="24"/>
          <w:vertAlign w:val="subscript"/>
          <w:lang w:val="en-US"/>
        </w:rPr>
        <w:t>t</w:t>
      </w:r>
      <w:r w:rsidRPr="00FF4393">
        <w:rPr>
          <w:rFonts w:ascii="Times New Roman" w:hAnsi="Times New Roman" w:cs="Times New Roman"/>
          <w:sz w:val="24"/>
          <w:szCs w:val="24"/>
          <w:lang w:val="en-US"/>
        </w:rPr>
        <w:t xml:space="preserve"> is period t consumption, </w:t>
      </w:r>
      <w:proofErr w:type="spellStart"/>
      <w:r w:rsidRPr="00FF4393">
        <w:rPr>
          <w:rFonts w:ascii="Times New Roman" w:hAnsi="Times New Roman" w:cs="Times New Roman"/>
          <w:sz w:val="24"/>
          <w:szCs w:val="24"/>
          <w:lang w:val="en-US"/>
        </w:rPr>
        <w:t>θ</w:t>
      </w:r>
      <w:r w:rsidRPr="00FF4393">
        <w:rPr>
          <w:rFonts w:ascii="Times New Roman" w:hAnsi="Times New Roman" w:cs="Times New Roman"/>
          <w:sz w:val="24"/>
          <w:szCs w:val="24"/>
          <w:vertAlign w:val="subscript"/>
          <w:lang w:val="en-US"/>
        </w:rPr>
        <w:t>t</w:t>
      </w:r>
      <w:proofErr w:type="spellEnd"/>
      <w:r w:rsidRPr="00FF4393">
        <w:rPr>
          <w:rFonts w:ascii="Times New Roman" w:hAnsi="Times New Roman" w:cs="Times New Roman"/>
          <w:sz w:val="24"/>
          <w:szCs w:val="24"/>
          <w:lang w:val="en-US"/>
        </w:rPr>
        <w:t xml:space="preserve"> is a scalar function of </w:t>
      </w:r>
      <w:r>
        <w:rPr>
          <w:rFonts w:ascii="Times New Roman" w:hAnsi="Times New Roman" w:cs="Times New Roman"/>
          <w:sz w:val="24"/>
          <w:szCs w:val="24"/>
          <w:lang w:val="en-US"/>
        </w:rPr>
        <w:t xml:space="preserve">a </w:t>
      </w:r>
      <w:r w:rsidRPr="00FF4393">
        <w:rPr>
          <w:rFonts w:ascii="Times New Roman" w:hAnsi="Times New Roman" w:cs="Times New Roman"/>
          <w:sz w:val="24"/>
          <w:szCs w:val="24"/>
          <w:lang w:val="en-US"/>
        </w:rPr>
        <w:t>household</w:t>
      </w:r>
      <w:r>
        <w:rPr>
          <w:rFonts w:ascii="Times New Roman" w:hAnsi="Times New Roman" w:cs="Times New Roman"/>
          <w:sz w:val="24"/>
          <w:szCs w:val="24"/>
          <w:lang w:val="en-US"/>
        </w:rPr>
        <w:t>’s</w:t>
      </w:r>
      <w:r w:rsidRPr="00FF4393">
        <w:rPr>
          <w:rFonts w:ascii="Times New Roman" w:hAnsi="Times New Roman" w:cs="Times New Roman"/>
          <w:sz w:val="24"/>
          <w:szCs w:val="24"/>
          <w:lang w:val="en-US"/>
        </w:rPr>
        <w:t xml:space="preserve"> </w:t>
      </w:r>
      <w:r>
        <w:rPr>
          <w:rFonts w:ascii="Times New Roman" w:hAnsi="Times New Roman" w:cs="Times New Roman"/>
          <w:sz w:val="24"/>
          <w:szCs w:val="24"/>
          <w:lang w:val="en-US"/>
        </w:rPr>
        <w:t>other consumption drivers</w:t>
      </w:r>
      <w:r w:rsidRPr="00FF4393">
        <w:rPr>
          <w:rFonts w:ascii="Times New Roman" w:hAnsi="Times New Roman" w:cs="Times New Roman"/>
          <w:sz w:val="24"/>
          <w:szCs w:val="24"/>
          <w:lang w:val="en-US"/>
        </w:rPr>
        <w:t xml:space="preserve"> vector that would affect the marginal utility</w:t>
      </w:r>
      <w:r w:rsidR="00F73F87">
        <w:rPr>
          <w:rFonts w:ascii="Times New Roman" w:hAnsi="Times New Roman" w:cs="Times New Roman"/>
          <w:sz w:val="24"/>
          <w:szCs w:val="24"/>
          <w:lang w:val="en-US"/>
        </w:rPr>
        <w:t xml:space="preserve"> (such as interest rates, housing prices and stock prices)</w:t>
      </w:r>
      <w:r w:rsidRPr="00FF4393">
        <w:rPr>
          <w:rFonts w:ascii="Times New Roman" w:hAnsi="Times New Roman" w:cs="Times New Roman"/>
          <w:sz w:val="24"/>
          <w:szCs w:val="24"/>
          <w:lang w:val="en-US"/>
        </w:rPr>
        <w:t>, A</w:t>
      </w:r>
      <w:r w:rsidRPr="00FF4393">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describes </w:t>
      </w:r>
      <w:r w:rsidRPr="00FF4393">
        <w:rPr>
          <w:rFonts w:ascii="Times New Roman" w:hAnsi="Times New Roman" w:cs="Times New Roman"/>
          <w:sz w:val="24"/>
          <w:szCs w:val="24"/>
          <w:lang w:val="en-US"/>
        </w:rPr>
        <w:t xml:space="preserve">net assets, which are negative if the household is a net borrower, and </w:t>
      </w:r>
      <w:proofErr w:type="spellStart"/>
      <w:r w:rsidRPr="00FF4393">
        <w:rPr>
          <w:rFonts w:ascii="Times New Roman" w:hAnsi="Times New Roman" w:cs="Times New Roman"/>
          <w:sz w:val="24"/>
          <w:szCs w:val="24"/>
          <w:lang w:val="en-US"/>
        </w:rPr>
        <w:t>Y</w:t>
      </w:r>
      <w:r w:rsidRPr="00FF4393">
        <w:rPr>
          <w:rFonts w:ascii="Times New Roman" w:hAnsi="Times New Roman" w:cs="Times New Roman"/>
          <w:sz w:val="24"/>
          <w:szCs w:val="24"/>
          <w:vertAlign w:val="subscript"/>
          <w:lang w:val="en-US"/>
        </w:rPr>
        <w:t>t</w:t>
      </w:r>
      <w:proofErr w:type="spellEnd"/>
      <w:r w:rsidRPr="00FF4393">
        <w:rPr>
          <w:rFonts w:ascii="Times New Roman" w:hAnsi="Times New Roman" w:cs="Times New Roman"/>
          <w:sz w:val="24"/>
          <w:szCs w:val="24"/>
          <w:lang w:val="en-US"/>
        </w:rPr>
        <w:t xml:space="preserve"> is labor income.</w:t>
      </w:r>
      <w:r>
        <w:rPr>
          <w:rFonts w:ascii="Times New Roman" w:hAnsi="Times New Roman" w:cs="Times New Roman"/>
          <w:sz w:val="24"/>
          <w:szCs w:val="24"/>
          <w:lang w:val="en-US"/>
        </w:rPr>
        <w:t xml:space="preserve"> Next, we f</w:t>
      </w:r>
      <w:r w:rsidRPr="00FF4393">
        <w:rPr>
          <w:rFonts w:ascii="Times New Roman" w:hAnsi="Times New Roman" w:cs="Times New Roman"/>
          <w:sz w:val="24"/>
          <w:szCs w:val="24"/>
          <w:lang w:val="en-US"/>
        </w:rPr>
        <w:t>urther assume that households have constant relative risk aversion preference</w:t>
      </w:r>
      <w:r>
        <w:rPr>
          <w:rFonts w:ascii="Times New Roman" w:hAnsi="Times New Roman" w:cs="Times New Roman"/>
          <w:sz w:val="24"/>
          <w:szCs w:val="24"/>
          <w:lang w:val="en-US"/>
        </w:rPr>
        <w:t xml:space="preserve">s, with the </w:t>
      </w:r>
      <w:r w:rsidRPr="00FF4393">
        <w:rPr>
          <w:rFonts w:ascii="Times New Roman" w:hAnsi="Times New Roman" w:cs="Times New Roman"/>
          <w:sz w:val="24"/>
          <w:szCs w:val="24"/>
          <w:lang w:val="en-US"/>
        </w:rPr>
        <w:t xml:space="preserve">utility function </w:t>
      </w:r>
      <w:r>
        <w:rPr>
          <w:rFonts w:ascii="Times New Roman" w:hAnsi="Times New Roman" w:cs="Times New Roman"/>
          <w:sz w:val="24"/>
          <w:szCs w:val="24"/>
          <w:lang w:val="en-US"/>
        </w:rPr>
        <w:t>being</w:t>
      </w:r>
      <w:r w:rsidRPr="00FF4393">
        <w:rPr>
          <w:rFonts w:ascii="Times New Roman" w:hAnsi="Times New Roman" w:cs="Times New Roman"/>
          <w:sz w:val="24"/>
          <w:szCs w:val="24"/>
          <w:lang w:val="en-US"/>
        </w:rPr>
        <w:t xml:space="preserve"> given </w:t>
      </w:r>
      <w:r>
        <w:rPr>
          <w:rFonts w:ascii="Times New Roman" w:hAnsi="Times New Roman" w:cs="Times New Roman"/>
          <w:sz w:val="24"/>
          <w:szCs w:val="24"/>
          <w:lang w:val="en-US"/>
        </w:rPr>
        <w:t>as:</w:t>
      </w:r>
    </w:p>
    <w:p w:rsidR="00FF4393" w:rsidRPr="00121AAF" w:rsidRDefault="001D696E" w:rsidP="00FF4393">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w:t>
      </w:r>
      <w:proofErr w:type="gramEnd"/>
      <w:r>
        <w:rPr>
          <w:rFonts w:ascii="Times New Roman" w:hAnsi="Times New Roman" w:cs="Times New Roman"/>
          <w:sz w:val="24"/>
          <w:szCs w:val="24"/>
          <w:lang w:val="en-US"/>
        </w:rPr>
        <w:t>C</w:t>
      </w:r>
      <w:r w:rsidRPr="001D696E">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w:t>
      </w:r>
      <w:r>
        <w:rPr>
          <w:rFonts w:ascii="Times New Roman" w:hAnsi="Times New Roman" w:cs="Times New Roman"/>
          <w:sz w:val="24"/>
          <w:szCs w:val="24"/>
        </w:rPr>
        <w:t>θ</w:t>
      </w:r>
      <w:r w:rsidRPr="001D696E">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 C</w:t>
      </w:r>
      <w:r w:rsidRPr="001D696E">
        <w:rPr>
          <w:rFonts w:ascii="Times New Roman" w:hAnsi="Times New Roman" w:cs="Times New Roman"/>
          <w:sz w:val="24"/>
          <w:szCs w:val="24"/>
          <w:vertAlign w:val="subscript"/>
          <w:lang w:val="en-US"/>
        </w:rPr>
        <w:t>t</w:t>
      </w:r>
      <w:r w:rsidRPr="001D696E">
        <w:rPr>
          <w:rFonts w:ascii="Times New Roman" w:hAnsi="Times New Roman" w:cs="Times New Roman"/>
          <w:sz w:val="24"/>
          <w:szCs w:val="24"/>
          <w:vertAlign w:val="superscript"/>
          <w:lang w:val="en-US"/>
        </w:rPr>
        <w:t>(1-</w:t>
      </w:r>
      <w:r w:rsidRPr="001D696E">
        <w:rPr>
          <w:rFonts w:ascii="Times New Roman" w:hAnsi="Times New Roman" w:cs="Times New Roman"/>
          <w:sz w:val="24"/>
          <w:szCs w:val="24"/>
          <w:vertAlign w:val="superscript"/>
        </w:rPr>
        <w:t>ρ)</w:t>
      </w:r>
      <w:r>
        <w:rPr>
          <w:rFonts w:ascii="Times New Roman" w:hAnsi="Times New Roman" w:cs="Times New Roman"/>
          <w:sz w:val="24"/>
          <w:szCs w:val="24"/>
        </w:rPr>
        <w:t xml:space="preserve"> / (1-ρ) </w:t>
      </w:r>
      <w:r>
        <w:rPr>
          <w:rFonts w:ascii="Times New Roman" w:hAnsi="Times New Roman" w:cs="Times New Roman"/>
          <w:sz w:val="24"/>
          <w:szCs w:val="24"/>
          <w:lang w:val="en-US"/>
        </w:rPr>
        <w:t>x e</w:t>
      </w:r>
      <w:r w:rsidRPr="001D696E">
        <w:rPr>
          <w:rFonts w:ascii="Times New Roman" w:hAnsi="Times New Roman" w:cs="Times New Roman"/>
          <w:sz w:val="24"/>
          <w:szCs w:val="24"/>
          <w:vertAlign w:val="superscript"/>
        </w:rPr>
        <w:t>θ</w:t>
      </w:r>
      <w:r w:rsidRPr="001D696E">
        <w:rPr>
          <w:rFonts w:ascii="Times New Roman" w:hAnsi="Times New Roman" w:cs="Times New Roman"/>
          <w:sz w:val="24"/>
          <w:szCs w:val="24"/>
          <w:vertAlign w:val="superscript"/>
          <w:lang w:val="en-US"/>
        </w:rPr>
        <w:t>t</w:t>
      </w:r>
      <w:r w:rsidR="00121AAF">
        <w:rPr>
          <w:rFonts w:ascii="Times New Roman" w:hAnsi="Times New Roman" w:cs="Times New Roman"/>
          <w:sz w:val="24"/>
          <w:szCs w:val="24"/>
          <w:lang w:val="en-US"/>
        </w:rPr>
        <w:t xml:space="preserve"> </w:t>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t>(3)</w:t>
      </w:r>
    </w:p>
    <w:p w:rsidR="001D696E" w:rsidRDefault="001D696E" w:rsidP="001D696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Under</w:t>
      </w:r>
      <w:r w:rsidRPr="001D696E">
        <w:rPr>
          <w:rFonts w:ascii="Times New Roman" w:hAnsi="Times New Roman" w:cs="Times New Roman"/>
          <w:sz w:val="24"/>
          <w:szCs w:val="24"/>
          <w:lang w:val="en-US"/>
        </w:rPr>
        <w:t xml:space="preserve"> complete information and perfect financial markets, the first-order</w:t>
      </w:r>
      <w:r>
        <w:rPr>
          <w:rFonts w:ascii="Times New Roman" w:hAnsi="Times New Roman" w:cs="Times New Roman"/>
          <w:sz w:val="24"/>
          <w:szCs w:val="24"/>
          <w:lang w:val="en-US"/>
        </w:rPr>
        <w:t xml:space="preserve"> </w:t>
      </w:r>
      <w:r w:rsidRPr="001D696E">
        <w:rPr>
          <w:rFonts w:ascii="Times New Roman" w:hAnsi="Times New Roman" w:cs="Times New Roman"/>
          <w:sz w:val="24"/>
          <w:szCs w:val="24"/>
          <w:lang w:val="en-US"/>
        </w:rPr>
        <w:t xml:space="preserve">condition of households can be written as the </w:t>
      </w:r>
      <w:r>
        <w:rPr>
          <w:rFonts w:ascii="Times New Roman" w:hAnsi="Times New Roman" w:cs="Times New Roman"/>
          <w:sz w:val="24"/>
          <w:szCs w:val="24"/>
          <w:lang w:val="en-US"/>
        </w:rPr>
        <w:t xml:space="preserve">following </w:t>
      </w:r>
      <w:r w:rsidRPr="001D696E">
        <w:rPr>
          <w:rFonts w:ascii="Times New Roman" w:hAnsi="Times New Roman" w:cs="Times New Roman"/>
          <w:sz w:val="24"/>
          <w:szCs w:val="24"/>
          <w:lang w:val="en-US"/>
        </w:rPr>
        <w:t>Euler equation</w:t>
      </w:r>
      <w:r>
        <w:rPr>
          <w:rFonts w:ascii="Times New Roman" w:hAnsi="Times New Roman" w:cs="Times New Roman"/>
          <w:sz w:val="24"/>
          <w:szCs w:val="24"/>
          <w:lang w:val="en-US"/>
        </w:rPr>
        <w:t>:</w:t>
      </w:r>
    </w:p>
    <w:p w:rsidR="001D696E" w:rsidRPr="00121AAF" w:rsidRDefault="001D696E" w:rsidP="001D696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Δ</w:t>
      </w:r>
      <w:proofErr w:type="spellStart"/>
      <w:r>
        <w:rPr>
          <w:rFonts w:ascii="Times New Roman" w:hAnsi="Times New Roman" w:cs="Times New Roman"/>
          <w:sz w:val="24"/>
          <w:szCs w:val="24"/>
          <w:lang w:val="en-US"/>
        </w:rPr>
        <w:t>logC</w:t>
      </w:r>
      <w:r w:rsidRPr="001D696E">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a</w:t>
      </w:r>
      <w:r w:rsidRPr="001D696E">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a</w:t>
      </w:r>
      <w:r w:rsidRPr="001D696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Δ</w:t>
      </w:r>
      <w:r w:rsidR="006D199A">
        <w:rPr>
          <w:rFonts w:ascii="Times New Roman" w:hAnsi="Times New Roman" w:cs="Times New Roman"/>
          <w:sz w:val="24"/>
          <w:szCs w:val="24"/>
          <w:lang w:val="en-US"/>
        </w:rPr>
        <w:t>log</w:t>
      </w:r>
      <w:r>
        <w:rPr>
          <w:rFonts w:ascii="Times New Roman" w:hAnsi="Times New Roman" w:cs="Times New Roman"/>
          <w:sz w:val="24"/>
          <w:szCs w:val="24"/>
        </w:rPr>
        <w:t>θ</w:t>
      </w:r>
      <w:r w:rsidRPr="001D696E">
        <w:rPr>
          <w:rFonts w:ascii="Times New Roman" w:hAnsi="Times New Roman" w:cs="Times New Roman"/>
          <w:sz w:val="24"/>
          <w:szCs w:val="24"/>
          <w:vertAlign w:val="subscript"/>
          <w:lang w:val="en-US"/>
        </w:rPr>
        <w:t>t</w:t>
      </w:r>
      <w:r w:rsidR="00121AAF">
        <w:rPr>
          <w:rFonts w:ascii="Times New Roman" w:hAnsi="Times New Roman" w:cs="Times New Roman"/>
          <w:sz w:val="24"/>
          <w:szCs w:val="24"/>
          <w:lang w:val="en-US"/>
        </w:rPr>
        <w:t xml:space="preserve"> </w:t>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t>(4)</w:t>
      </w:r>
    </w:p>
    <w:p w:rsidR="001D696E" w:rsidRDefault="001D696E" w:rsidP="001D696E">
      <w:pPr>
        <w:spacing w:line="480" w:lineRule="auto"/>
        <w:jc w:val="both"/>
        <w:rPr>
          <w:rFonts w:ascii="Times New Roman" w:hAnsi="Times New Roman" w:cs="Times New Roman"/>
          <w:sz w:val="24"/>
          <w:szCs w:val="24"/>
        </w:rPr>
      </w:pPr>
      <w:r w:rsidRPr="001D696E">
        <w:rPr>
          <w:rFonts w:ascii="Times New Roman" w:hAnsi="Times New Roman" w:cs="Times New Roman"/>
          <w:sz w:val="24"/>
          <w:szCs w:val="24"/>
          <w:lang w:val="en-US"/>
        </w:rPr>
        <w:t>Although</w:t>
      </w:r>
      <w:r>
        <w:rPr>
          <w:rFonts w:ascii="Times New Roman" w:hAnsi="Times New Roman" w:cs="Times New Roman"/>
          <w:sz w:val="24"/>
          <w:szCs w:val="24"/>
          <w:lang w:val="en-US"/>
        </w:rPr>
        <w:t xml:space="preserve"> </w:t>
      </w:r>
      <w:r w:rsidRPr="001D696E">
        <w:rPr>
          <w:rFonts w:ascii="Times New Roman" w:hAnsi="Times New Roman" w:cs="Times New Roman"/>
          <w:sz w:val="24"/>
          <w:szCs w:val="24"/>
          <w:lang w:val="en-US"/>
        </w:rPr>
        <w:t>the</w:t>
      </w:r>
      <w:r w:rsidR="006D199A">
        <w:rPr>
          <w:rFonts w:ascii="Times New Roman" w:hAnsi="Times New Roman" w:cs="Times New Roman"/>
          <w:sz w:val="24"/>
          <w:szCs w:val="24"/>
          <w:lang w:val="en-US"/>
        </w:rPr>
        <w:t xml:space="preserve"> above condition</w:t>
      </w:r>
      <w:r w:rsidRPr="001D696E">
        <w:rPr>
          <w:rFonts w:ascii="Times New Roman" w:hAnsi="Times New Roman" w:cs="Times New Roman"/>
          <w:sz w:val="24"/>
          <w:szCs w:val="24"/>
          <w:lang w:val="en-US"/>
        </w:rPr>
        <w:t xml:space="preserve"> impl</w:t>
      </w:r>
      <w:r w:rsidR="006D199A">
        <w:rPr>
          <w:rFonts w:ascii="Times New Roman" w:hAnsi="Times New Roman" w:cs="Times New Roman"/>
          <w:sz w:val="24"/>
          <w:szCs w:val="24"/>
          <w:lang w:val="en-US"/>
        </w:rPr>
        <w:t>ies</w:t>
      </w:r>
      <w:r w:rsidRPr="001D696E">
        <w:rPr>
          <w:rFonts w:ascii="Times New Roman" w:hAnsi="Times New Roman" w:cs="Times New Roman"/>
          <w:sz w:val="24"/>
          <w:szCs w:val="24"/>
          <w:lang w:val="en-US"/>
        </w:rPr>
        <w:t xml:space="preserve"> that consumption growth is correlated only with </w:t>
      </w:r>
      <w:r w:rsidR="006D199A">
        <w:rPr>
          <w:rFonts w:ascii="Times New Roman" w:hAnsi="Times New Roman" w:cs="Times New Roman"/>
          <w:sz w:val="24"/>
          <w:szCs w:val="24"/>
          <w:lang w:val="en-US"/>
        </w:rPr>
        <w:t>the changes of the other drivers of consumption</w:t>
      </w:r>
      <w:r w:rsidRPr="001D696E">
        <w:rPr>
          <w:rFonts w:ascii="Times New Roman" w:hAnsi="Times New Roman" w:cs="Times New Roman"/>
          <w:sz w:val="24"/>
          <w:szCs w:val="24"/>
          <w:lang w:val="en-US"/>
        </w:rPr>
        <w:t xml:space="preserve"> and not with income growth, econometricians have typically studied the model</w:t>
      </w:r>
      <w:r w:rsidR="006D199A">
        <w:rPr>
          <w:rFonts w:ascii="Times New Roman" w:hAnsi="Times New Roman" w:cs="Times New Roman"/>
          <w:sz w:val="24"/>
          <w:szCs w:val="24"/>
          <w:lang w:val="en-US"/>
        </w:rPr>
        <w:t xml:space="preserve"> </w:t>
      </w:r>
      <w:r w:rsidRPr="001D696E">
        <w:rPr>
          <w:rFonts w:ascii="Times New Roman" w:hAnsi="Times New Roman" w:cs="Times New Roman"/>
          <w:sz w:val="24"/>
          <w:szCs w:val="24"/>
          <w:lang w:val="en-US"/>
        </w:rPr>
        <w:t xml:space="preserve">that nests equation </w:t>
      </w:r>
      <w:r w:rsidR="00121AAF">
        <w:rPr>
          <w:rFonts w:ascii="Times New Roman" w:hAnsi="Times New Roman" w:cs="Times New Roman"/>
          <w:sz w:val="24"/>
          <w:szCs w:val="24"/>
          <w:lang w:val="en-US"/>
        </w:rPr>
        <w:t xml:space="preserve">(4) </w:t>
      </w:r>
      <w:r w:rsidRPr="001D696E">
        <w:rPr>
          <w:rFonts w:ascii="Times New Roman" w:hAnsi="Times New Roman" w:cs="Times New Roman"/>
          <w:sz w:val="24"/>
          <w:szCs w:val="24"/>
          <w:lang w:val="en-US"/>
        </w:rPr>
        <w:t>as a special cas</w:t>
      </w:r>
      <w:r w:rsidR="006D199A">
        <w:rPr>
          <w:rFonts w:ascii="Times New Roman" w:hAnsi="Times New Roman" w:cs="Times New Roman"/>
          <w:sz w:val="24"/>
          <w:szCs w:val="24"/>
          <w:lang w:val="en-US"/>
        </w:rPr>
        <w:t>e:</w:t>
      </w:r>
    </w:p>
    <w:p w:rsidR="006D199A" w:rsidRPr="00121AAF" w:rsidRDefault="006D199A" w:rsidP="001D696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Δ</w:t>
      </w:r>
      <w:proofErr w:type="spellStart"/>
      <w:r>
        <w:rPr>
          <w:rFonts w:ascii="Times New Roman" w:hAnsi="Times New Roman" w:cs="Times New Roman"/>
          <w:sz w:val="24"/>
          <w:szCs w:val="24"/>
          <w:lang w:val="en-US"/>
        </w:rPr>
        <w:t>logC</w:t>
      </w:r>
      <w:r w:rsidRPr="00052AD1">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a</w:t>
      </w:r>
      <w:r w:rsidRPr="006D199A">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a</w:t>
      </w:r>
      <w:r w:rsidRPr="006D199A">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Δ</w:t>
      </w:r>
      <w:r>
        <w:rPr>
          <w:rFonts w:ascii="Times New Roman" w:hAnsi="Times New Roman" w:cs="Times New Roman"/>
          <w:sz w:val="24"/>
          <w:szCs w:val="24"/>
          <w:lang w:val="en-US"/>
        </w:rPr>
        <w:t>log</w:t>
      </w:r>
      <w:r>
        <w:rPr>
          <w:rFonts w:ascii="Times New Roman" w:hAnsi="Times New Roman" w:cs="Times New Roman"/>
          <w:sz w:val="24"/>
          <w:szCs w:val="24"/>
        </w:rPr>
        <w:t>θ</w:t>
      </w:r>
      <w:r w:rsidRPr="006D199A">
        <w:rPr>
          <w:rFonts w:ascii="Times New Roman" w:hAnsi="Times New Roman" w:cs="Times New Roman"/>
          <w:sz w:val="24"/>
          <w:szCs w:val="24"/>
          <w:vertAlign w:val="subscript"/>
          <w:lang w:val="en-US"/>
        </w:rPr>
        <w:t>t</w:t>
      </w:r>
      <w:r>
        <w:rPr>
          <w:rFonts w:ascii="Times New Roman" w:hAnsi="Times New Roman" w:cs="Times New Roman"/>
          <w:sz w:val="24"/>
          <w:szCs w:val="24"/>
        </w:rPr>
        <w:t xml:space="preserve"> + α</w:t>
      </w:r>
      <w:r w:rsidRPr="006D199A">
        <w:rPr>
          <w:rFonts w:ascii="Times New Roman" w:hAnsi="Times New Roman" w:cs="Times New Roman"/>
          <w:sz w:val="24"/>
          <w:szCs w:val="24"/>
          <w:vertAlign w:val="subscript"/>
        </w:rPr>
        <w:t>2</w:t>
      </w:r>
      <w:r>
        <w:rPr>
          <w:rFonts w:ascii="Times New Roman" w:hAnsi="Times New Roman" w:cs="Times New Roman"/>
          <w:sz w:val="24"/>
          <w:szCs w:val="24"/>
        </w:rPr>
        <w:t xml:space="preserve"> Δ</w:t>
      </w:r>
      <w:proofErr w:type="spellStart"/>
      <w:r>
        <w:rPr>
          <w:rFonts w:ascii="Times New Roman" w:hAnsi="Times New Roman" w:cs="Times New Roman"/>
          <w:sz w:val="24"/>
          <w:szCs w:val="24"/>
          <w:lang w:val="en-US"/>
        </w:rPr>
        <w:t>logY</w:t>
      </w:r>
      <w:r w:rsidRPr="006D199A">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ε</w:t>
      </w:r>
      <w:r w:rsidRPr="006D199A">
        <w:rPr>
          <w:rFonts w:ascii="Times New Roman" w:hAnsi="Times New Roman" w:cs="Times New Roman"/>
          <w:sz w:val="24"/>
          <w:szCs w:val="24"/>
          <w:vertAlign w:val="subscript"/>
          <w:lang w:val="en-US"/>
        </w:rPr>
        <w:t>t</w:t>
      </w:r>
      <w:r w:rsidR="00121AAF">
        <w:rPr>
          <w:rFonts w:ascii="Times New Roman" w:hAnsi="Times New Roman" w:cs="Times New Roman"/>
          <w:sz w:val="24"/>
          <w:szCs w:val="24"/>
          <w:lang w:val="en-US"/>
        </w:rPr>
        <w:t xml:space="preserve"> </w:t>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t>(5)</w:t>
      </w:r>
    </w:p>
    <w:p w:rsidR="006D199A" w:rsidRDefault="00847DB1" w:rsidP="00847DB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coefficient a</w:t>
      </w:r>
      <w:r w:rsidRPr="00847DB1">
        <w:rPr>
          <w:rFonts w:ascii="Times New Roman" w:hAnsi="Times New Roman" w:cs="Times New Roman"/>
          <w:sz w:val="24"/>
          <w:szCs w:val="24"/>
          <w:vertAlign w:val="subscript"/>
          <w:lang w:val="en-US"/>
        </w:rPr>
        <w:t>2</w:t>
      </w:r>
      <w:r w:rsidRPr="00847DB1">
        <w:rPr>
          <w:rFonts w:ascii="Times New Roman" w:hAnsi="Times New Roman" w:cs="Times New Roman"/>
          <w:sz w:val="24"/>
          <w:szCs w:val="24"/>
          <w:lang w:val="en-US"/>
        </w:rPr>
        <w:t xml:space="preserve"> reflects the degree that consumption is sensitive to fluctuations in</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 xml:space="preserve">current income. </w:t>
      </w:r>
      <w:r>
        <w:rPr>
          <w:rFonts w:ascii="Times New Roman" w:hAnsi="Times New Roman" w:cs="Times New Roman"/>
          <w:sz w:val="24"/>
          <w:szCs w:val="24"/>
          <w:lang w:val="en-US"/>
        </w:rPr>
        <w:t xml:space="preserve">Next, </w:t>
      </w:r>
      <w:r w:rsidRPr="00847DB1">
        <w:rPr>
          <w:rFonts w:ascii="Times New Roman" w:hAnsi="Times New Roman" w:cs="Times New Roman"/>
          <w:sz w:val="24"/>
          <w:szCs w:val="24"/>
          <w:lang w:val="en-US"/>
        </w:rPr>
        <w:t xml:space="preserve">we </w:t>
      </w:r>
      <w:r>
        <w:rPr>
          <w:rFonts w:ascii="Times New Roman" w:hAnsi="Times New Roman" w:cs="Times New Roman"/>
          <w:sz w:val="24"/>
          <w:szCs w:val="24"/>
          <w:lang w:val="en-US"/>
        </w:rPr>
        <w:t>assume</w:t>
      </w:r>
      <w:r w:rsidRPr="00847DB1">
        <w:rPr>
          <w:rFonts w:ascii="Times New Roman" w:hAnsi="Times New Roman" w:cs="Times New Roman"/>
          <w:sz w:val="24"/>
          <w:szCs w:val="24"/>
          <w:lang w:val="en-US"/>
        </w:rPr>
        <w:t xml:space="preserve"> that household</w:t>
      </w:r>
      <w:r>
        <w:rPr>
          <w:rFonts w:ascii="Times New Roman" w:hAnsi="Times New Roman" w:cs="Times New Roman"/>
          <w:sz w:val="24"/>
          <w:szCs w:val="24"/>
          <w:lang w:val="en-US"/>
        </w:rPr>
        <w:t>s’</w:t>
      </w:r>
      <w:r w:rsidRPr="00847DB1">
        <w:rPr>
          <w:rFonts w:ascii="Times New Roman" w:hAnsi="Times New Roman" w:cs="Times New Roman"/>
          <w:sz w:val="24"/>
          <w:szCs w:val="24"/>
          <w:lang w:val="en-US"/>
        </w:rPr>
        <w:t xml:space="preserve"> consumption can react to changes in</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current income for various reasons and ask whether the size of this reaction depends on</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 xml:space="preserve">the household’s current debt payments. </w:t>
      </w:r>
      <w:r>
        <w:rPr>
          <w:rFonts w:ascii="Times New Roman" w:hAnsi="Times New Roman" w:cs="Times New Roman"/>
          <w:sz w:val="24"/>
          <w:szCs w:val="24"/>
          <w:lang w:val="en-US"/>
        </w:rPr>
        <w:t>The literature</w:t>
      </w:r>
      <w:r w:rsidRPr="00847DB1">
        <w:rPr>
          <w:rFonts w:ascii="Times New Roman" w:hAnsi="Times New Roman" w:cs="Times New Roman"/>
          <w:sz w:val="24"/>
          <w:szCs w:val="24"/>
          <w:lang w:val="en-US"/>
        </w:rPr>
        <w:t xml:space="preserve"> ha</w:t>
      </w:r>
      <w:r>
        <w:rPr>
          <w:rFonts w:ascii="Times New Roman" w:hAnsi="Times New Roman" w:cs="Times New Roman"/>
          <w:sz w:val="24"/>
          <w:szCs w:val="24"/>
          <w:lang w:val="en-US"/>
        </w:rPr>
        <w:t>s</w:t>
      </w:r>
      <w:r w:rsidRPr="00847DB1">
        <w:rPr>
          <w:rFonts w:ascii="Times New Roman" w:hAnsi="Times New Roman" w:cs="Times New Roman"/>
          <w:sz w:val="24"/>
          <w:szCs w:val="24"/>
          <w:lang w:val="en-US"/>
        </w:rPr>
        <w:t xml:space="preserve"> suggested that increases in debt</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render households more sensitive to shocks to income (</w:t>
      </w:r>
      <w:proofErr w:type="spellStart"/>
      <w:r w:rsidRPr="00847DB1">
        <w:rPr>
          <w:rFonts w:ascii="Times New Roman" w:hAnsi="Times New Roman" w:cs="Times New Roman"/>
          <w:sz w:val="24"/>
          <w:szCs w:val="24"/>
          <w:lang w:val="en-US"/>
        </w:rPr>
        <w:t>Debelle</w:t>
      </w:r>
      <w:proofErr w:type="spellEnd"/>
      <w:r w:rsidRPr="00847DB1">
        <w:rPr>
          <w:rFonts w:ascii="Times New Roman" w:hAnsi="Times New Roman" w:cs="Times New Roman"/>
          <w:sz w:val="24"/>
          <w:szCs w:val="24"/>
          <w:lang w:val="en-US"/>
        </w:rPr>
        <w:t>, 2004). As a household</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 xml:space="preserve">increases unalterable expenditures on debt </w:t>
      </w:r>
      <w:r>
        <w:rPr>
          <w:rFonts w:ascii="Times New Roman" w:hAnsi="Times New Roman" w:cs="Times New Roman"/>
          <w:sz w:val="24"/>
          <w:szCs w:val="24"/>
          <w:lang w:val="en-US"/>
        </w:rPr>
        <w:t>payments, a smaller share of her</w:t>
      </w:r>
      <w:r w:rsidRPr="00847DB1">
        <w:rPr>
          <w:rFonts w:ascii="Times New Roman" w:hAnsi="Times New Roman" w:cs="Times New Roman"/>
          <w:sz w:val="24"/>
          <w:szCs w:val="24"/>
          <w:lang w:val="en-US"/>
        </w:rPr>
        <w:t xml:space="preserve"> income is</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discretionary, and it must cut back consumption in response to even small drops in</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income.</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Although the household borrow</w:t>
      </w:r>
      <w:r>
        <w:rPr>
          <w:rFonts w:ascii="Times New Roman" w:hAnsi="Times New Roman" w:cs="Times New Roman"/>
          <w:sz w:val="24"/>
          <w:szCs w:val="24"/>
          <w:lang w:val="en-US"/>
        </w:rPr>
        <w:t>ed</w:t>
      </w:r>
      <w:r w:rsidRPr="00847DB1">
        <w:rPr>
          <w:rFonts w:ascii="Times New Roman" w:hAnsi="Times New Roman" w:cs="Times New Roman"/>
          <w:sz w:val="24"/>
          <w:szCs w:val="24"/>
          <w:lang w:val="en-US"/>
        </w:rPr>
        <w:t xml:space="preserve"> to finance </w:t>
      </w:r>
      <w:r w:rsidRPr="00847DB1">
        <w:rPr>
          <w:rFonts w:ascii="Times New Roman" w:hAnsi="Times New Roman" w:cs="Times New Roman"/>
          <w:sz w:val="24"/>
          <w:szCs w:val="24"/>
          <w:lang w:val="en-US"/>
        </w:rPr>
        <w:lastRenderedPageBreak/>
        <w:t>consumption in the past, this</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 xml:space="preserve">hypothesis presumes it has reached </w:t>
      </w:r>
      <w:r>
        <w:rPr>
          <w:rFonts w:ascii="Times New Roman" w:hAnsi="Times New Roman" w:cs="Times New Roman"/>
          <w:sz w:val="24"/>
          <w:szCs w:val="24"/>
          <w:lang w:val="en-US"/>
        </w:rPr>
        <w:t>a</w:t>
      </w:r>
      <w:r w:rsidRPr="00847DB1">
        <w:rPr>
          <w:rFonts w:ascii="Times New Roman" w:hAnsi="Times New Roman" w:cs="Times New Roman"/>
          <w:sz w:val="24"/>
          <w:szCs w:val="24"/>
          <w:lang w:val="en-US"/>
        </w:rPr>
        <w:t xml:space="preserve"> borrowing limit. The presumption that some</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households are approaching a borrowing limit is not unreasonable</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 xml:space="preserve">(Gross and </w:t>
      </w:r>
      <w:proofErr w:type="spellStart"/>
      <w:r w:rsidRPr="00847DB1">
        <w:rPr>
          <w:rFonts w:ascii="Times New Roman" w:hAnsi="Times New Roman" w:cs="Times New Roman"/>
          <w:sz w:val="24"/>
          <w:szCs w:val="24"/>
          <w:lang w:val="en-US"/>
        </w:rPr>
        <w:t>Souleles</w:t>
      </w:r>
      <w:proofErr w:type="spellEnd"/>
      <w:r w:rsidRPr="00847DB1">
        <w:rPr>
          <w:rFonts w:ascii="Times New Roman" w:hAnsi="Times New Roman" w:cs="Times New Roman"/>
          <w:sz w:val="24"/>
          <w:szCs w:val="24"/>
          <w:lang w:val="en-US"/>
        </w:rPr>
        <w:t>, 2002</w:t>
      </w:r>
      <w:r>
        <w:rPr>
          <w:rFonts w:ascii="Times New Roman" w:hAnsi="Times New Roman" w:cs="Times New Roman"/>
          <w:sz w:val="24"/>
          <w:szCs w:val="24"/>
          <w:lang w:val="en-US"/>
        </w:rPr>
        <w:t xml:space="preserve">; </w:t>
      </w:r>
      <w:proofErr w:type="spellStart"/>
      <w:r w:rsidRPr="00847DB1">
        <w:rPr>
          <w:rFonts w:ascii="Times New Roman" w:hAnsi="Times New Roman" w:cs="Times New Roman"/>
          <w:sz w:val="24"/>
          <w:szCs w:val="24"/>
          <w:lang w:val="en-US"/>
        </w:rPr>
        <w:t>Cagan</w:t>
      </w:r>
      <w:proofErr w:type="spellEnd"/>
      <w:r w:rsidRPr="00847DB1">
        <w:rPr>
          <w:rFonts w:ascii="Times New Roman" w:hAnsi="Times New Roman" w:cs="Times New Roman"/>
          <w:sz w:val="24"/>
          <w:szCs w:val="24"/>
          <w:lang w:val="en-US"/>
        </w:rPr>
        <w:t>, 2007).</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 xml:space="preserve">Have </w:t>
      </w:r>
      <w:r>
        <w:rPr>
          <w:rFonts w:ascii="Times New Roman" w:hAnsi="Times New Roman" w:cs="Times New Roman"/>
          <w:sz w:val="24"/>
          <w:szCs w:val="24"/>
          <w:lang w:val="en-US"/>
        </w:rPr>
        <w:t>a certain number of</w:t>
      </w:r>
      <w:r w:rsidRPr="00847DB1">
        <w:rPr>
          <w:rFonts w:ascii="Times New Roman" w:hAnsi="Times New Roman" w:cs="Times New Roman"/>
          <w:sz w:val="24"/>
          <w:szCs w:val="24"/>
          <w:lang w:val="en-US"/>
        </w:rPr>
        <w:t xml:space="preserve"> households reached a level of borrowing that hinders their ability to</w:t>
      </w:r>
      <w:r>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 xml:space="preserve">smooth through future income fluctuations? To answer this question, we </w:t>
      </w:r>
      <w:r>
        <w:rPr>
          <w:rFonts w:ascii="Times New Roman" w:hAnsi="Times New Roman" w:cs="Times New Roman"/>
          <w:sz w:val="24"/>
          <w:szCs w:val="24"/>
          <w:lang w:val="en-US"/>
        </w:rPr>
        <w:t xml:space="preserve">modify the consumption equation </w:t>
      </w:r>
      <w:r w:rsidR="00121AAF">
        <w:rPr>
          <w:rFonts w:ascii="Times New Roman" w:hAnsi="Times New Roman" w:cs="Times New Roman"/>
          <w:sz w:val="24"/>
          <w:szCs w:val="24"/>
          <w:lang w:val="en-US"/>
        </w:rPr>
        <w:t xml:space="preserve">(5) </w:t>
      </w:r>
      <w:r>
        <w:rPr>
          <w:rFonts w:ascii="Times New Roman" w:hAnsi="Times New Roman" w:cs="Times New Roman"/>
          <w:sz w:val="24"/>
          <w:szCs w:val="24"/>
          <w:lang w:val="en-US"/>
        </w:rPr>
        <w:t>by including</w:t>
      </w:r>
      <w:r w:rsidRPr="00847DB1">
        <w:rPr>
          <w:rFonts w:ascii="Times New Roman" w:hAnsi="Times New Roman" w:cs="Times New Roman"/>
          <w:sz w:val="24"/>
          <w:szCs w:val="24"/>
          <w:lang w:val="en-US"/>
        </w:rPr>
        <w:t xml:space="preserve"> the </w:t>
      </w:r>
      <w:r w:rsidR="003D5138">
        <w:rPr>
          <w:rFonts w:ascii="Times New Roman" w:hAnsi="Times New Roman" w:cs="Times New Roman"/>
          <w:sz w:val="24"/>
          <w:szCs w:val="24"/>
          <w:lang w:val="en-US"/>
        </w:rPr>
        <w:t xml:space="preserve">fact that </w:t>
      </w:r>
      <w:r w:rsidRPr="00847DB1">
        <w:rPr>
          <w:rFonts w:ascii="Times New Roman" w:hAnsi="Times New Roman" w:cs="Times New Roman"/>
          <w:sz w:val="24"/>
          <w:szCs w:val="24"/>
          <w:lang w:val="en-US"/>
        </w:rPr>
        <w:t>change</w:t>
      </w:r>
      <w:r w:rsidR="003D5138">
        <w:rPr>
          <w:rFonts w:ascii="Times New Roman" w:hAnsi="Times New Roman" w:cs="Times New Roman"/>
          <w:sz w:val="24"/>
          <w:szCs w:val="24"/>
          <w:lang w:val="en-US"/>
        </w:rPr>
        <w:t>s</w:t>
      </w:r>
      <w:r w:rsidRPr="00847DB1">
        <w:rPr>
          <w:rFonts w:ascii="Times New Roman" w:hAnsi="Times New Roman" w:cs="Times New Roman"/>
          <w:sz w:val="24"/>
          <w:szCs w:val="24"/>
          <w:lang w:val="en-US"/>
        </w:rPr>
        <w:t xml:space="preserve"> in income </w:t>
      </w:r>
      <w:r w:rsidR="003D5138">
        <w:rPr>
          <w:rFonts w:ascii="Times New Roman" w:hAnsi="Times New Roman" w:cs="Times New Roman"/>
          <w:sz w:val="24"/>
          <w:szCs w:val="24"/>
          <w:lang w:val="en-US"/>
        </w:rPr>
        <w:t>are</w:t>
      </w:r>
      <w:r w:rsidRPr="00847DB1">
        <w:rPr>
          <w:rFonts w:ascii="Times New Roman" w:hAnsi="Times New Roman" w:cs="Times New Roman"/>
          <w:sz w:val="24"/>
          <w:szCs w:val="24"/>
          <w:lang w:val="en-US"/>
        </w:rPr>
        <w:t xml:space="preserve"> interacted with a variable that measures the</w:t>
      </w:r>
      <w:r w:rsidR="003D5138">
        <w:rPr>
          <w:rFonts w:ascii="Times New Roman" w:hAnsi="Times New Roman" w:cs="Times New Roman"/>
          <w:sz w:val="24"/>
          <w:szCs w:val="24"/>
          <w:lang w:val="en-US"/>
        </w:rPr>
        <w:t xml:space="preserve"> </w:t>
      </w:r>
      <w:r w:rsidRPr="00847DB1">
        <w:rPr>
          <w:rFonts w:ascii="Times New Roman" w:hAnsi="Times New Roman" w:cs="Times New Roman"/>
          <w:sz w:val="24"/>
          <w:szCs w:val="24"/>
          <w:lang w:val="en-US"/>
        </w:rPr>
        <w:t>h</w:t>
      </w:r>
      <w:r w:rsidR="003D5138">
        <w:rPr>
          <w:rFonts w:ascii="Times New Roman" w:hAnsi="Times New Roman" w:cs="Times New Roman"/>
          <w:sz w:val="24"/>
          <w:szCs w:val="24"/>
          <w:lang w:val="en-US"/>
        </w:rPr>
        <w:t>ousehold level of debt payments:</w:t>
      </w:r>
    </w:p>
    <w:p w:rsidR="003D5138" w:rsidRPr="006D199A" w:rsidRDefault="00052AD1" w:rsidP="00052AD1">
      <w:pPr>
        <w:spacing w:line="24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Q</w:t>
      </w:r>
    </w:p>
    <w:p w:rsidR="00052AD1" w:rsidRPr="00121AAF" w:rsidRDefault="00052AD1" w:rsidP="00052AD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Δ</w:t>
      </w:r>
      <w:proofErr w:type="spellStart"/>
      <w:r>
        <w:rPr>
          <w:rFonts w:ascii="Times New Roman" w:hAnsi="Times New Roman" w:cs="Times New Roman"/>
          <w:sz w:val="24"/>
          <w:szCs w:val="24"/>
          <w:lang w:val="en-US"/>
        </w:rPr>
        <w:t>logC</w:t>
      </w:r>
      <w:r w:rsidRPr="00052AD1">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a</w:t>
      </w:r>
      <w:r w:rsidRPr="006D199A">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a</w:t>
      </w:r>
      <w:r w:rsidRPr="006D199A">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Δ</w:t>
      </w:r>
      <w:r>
        <w:rPr>
          <w:rFonts w:ascii="Times New Roman" w:hAnsi="Times New Roman" w:cs="Times New Roman"/>
          <w:sz w:val="24"/>
          <w:szCs w:val="24"/>
          <w:lang w:val="en-US"/>
        </w:rPr>
        <w:t>log</w:t>
      </w:r>
      <w:r>
        <w:rPr>
          <w:rFonts w:ascii="Times New Roman" w:hAnsi="Times New Roman" w:cs="Times New Roman"/>
          <w:sz w:val="24"/>
          <w:szCs w:val="24"/>
        </w:rPr>
        <w:t>θ</w:t>
      </w:r>
      <w:r w:rsidRPr="006D199A">
        <w:rPr>
          <w:rFonts w:ascii="Times New Roman" w:hAnsi="Times New Roman" w:cs="Times New Roman"/>
          <w:sz w:val="24"/>
          <w:szCs w:val="24"/>
          <w:vertAlign w:val="subscript"/>
          <w:lang w:val="en-US"/>
        </w:rPr>
        <w:t>t</w:t>
      </w:r>
      <w:r>
        <w:rPr>
          <w:rFonts w:ascii="Times New Roman" w:hAnsi="Times New Roman" w:cs="Times New Roman"/>
          <w:sz w:val="24"/>
          <w:szCs w:val="24"/>
        </w:rPr>
        <w:t xml:space="preserve"> + </w:t>
      </w:r>
      <w:r w:rsidRPr="00052AD1">
        <w:rPr>
          <w:rFonts w:ascii="Times New Roman" w:hAnsi="Times New Roman" w:cs="Times New Roman"/>
          <w:sz w:val="40"/>
          <w:szCs w:val="40"/>
        </w:rPr>
        <w:t>Σ</w:t>
      </w:r>
      <w:r>
        <w:rPr>
          <w:rFonts w:ascii="Times New Roman" w:hAnsi="Times New Roman" w:cs="Times New Roman"/>
          <w:sz w:val="24"/>
          <w:szCs w:val="24"/>
        </w:rPr>
        <w:t>[γ</w:t>
      </w:r>
      <w:r w:rsidRPr="00052AD1">
        <w:rPr>
          <w:rFonts w:ascii="Times New Roman" w:hAnsi="Times New Roman" w:cs="Times New Roman"/>
          <w:sz w:val="24"/>
          <w:szCs w:val="24"/>
          <w:vertAlign w:val="subscript"/>
          <w:lang w:val="en-US"/>
        </w:rPr>
        <w:t>q</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w:t>
      </w:r>
      <w:r w:rsidRPr="00052AD1">
        <w:rPr>
          <w:rFonts w:ascii="Times New Roman" w:hAnsi="Times New Roman" w:cs="Times New Roman"/>
          <w:sz w:val="24"/>
          <w:szCs w:val="24"/>
          <w:vertAlign w:val="subscript"/>
          <w:lang w:val="en-US"/>
        </w:rPr>
        <w:t>q</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lang w:val="en-US"/>
        </w:rPr>
        <w:t>logY</w:t>
      </w:r>
      <w:r w:rsidRPr="006D199A">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ε</w:t>
      </w:r>
      <w:r w:rsidRPr="006D199A">
        <w:rPr>
          <w:rFonts w:ascii="Times New Roman" w:hAnsi="Times New Roman" w:cs="Times New Roman"/>
          <w:sz w:val="24"/>
          <w:szCs w:val="24"/>
          <w:vertAlign w:val="subscript"/>
          <w:lang w:val="en-US"/>
        </w:rPr>
        <w:t>t</w:t>
      </w:r>
      <w:r w:rsidR="00121AAF">
        <w:rPr>
          <w:rFonts w:ascii="Times New Roman" w:hAnsi="Times New Roman" w:cs="Times New Roman"/>
          <w:sz w:val="24"/>
          <w:szCs w:val="24"/>
          <w:lang w:val="en-US"/>
        </w:rPr>
        <w:t xml:space="preserve"> </w:t>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r>
      <w:r w:rsidR="00121AAF">
        <w:rPr>
          <w:rFonts w:ascii="Times New Roman" w:hAnsi="Times New Roman" w:cs="Times New Roman"/>
          <w:sz w:val="24"/>
          <w:szCs w:val="24"/>
          <w:lang w:val="en-US"/>
        </w:rPr>
        <w:tab/>
        <w:t>(6)</w:t>
      </w:r>
    </w:p>
    <w:p w:rsidR="006D199A" w:rsidRDefault="006D199A" w:rsidP="00052AD1">
      <w:pPr>
        <w:spacing w:line="240" w:lineRule="auto"/>
        <w:jc w:val="both"/>
        <w:rPr>
          <w:rFonts w:ascii="TimesNewRomanPSMT" w:eastAsia="SymbolMT" w:hAnsi="TimesNewRomanPSMT" w:cs="TimesNewRomanPSMT"/>
          <w:sz w:val="24"/>
          <w:szCs w:val="24"/>
          <w:lang w:val="en-US"/>
        </w:rPr>
      </w:pPr>
      <w:r>
        <w:rPr>
          <w:rFonts w:ascii="TimesNewRomanPSMT" w:eastAsia="SymbolMT" w:hAnsi="TimesNewRomanPSMT" w:cs="TimesNewRomanPSMT"/>
          <w:sz w:val="24"/>
          <w:szCs w:val="24"/>
        </w:rPr>
        <w:t>.</w:t>
      </w:r>
      <w:r w:rsidR="00052AD1">
        <w:rPr>
          <w:rFonts w:ascii="TimesNewRomanPSMT" w:eastAsia="SymbolMT" w:hAnsi="TimesNewRomanPSMT" w:cs="TimesNewRomanPSMT"/>
          <w:sz w:val="24"/>
          <w:szCs w:val="24"/>
          <w:lang w:val="en-US"/>
        </w:rPr>
        <w:tab/>
      </w:r>
      <w:r w:rsidR="00052AD1">
        <w:rPr>
          <w:rFonts w:ascii="TimesNewRomanPSMT" w:eastAsia="SymbolMT" w:hAnsi="TimesNewRomanPSMT" w:cs="TimesNewRomanPSMT"/>
          <w:sz w:val="24"/>
          <w:szCs w:val="24"/>
          <w:lang w:val="en-US"/>
        </w:rPr>
        <w:tab/>
      </w:r>
      <w:r w:rsidR="00052AD1">
        <w:rPr>
          <w:rFonts w:ascii="TimesNewRomanPSMT" w:eastAsia="SymbolMT" w:hAnsi="TimesNewRomanPSMT" w:cs="TimesNewRomanPSMT"/>
          <w:sz w:val="24"/>
          <w:szCs w:val="24"/>
          <w:lang w:val="en-US"/>
        </w:rPr>
        <w:tab/>
        <w:t xml:space="preserve">    q=1</w:t>
      </w:r>
    </w:p>
    <w:p w:rsidR="00052AD1" w:rsidRPr="00052AD1" w:rsidRDefault="00052AD1" w:rsidP="00052AD1">
      <w:pPr>
        <w:spacing w:line="480" w:lineRule="auto"/>
        <w:jc w:val="both"/>
        <w:rPr>
          <w:rFonts w:ascii="Times New Roman" w:hAnsi="Times New Roman" w:cs="Times New Roman"/>
          <w:sz w:val="24"/>
          <w:szCs w:val="24"/>
          <w:lang w:val="en-US"/>
        </w:rPr>
      </w:pPr>
      <w:proofErr w:type="gramStart"/>
      <w:r w:rsidRPr="00052AD1">
        <w:rPr>
          <w:rFonts w:ascii="Times New Roman" w:hAnsi="Times New Roman" w:cs="Times New Roman"/>
          <w:sz w:val="24"/>
          <w:szCs w:val="24"/>
          <w:lang w:val="en-US"/>
        </w:rPr>
        <w:t>where</w:t>
      </w:r>
      <w:proofErr w:type="gramEnd"/>
      <w:r w:rsidRPr="00052AD1">
        <w:rPr>
          <w:rFonts w:ascii="Times New Roman" w:hAnsi="Times New Roman" w:cs="Times New Roman"/>
          <w:sz w:val="24"/>
          <w:szCs w:val="24"/>
          <w:lang w:val="en-US"/>
        </w:rPr>
        <w:t xml:space="preserve"> </w:t>
      </w:r>
      <w:proofErr w:type="spellStart"/>
      <w:r w:rsidRPr="00052AD1">
        <w:rPr>
          <w:rFonts w:ascii="Times New Roman" w:hAnsi="Times New Roman" w:cs="Times New Roman"/>
          <w:sz w:val="24"/>
          <w:szCs w:val="24"/>
          <w:lang w:val="en-US"/>
        </w:rPr>
        <w:t>D</w:t>
      </w:r>
      <w:r w:rsidRPr="00052AD1">
        <w:rPr>
          <w:rFonts w:ascii="Times New Roman" w:hAnsi="Times New Roman" w:cs="Times New Roman"/>
          <w:sz w:val="24"/>
          <w:szCs w:val="24"/>
          <w:vertAlign w:val="subscript"/>
          <w:lang w:val="en-US"/>
        </w:rPr>
        <w:t>q</w:t>
      </w:r>
      <w:proofErr w:type="spellEnd"/>
      <w:r w:rsidRPr="00052AD1">
        <w:rPr>
          <w:rFonts w:ascii="Times New Roman" w:hAnsi="Times New Roman" w:cs="Times New Roman"/>
          <w:sz w:val="24"/>
          <w:szCs w:val="24"/>
          <w:lang w:val="en-US"/>
        </w:rPr>
        <w:t xml:space="preserve"> is a dummy variable that is e</w:t>
      </w:r>
      <w:r>
        <w:rPr>
          <w:rFonts w:ascii="Times New Roman" w:hAnsi="Times New Roman" w:cs="Times New Roman"/>
          <w:sz w:val="24"/>
          <w:szCs w:val="24"/>
          <w:lang w:val="en-US"/>
        </w:rPr>
        <w:t>qual to one if and only if the debt-service ratio</w:t>
      </w:r>
      <w:r w:rsidRPr="00052AD1">
        <w:rPr>
          <w:rFonts w:ascii="Times New Roman" w:hAnsi="Times New Roman" w:cs="Times New Roman"/>
          <w:sz w:val="24"/>
          <w:szCs w:val="24"/>
          <w:lang w:val="en-US"/>
        </w:rPr>
        <w:t xml:space="preserve"> of household</w:t>
      </w:r>
      <w:r>
        <w:rPr>
          <w:rFonts w:ascii="Times New Roman" w:hAnsi="Times New Roman" w:cs="Times New Roman"/>
          <w:sz w:val="24"/>
          <w:szCs w:val="24"/>
          <w:lang w:val="en-US"/>
        </w:rPr>
        <w:t xml:space="preserve">s </w:t>
      </w:r>
      <w:r w:rsidRPr="00052AD1">
        <w:rPr>
          <w:rFonts w:ascii="Times New Roman" w:hAnsi="Times New Roman" w:cs="Times New Roman"/>
          <w:sz w:val="24"/>
          <w:szCs w:val="24"/>
          <w:lang w:val="en-US"/>
        </w:rPr>
        <w:t xml:space="preserve">belongs to the </w:t>
      </w:r>
      <w:proofErr w:type="spellStart"/>
      <w:r w:rsidRPr="00052AD1">
        <w:rPr>
          <w:rFonts w:ascii="Times New Roman" w:hAnsi="Times New Roman" w:cs="Times New Roman"/>
          <w:sz w:val="24"/>
          <w:szCs w:val="24"/>
          <w:lang w:val="en-US"/>
        </w:rPr>
        <w:t>qth</w:t>
      </w:r>
      <w:proofErr w:type="spellEnd"/>
      <w:r w:rsidRPr="00052AD1">
        <w:rPr>
          <w:rFonts w:ascii="Times New Roman" w:hAnsi="Times New Roman" w:cs="Times New Roman"/>
          <w:sz w:val="24"/>
          <w:szCs w:val="24"/>
          <w:lang w:val="en-US"/>
        </w:rPr>
        <w:t xml:space="preserve"> ranked group, and equal to zero otherwise. </w:t>
      </w:r>
      <w:proofErr w:type="spellStart"/>
      <w:proofErr w:type="gramStart"/>
      <w:r w:rsidRPr="00052AD1">
        <w:rPr>
          <w:rFonts w:ascii="Times New Roman" w:hAnsi="Times New Roman" w:cs="Times New Roman"/>
          <w:sz w:val="24"/>
          <w:szCs w:val="24"/>
          <w:lang w:val="en-US"/>
        </w:rPr>
        <w:t>γ</w:t>
      </w:r>
      <w:r w:rsidRPr="00052AD1">
        <w:rPr>
          <w:rFonts w:ascii="Times New Roman" w:hAnsi="Times New Roman" w:cs="Times New Roman"/>
          <w:sz w:val="24"/>
          <w:szCs w:val="24"/>
          <w:vertAlign w:val="subscript"/>
          <w:lang w:val="en-US"/>
        </w:rPr>
        <w:t>q</w:t>
      </w:r>
      <w:proofErr w:type="spellEnd"/>
      <w:proofErr w:type="gramEnd"/>
      <w:r w:rsidRPr="00052AD1">
        <w:rPr>
          <w:rFonts w:ascii="Times New Roman" w:hAnsi="Times New Roman" w:cs="Times New Roman"/>
          <w:sz w:val="24"/>
          <w:szCs w:val="24"/>
          <w:lang w:val="en-US"/>
        </w:rPr>
        <w:t xml:space="preserve"> is the </w:t>
      </w:r>
      <w:proofErr w:type="spellStart"/>
      <w:r w:rsidRPr="00052AD1">
        <w:rPr>
          <w:rFonts w:ascii="Times New Roman" w:hAnsi="Times New Roman" w:cs="Times New Roman"/>
          <w:sz w:val="24"/>
          <w:szCs w:val="24"/>
          <w:lang w:val="en-US"/>
        </w:rPr>
        <w:t>qth</w:t>
      </w:r>
      <w:proofErr w:type="spellEnd"/>
      <w:r w:rsidRPr="00052AD1">
        <w:rPr>
          <w:rFonts w:ascii="Times New Roman" w:hAnsi="Times New Roman" w:cs="Times New Roman"/>
          <w:sz w:val="24"/>
          <w:szCs w:val="24"/>
          <w:lang w:val="en-US"/>
        </w:rPr>
        <w:t xml:space="preserve"> </w:t>
      </w:r>
      <w:r>
        <w:rPr>
          <w:rFonts w:ascii="Times New Roman" w:hAnsi="Times New Roman" w:cs="Times New Roman"/>
          <w:sz w:val="24"/>
          <w:szCs w:val="24"/>
          <w:lang w:val="en-US"/>
        </w:rPr>
        <w:t>debt-service ratio</w:t>
      </w:r>
      <w:r w:rsidRPr="00052AD1">
        <w:rPr>
          <w:rFonts w:ascii="Times New Roman" w:hAnsi="Times New Roman" w:cs="Times New Roman"/>
          <w:sz w:val="24"/>
          <w:szCs w:val="24"/>
          <w:lang w:val="en-US"/>
        </w:rPr>
        <w:t xml:space="preserve"> group</w:t>
      </w:r>
      <w:r>
        <w:rPr>
          <w:rFonts w:ascii="Times New Roman" w:hAnsi="Times New Roman" w:cs="Times New Roman"/>
          <w:sz w:val="24"/>
          <w:szCs w:val="24"/>
          <w:lang w:val="en-US"/>
        </w:rPr>
        <w:t>-</w:t>
      </w:r>
      <w:r w:rsidRPr="00052AD1">
        <w:rPr>
          <w:rFonts w:ascii="Times New Roman" w:hAnsi="Times New Roman" w:cs="Times New Roman"/>
          <w:sz w:val="24"/>
          <w:szCs w:val="24"/>
          <w:lang w:val="en-US"/>
        </w:rPr>
        <w:t>specific</w:t>
      </w:r>
      <w:r>
        <w:rPr>
          <w:rFonts w:ascii="Times New Roman" w:hAnsi="Times New Roman" w:cs="Times New Roman"/>
          <w:sz w:val="24"/>
          <w:szCs w:val="24"/>
          <w:lang w:val="en-US"/>
        </w:rPr>
        <w:t xml:space="preserve"> </w:t>
      </w:r>
      <w:r w:rsidRPr="00052AD1">
        <w:rPr>
          <w:rFonts w:ascii="Times New Roman" w:hAnsi="Times New Roman" w:cs="Times New Roman"/>
          <w:sz w:val="24"/>
          <w:szCs w:val="24"/>
          <w:lang w:val="en-US"/>
        </w:rPr>
        <w:t xml:space="preserve">sensitivity to current income changes. </w:t>
      </w:r>
    </w:p>
    <w:p w:rsidR="00EA3D7E" w:rsidRDefault="00924E85" w:rsidP="00924E8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moving to the empirical part, </w:t>
      </w:r>
      <w:r w:rsidR="00E44283" w:rsidRPr="00E44283">
        <w:rPr>
          <w:rFonts w:ascii="Times New Roman" w:hAnsi="Times New Roman" w:cs="Times New Roman"/>
          <w:sz w:val="24"/>
          <w:szCs w:val="24"/>
          <w:lang w:val="en-US"/>
        </w:rPr>
        <w:t xml:space="preserve">Arellano and </w:t>
      </w:r>
      <w:proofErr w:type="spellStart"/>
      <w:r w:rsidR="00E44283" w:rsidRPr="00E44283">
        <w:rPr>
          <w:rFonts w:ascii="Times New Roman" w:hAnsi="Times New Roman" w:cs="Times New Roman"/>
          <w:sz w:val="24"/>
          <w:szCs w:val="24"/>
          <w:lang w:val="en-US"/>
        </w:rPr>
        <w:t>Bover</w:t>
      </w:r>
      <w:proofErr w:type="spellEnd"/>
      <w:r w:rsidR="00E44283" w:rsidRPr="00E44283">
        <w:rPr>
          <w:rFonts w:ascii="Times New Roman" w:hAnsi="Times New Roman" w:cs="Times New Roman"/>
          <w:sz w:val="24"/>
          <w:szCs w:val="24"/>
          <w:lang w:val="en-US"/>
        </w:rPr>
        <w:t xml:space="preserve"> (1995) </w:t>
      </w:r>
      <w:r w:rsidR="00EA3D7E" w:rsidRPr="00EA3D7E">
        <w:rPr>
          <w:rFonts w:ascii="Times New Roman" w:hAnsi="Times New Roman" w:cs="Times New Roman"/>
          <w:sz w:val="24"/>
          <w:szCs w:val="24"/>
          <w:lang w:val="en-US"/>
        </w:rPr>
        <w:t>developed a generalized method of moments (GMM) estimator</w:t>
      </w:r>
      <w:r w:rsidR="00EA3D7E">
        <w:rPr>
          <w:rFonts w:ascii="Times New Roman" w:hAnsi="Times New Roman" w:cs="Times New Roman"/>
          <w:sz w:val="24"/>
          <w:szCs w:val="24"/>
          <w:lang w:val="en-US"/>
        </w:rPr>
        <w:t xml:space="preserve"> </w:t>
      </w:r>
      <w:r w:rsidR="00F73F87">
        <w:rPr>
          <w:rFonts w:ascii="Times New Roman" w:hAnsi="Times New Roman" w:cs="Times New Roman"/>
          <w:sz w:val="24"/>
          <w:szCs w:val="24"/>
          <w:lang w:val="en-US"/>
        </w:rPr>
        <w:t xml:space="preserve">which </w:t>
      </w:r>
      <w:r w:rsidR="00EA3D7E" w:rsidRPr="00EA3D7E">
        <w:rPr>
          <w:rFonts w:ascii="Times New Roman" w:hAnsi="Times New Roman" w:cs="Times New Roman"/>
          <w:sz w:val="24"/>
          <w:szCs w:val="24"/>
          <w:lang w:val="en-US"/>
        </w:rPr>
        <w:t>allow</w:t>
      </w:r>
      <w:r w:rsidR="00EA3D7E">
        <w:rPr>
          <w:rFonts w:ascii="Times New Roman" w:hAnsi="Times New Roman" w:cs="Times New Roman"/>
          <w:sz w:val="24"/>
          <w:szCs w:val="24"/>
          <w:lang w:val="en-US"/>
        </w:rPr>
        <w:t>s</w:t>
      </w:r>
      <w:r w:rsidR="00EA3D7E" w:rsidRPr="00EA3D7E">
        <w:rPr>
          <w:rFonts w:ascii="Times New Roman" w:hAnsi="Times New Roman" w:cs="Times New Roman"/>
          <w:sz w:val="24"/>
          <w:szCs w:val="24"/>
          <w:lang w:val="en-US"/>
        </w:rPr>
        <w:t xml:space="preserve"> </w:t>
      </w:r>
      <w:r w:rsidR="00EA3D7E">
        <w:rPr>
          <w:rFonts w:ascii="Times New Roman" w:hAnsi="Times New Roman" w:cs="Times New Roman"/>
          <w:sz w:val="24"/>
          <w:szCs w:val="24"/>
          <w:lang w:val="en-US"/>
        </w:rPr>
        <w:t>us to</w:t>
      </w:r>
      <w:r w:rsidR="00EA3D7E" w:rsidRPr="00EA3D7E">
        <w:rPr>
          <w:rFonts w:ascii="Times New Roman" w:hAnsi="Times New Roman" w:cs="Times New Roman"/>
          <w:sz w:val="24"/>
          <w:szCs w:val="24"/>
          <w:lang w:val="en-US"/>
        </w:rPr>
        <w:t xml:space="preserve"> </w:t>
      </w:r>
      <w:r w:rsidR="00EA3D7E">
        <w:rPr>
          <w:rFonts w:ascii="Times New Roman" w:hAnsi="Times New Roman" w:cs="Times New Roman"/>
          <w:sz w:val="24"/>
          <w:szCs w:val="24"/>
          <w:lang w:val="en-US"/>
        </w:rPr>
        <w:t>consider</w:t>
      </w:r>
      <w:r w:rsidR="00EA3D7E" w:rsidRPr="00EA3D7E">
        <w:rPr>
          <w:rFonts w:ascii="Times New Roman" w:hAnsi="Times New Roman" w:cs="Times New Roman"/>
          <w:sz w:val="24"/>
          <w:szCs w:val="24"/>
          <w:lang w:val="en-US"/>
        </w:rPr>
        <w:t xml:space="preserve"> country speci</w:t>
      </w:r>
      <w:r w:rsidR="00EA3D7E">
        <w:rPr>
          <w:rFonts w:ascii="Times New Roman" w:hAnsi="Times New Roman" w:cs="Times New Roman"/>
          <w:sz w:val="24"/>
          <w:szCs w:val="24"/>
          <w:lang w:val="en-US"/>
        </w:rPr>
        <w:t>fi</w:t>
      </w:r>
      <w:r w:rsidR="00EA3D7E" w:rsidRPr="00EA3D7E">
        <w:rPr>
          <w:rFonts w:ascii="Times New Roman" w:hAnsi="Times New Roman" w:cs="Times New Roman"/>
          <w:sz w:val="24"/>
          <w:szCs w:val="24"/>
          <w:lang w:val="en-US"/>
        </w:rPr>
        <w:t>c e</w:t>
      </w:r>
      <w:r w:rsidR="00EA3D7E">
        <w:rPr>
          <w:rFonts w:ascii="Times New Roman" w:hAnsi="Times New Roman" w:cs="Times New Roman"/>
          <w:sz w:val="24"/>
          <w:szCs w:val="24"/>
          <w:lang w:val="en-US"/>
        </w:rPr>
        <w:t>ff</w:t>
      </w:r>
      <w:r w:rsidR="00EA3D7E" w:rsidRPr="00EA3D7E">
        <w:rPr>
          <w:rFonts w:ascii="Times New Roman" w:hAnsi="Times New Roman" w:cs="Times New Roman"/>
          <w:sz w:val="24"/>
          <w:szCs w:val="24"/>
          <w:lang w:val="en-US"/>
        </w:rPr>
        <w:t>ects</w:t>
      </w:r>
      <w:r w:rsidR="00EA3D7E">
        <w:rPr>
          <w:rFonts w:ascii="Times New Roman" w:hAnsi="Times New Roman" w:cs="Times New Roman"/>
          <w:sz w:val="24"/>
          <w:szCs w:val="24"/>
          <w:lang w:val="en-US"/>
        </w:rPr>
        <w:t xml:space="preserve"> </w:t>
      </w:r>
      <w:r w:rsidR="00EA3D7E" w:rsidRPr="00EA3D7E">
        <w:rPr>
          <w:rFonts w:ascii="Times New Roman" w:hAnsi="Times New Roman" w:cs="Times New Roman"/>
          <w:sz w:val="24"/>
          <w:szCs w:val="24"/>
          <w:lang w:val="en-US"/>
        </w:rPr>
        <w:t>or any time invariant country speci</w:t>
      </w:r>
      <w:r w:rsidR="00EA3D7E">
        <w:rPr>
          <w:rFonts w:ascii="Times New Roman" w:hAnsi="Times New Roman" w:cs="Times New Roman"/>
          <w:sz w:val="24"/>
          <w:szCs w:val="24"/>
          <w:lang w:val="en-US"/>
        </w:rPr>
        <w:t>fic</w:t>
      </w:r>
      <w:r w:rsidR="00EA3D7E" w:rsidRPr="00EA3D7E">
        <w:rPr>
          <w:rFonts w:ascii="Times New Roman" w:hAnsi="Times New Roman" w:cs="Times New Roman"/>
          <w:sz w:val="24"/>
          <w:szCs w:val="24"/>
          <w:lang w:val="en-US"/>
        </w:rPr>
        <w:t xml:space="preserve"> variable. Additionally, it also solves the endogeneity</w:t>
      </w:r>
      <w:r w:rsidR="00EA3D7E">
        <w:rPr>
          <w:rFonts w:ascii="Times New Roman" w:hAnsi="Times New Roman" w:cs="Times New Roman"/>
          <w:sz w:val="24"/>
          <w:szCs w:val="24"/>
          <w:lang w:val="en-US"/>
        </w:rPr>
        <w:t xml:space="preserve"> </w:t>
      </w:r>
      <w:r w:rsidR="00EA3D7E" w:rsidRPr="00EA3D7E">
        <w:rPr>
          <w:rFonts w:ascii="Times New Roman" w:hAnsi="Times New Roman" w:cs="Times New Roman"/>
          <w:sz w:val="24"/>
          <w:szCs w:val="24"/>
          <w:lang w:val="en-US"/>
        </w:rPr>
        <w:t>issue that may be due to the correlation of the country spe</w:t>
      </w:r>
      <w:r w:rsidR="00EA3D7E">
        <w:rPr>
          <w:rFonts w:ascii="Times New Roman" w:hAnsi="Times New Roman" w:cs="Times New Roman"/>
          <w:sz w:val="24"/>
          <w:szCs w:val="24"/>
          <w:lang w:val="en-US"/>
        </w:rPr>
        <w:t>cifi</w:t>
      </w:r>
      <w:r w:rsidR="00EA3D7E" w:rsidRPr="00EA3D7E">
        <w:rPr>
          <w:rFonts w:ascii="Times New Roman" w:hAnsi="Times New Roman" w:cs="Times New Roman"/>
          <w:sz w:val="24"/>
          <w:szCs w:val="24"/>
          <w:lang w:val="en-US"/>
        </w:rPr>
        <w:t>c e</w:t>
      </w:r>
      <w:r w:rsidR="00EA3D7E">
        <w:rPr>
          <w:rFonts w:ascii="Times New Roman" w:hAnsi="Times New Roman" w:cs="Times New Roman"/>
          <w:sz w:val="24"/>
          <w:szCs w:val="24"/>
          <w:lang w:val="en-US"/>
        </w:rPr>
        <w:t>ff</w:t>
      </w:r>
      <w:r w:rsidR="00EA3D7E" w:rsidRPr="00EA3D7E">
        <w:rPr>
          <w:rFonts w:ascii="Times New Roman" w:hAnsi="Times New Roman" w:cs="Times New Roman"/>
          <w:sz w:val="24"/>
          <w:szCs w:val="24"/>
          <w:lang w:val="en-US"/>
        </w:rPr>
        <w:t>ects and the independent</w:t>
      </w:r>
      <w:r w:rsidR="00EA3D7E">
        <w:rPr>
          <w:rFonts w:ascii="Times New Roman" w:hAnsi="Times New Roman" w:cs="Times New Roman"/>
          <w:sz w:val="24"/>
          <w:szCs w:val="24"/>
          <w:lang w:val="en-US"/>
        </w:rPr>
        <w:t xml:space="preserve"> </w:t>
      </w:r>
      <w:r w:rsidR="00EA3D7E" w:rsidRPr="00EA3D7E">
        <w:rPr>
          <w:rFonts w:ascii="Times New Roman" w:hAnsi="Times New Roman" w:cs="Times New Roman"/>
          <w:sz w:val="24"/>
          <w:szCs w:val="24"/>
          <w:lang w:val="en-US"/>
        </w:rPr>
        <w:t>variables.</w:t>
      </w:r>
      <w:r w:rsidR="00EA3D7E">
        <w:rPr>
          <w:rFonts w:ascii="Times New Roman" w:hAnsi="Times New Roman" w:cs="Times New Roman"/>
          <w:sz w:val="24"/>
          <w:szCs w:val="24"/>
          <w:lang w:val="en-US"/>
        </w:rPr>
        <w:t xml:space="preserve"> The methodology generates</w:t>
      </w:r>
      <w:r w:rsidR="00EA3D7E" w:rsidRPr="00EA3D7E">
        <w:rPr>
          <w:rFonts w:ascii="Times New Roman" w:hAnsi="Times New Roman" w:cs="Times New Roman"/>
          <w:sz w:val="24"/>
          <w:szCs w:val="24"/>
          <w:lang w:val="en-US"/>
        </w:rPr>
        <w:t xml:space="preserve"> an equation estimable</w:t>
      </w:r>
      <w:r w:rsidR="00EA3D7E">
        <w:rPr>
          <w:rFonts w:ascii="Times New Roman" w:hAnsi="Times New Roman" w:cs="Times New Roman"/>
          <w:sz w:val="24"/>
          <w:szCs w:val="24"/>
          <w:lang w:val="en-US"/>
        </w:rPr>
        <w:t xml:space="preserve"> </w:t>
      </w:r>
      <w:r w:rsidR="00EA3D7E" w:rsidRPr="00EA3D7E">
        <w:rPr>
          <w:rFonts w:ascii="Times New Roman" w:hAnsi="Times New Roman" w:cs="Times New Roman"/>
          <w:sz w:val="24"/>
          <w:szCs w:val="24"/>
          <w:lang w:val="en-US"/>
        </w:rPr>
        <w:t>by instrumental variables:</w:t>
      </w:r>
    </w:p>
    <w:p w:rsidR="007D05BF" w:rsidRDefault="007D05BF" w:rsidP="007D05BF">
      <w:pPr>
        <w:spacing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q</w:t>
      </w:r>
      <w:r w:rsidRPr="007D05B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q</w:t>
      </w:r>
      <w:r w:rsidRPr="007D05B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4B1F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q</w:t>
      </w:r>
      <w:r w:rsidRPr="007D05BF">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004B1FB6">
        <w:rPr>
          <w:rFonts w:ascii="Times New Roman" w:hAnsi="Times New Roman" w:cs="Times New Roman"/>
          <w:sz w:val="24"/>
          <w:szCs w:val="24"/>
          <w:lang w:val="en-US"/>
        </w:rPr>
        <w:t xml:space="preserve">  </w:t>
      </w:r>
      <w:r>
        <w:rPr>
          <w:rFonts w:ascii="Times New Roman" w:hAnsi="Times New Roman" w:cs="Times New Roman"/>
          <w:sz w:val="24"/>
          <w:szCs w:val="24"/>
          <w:lang w:val="en-US"/>
        </w:rPr>
        <w:t>q</w:t>
      </w:r>
      <w:r w:rsidRPr="007D05BF">
        <w:rPr>
          <w:rFonts w:ascii="Times New Roman" w:hAnsi="Times New Roman" w:cs="Times New Roman"/>
          <w:sz w:val="24"/>
          <w:szCs w:val="24"/>
          <w:vertAlign w:val="subscript"/>
          <w:lang w:val="en-US"/>
        </w:rPr>
        <w:t>4</w:t>
      </w:r>
    </w:p>
    <w:p w:rsidR="007D05BF" w:rsidRDefault="00E44283" w:rsidP="007D05B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Δ</w:t>
      </w:r>
      <w:proofErr w:type="spellStart"/>
      <w:r>
        <w:rPr>
          <w:rFonts w:ascii="Times New Roman" w:hAnsi="Times New Roman" w:cs="Times New Roman"/>
          <w:sz w:val="24"/>
          <w:szCs w:val="24"/>
          <w:lang w:val="en-US"/>
        </w:rPr>
        <w:t>logC</w:t>
      </w:r>
      <w:r w:rsidRPr="00E44283">
        <w:rPr>
          <w:rFonts w:ascii="Times New Roman" w:hAnsi="Times New Roman" w:cs="Times New Roman"/>
          <w:sz w:val="24"/>
          <w:szCs w:val="24"/>
          <w:vertAlign w:val="subscript"/>
          <w:lang w:val="en-US"/>
        </w:rPr>
        <w:t>i</w:t>
      </w:r>
      <w:r>
        <w:rPr>
          <w:rFonts w:ascii="Times New Roman" w:hAnsi="Times New Roman" w:cs="Times New Roman"/>
          <w:sz w:val="24"/>
          <w:szCs w:val="24"/>
          <w:vertAlign w:val="subscript"/>
          <w:lang w:val="en-US"/>
        </w:rPr>
        <w:t>,</w:t>
      </w:r>
      <w:r w:rsidRPr="00E44283">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b</w:t>
      </w:r>
      <w:r w:rsidRPr="00E44283">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w:t>
      </w:r>
      <w:r w:rsidR="007D05BF">
        <w:rPr>
          <w:rFonts w:ascii="Times New Roman" w:hAnsi="Times New Roman" w:cs="Times New Roman"/>
          <w:sz w:val="24"/>
          <w:szCs w:val="24"/>
          <w:lang w:val="en-US"/>
        </w:rPr>
        <w:t xml:space="preserve">+ </w:t>
      </w:r>
      <w:r w:rsidR="007D05BF" w:rsidRPr="007D05BF">
        <w:rPr>
          <w:rFonts w:ascii="Times New Roman" w:hAnsi="Times New Roman" w:cs="Times New Roman"/>
          <w:sz w:val="40"/>
          <w:szCs w:val="40"/>
        </w:rPr>
        <w:t>Σ</w:t>
      </w:r>
      <w:r w:rsidR="007D05BF">
        <w:rPr>
          <w:rFonts w:ascii="Times New Roman" w:hAnsi="Times New Roman" w:cs="Times New Roman"/>
          <w:sz w:val="24"/>
          <w:szCs w:val="24"/>
          <w:lang w:val="en-US"/>
        </w:rPr>
        <w:t>bi1</w:t>
      </w:r>
      <w:r>
        <w:rPr>
          <w:rFonts w:ascii="Times New Roman" w:hAnsi="Times New Roman" w:cs="Times New Roman"/>
          <w:sz w:val="24"/>
          <w:szCs w:val="24"/>
        </w:rPr>
        <w:t>Δ</w:t>
      </w:r>
      <w:proofErr w:type="spellStart"/>
      <w:r>
        <w:rPr>
          <w:rFonts w:ascii="Times New Roman" w:hAnsi="Times New Roman" w:cs="Times New Roman"/>
          <w:sz w:val="24"/>
          <w:szCs w:val="24"/>
          <w:lang w:val="en-US"/>
        </w:rPr>
        <w:t>logC</w:t>
      </w:r>
      <w:r w:rsidRPr="00E44283">
        <w:rPr>
          <w:rFonts w:ascii="Times New Roman" w:hAnsi="Times New Roman" w:cs="Times New Roman"/>
          <w:sz w:val="24"/>
          <w:szCs w:val="24"/>
          <w:vertAlign w:val="subscript"/>
          <w:lang w:val="en-US"/>
        </w:rPr>
        <w:t>i,t</w:t>
      </w:r>
      <w:proofErr w:type="spellEnd"/>
      <w:r w:rsidRPr="00E44283">
        <w:rPr>
          <w:rFonts w:ascii="Times New Roman" w:hAnsi="Times New Roman" w:cs="Times New Roman"/>
          <w:sz w:val="24"/>
          <w:szCs w:val="24"/>
          <w:vertAlign w:val="subscript"/>
          <w:lang w:val="en-US"/>
        </w:rPr>
        <w:t>-</w:t>
      </w:r>
      <w:r w:rsidR="00882A39">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 xml:space="preserve"> + </w:t>
      </w:r>
      <w:r w:rsidR="007D05BF" w:rsidRPr="007D05BF">
        <w:rPr>
          <w:rFonts w:ascii="Times New Roman" w:hAnsi="Times New Roman" w:cs="Times New Roman"/>
          <w:sz w:val="40"/>
          <w:szCs w:val="40"/>
        </w:rPr>
        <w:t>Σ</w:t>
      </w:r>
      <w:r>
        <w:rPr>
          <w:rFonts w:ascii="Times New Roman" w:hAnsi="Times New Roman" w:cs="Times New Roman"/>
          <w:sz w:val="24"/>
          <w:szCs w:val="24"/>
          <w:lang w:val="en-US"/>
        </w:rPr>
        <w:t>b</w:t>
      </w:r>
      <w:r w:rsidR="007D05BF">
        <w:rPr>
          <w:rFonts w:ascii="Times New Roman" w:hAnsi="Times New Roman" w:cs="Times New Roman"/>
          <w:sz w:val="24"/>
          <w:szCs w:val="24"/>
          <w:lang w:val="en-US"/>
        </w:rPr>
        <w:t>2i</w:t>
      </w:r>
      <w:r>
        <w:rPr>
          <w:rFonts w:ascii="Times New Roman" w:hAnsi="Times New Roman" w:cs="Times New Roman"/>
          <w:sz w:val="24"/>
          <w:szCs w:val="24"/>
        </w:rPr>
        <w:t>Δ</w:t>
      </w:r>
      <w:proofErr w:type="spellStart"/>
      <w:r>
        <w:rPr>
          <w:rFonts w:ascii="Times New Roman" w:hAnsi="Times New Roman" w:cs="Times New Roman"/>
          <w:sz w:val="24"/>
          <w:szCs w:val="24"/>
          <w:lang w:val="en-US"/>
        </w:rPr>
        <w:t>log</w:t>
      </w:r>
      <w:r w:rsidR="004B1FB6">
        <w:rPr>
          <w:rFonts w:ascii="Times New Roman" w:hAnsi="Times New Roman" w:cs="Times New Roman"/>
          <w:sz w:val="24"/>
          <w:szCs w:val="24"/>
          <w:lang w:val="en-US"/>
        </w:rPr>
        <w:t>DS</w:t>
      </w:r>
      <w:r w:rsidRPr="00E44283">
        <w:rPr>
          <w:rFonts w:ascii="Times New Roman" w:hAnsi="Times New Roman" w:cs="Times New Roman"/>
          <w:sz w:val="24"/>
          <w:szCs w:val="24"/>
          <w:vertAlign w:val="subscript"/>
          <w:lang w:val="en-US"/>
        </w:rPr>
        <w:t>i,t</w:t>
      </w:r>
      <w:proofErr w:type="spellEnd"/>
      <w:r w:rsidR="007D05BF">
        <w:rPr>
          <w:rFonts w:ascii="Times New Roman" w:hAnsi="Times New Roman" w:cs="Times New Roman"/>
          <w:sz w:val="24"/>
          <w:szCs w:val="24"/>
          <w:vertAlign w:val="subscript"/>
          <w:lang w:val="en-US"/>
        </w:rPr>
        <w:t>-</w:t>
      </w:r>
      <w:r w:rsidR="00882A39">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 xml:space="preserve"> + </w:t>
      </w:r>
      <w:r w:rsidR="007D05BF" w:rsidRPr="007D05BF">
        <w:rPr>
          <w:rFonts w:ascii="Times New Roman" w:hAnsi="Times New Roman" w:cs="Times New Roman"/>
          <w:sz w:val="40"/>
          <w:szCs w:val="40"/>
        </w:rPr>
        <w:t>Σ</w:t>
      </w:r>
      <w:r>
        <w:rPr>
          <w:rFonts w:ascii="Times New Roman" w:hAnsi="Times New Roman" w:cs="Times New Roman"/>
          <w:sz w:val="24"/>
          <w:szCs w:val="24"/>
          <w:lang w:val="en-US"/>
        </w:rPr>
        <w:t>b</w:t>
      </w:r>
      <w:r w:rsidR="007D05BF" w:rsidRPr="007D05BF">
        <w:rPr>
          <w:rFonts w:ascii="Times New Roman" w:hAnsi="Times New Roman" w:cs="Times New Roman"/>
          <w:sz w:val="24"/>
          <w:szCs w:val="24"/>
          <w:vertAlign w:val="subscript"/>
          <w:lang w:val="en-US"/>
        </w:rPr>
        <w:t>3</w:t>
      </w:r>
      <w:r w:rsidR="007D05BF">
        <w:rPr>
          <w:rFonts w:ascii="Times New Roman" w:hAnsi="Times New Roman" w:cs="Times New Roman"/>
          <w:sz w:val="24"/>
          <w:szCs w:val="24"/>
          <w:vertAlign w:val="subscript"/>
          <w:lang w:val="en-US"/>
        </w:rPr>
        <w:t>i</w:t>
      </w:r>
      <w:r>
        <w:rPr>
          <w:rFonts w:ascii="Times New Roman" w:hAnsi="Times New Roman" w:cs="Times New Roman"/>
          <w:sz w:val="24"/>
          <w:szCs w:val="24"/>
        </w:rPr>
        <w:t>Δ</w:t>
      </w:r>
      <w:proofErr w:type="spellStart"/>
      <w:r>
        <w:rPr>
          <w:rFonts w:ascii="Times New Roman" w:hAnsi="Times New Roman" w:cs="Times New Roman"/>
          <w:sz w:val="24"/>
          <w:szCs w:val="24"/>
          <w:lang w:val="en-US"/>
        </w:rPr>
        <w:t>log</w:t>
      </w:r>
      <w:r w:rsidR="004B1FB6">
        <w:rPr>
          <w:rFonts w:ascii="Times New Roman" w:hAnsi="Times New Roman" w:cs="Times New Roman"/>
          <w:sz w:val="24"/>
          <w:szCs w:val="24"/>
          <w:lang w:val="en-US"/>
        </w:rPr>
        <w:t>Y</w:t>
      </w:r>
      <w:r w:rsidRPr="00E44283">
        <w:rPr>
          <w:rFonts w:ascii="Times New Roman" w:hAnsi="Times New Roman" w:cs="Times New Roman"/>
          <w:sz w:val="24"/>
          <w:szCs w:val="24"/>
          <w:vertAlign w:val="subscript"/>
          <w:lang w:val="en-US"/>
        </w:rPr>
        <w:t>i,t</w:t>
      </w:r>
      <w:proofErr w:type="spellEnd"/>
      <w:r w:rsidR="007D05BF" w:rsidRPr="007D05BF">
        <w:rPr>
          <w:rFonts w:ascii="Times New Roman" w:hAnsi="Times New Roman" w:cs="Times New Roman"/>
          <w:sz w:val="24"/>
          <w:szCs w:val="24"/>
          <w:vertAlign w:val="subscript"/>
          <w:lang w:val="en-US"/>
        </w:rPr>
        <w:t>-</w:t>
      </w:r>
      <w:r w:rsidR="00882A39">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 xml:space="preserve"> + </w:t>
      </w:r>
      <w:r w:rsidR="007D05BF" w:rsidRPr="007D05BF">
        <w:rPr>
          <w:rFonts w:ascii="Times New Roman" w:hAnsi="Times New Roman" w:cs="Times New Roman"/>
          <w:sz w:val="40"/>
          <w:szCs w:val="40"/>
        </w:rPr>
        <w:t>Σ</w:t>
      </w:r>
      <w:r>
        <w:rPr>
          <w:rFonts w:ascii="Times New Roman" w:hAnsi="Times New Roman" w:cs="Times New Roman"/>
          <w:sz w:val="24"/>
          <w:szCs w:val="24"/>
          <w:lang w:val="en-US"/>
        </w:rPr>
        <w:t>b</w:t>
      </w:r>
      <w:r w:rsidR="006220DD">
        <w:rPr>
          <w:rFonts w:ascii="Times New Roman" w:hAnsi="Times New Roman" w:cs="Times New Roman"/>
          <w:sz w:val="24"/>
          <w:szCs w:val="24"/>
          <w:vertAlign w:val="subscript"/>
          <w:lang w:val="en-US"/>
        </w:rPr>
        <w:t>4</w:t>
      </w:r>
      <w:r w:rsidR="007D05BF">
        <w:rPr>
          <w:rFonts w:ascii="Times New Roman" w:hAnsi="Times New Roman" w:cs="Times New Roman"/>
          <w:sz w:val="24"/>
          <w:szCs w:val="24"/>
          <w:vertAlign w:val="subscript"/>
          <w:lang w:val="en-US"/>
        </w:rPr>
        <w:t>i</w:t>
      </w:r>
      <w:r>
        <w:rPr>
          <w:rFonts w:ascii="Times New Roman" w:hAnsi="Times New Roman" w:cs="Times New Roman"/>
          <w:sz w:val="24"/>
          <w:szCs w:val="24"/>
        </w:rPr>
        <w:t>Δ</w:t>
      </w:r>
      <w:proofErr w:type="spellStart"/>
      <w:r>
        <w:rPr>
          <w:rFonts w:ascii="Times New Roman" w:hAnsi="Times New Roman" w:cs="Times New Roman"/>
          <w:sz w:val="24"/>
          <w:szCs w:val="24"/>
          <w:lang w:val="en-US"/>
        </w:rPr>
        <w:t>log</w:t>
      </w:r>
      <w:r w:rsidR="004B1FB6">
        <w:rPr>
          <w:rFonts w:ascii="Times New Roman" w:hAnsi="Times New Roman" w:cs="Times New Roman"/>
          <w:sz w:val="24"/>
          <w:szCs w:val="24"/>
          <w:lang w:val="en-US"/>
        </w:rPr>
        <w:t>S</w:t>
      </w:r>
      <w:r w:rsidRPr="00E44283">
        <w:rPr>
          <w:rFonts w:ascii="Times New Roman" w:hAnsi="Times New Roman" w:cs="Times New Roman"/>
          <w:sz w:val="24"/>
          <w:szCs w:val="24"/>
          <w:vertAlign w:val="subscript"/>
          <w:lang w:val="en-US"/>
        </w:rPr>
        <w:t>i,t</w:t>
      </w:r>
      <w:proofErr w:type="spellEnd"/>
      <w:r w:rsidR="007D05BF">
        <w:rPr>
          <w:rFonts w:ascii="Times New Roman" w:hAnsi="Times New Roman" w:cs="Times New Roman"/>
          <w:sz w:val="24"/>
          <w:szCs w:val="24"/>
          <w:vertAlign w:val="subscript"/>
          <w:lang w:val="en-US"/>
        </w:rPr>
        <w:t>-</w:t>
      </w:r>
      <w:r w:rsidR="00882A39">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 xml:space="preserve"> + </w:t>
      </w:r>
    </w:p>
    <w:p w:rsidR="007D05BF" w:rsidRDefault="007D05BF" w:rsidP="007D05BF">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82A39">
        <w:rPr>
          <w:rFonts w:ascii="Times New Roman" w:hAnsi="Times New Roman" w:cs="Times New Roman"/>
          <w:sz w:val="24"/>
          <w:szCs w:val="24"/>
          <w:lang w:val="en-US"/>
        </w:rPr>
        <w:t>j</w:t>
      </w:r>
      <w:r>
        <w:rPr>
          <w:rFonts w:ascii="Times New Roman" w:hAnsi="Times New Roman" w:cs="Times New Roman"/>
          <w:sz w:val="24"/>
          <w:szCs w:val="24"/>
          <w:lang w:val="en-US"/>
        </w:rPr>
        <w:t xml:space="preserve">=1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882A39">
        <w:rPr>
          <w:rFonts w:ascii="Times New Roman" w:hAnsi="Times New Roman" w:cs="Times New Roman"/>
          <w:sz w:val="24"/>
          <w:szCs w:val="24"/>
          <w:lang w:val="en-US"/>
        </w:rPr>
        <w:t>j</w:t>
      </w:r>
      <w:r>
        <w:rPr>
          <w:rFonts w:ascii="Times New Roman" w:hAnsi="Times New Roman" w:cs="Times New Roman"/>
          <w:sz w:val="24"/>
          <w:szCs w:val="24"/>
          <w:lang w:val="en-US"/>
        </w:rPr>
        <w:t xml:space="preserve">=0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4B1F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82A39">
        <w:rPr>
          <w:rFonts w:ascii="Times New Roman" w:hAnsi="Times New Roman" w:cs="Times New Roman"/>
          <w:sz w:val="24"/>
          <w:szCs w:val="24"/>
          <w:lang w:val="en-US"/>
        </w:rPr>
        <w:t>j</w:t>
      </w:r>
      <w:r>
        <w:rPr>
          <w:rFonts w:ascii="Times New Roman" w:hAnsi="Times New Roman" w:cs="Times New Roman"/>
          <w:sz w:val="24"/>
          <w:szCs w:val="24"/>
          <w:lang w:val="en-US"/>
        </w:rPr>
        <w:t xml:space="preserve">=0  </w:t>
      </w:r>
      <w:r>
        <w:rPr>
          <w:rFonts w:ascii="Times New Roman" w:hAnsi="Times New Roman" w:cs="Times New Roman"/>
          <w:sz w:val="24"/>
          <w:szCs w:val="24"/>
          <w:lang w:val="en-US"/>
        </w:rPr>
        <w:tab/>
        <w:t xml:space="preserve">   </w:t>
      </w:r>
      <w:r w:rsidR="004B1F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82A39">
        <w:rPr>
          <w:rFonts w:ascii="Times New Roman" w:hAnsi="Times New Roman" w:cs="Times New Roman"/>
          <w:sz w:val="24"/>
          <w:szCs w:val="24"/>
          <w:lang w:val="en-US"/>
        </w:rPr>
        <w:t>j</w:t>
      </w:r>
      <w:r>
        <w:rPr>
          <w:rFonts w:ascii="Times New Roman" w:hAnsi="Times New Roman" w:cs="Times New Roman"/>
          <w:sz w:val="24"/>
          <w:szCs w:val="24"/>
          <w:lang w:val="en-US"/>
        </w:rPr>
        <w:t>=0</w:t>
      </w:r>
    </w:p>
    <w:p w:rsidR="007D05BF" w:rsidRDefault="007D05BF" w:rsidP="007D05BF">
      <w:pPr>
        <w:spacing w:line="240" w:lineRule="auto"/>
        <w:jc w:val="both"/>
        <w:rPr>
          <w:rFonts w:ascii="Times New Roman" w:hAnsi="Times New Roman" w:cs="Times New Roman"/>
          <w:sz w:val="24"/>
          <w:szCs w:val="24"/>
          <w:lang w:val="en-US"/>
        </w:rPr>
      </w:pPr>
    </w:p>
    <w:p w:rsidR="00AD3B15" w:rsidRDefault="00AD3B15" w:rsidP="007D05BF">
      <w:pPr>
        <w:spacing w:line="240" w:lineRule="auto"/>
        <w:jc w:val="both"/>
        <w:rPr>
          <w:rFonts w:ascii="Times New Roman" w:hAnsi="Times New Roman" w:cs="Times New Roman"/>
          <w:sz w:val="24"/>
          <w:szCs w:val="24"/>
          <w:lang w:val="en-US"/>
        </w:rPr>
      </w:pPr>
    </w:p>
    <w:p w:rsidR="00AD3B15" w:rsidRDefault="00AD3B15" w:rsidP="007D05BF">
      <w:pPr>
        <w:spacing w:line="240" w:lineRule="auto"/>
        <w:jc w:val="both"/>
        <w:rPr>
          <w:rFonts w:ascii="Times New Roman" w:hAnsi="Times New Roman" w:cs="Times New Roman"/>
          <w:sz w:val="24"/>
          <w:szCs w:val="24"/>
          <w:lang w:val="en-US"/>
        </w:rPr>
      </w:pPr>
    </w:p>
    <w:p w:rsidR="007D05BF" w:rsidRPr="004B1FB6" w:rsidRDefault="007D05BF" w:rsidP="007D05B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q</w:t>
      </w:r>
      <w:r w:rsidRPr="007D05BF">
        <w:rPr>
          <w:rFonts w:ascii="Times New Roman" w:hAnsi="Times New Roman" w:cs="Times New Roman"/>
          <w:sz w:val="24"/>
          <w:szCs w:val="24"/>
          <w:vertAlign w:val="subscript"/>
          <w:lang w:val="en-US"/>
        </w:rPr>
        <w:t>5</w:t>
      </w:r>
      <w:r w:rsidR="004B1FB6">
        <w:rPr>
          <w:rFonts w:ascii="Times New Roman" w:hAnsi="Times New Roman" w:cs="Times New Roman"/>
          <w:sz w:val="24"/>
          <w:szCs w:val="24"/>
          <w:lang w:val="en-US"/>
        </w:rPr>
        <w:t xml:space="preserve">                     </w:t>
      </w:r>
    </w:p>
    <w:p w:rsidR="00EA3D7E" w:rsidRPr="00A2766A" w:rsidRDefault="004B1FB6" w:rsidP="007D05BF">
      <w:pPr>
        <w:spacing w:line="240" w:lineRule="auto"/>
        <w:jc w:val="both"/>
        <w:rPr>
          <w:rFonts w:ascii="Times New Roman" w:hAnsi="Times New Roman" w:cs="Times New Roman"/>
          <w:sz w:val="24"/>
          <w:szCs w:val="24"/>
          <w:lang w:val="en-US"/>
        </w:rPr>
      </w:pPr>
      <w:r w:rsidRPr="007D05BF">
        <w:rPr>
          <w:rFonts w:ascii="Times New Roman" w:hAnsi="Times New Roman" w:cs="Times New Roman"/>
          <w:sz w:val="40"/>
          <w:szCs w:val="40"/>
        </w:rPr>
        <w:t>Σ</w:t>
      </w:r>
      <w:r>
        <w:rPr>
          <w:rFonts w:ascii="Times New Roman" w:hAnsi="Times New Roman" w:cs="Times New Roman"/>
          <w:sz w:val="24"/>
          <w:szCs w:val="24"/>
          <w:lang w:val="en-US"/>
        </w:rPr>
        <w:t>b</w:t>
      </w:r>
      <w:r w:rsidR="006220DD">
        <w:rPr>
          <w:rFonts w:ascii="Times New Roman" w:hAnsi="Times New Roman" w:cs="Times New Roman"/>
          <w:sz w:val="24"/>
          <w:szCs w:val="24"/>
          <w:vertAlign w:val="subscript"/>
          <w:lang w:val="en-US"/>
        </w:rPr>
        <w:t>5</w:t>
      </w:r>
      <w:r>
        <w:rPr>
          <w:rFonts w:ascii="Times New Roman" w:hAnsi="Times New Roman" w:cs="Times New Roman"/>
          <w:sz w:val="24"/>
          <w:szCs w:val="24"/>
          <w:vertAlign w:val="subscript"/>
          <w:lang w:val="en-US"/>
        </w:rPr>
        <w:t>i</w:t>
      </w:r>
      <w:r>
        <w:rPr>
          <w:rFonts w:ascii="Times New Roman" w:hAnsi="Times New Roman" w:cs="Times New Roman"/>
          <w:sz w:val="24"/>
          <w:szCs w:val="24"/>
        </w:rPr>
        <w:t>Δ</w:t>
      </w:r>
      <w:proofErr w:type="spellStart"/>
      <w:r>
        <w:rPr>
          <w:rFonts w:ascii="Times New Roman" w:hAnsi="Times New Roman" w:cs="Times New Roman"/>
          <w:sz w:val="24"/>
          <w:szCs w:val="24"/>
          <w:lang w:val="en-US"/>
        </w:rPr>
        <w:t>logH</w:t>
      </w:r>
      <w:r w:rsidRPr="00E44283">
        <w:rPr>
          <w:rFonts w:ascii="Times New Roman" w:hAnsi="Times New Roman" w:cs="Times New Roman"/>
          <w:sz w:val="24"/>
          <w:szCs w:val="24"/>
          <w:vertAlign w:val="subscript"/>
          <w:lang w:val="en-US"/>
        </w:rPr>
        <w:t>i,t</w:t>
      </w:r>
      <w:proofErr w:type="spellEnd"/>
      <w:r>
        <w:rPr>
          <w:rFonts w:ascii="Times New Roman" w:hAnsi="Times New Roman" w:cs="Times New Roman"/>
          <w:sz w:val="24"/>
          <w:szCs w:val="24"/>
          <w:vertAlign w:val="subscript"/>
          <w:lang w:val="en-US"/>
        </w:rPr>
        <w:t>-</w:t>
      </w:r>
      <w:r w:rsidR="00882A39">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 xml:space="preserve"> + </w:t>
      </w:r>
      <w:r w:rsidR="007D05BF">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4</w:t>
      </w:r>
      <w:r w:rsidR="007D05BF">
        <w:rPr>
          <w:rFonts w:ascii="Times New Roman" w:hAnsi="Times New Roman" w:cs="Times New Roman"/>
          <w:sz w:val="24"/>
          <w:szCs w:val="24"/>
          <w:lang w:val="en-US"/>
        </w:rPr>
        <w:t xml:space="preserve"> DUM 2008 + </w:t>
      </w:r>
      <w:r w:rsidR="002D15DB">
        <w:rPr>
          <w:rFonts w:ascii="Times New Roman" w:hAnsi="Times New Roman" w:cs="Times New Roman"/>
          <w:sz w:val="24"/>
          <w:szCs w:val="24"/>
          <w:lang w:val="en-US"/>
        </w:rPr>
        <w:t>b</w:t>
      </w:r>
      <w:r w:rsidR="002D15DB" w:rsidRPr="002D15DB">
        <w:rPr>
          <w:rFonts w:ascii="Times New Roman" w:hAnsi="Times New Roman" w:cs="Times New Roman"/>
          <w:sz w:val="24"/>
          <w:szCs w:val="24"/>
          <w:vertAlign w:val="subscript"/>
          <w:lang w:val="en-US"/>
        </w:rPr>
        <w:t>5</w:t>
      </w:r>
      <w:r w:rsidR="002D15DB">
        <w:rPr>
          <w:rFonts w:ascii="Times New Roman" w:hAnsi="Times New Roman" w:cs="Times New Roman"/>
          <w:sz w:val="24"/>
          <w:szCs w:val="24"/>
          <w:lang w:val="en-US"/>
        </w:rPr>
        <w:t xml:space="preserve"> </w:t>
      </w:r>
      <w:r w:rsidR="00112808">
        <w:rPr>
          <w:rFonts w:ascii="Times New Roman" w:hAnsi="Times New Roman" w:cs="Times New Roman"/>
          <w:sz w:val="24"/>
          <w:szCs w:val="24"/>
        </w:rPr>
        <w:t>Δ</w:t>
      </w:r>
      <w:proofErr w:type="spellStart"/>
      <w:r w:rsidR="002D15DB">
        <w:rPr>
          <w:rFonts w:ascii="Times New Roman" w:hAnsi="Times New Roman" w:cs="Times New Roman"/>
          <w:sz w:val="24"/>
          <w:szCs w:val="24"/>
          <w:lang w:val="en-US"/>
        </w:rPr>
        <w:t>DS</w:t>
      </w:r>
      <w:r w:rsidR="00882A39" w:rsidRPr="00882A39">
        <w:rPr>
          <w:rFonts w:ascii="Times New Roman" w:hAnsi="Times New Roman" w:cs="Times New Roman"/>
          <w:sz w:val="24"/>
          <w:szCs w:val="24"/>
          <w:vertAlign w:val="subscript"/>
          <w:lang w:val="en-US"/>
        </w:rPr>
        <w:t>i</w:t>
      </w:r>
      <w:proofErr w:type="spellEnd"/>
      <w:r w:rsidR="002D15DB">
        <w:rPr>
          <w:rFonts w:ascii="Times New Roman" w:hAnsi="Times New Roman" w:cs="Times New Roman"/>
          <w:sz w:val="24"/>
          <w:szCs w:val="24"/>
          <w:lang w:val="en-US"/>
        </w:rPr>
        <w:t xml:space="preserve"> x develop + </w:t>
      </w:r>
      <w:r w:rsidR="00A2766A">
        <w:rPr>
          <w:rFonts w:ascii="Times New Roman" w:hAnsi="Times New Roman" w:cs="Times New Roman"/>
          <w:sz w:val="24"/>
          <w:szCs w:val="24"/>
        </w:rPr>
        <w:t>Δε</w:t>
      </w:r>
      <w:proofErr w:type="spellStart"/>
      <w:r w:rsidR="00A2766A" w:rsidRPr="0043171B">
        <w:rPr>
          <w:rFonts w:ascii="Times New Roman" w:hAnsi="Times New Roman" w:cs="Times New Roman"/>
          <w:sz w:val="24"/>
          <w:szCs w:val="24"/>
          <w:vertAlign w:val="subscript"/>
          <w:lang w:val="en-US"/>
        </w:rPr>
        <w:t>i,t</w:t>
      </w:r>
      <w:proofErr w:type="spellEnd"/>
      <w:r w:rsidR="00A2766A">
        <w:rPr>
          <w:rFonts w:ascii="Times New Roman" w:hAnsi="Times New Roman" w:cs="Times New Roman"/>
          <w:sz w:val="24"/>
          <w:szCs w:val="24"/>
          <w:lang w:val="en-US"/>
        </w:rPr>
        <w:t xml:space="preserve"> </w:t>
      </w:r>
      <w:r w:rsidR="002D15DB">
        <w:rPr>
          <w:rFonts w:ascii="Times New Roman" w:hAnsi="Times New Roman" w:cs="Times New Roman"/>
          <w:sz w:val="24"/>
          <w:szCs w:val="24"/>
          <w:lang w:val="en-US"/>
        </w:rPr>
        <w:tab/>
      </w:r>
      <w:r w:rsidR="002D15DB">
        <w:rPr>
          <w:rFonts w:ascii="Times New Roman" w:hAnsi="Times New Roman" w:cs="Times New Roman"/>
          <w:sz w:val="24"/>
          <w:szCs w:val="24"/>
          <w:lang w:val="en-US"/>
        </w:rPr>
        <w:tab/>
      </w:r>
      <w:r w:rsidR="002D15DB">
        <w:rPr>
          <w:rFonts w:ascii="Times New Roman" w:hAnsi="Times New Roman" w:cs="Times New Roman"/>
          <w:sz w:val="24"/>
          <w:szCs w:val="24"/>
          <w:lang w:val="en-US"/>
        </w:rPr>
        <w:tab/>
      </w:r>
      <w:r w:rsidR="002D15DB">
        <w:rPr>
          <w:rFonts w:ascii="Times New Roman" w:hAnsi="Times New Roman" w:cs="Times New Roman"/>
          <w:sz w:val="24"/>
          <w:szCs w:val="24"/>
          <w:lang w:val="en-US"/>
        </w:rPr>
        <w:tab/>
      </w:r>
      <w:r w:rsidR="00A2766A">
        <w:rPr>
          <w:rFonts w:ascii="Times New Roman" w:hAnsi="Times New Roman" w:cs="Times New Roman"/>
          <w:sz w:val="24"/>
          <w:szCs w:val="24"/>
          <w:lang w:val="en-US"/>
        </w:rPr>
        <w:t>(</w:t>
      </w:r>
      <w:r w:rsidR="00121AAF">
        <w:rPr>
          <w:rFonts w:ascii="Times New Roman" w:hAnsi="Times New Roman" w:cs="Times New Roman"/>
          <w:sz w:val="24"/>
          <w:szCs w:val="24"/>
          <w:lang w:val="en-US"/>
        </w:rPr>
        <w:t>7</w:t>
      </w:r>
      <w:r w:rsidR="00A2766A">
        <w:rPr>
          <w:rFonts w:ascii="Times New Roman" w:hAnsi="Times New Roman" w:cs="Times New Roman"/>
          <w:sz w:val="24"/>
          <w:szCs w:val="24"/>
          <w:lang w:val="en-US"/>
        </w:rPr>
        <w:t>)</w:t>
      </w:r>
    </w:p>
    <w:p w:rsidR="007D05BF" w:rsidRDefault="00882A39" w:rsidP="004B1FB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007D05BF">
        <w:rPr>
          <w:rFonts w:ascii="Times New Roman" w:hAnsi="Times New Roman" w:cs="Times New Roman"/>
          <w:sz w:val="24"/>
          <w:szCs w:val="24"/>
          <w:lang w:val="en-US"/>
        </w:rPr>
        <w:t>=0</w:t>
      </w:r>
      <w:r w:rsidR="004B1FB6">
        <w:rPr>
          <w:rFonts w:ascii="Times New Roman" w:hAnsi="Times New Roman" w:cs="Times New Roman"/>
          <w:sz w:val="24"/>
          <w:szCs w:val="24"/>
          <w:lang w:val="en-US"/>
        </w:rPr>
        <w:t xml:space="preserve">  </w:t>
      </w:r>
      <w:r w:rsidR="004B1FB6">
        <w:rPr>
          <w:rFonts w:ascii="Times New Roman" w:hAnsi="Times New Roman" w:cs="Times New Roman"/>
          <w:sz w:val="24"/>
          <w:szCs w:val="24"/>
          <w:lang w:val="en-US"/>
        </w:rPr>
        <w:tab/>
      </w:r>
      <w:r w:rsidR="004B1FB6">
        <w:rPr>
          <w:rFonts w:ascii="Times New Roman" w:hAnsi="Times New Roman" w:cs="Times New Roman"/>
          <w:sz w:val="24"/>
          <w:szCs w:val="24"/>
          <w:lang w:val="en-US"/>
        </w:rPr>
        <w:tab/>
        <w:t xml:space="preserve">  </w:t>
      </w:r>
    </w:p>
    <w:p w:rsidR="004B1FB6" w:rsidRDefault="004B1FB6" w:rsidP="004B1FB6">
      <w:pPr>
        <w:spacing w:line="240" w:lineRule="auto"/>
        <w:jc w:val="both"/>
        <w:rPr>
          <w:rFonts w:ascii="Times New Roman" w:hAnsi="Times New Roman" w:cs="Times New Roman"/>
          <w:sz w:val="24"/>
          <w:szCs w:val="24"/>
          <w:lang w:val="en-US"/>
        </w:rPr>
      </w:pPr>
    </w:p>
    <w:p w:rsidR="00E44283" w:rsidRPr="00E44283" w:rsidRDefault="00A564D7" w:rsidP="00A2766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A2766A">
        <w:rPr>
          <w:rFonts w:ascii="Times New Roman" w:hAnsi="Times New Roman" w:cs="Times New Roman"/>
          <w:sz w:val="24"/>
          <w:szCs w:val="24"/>
          <w:lang w:val="en-US"/>
        </w:rPr>
        <w:t>here</w:t>
      </w:r>
      <w:r w:rsidR="00A2766A" w:rsidRPr="00A2766A">
        <w:rPr>
          <w:rFonts w:ascii="Times New Roman" w:hAnsi="Times New Roman" w:cs="Times New Roman"/>
          <w:sz w:val="24"/>
          <w:szCs w:val="24"/>
          <w:lang w:val="en-US"/>
        </w:rPr>
        <w:t xml:space="preserve"> </w:t>
      </w:r>
      <w:r w:rsidR="00A2766A">
        <w:rPr>
          <w:rFonts w:ascii="Times New Roman" w:hAnsi="Times New Roman" w:cs="Times New Roman"/>
          <w:sz w:val="24"/>
          <w:szCs w:val="24"/>
        </w:rPr>
        <w:t>Δ</w:t>
      </w:r>
      <w:r w:rsidR="00A2766A" w:rsidRPr="00A2766A">
        <w:rPr>
          <w:rFonts w:ascii="Times New Roman" w:hAnsi="Times New Roman" w:cs="Times New Roman"/>
          <w:sz w:val="24"/>
          <w:szCs w:val="24"/>
          <w:lang w:val="en-US"/>
        </w:rPr>
        <w:t xml:space="preserve"> is the </w:t>
      </w:r>
      <w:r w:rsidR="0043171B">
        <w:rPr>
          <w:rFonts w:ascii="Times New Roman" w:hAnsi="Times New Roman" w:cs="Times New Roman"/>
          <w:sz w:val="24"/>
          <w:szCs w:val="24"/>
          <w:lang w:val="en-US"/>
        </w:rPr>
        <w:t>first difference</w:t>
      </w:r>
      <w:r w:rsidR="00A2766A" w:rsidRPr="00A2766A">
        <w:rPr>
          <w:rFonts w:ascii="Times New Roman" w:hAnsi="Times New Roman" w:cs="Times New Roman"/>
          <w:sz w:val="24"/>
          <w:szCs w:val="24"/>
          <w:lang w:val="en-US"/>
        </w:rPr>
        <w:t xml:space="preserve"> </w:t>
      </w:r>
      <w:r w:rsidR="0043171B">
        <w:rPr>
          <w:rFonts w:ascii="Times New Roman" w:hAnsi="Times New Roman" w:cs="Times New Roman"/>
          <w:sz w:val="24"/>
          <w:szCs w:val="24"/>
          <w:lang w:val="en-US"/>
        </w:rPr>
        <w:t>operator</w:t>
      </w:r>
      <w:r w:rsidR="00A2766A" w:rsidRPr="00A2766A">
        <w:rPr>
          <w:rFonts w:ascii="Times New Roman" w:hAnsi="Times New Roman" w:cs="Times New Roman"/>
          <w:sz w:val="24"/>
          <w:szCs w:val="24"/>
          <w:lang w:val="en-US"/>
        </w:rPr>
        <w:t xml:space="preserve">, </w:t>
      </w:r>
      <w:proofErr w:type="spellStart"/>
      <w:r w:rsidR="00E44283" w:rsidRPr="00E44283">
        <w:rPr>
          <w:rFonts w:ascii="Times New Roman" w:hAnsi="Times New Roman" w:cs="Times New Roman"/>
          <w:sz w:val="24"/>
          <w:szCs w:val="24"/>
          <w:lang w:val="en-US"/>
        </w:rPr>
        <w:t>C</w:t>
      </w:r>
      <w:r w:rsidR="00E44283" w:rsidRPr="00A2766A">
        <w:rPr>
          <w:rFonts w:ascii="Times New Roman" w:hAnsi="Times New Roman" w:cs="Times New Roman"/>
          <w:sz w:val="24"/>
          <w:szCs w:val="24"/>
          <w:vertAlign w:val="subscript"/>
          <w:lang w:val="en-US"/>
        </w:rPr>
        <w:t>i</w:t>
      </w:r>
      <w:r w:rsidR="00A2766A" w:rsidRPr="00A2766A">
        <w:rPr>
          <w:rFonts w:ascii="Times New Roman" w:hAnsi="Times New Roman" w:cs="Times New Roman"/>
          <w:sz w:val="24"/>
          <w:szCs w:val="24"/>
          <w:vertAlign w:val="subscript"/>
          <w:lang w:val="en-US"/>
        </w:rPr>
        <w:t>,</w:t>
      </w:r>
      <w:r w:rsidR="00E44283" w:rsidRPr="00A2766A">
        <w:rPr>
          <w:rFonts w:ascii="Times New Roman" w:hAnsi="Times New Roman" w:cs="Times New Roman"/>
          <w:sz w:val="24"/>
          <w:szCs w:val="24"/>
          <w:vertAlign w:val="subscript"/>
          <w:lang w:val="en-US"/>
        </w:rPr>
        <w:t>t</w:t>
      </w:r>
      <w:proofErr w:type="spellEnd"/>
      <w:r w:rsidR="00E44283" w:rsidRPr="00E44283">
        <w:rPr>
          <w:rFonts w:ascii="Times New Roman" w:hAnsi="Times New Roman" w:cs="Times New Roman"/>
          <w:sz w:val="24"/>
          <w:szCs w:val="24"/>
          <w:lang w:val="en-US"/>
        </w:rPr>
        <w:t xml:space="preserve"> stands for the consumption of country </w:t>
      </w:r>
      <w:proofErr w:type="spellStart"/>
      <w:r w:rsidR="00E44283" w:rsidRPr="00E44283">
        <w:rPr>
          <w:rFonts w:ascii="Times New Roman" w:hAnsi="Times New Roman" w:cs="Times New Roman"/>
          <w:sz w:val="24"/>
          <w:szCs w:val="24"/>
          <w:lang w:val="en-US"/>
        </w:rPr>
        <w:t>i</w:t>
      </w:r>
      <w:proofErr w:type="spellEnd"/>
      <w:r w:rsidR="00E44283" w:rsidRPr="00E44283">
        <w:rPr>
          <w:rFonts w:ascii="Times New Roman" w:hAnsi="Times New Roman" w:cs="Times New Roman"/>
          <w:sz w:val="24"/>
          <w:szCs w:val="24"/>
          <w:lang w:val="en-US"/>
        </w:rPr>
        <w:t xml:space="preserve"> at time t, </w:t>
      </w:r>
      <w:proofErr w:type="spellStart"/>
      <w:r w:rsidR="004B1FB6">
        <w:rPr>
          <w:rFonts w:ascii="Times New Roman" w:hAnsi="Times New Roman" w:cs="Times New Roman"/>
          <w:sz w:val="24"/>
          <w:szCs w:val="24"/>
          <w:lang w:val="en-US"/>
        </w:rPr>
        <w:t>D</w:t>
      </w:r>
      <w:r w:rsidR="004B1FB6" w:rsidRPr="004B1FB6">
        <w:rPr>
          <w:rFonts w:ascii="Times New Roman" w:hAnsi="Times New Roman" w:cs="Times New Roman"/>
          <w:sz w:val="24"/>
          <w:szCs w:val="24"/>
          <w:lang w:val="en-US"/>
        </w:rPr>
        <w:t>S</w:t>
      </w:r>
      <w:r w:rsidR="004B1FB6" w:rsidRPr="004B1FB6">
        <w:rPr>
          <w:rFonts w:ascii="Times New Roman" w:hAnsi="Times New Roman" w:cs="Times New Roman"/>
          <w:sz w:val="24"/>
          <w:szCs w:val="24"/>
          <w:vertAlign w:val="subscript"/>
          <w:lang w:val="en-US"/>
        </w:rPr>
        <w:t>i,t</w:t>
      </w:r>
      <w:proofErr w:type="spellEnd"/>
      <w:r w:rsidR="004B1FB6">
        <w:rPr>
          <w:rFonts w:ascii="Times New Roman" w:hAnsi="Times New Roman" w:cs="Times New Roman"/>
          <w:sz w:val="24"/>
          <w:szCs w:val="24"/>
          <w:lang w:val="en-US"/>
        </w:rPr>
        <w:t xml:space="preserve"> denotes the debt-service ratio, </w:t>
      </w:r>
      <w:proofErr w:type="spellStart"/>
      <w:r w:rsidR="00E44283" w:rsidRPr="00E44283">
        <w:rPr>
          <w:rFonts w:ascii="Times New Roman" w:hAnsi="Times New Roman" w:cs="Times New Roman"/>
          <w:sz w:val="24"/>
          <w:szCs w:val="24"/>
          <w:lang w:val="en-US"/>
        </w:rPr>
        <w:t>Y</w:t>
      </w:r>
      <w:r w:rsidR="00E44283" w:rsidRPr="00A2766A">
        <w:rPr>
          <w:rFonts w:ascii="Times New Roman" w:hAnsi="Times New Roman" w:cs="Times New Roman"/>
          <w:sz w:val="24"/>
          <w:szCs w:val="24"/>
          <w:vertAlign w:val="subscript"/>
          <w:lang w:val="en-US"/>
        </w:rPr>
        <w:t>i</w:t>
      </w:r>
      <w:r w:rsidR="00A2766A" w:rsidRPr="00A2766A">
        <w:rPr>
          <w:rFonts w:ascii="Times New Roman" w:hAnsi="Times New Roman" w:cs="Times New Roman"/>
          <w:sz w:val="24"/>
          <w:szCs w:val="24"/>
          <w:vertAlign w:val="subscript"/>
          <w:lang w:val="en-US"/>
        </w:rPr>
        <w:t>,</w:t>
      </w:r>
      <w:r w:rsidR="00E44283" w:rsidRPr="00A2766A">
        <w:rPr>
          <w:rFonts w:ascii="Times New Roman" w:hAnsi="Times New Roman" w:cs="Times New Roman"/>
          <w:sz w:val="24"/>
          <w:szCs w:val="24"/>
          <w:vertAlign w:val="subscript"/>
          <w:lang w:val="en-US"/>
        </w:rPr>
        <w:t>t</w:t>
      </w:r>
      <w:proofErr w:type="spellEnd"/>
      <w:r w:rsidR="00E44283" w:rsidRPr="00E44283">
        <w:rPr>
          <w:rFonts w:ascii="Times New Roman" w:hAnsi="Times New Roman" w:cs="Times New Roman"/>
          <w:sz w:val="24"/>
          <w:szCs w:val="24"/>
          <w:lang w:val="en-US"/>
        </w:rPr>
        <w:t xml:space="preserve"> represents labor income, </w:t>
      </w:r>
      <w:proofErr w:type="spellStart"/>
      <w:r w:rsidR="00A2766A">
        <w:rPr>
          <w:rFonts w:ascii="Times New Roman" w:hAnsi="Times New Roman" w:cs="Times New Roman"/>
          <w:sz w:val="24"/>
          <w:szCs w:val="24"/>
          <w:lang w:val="en-US"/>
        </w:rPr>
        <w:t>S</w:t>
      </w:r>
      <w:r w:rsidR="00E44283" w:rsidRPr="00A2766A">
        <w:rPr>
          <w:rFonts w:ascii="Times New Roman" w:hAnsi="Times New Roman" w:cs="Times New Roman"/>
          <w:sz w:val="24"/>
          <w:szCs w:val="24"/>
          <w:vertAlign w:val="subscript"/>
          <w:lang w:val="en-US"/>
        </w:rPr>
        <w:t>i</w:t>
      </w:r>
      <w:r w:rsidR="00A2766A" w:rsidRPr="00A2766A">
        <w:rPr>
          <w:rFonts w:ascii="Times New Roman" w:hAnsi="Times New Roman" w:cs="Times New Roman"/>
          <w:sz w:val="24"/>
          <w:szCs w:val="24"/>
          <w:vertAlign w:val="subscript"/>
          <w:lang w:val="en-US"/>
        </w:rPr>
        <w:t>,</w:t>
      </w:r>
      <w:r w:rsidR="00E44283" w:rsidRPr="00A2766A">
        <w:rPr>
          <w:rFonts w:ascii="Times New Roman" w:hAnsi="Times New Roman" w:cs="Times New Roman"/>
          <w:sz w:val="24"/>
          <w:szCs w:val="24"/>
          <w:vertAlign w:val="subscript"/>
          <w:lang w:val="en-US"/>
        </w:rPr>
        <w:t>t</w:t>
      </w:r>
      <w:proofErr w:type="spellEnd"/>
      <w:r w:rsidR="00A2766A">
        <w:rPr>
          <w:rFonts w:ascii="Times New Roman" w:hAnsi="Times New Roman" w:cs="Times New Roman"/>
          <w:sz w:val="24"/>
          <w:szCs w:val="24"/>
          <w:lang w:val="en-US"/>
        </w:rPr>
        <w:t xml:space="preserve"> </w:t>
      </w:r>
      <w:r w:rsidR="00E44283" w:rsidRPr="00E44283">
        <w:rPr>
          <w:rFonts w:ascii="Times New Roman" w:hAnsi="Times New Roman" w:cs="Times New Roman"/>
          <w:sz w:val="24"/>
          <w:szCs w:val="24"/>
          <w:lang w:val="en-US"/>
        </w:rPr>
        <w:t xml:space="preserve">is </w:t>
      </w:r>
      <w:r w:rsidR="00A2766A">
        <w:rPr>
          <w:rFonts w:ascii="Times New Roman" w:hAnsi="Times New Roman" w:cs="Times New Roman"/>
          <w:sz w:val="24"/>
          <w:szCs w:val="24"/>
          <w:lang w:val="en-US"/>
        </w:rPr>
        <w:t xml:space="preserve">stock </w:t>
      </w:r>
      <w:r w:rsidR="004B1FB6">
        <w:rPr>
          <w:rFonts w:ascii="Times New Roman" w:hAnsi="Times New Roman" w:cs="Times New Roman"/>
          <w:sz w:val="24"/>
          <w:szCs w:val="24"/>
          <w:lang w:val="en-US"/>
        </w:rPr>
        <w:t>prices</w:t>
      </w:r>
      <w:r w:rsidR="00E44283" w:rsidRPr="00E44283">
        <w:rPr>
          <w:rFonts w:ascii="Times New Roman" w:hAnsi="Times New Roman" w:cs="Times New Roman"/>
          <w:sz w:val="24"/>
          <w:szCs w:val="24"/>
          <w:lang w:val="en-US"/>
        </w:rPr>
        <w:t xml:space="preserve">, </w:t>
      </w:r>
      <w:proofErr w:type="spellStart"/>
      <w:r w:rsidR="00A2766A">
        <w:rPr>
          <w:rFonts w:ascii="Times New Roman" w:hAnsi="Times New Roman" w:cs="Times New Roman"/>
          <w:sz w:val="24"/>
          <w:szCs w:val="24"/>
          <w:lang w:val="en-US"/>
        </w:rPr>
        <w:t>H</w:t>
      </w:r>
      <w:r w:rsidR="00E44283" w:rsidRPr="00A2766A">
        <w:rPr>
          <w:rFonts w:ascii="Times New Roman" w:hAnsi="Times New Roman" w:cs="Times New Roman"/>
          <w:sz w:val="24"/>
          <w:szCs w:val="24"/>
          <w:vertAlign w:val="subscript"/>
          <w:lang w:val="en-US"/>
        </w:rPr>
        <w:t>i</w:t>
      </w:r>
      <w:r w:rsidR="00A2766A" w:rsidRPr="00A2766A">
        <w:rPr>
          <w:rFonts w:ascii="Times New Roman" w:hAnsi="Times New Roman" w:cs="Times New Roman"/>
          <w:sz w:val="24"/>
          <w:szCs w:val="24"/>
          <w:vertAlign w:val="subscript"/>
          <w:lang w:val="en-US"/>
        </w:rPr>
        <w:t>,</w:t>
      </w:r>
      <w:r w:rsidR="00E44283" w:rsidRPr="00A2766A">
        <w:rPr>
          <w:rFonts w:ascii="Times New Roman" w:hAnsi="Times New Roman" w:cs="Times New Roman"/>
          <w:sz w:val="24"/>
          <w:szCs w:val="24"/>
          <w:vertAlign w:val="subscript"/>
          <w:lang w:val="en-US"/>
        </w:rPr>
        <w:t>t</w:t>
      </w:r>
      <w:proofErr w:type="spellEnd"/>
      <w:r w:rsidR="00E44283" w:rsidRPr="00E44283">
        <w:rPr>
          <w:rFonts w:ascii="Times New Roman" w:hAnsi="Times New Roman" w:cs="Times New Roman"/>
          <w:sz w:val="24"/>
          <w:szCs w:val="24"/>
          <w:lang w:val="en-US"/>
        </w:rPr>
        <w:t xml:space="preserve"> </w:t>
      </w:r>
      <w:r w:rsidR="00A2766A">
        <w:rPr>
          <w:rFonts w:ascii="Times New Roman" w:hAnsi="Times New Roman" w:cs="Times New Roman"/>
          <w:sz w:val="24"/>
          <w:szCs w:val="24"/>
          <w:lang w:val="en-US"/>
        </w:rPr>
        <w:t xml:space="preserve">denotes housing </w:t>
      </w:r>
      <w:r w:rsidR="004B1FB6">
        <w:rPr>
          <w:rFonts w:ascii="Times New Roman" w:hAnsi="Times New Roman" w:cs="Times New Roman"/>
          <w:sz w:val="24"/>
          <w:szCs w:val="24"/>
          <w:lang w:val="en-US"/>
        </w:rPr>
        <w:t>prices</w:t>
      </w:r>
      <w:r w:rsidR="00E44283" w:rsidRPr="00E44283">
        <w:rPr>
          <w:rFonts w:ascii="Times New Roman" w:hAnsi="Times New Roman" w:cs="Times New Roman"/>
          <w:sz w:val="24"/>
          <w:szCs w:val="24"/>
          <w:lang w:val="en-US"/>
        </w:rPr>
        <w:t xml:space="preserve">, the </w:t>
      </w:r>
      <w:proofErr w:type="spellStart"/>
      <w:r w:rsidR="00A2766A">
        <w:rPr>
          <w:rFonts w:ascii="Times New Roman" w:hAnsi="Times New Roman" w:cs="Times New Roman"/>
          <w:sz w:val="24"/>
          <w:szCs w:val="24"/>
          <w:lang w:val="en-US"/>
        </w:rPr>
        <w:t>b</w:t>
      </w:r>
      <w:r w:rsidR="00E44283" w:rsidRPr="00E44283">
        <w:rPr>
          <w:rFonts w:ascii="Times New Roman" w:hAnsi="Times New Roman" w:cs="Times New Roman"/>
          <w:sz w:val="24"/>
          <w:szCs w:val="24"/>
          <w:lang w:val="en-US"/>
        </w:rPr>
        <w:t>s</w:t>
      </w:r>
      <w:proofErr w:type="spellEnd"/>
      <w:r w:rsidR="00E44283" w:rsidRPr="00E44283">
        <w:rPr>
          <w:rFonts w:ascii="Times New Roman" w:hAnsi="Times New Roman" w:cs="Times New Roman"/>
          <w:sz w:val="24"/>
          <w:szCs w:val="24"/>
          <w:lang w:val="en-US"/>
        </w:rPr>
        <w:t xml:space="preserve"> are parameters</w:t>
      </w:r>
      <w:r w:rsidR="00A2766A">
        <w:rPr>
          <w:rFonts w:ascii="Times New Roman" w:hAnsi="Times New Roman" w:cs="Times New Roman"/>
          <w:sz w:val="24"/>
          <w:szCs w:val="24"/>
          <w:lang w:val="en-US"/>
        </w:rPr>
        <w:t xml:space="preserve"> </w:t>
      </w:r>
      <w:r w:rsidR="00E44283" w:rsidRPr="00E44283">
        <w:rPr>
          <w:rFonts w:ascii="Times New Roman" w:hAnsi="Times New Roman" w:cs="Times New Roman"/>
          <w:sz w:val="24"/>
          <w:szCs w:val="24"/>
          <w:lang w:val="en-US"/>
        </w:rPr>
        <w:t xml:space="preserve">to estimate, </w:t>
      </w:r>
      <w:r w:rsidR="00A2766A">
        <w:rPr>
          <w:rFonts w:ascii="Times New Roman" w:hAnsi="Times New Roman" w:cs="Times New Roman"/>
          <w:sz w:val="24"/>
          <w:szCs w:val="24"/>
        </w:rPr>
        <w:t>ε</w:t>
      </w:r>
      <w:proofErr w:type="spellStart"/>
      <w:r w:rsidR="00E44283" w:rsidRPr="00A2766A">
        <w:rPr>
          <w:rFonts w:ascii="Times New Roman" w:hAnsi="Times New Roman" w:cs="Times New Roman"/>
          <w:sz w:val="24"/>
          <w:szCs w:val="24"/>
          <w:vertAlign w:val="subscript"/>
          <w:lang w:val="en-US"/>
        </w:rPr>
        <w:t>i</w:t>
      </w:r>
      <w:r w:rsidR="00A2766A" w:rsidRPr="00A2766A">
        <w:rPr>
          <w:rFonts w:ascii="Times New Roman" w:hAnsi="Times New Roman" w:cs="Times New Roman"/>
          <w:sz w:val="24"/>
          <w:szCs w:val="24"/>
          <w:vertAlign w:val="subscript"/>
          <w:lang w:val="en-US"/>
        </w:rPr>
        <w:t>,t</w:t>
      </w:r>
      <w:proofErr w:type="spellEnd"/>
      <w:r w:rsidR="00E44283" w:rsidRPr="00E44283">
        <w:rPr>
          <w:rFonts w:ascii="Times New Roman" w:hAnsi="Times New Roman" w:cs="Times New Roman"/>
          <w:sz w:val="24"/>
          <w:szCs w:val="24"/>
          <w:lang w:val="en-US"/>
        </w:rPr>
        <w:t xml:space="preserve"> is the error term. </w:t>
      </w:r>
      <w:r w:rsidR="007D05BF">
        <w:rPr>
          <w:rFonts w:ascii="Times New Roman" w:hAnsi="Times New Roman" w:cs="Times New Roman"/>
          <w:sz w:val="24"/>
          <w:szCs w:val="24"/>
          <w:lang w:val="en-US"/>
        </w:rPr>
        <w:t xml:space="preserve">DUM2008 defines a dummy variable in relevance to </w:t>
      </w:r>
      <w:r w:rsidR="00996E66">
        <w:rPr>
          <w:rFonts w:ascii="Times New Roman" w:hAnsi="Times New Roman" w:cs="Times New Roman"/>
          <w:sz w:val="24"/>
          <w:szCs w:val="24"/>
          <w:lang w:val="en-US"/>
        </w:rPr>
        <w:t xml:space="preserve">the 2008 financial crisis; it takes one in 2008 and 0 otherwise. </w:t>
      </w:r>
      <w:r w:rsidR="00121AAF">
        <w:rPr>
          <w:rFonts w:ascii="Times New Roman" w:hAnsi="Times New Roman" w:cs="Times New Roman"/>
          <w:sz w:val="24"/>
          <w:szCs w:val="24"/>
          <w:lang w:val="en-US"/>
        </w:rPr>
        <w:t>Finally, Equation (7</w:t>
      </w:r>
      <w:r w:rsidR="002D15DB">
        <w:rPr>
          <w:rFonts w:ascii="Times New Roman" w:hAnsi="Times New Roman" w:cs="Times New Roman"/>
          <w:sz w:val="24"/>
          <w:szCs w:val="24"/>
          <w:lang w:val="en-US"/>
        </w:rPr>
        <w:t xml:space="preserve">) explicitly includes an interaction terms (DS x develop), which </w:t>
      </w:r>
      <w:r w:rsidR="009C329C">
        <w:rPr>
          <w:rFonts w:ascii="Times New Roman" w:hAnsi="Times New Roman" w:cs="Times New Roman"/>
          <w:sz w:val="24"/>
          <w:szCs w:val="24"/>
          <w:lang w:val="en-US"/>
        </w:rPr>
        <w:t xml:space="preserve">captures the distinction between developed and developing countries and </w:t>
      </w:r>
      <w:r w:rsidR="00452868">
        <w:rPr>
          <w:rFonts w:ascii="Times New Roman" w:hAnsi="Times New Roman" w:cs="Times New Roman"/>
          <w:sz w:val="24"/>
          <w:szCs w:val="24"/>
          <w:lang w:val="en-US"/>
        </w:rPr>
        <w:t xml:space="preserve">where the component develop </w:t>
      </w:r>
      <w:r w:rsidR="009C329C">
        <w:rPr>
          <w:rFonts w:ascii="Times New Roman" w:hAnsi="Times New Roman" w:cs="Times New Roman"/>
          <w:sz w:val="24"/>
          <w:szCs w:val="24"/>
          <w:lang w:val="en-US"/>
        </w:rPr>
        <w:t xml:space="preserve">takes 1 for the case of developed countries and 0 otherwise. </w:t>
      </w:r>
      <w:r w:rsidR="00E86677">
        <w:rPr>
          <w:rFonts w:ascii="Times New Roman" w:hAnsi="Times New Roman" w:cs="Times New Roman"/>
          <w:sz w:val="24"/>
          <w:szCs w:val="24"/>
          <w:lang w:val="en-US"/>
        </w:rPr>
        <w:t xml:space="preserve">For a better approximation and to minimize potential </w:t>
      </w:r>
      <w:proofErr w:type="spellStart"/>
      <w:r w:rsidR="00E86677">
        <w:rPr>
          <w:rFonts w:ascii="Times New Roman" w:hAnsi="Times New Roman" w:cs="Times New Roman"/>
          <w:sz w:val="24"/>
          <w:szCs w:val="24"/>
          <w:lang w:val="en-US"/>
        </w:rPr>
        <w:t>multicollinearity</w:t>
      </w:r>
      <w:proofErr w:type="spellEnd"/>
      <w:r w:rsidR="00E86677">
        <w:rPr>
          <w:rFonts w:ascii="Times New Roman" w:hAnsi="Times New Roman" w:cs="Times New Roman"/>
          <w:sz w:val="24"/>
          <w:szCs w:val="24"/>
          <w:lang w:val="en-US"/>
        </w:rPr>
        <w:t xml:space="preserve"> effects, all variables have been mean centered (including the dummy </w:t>
      </w:r>
      <w:proofErr w:type="spellStart"/>
      <w:proofErr w:type="gramStart"/>
      <w:r w:rsidR="00E86677">
        <w:rPr>
          <w:rFonts w:ascii="Times New Roman" w:hAnsi="Times New Roman" w:cs="Times New Roman"/>
          <w:sz w:val="24"/>
          <w:szCs w:val="24"/>
          <w:lang w:val="en-US"/>
        </w:rPr>
        <w:t>DS</w:t>
      </w:r>
      <w:r w:rsidR="00121AAF" w:rsidRPr="00121AAF">
        <w:rPr>
          <w:rFonts w:ascii="Times New Roman" w:hAnsi="Times New Roman" w:cs="Times New Roman"/>
          <w:sz w:val="24"/>
          <w:szCs w:val="24"/>
          <w:vertAlign w:val="subscript"/>
          <w:lang w:val="en-US"/>
        </w:rPr>
        <w:t>t</w:t>
      </w:r>
      <w:proofErr w:type="spellEnd"/>
      <w:proofErr w:type="gramEnd"/>
      <w:r w:rsidR="00E86677">
        <w:rPr>
          <w:rFonts w:ascii="Times New Roman" w:hAnsi="Times New Roman" w:cs="Times New Roman"/>
          <w:sz w:val="24"/>
          <w:szCs w:val="24"/>
          <w:lang w:val="en-US"/>
        </w:rPr>
        <w:t xml:space="preserve"> x develop. </w:t>
      </w:r>
      <w:r w:rsidR="00996E66">
        <w:rPr>
          <w:rFonts w:ascii="Times New Roman" w:hAnsi="Times New Roman" w:cs="Times New Roman"/>
          <w:sz w:val="24"/>
          <w:szCs w:val="24"/>
          <w:lang w:val="en-US"/>
        </w:rPr>
        <w:t xml:space="preserve">The inclusion of </w:t>
      </w:r>
      <w:r w:rsidR="00E44283" w:rsidRPr="00E44283">
        <w:rPr>
          <w:rFonts w:ascii="Times New Roman" w:hAnsi="Times New Roman" w:cs="Times New Roman"/>
          <w:sz w:val="24"/>
          <w:szCs w:val="24"/>
          <w:lang w:val="en-US"/>
        </w:rPr>
        <w:t>lag</w:t>
      </w:r>
      <w:r w:rsidR="00996E66">
        <w:rPr>
          <w:rFonts w:ascii="Times New Roman" w:hAnsi="Times New Roman" w:cs="Times New Roman"/>
          <w:sz w:val="24"/>
          <w:szCs w:val="24"/>
          <w:lang w:val="en-US"/>
        </w:rPr>
        <w:t>s</w:t>
      </w:r>
      <w:r w:rsidR="00E44283" w:rsidRPr="00E44283">
        <w:rPr>
          <w:rFonts w:ascii="Times New Roman" w:hAnsi="Times New Roman" w:cs="Times New Roman"/>
          <w:sz w:val="24"/>
          <w:szCs w:val="24"/>
          <w:lang w:val="en-US"/>
        </w:rPr>
        <w:t xml:space="preserve"> of</w:t>
      </w:r>
      <w:r w:rsidR="00A2766A">
        <w:rPr>
          <w:rFonts w:ascii="Times New Roman" w:hAnsi="Times New Roman" w:cs="Times New Roman"/>
          <w:sz w:val="24"/>
          <w:szCs w:val="24"/>
          <w:lang w:val="en-US"/>
        </w:rPr>
        <w:t xml:space="preserve"> </w:t>
      </w:r>
      <w:r w:rsidR="00E44283" w:rsidRPr="00E44283">
        <w:rPr>
          <w:rFonts w:ascii="Times New Roman" w:hAnsi="Times New Roman" w:cs="Times New Roman"/>
          <w:sz w:val="24"/>
          <w:szCs w:val="24"/>
          <w:lang w:val="en-US"/>
        </w:rPr>
        <w:t xml:space="preserve">consumption in </w:t>
      </w:r>
      <w:r w:rsidR="00121AAF">
        <w:rPr>
          <w:rFonts w:ascii="Times New Roman" w:hAnsi="Times New Roman" w:cs="Times New Roman"/>
          <w:sz w:val="24"/>
          <w:szCs w:val="24"/>
          <w:lang w:val="en-US"/>
        </w:rPr>
        <w:t>Equation (7</w:t>
      </w:r>
      <w:r w:rsidR="00E44283" w:rsidRPr="00E44283">
        <w:rPr>
          <w:rFonts w:ascii="Times New Roman" w:hAnsi="Times New Roman" w:cs="Times New Roman"/>
          <w:sz w:val="24"/>
          <w:szCs w:val="24"/>
          <w:lang w:val="en-US"/>
        </w:rPr>
        <w:t>) is aimed at capturing the presence of habit formation and simultaneously</w:t>
      </w:r>
      <w:r w:rsidR="00A2766A">
        <w:rPr>
          <w:rFonts w:ascii="Times New Roman" w:hAnsi="Times New Roman" w:cs="Times New Roman"/>
          <w:sz w:val="24"/>
          <w:szCs w:val="24"/>
          <w:lang w:val="en-US"/>
        </w:rPr>
        <w:t xml:space="preserve"> </w:t>
      </w:r>
      <w:r w:rsidR="00E44283" w:rsidRPr="00E44283">
        <w:rPr>
          <w:rFonts w:ascii="Times New Roman" w:hAnsi="Times New Roman" w:cs="Times New Roman"/>
          <w:sz w:val="24"/>
          <w:szCs w:val="24"/>
          <w:lang w:val="en-US"/>
        </w:rPr>
        <w:t>tests the permanent income hypotheses. Empirically, it also captures the high degree o</w:t>
      </w:r>
      <w:r w:rsidR="00A2766A">
        <w:rPr>
          <w:rFonts w:ascii="Times New Roman" w:hAnsi="Times New Roman" w:cs="Times New Roman"/>
          <w:sz w:val="24"/>
          <w:szCs w:val="24"/>
          <w:lang w:val="en-US"/>
        </w:rPr>
        <w:t xml:space="preserve">f </w:t>
      </w:r>
      <w:r w:rsidR="00A2766A" w:rsidRPr="00A2766A">
        <w:rPr>
          <w:rFonts w:ascii="Times New Roman" w:hAnsi="Times New Roman" w:cs="Times New Roman"/>
          <w:sz w:val="24"/>
          <w:szCs w:val="24"/>
          <w:lang w:val="en-US"/>
        </w:rPr>
        <w:t>persistence of consumption, as noted in Carroll et al. (2008). It is also in line with the</w:t>
      </w:r>
      <w:r w:rsidR="00A2766A">
        <w:rPr>
          <w:rFonts w:ascii="Times New Roman" w:hAnsi="Times New Roman" w:cs="Times New Roman"/>
          <w:sz w:val="24"/>
          <w:szCs w:val="24"/>
          <w:lang w:val="en-US"/>
        </w:rPr>
        <w:t xml:space="preserve"> fi</w:t>
      </w:r>
      <w:r w:rsidR="00A2766A" w:rsidRPr="00A2766A">
        <w:rPr>
          <w:rFonts w:ascii="Times New Roman" w:hAnsi="Times New Roman" w:cs="Times New Roman"/>
          <w:sz w:val="24"/>
          <w:szCs w:val="24"/>
          <w:lang w:val="en-US"/>
        </w:rPr>
        <w:t xml:space="preserve">ndings of </w:t>
      </w:r>
      <w:proofErr w:type="spellStart"/>
      <w:r w:rsidR="00A2766A" w:rsidRPr="00A2766A">
        <w:rPr>
          <w:rFonts w:ascii="Times New Roman" w:hAnsi="Times New Roman" w:cs="Times New Roman"/>
          <w:sz w:val="24"/>
          <w:szCs w:val="24"/>
          <w:lang w:val="en-US"/>
        </w:rPr>
        <w:t>Flavin</w:t>
      </w:r>
      <w:proofErr w:type="spellEnd"/>
      <w:r w:rsidR="00A2766A" w:rsidRPr="00A2766A">
        <w:rPr>
          <w:rFonts w:ascii="Times New Roman" w:hAnsi="Times New Roman" w:cs="Times New Roman"/>
          <w:sz w:val="24"/>
          <w:szCs w:val="24"/>
          <w:lang w:val="en-US"/>
        </w:rPr>
        <w:t xml:space="preserve"> (1981), Campbell and </w:t>
      </w:r>
      <w:proofErr w:type="spellStart"/>
      <w:r w:rsidR="00A2766A" w:rsidRPr="00A2766A">
        <w:rPr>
          <w:rFonts w:ascii="Times New Roman" w:hAnsi="Times New Roman" w:cs="Times New Roman"/>
          <w:sz w:val="24"/>
          <w:szCs w:val="24"/>
          <w:lang w:val="en-US"/>
        </w:rPr>
        <w:t>Mankiw</w:t>
      </w:r>
      <w:proofErr w:type="spellEnd"/>
      <w:r w:rsidR="00A2766A" w:rsidRPr="00A2766A">
        <w:rPr>
          <w:rFonts w:ascii="Times New Roman" w:hAnsi="Times New Roman" w:cs="Times New Roman"/>
          <w:sz w:val="24"/>
          <w:szCs w:val="24"/>
          <w:lang w:val="en-US"/>
        </w:rPr>
        <w:t xml:space="preserve"> (1989) and </w:t>
      </w:r>
      <w:proofErr w:type="spellStart"/>
      <w:r w:rsidR="00A2766A" w:rsidRPr="00A2766A">
        <w:rPr>
          <w:rFonts w:ascii="Times New Roman" w:hAnsi="Times New Roman" w:cs="Times New Roman"/>
          <w:sz w:val="24"/>
          <w:szCs w:val="24"/>
          <w:lang w:val="en-US"/>
        </w:rPr>
        <w:t>Lettau</w:t>
      </w:r>
      <w:proofErr w:type="spellEnd"/>
      <w:r w:rsidR="00A2766A" w:rsidRPr="00A2766A">
        <w:rPr>
          <w:rFonts w:ascii="Times New Roman" w:hAnsi="Times New Roman" w:cs="Times New Roman"/>
          <w:sz w:val="24"/>
          <w:szCs w:val="24"/>
          <w:lang w:val="en-US"/>
        </w:rPr>
        <w:t xml:space="preserve"> and </w:t>
      </w:r>
      <w:proofErr w:type="spellStart"/>
      <w:r w:rsidR="00A2766A" w:rsidRPr="00A2766A">
        <w:rPr>
          <w:rFonts w:ascii="Times New Roman" w:hAnsi="Times New Roman" w:cs="Times New Roman"/>
          <w:sz w:val="24"/>
          <w:szCs w:val="24"/>
          <w:lang w:val="en-US"/>
        </w:rPr>
        <w:t>Ludvigson</w:t>
      </w:r>
      <w:proofErr w:type="spellEnd"/>
      <w:r w:rsidR="00A2766A" w:rsidRPr="00A2766A">
        <w:rPr>
          <w:rFonts w:ascii="Times New Roman" w:hAnsi="Times New Roman" w:cs="Times New Roman"/>
          <w:sz w:val="24"/>
          <w:szCs w:val="24"/>
          <w:lang w:val="en-US"/>
        </w:rPr>
        <w:t xml:space="preserve"> (2001),</w:t>
      </w:r>
      <w:r w:rsidR="00A2766A">
        <w:rPr>
          <w:rFonts w:ascii="Times New Roman" w:hAnsi="Times New Roman" w:cs="Times New Roman"/>
          <w:sz w:val="24"/>
          <w:szCs w:val="24"/>
          <w:lang w:val="en-US"/>
        </w:rPr>
        <w:t xml:space="preserve"> </w:t>
      </w:r>
      <w:r w:rsidR="00A2766A" w:rsidRPr="00A2766A">
        <w:rPr>
          <w:rFonts w:ascii="Times New Roman" w:hAnsi="Times New Roman" w:cs="Times New Roman"/>
          <w:sz w:val="24"/>
          <w:szCs w:val="24"/>
          <w:lang w:val="en-US"/>
        </w:rPr>
        <w:t xml:space="preserve">who </w:t>
      </w:r>
      <w:r w:rsidR="00A2766A">
        <w:rPr>
          <w:rFonts w:ascii="Times New Roman" w:hAnsi="Times New Roman" w:cs="Times New Roman"/>
          <w:sz w:val="24"/>
          <w:szCs w:val="24"/>
          <w:lang w:val="en-US"/>
        </w:rPr>
        <w:t>document</w:t>
      </w:r>
      <w:r w:rsidR="00A2766A" w:rsidRPr="00A2766A">
        <w:rPr>
          <w:rFonts w:ascii="Times New Roman" w:hAnsi="Times New Roman" w:cs="Times New Roman"/>
          <w:sz w:val="24"/>
          <w:szCs w:val="24"/>
          <w:lang w:val="en-US"/>
        </w:rPr>
        <w:t xml:space="preserve"> that consumption growth is somewhat predictable by its lag.</w:t>
      </w:r>
      <w:r w:rsidR="00A2766A">
        <w:rPr>
          <w:rFonts w:ascii="Times New Roman" w:hAnsi="Times New Roman" w:cs="Times New Roman"/>
          <w:sz w:val="24"/>
          <w:szCs w:val="24"/>
          <w:lang w:val="en-US"/>
        </w:rPr>
        <w:t xml:space="preserve"> </w:t>
      </w:r>
    </w:p>
    <w:p w:rsidR="00EA3D7E" w:rsidRDefault="00E44283" w:rsidP="00A2766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Estimate efficiency</w:t>
      </w:r>
      <w:r w:rsidRPr="00E44283">
        <w:rPr>
          <w:rFonts w:ascii="Times New Roman" w:hAnsi="Times New Roman" w:cs="Times New Roman"/>
          <w:sz w:val="24"/>
          <w:szCs w:val="24"/>
          <w:lang w:val="en-US"/>
        </w:rPr>
        <w:t xml:space="preserve"> can be increased by adding the </w:t>
      </w:r>
      <w:r>
        <w:rPr>
          <w:rFonts w:ascii="Times New Roman" w:hAnsi="Times New Roman" w:cs="Times New Roman"/>
          <w:sz w:val="24"/>
          <w:szCs w:val="24"/>
          <w:lang w:val="en-US"/>
        </w:rPr>
        <w:t>equation variables</w:t>
      </w:r>
      <w:r w:rsidRPr="00E44283">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w:t>
      </w:r>
      <w:r w:rsidRPr="00E44283">
        <w:rPr>
          <w:rFonts w:ascii="Times New Roman" w:hAnsi="Times New Roman" w:cs="Times New Roman"/>
          <w:sz w:val="24"/>
          <w:szCs w:val="24"/>
          <w:lang w:val="en-US"/>
        </w:rPr>
        <w:t>levels to the system</w:t>
      </w:r>
      <w:r w:rsidR="0072067E">
        <w:rPr>
          <w:rFonts w:ascii="Times New Roman" w:hAnsi="Times New Roman" w:cs="Times New Roman"/>
          <w:sz w:val="24"/>
          <w:szCs w:val="24"/>
          <w:lang w:val="en-US"/>
        </w:rPr>
        <w:t xml:space="preserve"> (7</w:t>
      </w:r>
      <w:r>
        <w:rPr>
          <w:rFonts w:ascii="Times New Roman" w:hAnsi="Times New Roman" w:cs="Times New Roman"/>
          <w:sz w:val="24"/>
          <w:szCs w:val="24"/>
          <w:lang w:val="en-US"/>
        </w:rPr>
        <w:t>)</w:t>
      </w:r>
      <w:r w:rsidRPr="00E44283">
        <w:rPr>
          <w:rFonts w:ascii="Times New Roman" w:hAnsi="Times New Roman" w:cs="Times New Roman"/>
          <w:sz w:val="24"/>
          <w:szCs w:val="24"/>
          <w:lang w:val="en-US"/>
        </w:rPr>
        <w:t xml:space="preserve">. If the </w:t>
      </w:r>
      <w:r>
        <w:rPr>
          <w:rFonts w:ascii="Times New Roman" w:hAnsi="Times New Roman" w:cs="Times New Roman"/>
          <w:sz w:val="24"/>
          <w:szCs w:val="24"/>
          <w:lang w:val="en-US"/>
        </w:rPr>
        <w:t>fi</w:t>
      </w:r>
      <w:r w:rsidRPr="00E44283">
        <w:rPr>
          <w:rFonts w:ascii="Times New Roman" w:hAnsi="Times New Roman" w:cs="Times New Roman"/>
          <w:sz w:val="24"/>
          <w:szCs w:val="24"/>
          <w:lang w:val="en-US"/>
        </w:rPr>
        <w:t>rst-di</w:t>
      </w:r>
      <w:r>
        <w:rPr>
          <w:rFonts w:ascii="Times New Roman" w:hAnsi="Times New Roman" w:cs="Times New Roman"/>
          <w:sz w:val="24"/>
          <w:szCs w:val="24"/>
          <w:lang w:val="en-US"/>
        </w:rPr>
        <w:t>ff</w:t>
      </w:r>
      <w:r w:rsidRPr="00E44283">
        <w:rPr>
          <w:rFonts w:ascii="Times New Roman" w:hAnsi="Times New Roman" w:cs="Times New Roman"/>
          <w:sz w:val="24"/>
          <w:szCs w:val="24"/>
          <w:lang w:val="en-US"/>
        </w:rPr>
        <w:t>erences of explanatory variables are uncorrelated with</w:t>
      </w:r>
      <w:r>
        <w:rPr>
          <w:rFonts w:ascii="Times New Roman" w:hAnsi="Times New Roman" w:cs="Times New Roman"/>
          <w:sz w:val="24"/>
          <w:szCs w:val="24"/>
          <w:lang w:val="en-US"/>
        </w:rPr>
        <w:t xml:space="preserve"> </w:t>
      </w:r>
      <w:r w:rsidRPr="00E44283">
        <w:rPr>
          <w:rFonts w:ascii="Times New Roman" w:hAnsi="Times New Roman" w:cs="Times New Roman"/>
          <w:sz w:val="24"/>
          <w:szCs w:val="24"/>
          <w:lang w:val="en-US"/>
        </w:rPr>
        <w:t>the individual e</w:t>
      </w:r>
      <w:r>
        <w:rPr>
          <w:rFonts w:ascii="Times New Roman" w:hAnsi="Times New Roman" w:cs="Times New Roman"/>
          <w:sz w:val="24"/>
          <w:szCs w:val="24"/>
          <w:lang w:val="en-US"/>
        </w:rPr>
        <w:t>ff</w:t>
      </w:r>
      <w:r w:rsidRPr="00E44283">
        <w:rPr>
          <w:rFonts w:ascii="Times New Roman" w:hAnsi="Times New Roman" w:cs="Times New Roman"/>
          <w:sz w:val="24"/>
          <w:szCs w:val="24"/>
          <w:lang w:val="en-US"/>
        </w:rPr>
        <w:t xml:space="preserve">ects, both lagged values of the </w:t>
      </w:r>
      <w:r>
        <w:rPr>
          <w:rFonts w:ascii="Times New Roman" w:hAnsi="Times New Roman" w:cs="Times New Roman"/>
          <w:sz w:val="24"/>
          <w:szCs w:val="24"/>
          <w:lang w:val="en-US"/>
        </w:rPr>
        <w:t>fi</w:t>
      </w:r>
      <w:r w:rsidRPr="00E44283">
        <w:rPr>
          <w:rFonts w:ascii="Times New Roman" w:hAnsi="Times New Roman" w:cs="Times New Roman"/>
          <w:sz w:val="24"/>
          <w:szCs w:val="24"/>
          <w:lang w:val="en-US"/>
        </w:rPr>
        <w:t>rst-di</w:t>
      </w:r>
      <w:r>
        <w:rPr>
          <w:rFonts w:ascii="Times New Roman" w:hAnsi="Times New Roman" w:cs="Times New Roman"/>
          <w:sz w:val="24"/>
          <w:szCs w:val="24"/>
          <w:lang w:val="en-US"/>
        </w:rPr>
        <w:t>ff</w:t>
      </w:r>
      <w:r w:rsidRPr="00E44283">
        <w:rPr>
          <w:rFonts w:ascii="Times New Roman" w:hAnsi="Times New Roman" w:cs="Times New Roman"/>
          <w:sz w:val="24"/>
          <w:szCs w:val="24"/>
          <w:lang w:val="en-US"/>
        </w:rPr>
        <w:t>erences of the explanatory variables</w:t>
      </w:r>
      <w:r>
        <w:rPr>
          <w:rFonts w:ascii="Times New Roman" w:hAnsi="Times New Roman" w:cs="Times New Roman"/>
          <w:sz w:val="24"/>
          <w:szCs w:val="24"/>
          <w:lang w:val="en-US"/>
        </w:rPr>
        <w:t xml:space="preserve"> </w:t>
      </w:r>
      <w:r w:rsidRPr="00E44283">
        <w:rPr>
          <w:rFonts w:ascii="Times New Roman" w:hAnsi="Times New Roman" w:cs="Times New Roman"/>
          <w:sz w:val="24"/>
          <w:szCs w:val="24"/>
          <w:lang w:val="en-US"/>
        </w:rPr>
        <w:t>and of the dependent variable can be used as instruments in the equation in levels. In this</w:t>
      </w:r>
      <w:r>
        <w:rPr>
          <w:rFonts w:ascii="Times New Roman" w:hAnsi="Times New Roman" w:cs="Times New Roman"/>
          <w:sz w:val="24"/>
          <w:szCs w:val="24"/>
          <w:lang w:val="en-US"/>
        </w:rPr>
        <w:t xml:space="preserve"> </w:t>
      </w:r>
      <w:r w:rsidRPr="00E44283">
        <w:rPr>
          <w:rFonts w:ascii="Times New Roman" w:hAnsi="Times New Roman" w:cs="Times New Roman"/>
          <w:sz w:val="24"/>
          <w:szCs w:val="24"/>
          <w:lang w:val="en-US"/>
        </w:rPr>
        <w:t xml:space="preserve">case, the estimation combines the set of moment conditions available for the </w:t>
      </w:r>
      <w:r>
        <w:rPr>
          <w:rFonts w:ascii="Times New Roman" w:hAnsi="Times New Roman" w:cs="Times New Roman"/>
          <w:sz w:val="24"/>
          <w:szCs w:val="24"/>
          <w:lang w:val="en-US"/>
        </w:rPr>
        <w:t>fi</w:t>
      </w:r>
      <w:r w:rsidRPr="00E44283">
        <w:rPr>
          <w:rFonts w:ascii="Times New Roman" w:hAnsi="Times New Roman" w:cs="Times New Roman"/>
          <w:sz w:val="24"/>
          <w:szCs w:val="24"/>
          <w:lang w:val="en-US"/>
        </w:rPr>
        <w:t>rst-di</w:t>
      </w:r>
      <w:r>
        <w:rPr>
          <w:rFonts w:ascii="Times New Roman" w:hAnsi="Times New Roman" w:cs="Times New Roman"/>
          <w:sz w:val="24"/>
          <w:szCs w:val="24"/>
          <w:lang w:val="en-US"/>
        </w:rPr>
        <w:t>ff</w:t>
      </w:r>
      <w:r w:rsidRPr="00E44283">
        <w:rPr>
          <w:rFonts w:ascii="Times New Roman" w:hAnsi="Times New Roman" w:cs="Times New Roman"/>
          <w:sz w:val="24"/>
          <w:szCs w:val="24"/>
          <w:lang w:val="en-US"/>
        </w:rPr>
        <w:t>erenced</w:t>
      </w:r>
      <w:r>
        <w:rPr>
          <w:rFonts w:ascii="Times New Roman" w:hAnsi="Times New Roman" w:cs="Times New Roman"/>
          <w:sz w:val="24"/>
          <w:szCs w:val="24"/>
          <w:lang w:val="en-US"/>
        </w:rPr>
        <w:t xml:space="preserve"> </w:t>
      </w:r>
      <w:r w:rsidRPr="00E44283">
        <w:rPr>
          <w:rFonts w:ascii="Times New Roman" w:hAnsi="Times New Roman" w:cs="Times New Roman"/>
          <w:sz w:val="24"/>
          <w:szCs w:val="24"/>
          <w:lang w:val="en-US"/>
        </w:rPr>
        <w:t xml:space="preserve">equations with the additional moment conditions implied for </w:t>
      </w:r>
      <w:r w:rsidRPr="00E44283">
        <w:rPr>
          <w:rFonts w:ascii="Times New Roman" w:hAnsi="Times New Roman" w:cs="Times New Roman"/>
          <w:sz w:val="24"/>
          <w:szCs w:val="24"/>
          <w:lang w:val="en-US"/>
        </w:rPr>
        <w:lastRenderedPageBreak/>
        <w:t>the levels equation. Blundell</w:t>
      </w:r>
      <w:r>
        <w:rPr>
          <w:rFonts w:ascii="Times New Roman" w:hAnsi="Times New Roman" w:cs="Times New Roman"/>
          <w:sz w:val="24"/>
          <w:szCs w:val="24"/>
          <w:lang w:val="en-US"/>
        </w:rPr>
        <w:t xml:space="preserve"> </w:t>
      </w:r>
      <w:r w:rsidRPr="00E44283">
        <w:rPr>
          <w:rFonts w:ascii="Times New Roman" w:hAnsi="Times New Roman" w:cs="Times New Roman"/>
          <w:sz w:val="24"/>
          <w:szCs w:val="24"/>
          <w:lang w:val="en-US"/>
        </w:rPr>
        <w:t>and Bond (1998) show that this system GMM estimator is preferable to that of Arellano and</w:t>
      </w:r>
      <w:r>
        <w:rPr>
          <w:rFonts w:ascii="Times New Roman" w:hAnsi="Times New Roman" w:cs="Times New Roman"/>
          <w:sz w:val="24"/>
          <w:szCs w:val="24"/>
          <w:lang w:val="en-US"/>
        </w:rPr>
        <w:t xml:space="preserve"> </w:t>
      </w:r>
      <w:r w:rsidRPr="00E44283">
        <w:rPr>
          <w:rFonts w:ascii="Times New Roman" w:hAnsi="Times New Roman" w:cs="Times New Roman"/>
          <w:sz w:val="24"/>
          <w:szCs w:val="24"/>
          <w:lang w:val="en-US"/>
        </w:rPr>
        <w:t xml:space="preserve">Bond (1991) and, for this </w:t>
      </w:r>
      <w:r>
        <w:rPr>
          <w:rFonts w:ascii="Times New Roman" w:hAnsi="Times New Roman" w:cs="Times New Roman"/>
          <w:sz w:val="24"/>
          <w:szCs w:val="24"/>
          <w:lang w:val="en-US"/>
        </w:rPr>
        <w:t>end</w:t>
      </w:r>
      <w:r w:rsidRPr="00E44283">
        <w:rPr>
          <w:rFonts w:ascii="Times New Roman" w:hAnsi="Times New Roman" w:cs="Times New Roman"/>
          <w:sz w:val="24"/>
          <w:szCs w:val="24"/>
          <w:lang w:val="en-US"/>
        </w:rPr>
        <w:t xml:space="preserve">, the </w:t>
      </w:r>
      <w:r>
        <w:rPr>
          <w:rFonts w:ascii="Times New Roman" w:hAnsi="Times New Roman" w:cs="Times New Roman"/>
          <w:sz w:val="24"/>
          <w:szCs w:val="24"/>
          <w:lang w:val="en-US"/>
        </w:rPr>
        <w:t>analysis</w:t>
      </w:r>
      <w:r w:rsidRPr="00E44283">
        <w:rPr>
          <w:rFonts w:ascii="Times New Roman" w:hAnsi="Times New Roman" w:cs="Times New Roman"/>
          <w:sz w:val="24"/>
          <w:szCs w:val="24"/>
          <w:lang w:val="en-US"/>
        </w:rPr>
        <w:t xml:space="preserve"> uses an estimation methodology based</w:t>
      </w:r>
      <w:r>
        <w:rPr>
          <w:rFonts w:ascii="Times New Roman" w:hAnsi="Times New Roman" w:cs="Times New Roman"/>
          <w:sz w:val="24"/>
          <w:szCs w:val="24"/>
          <w:lang w:val="en-US"/>
        </w:rPr>
        <w:t xml:space="preserve"> </w:t>
      </w:r>
      <w:r w:rsidRPr="00E44283">
        <w:rPr>
          <w:rFonts w:ascii="Times New Roman" w:hAnsi="Times New Roman" w:cs="Times New Roman"/>
          <w:sz w:val="24"/>
          <w:szCs w:val="24"/>
          <w:lang w:val="en-US"/>
        </w:rPr>
        <w:t>on Blundell and Bond (1998)</w:t>
      </w:r>
      <w:r>
        <w:rPr>
          <w:rFonts w:ascii="Times New Roman" w:hAnsi="Times New Roman" w:cs="Times New Roman"/>
          <w:sz w:val="24"/>
          <w:szCs w:val="24"/>
          <w:lang w:val="en-US"/>
        </w:rPr>
        <w:t>.</w:t>
      </w:r>
    </w:p>
    <w:p w:rsidR="00FE0E8D" w:rsidRDefault="00A564D7" w:rsidP="00014EF8">
      <w:pPr>
        <w:spacing w:line="480" w:lineRule="auto"/>
        <w:ind w:firstLine="720"/>
        <w:jc w:val="both"/>
        <w:rPr>
          <w:rFonts w:ascii="Times New Roman" w:hAnsi="Times New Roman" w:cs="Times New Roman"/>
          <w:sz w:val="24"/>
          <w:szCs w:val="24"/>
          <w:lang w:val="en-US"/>
        </w:rPr>
      </w:pPr>
      <w:r w:rsidRPr="00A564D7">
        <w:rPr>
          <w:rFonts w:ascii="Times New Roman" w:hAnsi="Times New Roman" w:cs="Times New Roman"/>
          <w:sz w:val="24"/>
          <w:szCs w:val="24"/>
          <w:lang w:val="en-US"/>
        </w:rPr>
        <w:t>We start by considering the GMM estimation of the dynamic panel de</w:t>
      </w:r>
      <w:r w:rsidR="009657A0">
        <w:rPr>
          <w:rFonts w:ascii="Times New Roman" w:hAnsi="Times New Roman" w:cs="Times New Roman"/>
          <w:sz w:val="24"/>
          <w:szCs w:val="24"/>
          <w:lang w:val="en-US"/>
        </w:rPr>
        <w:t>fi</w:t>
      </w:r>
      <w:r w:rsidRPr="00A564D7">
        <w:rPr>
          <w:rFonts w:ascii="Times New Roman" w:hAnsi="Times New Roman" w:cs="Times New Roman"/>
          <w:sz w:val="24"/>
          <w:szCs w:val="24"/>
          <w:lang w:val="en-US"/>
        </w:rPr>
        <w:t>ned in (</w:t>
      </w:r>
      <w:r w:rsidR="0072067E">
        <w:rPr>
          <w:rFonts w:ascii="Times New Roman" w:hAnsi="Times New Roman" w:cs="Times New Roman"/>
          <w:sz w:val="24"/>
          <w:szCs w:val="24"/>
          <w:lang w:val="en-US"/>
        </w:rPr>
        <w:t>7</w:t>
      </w:r>
      <w:r w:rsidRPr="00A564D7">
        <w:rPr>
          <w:rFonts w:ascii="Times New Roman" w:hAnsi="Times New Roman" w:cs="Times New Roman"/>
          <w:sz w:val="24"/>
          <w:szCs w:val="24"/>
          <w:lang w:val="en-US"/>
        </w:rPr>
        <w:t xml:space="preserve">). In the set of strictly exogenous variables, </w:t>
      </w:r>
      <w:r w:rsidR="009657A0">
        <w:rPr>
          <w:rFonts w:ascii="Times New Roman" w:hAnsi="Times New Roman" w:cs="Times New Roman"/>
          <w:sz w:val="24"/>
          <w:szCs w:val="24"/>
          <w:lang w:val="en-US"/>
        </w:rPr>
        <w:t>the model also</w:t>
      </w:r>
      <w:r w:rsidRPr="00A564D7">
        <w:rPr>
          <w:rFonts w:ascii="Times New Roman" w:hAnsi="Times New Roman" w:cs="Times New Roman"/>
          <w:sz w:val="24"/>
          <w:szCs w:val="24"/>
          <w:lang w:val="en-US"/>
        </w:rPr>
        <w:t xml:space="preserve"> include</w:t>
      </w:r>
      <w:r w:rsidR="009657A0">
        <w:rPr>
          <w:rFonts w:ascii="Times New Roman" w:hAnsi="Times New Roman" w:cs="Times New Roman"/>
          <w:sz w:val="24"/>
          <w:szCs w:val="24"/>
          <w:lang w:val="en-US"/>
        </w:rPr>
        <w:t>s</w:t>
      </w:r>
      <w:r w:rsidRPr="00A564D7">
        <w:rPr>
          <w:rFonts w:ascii="Times New Roman" w:hAnsi="Times New Roman" w:cs="Times New Roman"/>
          <w:sz w:val="24"/>
          <w:szCs w:val="24"/>
          <w:lang w:val="en-US"/>
        </w:rPr>
        <w:t xml:space="preserve"> a constant. The moment conditions in the GMM model use the</w:t>
      </w:r>
      <w:r w:rsidR="009657A0">
        <w:rPr>
          <w:rFonts w:ascii="Times New Roman" w:hAnsi="Times New Roman" w:cs="Times New Roman"/>
          <w:sz w:val="24"/>
          <w:szCs w:val="24"/>
          <w:lang w:val="en-US"/>
        </w:rPr>
        <w:t xml:space="preserve"> </w:t>
      </w:r>
      <w:proofErr w:type="spellStart"/>
      <w:r w:rsidRPr="00A564D7">
        <w:rPr>
          <w:rFonts w:ascii="Times New Roman" w:hAnsi="Times New Roman" w:cs="Times New Roman"/>
          <w:sz w:val="24"/>
          <w:szCs w:val="24"/>
          <w:lang w:val="en-US"/>
        </w:rPr>
        <w:t>orthogonality</w:t>
      </w:r>
      <w:proofErr w:type="spellEnd"/>
      <w:r w:rsidRPr="00A564D7">
        <w:rPr>
          <w:rFonts w:ascii="Times New Roman" w:hAnsi="Times New Roman" w:cs="Times New Roman"/>
          <w:sz w:val="24"/>
          <w:szCs w:val="24"/>
          <w:lang w:val="en-US"/>
        </w:rPr>
        <w:t xml:space="preserve"> conditions between the di</w:t>
      </w:r>
      <w:r w:rsidR="009657A0">
        <w:rPr>
          <w:rFonts w:ascii="Times New Roman" w:hAnsi="Times New Roman" w:cs="Times New Roman"/>
          <w:sz w:val="24"/>
          <w:szCs w:val="24"/>
          <w:lang w:val="en-US"/>
        </w:rPr>
        <w:t>ff</w:t>
      </w:r>
      <w:r w:rsidRPr="00A564D7">
        <w:rPr>
          <w:rFonts w:ascii="Times New Roman" w:hAnsi="Times New Roman" w:cs="Times New Roman"/>
          <w:sz w:val="24"/>
          <w:szCs w:val="24"/>
          <w:lang w:val="en-US"/>
        </w:rPr>
        <w:t xml:space="preserve">erenced errors and </w:t>
      </w:r>
      <w:r w:rsidR="009657A0">
        <w:rPr>
          <w:rFonts w:ascii="Times New Roman" w:hAnsi="Times New Roman" w:cs="Times New Roman"/>
          <w:sz w:val="24"/>
          <w:szCs w:val="24"/>
          <w:lang w:val="en-US"/>
        </w:rPr>
        <w:t xml:space="preserve">the </w:t>
      </w:r>
      <w:r w:rsidRPr="00A564D7">
        <w:rPr>
          <w:rFonts w:ascii="Times New Roman" w:hAnsi="Times New Roman" w:cs="Times New Roman"/>
          <w:sz w:val="24"/>
          <w:szCs w:val="24"/>
          <w:lang w:val="en-US"/>
        </w:rPr>
        <w:t>lagged values of the dependent</w:t>
      </w:r>
      <w:r w:rsidR="009657A0">
        <w:rPr>
          <w:rFonts w:ascii="Times New Roman" w:hAnsi="Times New Roman" w:cs="Times New Roman"/>
          <w:sz w:val="24"/>
          <w:szCs w:val="24"/>
          <w:lang w:val="en-US"/>
        </w:rPr>
        <w:t xml:space="preserve"> </w:t>
      </w:r>
      <w:r w:rsidRPr="00A564D7">
        <w:rPr>
          <w:rFonts w:ascii="Times New Roman" w:hAnsi="Times New Roman" w:cs="Times New Roman"/>
          <w:sz w:val="24"/>
          <w:szCs w:val="24"/>
          <w:lang w:val="en-US"/>
        </w:rPr>
        <w:t>variable, which assume that the original disturbances in (</w:t>
      </w:r>
      <w:r w:rsidR="0072067E">
        <w:rPr>
          <w:rFonts w:ascii="Times New Roman" w:hAnsi="Times New Roman" w:cs="Times New Roman"/>
          <w:sz w:val="24"/>
          <w:szCs w:val="24"/>
          <w:lang w:val="en-US"/>
        </w:rPr>
        <w:t>7</w:t>
      </w:r>
      <w:r w:rsidRPr="00A564D7">
        <w:rPr>
          <w:rFonts w:ascii="Times New Roman" w:hAnsi="Times New Roman" w:cs="Times New Roman"/>
          <w:sz w:val="24"/>
          <w:szCs w:val="24"/>
          <w:lang w:val="en-US"/>
        </w:rPr>
        <w:t>) are serially uncorrelated and that</w:t>
      </w:r>
      <w:r w:rsidR="009657A0">
        <w:rPr>
          <w:rFonts w:ascii="Times New Roman" w:hAnsi="Times New Roman" w:cs="Times New Roman"/>
          <w:sz w:val="24"/>
          <w:szCs w:val="24"/>
          <w:lang w:val="en-US"/>
        </w:rPr>
        <w:t xml:space="preserve"> </w:t>
      </w:r>
      <w:r w:rsidRPr="00A564D7">
        <w:rPr>
          <w:rFonts w:ascii="Times New Roman" w:hAnsi="Times New Roman" w:cs="Times New Roman"/>
          <w:sz w:val="24"/>
          <w:szCs w:val="24"/>
          <w:lang w:val="en-US"/>
        </w:rPr>
        <w:t>the di</w:t>
      </w:r>
      <w:r w:rsidR="009657A0">
        <w:rPr>
          <w:rFonts w:ascii="Times New Roman" w:hAnsi="Times New Roman" w:cs="Times New Roman"/>
          <w:sz w:val="24"/>
          <w:szCs w:val="24"/>
          <w:lang w:val="en-US"/>
        </w:rPr>
        <w:t>ff</w:t>
      </w:r>
      <w:r w:rsidRPr="00A564D7">
        <w:rPr>
          <w:rFonts w:ascii="Times New Roman" w:hAnsi="Times New Roman" w:cs="Times New Roman"/>
          <w:sz w:val="24"/>
          <w:szCs w:val="24"/>
          <w:lang w:val="en-US"/>
        </w:rPr>
        <w:t xml:space="preserve">erenced error is MA(1). In fact, two diagnostics are computed to test for </w:t>
      </w:r>
      <w:r w:rsidR="009657A0">
        <w:rPr>
          <w:rFonts w:ascii="Times New Roman" w:hAnsi="Times New Roman" w:cs="Times New Roman"/>
          <w:sz w:val="24"/>
          <w:szCs w:val="24"/>
          <w:lang w:val="en-US"/>
        </w:rPr>
        <w:t>fi</w:t>
      </w:r>
      <w:r w:rsidRPr="00A564D7">
        <w:rPr>
          <w:rFonts w:ascii="Times New Roman" w:hAnsi="Times New Roman" w:cs="Times New Roman"/>
          <w:sz w:val="24"/>
          <w:szCs w:val="24"/>
          <w:lang w:val="en-US"/>
        </w:rPr>
        <w:t>rst order and second order serial</w:t>
      </w:r>
      <w:r w:rsidR="009657A0">
        <w:rPr>
          <w:rFonts w:ascii="Times New Roman" w:hAnsi="Times New Roman" w:cs="Times New Roman"/>
          <w:sz w:val="24"/>
          <w:szCs w:val="24"/>
          <w:lang w:val="en-US"/>
        </w:rPr>
        <w:t xml:space="preserve"> </w:t>
      </w:r>
      <w:r w:rsidRPr="00A564D7">
        <w:rPr>
          <w:rFonts w:ascii="Times New Roman" w:hAnsi="Times New Roman" w:cs="Times New Roman"/>
          <w:sz w:val="24"/>
          <w:szCs w:val="24"/>
          <w:lang w:val="en-US"/>
        </w:rPr>
        <w:t xml:space="preserve">correlation in the disturbances. One should reject the null hypothesis of the absence of </w:t>
      </w:r>
      <w:r w:rsidR="009657A0">
        <w:rPr>
          <w:rFonts w:ascii="Times New Roman" w:hAnsi="Times New Roman" w:cs="Times New Roman"/>
          <w:sz w:val="24"/>
          <w:szCs w:val="24"/>
          <w:lang w:val="en-US"/>
        </w:rPr>
        <w:t>fi</w:t>
      </w:r>
      <w:r w:rsidRPr="00A564D7">
        <w:rPr>
          <w:rFonts w:ascii="Times New Roman" w:hAnsi="Times New Roman" w:cs="Times New Roman"/>
          <w:sz w:val="24"/>
          <w:szCs w:val="24"/>
          <w:lang w:val="en-US"/>
        </w:rPr>
        <w:t>rst</w:t>
      </w:r>
      <w:r w:rsidR="009657A0">
        <w:rPr>
          <w:rFonts w:ascii="Times New Roman" w:hAnsi="Times New Roman" w:cs="Times New Roman"/>
          <w:sz w:val="24"/>
          <w:szCs w:val="24"/>
          <w:lang w:val="en-US"/>
        </w:rPr>
        <w:t xml:space="preserve"> </w:t>
      </w:r>
      <w:r w:rsidRPr="00A564D7">
        <w:rPr>
          <w:rFonts w:ascii="Times New Roman" w:hAnsi="Times New Roman" w:cs="Times New Roman"/>
          <w:sz w:val="24"/>
          <w:szCs w:val="24"/>
          <w:lang w:val="en-US"/>
        </w:rPr>
        <w:t>order serial correlation and not reject the null hypothesis of the absence of second order serial</w:t>
      </w:r>
      <w:r w:rsidR="009657A0">
        <w:rPr>
          <w:rFonts w:ascii="Times New Roman" w:hAnsi="Times New Roman" w:cs="Times New Roman"/>
          <w:sz w:val="24"/>
          <w:szCs w:val="24"/>
          <w:lang w:val="en-US"/>
        </w:rPr>
        <w:t xml:space="preserve"> </w:t>
      </w:r>
      <w:r w:rsidRPr="00A564D7">
        <w:rPr>
          <w:rFonts w:ascii="Times New Roman" w:hAnsi="Times New Roman" w:cs="Times New Roman"/>
          <w:sz w:val="24"/>
          <w:szCs w:val="24"/>
          <w:lang w:val="en-US"/>
        </w:rPr>
        <w:t xml:space="preserve">correlation. The </w:t>
      </w:r>
      <w:r w:rsidR="007A4C74">
        <w:rPr>
          <w:rFonts w:ascii="Times New Roman" w:hAnsi="Times New Roman" w:cs="Times New Roman"/>
          <w:sz w:val="24"/>
          <w:szCs w:val="24"/>
          <w:lang w:val="en-US"/>
        </w:rPr>
        <w:t xml:space="preserve">baseline </w:t>
      </w:r>
      <w:r w:rsidRPr="00A564D7">
        <w:rPr>
          <w:rFonts w:ascii="Times New Roman" w:hAnsi="Times New Roman" w:cs="Times New Roman"/>
          <w:sz w:val="24"/>
          <w:szCs w:val="24"/>
          <w:lang w:val="en-US"/>
        </w:rPr>
        <w:t xml:space="preserve">estimation results are summarized in Table </w:t>
      </w:r>
      <w:r w:rsidR="00C054A5">
        <w:rPr>
          <w:rFonts w:ascii="Times New Roman" w:hAnsi="Times New Roman" w:cs="Times New Roman"/>
          <w:sz w:val="24"/>
          <w:szCs w:val="24"/>
          <w:lang w:val="en-US"/>
        </w:rPr>
        <w:t>2</w:t>
      </w:r>
      <w:r w:rsidR="009657A0">
        <w:rPr>
          <w:rFonts w:ascii="Times New Roman" w:hAnsi="Times New Roman" w:cs="Times New Roman"/>
          <w:sz w:val="24"/>
          <w:szCs w:val="24"/>
          <w:lang w:val="en-US"/>
        </w:rPr>
        <w:t>.</w:t>
      </w:r>
      <w:r w:rsidRPr="00A564D7">
        <w:rPr>
          <w:rFonts w:ascii="Times New Roman" w:hAnsi="Times New Roman" w:cs="Times New Roman"/>
          <w:sz w:val="24"/>
          <w:szCs w:val="24"/>
          <w:lang w:val="en-US"/>
        </w:rPr>
        <w:t xml:space="preserve"> </w:t>
      </w:r>
      <w:r w:rsidR="00A024A4">
        <w:rPr>
          <w:rFonts w:ascii="Times New Roman" w:hAnsi="Times New Roman" w:cs="Times New Roman"/>
          <w:sz w:val="24"/>
          <w:szCs w:val="24"/>
          <w:lang w:val="en-US"/>
        </w:rPr>
        <w:t>Column 1</w:t>
      </w:r>
      <w:r w:rsidRPr="00A564D7">
        <w:rPr>
          <w:rFonts w:ascii="Times New Roman" w:hAnsi="Times New Roman" w:cs="Times New Roman"/>
          <w:sz w:val="24"/>
          <w:szCs w:val="24"/>
          <w:lang w:val="en-US"/>
        </w:rPr>
        <w:t xml:space="preserve"> </w:t>
      </w:r>
      <w:r w:rsidR="00FE2902">
        <w:rPr>
          <w:rFonts w:ascii="Times New Roman" w:hAnsi="Times New Roman" w:cs="Times New Roman"/>
          <w:sz w:val="24"/>
          <w:szCs w:val="24"/>
          <w:lang w:val="en-US"/>
        </w:rPr>
        <w:t>present</w:t>
      </w:r>
      <w:r w:rsidR="00A024A4">
        <w:rPr>
          <w:rFonts w:ascii="Times New Roman" w:hAnsi="Times New Roman" w:cs="Times New Roman"/>
          <w:sz w:val="24"/>
          <w:szCs w:val="24"/>
          <w:lang w:val="en-US"/>
        </w:rPr>
        <w:t>s</w:t>
      </w:r>
      <w:r w:rsidR="00FE2902">
        <w:rPr>
          <w:rFonts w:ascii="Times New Roman" w:hAnsi="Times New Roman" w:cs="Times New Roman"/>
          <w:sz w:val="24"/>
          <w:szCs w:val="24"/>
          <w:lang w:val="en-US"/>
        </w:rPr>
        <w:t xml:space="preserve"> only the </w:t>
      </w:r>
      <w:proofErr w:type="spellStart"/>
      <w:r w:rsidR="00FE2902">
        <w:rPr>
          <w:rFonts w:ascii="Times New Roman" w:hAnsi="Times New Roman" w:cs="Times New Roman"/>
          <w:sz w:val="24"/>
          <w:szCs w:val="24"/>
          <w:lang w:val="en-US"/>
        </w:rPr>
        <w:t>bivariate</w:t>
      </w:r>
      <w:proofErr w:type="spellEnd"/>
      <w:r w:rsidR="00FE2902">
        <w:rPr>
          <w:rFonts w:ascii="Times New Roman" w:hAnsi="Times New Roman" w:cs="Times New Roman"/>
          <w:sz w:val="24"/>
          <w:szCs w:val="24"/>
          <w:lang w:val="en-US"/>
        </w:rPr>
        <w:t xml:space="preserve"> model, while </w:t>
      </w:r>
      <w:r w:rsidR="009657A0">
        <w:rPr>
          <w:rFonts w:ascii="Times New Roman" w:hAnsi="Times New Roman" w:cs="Times New Roman"/>
          <w:sz w:val="24"/>
          <w:szCs w:val="24"/>
          <w:lang w:val="en-US"/>
        </w:rPr>
        <w:t xml:space="preserve">both </w:t>
      </w:r>
      <w:r w:rsidR="00FE2902">
        <w:rPr>
          <w:rFonts w:ascii="Times New Roman" w:hAnsi="Times New Roman" w:cs="Times New Roman"/>
          <w:sz w:val="24"/>
          <w:szCs w:val="24"/>
          <w:lang w:val="en-US"/>
        </w:rPr>
        <w:t>a constant and the 2008 crisis dummy</w:t>
      </w:r>
      <w:r w:rsidR="00A024A4">
        <w:rPr>
          <w:rFonts w:ascii="Times New Roman" w:hAnsi="Times New Roman" w:cs="Times New Roman"/>
          <w:sz w:val="24"/>
          <w:szCs w:val="24"/>
          <w:lang w:val="en-US"/>
        </w:rPr>
        <w:t xml:space="preserve"> are also included</w:t>
      </w:r>
      <w:r w:rsidR="009657A0">
        <w:rPr>
          <w:rFonts w:ascii="Times New Roman" w:hAnsi="Times New Roman" w:cs="Times New Roman"/>
          <w:sz w:val="24"/>
          <w:szCs w:val="24"/>
          <w:lang w:val="en-US"/>
        </w:rPr>
        <w:t xml:space="preserve">; Column </w:t>
      </w:r>
      <w:r w:rsidR="00FE2902">
        <w:rPr>
          <w:rFonts w:ascii="Times New Roman" w:hAnsi="Times New Roman" w:cs="Times New Roman"/>
          <w:sz w:val="24"/>
          <w:szCs w:val="24"/>
          <w:lang w:val="en-US"/>
        </w:rPr>
        <w:t>2</w:t>
      </w:r>
      <w:r w:rsidR="009657A0">
        <w:rPr>
          <w:rFonts w:ascii="Times New Roman" w:hAnsi="Times New Roman" w:cs="Times New Roman"/>
          <w:sz w:val="24"/>
          <w:szCs w:val="24"/>
          <w:lang w:val="en-US"/>
        </w:rPr>
        <w:t xml:space="preserve"> </w:t>
      </w:r>
      <w:r w:rsidRPr="00A564D7">
        <w:rPr>
          <w:rFonts w:ascii="Times New Roman" w:hAnsi="Times New Roman" w:cs="Times New Roman"/>
          <w:sz w:val="24"/>
          <w:szCs w:val="24"/>
          <w:lang w:val="en-US"/>
        </w:rPr>
        <w:t>consider</w:t>
      </w:r>
      <w:r w:rsidR="00A024A4">
        <w:rPr>
          <w:rFonts w:ascii="Times New Roman" w:hAnsi="Times New Roman" w:cs="Times New Roman"/>
          <w:sz w:val="24"/>
          <w:szCs w:val="24"/>
          <w:lang w:val="en-US"/>
        </w:rPr>
        <w:t>s</w:t>
      </w:r>
      <w:r w:rsidRPr="00A564D7">
        <w:rPr>
          <w:rFonts w:ascii="Times New Roman" w:hAnsi="Times New Roman" w:cs="Times New Roman"/>
          <w:sz w:val="24"/>
          <w:szCs w:val="24"/>
          <w:lang w:val="en-US"/>
        </w:rPr>
        <w:t xml:space="preserve"> </w:t>
      </w:r>
      <w:r w:rsidR="00FE2902">
        <w:rPr>
          <w:rFonts w:ascii="Times New Roman" w:hAnsi="Times New Roman" w:cs="Times New Roman"/>
          <w:sz w:val="24"/>
          <w:szCs w:val="24"/>
          <w:lang w:val="en-US"/>
        </w:rPr>
        <w:t>the multivariate model (</w:t>
      </w:r>
      <w:r w:rsidR="0072067E">
        <w:rPr>
          <w:rFonts w:ascii="Times New Roman" w:hAnsi="Times New Roman" w:cs="Times New Roman"/>
          <w:sz w:val="24"/>
          <w:szCs w:val="24"/>
          <w:lang w:val="en-US"/>
        </w:rPr>
        <w:t>7</w:t>
      </w:r>
      <w:r w:rsidR="00FE2902">
        <w:rPr>
          <w:rFonts w:ascii="Times New Roman" w:hAnsi="Times New Roman" w:cs="Times New Roman"/>
          <w:sz w:val="24"/>
          <w:szCs w:val="24"/>
          <w:lang w:val="en-US"/>
        </w:rPr>
        <w:t>)</w:t>
      </w:r>
      <w:r w:rsidRPr="00A564D7">
        <w:rPr>
          <w:rFonts w:ascii="Times New Roman" w:hAnsi="Times New Roman" w:cs="Times New Roman"/>
          <w:sz w:val="24"/>
          <w:szCs w:val="24"/>
          <w:lang w:val="en-US"/>
        </w:rPr>
        <w:t xml:space="preserve">. </w:t>
      </w:r>
      <w:r w:rsidR="00772ECB">
        <w:rPr>
          <w:rFonts w:ascii="Times New Roman" w:hAnsi="Times New Roman" w:cs="Times New Roman"/>
          <w:sz w:val="24"/>
          <w:szCs w:val="24"/>
          <w:lang w:val="en-US"/>
        </w:rPr>
        <w:t>The</w:t>
      </w:r>
      <w:r w:rsidR="00772ECB" w:rsidRPr="00772ECB">
        <w:rPr>
          <w:rFonts w:ascii="Times New Roman" w:hAnsi="Times New Roman" w:cs="Times New Roman"/>
          <w:sz w:val="24"/>
          <w:szCs w:val="24"/>
          <w:lang w:val="en-US"/>
        </w:rPr>
        <w:t xml:space="preserve"> estimates featur</w:t>
      </w:r>
      <w:r w:rsidR="00772ECB">
        <w:rPr>
          <w:rFonts w:ascii="Times New Roman" w:hAnsi="Times New Roman" w:cs="Times New Roman"/>
          <w:sz w:val="24"/>
          <w:szCs w:val="24"/>
          <w:lang w:val="en-US"/>
        </w:rPr>
        <w:t>e as t</w:t>
      </w:r>
      <w:r w:rsidR="00772ECB" w:rsidRPr="00772ECB">
        <w:rPr>
          <w:rFonts w:ascii="Times New Roman" w:hAnsi="Times New Roman" w:cs="Times New Roman"/>
          <w:sz w:val="24"/>
          <w:szCs w:val="24"/>
          <w:lang w:val="en-US"/>
        </w:rPr>
        <w:t>he dependent variable change</w:t>
      </w:r>
      <w:r w:rsidR="00772ECB">
        <w:rPr>
          <w:rFonts w:ascii="Times New Roman" w:hAnsi="Times New Roman" w:cs="Times New Roman"/>
          <w:sz w:val="24"/>
          <w:szCs w:val="24"/>
          <w:lang w:val="en-US"/>
        </w:rPr>
        <w:t>s</w:t>
      </w:r>
      <w:r w:rsidR="00772ECB" w:rsidRPr="00772ECB">
        <w:rPr>
          <w:rFonts w:ascii="Times New Roman" w:hAnsi="Times New Roman" w:cs="Times New Roman"/>
          <w:sz w:val="24"/>
          <w:szCs w:val="24"/>
          <w:lang w:val="en-US"/>
        </w:rPr>
        <w:t xml:space="preserve"> in non</w:t>
      </w:r>
      <w:r w:rsidR="00772ECB">
        <w:rPr>
          <w:rFonts w:ascii="Times New Roman" w:hAnsi="Times New Roman" w:cs="Times New Roman"/>
          <w:sz w:val="24"/>
          <w:szCs w:val="24"/>
          <w:lang w:val="en-US"/>
        </w:rPr>
        <w:t>-</w:t>
      </w:r>
      <w:r w:rsidR="00772ECB" w:rsidRPr="00772ECB">
        <w:rPr>
          <w:rFonts w:ascii="Times New Roman" w:hAnsi="Times New Roman" w:cs="Times New Roman"/>
          <w:sz w:val="24"/>
          <w:szCs w:val="24"/>
          <w:lang w:val="en-US"/>
        </w:rPr>
        <w:t>housing consumption</w:t>
      </w:r>
      <w:r w:rsidR="00772ECB">
        <w:rPr>
          <w:rFonts w:ascii="Times New Roman" w:hAnsi="Times New Roman" w:cs="Times New Roman"/>
          <w:sz w:val="24"/>
          <w:szCs w:val="24"/>
          <w:lang w:val="en-US"/>
        </w:rPr>
        <w:t xml:space="preserve"> and they</w:t>
      </w:r>
      <w:r w:rsidR="00796421">
        <w:rPr>
          <w:rFonts w:ascii="Times New Roman" w:hAnsi="Times New Roman" w:cs="Times New Roman"/>
          <w:sz w:val="24"/>
          <w:szCs w:val="24"/>
          <w:lang w:val="en-US"/>
        </w:rPr>
        <w:t xml:space="preserve"> document</w:t>
      </w:r>
      <w:r w:rsidR="00772ECB">
        <w:rPr>
          <w:rFonts w:ascii="Times New Roman" w:hAnsi="Times New Roman" w:cs="Times New Roman"/>
          <w:sz w:val="24"/>
          <w:szCs w:val="24"/>
          <w:lang w:val="en-US"/>
        </w:rPr>
        <w:t xml:space="preserve"> a number of interesting findings</w:t>
      </w:r>
      <w:r w:rsidR="00796421">
        <w:rPr>
          <w:rFonts w:ascii="Times New Roman" w:hAnsi="Times New Roman" w:cs="Times New Roman"/>
          <w:sz w:val="24"/>
          <w:szCs w:val="24"/>
          <w:lang w:val="en-US"/>
        </w:rPr>
        <w:t>:</w:t>
      </w:r>
      <w:r w:rsidR="0072067E">
        <w:rPr>
          <w:rFonts w:ascii="Times New Roman" w:hAnsi="Times New Roman" w:cs="Times New Roman"/>
          <w:sz w:val="24"/>
          <w:szCs w:val="24"/>
          <w:lang w:val="en-US"/>
        </w:rPr>
        <w:t xml:space="preserve"> </w:t>
      </w:r>
      <w:proofErr w:type="spellStart"/>
      <w:r w:rsidR="0072067E">
        <w:rPr>
          <w:rFonts w:ascii="Times New Roman" w:hAnsi="Times New Roman" w:cs="Times New Roman"/>
          <w:sz w:val="24"/>
          <w:szCs w:val="24"/>
          <w:lang w:val="en-US"/>
        </w:rPr>
        <w:t>i</w:t>
      </w:r>
      <w:proofErr w:type="spellEnd"/>
      <w:r w:rsidR="0072067E">
        <w:rPr>
          <w:rFonts w:ascii="Times New Roman" w:hAnsi="Times New Roman" w:cs="Times New Roman"/>
          <w:sz w:val="24"/>
          <w:szCs w:val="24"/>
          <w:lang w:val="en-US"/>
        </w:rPr>
        <w:t>) a</w:t>
      </w:r>
      <w:r w:rsidR="004728CD" w:rsidRPr="00D22028">
        <w:rPr>
          <w:rFonts w:ascii="Times New Roman" w:hAnsi="Times New Roman" w:cs="Times New Roman"/>
          <w:sz w:val="24"/>
          <w:szCs w:val="24"/>
          <w:lang w:val="en-US"/>
        </w:rPr>
        <w:t>cross</w:t>
      </w:r>
      <w:r w:rsidRPr="00D22028">
        <w:rPr>
          <w:rFonts w:ascii="Times New Roman" w:hAnsi="Times New Roman" w:cs="Times New Roman"/>
          <w:sz w:val="24"/>
          <w:szCs w:val="24"/>
          <w:lang w:val="en-US"/>
        </w:rPr>
        <w:t xml:space="preserve"> </w:t>
      </w:r>
      <w:r w:rsidR="00A024A4">
        <w:rPr>
          <w:rFonts w:ascii="Times New Roman" w:hAnsi="Times New Roman" w:cs="Times New Roman"/>
          <w:sz w:val="24"/>
          <w:szCs w:val="24"/>
          <w:lang w:val="en-US"/>
        </w:rPr>
        <w:t>both</w:t>
      </w:r>
      <w:r w:rsidRPr="00D22028">
        <w:rPr>
          <w:rFonts w:ascii="Times New Roman" w:hAnsi="Times New Roman" w:cs="Times New Roman"/>
          <w:sz w:val="24"/>
          <w:szCs w:val="24"/>
          <w:lang w:val="en-US"/>
        </w:rPr>
        <w:t xml:space="preserve"> speci</w:t>
      </w:r>
      <w:r w:rsidR="00796421" w:rsidRPr="00D22028">
        <w:rPr>
          <w:rFonts w:ascii="Times New Roman" w:hAnsi="Times New Roman" w:cs="Times New Roman"/>
          <w:sz w:val="24"/>
          <w:szCs w:val="24"/>
          <w:lang w:val="en-US"/>
        </w:rPr>
        <w:t>fi</w:t>
      </w:r>
      <w:r w:rsidRPr="00D22028">
        <w:rPr>
          <w:rFonts w:ascii="Times New Roman" w:hAnsi="Times New Roman" w:cs="Times New Roman"/>
          <w:sz w:val="24"/>
          <w:szCs w:val="24"/>
          <w:lang w:val="en-US"/>
        </w:rPr>
        <w:t>cations, the lag of consumption is statistically signi</w:t>
      </w:r>
      <w:r w:rsidR="00796421" w:rsidRPr="00D22028">
        <w:rPr>
          <w:rFonts w:ascii="Times New Roman" w:hAnsi="Times New Roman" w:cs="Times New Roman"/>
          <w:sz w:val="24"/>
          <w:szCs w:val="24"/>
          <w:lang w:val="en-US"/>
        </w:rPr>
        <w:t>fi</w:t>
      </w:r>
      <w:r w:rsidRPr="00D22028">
        <w:rPr>
          <w:rFonts w:ascii="Times New Roman" w:hAnsi="Times New Roman" w:cs="Times New Roman"/>
          <w:sz w:val="24"/>
          <w:szCs w:val="24"/>
          <w:lang w:val="en-US"/>
        </w:rPr>
        <w:t>cant, therefore, re</w:t>
      </w:r>
      <w:r w:rsidR="00796421" w:rsidRPr="00D22028">
        <w:rPr>
          <w:rFonts w:ascii="Times New Roman" w:hAnsi="Times New Roman" w:cs="Times New Roman"/>
          <w:sz w:val="24"/>
          <w:szCs w:val="24"/>
          <w:lang w:val="en-US"/>
        </w:rPr>
        <w:t>fl</w:t>
      </w:r>
      <w:r w:rsidRPr="00D22028">
        <w:rPr>
          <w:rFonts w:ascii="Times New Roman" w:hAnsi="Times New Roman" w:cs="Times New Roman"/>
          <w:sz w:val="24"/>
          <w:szCs w:val="24"/>
          <w:lang w:val="en-US"/>
        </w:rPr>
        <w:t>ecting</w:t>
      </w:r>
      <w:r w:rsidR="00796421" w:rsidRPr="00D22028">
        <w:rPr>
          <w:rFonts w:ascii="Times New Roman" w:hAnsi="Times New Roman" w:cs="Times New Roman"/>
          <w:sz w:val="24"/>
          <w:szCs w:val="24"/>
          <w:lang w:val="en-US"/>
        </w:rPr>
        <w:t xml:space="preserve"> </w:t>
      </w:r>
      <w:r w:rsidRPr="00D22028">
        <w:rPr>
          <w:rFonts w:ascii="Times New Roman" w:hAnsi="Times New Roman" w:cs="Times New Roman"/>
          <w:sz w:val="24"/>
          <w:szCs w:val="24"/>
          <w:lang w:val="en-US"/>
        </w:rPr>
        <w:t>the strong persistence of consumption growth.</w:t>
      </w:r>
      <w:r w:rsidR="00193F75" w:rsidRPr="00D22028">
        <w:rPr>
          <w:rFonts w:ascii="Times New Roman" w:hAnsi="Times New Roman" w:cs="Times New Roman"/>
          <w:sz w:val="24"/>
          <w:szCs w:val="24"/>
          <w:lang w:val="en-US"/>
        </w:rPr>
        <w:t xml:space="preserve"> More specifically, </w:t>
      </w:r>
      <w:r w:rsidR="00FE2902">
        <w:rPr>
          <w:rFonts w:ascii="Times New Roman" w:hAnsi="Times New Roman" w:cs="Times New Roman"/>
          <w:sz w:val="24"/>
          <w:szCs w:val="24"/>
          <w:lang w:val="en-US"/>
        </w:rPr>
        <w:t>t</w:t>
      </w:r>
      <w:r w:rsidR="00193F75" w:rsidRPr="00D22028">
        <w:rPr>
          <w:rFonts w:ascii="Times New Roman" w:hAnsi="Times New Roman" w:cs="Times New Roman"/>
          <w:sz w:val="24"/>
          <w:szCs w:val="24"/>
          <w:lang w:val="en-US"/>
        </w:rPr>
        <w:t>he persistence of consumption growth may be due to: household inattention; evaluation of household finances at periodic intervals (i.e., annual tax reporting times), adjustment costs to change consumption, and habit formation. All these factors can lead to a sluggish response of consumption (</w:t>
      </w:r>
      <w:proofErr w:type="spellStart"/>
      <w:r w:rsidR="00193F75" w:rsidRPr="00D22028">
        <w:rPr>
          <w:rFonts w:ascii="Times New Roman" w:hAnsi="Times New Roman" w:cs="Times New Roman"/>
          <w:sz w:val="24"/>
          <w:szCs w:val="24"/>
          <w:lang w:val="en-US"/>
        </w:rPr>
        <w:t>Kennickell</w:t>
      </w:r>
      <w:proofErr w:type="spellEnd"/>
      <w:r w:rsidR="00193F75" w:rsidRPr="00D22028">
        <w:rPr>
          <w:rFonts w:ascii="Times New Roman" w:hAnsi="Times New Roman" w:cs="Times New Roman"/>
          <w:sz w:val="24"/>
          <w:szCs w:val="24"/>
          <w:lang w:val="en-US"/>
        </w:rPr>
        <w:t xml:space="preserve"> and Starr-</w:t>
      </w:r>
      <w:proofErr w:type="spellStart"/>
      <w:r w:rsidR="00193F75" w:rsidRPr="00D22028">
        <w:rPr>
          <w:rFonts w:ascii="Times New Roman" w:hAnsi="Times New Roman" w:cs="Times New Roman"/>
          <w:sz w:val="24"/>
          <w:szCs w:val="24"/>
          <w:lang w:val="en-US"/>
        </w:rPr>
        <w:t>McClu</w:t>
      </w:r>
      <w:r w:rsidR="00F92C9B">
        <w:rPr>
          <w:rFonts w:ascii="Times New Roman" w:hAnsi="Times New Roman" w:cs="Times New Roman"/>
          <w:sz w:val="24"/>
          <w:szCs w:val="24"/>
          <w:lang w:val="en-US"/>
        </w:rPr>
        <w:t>er</w:t>
      </w:r>
      <w:proofErr w:type="spellEnd"/>
      <w:r w:rsidR="00F92C9B">
        <w:rPr>
          <w:rFonts w:ascii="Times New Roman" w:hAnsi="Times New Roman" w:cs="Times New Roman"/>
          <w:sz w:val="24"/>
          <w:szCs w:val="24"/>
          <w:lang w:val="en-US"/>
        </w:rPr>
        <w:t xml:space="preserve">, 1997; </w:t>
      </w:r>
      <w:proofErr w:type="spellStart"/>
      <w:r w:rsidR="00F92C9B">
        <w:rPr>
          <w:rFonts w:ascii="Times New Roman" w:hAnsi="Times New Roman" w:cs="Times New Roman"/>
          <w:sz w:val="24"/>
          <w:szCs w:val="24"/>
          <w:lang w:val="en-US"/>
        </w:rPr>
        <w:t>Dynan</w:t>
      </w:r>
      <w:proofErr w:type="spellEnd"/>
      <w:r w:rsidR="00F92C9B">
        <w:rPr>
          <w:rFonts w:ascii="Times New Roman" w:hAnsi="Times New Roman" w:cs="Times New Roman"/>
          <w:sz w:val="24"/>
          <w:szCs w:val="24"/>
          <w:lang w:val="en-US"/>
        </w:rPr>
        <w:t xml:space="preserve"> and Maki, 2001)</w:t>
      </w:r>
      <w:r w:rsidR="0072067E">
        <w:rPr>
          <w:rFonts w:ascii="Times New Roman" w:hAnsi="Times New Roman" w:cs="Times New Roman"/>
          <w:sz w:val="24"/>
          <w:szCs w:val="24"/>
          <w:lang w:val="en-US"/>
        </w:rPr>
        <w:t xml:space="preserve">, ii) </w:t>
      </w:r>
      <w:r w:rsidR="00796421" w:rsidRPr="00A024A4">
        <w:rPr>
          <w:rFonts w:ascii="Times New Roman" w:hAnsi="Times New Roman" w:cs="Times New Roman"/>
          <w:sz w:val="24"/>
          <w:szCs w:val="24"/>
          <w:lang w:val="en-US"/>
        </w:rPr>
        <w:t xml:space="preserve">the </w:t>
      </w:r>
      <w:r w:rsidR="00FE2902" w:rsidRPr="00A024A4">
        <w:rPr>
          <w:rFonts w:ascii="Times New Roman" w:hAnsi="Times New Roman" w:cs="Times New Roman"/>
          <w:sz w:val="24"/>
          <w:szCs w:val="24"/>
          <w:lang w:val="en-US"/>
        </w:rPr>
        <w:t xml:space="preserve">two </w:t>
      </w:r>
      <w:r w:rsidR="00796421" w:rsidRPr="00A024A4">
        <w:rPr>
          <w:rFonts w:ascii="Times New Roman" w:hAnsi="Times New Roman" w:cs="Times New Roman"/>
          <w:sz w:val="24"/>
          <w:szCs w:val="24"/>
          <w:lang w:val="en-US"/>
        </w:rPr>
        <w:t>diff</w:t>
      </w:r>
      <w:r w:rsidRPr="00A024A4">
        <w:rPr>
          <w:rFonts w:ascii="Times New Roman" w:hAnsi="Times New Roman" w:cs="Times New Roman"/>
          <w:sz w:val="24"/>
          <w:szCs w:val="24"/>
          <w:lang w:val="en-US"/>
        </w:rPr>
        <w:t>erent components of wealth are statistically signi</w:t>
      </w:r>
      <w:r w:rsidR="00796421" w:rsidRPr="00A024A4">
        <w:rPr>
          <w:rFonts w:ascii="Times New Roman" w:hAnsi="Times New Roman" w:cs="Times New Roman"/>
          <w:sz w:val="24"/>
          <w:szCs w:val="24"/>
          <w:lang w:val="en-US"/>
        </w:rPr>
        <w:t>fi</w:t>
      </w:r>
      <w:r w:rsidRPr="00A024A4">
        <w:rPr>
          <w:rFonts w:ascii="Times New Roman" w:hAnsi="Times New Roman" w:cs="Times New Roman"/>
          <w:sz w:val="24"/>
          <w:szCs w:val="24"/>
          <w:lang w:val="en-US"/>
        </w:rPr>
        <w:t xml:space="preserve">cant </w:t>
      </w:r>
      <w:r w:rsidR="00FE2902" w:rsidRPr="00A024A4">
        <w:rPr>
          <w:rFonts w:ascii="Times New Roman" w:hAnsi="Times New Roman" w:cs="Times New Roman"/>
          <w:sz w:val="24"/>
          <w:szCs w:val="24"/>
          <w:lang w:val="en-US"/>
        </w:rPr>
        <w:t xml:space="preserve">across </w:t>
      </w:r>
      <w:r w:rsidR="00A024A4" w:rsidRPr="00A024A4">
        <w:rPr>
          <w:rFonts w:ascii="Times New Roman" w:hAnsi="Times New Roman" w:cs="Times New Roman"/>
          <w:sz w:val="24"/>
          <w:szCs w:val="24"/>
          <w:lang w:val="en-US"/>
        </w:rPr>
        <w:t>both</w:t>
      </w:r>
      <w:r w:rsidR="00FE2902" w:rsidRPr="00A024A4">
        <w:rPr>
          <w:rFonts w:ascii="Times New Roman" w:hAnsi="Times New Roman" w:cs="Times New Roman"/>
          <w:sz w:val="24"/>
          <w:szCs w:val="24"/>
          <w:lang w:val="en-US"/>
        </w:rPr>
        <w:t xml:space="preserve"> modeling specificati</w:t>
      </w:r>
      <w:r w:rsidR="00F92C9B">
        <w:rPr>
          <w:rFonts w:ascii="Times New Roman" w:hAnsi="Times New Roman" w:cs="Times New Roman"/>
          <w:sz w:val="24"/>
          <w:szCs w:val="24"/>
          <w:lang w:val="en-US"/>
        </w:rPr>
        <w:t>ons</w:t>
      </w:r>
      <w:r w:rsidR="0072067E">
        <w:rPr>
          <w:rFonts w:ascii="Times New Roman" w:hAnsi="Times New Roman" w:cs="Times New Roman"/>
          <w:sz w:val="24"/>
          <w:szCs w:val="24"/>
          <w:lang w:val="en-US"/>
        </w:rPr>
        <w:t xml:space="preserve">, </w:t>
      </w:r>
      <w:r w:rsidR="000A548A">
        <w:rPr>
          <w:rFonts w:ascii="Times New Roman" w:hAnsi="Times New Roman" w:cs="Times New Roman"/>
          <w:sz w:val="24"/>
          <w:szCs w:val="24"/>
          <w:lang w:val="en-US"/>
        </w:rPr>
        <w:t>reflecting</w:t>
      </w:r>
      <w:r w:rsidR="009F495D">
        <w:rPr>
          <w:rFonts w:ascii="Times New Roman" w:hAnsi="Times New Roman" w:cs="Times New Roman"/>
          <w:sz w:val="24"/>
          <w:szCs w:val="24"/>
          <w:lang w:val="en-US"/>
        </w:rPr>
        <w:t xml:space="preserve"> that both types of assets, i.e. stock prices and housing, exert a significant effect on consumption, thus, validating </w:t>
      </w:r>
      <w:r w:rsidR="009F495D">
        <w:rPr>
          <w:rFonts w:ascii="Times New Roman" w:hAnsi="Times New Roman" w:cs="Times New Roman"/>
          <w:sz w:val="24"/>
          <w:szCs w:val="24"/>
          <w:lang w:val="en-US"/>
        </w:rPr>
        <w:lastRenderedPageBreak/>
        <w:t xml:space="preserve">the presence of the wealth effect, </w:t>
      </w:r>
      <w:r w:rsidR="0072067E">
        <w:rPr>
          <w:rFonts w:ascii="Times New Roman" w:hAnsi="Times New Roman" w:cs="Times New Roman"/>
          <w:sz w:val="24"/>
          <w:szCs w:val="24"/>
          <w:lang w:val="en-US"/>
        </w:rPr>
        <w:t xml:space="preserve">iii) </w:t>
      </w:r>
      <w:r w:rsidR="00470110">
        <w:rPr>
          <w:rFonts w:ascii="Times New Roman" w:hAnsi="Times New Roman" w:cs="Times New Roman"/>
          <w:sz w:val="24"/>
          <w:szCs w:val="24"/>
          <w:lang w:val="en-US"/>
        </w:rPr>
        <w:t>g</w:t>
      </w:r>
      <w:r w:rsidR="00470110" w:rsidRPr="00470110">
        <w:rPr>
          <w:rFonts w:ascii="Times New Roman" w:hAnsi="Times New Roman" w:cs="Times New Roman"/>
          <w:sz w:val="24"/>
          <w:szCs w:val="24"/>
          <w:lang w:val="en-US"/>
        </w:rPr>
        <w:t>iven that current income affects consumption stronger that past income, the findings directly violate the implications of the lifecycle/permanent income hypothesis of consumer behavior</w:t>
      </w:r>
      <w:r w:rsidR="0072067E">
        <w:rPr>
          <w:rFonts w:ascii="Times New Roman" w:hAnsi="Times New Roman" w:cs="Times New Roman"/>
          <w:sz w:val="24"/>
          <w:szCs w:val="24"/>
          <w:lang w:val="en-US"/>
        </w:rPr>
        <w:t xml:space="preserve">, iv) </w:t>
      </w:r>
      <w:r w:rsidR="008F4588" w:rsidRPr="00A024A4">
        <w:rPr>
          <w:rFonts w:ascii="Times New Roman" w:hAnsi="Times New Roman" w:cs="Times New Roman"/>
          <w:sz w:val="24"/>
          <w:szCs w:val="24"/>
          <w:lang w:val="en-US"/>
        </w:rPr>
        <w:t>the 2008 crisis effect has had a negative i</w:t>
      </w:r>
      <w:r w:rsidR="00F92C9B">
        <w:rPr>
          <w:rFonts w:ascii="Times New Roman" w:hAnsi="Times New Roman" w:cs="Times New Roman"/>
          <w:sz w:val="24"/>
          <w:szCs w:val="24"/>
          <w:lang w:val="en-US"/>
        </w:rPr>
        <w:t>mpact on the debt serving ratio</w:t>
      </w:r>
      <w:r w:rsidR="0072067E">
        <w:rPr>
          <w:rFonts w:ascii="Times New Roman" w:hAnsi="Times New Roman" w:cs="Times New Roman"/>
          <w:sz w:val="24"/>
          <w:szCs w:val="24"/>
          <w:lang w:val="en-US"/>
        </w:rPr>
        <w:t xml:space="preserve">, </w:t>
      </w:r>
      <w:r w:rsidR="009F495D">
        <w:rPr>
          <w:rFonts w:ascii="Times New Roman" w:hAnsi="Times New Roman" w:cs="Times New Roman"/>
          <w:sz w:val="24"/>
          <w:szCs w:val="24"/>
          <w:lang w:val="en-US"/>
        </w:rPr>
        <w:t xml:space="preserve">indicating that stressful events </w:t>
      </w:r>
      <w:r w:rsidR="000A548A">
        <w:rPr>
          <w:rFonts w:ascii="Times New Roman" w:hAnsi="Times New Roman" w:cs="Times New Roman"/>
          <w:sz w:val="24"/>
          <w:szCs w:val="24"/>
          <w:lang w:val="en-US"/>
        </w:rPr>
        <w:t xml:space="preserve">(i.e., financial crises) </w:t>
      </w:r>
      <w:r w:rsidR="009F495D">
        <w:rPr>
          <w:rFonts w:ascii="Times New Roman" w:hAnsi="Times New Roman" w:cs="Times New Roman"/>
          <w:sz w:val="24"/>
          <w:szCs w:val="24"/>
          <w:lang w:val="en-US"/>
        </w:rPr>
        <w:t xml:space="preserve">have a negative impact on households’ capacity to serve their undertaken debt obligations, </w:t>
      </w:r>
      <w:r w:rsidR="0072067E">
        <w:rPr>
          <w:rFonts w:ascii="Times New Roman" w:hAnsi="Times New Roman" w:cs="Times New Roman"/>
          <w:sz w:val="24"/>
          <w:szCs w:val="24"/>
          <w:lang w:val="en-US"/>
        </w:rPr>
        <w:t xml:space="preserve">v) </w:t>
      </w:r>
      <w:r w:rsidR="00F92C9B">
        <w:rPr>
          <w:rFonts w:ascii="Times New Roman" w:hAnsi="Times New Roman" w:cs="Times New Roman"/>
          <w:sz w:val="24"/>
          <w:szCs w:val="24"/>
          <w:lang w:val="en-US"/>
        </w:rPr>
        <w:t>the interaction dummy term turns out to be positive and statistically significant, indicating that in the case of developed countries the DS ratio is positively impacted consumption expenses, with the explanation provided later in terms of the DS variable</w:t>
      </w:r>
      <w:r w:rsidR="0072067E">
        <w:rPr>
          <w:rFonts w:ascii="Times New Roman" w:hAnsi="Times New Roman" w:cs="Times New Roman"/>
          <w:sz w:val="24"/>
          <w:szCs w:val="24"/>
          <w:lang w:val="en-US"/>
        </w:rPr>
        <w:t xml:space="preserve">, vi) </w:t>
      </w:r>
      <w:r w:rsidR="008F4588" w:rsidRPr="00262F8D">
        <w:rPr>
          <w:rFonts w:ascii="Times New Roman" w:hAnsi="Times New Roman" w:cs="Times New Roman"/>
          <w:sz w:val="24"/>
          <w:szCs w:val="24"/>
          <w:lang w:val="en-US"/>
        </w:rPr>
        <w:t>given that t</w:t>
      </w:r>
      <w:r w:rsidRPr="00262F8D">
        <w:rPr>
          <w:rFonts w:ascii="Times New Roman" w:hAnsi="Times New Roman" w:cs="Times New Roman"/>
          <w:sz w:val="24"/>
          <w:szCs w:val="24"/>
          <w:lang w:val="en-US"/>
        </w:rPr>
        <w:t>he</w:t>
      </w:r>
      <w:r w:rsidR="00AF2C2D" w:rsidRPr="00262F8D">
        <w:rPr>
          <w:rFonts w:ascii="Times New Roman" w:hAnsi="Times New Roman" w:cs="Times New Roman"/>
          <w:sz w:val="24"/>
          <w:szCs w:val="24"/>
          <w:lang w:val="en-US"/>
        </w:rPr>
        <w:t xml:space="preserve"> focus of our results is on the link between </w:t>
      </w:r>
      <w:r w:rsidR="00193F75" w:rsidRPr="00262F8D">
        <w:rPr>
          <w:rFonts w:ascii="Times New Roman" w:hAnsi="Times New Roman" w:cs="Times New Roman"/>
          <w:sz w:val="24"/>
          <w:szCs w:val="24"/>
          <w:lang w:val="en-US"/>
        </w:rPr>
        <w:t>co</w:t>
      </w:r>
      <w:r w:rsidR="0059151B" w:rsidRPr="00262F8D">
        <w:rPr>
          <w:rFonts w:ascii="Times New Roman" w:hAnsi="Times New Roman" w:cs="Times New Roman"/>
          <w:sz w:val="24"/>
          <w:szCs w:val="24"/>
          <w:lang w:val="en-US"/>
        </w:rPr>
        <w:t>nsumption expenses and the debt-</w:t>
      </w:r>
      <w:r w:rsidR="00193F75" w:rsidRPr="00262F8D">
        <w:rPr>
          <w:rFonts w:ascii="Times New Roman" w:hAnsi="Times New Roman" w:cs="Times New Roman"/>
          <w:sz w:val="24"/>
          <w:szCs w:val="24"/>
          <w:lang w:val="en-US"/>
        </w:rPr>
        <w:t>service ratio</w:t>
      </w:r>
      <w:r w:rsidR="008F4588" w:rsidRPr="00262F8D">
        <w:rPr>
          <w:rFonts w:ascii="Times New Roman" w:hAnsi="Times New Roman" w:cs="Times New Roman"/>
          <w:sz w:val="24"/>
          <w:szCs w:val="24"/>
          <w:lang w:val="en-US"/>
        </w:rPr>
        <w:t>, the results illustrate that the sign turns out to be positive.</w:t>
      </w:r>
      <w:r w:rsidR="0028173B" w:rsidRPr="00262F8D">
        <w:rPr>
          <w:rFonts w:ascii="Times New Roman" w:hAnsi="Times New Roman" w:cs="Times New Roman"/>
          <w:sz w:val="24"/>
          <w:szCs w:val="24"/>
          <w:lang w:val="en-US"/>
        </w:rPr>
        <w:t xml:space="preserve"> </w:t>
      </w:r>
      <w:r w:rsidR="00014EF8" w:rsidRPr="00014EF8">
        <w:rPr>
          <w:rFonts w:ascii="Times New Roman" w:hAnsi="Times New Roman" w:cs="Times New Roman"/>
          <w:sz w:val="24"/>
          <w:szCs w:val="24"/>
          <w:lang w:val="en-US"/>
        </w:rPr>
        <w:t>At face value, the point estimate</w:t>
      </w:r>
      <w:r w:rsidR="00AD79FF">
        <w:rPr>
          <w:rFonts w:ascii="Times New Roman" w:hAnsi="Times New Roman" w:cs="Times New Roman"/>
          <w:sz w:val="24"/>
          <w:szCs w:val="24"/>
          <w:lang w:val="en-US"/>
        </w:rPr>
        <w:t>s</w:t>
      </w:r>
      <w:r w:rsidR="00014EF8" w:rsidRPr="00014EF8">
        <w:rPr>
          <w:rFonts w:ascii="Times New Roman" w:hAnsi="Times New Roman" w:cs="Times New Roman"/>
          <w:sz w:val="24"/>
          <w:szCs w:val="24"/>
          <w:lang w:val="en-US"/>
        </w:rPr>
        <w:t xml:space="preserve">, </w:t>
      </w:r>
      <w:r w:rsidR="00AD79FF">
        <w:rPr>
          <w:rFonts w:ascii="Times New Roman" w:hAnsi="Times New Roman" w:cs="Times New Roman"/>
          <w:sz w:val="24"/>
          <w:szCs w:val="24"/>
          <w:lang w:val="en-US"/>
        </w:rPr>
        <w:t>0.531 and 0.472, respectively, suggest</w:t>
      </w:r>
      <w:r w:rsidR="00014EF8" w:rsidRPr="00014EF8">
        <w:rPr>
          <w:rFonts w:ascii="Times New Roman" w:hAnsi="Times New Roman" w:cs="Times New Roman"/>
          <w:sz w:val="24"/>
          <w:szCs w:val="24"/>
          <w:lang w:val="en-US"/>
        </w:rPr>
        <w:t xml:space="preserve"> that the effect </w:t>
      </w:r>
      <w:r w:rsidR="00AD79FF">
        <w:rPr>
          <w:rFonts w:ascii="Times New Roman" w:hAnsi="Times New Roman" w:cs="Times New Roman"/>
          <w:sz w:val="24"/>
          <w:szCs w:val="24"/>
          <w:lang w:val="en-US"/>
        </w:rPr>
        <w:t xml:space="preserve">of debt-service ratios on consumption </w:t>
      </w:r>
      <w:r w:rsidR="00014EF8" w:rsidRPr="00014EF8">
        <w:rPr>
          <w:rFonts w:ascii="Times New Roman" w:hAnsi="Times New Roman" w:cs="Times New Roman"/>
          <w:sz w:val="24"/>
          <w:szCs w:val="24"/>
          <w:lang w:val="en-US"/>
        </w:rPr>
        <w:t>could be material:</w:t>
      </w:r>
      <w:r w:rsidR="00AD79FF">
        <w:rPr>
          <w:rFonts w:ascii="Times New Roman" w:hAnsi="Times New Roman" w:cs="Times New Roman"/>
          <w:sz w:val="24"/>
          <w:szCs w:val="24"/>
          <w:lang w:val="en-US"/>
        </w:rPr>
        <w:t xml:space="preserve"> for instance, one percent increase in the DSR leads to an increase in consumption by 0.53 and 0.47 percent, respectively in the two modeling specifications. </w:t>
      </w:r>
      <w:r w:rsidR="0028173B" w:rsidRPr="00262F8D">
        <w:rPr>
          <w:rFonts w:ascii="Times New Roman" w:hAnsi="Times New Roman" w:cs="Times New Roman"/>
          <w:sz w:val="24"/>
          <w:szCs w:val="24"/>
          <w:lang w:val="en-US"/>
        </w:rPr>
        <w:t xml:space="preserve">These findings point out </w:t>
      </w:r>
      <w:r w:rsidR="00173928" w:rsidRPr="00262F8D">
        <w:rPr>
          <w:rFonts w:ascii="Times New Roman" w:hAnsi="Times New Roman" w:cs="Times New Roman"/>
          <w:sz w:val="24"/>
          <w:szCs w:val="24"/>
          <w:lang w:val="en-US"/>
        </w:rPr>
        <w:t>certain</w:t>
      </w:r>
      <w:r w:rsidR="0028173B" w:rsidRPr="00262F8D">
        <w:rPr>
          <w:rFonts w:ascii="Times New Roman" w:hAnsi="Times New Roman" w:cs="Times New Roman"/>
          <w:sz w:val="24"/>
          <w:szCs w:val="24"/>
          <w:lang w:val="en-US"/>
        </w:rPr>
        <w:t xml:space="preserve"> potential explanations. In particular, the positi</w:t>
      </w:r>
      <w:r w:rsidR="0059151B" w:rsidRPr="00262F8D">
        <w:rPr>
          <w:rFonts w:ascii="Times New Roman" w:hAnsi="Times New Roman" w:cs="Times New Roman"/>
          <w:sz w:val="24"/>
          <w:szCs w:val="24"/>
          <w:lang w:val="en-US"/>
        </w:rPr>
        <w:t>ve association between the debt-</w:t>
      </w:r>
      <w:r w:rsidR="0028173B" w:rsidRPr="00262F8D">
        <w:rPr>
          <w:rFonts w:ascii="Times New Roman" w:hAnsi="Times New Roman" w:cs="Times New Roman"/>
          <w:sz w:val="24"/>
          <w:szCs w:val="24"/>
          <w:lang w:val="en-US"/>
        </w:rPr>
        <w:t xml:space="preserve">service ratio and consumption expenses clearly </w:t>
      </w:r>
      <w:r w:rsidR="00246DF2">
        <w:rPr>
          <w:rFonts w:ascii="Times New Roman" w:hAnsi="Times New Roman" w:cs="Times New Roman"/>
          <w:sz w:val="24"/>
          <w:szCs w:val="24"/>
          <w:lang w:val="en-US"/>
        </w:rPr>
        <w:t>reflects</w:t>
      </w:r>
      <w:r w:rsidR="0028173B" w:rsidRPr="00262F8D">
        <w:rPr>
          <w:rFonts w:ascii="Times New Roman" w:hAnsi="Times New Roman" w:cs="Times New Roman"/>
          <w:sz w:val="24"/>
          <w:szCs w:val="24"/>
          <w:lang w:val="en-US"/>
        </w:rPr>
        <w:t xml:space="preserve"> that households have a stronger ability to affect and smooth consumption (</w:t>
      </w:r>
      <w:proofErr w:type="spellStart"/>
      <w:r w:rsidR="0028173B" w:rsidRPr="00262F8D">
        <w:rPr>
          <w:rFonts w:ascii="Times New Roman" w:hAnsi="Times New Roman" w:cs="Times New Roman"/>
          <w:sz w:val="24"/>
          <w:szCs w:val="24"/>
          <w:lang w:val="en-US"/>
        </w:rPr>
        <w:t>Bostic</w:t>
      </w:r>
      <w:proofErr w:type="spellEnd"/>
      <w:r w:rsidR="0028173B" w:rsidRPr="00262F8D">
        <w:rPr>
          <w:rFonts w:ascii="Times New Roman" w:hAnsi="Times New Roman" w:cs="Times New Roman"/>
          <w:sz w:val="24"/>
          <w:szCs w:val="24"/>
          <w:lang w:val="en-US"/>
        </w:rPr>
        <w:t>, 2002; Johnson, 2005).</w:t>
      </w:r>
      <w:r w:rsidR="00173928" w:rsidRPr="00262F8D">
        <w:rPr>
          <w:rFonts w:ascii="Times New Roman" w:hAnsi="Times New Roman" w:cs="Times New Roman"/>
          <w:sz w:val="24"/>
          <w:szCs w:val="24"/>
          <w:lang w:val="en-US"/>
        </w:rPr>
        <w:t xml:space="preserve"> In addition, the positive sign indicates the strength of the interest rates, the expectations of future income and the relaxation of liquidity constraints mechanisms</w:t>
      </w:r>
      <w:r w:rsidR="0059151B" w:rsidRPr="00262F8D">
        <w:rPr>
          <w:rFonts w:ascii="Times New Roman" w:hAnsi="Times New Roman" w:cs="Times New Roman"/>
          <w:sz w:val="24"/>
          <w:szCs w:val="24"/>
          <w:lang w:val="en-US"/>
        </w:rPr>
        <w:t xml:space="preserve"> driving the course of the debt-</w:t>
      </w:r>
      <w:r w:rsidR="00173928" w:rsidRPr="00262F8D">
        <w:rPr>
          <w:rFonts w:ascii="Times New Roman" w:hAnsi="Times New Roman" w:cs="Times New Roman"/>
          <w:sz w:val="24"/>
          <w:szCs w:val="24"/>
          <w:lang w:val="en-US"/>
        </w:rPr>
        <w:t>servic</w:t>
      </w:r>
      <w:r w:rsidR="0059151B" w:rsidRPr="00262F8D">
        <w:rPr>
          <w:rFonts w:ascii="Times New Roman" w:hAnsi="Times New Roman" w:cs="Times New Roman"/>
          <w:sz w:val="24"/>
          <w:szCs w:val="24"/>
          <w:lang w:val="en-US"/>
        </w:rPr>
        <w:t>e</w:t>
      </w:r>
      <w:r w:rsidR="00F92C9B" w:rsidRPr="00262F8D">
        <w:rPr>
          <w:rFonts w:ascii="Times New Roman" w:hAnsi="Times New Roman" w:cs="Times New Roman"/>
          <w:sz w:val="24"/>
          <w:szCs w:val="24"/>
          <w:lang w:val="en-US"/>
        </w:rPr>
        <w:t xml:space="preserve"> ratio</w:t>
      </w:r>
      <w:r w:rsidR="00262F8D" w:rsidRPr="00262F8D">
        <w:rPr>
          <w:rFonts w:ascii="Times New Roman" w:hAnsi="Times New Roman" w:cs="Times New Roman"/>
          <w:sz w:val="24"/>
          <w:szCs w:val="24"/>
          <w:lang w:val="en-US"/>
        </w:rPr>
        <w:t xml:space="preserve">. These findings are similar to those provided by certain studies in the literature, such as </w:t>
      </w:r>
      <w:proofErr w:type="spellStart"/>
      <w:r w:rsidR="00262F8D" w:rsidRPr="00262F8D">
        <w:rPr>
          <w:rFonts w:ascii="Times New Roman" w:hAnsi="Times New Roman" w:cs="Times New Roman"/>
          <w:sz w:val="24"/>
          <w:szCs w:val="24"/>
          <w:lang w:val="en-US"/>
        </w:rPr>
        <w:t>Bachetta</w:t>
      </w:r>
      <w:proofErr w:type="spellEnd"/>
      <w:r w:rsidR="00262F8D" w:rsidRPr="00262F8D">
        <w:rPr>
          <w:rFonts w:ascii="Times New Roman" w:hAnsi="Times New Roman" w:cs="Times New Roman"/>
          <w:sz w:val="24"/>
          <w:szCs w:val="24"/>
          <w:lang w:val="en-US"/>
        </w:rPr>
        <w:t xml:space="preserve"> and </w:t>
      </w:r>
      <w:proofErr w:type="spellStart"/>
      <w:r w:rsidR="00262F8D" w:rsidRPr="00262F8D">
        <w:rPr>
          <w:rFonts w:ascii="Times New Roman" w:hAnsi="Times New Roman" w:cs="Times New Roman"/>
          <w:sz w:val="24"/>
          <w:szCs w:val="24"/>
          <w:lang w:val="en-US"/>
        </w:rPr>
        <w:t>Gerlach</w:t>
      </w:r>
      <w:proofErr w:type="spellEnd"/>
      <w:r w:rsidR="00262F8D" w:rsidRPr="00262F8D">
        <w:rPr>
          <w:rFonts w:ascii="Times New Roman" w:hAnsi="Times New Roman" w:cs="Times New Roman"/>
          <w:sz w:val="24"/>
          <w:szCs w:val="24"/>
          <w:lang w:val="en-US"/>
        </w:rPr>
        <w:t xml:space="preserve"> (1997), </w:t>
      </w:r>
      <w:proofErr w:type="spellStart"/>
      <w:r w:rsidR="00262F8D" w:rsidRPr="00262F8D">
        <w:rPr>
          <w:rFonts w:ascii="Times New Roman" w:hAnsi="Times New Roman" w:cs="Times New Roman"/>
          <w:sz w:val="24"/>
          <w:szCs w:val="24"/>
          <w:lang w:val="en-US"/>
        </w:rPr>
        <w:t>Ludvigson</w:t>
      </w:r>
      <w:proofErr w:type="spellEnd"/>
      <w:r w:rsidR="00262F8D" w:rsidRPr="00262F8D">
        <w:rPr>
          <w:rFonts w:ascii="Times New Roman" w:hAnsi="Times New Roman" w:cs="Times New Roman"/>
          <w:sz w:val="24"/>
          <w:szCs w:val="24"/>
          <w:lang w:val="en-US"/>
        </w:rPr>
        <w:t xml:space="preserve"> (1999) and Maki (2002)</w:t>
      </w:r>
      <w:r w:rsidR="0072067E">
        <w:rPr>
          <w:rFonts w:ascii="Times New Roman" w:hAnsi="Times New Roman" w:cs="Times New Roman"/>
          <w:sz w:val="24"/>
          <w:szCs w:val="24"/>
          <w:lang w:val="en-US"/>
        </w:rPr>
        <w:t xml:space="preserve">. </w:t>
      </w:r>
    </w:p>
    <w:p w:rsidR="00481073" w:rsidRPr="00B50A10" w:rsidRDefault="0072067E" w:rsidP="00772ECB">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303EF0" w:rsidRPr="00B50A10">
        <w:rPr>
          <w:rFonts w:ascii="Times New Roman" w:hAnsi="Times New Roman" w:cs="Times New Roman"/>
          <w:sz w:val="24"/>
          <w:szCs w:val="24"/>
          <w:lang w:val="en-US"/>
        </w:rPr>
        <w:t xml:space="preserve">inally, </w:t>
      </w:r>
      <w:r w:rsidR="000C166E" w:rsidRPr="00B50A10">
        <w:rPr>
          <w:rFonts w:ascii="Times New Roman" w:hAnsi="Times New Roman" w:cs="Times New Roman"/>
          <w:sz w:val="24"/>
          <w:szCs w:val="24"/>
          <w:lang w:val="en-US"/>
        </w:rPr>
        <w:t xml:space="preserve">all the relevant diagnostics are reported in the bottom part of Table </w:t>
      </w:r>
      <w:r w:rsidR="00C054A5" w:rsidRPr="00B50A10">
        <w:rPr>
          <w:rFonts w:ascii="Times New Roman" w:hAnsi="Times New Roman" w:cs="Times New Roman"/>
          <w:sz w:val="24"/>
          <w:szCs w:val="24"/>
          <w:lang w:val="en-US"/>
        </w:rPr>
        <w:t>2</w:t>
      </w:r>
      <w:r w:rsidR="000C166E" w:rsidRPr="00B50A10">
        <w:rPr>
          <w:rFonts w:ascii="Times New Roman" w:hAnsi="Times New Roman" w:cs="Times New Roman"/>
          <w:sz w:val="24"/>
          <w:szCs w:val="24"/>
          <w:lang w:val="en-US"/>
        </w:rPr>
        <w:t xml:space="preserve">. For the validity of the instruments, the results need to reject the test for second-order autocorrelation, </w:t>
      </w:r>
      <w:proofErr w:type="gramStart"/>
      <w:r w:rsidR="000C166E" w:rsidRPr="00B50A10">
        <w:rPr>
          <w:rFonts w:ascii="Times New Roman" w:hAnsi="Times New Roman" w:cs="Times New Roman"/>
          <w:sz w:val="24"/>
          <w:szCs w:val="24"/>
          <w:lang w:val="en-US"/>
        </w:rPr>
        <w:t>AR(</w:t>
      </w:r>
      <w:proofErr w:type="gramEnd"/>
      <w:r w:rsidR="000C166E" w:rsidRPr="00B50A10">
        <w:rPr>
          <w:rFonts w:ascii="Times New Roman" w:hAnsi="Times New Roman" w:cs="Times New Roman"/>
          <w:sz w:val="24"/>
          <w:szCs w:val="24"/>
          <w:lang w:val="en-US"/>
        </w:rPr>
        <w:t xml:space="preserve">2) in disturbances. It is evident that the test for </w:t>
      </w:r>
      <w:proofErr w:type="gramStart"/>
      <w:r w:rsidR="000C166E" w:rsidRPr="00B50A10">
        <w:rPr>
          <w:rFonts w:ascii="Times New Roman" w:hAnsi="Times New Roman" w:cs="Times New Roman"/>
          <w:sz w:val="24"/>
          <w:szCs w:val="24"/>
          <w:lang w:val="en-US"/>
        </w:rPr>
        <w:t>AR(</w:t>
      </w:r>
      <w:proofErr w:type="gramEnd"/>
      <w:r w:rsidR="000C166E" w:rsidRPr="00B50A10">
        <w:rPr>
          <w:rFonts w:ascii="Times New Roman" w:hAnsi="Times New Roman" w:cs="Times New Roman"/>
          <w:sz w:val="24"/>
          <w:szCs w:val="24"/>
          <w:lang w:val="en-US"/>
        </w:rPr>
        <w:t xml:space="preserve">2) of </w:t>
      </w:r>
      <w:r w:rsidR="000C166E" w:rsidRPr="00B50A10">
        <w:rPr>
          <w:rFonts w:ascii="Times New Roman" w:hAnsi="Times New Roman" w:cs="Times New Roman"/>
          <w:sz w:val="24"/>
          <w:szCs w:val="24"/>
          <w:lang w:val="en-US"/>
        </w:rPr>
        <w:lastRenderedPageBreak/>
        <w:t xml:space="preserve">disturbances fails to reject the respective nulls. Thus, this test supports the validity of the instruments used. The diagnostics also report the Hansen test for </w:t>
      </w:r>
      <w:proofErr w:type="spellStart"/>
      <w:r w:rsidR="000C166E" w:rsidRPr="00B50A10">
        <w:rPr>
          <w:rFonts w:ascii="Times New Roman" w:hAnsi="Times New Roman" w:cs="Times New Roman"/>
          <w:sz w:val="24"/>
          <w:szCs w:val="24"/>
          <w:lang w:val="en-US"/>
        </w:rPr>
        <w:t>overidentifying</w:t>
      </w:r>
      <w:proofErr w:type="spellEnd"/>
      <w:r w:rsidR="000C166E" w:rsidRPr="00B50A10">
        <w:rPr>
          <w:rFonts w:ascii="Times New Roman" w:hAnsi="Times New Roman" w:cs="Times New Roman"/>
          <w:sz w:val="24"/>
          <w:szCs w:val="24"/>
          <w:lang w:val="en-US"/>
        </w:rPr>
        <w:t xml:space="preserve"> restrictions. In the estimation process, </w:t>
      </w:r>
      <w:r w:rsidR="00FE0E8D">
        <w:rPr>
          <w:rFonts w:ascii="Times New Roman" w:hAnsi="Times New Roman" w:cs="Times New Roman"/>
          <w:sz w:val="24"/>
          <w:szCs w:val="24"/>
          <w:lang w:val="en-US"/>
        </w:rPr>
        <w:t>7</w:t>
      </w:r>
      <w:r w:rsidR="000C166E" w:rsidRPr="00B50A10">
        <w:rPr>
          <w:rFonts w:ascii="Times New Roman" w:hAnsi="Times New Roman" w:cs="Times New Roman"/>
          <w:sz w:val="24"/>
          <w:szCs w:val="24"/>
          <w:lang w:val="en-US"/>
        </w:rPr>
        <w:t xml:space="preserve"> to 2</w:t>
      </w:r>
      <w:r w:rsidR="00FE0E8D">
        <w:rPr>
          <w:rFonts w:ascii="Times New Roman" w:hAnsi="Times New Roman" w:cs="Times New Roman"/>
          <w:sz w:val="24"/>
          <w:szCs w:val="24"/>
          <w:lang w:val="en-US"/>
        </w:rPr>
        <w:t>3</w:t>
      </w:r>
      <w:r w:rsidR="000C166E" w:rsidRPr="00B50A10">
        <w:rPr>
          <w:rFonts w:ascii="Times New Roman" w:hAnsi="Times New Roman" w:cs="Times New Roman"/>
          <w:sz w:val="24"/>
          <w:szCs w:val="24"/>
          <w:lang w:val="en-US"/>
        </w:rPr>
        <w:t xml:space="preserve"> instruments ha</w:t>
      </w:r>
      <w:r w:rsidR="00FE0E8D">
        <w:rPr>
          <w:rFonts w:ascii="Times New Roman" w:hAnsi="Times New Roman" w:cs="Times New Roman"/>
          <w:sz w:val="24"/>
          <w:szCs w:val="24"/>
          <w:lang w:val="en-US"/>
        </w:rPr>
        <w:t>ve</w:t>
      </w:r>
      <w:r w:rsidR="000C166E" w:rsidRPr="00B50A10">
        <w:rPr>
          <w:rFonts w:ascii="Times New Roman" w:hAnsi="Times New Roman" w:cs="Times New Roman"/>
          <w:sz w:val="24"/>
          <w:szCs w:val="24"/>
          <w:lang w:val="en-US"/>
        </w:rPr>
        <w:t xml:space="preserve"> been used </w:t>
      </w:r>
      <w:r w:rsidR="00FE0E8D">
        <w:rPr>
          <w:rFonts w:ascii="Times New Roman" w:hAnsi="Times New Roman" w:cs="Times New Roman"/>
          <w:sz w:val="24"/>
          <w:szCs w:val="24"/>
          <w:lang w:val="en-US"/>
        </w:rPr>
        <w:t>in the two model</w:t>
      </w:r>
      <w:r w:rsidR="000C166E" w:rsidRPr="00B50A10">
        <w:rPr>
          <w:rFonts w:ascii="Times New Roman" w:hAnsi="Times New Roman" w:cs="Times New Roman"/>
          <w:sz w:val="24"/>
          <w:szCs w:val="24"/>
          <w:lang w:val="en-US"/>
        </w:rPr>
        <w:t xml:space="preserve"> specifications</w:t>
      </w:r>
      <w:r w:rsidR="00FE0E8D">
        <w:rPr>
          <w:rFonts w:ascii="Times New Roman" w:hAnsi="Times New Roman" w:cs="Times New Roman"/>
          <w:sz w:val="24"/>
          <w:szCs w:val="24"/>
          <w:lang w:val="en-US"/>
        </w:rPr>
        <w:t>, respectively</w:t>
      </w:r>
      <w:r w:rsidR="000C166E" w:rsidRPr="00B50A10">
        <w:rPr>
          <w:rFonts w:ascii="Times New Roman" w:hAnsi="Times New Roman" w:cs="Times New Roman"/>
          <w:sz w:val="24"/>
          <w:szCs w:val="24"/>
          <w:lang w:val="en-US"/>
        </w:rPr>
        <w:t xml:space="preserve">. </w:t>
      </w:r>
      <w:r w:rsidR="00FE0E8D">
        <w:rPr>
          <w:rFonts w:ascii="Times New Roman" w:hAnsi="Times New Roman" w:cs="Times New Roman"/>
          <w:sz w:val="24"/>
          <w:szCs w:val="24"/>
          <w:lang w:val="en-US"/>
        </w:rPr>
        <w:t xml:space="preserve">In particular, for Model (1) specification the analysis chose as instruments a constant, three lags (-1, -2, -3) for the DS ratio and three leads (+1, +2, +3) for the same variable, while for Model (2) specification the analysis chose a constant, three lags (-1, -2, -3) and three leads (+1, +2, +3) for the DS ratio, two lags (-2, -3) and two leads (+1, +2) for consumption, two lags (-2, -3) and two leads (+1, +2) for income, two lags (-2, -3) and two leads (+2, +3) for stock prices, and two lags (-3, -4) and two leads (+1, +2) for housing prices. </w:t>
      </w:r>
      <w:r w:rsidR="000C166E" w:rsidRPr="00B50A10">
        <w:rPr>
          <w:rFonts w:ascii="Times New Roman" w:hAnsi="Times New Roman" w:cs="Times New Roman"/>
          <w:sz w:val="24"/>
          <w:szCs w:val="24"/>
          <w:lang w:val="en-US"/>
        </w:rPr>
        <w:t>As the number of instruments was by far lower than the number of observations, it did not create any identification problem as reflected in Hansen test. Reported Hansen test results fail to detect any problem in the validity of the instruments used in the estimation approach.</w:t>
      </w:r>
    </w:p>
    <w:p w:rsidR="00433DF3" w:rsidRPr="00433DF3" w:rsidRDefault="00470110" w:rsidP="00433DF3">
      <w:pPr>
        <w:spacing w:line="480" w:lineRule="auto"/>
        <w:jc w:val="center"/>
        <w:rPr>
          <w:rFonts w:ascii="Times New Roman" w:hAnsi="Times New Roman" w:cs="Times New Roman"/>
          <w:b/>
          <w:sz w:val="24"/>
          <w:szCs w:val="24"/>
          <w:lang w:val="en-US"/>
        </w:rPr>
      </w:pPr>
      <w:r w:rsidRPr="00433DF3">
        <w:rPr>
          <w:rFonts w:ascii="Times New Roman" w:hAnsi="Times New Roman" w:cs="Times New Roman"/>
          <w:b/>
          <w:sz w:val="24"/>
          <w:szCs w:val="24"/>
          <w:lang w:val="en-US"/>
        </w:rPr>
        <w:t xml:space="preserve"> </w:t>
      </w:r>
      <w:r w:rsidR="00433DF3" w:rsidRPr="00433DF3">
        <w:rPr>
          <w:rFonts w:ascii="Times New Roman" w:hAnsi="Times New Roman" w:cs="Times New Roman"/>
          <w:b/>
          <w:sz w:val="24"/>
          <w:szCs w:val="24"/>
          <w:lang w:val="en-US"/>
        </w:rPr>
        <w:t xml:space="preserve">[Insert Table </w:t>
      </w:r>
      <w:r w:rsidR="00C054A5">
        <w:rPr>
          <w:rFonts w:ascii="Times New Roman" w:hAnsi="Times New Roman" w:cs="Times New Roman"/>
          <w:b/>
          <w:sz w:val="24"/>
          <w:szCs w:val="24"/>
          <w:lang w:val="en-US"/>
        </w:rPr>
        <w:t>2</w:t>
      </w:r>
      <w:r w:rsidR="00433DF3" w:rsidRPr="00433DF3">
        <w:rPr>
          <w:rFonts w:ascii="Times New Roman" w:hAnsi="Times New Roman" w:cs="Times New Roman"/>
          <w:b/>
          <w:sz w:val="24"/>
          <w:szCs w:val="24"/>
          <w:lang w:val="en-US"/>
        </w:rPr>
        <w:t xml:space="preserve"> about here]</w:t>
      </w:r>
    </w:p>
    <w:p w:rsidR="00136EE3" w:rsidRDefault="00136EE3" w:rsidP="00136EE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Moreover, we explore whether the baseline results hold by explicitly separating the consumption expenses into durable</w:t>
      </w:r>
      <w:r w:rsidR="005F2B19">
        <w:rPr>
          <w:rFonts w:ascii="Times New Roman" w:hAnsi="Times New Roman" w:cs="Times New Roman"/>
          <w:sz w:val="24"/>
          <w:szCs w:val="24"/>
          <w:lang w:val="en-US"/>
        </w:rPr>
        <w:t xml:space="preserve"> goods, non</w:t>
      </w:r>
      <w:r>
        <w:rPr>
          <w:rFonts w:ascii="Times New Roman" w:hAnsi="Times New Roman" w:cs="Times New Roman"/>
          <w:sz w:val="24"/>
          <w:szCs w:val="24"/>
          <w:lang w:val="en-US"/>
        </w:rPr>
        <w:t xml:space="preserve">durable goods and services. </w:t>
      </w:r>
      <w:r w:rsidRPr="00997388">
        <w:rPr>
          <w:rFonts w:ascii="Times New Roman" w:hAnsi="Times New Roman" w:cs="Times New Roman"/>
          <w:sz w:val="24"/>
          <w:szCs w:val="24"/>
          <w:lang w:val="en-US"/>
        </w:rPr>
        <w:t>There has been less discussion of</w:t>
      </w:r>
      <w:r>
        <w:rPr>
          <w:rFonts w:ascii="Times New Roman" w:hAnsi="Times New Roman" w:cs="Times New Roman"/>
          <w:sz w:val="24"/>
          <w:szCs w:val="24"/>
          <w:lang w:val="en-US"/>
        </w:rPr>
        <w:t xml:space="preserve"> </w:t>
      </w:r>
      <w:r w:rsidRPr="00997388">
        <w:rPr>
          <w:rFonts w:ascii="Times New Roman" w:hAnsi="Times New Roman" w:cs="Times New Roman"/>
          <w:sz w:val="24"/>
          <w:szCs w:val="24"/>
          <w:lang w:val="en-US"/>
        </w:rPr>
        <w:t xml:space="preserve">expenditure on durables even though </w:t>
      </w:r>
      <w:r>
        <w:rPr>
          <w:rFonts w:ascii="Times New Roman" w:hAnsi="Times New Roman" w:cs="Times New Roman"/>
          <w:sz w:val="24"/>
          <w:szCs w:val="24"/>
          <w:lang w:val="en-US"/>
        </w:rPr>
        <w:t xml:space="preserve">they contribute </w:t>
      </w:r>
      <w:r w:rsidRPr="00997388">
        <w:rPr>
          <w:rFonts w:ascii="Times New Roman" w:hAnsi="Times New Roman" w:cs="Times New Roman"/>
          <w:sz w:val="24"/>
          <w:szCs w:val="24"/>
          <w:lang w:val="en-US"/>
        </w:rPr>
        <w:t xml:space="preserve">substantially to cyclical changes in </w:t>
      </w:r>
      <w:r>
        <w:rPr>
          <w:rFonts w:ascii="Times New Roman" w:hAnsi="Times New Roman" w:cs="Times New Roman"/>
          <w:sz w:val="24"/>
          <w:szCs w:val="24"/>
          <w:lang w:val="en-US"/>
        </w:rPr>
        <w:t>consumption/</w:t>
      </w:r>
      <w:r w:rsidRPr="00997388">
        <w:rPr>
          <w:rFonts w:ascii="Times New Roman" w:hAnsi="Times New Roman" w:cs="Times New Roman"/>
          <w:sz w:val="24"/>
          <w:szCs w:val="24"/>
          <w:lang w:val="en-US"/>
        </w:rPr>
        <w:t xml:space="preserve">savings and in economic activity. </w:t>
      </w:r>
      <w:r w:rsidRPr="00ED53AF">
        <w:rPr>
          <w:rFonts w:ascii="Times New Roman" w:hAnsi="Times New Roman" w:cs="Times New Roman"/>
          <w:sz w:val="24"/>
          <w:szCs w:val="24"/>
          <w:lang w:val="en-US"/>
        </w:rPr>
        <w:t xml:space="preserve">The demand for durables partly depends </w:t>
      </w:r>
      <w:r>
        <w:rPr>
          <w:rFonts w:ascii="Times New Roman" w:hAnsi="Times New Roman" w:cs="Times New Roman"/>
          <w:sz w:val="24"/>
          <w:szCs w:val="24"/>
          <w:lang w:val="en-US"/>
        </w:rPr>
        <w:t xml:space="preserve">primarily </w:t>
      </w:r>
      <w:r w:rsidRPr="00ED53AF">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the relative prices of those goods</w:t>
      </w:r>
      <w:r w:rsidR="005F2B19">
        <w:rPr>
          <w:rFonts w:ascii="Times New Roman" w:hAnsi="Times New Roman" w:cs="Times New Roman"/>
          <w:sz w:val="24"/>
          <w:szCs w:val="24"/>
          <w:lang w:val="en-US"/>
        </w:rPr>
        <w:t>, as well as</w:t>
      </w:r>
      <w:r w:rsidRPr="00ED53AF">
        <w:rPr>
          <w:rFonts w:ascii="Times New Roman" w:hAnsi="Times New Roman" w:cs="Times New Roman"/>
          <w:sz w:val="24"/>
          <w:szCs w:val="24"/>
          <w:lang w:val="en-US"/>
        </w:rPr>
        <w:t xml:space="preserve"> on the</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disposable income and wealth of households.</w:t>
      </w:r>
      <w:r>
        <w:rPr>
          <w:rFonts w:ascii="Times New Roman" w:hAnsi="Times New Roman" w:cs="Times New Roman"/>
          <w:sz w:val="24"/>
          <w:szCs w:val="24"/>
          <w:lang w:val="en-US"/>
        </w:rPr>
        <w:t xml:space="preserve"> Moreover</w:t>
      </w:r>
      <w:r w:rsidRPr="00ED53AF">
        <w:rPr>
          <w:rFonts w:ascii="Times New Roman" w:hAnsi="Times New Roman" w:cs="Times New Roman"/>
          <w:sz w:val="24"/>
          <w:szCs w:val="24"/>
          <w:lang w:val="en-US"/>
        </w:rPr>
        <w:t>, households need to take</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out loans to buy high-value durable goods.</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Therefore, financing conditions are also</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important determinants.</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Fluctuations in consumption are not distributed proportionately a</w:t>
      </w:r>
      <w:r w:rsidR="005F2B19">
        <w:rPr>
          <w:rFonts w:ascii="Times New Roman" w:hAnsi="Times New Roman" w:cs="Times New Roman"/>
          <w:sz w:val="24"/>
          <w:szCs w:val="24"/>
          <w:lang w:val="en-US"/>
        </w:rPr>
        <w:t>cross</w:t>
      </w:r>
      <w:r w:rsidRPr="00ED53AF">
        <w:rPr>
          <w:rFonts w:ascii="Times New Roman" w:hAnsi="Times New Roman" w:cs="Times New Roman"/>
          <w:sz w:val="24"/>
          <w:szCs w:val="24"/>
          <w:lang w:val="en-US"/>
        </w:rPr>
        <w:t xml:space="preserve"> the different types</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 xml:space="preserve">of goods and services. </w:t>
      </w:r>
      <w:r>
        <w:rPr>
          <w:rFonts w:ascii="Times New Roman" w:hAnsi="Times New Roman" w:cs="Times New Roman"/>
          <w:sz w:val="24"/>
          <w:szCs w:val="24"/>
          <w:lang w:val="en-US"/>
        </w:rPr>
        <w:t>For instance, r</w:t>
      </w:r>
      <w:r w:rsidRPr="00ED53AF">
        <w:rPr>
          <w:rFonts w:ascii="Times New Roman" w:hAnsi="Times New Roman" w:cs="Times New Roman"/>
          <w:sz w:val="24"/>
          <w:szCs w:val="24"/>
          <w:lang w:val="en-US"/>
        </w:rPr>
        <w:t>eductions in expenditure usually affect durable goods to a greater</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extent</w:t>
      </w:r>
      <w:r>
        <w:rPr>
          <w:rFonts w:ascii="Times New Roman" w:hAnsi="Times New Roman" w:cs="Times New Roman"/>
          <w:sz w:val="24"/>
          <w:szCs w:val="24"/>
          <w:lang w:val="en-US"/>
        </w:rPr>
        <w:t>,</w:t>
      </w:r>
      <w:r w:rsidRPr="00ED53AF">
        <w:rPr>
          <w:rFonts w:ascii="Times New Roman" w:hAnsi="Times New Roman" w:cs="Times New Roman"/>
          <w:sz w:val="24"/>
          <w:szCs w:val="24"/>
          <w:lang w:val="en-US"/>
        </w:rPr>
        <w:t xml:space="preserve"> since households do not derive their utility directly from the current expenditure</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lastRenderedPageBreak/>
        <w:t>incurred</w:t>
      </w:r>
      <w:r>
        <w:rPr>
          <w:rFonts w:ascii="Times New Roman" w:hAnsi="Times New Roman" w:cs="Times New Roman"/>
          <w:sz w:val="24"/>
          <w:szCs w:val="24"/>
          <w:lang w:val="en-US"/>
        </w:rPr>
        <w:t>,</w:t>
      </w:r>
      <w:r w:rsidRPr="00ED53AF">
        <w:rPr>
          <w:rFonts w:ascii="Times New Roman" w:hAnsi="Times New Roman" w:cs="Times New Roman"/>
          <w:sz w:val="24"/>
          <w:szCs w:val="24"/>
          <w:lang w:val="en-US"/>
        </w:rPr>
        <w:t xml:space="preserve"> but from the consumption services obtained from the products acquired. Thus,</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households can reduce these purchases in periods when their current income is low, with</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a relatively small decline in their utility, and postpone them to periods in which this income</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has recovered. Furthermore,</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the adjustment in the consumption of durables may be sharper when there are adverse</w:t>
      </w:r>
      <w:r>
        <w:rPr>
          <w:rFonts w:ascii="Times New Roman" w:hAnsi="Times New Roman" w:cs="Times New Roman"/>
          <w:sz w:val="24"/>
          <w:szCs w:val="24"/>
          <w:lang w:val="en-US"/>
        </w:rPr>
        <w:t xml:space="preserve"> </w:t>
      </w:r>
      <w:r w:rsidRPr="00ED53AF">
        <w:rPr>
          <w:rFonts w:ascii="Times New Roman" w:hAnsi="Times New Roman" w:cs="Times New Roman"/>
          <w:sz w:val="24"/>
          <w:szCs w:val="24"/>
          <w:lang w:val="en-US"/>
        </w:rPr>
        <w:t>financial conditions</w:t>
      </w:r>
      <w:r>
        <w:rPr>
          <w:rFonts w:ascii="Times New Roman" w:hAnsi="Times New Roman" w:cs="Times New Roman"/>
          <w:sz w:val="24"/>
          <w:szCs w:val="24"/>
          <w:lang w:val="en-US"/>
        </w:rPr>
        <w:t>,</w:t>
      </w:r>
      <w:r w:rsidRPr="00ED53AF">
        <w:rPr>
          <w:rFonts w:ascii="Times New Roman" w:hAnsi="Times New Roman" w:cs="Times New Roman"/>
          <w:sz w:val="24"/>
          <w:szCs w:val="24"/>
          <w:lang w:val="en-US"/>
        </w:rPr>
        <w:t xml:space="preserve"> which make it more difficult to obtain credit (</w:t>
      </w:r>
      <w:proofErr w:type="spellStart"/>
      <w:r>
        <w:rPr>
          <w:rFonts w:ascii="Times New Roman" w:hAnsi="Times New Roman" w:cs="Times New Roman"/>
          <w:sz w:val="24"/>
          <w:szCs w:val="24"/>
          <w:lang w:val="en-US"/>
        </w:rPr>
        <w:t>Arce</w:t>
      </w:r>
      <w:proofErr w:type="spellEnd"/>
      <w:r>
        <w:rPr>
          <w:rFonts w:ascii="Times New Roman" w:hAnsi="Times New Roman" w:cs="Times New Roman"/>
          <w:sz w:val="24"/>
          <w:szCs w:val="24"/>
          <w:lang w:val="en-US"/>
        </w:rPr>
        <w:t xml:space="preserve"> et al.,</w:t>
      </w:r>
      <w:r w:rsidRPr="00ED53AF">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w:t>
      </w:r>
      <w:r w:rsidRPr="00FF722A">
        <w:rPr>
          <w:rFonts w:ascii="Times New Roman" w:hAnsi="Times New Roman" w:cs="Times New Roman"/>
          <w:sz w:val="24"/>
          <w:szCs w:val="24"/>
          <w:lang w:val="en-US"/>
        </w:rPr>
        <w:t xml:space="preserve">This </w:t>
      </w:r>
      <w:r w:rsidR="00070506">
        <w:rPr>
          <w:rFonts w:ascii="Times New Roman" w:hAnsi="Times New Roman" w:cs="Times New Roman"/>
          <w:sz w:val="24"/>
          <w:szCs w:val="24"/>
          <w:lang w:val="en-US"/>
        </w:rPr>
        <w:t>part</w:t>
      </w:r>
      <w:r>
        <w:rPr>
          <w:rFonts w:ascii="Times New Roman" w:hAnsi="Times New Roman" w:cs="Times New Roman"/>
          <w:sz w:val="24"/>
          <w:szCs w:val="24"/>
          <w:lang w:val="en-US"/>
        </w:rPr>
        <w:t xml:space="preserve"> of the empirical analysis</w:t>
      </w:r>
      <w:r w:rsidRPr="00FF722A">
        <w:rPr>
          <w:rFonts w:ascii="Times New Roman" w:hAnsi="Times New Roman" w:cs="Times New Roman"/>
          <w:sz w:val="24"/>
          <w:szCs w:val="24"/>
          <w:lang w:val="en-US"/>
        </w:rPr>
        <w:t xml:space="preserve"> </w:t>
      </w:r>
      <w:r w:rsidR="00070506">
        <w:rPr>
          <w:rFonts w:ascii="Times New Roman" w:hAnsi="Times New Roman" w:cs="Times New Roman"/>
          <w:sz w:val="24"/>
          <w:szCs w:val="24"/>
          <w:lang w:val="en-US"/>
        </w:rPr>
        <w:t>investigates</w:t>
      </w:r>
      <w:r w:rsidRPr="00FF72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the debt-service ratio affects </w:t>
      </w:r>
      <w:r w:rsidRPr="00FF722A">
        <w:rPr>
          <w:rFonts w:ascii="Times New Roman" w:hAnsi="Times New Roman" w:cs="Times New Roman"/>
          <w:sz w:val="24"/>
          <w:szCs w:val="24"/>
          <w:lang w:val="en-US"/>
        </w:rPr>
        <w:t xml:space="preserve">changes in private consumption from the standpoint of its breakdown by </w:t>
      </w:r>
      <w:r>
        <w:rPr>
          <w:rFonts w:ascii="Times New Roman" w:hAnsi="Times New Roman" w:cs="Times New Roman"/>
          <w:sz w:val="24"/>
          <w:szCs w:val="24"/>
          <w:lang w:val="en-US"/>
        </w:rPr>
        <w:t>type of consumer goods, i.e. durables, nondurables and services</w:t>
      </w:r>
      <w:r w:rsidRPr="00FF72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 on the three types of consumer goods are obtained from </w:t>
      </w:r>
      <w:proofErr w:type="spellStart"/>
      <w:r>
        <w:rPr>
          <w:rFonts w:ascii="Times New Roman" w:hAnsi="Times New Roman" w:cs="Times New Roman"/>
          <w:sz w:val="24"/>
          <w:szCs w:val="24"/>
          <w:lang w:val="en-US"/>
        </w:rPr>
        <w:t>Datastream</w:t>
      </w:r>
      <w:proofErr w:type="spellEnd"/>
      <w:r>
        <w:rPr>
          <w:rFonts w:ascii="Times New Roman" w:hAnsi="Times New Roman" w:cs="Times New Roman"/>
          <w:sz w:val="24"/>
          <w:szCs w:val="24"/>
          <w:lang w:val="en-US"/>
        </w:rPr>
        <w:t xml:space="preserve"> and they are on a quarterly basis as well.</w:t>
      </w:r>
    </w:p>
    <w:p w:rsidR="00136EE3" w:rsidRDefault="00136EE3" w:rsidP="00136EE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44C9E">
        <w:rPr>
          <w:rFonts w:ascii="Times New Roman" w:hAnsi="Times New Roman" w:cs="Times New Roman"/>
          <w:sz w:val="24"/>
          <w:szCs w:val="24"/>
          <w:lang w:val="en-US"/>
        </w:rPr>
        <w:t>Faced with negative income shock</w:t>
      </w:r>
      <w:r>
        <w:rPr>
          <w:rFonts w:ascii="Times New Roman" w:hAnsi="Times New Roman" w:cs="Times New Roman"/>
          <w:sz w:val="24"/>
          <w:szCs w:val="24"/>
          <w:lang w:val="en-US"/>
        </w:rPr>
        <w:t>s</w:t>
      </w:r>
      <w:r w:rsidRPr="00244C9E">
        <w:rPr>
          <w:rFonts w:ascii="Times New Roman" w:hAnsi="Times New Roman" w:cs="Times New Roman"/>
          <w:sz w:val="24"/>
          <w:szCs w:val="24"/>
          <w:lang w:val="en-US"/>
        </w:rPr>
        <w:t>, such as those experienced during the recent crisis, household spending</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does not decrease proportionately all types of goods and services. Parker (1999) find</w:t>
      </w:r>
      <w:r>
        <w:rPr>
          <w:rFonts w:ascii="Times New Roman" w:hAnsi="Times New Roman" w:cs="Times New Roman"/>
          <w:sz w:val="24"/>
          <w:szCs w:val="24"/>
          <w:lang w:val="en-US"/>
        </w:rPr>
        <w:t>s</w:t>
      </w:r>
      <w:r w:rsidRPr="00244C9E">
        <w:rPr>
          <w:rFonts w:ascii="Times New Roman" w:hAnsi="Times New Roman" w:cs="Times New Roman"/>
          <w:sz w:val="24"/>
          <w:szCs w:val="24"/>
          <w:lang w:val="en-US"/>
        </w:rPr>
        <w:t xml:space="preserve"> that reductions in expenditure caused by a</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decrease in income are concentrated on luxury goods and services, which are usually</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 xml:space="preserve">those that show higher </w:t>
      </w:r>
      <w:proofErr w:type="spellStart"/>
      <w:r w:rsidRPr="00244C9E">
        <w:rPr>
          <w:rFonts w:ascii="Times New Roman" w:hAnsi="Times New Roman" w:cs="Times New Roman"/>
          <w:sz w:val="24"/>
          <w:szCs w:val="24"/>
          <w:lang w:val="en-US"/>
        </w:rPr>
        <w:t>intertemporal</w:t>
      </w:r>
      <w:proofErr w:type="spellEnd"/>
      <w:r w:rsidRPr="00244C9E">
        <w:rPr>
          <w:rFonts w:ascii="Times New Roman" w:hAnsi="Times New Roman" w:cs="Times New Roman"/>
          <w:sz w:val="24"/>
          <w:szCs w:val="24"/>
          <w:lang w:val="en-US"/>
        </w:rPr>
        <w:t xml:space="preserve"> elasticity of substitution. Charles and Stephens</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(2006) focus on those expenses which, for various reasons, it is difficult to reduce in the</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 xml:space="preserve">short </w:t>
      </w:r>
      <w:r>
        <w:rPr>
          <w:rFonts w:ascii="Times New Roman" w:hAnsi="Times New Roman" w:cs="Times New Roman"/>
          <w:sz w:val="24"/>
          <w:szCs w:val="24"/>
          <w:lang w:val="en-US"/>
        </w:rPr>
        <w:t xml:space="preserve">run. </w:t>
      </w:r>
      <w:r w:rsidRPr="00244C9E">
        <w:rPr>
          <w:rFonts w:ascii="Times New Roman" w:hAnsi="Times New Roman" w:cs="Times New Roman"/>
          <w:sz w:val="24"/>
          <w:szCs w:val="24"/>
          <w:lang w:val="en-US"/>
        </w:rPr>
        <w:t xml:space="preserve">Browning and </w:t>
      </w:r>
      <w:proofErr w:type="spellStart"/>
      <w:r w:rsidRPr="00244C9E">
        <w:rPr>
          <w:rFonts w:ascii="Times New Roman" w:hAnsi="Times New Roman" w:cs="Times New Roman"/>
          <w:sz w:val="24"/>
          <w:szCs w:val="24"/>
          <w:lang w:val="en-US"/>
        </w:rPr>
        <w:t>Crossley</w:t>
      </w:r>
      <w:proofErr w:type="spellEnd"/>
      <w:r w:rsidRPr="00244C9E">
        <w:rPr>
          <w:rFonts w:ascii="Times New Roman" w:hAnsi="Times New Roman" w:cs="Times New Roman"/>
          <w:sz w:val="24"/>
          <w:szCs w:val="24"/>
          <w:lang w:val="en-US"/>
        </w:rPr>
        <w:t> (2009) emphasi</w:t>
      </w:r>
      <w:r>
        <w:rPr>
          <w:rFonts w:ascii="Times New Roman" w:hAnsi="Times New Roman" w:cs="Times New Roman"/>
          <w:sz w:val="24"/>
          <w:szCs w:val="24"/>
          <w:lang w:val="en-US"/>
        </w:rPr>
        <w:t>z</w:t>
      </w:r>
      <w:r w:rsidRPr="00244C9E">
        <w:rPr>
          <w:rFonts w:ascii="Times New Roman" w:hAnsi="Times New Roman" w:cs="Times New Roman"/>
          <w:sz w:val="24"/>
          <w:szCs w:val="24"/>
          <w:lang w:val="en-US"/>
        </w:rPr>
        <w:t>e the durable nature of certain goods as an</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important determinant in aggregate fluctuations of expenditure on consumption. Since</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durables provide consumption services not only when they are acquired</w:t>
      </w:r>
      <w:r>
        <w:rPr>
          <w:rFonts w:ascii="Times New Roman" w:hAnsi="Times New Roman" w:cs="Times New Roman"/>
          <w:sz w:val="24"/>
          <w:szCs w:val="24"/>
          <w:lang w:val="en-US"/>
        </w:rPr>
        <w:t>,</w:t>
      </w:r>
      <w:r w:rsidRPr="00244C9E">
        <w:rPr>
          <w:rFonts w:ascii="Times New Roman" w:hAnsi="Times New Roman" w:cs="Times New Roman"/>
          <w:sz w:val="24"/>
          <w:szCs w:val="24"/>
          <w:lang w:val="en-US"/>
        </w:rPr>
        <w:t xml:space="preserve"> but also in</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subsequent periods, a notable reduction in the expenditure on th</w:t>
      </w:r>
      <w:r>
        <w:rPr>
          <w:rFonts w:ascii="Times New Roman" w:hAnsi="Times New Roman" w:cs="Times New Roman"/>
          <w:sz w:val="24"/>
          <w:szCs w:val="24"/>
          <w:lang w:val="en-US"/>
        </w:rPr>
        <w:t>ese</w:t>
      </w:r>
      <w:r w:rsidRPr="00244C9E">
        <w:rPr>
          <w:rFonts w:ascii="Times New Roman" w:hAnsi="Times New Roman" w:cs="Times New Roman"/>
          <w:sz w:val="24"/>
          <w:szCs w:val="24"/>
          <w:lang w:val="en-US"/>
        </w:rPr>
        <w:t xml:space="preserve"> goods may</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entail only modest decreases in the utility of consumers. Thus, consumers may find it</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optimal to notably reduce purchases of this type of goods following a sufficiently large</w:t>
      </w:r>
      <w:r>
        <w:rPr>
          <w:rFonts w:ascii="Times New Roman" w:hAnsi="Times New Roman" w:cs="Times New Roman"/>
          <w:sz w:val="24"/>
          <w:szCs w:val="24"/>
          <w:lang w:val="en-US"/>
        </w:rPr>
        <w:t xml:space="preserve"> </w:t>
      </w:r>
      <w:r w:rsidRPr="00244C9E">
        <w:rPr>
          <w:rFonts w:ascii="Times New Roman" w:hAnsi="Times New Roman" w:cs="Times New Roman"/>
          <w:sz w:val="24"/>
          <w:szCs w:val="24"/>
          <w:lang w:val="en-US"/>
        </w:rPr>
        <w:t xml:space="preserve">unfavorable shock to disposable income. </w:t>
      </w:r>
    </w:p>
    <w:p w:rsidR="00136EE3" w:rsidRPr="00E04EED" w:rsidRDefault="001E6BFC" w:rsidP="00136EE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With respect to debt servicing, </w:t>
      </w:r>
      <w:proofErr w:type="spellStart"/>
      <w:r w:rsidR="00136EE3" w:rsidRPr="00E04EED">
        <w:rPr>
          <w:rFonts w:ascii="Times New Roman" w:hAnsi="Times New Roman" w:cs="Times New Roman"/>
          <w:sz w:val="24"/>
          <w:szCs w:val="24"/>
          <w:lang w:val="en-US"/>
        </w:rPr>
        <w:t>Mishkin</w:t>
      </w:r>
      <w:proofErr w:type="spellEnd"/>
      <w:r w:rsidR="00136EE3" w:rsidRPr="00E04EED">
        <w:rPr>
          <w:rFonts w:ascii="Times New Roman" w:hAnsi="Times New Roman" w:cs="Times New Roman"/>
          <w:sz w:val="24"/>
          <w:szCs w:val="24"/>
          <w:lang w:val="en-US"/>
        </w:rPr>
        <w:t xml:space="preserve"> (1976, 1977, </w:t>
      </w:r>
      <w:proofErr w:type="gramStart"/>
      <w:r w:rsidR="00136EE3" w:rsidRPr="00E04EED">
        <w:rPr>
          <w:rFonts w:ascii="Times New Roman" w:hAnsi="Times New Roman" w:cs="Times New Roman"/>
          <w:sz w:val="24"/>
          <w:szCs w:val="24"/>
          <w:lang w:val="en-US"/>
        </w:rPr>
        <w:t>1978</w:t>
      </w:r>
      <w:proofErr w:type="gramEnd"/>
      <w:r w:rsidR="00136EE3" w:rsidRPr="00E04EED">
        <w:rPr>
          <w:rFonts w:ascii="Times New Roman" w:hAnsi="Times New Roman" w:cs="Times New Roman"/>
          <w:sz w:val="24"/>
          <w:szCs w:val="24"/>
          <w:lang w:val="en-US"/>
        </w:rPr>
        <w:t>) argues that</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the composition of household balance sheets influences the spending decisions of</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lastRenderedPageBreak/>
        <w:t>household</w:t>
      </w:r>
      <w:r w:rsidR="00136EE3">
        <w:rPr>
          <w:rFonts w:ascii="Times New Roman" w:hAnsi="Times New Roman" w:cs="Times New Roman"/>
          <w:sz w:val="24"/>
          <w:szCs w:val="24"/>
          <w:lang w:val="en-US"/>
        </w:rPr>
        <w:t>s</w:t>
      </w:r>
      <w:r w:rsidR="00136EE3" w:rsidRPr="00E04EED">
        <w:rPr>
          <w:rFonts w:ascii="Times New Roman" w:hAnsi="Times New Roman" w:cs="Times New Roman"/>
          <w:sz w:val="24"/>
          <w:szCs w:val="24"/>
          <w:lang w:val="en-US"/>
        </w:rPr>
        <w:t>, especially on illiquid assets</w:t>
      </w:r>
      <w:r w:rsidR="00136EE3">
        <w:rPr>
          <w:rFonts w:ascii="Times New Roman" w:hAnsi="Times New Roman" w:cs="Times New Roman"/>
          <w:sz w:val="24"/>
          <w:szCs w:val="24"/>
          <w:lang w:val="en-US"/>
        </w:rPr>
        <w:t>,</w:t>
      </w:r>
      <w:r w:rsidR="00136EE3" w:rsidRPr="00E04EED">
        <w:rPr>
          <w:rFonts w:ascii="Times New Roman" w:hAnsi="Times New Roman" w:cs="Times New Roman"/>
          <w:sz w:val="24"/>
          <w:szCs w:val="24"/>
          <w:lang w:val="en-US"/>
        </w:rPr>
        <w:t xml:space="preserve"> such as durables and house</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purchases. For example, household obligations</w:t>
      </w:r>
      <w:r w:rsidR="00070506">
        <w:rPr>
          <w:rFonts w:ascii="Times New Roman" w:hAnsi="Times New Roman" w:cs="Times New Roman"/>
          <w:sz w:val="24"/>
          <w:szCs w:val="24"/>
          <w:lang w:val="en-US"/>
        </w:rPr>
        <w:t>,</w:t>
      </w:r>
      <w:r w:rsidR="00136EE3" w:rsidRPr="00E04EED">
        <w:rPr>
          <w:rFonts w:ascii="Times New Roman" w:hAnsi="Times New Roman" w:cs="Times New Roman"/>
          <w:sz w:val="24"/>
          <w:szCs w:val="24"/>
          <w:lang w:val="en-US"/>
        </w:rPr>
        <w:t xml:space="preserve"> such as a high debt burden</w:t>
      </w:r>
      <w:r w:rsidR="00070506">
        <w:rPr>
          <w:rFonts w:ascii="Times New Roman" w:hAnsi="Times New Roman" w:cs="Times New Roman"/>
          <w:sz w:val="24"/>
          <w:szCs w:val="24"/>
          <w:lang w:val="en-US"/>
        </w:rPr>
        <w:t>,</w:t>
      </w:r>
      <w:r w:rsidR="00136EE3" w:rsidRPr="00E04EED">
        <w:rPr>
          <w:rFonts w:ascii="Times New Roman" w:hAnsi="Times New Roman" w:cs="Times New Roman"/>
          <w:sz w:val="24"/>
          <w:szCs w:val="24"/>
          <w:lang w:val="en-US"/>
        </w:rPr>
        <w:t xml:space="preserve"> would</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depress the demand for consumer durables even if the net worth remains constant.</w:t>
      </w:r>
      <w:r w:rsidR="00136EE3">
        <w:rPr>
          <w:rFonts w:ascii="Times New Roman" w:hAnsi="Times New Roman" w:cs="Times New Roman"/>
          <w:sz w:val="24"/>
          <w:szCs w:val="24"/>
          <w:lang w:val="en-US"/>
        </w:rPr>
        <w:t xml:space="preserve"> </w:t>
      </w:r>
      <w:proofErr w:type="spellStart"/>
      <w:r w:rsidR="00136EE3" w:rsidRPr="00E04EED">
        <w:rPr>
          <w:rFonts w:ascii="Times New Roman" w:hAnsi="Times New Roman" w:cs="Times New Roman"/>
          <w:sz w:val="24"/>
          <w:szCs w:val="24"/>
          <w:lang w:val="en-US"/>
        </w:rPr>
        <w:t>Betti</w:t>
      </w:r>
      <w:proofErr w:type="spellEnd"/>
      <w:r w:rsidR="00136EE3" w:rsidRPr="00E04EED">
        <w:rPr>
          <w:rFonts w:ascii="Times New Roman" w:hAnsi="Times New Roman" w:cs="Times New Roman"/>
          <w:sz w:val="24"/>
          <w:szCs w:val="24"/>
          <w:lang w:val="en-US"/>
        </w:rPr>
        <w:t xml:space="preserve"> et al. (2007) argue that </w:t>
      </w:r>
      <w:r w:rsidR="00070506">
        <w:rPr>
          <w:rFonts w:ascii="Times New Roman" w:hAnsi="Times New Roman" w:cs="Times New Roman"/>
          <w:sz w:val="24"/>
          <w:szCs w:val="24"/>
          <w:lang w:val="en-US"/>
        </w:rPr>
        <w:t>excessive</w:t>
      </w:r>
      <w:r w:rsidR="00136EE3" w:rsidRPr="00E04EED">
        <w:rPr>
          <w:rFonts w:ascii="Times New Roman" w:hAnsi="Times New Roman" w:cs="Times New Roman"/>
          <w:sz w:val="24"/>
          <w:szCs w:val="24"/>
          <w:lang w:val="en-US"/>
        </w:rPr>
        <w:t xml:space="preserve"> debt accumulation based on</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erroneous beliefs about the future would result in adjustments in consumption</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expenditures if the beliefs or expectations about future incomes were shown to be</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false by actual outcomes.</w:t>
      </w:r>
      <w:r w:rsidR="00136EE3">
        <w:rPr>
          <w:rFonts w:ascii="Times New Roman" w:hAnsi="Times New Roman" w:cs="Times New Roman"/>
          <w:sz w:val="24"/>
          <w:szCs w:val="24"/>
          <w:lang w:val="en-US"/>
        </w:rPr>
        <w:t xml:space="preserve"> Moreover, c</w:t>
      </w:r>
      <w:r w:rsidR="00136EE3" w:rsidRPr="00E04EED">
        <w:rPr>
          <w:rFonts w:ascii="Times New Roman" w:hAnsi="Times New Roman" w:cs="Times New Roman"/>
          <w:sz w:val="24"/>
          <w:szCs w:val="24"/>
          <w:lang w:val="en-US"/>
        </w:rPr>
        <w:t>lose to the current study</w:t>
      </w:r>
      <w:r w:rsidR="00136EE3">
        <w:rPr>
          <w:rFonts w:ascii="Times New Roman" w:hAnsi="Times New Roman" w:cs="Times New Roman"/>
          <w:sz w:val="24"/>
          <w:szCs w:val="24"/>
          <w:lang w:val="en-US"/>
        </w:rPr>
        <w:t>,</w:t>
      </w:r>
      <w:r w:rsidR="00136EE3" w:rsidRPr="00E04EED">
        <w:rPr>
          <w:rFonts w:ascii="Times New Roman" w:hAnsi="Times New Roman" w:cs="Times New Roman"/>
          <w:sz w:val="24"/>
          <w:szCs w:val="24"/>
          <w:lang w:val="en-US"/>
        </w:rPr>
        <w:t xml:space="preserve"> based </w:t>
      </w:r>
      <w:r w:rsidR="00136EE3">
        <w:rPr>
          <w:rFonts w:ascii="Times New Roman" w:hAnsi="Times New Roman" w:cs="Times New Roman"/>
          <w:sz w:val="24"/>
          <w:szCs w:val="24"/>
          <w:lang w:val="en-US"/>
        </w:rPr>
        <w:t>however o</w:t>
      </w:r>
      <w:r w:rsidR="00136EE3" w:rsidRPr="00E04EED">
        <w:rPr>
          <w:rFonts w:ascii="Times New Roman" w:hAnsi="Times New Roman" w:cs="Times New Roman"/>
          <w:sz w:val="24"/>
          <w:szCs w:val="24"/>
          <w:lang w:val="en-US"/>
        </w:rPr>
        <w:t>n a different</w:t>
      </w:r>
      <w:r w:rsidR="00136EE3">
        <w:rPr>
          <w:rFonts w:ascii="Times New Roman" w:hAnsi="Times New Roman" w:cs="Times New Roman"/>
          <w:sz w:val="24"/>
          <w:szCs w:val="24"/>
          <w:lang w:val="en-US"/>
        </w:rPr>
        <w:t xml:space="preserve"> conceptual</w:t>
      </w:r>
      <w:r w:rsidR="00136EE3" w:rsidRPr="00E04EED">
        <w:rPr>
          <w:rFonts w:ascii="Times New Roman" w:hAnsi="Times New Roman" w:cs="Times New Roman"/>
          <w:sz w:val="24"/>
          <w:szCs w:val="24"/>
          <w:lang w:val="en-US"/>
        </w:rPr>
        <w:t xml:space="preserve"> framework</w:t>
      </w:r>
      <w:r w:rsidR="00136EE3">
        <w:rPr>
          <w:rFonts w:ascii="Times New Roman" w:hAnsi="Times New Roman" w:cs="Times New Roman"/>
          <w:sz w:val="24"/>
          <w:szCs w:val="24"/>
          <w:lang w:val="en-US"/>
        </w:rPr>
        <w:t>,</w:t>
      </w:r>
      <w:r w:rsidR="00136EE3" w:rsidRPr="00E04EED">
        <w:rPr>
          <w:rFonts w:ascii="Times New Roman" w:hAnsi="Times New Roman" w:cs="Times New Roman"/>
          <w:sz w:val="24"/>
          <w:szCs w:val="24"/>
          <w:lang w:val="en-US"/>
        </w:rPr>
        <w:t xml:space="preserve"> are </w:t>
      </w:r>
      <w:r w:rsidR="00136EE3">
        <w:rPr>
          <w:rFonts w:ascii="Times New Roman" w:hAnsi="Times New Roman" w:cs="Times New Roman"/>
          <w:sz w:val="24"/>
          <w:szCs w:val="24"/>
          <w:lang w:val="en-US"/>
        </w:rPr>
        <w:t xml:space="preserve">the studies by </w:t>
      </w:r>
      <w:r w:rsidR="00136EE3" w:rsidRPr="00E04EED">
        <w:rPr>
          <w:rFonts w:ascii="Times New Roman" w:hAnsi="Times New Roman" w:cs="Times New Roman"/>
          <w:sz w:val="24"/>
          <w:szCs w:val="24"/>
          <w:lang w:val="en-US"/>
        </w:rPr>
        <w:t xml:space="preserve">Ogawa and Wan (2007) and Kim and Kim (2012). </w:t>
      </w:r>
      <w:r w:rsidR="00136EE3">
        <w:rPr>
          <w:rFonts w:ascii="Times New Roman" w:hAnsi="Times New Roman" w:cs="Times New Roman"/>
          <w:sz w:val="24"/>
          <w:szCs w:val="24"/>
          <w:lang w:val="en-US"/>
        </w:rPr>
        <w:t>The first explores</w:t>
      </w:r>
      <w:r w:rsidR="00136EE3" w:rsidRPr="00E04EED">
        <w:rPr>
          <w:rFonts w:ascii="Times New Roman" w:hAnsi="Times New Roman" w:cs="Times New Roman"/>
          <w:sz w:val="24"/>
          <w:szCs w:val="24"/>
          <w:lang w:val="en-US"/>
        </w:rPr>
        <w:t xml:space="preserve"> the debt-consumption relationship based on Japanese</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household data and argue</w:t>
      </w:r>
      <w:r w:rsidR="00136EE3">
        <w:rPr>
          <w:rFonts w:ascii="Times New Roman" w:hAnsi="Times New Roman" w:cs="Times New Roman"/>
          <w:sz w:val="24"/>
          <w:szCs w:val="24"/>
          <w:lang w:val="en-US"/>
        </w:rPr>
        <w:t>s</w:t>
      </w:r>
      <w:r w:rsidR="00136EE3" w:rsidRPr="00E04EED">
        <w:rPr>
          <w:rFonts w:ascii="Times New Roman" w:hAnsi="Times New Roman" w:cs="Times New Roman"/>
          <w:sz w:val="24"/>
          <w:szCs w:val="24"/>
          <w:lang w:val="en-US"/>
        </w:rPr>
        <w:t xml:space="preserve"> that debt-asset ratios ha</w:t>
      </w:r>
      <w:r w:rsidR="00136EE3">
        <w:rPr>
          <w:rFonts w:ascii="Times New Roman" w:hAnsi="Times New Roman" w:cs="Times New Roman"/>
          <w:sz w:val="24"/>
          <w:szCs w:val="24"/>
          <w:lang w:val="en-US"/>
        </w:rPr>
        <w:t>ve</w:t>
      </w:r>
      <w:r w:rsidR="00136EE3" w:rsidRPr="00E04EED">
        <w:rPr>
          <w:rFonts w:ascii="Times New Roman" w:hAnsi="Times New Roman" w:cs="Times New Roman"/>
          <w:sz w:val="24"/>
          <w:szCs w:val="24"/>
          <w:lang w:val="en-US"/>
        </w:rPr>
        <w:t xml:space="preserve"> negative effects on household</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consumption</w:t>
      </w:r>
      <w:r w:rsidR="00136EE3">
        <w:rPr>
          <w:rFonts w:ascii="Times New Roman" w:hAnsi="Times New Roman" w:cs="Times New Roman"/>
          <w:sz w:val="24"/>
          <w:szCs w:val="24"/>
          <w:lang w:val="en-US"/>
        </w:rPr>
        <w:t>,</w:t>
      </w:r>
      <w:r w:rsidR="00136EE3" w:rsidRPr="00E04EED">
        <w:rPr>
          <w:rFonts w:ascii="Times New Roman" w:hAnsi="Times New Roman" w:cs="Times New Roman"/>
          <w:sz w:val="24"/>
          <w:szCs w:val="24"/>
          <w:lang w:val="en-US"/>
        </w:rPr>
        <w:t xml:space="preserve"> mainly through borrowing constraints. Kim and Kim (2012) analyze the time frame of 2000-07 from the Korea</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Labor and Income Panel Study (KLIPS) and argue that household debt</w:t>
      </w:r>
      <w:r w:rsidR="00136EE3">
        <w:rPr>
          <w:rFonts w:ascii="Times New Roman" w:hAnsi="Times New Roman" w:cs="Times New Roman"/>
          <w:sz w:val="24"/>
          <w:szCs w:val="24"/>
          <w:lang w:val="en-US"/>
        </w:rPr>
        <w:t xml:space="preserve"> </w:t>
      </w:r>
      <w:r w:rsidR="00136EE3" w:rsidRPr="00E04EED">
        <w:rPr>
          <w:rFonts w:ascii="Times New Roman" w:hAnsi="Times New Roman" w:cs="Times New Roman"/>
          <w:sz w:val="24"/>
          <w:szCs w:val="24"/>
          <w:lang w:val="en-US"/>
        </w:rPr>
        <w:t>accumulation increase</w:t>
      </w:r>
      <w:r w:rsidR="00136EE3">
        <w:rPr>
          <w:rFonts w:ascii="Times New Roman" w:hAnsi="Times New Roman" w:cs="Times New Roman"/>
          <w:sz w:val="24"/>
          <w:szCs w:val="24"/>
          <w:lang w:val="en-US"/>
        </w:rPr>
        <w:t>s</w:t>
      </w:r>
      <w:r w:rsidR="00136EE3" w:rsidRPr="00E04EED">
        <w:rPr>
          <w:rFonts w:ascii="Times New Roman" w:hAnsi="Times New Roman" w:cs="Times New Roman"/>
          <w:sz w:val="24"/>
          <w:szCs w:val="24"/>
          <w:lang w:val="en-US"/>
        </w:rPr>
        <w:t xml:space="preserve"> consumption by relaxing credit constraints.</w:t>
      </w:r>
      <w:r w:rsidR="00136EE3">
        <w:rPr>
          <w:rFonts w:ascii="Times New Roman" w:hAnsi="Times New Roman" w:cs="Times New Roman"/>
          <w:sz w:val="24"/>
          <w:szCs w:val="24"/>
          <w:lang w:val="en-US"/>
        </w:rPr>
        <w:t xml:space="preserve"> </w:t>
      </w:r>
    </w:p>
    <w:p w:rsidR="00136EE3" w:rsidRPr="00E04EED" w:rsidRDefault="001E6BFC" w:rsidP="00136EE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36EE3">
        <w:rPr>
          <w:rFonts w:ascii="Times New Roman" w:hAnsi="Times New Roman" w:cs="Times New Roman"/>
          <w:sz w:val="24"/>
          <w:szCs w:val="24"/>
          <w:lang w:val="en-US"/>
        </w:rPr>
        <w:t>Table 3 display</w:t>
      </w:r>
      <w:r>
        <w:rPr>
          <w:rFonts w:ascii="Times New Roman" w:hAnsi="Times New Roman" w:cs="Times New Roman"/>
          <w:sz w:val="24"/>
          <w:szCs w:val="24"/>
          <w:lang w:val="en-US"/>
        </w:rPr>
        <w:t>s</w:t>
      </w:r>
      <w:r w:rsidR="00136EE3">
        <w:rPr>
          <w:rFonts w:ascii="Times New Roman" w:hAnsi="Times New Roman" w:cs="Times New Roman"/>
          <w:sz w:val="24"/>
          <w:szCs w:val="24"/>
          <w:lang w:val="en-US"/>
        </w:rPr>
        <w:t xml:space="preserve"> that the findings remain consistent across all three types of consumer goods</w:t>
      </w:r>
      <w:r w:rsidR="00136EE3" w:rsidRPr="00E04EED">
        <w:rPr>
          <w:rFonts w:ascii="Times New Roman" w:hAnsi="Times New Roman" w:cs="Times New Roman"/>
          <w:sz w:val="24"/>
          <w:szCs w:val="24"/>
          <w:lang w:val="en-US"/>
        </w:rPr>
        <w:t xml:space="preserve">. </w:t>
      </w:r>
      <w:r w:rsidR="00136EE3">
        <w:rPr>
          <w:rFonts w:ascii="Times New Roman" w:hAnsi="Times New Roman" w:cs="Times New Roman"/>
          <w:sz w:val="24"/>
          <w:szCs w:val="24"/>
          <w:lang w:val="en-US"/>
        </w:rPr>
        <w:t>Moreover</w:t>
      </w:r>
      <w:r w:rsidR="00136EE3" w:rsidRPr="00E04EED">
        <w:rPr>
          <w:rFonts w:ascii="Times New Roman" w:hAnsi="Times New Roman" w:cs="Times New Roman"/>
          <w:sz w:val="24"/>
          <w:szCs w:val="24"/>
          <w:lang w:val="en-US"/>
        </w:rPr>
        <w:t xml:space="preserve">, </w:t>
      </w:r>
      <w:r w:rsidR="00136EE3">
        <w:rPr>
          <w:rFonts w:ascii="Times New Roman" w:hAnsi="Times New Roman" w:cs="Times New Roman"/>
          <w:sz w:val="24"/>
          <w:szCs w:val="24"/>
          <w:lang w:val="en-US"/>
        </w:rPr>
        <w:t>the</w:t>
      </w:r>
      <w:r>
        <w:rPr>
          <w:rFonts w:ascii="Times New Roman" w:hAnsi="Times New Roman" w:cs="Times New Roman"/>
          <w:sz w:val="24"/>
          <w:szCs w:val="24"/>
          <w:lang w:val="en-US"/>
        </w:rPr>
        <w:t>y</w:t>
      </w:r>
      <w:r w:rsidR="00136EE3">
        <w:rPr>
          <w:rFonts w:ascii="Times New Roman" w:hAnsi="Times New Roman" w:cs="Times New Roman"/>
          <w:sz w:val="24"/>
          <w:szCs w:val="24"/>
          <w:lang w:val="en-US"/>
        </w:rPr>
        <w:t xml:space="preserve"> document </w:t>
      </w:r>
      <w:r>
        <w:rPr>
          <w:rFonts w:ascii="Times New Roman" w:hAnsi="Times New Roman" w:cs="Times New Roman"/>
          <w:sz w:val="24"/>
          <w:szCs w:val="24"/>
          <w:lang w:val="en-US"/>
        </w:rPr>
        <w:t>that debt service</w:t>
      </w:r>
      <w:r w:rsidR="00136EE3">
        <w:rPr>
          <w:rFonts w:ascii="Times New Roman" w:hAnsi="Times New Roman" w:cs="Times New Roman"/>
          <w:sz w:val="24"/>
          <w:szCs w:val="24"/>
          <w:lang w:val="en-US"/>
        </w:rPr>
        <w:t xml:space="preserve"> ratios</w:t>
      </w:r>
      <w:r w:rsidR="00136EE3" w:rsidRPr="00E04EED">
        <w:rPr>
          <w:rFonts w:ascii="Times New Roman" w:hAnsi="Times New Roman" w:cs="Times New Roman"/>
          <w:sz w:val="24"/>
          <w:szCs w:val="24"/>
          <w:lang w:val="en-US"/>
        </w:rPr>
        <w:t xml:space="preserve"> ha</w:t>
      </w:r>
      <w:r w:rsidR="00136EE3">
        <w:rPr>
          <w:rFonts w:ascii="Times New Roman" w:hAnsi="Times New Roman" w:cs="Times New Roman"/>
          <w:sz w:val="24"/>
          <w:szCs w:val="24"/>
          <w:lang w:val="en-US"/>
        </w:rPr>
        <w:t>ve</w:t>
      </w:r>
      <w:r w:rsidR="00136EE3" w:rsidRPr="00E04EED">
        <w:rPr>
          <w:rFonts w:ascii="Times New Roman" w:hAnsi="Times New Roman" w:cs="Times New Roman"/>
          <w:sz w:val="24"/>
          <w:szCs w:val="24"/>
          <w:lang w:val="en-US"/>
        </w:rPr>
        <w:t xml:space="preserve"> </w:t>
      </w:r>
      <w:r w:rsidR="00136EE3">
        <w:rPr>
          <w:rFonts w:ascii="Times New Roman" w:hAnsi="Times New Roman" w:cs="Times New Roman"/>
          <w:sz w:val="24"/>
          <w:szCs w:val="24"/>
          <w:lang w:val="en-US"/>
        </w:rPr>
        <w:t>a</w:t>
      </w:r>
      <w:r>
        <w:rPr>
          <w:rFonts w:ascii="Times New Roman" w:hAnsi="Times New Roman" w:cs="Times New Roman"/>
          <w:sz w:val="24"/>
          <w:szCs w:val="24"/>
          <w:lang w:val="en-US"/>
        </w:rPr>
        <w:t xml:space="preserve"> stronger effect on durable goods</w:t>
      </w:r>
      <w:r w:rsidR="00136EE3" w:rsidRPr="00E04EED">
        <w:rPr>
          <w:rFonts w:ascii="Times New Roman" w:hAnsi="Times New Roman" w:cs="Times New Roman"/>
          <w:sz w:val="24"/>
          <w:szCs w:val="24"/>
          <w:lang w:val="en-US"/>
        </w:rPr>
        <w:t xml:space="preserve"> than nondurable</w:t>
      </w:r>
      <w:r w:rsidR="00136E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goods </w:t>
      </w:r>
      <w:r w:rsidR="00136EE3">
        <w:rPr>
          <w:rFonts w:ascii="Times New Roman" w:hAnsi="Times New Roman" w:cs="Times New Roman"/>
          <w:sz w:val="24"/>
          <w:szCs w:val="24"/>
          <w:lang w:val="en-US"/>
        </w:rPr>
        <w:t>and services consumption</w:t>
      </w:r>
      <w:r w:rsidR="00136EE3" w:rsidRPr="00E04EED">
        <w:rPr>
          <w:rFonts w:ascii="Times New Roman" w:hAnsi="Times New Roman" w:cs="Times New Roman"/>
          <w:sz w:val="24"/>
          <w:szCs w:val="24"/>
          <w:lang w:val="en-US"/>
        </w:rPr>
        <w:t xml:space="preserve">. </w:t>
      </w:r>
      <w:r w:rsidR="00136EE3">
        <w:rPr>
          <w:rFonts w:ascii="Times New Roman" w:hAnsi="Times New Roman" w:cs="Times New Roman"/>
          <w:sz w:val="24"/>
          <w:szCs w:val="24"/>
          <w:lang w:val="en-US"/>
        </w:rPr>
        <w:t>In fact, the impact on services turns out to be statist</w:t>
      </w:r>
      <w:r>
        <w:rPr>
          <w:rFonts w:ascii="Times New Roman" w:hAnsi="Times New Roman" w:cs="Times New Roman"/>
          <w:sz w:val="24"/>
          <w:szCs w:val="24"/>
          <w:lang w:val="en-US"/>
        </w:rPr>
        <w:t>ically insignificant, while the one</w:t>
      </w:r>
      <w:r w:rsidR="00136EE3">
        <w:rPr>
          <w:rFonts w:ascii="Times New Roman" w:hAnsi="Times New Roman" w:cs="Times New Roman"/>
          <w:sz w:val="24"/>
          <w:szCs w:val="24"/>
          <w:lang w:val="en-US"/>
        </w:rPr>
        <w:t xml:space="preserve"> on nondurables </w:t>
      </w:r>
      <w:r>
        <w:rPr>
          <w:rFonts w:ascii="Times New Roman" w:hAnsi="Times New Roman" w:cs="Times New Roman"/>
          <w:sz w:val="24"/>
          <w:szCs w:val="24"/>
          <w:lang w:val="en-US"/>
        </w:rPr>
        <w:t>turns out to be</w:t>
      </w:r>
      <w:r w:rsidR="00136EE3">
        <w:rPr>
          <w:rFonts w:ascii="Times New Roman" w:hAnsi="Times New Roman" w:cs="Times New Roman"/>
          <w:sz w:val="24"/>
          <w:szCs w:val="24"/>
          <w:lang w:val="en-US"/>
        </w:rPr>
        <w:t xml:space="preserve"> statistically significant only at 10%. This emphasizes that s</w:t>
      </w:r>
      <w:r w:rsidR="00136EE3" w:rsidRPr="00487A7C">
        <w:rPr>
          <w:rFonts w:ascii="Times New Roman" w:hAnsi="Times New Roman" w:cs="Times New Roman"/>
          <w:sz w:val="24"/>
          <w:szCs w:val="24"/>
          <w:lang w:val="en-US"/>
        </w:rPr>
        <w:t>ince purchases of durables are more likely to be</w:t>
      </w:r>
      <w:r w:rsidR="00136EE3">
        <w:rPr>
          <w:rFonts w:ascii="Times New Roman" w:hAnsi="Times New Roman" w:cs="Times New Roman"/>
          <w:sz w:val="24"/>
          <w:szCs w:val="24"/>
          <w:lang w:val="en-US"/>
        </w:rPr>
        <w:t xml:space="preserve"> </w:t>
      </w:r>
      <w:r w:rsidR="00136EE3" w:rsidRPr="00487A7C">
        <w:rPr>
          <w:rFonts w:ascii="Times New Roman" w:hAnsi="Times New Roman" w:cs="Times New Roman"/>
          <w:sz w:val="24"/>
          <w:szCs w:val="24"/>
          <w:lang w:val="en-US"/>
        </w:rPr>
        <w:t>financed through consumer loans than purchases of nondurable goods or services, the</w:t>
      </w:r>
      <w:r w:rsidR="00136EE3">
        <w:rPr>
          <w:rFonts w:ascii="Times New Roman" w:hAnsi="Times New Roman" w:cs="Times New Roman"/>
          <w:sz w:val="24"/>
          <w:szCs w:val="24"/>
          <w:lang w:val="en-US"/>
        </w:rPr>
        <w:t xml:space="preserve"> </w:t>
      </w:r>
      <w:r w:rsidR="00136EE3" w:rsidRPr="00487A7C">
        <w:rPr>
          <w:rFonts w:ascii="Times New Roman" w:hAnsi="Times New Roman" w:cs="Times New Roman"/>
          <w:sz w:val="24"/>
          <w:szCs w:val="24"/>
          <w:lang w:val="en-US"/>
        </w:rPr>
        <w:t xml:space="preserve">debt burden of households </w:t>
      </w:r>
      <w:r w:rsidR="00136EE3">
        <w:rPr>
          <w:rFonts w:ascii="Times New Roman" w:hAnsi="Times New Roman" w:cs="Times New Roman"/>
          <w:sz w:val="24"/>
          <w:szCs w:val="24"/>
          <w:lang w:val="en-US"/>
        </w:rPr>
        <w:t xml:space="preserve">turns out to </w:t>
      </w:r>
      <w:r w:rsidR="00136EE3" w:rsidRPr="00487A7C">
        <w:rPr>
          <w:rFonts w:ascii="Times New Roman" w:hAnsi="Times New Roman" w:cs="Times New Roman"/>
          <w:sz w:val="24"/>
          <w:szCs w:val="24"/>
          <w:lang w:val="en-US"/>
        </w:rPr>
        <w:t>be relatively more important in determining spending</w:t>
      </w:r>
      <w:r w:rsidR="00136EE3">
        <w:rPr>
          <w:rFonts w:ascii="Times New Roman" w:hAnsi="Times New Roman" w:cs="Times New Roman"/>
          <w:sz w:val="24"/>
          <w:szCs w:val="24"/>
          <w:lang w:val="en-US"/>
        </w:rPr>
        <w:t xml:space="preserve"> </w:t>
      </w:r>
      <w:r w:rsidR="00136EE3" w:rsidRPr="00487A7C">
        <w:rPr>
          <w:rFonts w:ascii="Times New Roman" w:hAnsi="Times New Roman" w:cs="Times New Roman"/>
          <w:sz w:val="24"/>
          <w:szCs w:val="24"/>
          <w:lang w:val="en-US"/>
        </w:rPr>
        <w:t xml:space="preserve">on durables. </w:t>
      </w:r>
      <w:r w:rsidR="00136EE3">
        <w:rPr>
          <w:rFonts w:ascii="Times New Roman" w:hAnsi="Times New Roman" w:cs="Times New Roman"/>
          <w:sz w:val="24"/>
          <w:szCs w:val="24"/>
          <w:lang w:val="en-US"/>
        </w:rPr>
        <w:t>These findings also indicate that</w:t>
      </w:r>
      <w:r w:rsidR="00136EE3" w:rsidRPr="00C36308">
        <w:rPr>
          <w:rFonts w:ascii="Times New Roman" w:hAnsi="Times New Roman" w:cs="Times New Roman"/>
          <w:sz w:val="24"/>
          <w:szCs w:val="24"/>
          <w:lang w:val="en-US"/>
        </w:rPr>
        <w:t xml:space="preserve"> the positive sign </w:t>
      </w:r>
      <w:r w:rsidR="00136EE3">
        <w:rPr>
          <w:rFonts w:ascii="Times New Roman" w:hAnsi="Times New Roman" w:cs="Times New Roman"/>
          <w:sz w:val="24"/>
          <w:szCs w:val="24"/>
          <w:lang w:val="en-US"/>
        </w:rPr>
        <w:t xml:space="preserve">for durables supports </w:t>
      </w:r>
      <w:r w:rsidR="00136EE3" w:rsidRPr="00C36308">
        <w:rPr>
          <w:rFonts w:ascii="Times New Roman" w:hAnsi="Times New Roman" w:cs="Times New Roman"/>
          <w:sz w:val="24"/>
          <w:szCs w:val="24"/>
          <w:lang w:val="en-US"/>
        </w:rPr>
        <w:t>the strength of the interest rates, the expectations of future income and the relaxation of liquidity constraints mechanisms</w:t>
      </w:r>
      <w:r w:rsidR="00136EE3">
        <w:rPr>
          <w:rFonts w:ascii="Times New Roman" w:hAnsi="Times New Roman" w:cs="Times New Roman"/>
          <w:sz w:val="24"/>
          <w:szCs w:val="24"/>
          <w:lang w:val="en-US"/>
        </w:rPr>
        <w:t xml:space="preserve"> driving the course of the debt-</w:t>
      </w:r>
      <w:r w:rsidR="00136EE3" w:rsidRPr="00C36308">
        <w:rPr>
          <w:rFonts w:ascii="Times New Roman" w:hAnsi="Times New Roman" w:cs="Times New Roman"/>
          <w:sz w:val="24"/>
          <w:szCs w:val="24"/>
          <w:lang w:val="en-US"/>
        </w:rPr>
        <w:t>servic</w:t>
      </w:r>
      <w:r w:rsidR="00136EE3">
        <w:rPr>
          <w:rFonts w:ascii="Times New Roman" w:hAnsi="Times New Roman" w:cs="Times New Roman"/>
          <w:sz w:val="24"/>
          <w:szCs w:val="24"/>
          <w:lang w:val="en-US"/>
        </w:rPr>
        <w:t>e</w:t>
      </w:r>
      <w:r w:rsidR="00136EE3" w:rsidRPr="00C36308">
        <w:rPr>
          <w:rFonts w:ascii="Times New Roman" w:hAnsi="Times New Roman" w:cs="Times New Roman"/>
          <w:sz w:val="24"/>
          <w:szCs w:val="24"/>
          <w:lang w:val="en-US"/>
        </w:rPr>
        <w:t xml:space="preserve"> ratio. </w:t>
      </w:r>
    </w:p>
    <w:p w:rsidR="00136EE3" w:rsidRDefault="00136EE3" w:rsidP="00136EE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[Insert Table 3</w:t>
      </w:r>
      <w:r w:rsidRPr="00433DF3">
        <w:rPr>
          <w:rFonts w:ascii="Times New Roman" w:hAnsi="Times New Roman" w:cs="Times New Roman"/>
          <w:b/>
          <w:sz w:val="24"/>
          <w:szCs w:val="24"/>
          <w:lang w:val="en-US"/>
        </w:rPr>
        <w:t xml:space="preserve"> about here]</w:t>
      </w:r>
    </w:p>
    <w:p w:rsidR="00FB51DB" w:rsidRPr="00B50A10" w:rsidRDefault="007C5B87" w:rsidP="00FB51D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Finally, in this sub-section, we repeat the baseline estimates by introducing a dummy related to the year 2001 (this point was raised by a referee</w:t>
      </w:r>
      <w:r w:rsidR="00FD5530">
        <w:rPr>
          <w:rFonts w:ascii="Times New Roman" w:hAnsi="Times New Roman" w:cs="Times New Roman"/>
          <w:sz w:val="24"/>
          <w:szCs w:val="24"/>
          <w:lang w:val="en-US"/>
        </w:rPr>
        <w:t xml:space="preserve"> and the look at Figure 1</w:t>
      </w:r>
      <w:r>
        <w:rPr>
          <w:rFonts w:ascii="Times New Roman" w:hAnsi="Times New Roman" w:cs="Times New Roman"/>
          <w:sz w:val="24"/>
          <w:szCs w:val="24"/>
          <w:lang w:val="en-US"/>
        </w:rPr>
        <w:t>). In the beginning of the 2000s the majority of developed countries experienced the most dramatic boom in household debt since the Great Depression.</w:t>
      </w:r>
      <w:r w:rsidR="00B46B09">
        <w:rPr>
          <w:rFonts w:ascii="Times New Roman" w:hAnsi="Times New Roman" w:cs="Times New Roman"/>
          <w:sz w:val="24"/>
          <w:szCs w:val="24"/>
          <w:lang w:val="en-US"/>
        </w:rPr>
        <w:t xml:space="preserve"> A number of reasons have been put forward to explain this substantial rise in debt undertaking</w:t>
      </w:r>
      <w:r w:rsidR="00B44DF9">
        <w:rPr>
          <w:rFonts w:ascii="Times New Roman" w:hAnsi="Times New Roman" w:cs="Times New Roman"/>
          <w:sz w:val="24"/>
          <w:szCs w:val="24"/>
          <w:lang w:val="en-US"/>
        </w:rPr>
        <w:t xml:space="preserve"> exemplified in the early 2000s</w:t>
      </w:r>
      <w:r w:rsidR="00B46B09">
        <w:rPr>
          <w:rFonts w:ascii="Times New Roman" w:hAnsi="Times New Roman" w:cs="Times New Roman"/>
          <w:sz w:val="24"/>
          <w:szCs w:val="24"/>
          <w:lang w:val="en-US"/>
        </w:rPr>
        <w:t>. First, it is the importance of loosened borrowing and lending constraints</w:t>
      </w:r>
      <w:r w:rsidR="00B44DF9">
        <w:rPr>
          <w:rFonts w:ascii="Times New Roman" w:hAnsi="Times New Roman" w:cs="Times New Roman"/>
          <w:sz w:val="24"/>
          <w:szCs w:val="24"/>
          <w:lang w:val="en-US"/>
        </w:rPr>
        <w:t>, as well as stronger financial innovations</w:t>
      </w:r>
      <w:r w:rsidR="00B46B09">
        <w:rPr>
          <w:rFonts w:ascii="Times New Roman" w:hAnsi="Times New Roman" w:cs="Times New Roman"/>
          <w:sz w:val="24"/>
          <w:szCs w:val="24"/>
          <w:lang w:val="en-US"/>
        </w:rPr>
        <w:t xml:space="preserve"> (</w:t>
      </w:r>
      <w:proofErr w:type="spellStart"/>
      <w:r w:rsidR="00B46B09">
        <w:rPr>
          <w:rFonts w:ascii="Times New Roman" w:hAnsi="Times New Roman" w:cs="Times New Roman"/>
          <w:sz w:val="24"/>
          <w:szCs w:val="24"/>
          <w:lang w:val="en-US"/>
        </w:rPr>
        <w:t>Midrigan</w:t>
      </w:r>
      <w:proofErr w:type="spellEnd"/>
      <w:r w:rsidR="00B46B09">
        <w:rPr>
          <w:rFonts w:ascii="Times New Roman" w:hAnsi="Times New Roman" w:cs="Times New Roman"/>
          <w:sz w:val="24"/>
          <w:szCs w:val="24"/>
          <w:lang w:val="en-US"/>
        </w:rPr>
        <w:t xml:space="preserve"> and </w:t>
      </w:r>
      <w:proofErr w:type="spellStart"/>
      <w:r w:rsidR="00B46B09">
        <w:rPr>
          <w:rFonts w:ascii="Times New Roman" w:hAnsi="Times New Roman" w:cs="Times New Roman"/>
          <w:sz w:val="24"/>
          <w:szCs w:val="24"/>
          <w:lang w:val="en-US"/>
        </w:rPr>
        <w:t>Philippon</w:t>
      </w:r>
      <w:proofErr w:type="spellEnd"/>
      <w:r w:rsidR="00B46B09">
        <w:rPr>
          <w:rFonts w:ascii="Times New Roman" w:hAnsi="Times New Roman" w:cs="Times New Roman"/>
          <w:sz w:val="24"/>
          <w:szCs w:val="24"/>
          <w:lang w:val="en-US"/>
        </w:rPr>
        <w:t xml:space="preserve">, 2011; </w:t>
      </w:r>
      <w:proofErr w:type="spellStart"/>
      <w:r w:rsidR="00B46B09">
        <w:rPr>
          <w:rFonts w:ascii="Times New Roman" w:hAnsi="Times New Roman" w:cs="Times New Roman"/>
          <w:sz w:val="24"/>
          <w:szCs w:val="24"/>
          <w:lang w:val="en-US"/>
        </w:rPr>
        <w:t>Favilukis</w:t>
      </w:r>
      <w:proofErr w:type="spellEnd"/>
      <w:r w:rsidR="00B46B09">
        <w:rPr>
          <w:rFonts w:ascii="Times New Roman" w:hAnsi="Times New Roman" w:cs="Times New Roman"/>
          <w:sz w:val="24"/>
          <w:szCs w:val="24"/>
          <w:lang w:val="en-US"/>
        </w:rPr>
        <w:t xml:space="preserve"> et al., 2013; </w:t>
      </w:r>
      <w:proofErr w:type="spellStart"/>
      <w:r w:rsidR="00B46B09">
        <w:rPr>
          <w:rFonts w:ascii="Times New Roman" w:hAnsi="Times New Roman" w:cs="Times New Roman"/>
          <w:sz w:val="24"/>
          <w:szCs w:val="24"/>
          <w:lang w:val="en-US"/>
        </w:rPr>
        <w:t>Justiniano</w:t>
      </w:r>
      <w:proofErr w:type="spellEnd"/>
      <w:r w:rsidR="00B46B09">
        <w:rPr>
          <w:rFonts w:ascii="Times New Roman" w:hAnsi="Times New Roman" w:cs="Times New Roman"/>
          <w:sz w:val="24"/>
          <w:szCs w:val="24"/>
          <w:lang w:val="en-US"/>
        </w:rPr>
        <w:t xml:space="preserve"> et al., 2014)</w:t>
      </w:r>
      <w:r w:rsidR="00B44DF9">
        <w:rPr>
          <w:rFonts w:ascii="Times New Roman" w:hAnsi="Times New Roman" w:cs="Times New Roman"/>
          <w:sz w:val="24"/>
          <w:szCs w:val="24"/>
          <w:lang w:val="en-US"/>
        </w:rPr>
        <w:t>, the reduction in macroeconomic uncertainty which lessened the need for precautionary reserves and boosted borrowing and increased expected future income (</w:t>
      </w:r>
      <w:proofErr w:type="spellStart"/>
      <w:r w:rsidR="00B44DF9">
        <w:rPr>
          <w:rFonts w:ascii="Times New Roman" w:hAnsi="Times New Roman" w:cs="Times New Roman"/>
          <w:sz w:val="24"/>
          <w:szCs w:val="24"/>
          <w:lang w:val="en-US"/>
        </w:rPr>
        <w:t>Debelle</w:t>
      </w:r>
      <w:proofErr w:type="spellEnd"/>
      <w:r w:rsidR="00B44DF9">
        <w:rPr>
          <w:rFonts w:ascii="Times New Roman" w:hAnsi="Times New Roman" w:cs="Times New Roman"/>
          <w:sz w:val="24"/>
          <w:szCs w:val="24"/>
          <w:lang w:val="en-US"/>
        </w:rPr>
        <w:t>, 2004), increases in house prices (</w:t>
      </w:r>
      <w:proofErr w:type="spellStart"/>
      <w:r w:rsidR="00DC5C23" w:rsidRPr="00DC5C23">
        <w:rPr>
          <w:rFonts w:ascii="Times New Roman" w:hAnsi="Times New Roman" w:cs="Times New Roman"/>
          <w:sz w:val="24"/>
          <w:szCs w:val="24"/>
          <w:lang w:val="en-US"/>
        </w:rPr>
        <w:t>Amromin</w:t>
      </w:r>
      <w:proofErr w:type="spellEnd"/>
      <w:r w:rsidR="00DC5C23">
        <w:rPr>
          <w:rFonts w:ascii="Times New Roman" w:hAnsi="Times New Roman" w:cs="Times New Roman"/>
          <w:sz w:val="24"/>
          <w:szCs w:val="24"/>
          <w:lang w:val="en-US"/>
        </w:rPr>
        <w:t xml:space="preserve"> et al.</w:t>
      </w:r>
      <w:r w:rsidR="00B44DF9">
        <w:rPr>
          <w:rFonts w:ascii="Times New Roman" w:hAnsi="Times New Roman" w:cs="Times New Roman"/>
          <w:sz w:val="24"/>
          <w:szCs w:val="24"/>
          <w:lang w:val="en-US"/>
        </w:rPr>
        <w:t>, 200</w:t>
      </w:r>
      <w:r w:rsidR="00DC5C23">
        <w:rPr>
          <w:rFonts w:ascii="Times New Roman" w:hAnsi="Times New Roman" w:cs="Times New Roman"/>
          <w:sz w:val="24"/>
          <w:szCs w:val="24"/>
          <w:lang w:val="en-US"/>
        </w:rPr>
        <w:t>7</w:t>
      </w:r>
      <w:r w:rsidR="00B44DF9">
        <w:rPr>
          <w:rFonts w:ascii="Times New Roman" w:hAnsi="Times New Roman" w:cs="Times New Roman"/>
          <w:sz w:val="24"/>
          <w:szCs w:val="24"/>
          <w:lang w:val="en-US"/>
        </w:rPr>
        <w:t>), and changes in demographics (e.g., increases in educational attainment and increases in the share of young people in the population),</w:t>
      </w:r>
      <w:r w:rsidR="00B53693">
        <w:rPr>
          <w:rFonts w:ascii="Times New Roman" w:hAnsi="Times New Roman" w:cs="Times New Roman"/>
          <w:sz w:val="24"/>
          <w:szCs w:val="24"/>
          <w:lang w:val="en-US"/>
        </w:rPr>
        <w:t xml:space="preserve"> that boosted aggregate debt (</w:t>
      </w:r>
      <w:proofErr w:type="spellStart"/>
      <w:r w:rsidR="00B53693">
        <w:rPr>
          <w:rFonts w:ascii="Times New Roman" w:hAnsi="Times New Roman" w:cs="Times New Roman"/>
          <w:sz w:val="24"/>
          <w:szCs w:val="24"/>
          <w:lang w:val="en-US"/>
        </w:rPr>
        <w:t>Dynan</w:t>
      </w:r>
      <w:proofErr w:type="spellEnd"/>
      <w:r w:rsidR="00B53693">
        <w:rPr>
          <w:rFonts w:ascii="Times New Roman" w:hAnsi="Times New Roman" w:cs="Times New Roman"/>
          <w:sz w:val="24"/>
          <w:szCs w:val="24"/>
          <w:lang w:val="en-US"/>
        </w:rPr>
        <w:t xml:space="preserve"> and Kohn, 2007</w:t>
      </w:r>
      <w:r w:rsidR="00B44DF9">
        <w:rPr>
          <w:rFonts w:ascii="Times New Roman" w:hAnsi="Times New Roman" w:cs="Times New Roman"/>
          <w:sz w:val="24"/>
          <w:szCs w:val="24"/>
          <w:lang w:val="en-US"/>
        </w:rPr>
        <w:t>).</w:t>
      </w:r>
      <w:r w:rsidR="00FB51DB">
        <w:rPr>
          <w:rFonts w:ascii="Times New Roman" w:hAnsi="Times New Roman" w:cs="Times New Roman"/>
          <w:sz w:val="24"/>
          <w:szCs w:val="24"/>
          <w:lang w:val="en-US"/>
        </w:rPr>
        <w:t xml:space="preserve"> The new findings</w:t>
      </w:r>
      <w:r w:rsidR="00FD5530">
        <w:rPr>
          <w:rFonts w:ascii="Times New Roman" w:hAnsi="Times New Roman" w:cs="Times New Roman"/>
          <w:sz w:val="24"/>
          <w:szCs w:val="24"/>
          <w:lang w:val="en-US"/>
        </w:rPr>
        <w:t xml:space="preserve"> (after considering a dummy variable that takes one across all quarters in 2001 and zero otherwise)</w:t>
      </w:r>
      <w:r w:rsidR="00FB51DB">
        <w:rPr>
          <w:rFonts w:ascii="Times New Roman" w:hAnsi="Times New Roman" w:cs="Times New Roman"/>
          <w:sz w:val="24"/>
          <w:szCs w:val="24"/>
          <w:lang w:val="en-US"/>
        </w:rPr>
        <w:t xml:space="preserve">, reported in Table 4, clearly display that </w:t>
      </w:r>
      <w:r w:rsidR="00FB51DB" w:rsidRPr="00A024A4">
        <w:rPr>
          <w:rFonts w:ascii="Times New Roman" w:hAnsi="Times New Roman" w:cs="Times New Roman"/>
          <w:sz w:val="24"/>
          <w:szCs w:val="24"/>
          <w:lang w:val="en-US"/>
        </w:rPr>
        <w:t>the 200</w:t>
      </w:r>
      <w:r w:rsidR="00FB51DB">
        <w:rPr>
          <w:rFonts w:ascii="Times New Roman" w:hAnsi="Times New Roman" w:cs="Times New Roman"/>
          <w:sz w:val="24"/>
          <w:szCs w:val="24"/>
          <w:lang w:val="en-US"/>
        </w:rPr>
        <w:t>1</w:t>
      </w:r>
      <w:r w:rsidR="00FB51DB" w:rsidRPr="00A024A4">
        <w:rPr>
          <w:rFonts w:ascii="Times New Roman" w:hAnsi="Times New Roman" w:cs="Times New Roman"/>
          <w:sz w:val="24"/>
          <w:szCs w:val="24"/>
          <w:lang w:val="en-US"/>
        </w:rPr>
        <w:t xml:space="preserve"> </w:t>
      </w:r>
      <w:r w:rsidR="00FB51DB">
        <w:rPr>
          <w:rFonts w:ascii="Times New Roman" w:hAnsi="Times New Roman" w:cs="Times New Roman"/>
          <w:sz w:val="24"/>
          <w:szCs w:val="24"/>
          <w:lang w:val="en-US"/>
        </w:rPr>
        <w:t>event</w:t>
      </w:r>
      <w:r w:rsidR="00FB51DB" w:rsidRPr="00A024A4">
        <w:rPr>
          <w:rFonts w:ascii="Times New Roman" w:hAnsi="Times New Roman" w:cs="Times New Roman"/>
          <w:sz w:val="24"/>
          <w:szCs w:val="24"/>
          <w:lang w:val="en-US"/>
        </w:rPr>
        <w:t xml:space="preserve"> has had a </w:t>
      </w:r>
      <w:r w:rsidR="00FB51DB">
        <w:rPr>
          <w:rFonts w:ascii="Times New Roman" w:hAnsi="Times New Roman" w:cs="Times New Roman"/>
          <w:sz w:val="24"/>
          <w:szCs w:val="24"/>
          <w:lang w:val="en-US"/>
        </w:rPr>
        <w:t xml:space="preserve">positive </w:t>
      </w:r>
      <w:r w:rsidR="00FB51DB" w:rsidRPr="00A024A4">
        <w:rPr>
          <w:rFonts w:ascii="Times New Roman" w:hAnsi="Times New Roman" w:cs="Times New Roman"/>
          <w:sz w:val="24"/>
          <w:szCs w:val="24"/>
          <w:lang w:val="en-US"/>
        </w:rPr>
        <w:t>i</w:t>
      </w:r>
      <w:r w:rsidR="00FB51DB">
        <w:rPr>
          <w:rFonts w:ascii="Times New Roman" w:hAnsi="Times New Roman" w:cs="Times New Roman"/>
          <w:sz w:val="24"/>
          <w:szCs w:val="24"/>
          <w:lang w:val="en-US"/>
        </w:rPr>
        <w:t xml:space="preserve">mpact on consumption expenses, while </w:t>
      </w:r>
      <w:r w:rsidR="00FB51DB" w:rsidRPr="00262F8D">
        <w:rPr>
          <w:rFonts w:ascii="Times New Roman" w:hAnsi="Times New Roman" w:cs="Times New Roman"/>
          <w:sz w:val="24"/>
          <w:szCs w:val="24"/>
          <w:lang w:val="en-US"/>
        </w:rPr>
        <w:t xml:space="preserve">the </w:t>
      </w:r>
      <w:r w:rsidR="00FB51DB">
        <w:rPr>
          <w:rFonts w:ascii="Times New Roman" w:hAnsi="Times New Roman" w:cs="Times New Roman"/>
          <w:sz w:val="24"/>
          <w:szCs w:val="24"/>
          <w:lang w:val="en-US"/>
        </w:rPr>
        <w:t>debt-service ratio also exerts a positive effect on consumption</w:t>
      </w:r>
      <w:r w:rsidR="00FB51DB" w:rsidRPr="00262F8D">
        <w:rPr>
          <w:rFonts w:ascii="Times New Roman" w:hAnsi="Times New Roman" w:cs="Times New Roman"/>
          <w:sz w:val="24"/>
          <w:szCs w:val="24"/>
          <w:lang w:val="en-US"/>
        </w:rPr>
        <w:t xml:space="preserve">. These findings </w:t>
      </w:r>
      <w:r w:rsidR="00FB51DB">
        <w:rPr>
          <w:rFonts w:ascii="Times New Roman" w:hAnsi="Times New Roman" w:cs="Times New Roman"/>
          <w:sz w:val="24"/>
          <w:szCs w:val="24"/>
          <w:lang w:val="en-US"/>
        </w:rPr>
        <w:t>provide strong support to all the factors mentioned above that contributed and justified the substantial debt undertaken by households in the early 2000s.</w:t>
      </w:r>
      <w:r w:rsidR="00FB51DB" w:rsidRPr="00262F8D">
        <w:rPr>
          <w:rFonts w:ascii="Times New Roman" w:hAnsi="Times New Roman" w:cs="Times New Roman"/>
          <w:sz w:val="24"/>
          <w:szCs w:val="24"/>
          <w:lang w:val="en-US"/>
        </w:rPr>
        <w:t xml:space="preserve"> </w:t>
      </w:r>
      <w:r w:rsidR="004C6B06">
        <w:rPr>
          <w:rFonts w:ascii="Times New Roman" w:hAnsi="Times New Roman" w:cs="Times New Roman"/>
          <w:sz w:val="24"/>
          <w:szCs w:val="24"/>
          <w:lang w:val="en-US"/>
        </w:rPr>
        <w:t>Once again</w:t>
      </w:r>
      <w:r w:rsidR="00FB51DB" w:rsidRPr="00262F8D">
        <w:rPr>
          <w:rFonts w:ascii="Times New Roman" w:hAnsi="Times New Roman" w:cs="Times New Roman"/>
          <w:sz w:val="24"/>
          <w:szCs w:val="24"/>
          <w:lang w:val="en-US"/>
        </w:rPr>
        <w:t xml:space="preserve">, the positive sign </w:t>
      </w:r>
      <w:r w:rsidR="004C6B06">
        <w:rPr>
          <w:rFonts w:ascii="Times New Roman" w:hAnsi="Times New Roman" w:cs="Times New Roman"/>
          <w:sz w:val="24"/>
          <w:szCs w:val="24"/>
          <w:lang w:val="en-US"/>
        </w:rPr>
        <w:t xml:space="preserve">provides similar support to the role of </w:t>
      </w:r>
      <w:r w:rsidR="00FB51DB" w:rsidRPr="00262F8D">
        <w:rPr>
          <w:rFonts w:ascii="Times New Roman" w:hAnsi="Times New Roman" w:cs="Times New Roman"/>
          <w:sz w:val="24"/>
          <w:szCs w:val="24"/>
          <w:lang w:val="en-US"/>
        </w:rPr>
        <w:t xml:space="preserve">the interest rates, the expectations of future income and the relaxation of liquidity constraints mechanisms driving the course of the debt-service ratio. </w:t>
      </w:r>
      <w:r w:rsidR="00FB51DB">
        <w:rPr>
          <w:rFonts w:ascii="Times New Roman" w:hAnsi="Times New Roman" w:cs="Times New Roman"/>
          <w:sz w:val="24"/>
          <w:szCs w:val="24"/>
          <w:lang w:val="en-US"/>
        </w:rPr>
        <w:t>F</w:t>
      </w:r>
      <w:r w:rsidR="00FB51DB" w:rsidRPr="00B50A10">
        <w:rPr>
          <w:rFonts w:ascii="Times New Roman" w:hAnsi="Times New Roman" w:cs="Times New Roman"/>
          <w:sz w:val="24"/>
          <w:szCs w:val="24"/>
          <w:lang w:val="en-US"/>
        </w:rPr>
        <w:t xml:space="preserve">inally, the relevant diagnostics </w:t>
      </w:r>
      <w:r w:rsidR="004C6B06">
        <w:rPr>
          <w:rFonts w:ascii="Times New Roman" w:hAnsi="Times New Roman" w:cs="Times New Roman"/>
          <w:sz w:val="24"/>
          <w:szCs w:val="24"/>
          <w:lang w:val="en-US"/>
        </w:rPr>
        <w:t xml:space="preserve">provide similar support to the statistical adequacy of the estimates. </w:t>
      </w:r>
    </w:p>
    <w:p w:rsidR="00FB51DB" w:rsidRPr="00433DF3" w:rsidRDefault="00FB51DB" w:rsidP="00FB51DB">
      <w:pPr>
        <w:spacing w:line="480" w:lineRule="auto"/>
        <w:jc w:val="center"/>
        <w:rPr>
          <w:rFonts w:ascii="Times New Roman" w:hAnsi="Times New Roman" w:cs="Times New Roman"/>
          <w:b/>
          <w:sz w:val="24"/>
          <w:szCs w:val="24"/>
          <w:lang w:val="en-US"/>
        </w:rPr>
      </w:pPr>
      <w:r w:rsidRPr="00433DF3">
        <w:rPr>
          <w:rFonts w:ascii="Times New Roman" w:hAnsi="Times New Roman" w:cs="Times New Roman"/>
          <w:b/>
          <w:sz w:val="24"/>
          <w:szCs w:val="24"/>
          <w:lang w:val="en-US"/>
        </w:rPr>
        <w:t xml:space="preserve"> [Insert Table </w:t>
      </w:r>
      <w:r w:rsidR="004C6B06">
        <w:rPr>
          <w:rFonts w:ascii="Times New Roman" w:hAnsi="Times New Roman" w:cs="Times New Roman"/>
          <w:b/>
          <w:sz w:val="24"/>
          <w:szCs w:val="24"/>
          <w:lang w:val="en-US"/>
        </w:rPr>
        <w:t>4</w:t>
      </w:r>
      <w:r w:rsidRPr="00433DF3">
        <w:rPr>
          <w:rFonts w:ascii="Times New Roman" w:hAnsi="Times New Roman" w:cs="Times New Roman"/>
          <w:b/>
          <w:sz w:val="24"/>
          <w:szCs w:val="24"/>
          <w:lang w:val="en-US"/>
        </w:rPr>
        <w:t xml:space="preserve"> about here]</w:t>
      </w:r>
    </w:p>
    <w:p w:rsidR="00193F75" w:rsidRPr="009905BE" w:rsidRDefault="009905BE" w:rsidP="009905BE">
      <w:pPr>
        <w:spacing w:line="480" w:lineRule="auto"/>
        <w:jc w:val="both"/>
        <w:rPr>
          <w:rFonts w:ascii="Times New Roman" w:hAnsi="Times New Roman" w:cs="Times New Roman"/>
          <w:sz w:val="24"/>
          <w:szCs w:val="24"/>
          <w:lang w:val="en-US"/>
        </w:rPr>
      </w:pPr>
      <w:r w:rsidRPr="009905BE">
        <w:rPr>
          <w:rFonts w:ascii="Times New Roman" w:hAnsi="Times New Roman" w:cs="Times New Roman"/>
          <w:sz w:val="24"/>
          <w:szCs w:val="24"/>
          <w:lang w:val="en-US"/>
        </w:rPr>
        <w:lastRenderedPageBreak/>
        <w:t>4</w:t>
      </w:r>
      <w:r w:rsidR="00720B80" w:rsidRPr="009905BE">
        <w:rPr>
          <w:rFonts w:ascii="Times New Roman" w:hAnsi="Times New Roman" w:cs="Times New Roman"/>
          <w:sz w:val="24"/>
          <w:szCs w:val="24"/>
          <w:lang w:val="en-US"/>
        </w:rPr>
        <w:t xml:space="preserve"> </w:t>
      </w:r>
      <w:r w:rsidR="00A8470F" w:rsidRPr="009905BE">
        <w:rPr>
          <w:rFonts w:ascii="Times New Roman" w:hAnsi="Times New Roman" w:cs="Times New Roman"/>
          <w:sz w:val="24"/>
          <w:szCs w:val="24"/>
          <w:lang w:val="en-US"/>
        </w:rPr>
        <w:t>R</w:t>
      </w:r>
      <w:r w:rsidRPr="009905BE">
        <w:rPr>
          <w:rFonts w:ascii="Times New Roman" w:hAnsi="Times New Roman" w:cs="Times New Roman"/>
          <w:sz w:val="24"/>
          <w:szCs w:val="24"/>
          <w:lang w:val="en-US"/>
        </w:rPr>
        <w:t>OBUSTNESS</w:t>
      </w:r>
      <w:r w:rsidR="00A8470F"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C</w:t>
      </w:r>
      <w:r w:rsidRPr="009905BE">
        <w:rPr>
          <w:rFonts w:ascii="Times New Roman" w:hAnsi="Times New Roman" w:cs="Times New Roman"/>
          <w:sz w:val="24"/>
          <w:szCs w:val="24"/>
          <w:lang w:val="en-US"/>
        </w:rPr>
        <w:t>HECK</w:t>
      </w:r>
      <w:r w:rsidR="00A8470F"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T</w:t>
      </w:r>
      <w:r w:rsidRPr="009905BE">
        <w:rPr>
          <w:rFonts w:ascii="Times New Roman" w:hAnsi="Times New Roman" w:cs="Times New Roman"/>
          <w:sz w:val="24"/>
          <w:szCs w:val="24"/>
          <w:lang w:val="en-US"/>
        </w:rPr>
        <w:t>HE</w:t>
      </w:r>
      <w:r w:rsidR="00A8470F"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R</w:t>
      </w:r>
      <w:r w:rsidRPr="009905BE">
        <w:rPr>
          <w:rFonts w:ascii="Times New Roman" w:hAnsi="Times New Roman" w:cs="Times New Roman"/>
          <w:sz w:val="24"/>
          <w:szCs w:val="24"/>
          <w:lang w:val="en-US"/>
        </w:rPr>
        <w:t>OLE</w:t>
      </w:r>
      <w:r w:rsidR="00736C3D" w:rsidRPr="009905BE">
        <w:rPr>
          <w:rFonts w:ascii="Times New Roman" w:hAnsi="Times New Roman" w:cs="Times New Roman"/>
          <w:sz w:val="24"/>
          <w:szCs w:val="24"/>
          <w:lang w:val="en-US"/>
        </w:rPr>
        <w:t xml:space="preserve"> </w:t>
      </w:r>
      <w:r w:rsidRPr="009905BE">
        <w:rPr>
          <w:rFonts w:ascii="Times New Roman" w:hAnsi="Times New Roman" w:cs="Times New Roman"/>
          <w:sz w:val="24"/>
          <w:szCs w:val="24"/>
          <w:lang w:val="en-US"/>
        </w:rPr>
        <w:t>OF</w:t>
      </w:r>
      <w:r w:rsidR="00A8470F"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C</w:t>
      </w:r>
      <w:r w:rsidRPr="009905BE">
        <w:rPr>
          <w:rFonts w:ascii="Times New Roman" w:hAnsi="Times New Roman" w:cs="Times New Roman"/>
          <w:sz w:val="24"/>
          <w:szCs w:val="24"/>
          <w:lang w:val="en-US"/>
        </w:rPr>
        <w:t>ONSUMER</w:t>
      </w:r>
      <w:r w:rsidR="00A8470F"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C</w:t>
      </w:r>
      <w:r w:rsidRPr="009905BE">
        <w:rPr>
          <w:rFonts w:ascii="Times New Roman" w:hAnsi="Times New Roman" w:cs="Times New Roman"/>
          <w:sz w:val="24"/>
          <w:szCs w:val="24"/>
          <w:lang w:val="en-US"/>
        </w:rPr>
        <w:t>REDIT</w:t>
      </w:r>
      <w:r w:rsidR="00736C3D" w:rsidRPr="009905BE">
        <w:rPr>
          <w:rFonts w:ascii="Times New Roman" w:hAnsi="Times New Roman" w:cs="Times New Roman"/>
          <w:sz w:val="24"/>
          <w:szCs w:val="24"/>
          <w:lang w:val="en-US"/>
        </w:rPr>
        <w:t xml:space="preserve"> </w:t>
      </w:r>
      <w:r w:rsidRPr="009905BE">
        <w:rPr>
          <w:rFonts w:ascii="Times New Roman" w:hAnsi="Times New Roman" w:cs="Times New Roman"/>
          <w:sz w:val="24"/>
          <w:szCs w:val="24"/>
          <w:lang w:val="en-US"/>
        </w:rPr>
        <w:t>AND</w:t>
      </w:r>
      <w:r w:rsidR="00736C3D"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M</w:t>
      </w:r>
      <w:r w:rsidRPr="009905BE">
        <w:rPr>
          <w:rFonts w:ascii="Times New Roman" w:hAnsi="Times New Roman" w:cs="Times New Roman"/>
          <w:sz w:val="24"/>
          <w:szCs w:val="24"/>
          <w:lang w:val="en-US"/>
        </w:rPr>
        <w:t>ORTGAGE</w:t>
      </w:r>
      <w:r w:rsidR="00A8470F"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D</w:t>
      </w:r>
      <w:r w:rsidRPr="009905BE">
        <w:rPr>
          <w:rFonts w:ascii="Times New Roman" w:hAnsi="Times New Roman" w:cs="Times New Roman"/>
          <w:sz w:val="24"/>
          <w:szCs w:val="24"/>
          <w:lang w:val="en-US"/>
        </w:rPr>
        <w:t>EBT</w:t>
      </w:r>
    </w:p>
    <w:p w:rsidR="00A8470F" w:rsidRDefault="00A8470F" w:rsidP="00DD642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Given that</w:t>
      </w:r>
      <w:r w:rsidRPr="00A8470F">
        <w:rPr>
          <w:rFonts w:ascii="Times New Roman" w:hAnsi="Times New Roman" w:cs="Times New Roman"/>
          <w:sz w:val="24"/>
          <w:szCs w:val="24"/>
          <w:lang w:val="en-US"/>
        </w:rPr>
        <w:t xml:space="preserve"> credit facilitates consumption, household spending</w:t>
      </w:r>
      <w:r>
        <w:rPr>
          <w:rFonts w:ascii="Times New Roman" w:hAnsi="Times New Roman" w:cs="Times New Roman"/>
          <w:sz w:val="24"/>
          <w:szCs w:val="24"/>
          <w:lang w:val="en-US"/>
        </w:rPr>
        <w:t xml:space="preserve"> </w:t>
      </w:r>
      <w:r w:rsidRPr="00A8470F">
        <w:rPr>
          <w:rFonts w:ascii="Times New Roman" w:hAnsi="Times New Roman" w:cs="Times New Roman"/>
          <w:sz w:val="24"/>
          <w:szCs w:val="24"/>
          <w:lang w:val="en-US"/>
        </w:rPr>
        <w:t>become</w:t>
      </w:r>
      <w:r>
        <w:rPr>
          <w:rFonts w:ascii="Times New Roman" w:hAnsi="Times New Roman" w:cs="Times New Roman"/>
          <w:sz w:val="24"/>
          <w:szCs w:val="24"/>
          <w:lang w:val="en-US"/>
        </w:rPr>
        <w:t>s</w:t>
      </w:r>
      <w:r w:rsidRPr="00A8470F">
        <w:rPr>
          <w:rFonts w:ascii="Times New Roman" w:hAnsi="Times New Roman" w:cs="Times New Roman"/>
          <w:sz w:val="24"/>
          <w:szCs w:val="24"/>
          <w:lang w:val="en-US"/>
        </w:rPr>
        <w:t xml:space="preserve"> disconnected</w:t>
      </w:r>
      <w:r>
        <w:rPr>
          <w:rFonts w:ascii="Times New Roman" w:hAnsi="Times New Roman" w:cs="Times New Roman"/>
          <w:sz w:val="24"/>
          <w:szCs w:val="24"/>
          <w:lang w:val="en-US"/>
        </w:rPr>
        <w:t xml:space="preserve"> </w:t>
      </w:r>
      <w:r w:rsidRPr="00A8470F">
        <w:rPr>
          <w:rFonts w:ascii="Times New Roman" w:hAnsi="Times New Roman" w:cs="Times New Roman"/>
          <w:sz w:val="24"/>
          <w:szCs w:val="24"/>
          <w:lang w:val="en-US"/>
        </w:rPr>
        <w:t>from household income</w:t>
      </w:r>
      <w:r>
        <w:rPr>
          <w:rFonts w:ascii="Times New Roman" w:hAnsi="Times New Roman" w:cs="Times New Roman"/>
          <w:sz w:val="24"/>
          <w:szCs w:val="24"/>
          <w:lang w:val="en-US"/>
        </w:rPr>
        <w:t>.</w:t>
      </w:r>
      <w:r w:rsidRPr="00A8470F">
        <w:rPr>
          <w:rFonts w:ascii="Times New Roman" w:hAnsi="Times New Roman" w:cs="Times New Roman"/>
          <w:sz w:val="24"/>
          <w:szCs w:val="24"/>
          <w:lang w:val="en-US"/>
        </w:rPr>
        <w:t xml:space="preserve"> In keeping with the insights of the relative</w:t>
      </w:r>
      <w:r>
        <w:rPr>
          <w:rFonts w:ascii="Times New Roman" w:hAnsi="Times New Roman" w:cs="Times New Roman"/>
          <w:sz w:val="24"/>
          <w:szCs w:val="24"/>
          <w:lang w:val="en-US"/>
        </w:rPr>
        <w:t xml:space="preserve"> </w:t>
      </w:r>
      <w:r w:rsidRPr="00A8470F">
        <w:rPr>
          <w:rFonts w:ascii="Times New Roman" w:hAnsi="Times New Roman" w:cs="Times New Roman"/>
          <w:sz w:val="24"/>
          <w:szCs w:val="24"/>
          <w:lang w:val="en-US"/>
        </w:rPr>
        <w:t>income hypothesis (</w:t>
      </w:r>
      <w:proofErr w:type="spellStart"/>
      <w:r w:rsidRPr="00A8470F">
        <w:rPr>
          <w:rFonts w:ascii="Times New Roman" w:hAnsi="Times New Roman" w:cs="Times New Roman"/>
          <w:sz w:val="24"/>
          <w:szCs w:val="24"/>
          <w:lang w:val="en-US"/>
        </w:rPr>
        <w:t>Duesenberry</w:t>
      </w:r>
      <w:proofErr w:type="spellEnd"/>
      <w:r w:rsidRPr="00A8470F">
        <w:rPr>
          <w:rFonts w:ascii="Times New Roman" w:hAnsi="Times New Roman" w:cs="Times New Roman"/>
          <w:sz w:val="24"/>
          <w:szCs w:val="24"/>
          <w:lang w:val="en-US"/>
        </w:rPr>
        <w:t>, 1949), one source of th</w:t>
      </w:r>
      <w:r>
        <w:rPr>
          <w:rFonts w:ascii="Times New Roman" w:hAnsi="Times New Roman" w:cs="Times New Roman"/>
          <w:sz w:val="24"/>
          <w:szCs w:val="24"/>
          <w:lang w:val="en-US"/>
        </w:rPr>
        <w:t>e</w:t>
      </w:r>
      <w:r w:rsidRPr="00A8470F">
        <w:rPr>
          <w:rFonts w:ascii="Times New Roman" w:hAnsi="Times New Roman" w:cs="Times New Roman"/>
          <w:sz w:val="24"/>
          <w:szCs w:val="24"/>
          <w:lang w:val="en-US"/>
        </w:rPr>
        <w:t xml:space="preserve"> disconnect</w:t>
      </w:r>
      <w:r>
        <w:rPr>
          <w:rFonts w:ascii="Times New Roman" w:hAnsi="Times New Roman" w:cs="Times New Roman"/>
          <w:sz w:val="24"/>
          <w:szCs w:val="24"/>
          <w:lang w:val="en-US"/>
        </w:rPr>
        <w:t>ion between consumption expenses and income</w:t>
      </w:r>
      <w:r w:rsidRPr="00A8470F">
        <w:rPr>
          <w:rFonts w:ascii="Times New Roman" w:hAnsi="Times New Roman" w:cs="Times New Roman"/>
          <w:sz w:val="24"/>
          <w:szCs w:val="24"/>
          <w:lang w:val="en-US"/>
        </w:rPr>
        <w:t xml:space="preserve"> is the propensity</w:t>
      </w:r>
      <w:r>
        <w:rPr>
          <w:rFonts w:ascii="Times New Roman" w:hAnsi="Times New Roman" w:cs="Times New Roman"/>
          <w:sz w:val="24"/>
          <w:szCs w:val="24"/>
          <w:lang w:val="en-US"/>
        </w:rPr>
        <w:t xml:space="preserve"> </w:t>
      </w:r>
      <w:r w:rsidRPr="00A8470F">
        <w:rPr>
          <w:rFonts w:ascii="Times New Roman" w:hAnsi="Times New Roman" w:cs="Times New Roman"/>
          <w:sz w:val="24"/>
          <w:szCs w:val="24"/>
          <w:lang w:val="en-US"/>
        </w:rPr>
        <w:t xml:space="preserve">of households to emulate contemporary standards of consumption established by others. </w:t>
      </w:r>
      <w:proofErr w:type="spellStart"/>
      <w:r w:rsidRPr="00A8470F">
        <w:rPr>
          <w:rFonts w:ascii="Times New Roman" w:hAnsi="Times New Roman" w:cs="Times New Roman"/>
          <w:sz w:val="24"/>
          <w:szCs w:val="24"/>
          <w:lang w:val="en-US"/>
        </w:rPr>
        <w:t>Cynamon</w:t>
      </w:r>
      <w:proofErr w:type="spellEnd"/>
      <w:r>
        <w:rPr>
          <w:rFonts w:ascii="Times New Roman" w:hAnsi="Times New Roman" w:cs="Times New Roman"/>
          <w:sz w:val="24"/>
          <w:szCs w:val="24"/>
          <w:lang w:val="en-US"/>
        </w:rPr>
        <w:t xml:space="preserve"> </w:t>
      </w:r>
      <w:r w:rsidRPr="00A8470F">
        <w:rPr>
          <w:rFonts w:ascii="Times New Roman" w:hAnsi="Times New Roman" w:cs="Times New Roman"/>
          <w:sz w:val="24"/>
          <w:szCs w:val="24"/>
          <w:lang w:val="en-US"/>
        </w:rPr>
        <w:t xml:space="preserve">and </w:t>
      </w:r>
      <w:proofErr w:type="spellStart"/>
      <w:r w:rsidRPr="00A8470F">
        <w:rPr>
          <w:rFonts w:ascii="Times New Roman" w:hAnsi="Times New Roman" w:cs="Times New Roman"/>
          <w:sz w:val="24"/>
          <w:szCs w:val="24"/>
          <w:lang w:val="en-US"/>
        </w:rPr>
        <w:t>Fazzari</w:t>
      </w:r>
      <w:proofErr w:type="spellEnd"/>
      <w:r w:rsidRPr="00A8470F">
        <w:rPr>
          <w:rFonts w:ascii="Times New Roman" w:hAnsi="Times New Roman" w:cs="Times New Roman"/>
          <w:sz w:val="24"/>
          <w:szCs w:val="24"/>
          <w:lang w:val="en-US"/>
        </w:rPr>
        <w:t xml:space="preserve"> (2008, 2013) provide a detailed explanation of this behavior</w:t>
      </w:r>
      <w:r>
        <w:rPr>
          <w:rFonts w:ascii="Times New Roman" w:hAnsi="Times New Roman" w:cs="Times New Roman"/>
          <w:sz w:val="24"/>
          <w:szCs w:val="24"/>
          <w:lang w:val="en-US"/>
        </w:rPr>
        <w:t xml:space="preserve"> </w:t>
      </w:r>
      <w:r w:rsidRPr="00A8470F">
        <w:rPr>
          <w:rFonts w:ascii="Times New Roman" w:hAnsi="Times New Roman" w:cs="Times New Roman"/>
          <w:sz w:val="24"/>
          <w:szCs w:val="24"/>
          <w:lang w:val="en-US"/>
        </w:rPr>
        <w:t xml:space="preserve">based on the </w:t>
      </w:r>
      <w:r>
        <w:rPr>
          <w:rFonts w:ascii="Times New Roman" w:hAnsi="Times New Roman" w:cs="Times New Roman"/>
          <w:sz w:val="24"/>
          <w:szCs w:val="24"/>
          <w:lang w:val="en-US"/>
        </w:rPr>
        <w:t>fact</w:t>
      </w:r>
      <w:r w:rsidRPr="00A8470F">
        <w:rPr>
          <w:rFonts w:ascii="Times New Roman" w:hAnsi="Times New Roman" w:cs="Times New Roman"/>
          <w:sz w:val="24"/>
          <w:szCs w:val="24"/>
          <w:lang w:val="en-US"/>
        </w:rPr>
        <w:t xml:space="preserve"> that consumer preferences endogenously evolve in a world of social cues.</w:t>
      </w:r>
      <w:r>
        <w:rPr>
          <w:rFonts w:ascii="Times New Roman" w:hAnsi="Times New Roman" w:cs="Times New Roman"/>
          <w:sz w:val="24"/>
          <w:szCs w:val="24"/>
          <w:lang w:val="en-US"/>
        </w:rPr>
        <w:t xml:space="preserve"> In that sense, </w:t>
      </w:r>
      <w:r w:rsidRPr="00A8470F">
        <w:rPr>
          <w:rFonts w:ascii="Times New Roman" w:hAnsi="Times New Roman" w:cs="Times New Roman"/>
          <w:sz w:val="24"/>
          <w:szCs w:val="24"/>
          <w:lang w:val="en-US"/>
        </w:rPr>
        <w:t>households use credit and debt to consume in excess</w:t>
      </w:r>
      <w:r>
        <w:rPr>
          <w:rFonts w:ascii="Times New Roman" w:hAnsi="Times New Roman" w:cs="Times New Roman"/>
          <w:sz w:val="24"/>
          <w:szCs w:val="24"/>
          <w:lang w:val="en-US"/>
        </w:rPr>
        <w:t xml:space="preserve"> </w:t>
      </w:r>
      <w:r w:rsidRPr="00A8470F">
        <w:rPr>
          <w:rFonts w:ascii="Times New Roman" w:hAnsi="Times New Roman" w:cs="Times New Roman"/>
          <w:sz w:val="24"/>
          <w:szCs w:val="24"/>
          <w:lang w:val="en-US"/>
        </w:rPr>
        <w:t>of what their current income and wealth allow, in the pursuit of consumption standards set</w:t>
      </w:r>
      <w:r>
        <w:rPr>
          <w:rFonts w:ascii="Times New Roman" w:hAnsi="Times New Roman" w:cs="Times New Roman"/>
          <w:sz w:val="24"/>
          <w:szCs w:val="24"/>
          <w:lang w:val="en-US"/>
        </w:rPr>
        <w:t xml:space="preserve"> </w:t>
      </w:r>
      <w:r w:rsidRPr="00A8470F">
        <w:rPr>
          <w:rFonts w:ascii="Times New Roman" w:hAnsi="Times New Roman" w:cs="Times New Roman"/>
          <w:sz w:val="24"/>
          <w:szCs w:val="24"/>
          <w:lang w:val="en-US"/>
        </w:rPr>
        <w:t>by other (wealthier) households.</w:t>
      </w:r>
      <w:r>
        <w:rPr>
          <w:rFonts w:ascii="Times New Roman" w:hAnsi="Times New Roman" w:cs="Times New Roman"/>
          <w:sz w:val="24"/>
          <w:szCs w:val="24"/>
          <w:lang w:val="en-US"/>
        </w:rPr>
        <w:t xml:space="preserve"> </w:t>
      </w:r>
    </w:p>
    <w:p w:rsidR="00F86D08" w:rsidRPr="00F86D08" w:rsidRDefault="009F40C0" w:rsidP="00F86D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As a result, </w:t>
      </w:r>
      <w:r w:rsidRPr="009F40C0">
        <w:rPr>
          <w:rFonts w:ascii="Times New Roman" w:hAnsi="Times New Roman" w:cs="Times New Roman"/>
          <w:sz w:val="24"/>
          <w:szCs w:val="24"/>
          <w:lang w:val="en-US"/>
        </w:rPr>
        <w:t xml:space="preserve">household </w:t>
      </w:r>
      <w:r>
        <w:rPr>
          <w:rFonts w:ascii="Times New Roman" w:hAnsi="Times New Roman" w:cs="Times New Roman"/>
          <w:sz w:val="24"/>
          <w:szCs w:val="24"/>
          <w:lang w:val="en-US"/>
        </w:rPr>
        <w:t xml:space="preserve">credit and </w:t>
      </w:r>
      <w:r w:rsidRPr="009F40C0">
        <w:rPr>
          <w:rFonts w:ascii="Times New Roman" w:hAnsi="Times New Roman" w:cs="Times New Roman"/>
          <w:sz w:val="24"/>
          <w:szCs w:val="24"/>
          <w:lang w:val="en-US"/>
        </w:rPr>
        <w:t xml:space="preserve">debt play a </w:t>
      </w:r>
      <w:r>
        <w:rPr>
          <w:rFonts w:ascii="Times New Roman" w:hAnsi="Times New Roman" w:cs="Times New Roman"/>
          <w:sz w:val="24"/>
          <w:szCs w:val="24"/>
          <w:lang w:val="en-US"/>
        </w:rPr>
        <w:t xml:space="preserve">substantial role in affecting </w:t>
      </w:r>
      <w:r w:rsidRPr="009F40C0">
        <w:rPr>
          <w:rFonts w:ascii="Times New Roman" w:hAnsi="Times New Roman" w:cs="Times New Roman"/>
          <w:sz w:val="24"/>
          <w:szCs w:val="24"/>
          <w:lang w:val="en-US"/>
        </w:rPr>
        <w:t>households’ ability to smooth out consumption</w:t>
      </w:r>
      <w:r>
        <w:rPr>
          <w:rFonts w:ascii="Times New Roman" w:hAnsi="Times New Roman" w:cs="Times New Roman"/>
          <w:sz w:val="24"/>
          <w:szCs w:val="24"/>
          <w:lang w:val="en-US"/>
        </w:rPr>
        <w:t xml:space="preserve">. Overall, there exist three </w:t>
      </w:r>
      <w:r w:rsidRPr="009F40C0">
        <w:rPr>
          <w:rFonts w:ascii="Times New Roman" w:hAnsi="Times New Roman" w:cs="Times New Roman"/>
          <w:sz w:val="24"/>
          <w:szCs w:val="24"/>
          <w:lang w:val="en-US"/>
        </w:rPr>
        <w:t xml:space="preserve">strands of </w:t>
      </w:r>
      <w:r>
        <w:rPr>
          <w:rFonts w:ascii="Times New Roman" w:hAnsi="Times New Roman" w:cs="Times New Roman"/>
          <w:sz w:val="24"/>
          <w:szCs w:val="24"/>
          <w:lang w:val="en-US"/>
        </w:rPr>
        <w:t xml:space="preserve">mechanisms that could potentially explain </w:t>
      </w:r>
      <w:r w:rsidRPr="009F40C0">
        <w:rPr>
          <w:rFonts w:ascii="Times New Roman" w:hAnsi="Times New Roman" w:cs="Times New Roman"/>
          <w:sz w:val="24"/>
          <w:szCs w:val="24"/>
          <w:lang w:val="en-US"/>
        </w:rPr>
        <w:t>the relationship between household</w:t>
      </w:r>
      <w:r>
        <w:rPr>
          <w:rFonts w:ascii="Times New Roman" w:hAnsi="Times New Roman" w:cs="Times New Roman"/>
          <w:sz w:val="24"/>
          <w:szCs w:val="24"/>
          <w:lang w:val="en-US"/>
        </w:rPr>
        <w:t xml:space="preserve"> </w:t>
      </w:r>
      <w:r w:rsidRPr="009F40C0">
        <w:rPr>
          <w:rFonts w:ascii="Times New Roman" w:hAnsi="Times New Roman" w:cs="Times New Roman"/>
          <w:sz w:val="24"/>
          <w:szCs w:val="24"/>
          <w:lang w:val="en-US"/>
        </w:rPr>
        <w:t xml:space="preserve">indebtedness and </w:t>
      </w:r>
      <w:r>
        <w:rPr>
          <w:rFonts w:ascii="Times New Roman" w:hAnsi="Times New Roman" w:cs="Times New Roman"/>
          <w:sz w:val="24"/>
          <w:szCs w:val="24"/>
          <w:lang w:val="en-US"/>
        </w:rPr>
        <w:t>consumption</w:t>
      </w:r>
      <w:r w:rsidRPr="009F40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86D08" w:rsidRPr="00F86D08">
        <w:rPr>
          <w:rFonts w:ascii="Times New Roman" w:hAnsi="Times New Roman" w:cs="Times New Roman"/>
          <w:sz w:val="24"/>
          <w:szCs w:val="24"/>
          <w:lang w:val="en-US"/>
        </w:rPr>
        <w:t xml:space="preserve">First, </w:t>
      </w:r>
      <w:proofErr w:type="spellStart"/>
      <w:r w:rsidR="00F86D08" w:rsidRPr="00F86D08">
        <w:rPr>
          <w:rFonts w:ascii="Times New Roman" w:hAnsi="Times New Roman" w:cs="Times New Roman"/>
          <w:sz w:val="24"/>
          <w:szCs w:val="24"/>
          <w:lang w:val="en-US"/>
        </w:rPr>
        <w:t>Schularick</w:t>
      </w:r>
      <w:proofErr w:type="spellEnd"/>
      <w:r w:rsidR="00F86D08" w:rsidRPr="00F86D08">
        <w:rPr>
          <w:rFonts w:ascii="Times New Roman" w:hAnsi="Times New Roman" w:cs="Times New Roman"/>
          <w:sz w:val="24"/>
          <w:szCs w:val="24"/>
          <w:lang w:val="en-US"/>
        </w:rPr>
        <w:t xml:space="preserve"> and Taylor (2012) and </w:t>
      </w:r>
      <w:proofErr w:type="spellStart"/>
      <w:r w:rsidR="00F86D08" w:rsidRPr="00F86D08">
        <w:rPr>
          <w:rFonts w:ascii="Times New Roman" w:hAnsi="Times New Roman" w:cs="Times New Roman"/>
          <w:sz w:val="24"/>
          <w:szCs w:val="24"/>
          <w:lang w:val="en-US"/>
        </w:rPr>
        <w:t>Jordà</w:t>
      </w:r>
      <w:proofErr w:type="spellEnd"/>
      <w:r w:rsidR="00F86D08" w:rsidRPr="00F86D08">
        <w:rPr>
          <w:rFonts w:ascii="Times New Roman" w:hAnsi="Times New Roman" w:cs="Times New Roman"/>
          <w:sz w:val="24"/>
          <w:szCs w:val="24"/>
          <w:lang w:val="en-US"/>
        </w:rPr>
        <w:t xml:space="preserve"> et al</w:t>
      </w:r>
      <w:r w:rsidR="00F86D08">
        <w:rPr>
          <w:rFonts w:ascii="Times New Roman" w:hAnsi="Times New Roman" w:cs="Times New Roman"/>
          <w:sz w:val="24"/>
          <w:szCs w:val="24"/>
          <w:lang w:val="en-US"/>
        </w:rPr>
        <w:t xml:space="preserve">. </w:t>
      </w:r>
      <w:r w:rsidR="00F86D08" w:rsidRPr="00F86D08">
        <w:rPr>
          <w:rFonts w:ascii="Times New Roman" w:hAnsi="Times New Roman" w:cs="Times New Roman"/>
          <w:sz w:val="24"/>
          <w:szCs w:val="24"/>
          <w:lang w:val="en-US"/>
        </w:rPr>
        <w:t>(2013, 2015</w:t>
      </w:r>
      <w:r w:rsidR="00F86D08">
        <w:rPr>
          <w:rFonts w:ascii="Times New Roman" w:hAnsi="Times New Roman" w:cs="Times New Roman"/>
          <w:sz w:val="24"/>
          <w:szCs w:val="24"/>
          <w:lang w:val="en-US"/>
        </w:rPr>
        <w:t>,</w:t>
      </w:r>
      <w:r w:rsidR="00F86D08" w:rsidRPr="00F86D08">
        <w:rPr>
          <w:rFonts w:ascii="Times New Roman" w:hAnsi="Times New Roman" w:cs="Times New Roman"/>
          <w:sz w:val="24"/>
          <w:szCs w:val="24"/>
          <w:lang w:val="en-US"/>
        </w:rPr>
        <w:t xml:space="preserve"> 2016) </w:t>
      </w:r>
      <w:r w:rsidR="00F86D08">
        <w:rPr>
          <w:rFonts w:ascii="Times New Roman" w:hAnsi="Times New Roman" w:cs="Times New Roman"/>
          <w:sz w:val="24"/>
          <w:szCs w:val="24"/>
          <w:lang w:val="en-US"/>
        </w:rPr>
        <w:t>document</w:t>
      </w:r>
      <w:r w:rsidR="00F86D08" w:rsidRPr="00F86D08">
        <w:rPr>
          <w:rFonts w:ascii="Times New Roman" w:hAnsi="Times New Roman" w:cs="Times New Roman"/>
          <w:sz w:val="24"/>
          <w:szCs w:val="24"/>
          <w:lang w:val="en-US"/>
        </w:rPr>
        <w:t xml:space="preserve"> that high debt </w:t>
      </w:r>
      <w:r w:rsidR="00F86D08">
        <w:rPr>
          <w:rFonts w:ascii="Times New Roman" w:hAnsi="Times New Roman" w:cs="Times New Roman"/>
          <w:sz w:val="24"/>
          <w:szCs w:val="24"/>
          <w:lang w:val="en-US"/>
        </w:rPr>
        <w:t>is</w:t>
      </w:r>
      <w:r w:rsidR="00F86D08" w:rsidRPr="00F86D08">
        <w:rPr>
          <w:rFonts w:ascii="Times New Roman" w:hAnsi="Times New Roman" w:cs="Times New Roman"/>
          <w:sz w:val="24"/>
          <w:szCs w:val="24"/>
          <w:lang w:val="en-US"/>
        </w:rPr>
        <w:t xml:space="preserve"> </w:t>
      </w:r>
      <w:r w:rsidR="00B50A10">
        <w:rPr>
          <w:rFonts w:ascii="Times New Roman" w:hAnsi="Times New Roman" w:cs="Times New Roman"/>
          <w:sz w:val="24"/>
          <w:szCs w:val="24"/>
          <w:lang w:val="en-US"/>
        </w:rPr>
        <w:t>the</w:t>
      </w:r>
      <w:r w:rsidR="00F86D08" w:rsidRPr="00F86D08">
        <w:rPr>
          <w:rFonts w:ascii="Times New Roman" w:hAnsi="Times New Roman" w:cs="Times New Roman"/>
          <w:sz w:val="24"/>
          <w:szCs w:val="24"/>
          <w:lang w:val="en-US"/>
        </w:rPr>
        <w:t xml:space="preserve"> key determinant of </w:t>
      </w:r>
      <w:r w:rsidR="00F86D08">
        <w:rPr>
          <w:rFonts w:ascii="Times New Roman" w:hAnsi="Times New Roman" w:cs="Times New Roman"/>
          <w:sz w:val="24"/>
          <w:szCs w:val="24"/>
          <w:lang w:val="en-US"/>
        </w:rPr>
        <w:t>both consumption and growth</w:t>
      </w:r>
      <w:r w:rsidR="00F41601">
        <w:rPr>
          <w:rFonts w:ascii="Times New Roman" w:hAnsi="Times New Roman" w:cs="Times New Roman"/>
          <w:sz w:val="24"/>
          <w:szCs w:val="24"/>
          <w:lang w:val="en-US"/>
        </w:rPr>
        <w:t>, while</w:t>
      </w:r>
      <w:r w:rsidR="00F86D08" w:rsidRPr="00F86D08">
        <w:rPr>
          <w:rFonts w:ascii="Times New Roman" w:hAnsi="Times New Roman" w:cs="Times New Roman"/>
          <w:sz w:val="24"/>
          <w:szCs w:val="24"/>
          <w:lang w:val="en-US"/>
        </w:rPr>
        <w:t xml:space="preserve"> </w:t>
      </w:r>
      <w:proofErr w:type="spellStart"/>
      <w:r w:rsidR="00F86D08" w:rsidRPr="00F86D08">
        <w:rPr>
          <w:rFonts w:ascii="Times New Roman" w:hAnsi="Times New Roman" w:cs="Times New Roman"/>
          <w:sz w:val="24"/>
          <w:szCs w:val="24"/>
          <w:lang w:val="en-US"/>
        </w:rPr>
        <w:t>Mian</w:t>
      </w:r>
      <w:proofErr w:type="spellEnd"/>
      <w:r w:rsidR="00F86D08" w:rsidRPr="00F86D08">
        <w:rPr>
          <w:rFonts w:ascii="Times New Roman" w:hAnsi="Times New Roman" w:cs="Times New Roman"/>
          <w:sz w:val="24"/>
          <w:szCs w:val="24"/>
          <w:lang w:val="en-US"/>
        </w:rPr>
        <w:t xml:space="preserve"> et al</w:t>
      </w:r>
      <w:r w:rsidR="00F86D08">
        <w:rPr>
          <w:rFonts w:ascii="Times New Roman" w:hAnsi="Times New Roman" w:cs="Times New Roman"/>
          <w:sz w:val="24"/>
          <w:szCs w:val="24"/>
          <w:lang w:val="en-US"/>
        </w:rPr>
        <w:t>.</w:t>
      </w:r>
      <w:r w:rsidR="00F86D08" w:rsidRPr="00F86D08">
        <w:rPr>
          <w:rFonts w:ascii="Times New Roman" w:hAnsi="Times New Roman" w:cs="Times New Roman"/>
          <w:sz w:val="24"/>
          <w:szCs w:val="24"/>
          <w:lang w:val="en-US"/>
        </w:rPr>
        <w:t xml:space="preserve"> (2015) suggest that </w:t>
      </w:r>
      <w:r w:rsidR="00F86D08">
        <w:rPr>
          <w:rFonts w:ascii="Times New Roman" w:hAnsi="Times New Roman" w:cs="Times New Roman"/>
          <w:sz w:val="24"/>
          <w:szCs w:val="24"/>
          <w:lang w:val="en-US"/>
        </w:rPr>
        <w:t xml:space="preserve">increased </w:t>
      </w:r>
      <w:r w:rsidR="00F86D08" w:rsidRPr="00F86D08">
        <w:rPr>
          <w:rFonts w:ascii="Times New Roman" w:hAnsi="Times New Roman" w:cs="Times New Roman"/>
          <w:sz w:val="24"/>
          <w:szCs w:val="24"/>
          <w:lang w:val="en-US"/>
        </w:rPr>
        <w:t>household</w:t>
      </w:r>
      <w:r w:rsidR="00F86D08">
        <w:rPr>
          <w:rFonts w:ascii="Times New Roman" w:hAnsi="Times New Roman" w:cs="Times New Roman"/>
          <w:sz w:val="24"/>
          <w:szCs w:val="24"/>
          <w:lang w:val="en-US"/>
        </w:rPr>
        <w:t xml:space="preserve"> </w:t>
      </w:r>
      <w:r w:rsidR="00F86D08" w:rsidRPr="00F86D08">
        <w:rPr>
          <w:rFonts w:ascii="Times New Roman" w:hAnsi="Times New Roman" w:cs="Times New Roman"/>
          <w:sz w:val="24"/>
          <w:szCs w:val="24"/>
          <w:lang w:val="en-US"/>
        </w:rPr>
        <w:t>debt-to-GDP ratio</w:t>
      </w:r>
      <w:r w:rsidR="00F41601">
        <w:rPr>
          <w:rFonts w:ascii="Times New Roman" w:hAnsi="Times New Roman" w:cs="Times New Roman"/>
          <w:sz w:val="24"/>
          <w:szCs w:val="24"/>
          <w:lang w:val="en-US"/>
        </w:rPr>
        <w:t>s</w:t>
      </w:r>
      <w:r w:rsidR="00F86D08" w:rsidRPr="00F86D08">
        <w:rPr>
          <w:rFonts w:ascii="Times New Roman" w:hAnsi="Times New Roman" w:cs="Times New Roman"/>
          <w:sz w:val="24"/>
          <w:szCs w:val="24"/>
          <w:lang w:val="en-US"/>
        </w:rPr>
        <w:t xml:space="preserve"> reduce consumption across countries. </w:t>
      </w:r>
      <w:r w:rsidR="00F86D08">
        <w:rPr>
          <w:rFonts w:ascii="Times New Roman" w:hAnsi="Times New Roman" w:cs="Times New Roman"/>
          <w:sz w:val="24"/>
          <w:szCs w:val="24"/>
          <w:lang w:val="en-US"/>
        </w:rPr>
        <w:t xml:space="preserve">Second, studies </w:t>
      </w:r>
      <w:r w:rsidR="00F86D08" w:rsidRPr="00F86D08">
        <w:rPr>
          <w:rFonts w:ascii="Times New Roman" w:hAnsi="Times New Roman" w:cs="Times New Roman"/>
          <w:sz w:val="24"/>
          <w:szCs w:val="24"/>
          <w:lang w:val="en-US"/>
        </w:rPr>
        <w:t>focusing on</w:t>
      </w:r>
      <w:r w:rsidR="00F86D08">
        <w:rPr>
          <w:rFonts w:ascii="Times New Roman" w:hAnsi="Times New Roman" w:cs="Times New Roman"/>
          <w:sz w:val="24"/>
          <w:szCs w:val="24"/>
          <w:lang w:val="en-US"/>
        </w:rPr>
        <w:t xml:space="preserve"> </w:t>
      </w:r>
      <w:r w:rsidR="00F86D08" w:rsidRPr="00F86D08">
        <w:rPr>
          <w:rFonts w:ascii="Times New Roman" w:hAnsi="Times New Roman" w:cs="Times New Roman"/>
          <w:sz w:val="24"/>
          <w:szCs w:val="24"/>
          <w:lang w:val="en-US"/>
        </w:rPr>
        <w:t>the behavior of US households following the US housing bubble’s burst (</w:t>
      </w:r>
      <w:proofErr w:type="spellStart"/>
      <w:r w:rsidR="00F86D08" w:rsidRPr="00F86D08">
        <w:rPr>
          <w:rFonts w:ascii="Times New Roman" w:hAnsi="Times New Roman" w:cs="Times New Roman"/>
          <w:sz w:val="24"/>
          <w:szCs w:val="24"/>
          <w:lang w:val="en-US"/>
        </w:rPr>
        <w:t>Dynan</w:t>
      </w:r>
      <w:proofErr w:type="spellEnd"/>
      <w:r w:rsidR="00F86D08">
        <w:rPr>
          <w:rFonts w:ascii="Times New Roman" w:hAnsi="Times New Roman" w:cs="Times New Roman"/>
          <w:sz w:val="24"/>
          <w:szCs w:val="24"/>
          <w:lang w:val="en-US"/>
        </w:rPr>
        <w:t>,</w:t>
      </w:r>
      <w:r w:rsidR="00F86D08" w:rsidRPr="00F86D08">
        <w:rPr>
          <w:rFonts w:ascii="Times New Roman" w:hAnsi="Times New Roman" w:cs="Times New Roman"/>
          <w:sz w:val="24"/>
          <w:szCs w:val="24"/>
          <w:lang w:val="en-US"/>
        </w:rPr>
        <w:t xml:space="preserve"> 2012</w:t>
      </w:r>
      <w:r w:rsidR="00F86D08">
        <w:rPr>
          <w:rFonts w:ascii="Times New Roman" w:hAnsi="Times New Roman" w:cs="Times New Roman"/>
          <w:sz w:val="24"/>
          <w:szCs w:val="24"/>
          <w:lang w:val="en-US"/>
        </w:rPr>
        <w:t>;</w:t>
      </w:r>
      <w:r w:rsidR="00F86D08" w:rsidRPr="00F86D08">
        <w:rPr>
          <w:rFonts w:ascii="Times New Roman" w:hAnsi="Times New Roman" w:cs="Times New Roman"/>
          <w:sz w:val="24"/>
          <w:szCs w:val="24"/>
          <w:lang w:val="en-US"/>
        </w:rPr>
        <w:t xml:space="preserve"> </w:t>
      </w:r>
      <w:proofErr w:type="spellStart"/>
      <w:r w:rsidR="00F86D08" w:rsidRPr="00F86D08">
        <w:rPr>
          <w:rFonts w:ascii="Times New Roman" w:hAnsi="Times New Roman" w:cs="Times New Roman"/>
          <w:sz w:val="24"/>
          <w:szCs w:val="24"/>
          <w:lang w:val="en-US"/>
        </w:rPr>
        <w:t>Mian</w:t>
      </w:r>
      <w:proofErr w:type="spellEnd"/>
      <w:r w:rsidR="00F86D08" w:rsidRPr="00F86D08">
        <w:rPr>
          <w:rFonts w:ascii="Times New Roman" w:hAnsi="Times New Roman" w:cs="Times New Roman"/>
          <w:sz w:val="24"/>
          <w:szCs w:val="24"/>
          <w:lang w:val="en-US"/>
        </w:rPr>
        <w:t xml:space="preserve"> et al</w:t>
      </w:r>
      <w:r w:rsidR="00F86D08">
        <w:rPr>
          <w:rFonts w:ascii="Times New Roman" w:hAnsi="Times New Roman" w:cs="Times New Roman"/>
          <w:sz w:val="24"/>
          <w:szCs w:val="24"/>
          <w:lang w:val="en-US"/>
        </w:rPr>
        <w:t>.</w:t>
      </w:r>
      <w:r w:rsidR="00F86D08" w:rsidRPr="00F86D08">
        <w:rPr>
          <w:rFonts w:ascii="Times New Roman" w:hAnsi="Times New Roman" w:cs="Times New Roman"/>
          <w:sz w:val="24"/>
          <w:szCs w:val="24"/>
          <w:lang w:val="en-US"/>
        </w:rPr>
        <w:t xml:space="preserve"> 2013)</w:t>
      </w:r>
      <w:r w:rsidR="00F86D08">
        <w:rPr>
          <w:rFonts w:ascii="Times New Roman" w:hAnsi="Times New Roman" w:cs="Times New Roman"/>
          <w:sz w:val="24"/>
          <w:szCs w:val="24"/>
          <w:lang w:val="en-US"/>
        </w:rPr>
        <w:t xml:space="preserve"> </w:t>
      </w:r>
      <w:r w:rsidR="00F86D08" w:rsidRPr="00F86D08">
        <w:rPr>
          <w:rFonts w:ascii="Times New Roman" w:hAnsi="Times New Roman" w:cs="Times New Roman"/>
          <w:sz w:val="24"/>
          <w:szCs w:val="24"/>
          <w:lang w:val="en-US"/>
        </w:rPr>
        <w:t>show that the financial</w:t>
      </w:r>
      <w:r w:rsidR="00F86D08">
        <w:rPr>
          <w:rFonts w:ascii="Times New Roman" w:hAnsi="Times New Roman" w:cs="Times New Roman"/>
          <w:sz w:val="24"/>
          <w:szCs w:val="24"/>
          <w:lang w:val="en-US"/>
        </w:rPr>
        <w:t xml:space="preserve"> </w:t>
      </w:r>
      <w:r w:rsidR="00F86D08" w:rsidRPr="00F86D08">
        <w:rPr>
          <w:rFonts w:ascii="Times New Roman" w:hAnsi="Times New Roman" w:cs="Times New Roman"/>
          <w:sz w:val="24"/>
          <w:szCs w:val="24"/>
          <w:lang w:val="en-US"/>
        </w:rPr>
        <w:t>exposure of households play</w:t>
      </w:r>
      <w:r w:rsidR="00F86D08">
        <w:rPr>
          <w:rFonts w:ascii="Times New Roman" w:hAnsi="Times New Roman" w:cs="Times New Roman"/>
          <w:sz w:val="24"/>
          <w:szCs w:val="24"/>
          <w:lang w:val="en-US"/>
        </w:rPr>
        <w:t>s</w:t>
      </w:r>
      <w:r w:rsidR="00F86D08" w:rsidRPr="00F86D08">
        <w:rPr>
          <w:rFonts w:ascii="Times New Roman" w:hAnsi="Times New Roman" w:cs="Times New Roman"/>
          <w:sz w:val="24"/>
          <w:szCs w:val="24"/>
          <w:lang w:val="en-US"/>
        </w:rPr>
        <w:t xml:space="preserve"> a</w:t>
      </w:r>
      <w:r w:rsidR="00F86D08">
        <w:rPr>
          <w:rFonts w:ascii="Times New Roman" w:hAnsi="Times New Roman" w:cs="Times New Roman"/>
          <w:sz w:val="24"/>
          <w:szCs w:val="24"/>
          <w:lang w:val="en-US"/>
        </w:rPr>
        <w:t xml:space="preserve"> </w:t>
      </w:r>
      <w:r w:rsidR="00F86D08" w:rsidRPr="00F86D08">
        <w:rPr>
          <w:rFonts w:ascii="Times New Roman" w:hAnsi="Times New Roman" w:cs="Times New Roman"/>
          <w:sz w:val="24"/>
          <w:szCs w:val="24"/>
          <w:lang w:val="en-US"/>
        </w:rPr>
        <w:t xml:space="preserve">central role in depressing US consumption. </w:t>
      </w:r>
      <w:r w:rsidR="00F86D08">
        <w:rPr>
          <w:rFonts w:ascii="Times New Roman" w:hAnsi="Times New Roman" w:cs="Times New Roman"/>
          <w:sz w:val="24"/>
          <w:szCs w:val="24"/>
          <w:lang w:val="en-US"/>
        </w:rPr>
        <w:t>Finally, further evidence comes</w:t>
      </w:r>
      <w:r w:rsidR="00F86D08" w:rsidRPr="00F86D08">
        <w:rPr>
          <w:rFonts w:ascii="Times New Roman" w:hAnsi="Times New Roman" w:cs="Times New Roman"/>
          <w:sz w:val="24"/>
          <w:szCs w:val="24"/>
          <w:lang w:val="en-US"/>
        </w:rPr>
        <w:t xml:space="preserve"> from papers highlighting the</w:t>
      </w:r>
      <w:r w:rsidR="00F86D08">
        <w:rPr>
          <w:rFonts w:ascii="Times New Roman" w:hAnsi="Times New Roman" w:cs="Times New Roman"/>
          <w:sz w:val="24"/>
          <w:szCs w:val="24"/>
          <w:lang w:val="en-US"/>
        </w:rPr>
        <w:t xml:space="preserve"> </w:t>
      </w:r>
      <w:r w:rsidR="00F86D08" w:rsidRPr="00F86D08">
        <w:rPr>
          <w:rFonts w:ascii="Times New Roman" w:hAnsi="Times New Roman" w:cs="Times New Roman"/>
          <w:sz w:val="24"/>
          <w:szCs w:val="24"/>
          <w:lang w:val="en-US"/>
        </w:rPr>
        <w:t>supply-side effects of debt (</w:t>
      </w:r>
      <w:proofErr w:type="spellStart"/>
      <w:r w:rsidR="00F86D08" w:rsidRPr="00F86D08">
        <w:rPr>
          <w:rFonts w:ascii="Times New Roman" w:hAnsi="Times New Roman" w:cs="Times New Roman"/>
          <w:sz w:val="24"/>
          <w:szCs w:val="24"/>
          <w:lang w:val="en-US"/>
        </w:rPr>
        <w:t>Cecchetti</w:t>
      </w:r>
      <w:proofErr w:type="spellEnd"/>
      <w:r w:rsidR="00F86D08" w:rsidRPr="00F86D08">
        <w:rPr>
          <w:rFonts w:ascii="Times New Roman" w:hAnsi="Times New Roman" w:cs="Times New Roman"/>
          <w:sz w:val="24"/>
          <w:szCs w:val="24"/>
          <w:lang w:val="en-US"/>
        </w:rPr>
        <w:t xml:space="preserve"> and </w:t>
      </w:r>
      <w:proofErr w:type="spellStart"/>
      <w:r w:rsidR="00F86D08" w:rsidRPr="00F86D08">
        <w:rPr>
          <w:rFonts w:ascii="Times New Roman" w:hAnsi="Times New Roman" w:cs="Times New Roman"/>
          <w:sz w:val="24"/>
          <w:szCs w:val="24"/>
          <w:lang w:val="en-US"/>
        </w:rPr>
        <w:t>Kharroubi</w:t>
      </w:r>
      <w:proofErr w:type="spellEnd"/>
      <w:r w:rsidR="00F86D08">
        <w:rPr>
          <w:rFonts w:ascii="Times New Roman" w:hAnsi="Times New Roman" w:cs="Times New Roman"/>
          <w:sz w:val="24"/>
          <w:szCs w:val="24"/>
          <w:lang w:val="en-US"/>
        </w:rPr>
        <w:t>,</w:t>
      </w:r>
      <w:r w:rsidR="00F86D08" w:rsidRPr="00F86D08">
        <w:rPr>
          <w:rFonts w:ascii="Times New Roman" w:hAnsi="Times New Roman" w:cs="Times New Roman"/>
          <w:sz w:val="24"/>
          <w:szCs w:val="24"/>
          <w:lang w:val="en-US"/>
        </w:rPr>
        <w:t xml:space="preserve"> 2015</w:t>
      </w:r>
      <w:r w:rsidR="00F86D08">
        <w:rPr>
          <w:rFonts w:ascii="Times New Roman" w:hAnsi="Times New Roman" w:cs="Times New Roman"/>
          <w:sz w:val="24"/>
          <w:szCs w:val="24"/>
          <w:lang w:val="en-US"/>
        </w:rPr>
        <w:t>;</w:t>
      </w:r>
      <w:r w:rsidR="00F86D08" w:rsidRPr="00F86D08">
        <w:rPr>
          <w:rFonts w:ascii="Times New Roman" w:hAnsi="Times New Roman" w:cs="Times New Roman"/>
          <w:sz w:val="24"/>
          <w:szCs w:val="24"/>
          <w:lang w:val="en-US"/>
        </w:rPr>
        <w:t xml:space="preserve"> </w:t>
      </w:r>
      <w:proofErr w:type="spellStart"/>
      <w:r w:rsidR="00F86D08" w:rsidRPr="00F86D08">
        <w:rPr>
          <w:rFonts w:ascii="Times New Roman" w:hAnsi="Times New Roman" w:cs="Times New Roman"/>
          <w:sz w:val="24"/>
          <w:szCs w:val="24"/>
          <w:lang w:val="en-US"/>
        </w:rPr>
        <w:t>Borio</w:t>
      </w:r>
      <w:proofErr w:type="spellEnd"/>
      <w:r w:rsidR="00F86D08" w:rsidRPr="00F86D08">
        <w:rPr>
          <w:rFonts w:ascii="Times New Roman" w:hAnsi="Times New Roman" w:cs="Times New Roman"/>
          <w:sz w:val="24"/>
          <w:szCs w:val="24"/>
          <w:lang w:val="en-US"/>
        </w:rPr>
        <w:t xml:space="preserve"> et al</w:t>
      </w:r>
      <w:r w:rsidR="00F86D08">
        <w:rPr>
          <w:rFonts w:ascii="Times New Roman" w:hAnsi="Times New Roman" w:cs="Times New Roman"/>
          <w:sz w:val="24"/>
          <w:szCs w:val="24"/>
          <w:lang w:val="en-US"/>
        </w:rPr>
        <w:t>.</w:t>
      </w:r>
      <w:r w:rsidR="00F86D08" w:rsidRPr="00F86D08">
        <w:rPr>
          <w:rFonts w:ascii="Times New Roman" w:hAnsi="Times New Roman" w:cs="Times New Roman"/>
          <w:sz w:val="24"/>
          <w:szCs w:val="24"/>
          <w:lang w:val="en-US"/>
        </w:rPr>
        <w:t xml:space="preserve"> 2016).</w:t>
      </w:r>
    </w:p>
    <w:p w:rsidR="00A8470F" w:rsidRDefault="00F86D08" w:rsidP="00303EF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Therefore, the new set of estimates repeats the baseline approach</w:t>
      </w:r>
      <w:r w:rsidR="004E4B65">
        <w:rPr>
          <w:rFonts w:ascii="Times New Roman" w:hAnsi="Times New Roman" w:cs="Times New Roman"/>
          <w:sz w:val="24"/>
          <w:szCs w:val="24"/>
          <w:lang w:val="en-US"/>
        </w:rPr>
        <w:t>, but this time it includes two additional variables, consumer credit and mortgage debt.</w:t>
      </w:r>
      <w:r w:rsidR="00303EF0">
        <w:rPr>
          <w:rFonts w:ascii="Times New Roman" w:hAnsi="Times New Roman" w:cs="Times New Roman"/>
          <w:sz w:val="24"/>
          <w:szCs w:val="24"/>
          <w:lang w:val="en-US"/>
        </w:rPr>
        <w:t xml:space="preserve"> By defining consumer credit as the l</w:t>
      </w:r>
      <w:r w:rsidR="00303EF0" w:rsidRPr="00303EF0">
        <w:rPr>
          <w:rFonts w:ascii="Times New Roman" w:hAnsi="Times New Roman" w:cs="Times New Roman"/>
          <w:sz w:val="24"/>
          <w:szCs w:val="24"/>
          <w:lang w:val="en-US"/>
        </w:rPr>
        <w:t>evel of consumer credit</w:t>
      </w:r>
      <w:r w:rsidR="00303EF0">
        <w:rPr>
          <w:rFonts w:ascii="Times New Roman" w:hAnsi="Times New Roman" w:cs="Times New Roman"/>
          <w:sz w:val="24"/>
          <w:szCs w:val="24"/>
          <w:lang w:val="en-US"/>
        </w:rPr>
        <w:t xml:space="preserve"> </w:t>
      </w:r>
      <w:r w:rsidR="00303EF0" w:rsidRPr="00303EF0">
        <w:rPr>
          <w:rFonts w:ascii="Times New Roman" w:hAnsi="Times New Roman" w:cs="Times New Roman"/>
          <w:sz w:val="24"/>
          <w:szCs w:val="24"/>
          <w:lang w:val="en-US"/>
        </w:rPr>
        <w:t>held by households and</w:t>
      </w:r>
      <w:r w:rsidR="00303EF0">
        <w:rPr>
          <w:rFonts w:ascii="Times New Roman" w:hAnsi="Times New Roman" w:cs="Times New Roman"/>
          <w:sz w:val="24"/>
          <w:szCs w:val="24"/>
          <w:lang w:val="en-US"/>
        </w:rPr>
        <w:t xml:space="preserve"> </w:t>
      </w:r>
      <w:r w:rsidR="00303EF0" w:rsidRPr="00303EF0">
        <w:rPr>
          <w:rFonts w:ascii="Times New Roman" w:hAnsi="Times New Roman" w:cs="Times New Roman"/>
          <w:sz w:val="24"/>
          <w:szCs w:val="24"/>
          <w:lang w:val="en-US"/>
        </w:rPr>
        <w:t>nonprofit organizations</w:t>
      </w:r>
      <w:r w:rsidR="00303EF0">
        <w:rPr>
          <w:rFonts w:ascii="Times New Roman" w:hAnsi="Times New Roman" w:cs="Times New Roman"/>
          <w:sz w:val="24"/>
          <w:szCs w:val="24"/>
          <w:lang w:val="en-US"/>
        </w:rPr>
        <w:t>, and the housing debt as the l</w:t>
      </w:r>
      <w:r w:rsidR="00303EF0" w:rsidRPr="00303EF0">
        <w:rPr>
          <w:rFonts w:ascii="Times New Roman" w:hAnsi="Times New Roman" w:cs="Times New Roman"/>
          <w:sz w:val="24"/>
          <w:szCs w:val="24"/>
          <w:lang w:val="en-US"/>
        </w:rPr>
        <w:t>evel of mortgages held by</w:t>
      </w:r>
      <w:r w:rsidR="00303EF0">
        <w:rPr>
          <w:rFonts w:ascii="Times New Roman" w:hAnsi="Times New Roman" w:cs="Times New Roman"/>
          <w:sz w:val="24"/>
          <w:szCs w:val="24"/>
          <w:lang w:val="en-US"/>
        </w:rPr>
        <w:t xml:space="preserve"> </w:t>
      </w:r>
      <w:r w:rsidR="00303EF0" w:rsidRPr="00303EF0">
        <w:rPr>
          <w:rFonts w:ascii="Times New Roman" w:hAnsi="Times New Roman" w:cs="Times New Roman"/>
          <w:sz w:val="24"/>
          <w:szCs w:val="24"/>
          <w:lang w:val="en-US"/>
        </w:rPr>
        <w:t>households and nonprofit</w:t>
      </w:r>
      <w:r w:rsidR="00303EF0">
        <w:rPr>
          <w:rFonts w:ascii="Times New Roman" w:hAnsi="Times New Roman" w:cs="Times New Roman"/>
          <w:sz w:val="24"/>
          <w:szCs w:val="24"/>
          <w:lang w:val="en-US"/>
        </w:rPr>
        <w:t xml:space="preserve"> </w:t>
      </w:r>
      <w:r w:rsidR="00303EF0" w:rsidRPr="00303EF0">
        <w:rPr>
          <w:rFonts w:ascii="Times New Roman" w:hAnsi="Times New Roman" w:cs="Times New Roman"/>
          <w:sz w:val="24"/>
          <w:szCs w:val="24"/>
          <w:lang w:val="en-US"/>
        </w:rPr>
        <w:t>organizations</w:t>
      </w:r>
      <w:r w:rsidR="00303EF0">
        <w:rPr>
          <w:rFonts w:ascii="Times New Roman" w:hAnsi="Times New Roman" w:cs="Times New Roman"/>
          <w:sz w:val="24"/>
          <w:szCs w:val="24"/>
          <w:lang w:val="en-US"/>
        </w:rPr>
        <w:t>, with data being obtained from the International Financial Statistics of the IMF database, we rerun the baseli</w:t>
      </w:r>
      <w:r w:rsidR="00F41601">
        <w:rPr>
          <w:rFonts w:ascii="Times New Roman" w:hAnsi="Times New Roman" w:cs="Times New Roman"/>
          <w:sz w:val="24"/>
          <w:szCs w:val="24"/>
          <w:lang w:val="en-US"/>
        </w:rPr>
        <w:t>ne modeling specifications of (7</w:t>
      </w:r>
      <w:r w:rsidR="00303EF0">
        <w:rPr>
          <w:rFonts w:ascii="Times New Roman" w:hAnsi="Times New Roman" w:cs="Times New Roman"/>
          <w:sz w:val="24"/>
          <w:szCs w:val="24"/>
          <w:lang w:val="en-US"/>
        </w:rPr>
        <w:t xml:space="preserve">) and the new results are reported in Table </w:t>
      </w:r>
      <w:r w:rsidR="00DE4E57">
        <w:rPr>
          <w:rFonts w:ascii="Times New Roman" w:hAnsi="Times New Roman" w:cs="Times New Roman"/>
          <w:sz w:val="24"/>
          <w:szCs w:val="24"/>
          <w:lang w:val="en-US"/>
        </w:rPr>
        <w:t>5</w:t>
      </w:r>
      <w:r w:rsidR="00303EF0">
        <w:rPr>
          <w:rFonts w:ascii="Times New Roman" w:hAnsi="Times New Roman" w:cs="Times New Roman"/>
          <w:sz w:val="24"/>
          <w:szCs w:val="24"/>
          <w:lang w:val="en-US"/>
        </w:rPr>
        <w:t>.</w:t>
      </w:r>
      <w:r w:rsidR="007C0B60">
        <w:rPr>
          <w:rFonts w:ascii="Times New Roman" w:hAnsi="Times New Roman" w:cs="Times New Roman"/>
          <w:sz w:val="24"/>
          <w:szCs w:val="24"/>
          <w:lang w:val="en-US"/>
        </w:rPr>
        <w:t xml:space="preserve"> The new findings indicate that the impact of both consumer credit and housing debt is positive and statistically significant. In </w:t>
      </w:r>
      <w:r w:rsidR="00602AF4">
        <w:rPr>
          <w:rFonts w:ascii="Times New Roman" w:hAnsi="Times New Roman" w:cs="Times New Roman"/>
          <w:sz w:val="24"/>
          <w:szCs w:val="24"/>
          <w:lang w:val="en-US"/>
        </w:rPr>
        <w:t>relevance to</w:t>
      </w:r>
      <w:r w:rsidR="0059151B">
        <w:rPr>
          <w:rFonts w:ascii="Times New Roman" w:hAnsi="Times New Roman" w:cs="Times New Roman"/>
          <w:sz w:val="24"/>
          <w:szCs w:val="24"/>
          <w:lang w:val="en-US"/>
        </w:rPr>
        <w:t xml:space="preserve"> the debt-</w:t>
      </w:r>
      <w:r w:rsidR="007C0B60">
        <w:rPr>
          <w:rFonts w:ascii="Times New Roman" w:hAnsi="Times New Roman" w:cs="Times New Roman"/>
          <w:sz w:val="24"/>
          <w:szCs w:val="24"/>
          <w:lang w:val="en-US"/>
        </w:rPr>
        <w:t>servic</w:t>
      </w:r>
      <w:r w:rsidR="0059151B">
        <w:rPr>
          <w:rFonts w:ascii="Times New Roman" w:hAnsi="Times New Roman" w:cs="Times New Roman"/>
          <w:sz w:val="24"/>
          <w:szCs w:val="24"/>
          <w:lang w:val="en-US"/>
        </w:rPr>
        <w:t>e</w:t>
      </w:r>
      <w:r w:rsidR="007C0B60">
        <w:rPr>
          <w:rFonts w:ascii="Times New Roman" w:hAnsi="Times New Roman" w:cs="Times New Roman"/>
          <w:sz w:val="24"/>
          <w:szCs w:val="24"/>
          <w:lang w:val="en-US"/>
        </w:rPr>
        <w:t xml:space="preserve"> </w:t>
      </w:r>
      <w:r w:rsidR="007A4C74">
        <w:rPr>
          <w:rFonts w:ascii="Times New Roman" w:hAnsi="Times New Roman" w:cs="Times New Roman"/>
          <w:sz w:val="24"/>
          <w:szCs w:val="24"/>
          <w:lang w:val="en-US"/>
        </w:rPr>
        <w:t>ratio</w:t>
      </w:r>
      <w:r w:rsidR="007C0B60">
        <w:rPr>
          <w:rFonts w:ascii="Times New Roman" w:hAnsi="Times New Roman" w:cs="Times New Roman"/>
          <w:sz w:val="24"/>
          <w:szCs w:val="24"/>
          <w:lang w:val="en-US"/>
        </w:rPr>
        <w:t xml:space="preserve">, the estimates are similar to those </w:t>
      </w:r>
      <w:r w:rsidR="00F41601">
        <w:rPr>
          <w:rFonts w:ascii="Times New Roman" w:hAnsi="Times New Roman" w:cs="Times New Roman"/>
          <w:sz w:val="24"/>
          <w:szCs w:val="24"/>
          <w:lang w:val="en-US"/>
        </w:rPr>
        <w:t>reported</w:t>
      </w:r>
      <w:r w:rsidR="007C0B60">
        <w:rPr>
          <w:rFonts w:ascii="Times New Roman" w:hAnsi="Times New Roman" w:cs="Times New Roman"/>
          <w:sz w:val="24"/>
          <w:szCs w:val="24"/>
          <w:lang w:val="en-US"/>
        </w:rPr>
        <w:t xml:space="preserve"> in Table </w:t>
      </w:r>
      <w:r w:rsidR="00B50A10">
        <w:rPr>
          <w:rFonts w:ascii="Times New Roman" w:hAnsi="Times New Roman" w:cs="Times New Roman"/>
          <w:sz w:val="24"/>
          <w:szCs w:val="24"/>
          <w:lang w:val="en-US"/>
        </w:rPr>
        <w:t>2</w:t>
      </w:r>
      <w:r w:rsidR="007A4C74">
        <w:rPr>
          <w:rFonts w:ascii="Times New Roman" w:hAnsi="Times New Roman" w:cs="Times New Roman"/>
          <w:sz w:val="24"/>
          <w:szCs w:val="24"/>
          <w:lang w:val="en-US"/>
        </w:rPr>
        <w:t>, with the estimates retaining not only their sign, but also their statistical significance across the same modeling specifications</w:t>
      </w:r>
      <w:r w:rsidR="007C0B60">
        <w:rPr>
          <w:rFonts w:ascii="Times New Roman" w:hAnsi="Times New Roman" w:cs="Times New Roman"/>
          <w:sz w:val="24"/>
          <w:szCs w:val="24"/>
          <w:lang w:val="en-US"/>
        </w:rPr>
        <w:t xml:space="preserve">. </w:t>
      </w:r>
      <w:r w:rsidR="00602AF4">
        <w:rPr>
          <w:rFonts w:ascii="Times New Roman" w:hAnsi="Times New Roman" w:cs="Times New Roman"/>
          <w:sz w:val="24"/>
          <w:szCs w:val="24"/>
          <w:lang w:val="en-US"/>
        </w:rPr>
        <w:t xml:space="preserve">Once again, one percent increase in the debt service ratio leads to 0.59 and 0.51 </w:t>
      </w:r>
      <w:proofErr w:type="gramStart"/>
      <w:r w:rsidR="00602AF4">
        <w:rPr>
          <w:rFonts w:ascii="Times New Roman" w:hAnsi="Times New Roman" w:cs="Times New Roman"/>
          <w:sz w:val="24"/>
          <w:szCs w:val="24"/>
          <w:lang w:val="en-US"/>
        </w:rPr>
        <w:t>increase</w:t>
      </w:r>
      <w:proofErr w:type="gramEnd"/>
      <w:r w:rsidR="00602AF4">
        <w:rPr>
          <w:rFonts w:ascii="Times New Roman" w:hAnsi="Times New Roman" w:cs="Times New Roman"/>
          <w:sz w:val="24"/>
          <w:szCs w:val="24"/>
          <w:lang w:val="en-US"/>
        </w:rPr>
        <w:t xml:space="preserve"> in consumption growth, respectively.</w:t>
      </w:r>
    </w:p>
    <w:p w:rsidR="00433DF3" w:rsidRDefault="00433DF3" w:rsidP="00433DF3">
      <w:pPr>
        <w:spacing w:line="480" w:lineRule="auto"/>
        <w:jc w:val="center"/>
        <w:rPr>
          <w:rFonts w:ascii="Times New Roman" w:hAnsi="Times New Roman" w:cs="Times New Roman"/>
          <w:b/>
          <w:sz w:val="24"/>
          <w:szCs w:val="24"/>
          <w:lang w:val="en-US"/>
        </w:rPr>
      </w:pPr>
      <w:r w:rsidRPr="00433DF3">
        <w:rPr>
          <w:rFonts w:ascii="Times New Roman" w:hAnsi="Times New Roman" w:cs="Times New Roman"/>
          <w:b/>
          <w:sz w:val="24"/>
          <w:szCs w:val="24"/>
          <w:lang w:val="en-US"/>
        </w:rPr>
        <w:t xml:space="preserve">[Insert Table </w:t>
      </w:r>
      <w:r w:rsidR="00DE4E57">
        <w:rPr>
          <w:rFonts w:ascii="Times New Roman" w:hAnsi="Times New Roman" w:cs="Times New Roman"/>
          <w:b/>
          <w:sz w:val="24"/>
          <w:szCs w:val="24"/>
          <w:lang w:val="en-US"/>
        </w:rPr>
        <w:t>5</w:t>
      </w:r>
      <w:r w:rsidRPr="00433DF3">
        <w:rPr>
          <w:rFonts w:ascii="Times New Roman" w:hAnsi="Times New Roman" w:cs="Times New Roman"/>
          <w:b/>
          <w:sz w:val="24"/>
          <w:szCs w:val="24"/>
          <w:lang w:val="en-US"/>
        </w:rPr>
        <w:t xml:space="preserve"> about here]</w:t>
      </w:r>
    </w:p>
    <w:p w:rsidR="00712DE0" w:rsidRPr="009905BE" w:rsidRDefault="009905BE" w:rsidP="00136EE3">
      <w:pPr>
        <w:spacing w:line="480" w:lineRule="auto"/>
        <w:jc w:val="both"/>
        <w:rPr>
          <w:rFonts w:ascii="Times New Roman" w:hAnsi="Times New Roman" w:cs="Times New Roman"/>
          <w:sz w:val="24"/>
          <w:szCs w:val="24"/>
          <w:lang w:val="en-US"/>
        </w:rPr>
      </w:pPr>
      <w:r w:rsidRPr="009905BE">
        <w:rPr>
          <w:rFonts w:ascii="Times New Roman" w:hAnsi="Times New Roman" w:cs="Times New Roman"/>
          <w:sz w:val="24"/>
          <w:szCs w:val="24"/>
          <w:lang w:val="en-US"/>
        </w:rPr>
        <w:t>5</w:t>
      </w:r>
      <w:r w:rsidR="00720B80" w:rsidRPr="009905BE">
        <w:rPr>
          <w:rFonts w:ascii="Times New Roman" w:hAnsi="Times New Roman" w:cs="Times New Roman"/>
          <w:sz w:val="24"/>
          <w:szCs w:val="24"/>
          <w:lang w:val="en-US"/>
        </w:rPr>
        <w:t xml:space="preserve"> </w:t>
      </w:r>
      <w:r w:rsidR="00712DE0" w:rsidRPr="009905BE">
        <w:rPr>
          <w:rFonts w:ascii="Times New Roman" w:hAnsi="Times New Roman" w:cs="Times New Roman"/>
          <w:sz w:val="24"/>
          <w:szCs w:val="24"/>
          <w:lang w:val="en-US"/>
        </w:rPr>
        <w:t>R</w:t>
      </w:r>
      <w:r w:rsidRPr="009905BE">
        <w:rPr>
          <w:rFonts w:ascii="Times New Roman" w:hAnsi="Times New Roman" w:cs="Times New Roman"/>
          <w:sz w:val="24"/>
          <w:szCs w:val="24"/>
          <w:lang w:val="en-US"/>
        </w:rPr>
        <w:t>OBSUTNESS</w:t>
      </w:r>
      <w:r w:rsidR="00712DE0"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C</w:t>
      </w:r>
      <w:r w:rsidRPr="009905BE">
        <w:rPr>
          <w:rFonts w:ascii="Times New Roman" w:hAnsi="Times New Roman" w:cs="Times New Roman"/>
          <w:sz w:val="24"/>
          <w:szCs w:val="24"/>
          <w:lang w:val="en-US"/>
        </w:rPr>
        <w:t>HECK</w:t>
      </w:r>
      <w:r w:rsidR="00712DE0"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A</w:t>
      </w:r>
      <w:r w:rsidRPr="009905BE">
        <w:rPr>
          <w:rFonts w:ascii="Times New Roman" w:hAnsi="Times New Roman" w:cs="Times New Roman"/>
          <w:sz w:val="24"/>
          <w:szCs w:val="24"/>
          <w:lang w:val="en-US"/>
        </w:rPr>
        <w:t>N</w:t>
      </w:r>
      <w:r w:rsidR="00DD6420" w:rsidRPr="009905BE">
        <w:rPr>
          <w:rFonts w:ascii="Times New Roman" w:hAnsi="Times New Roman" w:cs="Times New Roman"/>
          <w:sz w:val="24"/>
          <w:szCs w:val="24"/>
          <w:lang w:val="en-US"/>
        </w:rPr>
        <w:t xml:space="preserve"> A</w:t>
      </w:r>
      <w:r w:rsidRPr="009905BE">
        <w:rPr>
          <w:rFonts w:ascii="Times New Roman" w:hAnsi="Times New Roman" w:cs="Times New Roman"/>
          <w:sz w:val="24"/>
          <w:szCs w:val="24"/>
          <w:lang w:val="en-US"/>
        </w:rPr>
        <w:t>LTERNATIVE</w:t>
      </w:r>
      <w:r w:rsidR="00712DE0"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W</w:t>
      </w:r>
      <w:r w:rsidRPr="009905BE">
        <w:rPr>
          <w:rFonts w:ascii="Times New Roman" w:hAnsi="Times New Roman" w:cs="Times New Roman"/>
          <w:sz w:val="24"/>
          <w:szCs w:val="24"/>
          <w:lang w:val="en-US"/>
        </w:rPr>
        <w:t>AY</w:t>
      </w:r>
      <w:r w:rsidR="00736C3D" w:rsidRPr="009905BE">
        <w:rPr>
          <w:rFonts w:ascii="Times New Roman" w:hAnsi="Times New Roman" w:cs="Times New Roman"/>
          <w:sz w:val="24"/>
          <w:szCs w:val="24"/>
          <w:lang w:val="en-US"/>
        </w:rPr>
        <w:t xml:space="preserve"> </w:t>
      </w:r>
      <w:r w:rsidRPr="009905BE">
        <w:rPr>
          <w:rFonts w:ascii="Times New Roman" w:hAnsi="Times New Roman" w:cs="Times New Roman"/>
          <w:sz w:val="24"/>
          <w:szCs w:val="24"/>
          <w:lang w:val="en-US"/>
        </w:rPr>
        <w:t>OF</w:t>
      </w:r>
      <w:r w:rsidR="00712DE0"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C</w:t>
      </w:r>
      <w:r w:rsidRPr="009905BE">
        <w:rPr>
          <w:rFonts w:ascii="Times New Roman" w:hAnsi="Times New Roman" w:cs="Times New Roman"/>
          <w:sz w:val="24"/>
          <w:szCs w:val="24"/>
          <w:lang w:val="en-US"/>
        </w:rPr>
        <w:t>APTURING THE</w:t>
      </w:r>
      <w:r w:rsidR="00DD6420" w:rsidRPr="009905BE">
        <w:rPr>
          <w:rFonts w:ascii="Times New Roman" w:hAnsi="Times New Roman" w:cs="Times New Roman"/>
          <w:sz w:val="24"/>
          <w:szCs w:val="24"/>
          <w:lang w:val="en-US"/>
        </w:rPr>
        <w:t xml:space="preserve"> S</w:t>
      </w:r>
      <w:r w:rsidRPr="009905BE">
        <w:rPr>
          <w:rFonts w:ascii="Times New Roman" w:hAnsi="Times New Roman" w:cs="Times New Roman"/>
          <w:sz w:val="24"/>
          <w:szCs w:val="24"/>
          <w:lang w:val="en-US"/>
        </w:rPr>
        <w:t>TOCK</w:t>
      </w:r>
      <w:r w:rsidR="001735E3"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M</w:t>
      </w:r>
      <w:r w:rsidRPr="009905BE">
        <w:rPr>
          <w:rFonts w:ascii="Times New Roman" w:hAnsi="Times New Roman" w:cs="Times New Roman"/>
          <w:sz w:val="24"/>
          <w:szCs w:val="24"/>
          <w:lang w:val="en-US"/>
        </w:rPr>
        <w:t>ARKET</w:t>
      </w:r>
      <w:r w:rsidR="00712DE0"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W</w:t>
      </w:r>
      <w:r w:rsidRPr="009905BE">
        <w:rPr>
          <w:rFonts w:ascii="Times New Roman" w:hAnsi="Times New Roman" w:cs="Times New Roman"/>
          <w:sz w:val="24"/>
          <w:szCs w:val="24"/>
          <w:lang w:val="en-US"/>
        </w:rPr>
        <w:t>EALTH</w:t>
      </w:r>
      <w:r w:rsidR="00712DE0" w:rsidRPr="009905BE">
        <w:rPr>
          <w:rFonts w:ascii="Times New Roman" w:hAnsi="Times New Roman" w:cs="Times New Roman"/>
          <w:sz w:val="24"/>
          <w:szCs w:val="24"/>
          <w:lang w:val="en-US"/>
        </w:rPr>
        <w:t xml:space="preserve"> </w:t>
      </w:r>
      <w:r w:rsidR="00DD6420" w:rsidRPr="009905BE">
        <w:rPr>
          <w:rFonts w:ascii="Times New Roman" w:hAnsi="Times New Roman" w:cs="Times New Roman"/>
          <w:sz w:val="24"/>
          <w:szCs w:val="24"/>
          <w:lang w:val="en-US"/>
        </w:rPr>
        <w:t>E</w:t>
      </w:r>
      <w:r w:rsidRPr="009905BE">
        <w:rPr>
          <w:rFonts w:ascii="Times New Roman" w:hAnsi="Times New Roman" w:cs="Times New Roman"/>
          <w:sz w:val="24"/>
          <w:szCs w:val="24"/>
          <w:lang w:val="en-US"/>
        </w:rPr>
        <w:t>FFECT</w:t>
      </w:r>
    </w:p>
    <w:p w:rsidR="00712DE0" w:rsidRDefault="006B4E4A" w:rsidP="00DD642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part of the robustness analysis explores the validity of the baseline results reported in Table 2 by considering an alternative definition of the stock price index as a predictor of future economic activity. A number of studies</w:t>
      </w:r>
      <w:r w:rsidRPr="006B4E4A">
        <w:rPr>
          <w:rFonts w:ascii="Times New Roman" w:hAnsi="Times New Roman" w:cs="Times New Roman"/>
          <w:sz w:val="24"/>
          <w:szCs w:val="24"/>
          <w:lang w:val="en-US"/>
        </w:rPr>
        <w:t xml:space="preserve"> attribute the apparent ability</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of the term spread to forecast economic activity</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to actions by monetary authorities to stabilize</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output growth. Monetary policy explanations usually</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have been stated</w:t>
      </w:r>
      <w:r>
        <w:rPr>
          <w:rFonts w:ascii="Times New Roman" w:hAnsi="Times New Roman" w:cs="Times New Roman"/>
          <w:sz w:val="24"/>
          <w:szCs w:val="24"/>
          <w:lang w:val="en-US"/>
        </w:rPr>
        <w:t xml:space="preserve"> with little underlying theory. </w:t>
      </w:r>
      <w:r w:rsidRPr="006B4E4A">
        <w:rPr>
          <w:rFonts w:ascii="Times New Roman" w:hAnsi="Times New Roman" w:cs="Times New Roman"/>
          <w:sz w:val="24"/>
          <w:szCs w:val="24"/>
          <w:lang w:val="en-US"/>
        </w:rPr>
        <w:t xml:space="preserve">However, as noted by </w:t>
      </w:r>
      <w:proofErr w:type="spellStart"/>
      <w:r w:rsidRPr="006B4E4A">
        <w:rPr>
          <w:rFonts w:ascii="Times New Roman" w:hAnsi="Times New Roman" w:cs="Times New Roman"/>
          <w:sz w:val="24"/>
          <w:szCs w:val="24"/>
          <w:lang w:val="en-US"/>
        </w:rPr>
        <w:t>Feroli</w:t>
      </w:r>
      <w:proofErr w:type="spellEnd"/>
      <w:r w:rsidRPr="006B4E4A">
        <w:rPr>
          <w:rFonts w:ascii="Times New Roman" w:hAnsi="Times New Roman" w:cs="Times New Roman"/>
          <w:sz w:val="24"/>
          <w:szCs w:val="24"/>
          <w:lang w:val="en-US"/>
        </w:rPr>
        <w:t xml:space="preserve"> (2004), </w:t>
      </w:r>
      <w:proofErr w:type="spellStart"/>
      <w:r w:rsidRPr="006B4E4A">
        <w:rPr>
          <w:rFonts w:ascii="Times New Roman" w:hAnsi="Times New Roman" w:cs="Times New Roman"/>
          <w:sz w:val="24"/>
          <w:szCs w:val="24"/>
          <w:lang w:val="en-US"/>
        </w:rPr>
        <w:t>Estrella</w:t>
      </w:r>
      <w:proofErr w:type="spellEnd"/>
      <w:r w:rsidRPr="006B4E4A">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 xml:space="preserve">and </w:t>
      </w:r>
      <w:proofErr w:type="spellStart"/>
      <w:r w:rsidRPr="006B4E4A">
        <w:rPr>
          <w:rFonts w:ascii="Times New Roman" w:hAnsi="Times New Roman" w:cs="Times New Roman"/>
          <w:sz w:val="24"/>
          <w:szCs w:val="24"/>
          <w:lang w:val="en-US"/>
        </w:rPr>
        <w:t>Estrella</w:t>
      </w:r>
      <w:proofErr w:type="spellEnd"/>
      <w:r w:rsidRPr="006B4E4A">
        <w:rPr>
          <w:rFonts w:ascii="Times New Roman" w:hAnsi="Times New Roman" w:cs="Times New Roman"/>
          <w:sz w:val="24"/>
          <w:szCs w:val="24"/>
          <w:lang w:val="en-US"/>
        </w:rPr>
        <w:t xml:space="preserve"> and </w:t>
      </w:r>
      <w:proofErr w:type="spellStart"/>
      <w:r w:rsidRPr="006B4E4A">
        <w:rPr>
          <w:rFonts w:ascii="Times New Roman" w:hAnsi="Times New Roman" w:cs="Times New Roman"/>
          <w:sz w:val="24"/>
          <w:szCs w:val="24"/>
          <w:lang w:val="en-US"/>
        </w:rPr>
        <w:t>Trubin</w:t>
      </w:r>
      <w:proofErr w:type="spellEnd"/>
      <w:r w:rsidRPr="006B4E4A">
        <w:rPr>
          <w:rFonts w:ascii="Times New Roman" w:hAnsi="Times New Roman" w:cs="Times New Roman"/>
          <w:sz w:val="24"/>
          <w:szCs w:val="24"/>
          <w:lang w:val="en-US"/>
        </w:rPr>
        <w:t xml:space="preserve"> (2006), the extent to which</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the term spread is a good predictor of output</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growth depends on the monetary authority’s policy</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objectives and reaction function.</w:t>
      </w:r>
      <w:r>
        <w:rPr>
          <w:rFonts w:ascii="Times New Roman" w:hAnsi="Times New Roman" w:cs="Times New Roman"/>
          <w:sz w:val="24"/>
          <w:szCs w:val="24"/>
          <w:lang w:val="en-US"/>
        </w:rPr>
        <w:t xml:space="preserve"> Alternatively, </w:t>
      </w:r>
      <w:r w:rsidRPr="006B4E4A">
        <w:rPr>
          <w:rFonts w:ascii="Times New Roman" w:hAnsi="Times New Roman" w:cs="Times New Roman"/>
          <w:sz w:val="24"/>
          <w:szCs w:val="24"/>
          <w:lang w:val="en-US"/>
        </w:rPr>
        <w:t xml:space="preserve">theories of </w:t>
      </w:r>
      <w:proofErr w:type="spellStart"/>
      <w:r w:rsidRPr="006B4E4A">
        <w:rPr>
          <w:rFonts w:ascii="Times New Roman" w:hAnsi="Times New Roman" w:cs="Times New Roman"/>
          <w:sz w:val="24"/>
          <w:szCs w:val="24"/>
          <w:lang w:val="en-US"/>
        </w:rPr>
        <w:t>intertemporal</w:t>
      </w:r>
      <w:proofErr w:type="spellEnd"/>
      <w:r w:rsidRPr="006B4E4A">
        <w:rPr>
          <w:rFonts w:ascii="Times New Roman" w:hAnsi="Times New Roman" w:cs="Times New Roman"/>
          <w:sz w:val="24"/>
          <w:szCs w:val="24"/>
          <w:lang w:val="en-US"/>
        </w:rPr>
        <w:t xml:space="preserve"> consumption</w:t>
      </w:r>
      <w:r>
        <w:rPr>
          <w:rFonts w:ascii="Times New Roman" w:hAnsi="Times New Roman" w:cs="Times New Roman"/>
          <w:sz w:val="24"/>
          <w:szCs w:val="24"/>
          <w:lang w:val="en-US"/>
        </w:rPr>
        <w:t xml:space="preserve"> also </w:t>
      </w:r>
      <w:r w:rsidRPr="006B4E4A">
        <w:rPr>
          <w:rFonts w:ascii="Times New Roman" w:hAnsi="Times New Roman" w:cs="Times New Roman"/>
          <w:sz w:val="24"/>
          <w:szCs w:val="24"/>
          <w:lang w:val="en-US"/>
        </w:rPr>
        <w:t xml:space="preserve">derive a </w:t>
      </w:r>
      <w:r w:rsidRPr="006B4E4A">
        <w:rPr>
          <w:rFonts w:ascii="Times New Roman" w:hAnsi="Times New Roman" w:cs="Times New Roman"/>
          <w:sz w:val="24"/>
          <w:szCs w:val="24"/>
          <w:lang w:val="en-US"/>
        </w:rPr>
        <w:lastRenderedPageBreak/>
        <w:t>relationship between the slope of the yield</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curve and future economic activity explicitly</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from the structure of the economy (Harvey,</w:t>
      </w:r>
      <w:r>
        <w:rPr>
          <w:rFonts w:ascii="Times New Roman" w:hAnsi="Times New Roman" w:cs="Times New Roman"/>
          <w:sz w:val="24"/>
          <w:szCs w:val="24"/>
          <w:lang w:val="en-US"/>
        </w:rPr>
        <w:t xml:space="preserve"> </w:t>
      </w:r>
      <w:r w:rsidRPr="006B4E4A">
        <w:rPr>
          <w:rFonts w:ascii="Times New Roman" w:hAnsi="Times New Roman" w:cs="Times New Roman"/>
          <w:sz w:val="24"/>
          <w:szCs w:val="24"/>
          <w:lang w:val="en-US"/>
        </w:rPr>
        <w:t xml:space="preserve">1988; </w:t>
      </w:r>
      <w:proofErr w:type="spellStart"/>
      <w:r w:rsidRPr="006B4E4A">
        <w:rPr>
          <w:rFonts w:ascii="Times New Roman" w:hAnsi="Times New Roman" w:cs="Times New Roman"/>
          <w:sz w:val="24"/>
          <w:szCs w:val="24"/>
          <w:lang w:val="en-US"/>
        </w:rPr>
        <w:t>Hu</w:t>
      </w:r>
      <w:proofErr w:type="spellEnd"/>
      <w:r w:rsidRPr="006B4E4A">
        <w:rPr>
          <w:rFonts w:ascii="Times New Roman" w:hAnsi="Times New Roman" w:cs="Times New Roman"/>
          <w:sz w:val="24"/>
          <w:szCs w:val="24"/>
          <w:lang w:val="en-US"/>
        </w:rPr>
        <w:t>, 1993)</w:t>
      </w:r>
      <w:r>
        <w:rPr>
          <w:rFonts w:ascii="Times New Roman" w:hAnsi="Times New Roman" w:cs="Times New Roman"/>
          <w:sz w:val="24"/>
          <w:szCs w:val="24"/>
          <w:lang w:val="en-US"/>
        </w:rPr>
        <w:t xml:space="preserve">. </w:t>
      </w:r>
      <w:r w:rsidR="00E6655A">
        <w:rPr>
          <w:rFonts w:ascii="Times New Roman" w:hAnsi="Times New Roman" w:cs="Times New Roman"/>
          <w:sz w:val="24"/>
          <w:szCs w:val="24"/>
          <w:lang w:val="en-US"/>
        </w:rPr>
        <w:t xml:space="preserve">After obtaining quarterly data on </w:t>
      </w:r>
      <w:r w:rsidR="00E6655A" w:rsidRPr="00E6655A">
        <w:rPr>
          <w:rFonts w:ascii="Times New Roman" w:hAnsi="Times New Roman" w:cs="Times New Roman"/>
          <w:sz w:val="24"/>
          <w:szCs w:val="24"/>
          <w:lang w:val="en-US"/>
        </w:rPr>
        <w:t xml:space="preserve">the three-month </w:t>
      </w:r>
      <w:r w:rsidR="00F83C13">
        <w:rPr>
          <w:rFonts w:ascii="Times New Roman" w:hAnsi="Times New Roman" w:cs="Times New Roman"/>
          <w:sz w:val="24"/>
          <w:szCs w:val="24"/>
          <w:lang w:val="en-US"/>
        </w:rPr>
        <w:t>bond</w:t>
      </w:r>
      <w:r w:rsidR="00E6655A" w:rsidRPr="00E6655A">
        <w:rPr>
          <w:rFonts w:ascii="Times New Roman" w:hAnsi="Times New Roman" w:cs="Times New Roman"/>
          <w:sz w:val="24"/>
          <w:szCs w:val="24"/>
          <w:lang w:val="en-US"/>
        </w:rPr>
        <w:t xml:space="preserve"> rate</w:t>
      </w:r>
      <w:r w:rsidR="00F83C13">
        <w:rPr>
          <w:rFonts w:ascii="Times New Roman" w:hAnsi="Times New Roman" w:cs="Times New Roman"/>
          <w:sz w:val="24"/>
          <w:szCs w:val="24"/>
          <w:lang w:val="en-US"/>
        </w:rPr>
        <w:t>s</w:t>
      </w:r>
      <w:r w:rsidR="00E6655A" w:rsidRPr="00E6655A">
        <w:rPr>
          <w:rFonts w:ascii="Times New Roman" w:hAnsi="Times New Roman" w:cs="Times New Roman"/>
          <w:sz w:val="24"/>
          <w:szCs w:val="24"/>
          <w:lang w:val="en-US"/>
        </w:rPr>
        <w:t xml:space="preserve"> and the ten-year</w:t>
      </w:r>
      <w:r w:rsidR="00F83C13">
        <w:rPr>
          <w:rFonts w:ascii="Times New Roman" w:hAnsi="Times New Roman" w:cs="Times New Roman"/>
          <w:sz w:val="24"/>
          <w:szCs w:val="24"/>
          <w:lang w:val="en-US"/>
        </w:rPr>
        <w:t xml:space="preserve"> </w:t>
      </w:r>
      <w:r w:rsidR="00E6655A" w:rsidRPr="00E6655A">
        <w:rPr>
          <w:rFonts w:ascii="Times New Roman" w:hAnsi="Times New Roman" w:cs="Times New Roman"/>
          <w:sz w:val="24"/>
          <w:szCs w:val="24"/>
          <w:lang w:val="en-US"/>
        </w:rPr>
        <w:t>government bond yield</w:t>
      </w:r>
      <w:r w:rsidR="00F83C13">
        <w:rPr>
          <w:rFonts w:ascii="Times New Roman" w:hAnsi="Times New Roman" w:cs="Times New Roman"/>
          <w:sz w:val="24"/>
          <w:szCs w:val="24"/>
          <w:lang w:val="en-US"/>
        </w:rPr>
        <w:t>s</w:t>
      </w:r>
      <w:r w:rsidR="00E6655A" w:rsidRPr="00E6655A">
        <w:rPr>
          <w:rFonts w:ascii="Times New Roman" w:hAnsi="Times New Roman" w:cs="Times New Roman"/>
          <w:sz w:val="24"/>
          <w:szCs w:val="24"/>
          <w:lang w:val="en-US"/>
        </w:rPr>
        <w:t xml:space="preserve"> from the International Monetary Fund’s International Financial</w:t>
      </w:r>
      <w:r w:rsidR="00F83C13">
        <w:rPr>
          <w:rFonts w:ascii="Times New Roman" w:hAnsi="Times New Roman" w:cs="Times New Roman"/>
          <w:sz w:val="24"/>
          <w:szCs w:val="24"/>
          <w:lang w:val="en-US"/>
        </w:rPr>
        <w:t xml:space="preserve"> Statistics database, t</w:t>
      </w:r>
      <w:r>
        <w:rPr>
          <w:rFonts w:ascii="Times New Roman" w:hAnsi="Times New Roman" w:cs="Times New Roman"/>
          <w:sz w:val="24"/>
          <w:szCs w:val="24"/>
          <w:lang w:val="en-US"/>
        </w:rPr>
        <w:t xml:space="preserve">he </w:t>
      </w:r>
      <w:r w:rsidR="001274A9">
        <w:rPr>
          <w:rFonts w:ascii="Times New Roman" w:hAnsi="Times New Roman" w:cs="Times New Roman"/>
          <w:sz w:val="24"/>
          <w:szCs w:val="24"/>
          <w:lang w:val="en-US"/>
        </w:rPr>
        <w:t xml:space="preserve">new robustness </w:t>
      </w:r>
      <w:r>
        <w:rPr>
          <w:rFonts w:ascii="Times New Roman" w:hAnsi="Times New Roman" w:cs="Times New Roman"/>
          <w:sz w:val="24"/>
          <w:szCs w:val="24"/>
          <w:lang w:val="en-US"/>
        </w:rPr>
        <w:t>results</w:t>
      </w:r>
      <w:r w:rsidR="001274A9">
        <w:rPr>
          <w:rFonts w:ascii="Times New Roman" w:hAnsi="Times New Roman" w:cs="Times New Roman"/>
          <w:sz w:val="24"/>
          <w:szCs w:val="24"/>
          <w:lang w:val="en-US"/>
        </w:rPr>
        <w:t xml:space="preserve"> </w:t>
      </w:r>
      <w:r w:rsidR="007E4AB0">
        <w:rPr>
          <w:rFonts w:ascii="Times New Roman" w:hAnsi="Times New Roman" w:cs="Times New Roman"/>
          <w:sz w:val="24"/>
          <w:szCs w:val="24"/>
          <w:lang w:val="en-US"/>
        </w:rPr>
        <w:t xml:space="preserve">(only for the multivariate model) </w:t>
      </w:r>
      <w:r w:rsidR="00DE4E57">
        <w:rPr>
          <w:rFonts w:ascii="Times New Roman" w:hAnsi="Times New Roman" w:cs="Times New Roman"/>
          <w:sz w:val="24"/>
          <w:szCs w:val="24"/>
          <w:lang w:val="en-US"/>
        </w:rPr>
        <w:t>are reported in Table 6</w:t>
      </w:r>
      <w:r w:rsidR="001274A9">
        <w:rPr>
          <w:rFonts w:ascii="Times New Roman" w:hAnsi="Times New Roman" w:cs="Times New Roman"/>
          <w:sz w:val="24"/>
          <w:szCs w:val="24"/>
          <w:lang w:val="en-US"/>
        </w:rPr>
        <w:t xml:space="preserve"> and clearly highlight the supportive evidence to those in Table 2, with the terms spread providing a stronger impact on consumption.</w:t>
      </w:r>
    </w:p>
    <w:p w:rsidR="001274A9" w:rsidRDefault="001274A9" w:rsidP="001274A9">
      <w:pPr>
        <w:spacing w:line="480" w:lineRule="auto"/>
        <w:jc w:val="center"/>
        <w:rPr>
          <w:rFonts w:ascii="Times New Roman" w:hAnsi="Times New Roman" w:cs="Times New Roman"/>
          <w:b/>
          <w:sz w:val="24"/>
          <w:szCs w:val="24"/>
          <w:lang w:val="en-US"/>
        </w:rPr>
      </w:pPr>
      <w:r w:rsidRPr="001274A9">
        <w:rPr>
          <w:rFonts w:ascii="Times New Roman" w:hAnsi="Times New Roman" w:cs="Times New Roman"/>
          <w:b/>
          <w:sz w:val="24"/>
          <w:szCs w:val="24"/>
          <w:lang w:val="en-US"/>
        </w:rPr>
        <w:t xml:space="preserve">[Insert Table </w:t>
      </w:r>
      <w:r w:rsidR="00DE4E57">
        <w:rPr>
          <w:rFonts w:ascii="Times New Roman" w:hAnsi="Times New Roman" w:cs="Times New Roman"/>
          <w:b/>
          <w:sz w:val="24"/>
          <w:szCs w:val="24"/>
          <w:lang w:val="en-US"/>
        </w:rPr>
        <w:t>6</w:t>
      </w:r>
      <w:r w:rsidRPr="001274A9">
        <w:rPr>
          <w:rFonts w:ascii="Times New Roman" w:hAnsi="Times New Roman" w:cs="Times New Roman"/>
          <w:b/>
          <w:sz w:val="24"/>
          <w:szCs w:val="24"/>
          <w:lang w:val="en-US"/>
        </w:rPr>
        <w:t xml:space="preserve"> about here]</w:t>
      </w:r>
    </w:p>
    <w:p w:rsidR="00D34743" w:rsidRDefault="00D34743" w:rsidP="00D347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6D5B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IDENTIFYING THE MECHANISMS THROUGH WHICH </w:t>
      </w:r>
      <w:r w:rsidR="00762076">
        <w:rPr>
          <w:rFonts w:ascii="Times New Roman" w:hAnsi="Times New Roman" w:cs="Times New Roman"/>
          <w:sz w:val="24"/>
          <w:szCs w:val="24"/>
          <w:lang w:val="en-US"/>
        </w:rPr>
        <w:t xml:space="preserve">THE </w:t>
      </w:r>
      <w:r>
        <w:rPr>
          <w:rFonts w:ascii="Times New Roman" w:hAnsi="Times New Roman" w:cs="Times New Roman"/>
          <w:sz w:val="24"/>
          <w:szCs w:val="24"/>
          <w:lang w:val="en-US"/>
        </w:rPr>
        <w:t>COMPONENTS OF DEBT AFFECT CONSUMPTION</w:t>
      </w:r>
      <w:r w:rsidR="00762076">
        <w:rPr>
          <w:rFonts w:ascii="Times New Roman" w:hAnsi="Times New Roman" w:cs="Times New Roman"/>
          <w:sz w:val="24"/>
          <w:szCs w:val="24"/>
          <w:lang w:val="en-US"/>
        </w:rPr>
        <w:t xml:space="preserve"> DECISIONS</w:t>
      </w:r>
    </w:p>
    <w:p w:rsidR="00D34743" w:rsidRDefault="00277BBE" w:rsidP="00D347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evidence above has documented that the positive impact of the DSR on consumption comes through a number of potential mechanisms, such as the role of interest rates and </w:t>
      </w:r>
      <w:r w:rsidR="006D5BEB">
        <w:rPr>
          <w:rFonts w:ascii="Times New Roman" w:hAnsi="Times New Roman" w:cs="Times New Roman"/>
          <w:sz w:val="24"/>
          <w:szCs w:val="24"/>
          <w:lang w:val="en-US"/>
        </w:rPr>
        <w:t xml:space="preserve">financial or liquidity constraints. Following a reviewer’s recommendation, this part of the paper attempts discern which mechanisms seems to be more responsible for explaining consumption patterns, something that is expected to bolster the analysis’ contribution. Therefore, the objective of this part is to expose the role of those mechanisms, using a simple Vector </w:t>
      </w:r>
      <w:proofErr w:type="spellStart"/>
      <w:r w:rsidR="006D5BEB">
        <w:rPr>
          <w:rFonts w:ascii="Times New Roman" w:hAnsi="Times New Roman" w:cs="Times New Roman"/>
          <w:sz w:val="24"/>
          <w:szCs w:val="24"/>
          <w:lang w:val="en-US"/>
        </w:rPr>
        <w:t>Autoregression</w:t>
      </w:r>
      <w:proofErr w:type="spellEnd"/>
      <w:r w:rsidR="006D5BEB">
        <w:rPr>
          <w:rFonts w:ascii="Times New Roman" w:hAnsi="Times New Roman" w:cs="Times New Roman"/>
          <w:sz w:val="24"/>
          <w:szCs w:val="24"/>
          <w:lang w:val="en-US"/>
        </w:rPr>
        <w:t xml:space="preserve"> (VAR) modeling. The relevant analysis here considers the role of interest rates and liquidity constraints. Interest rates here proxy the opportunity cost of consumption and are measured as the interest rate on 3- to 5-year government bonds. The choice of this maturity is based on the </w:t>
      </w:r>
      <w:r w:rsidR="005D6AE3">
        <w:rPr>
          <w:rFonts w:ascii="Times New Roman" w:hAnsi="Times New Roman" w:cs="Times New Roman"/>
          <w:sz w:val="24"/>
          <w:szCs w:val="24"/>
          <w:lang w:val="en-US"/>
        </w:rPr>
        <w:t xml:space="preserve">existing literature, which indicates that most of the interest-bearing assets and financial liabilities in the household sector’s balance sheet </w:t>
      </w:r>
      <w:proofErr w:type="gramStart"/>
      <w:r w:rsidR="005D6AE3">
        <w:rPr>
          <w:rFonts w:ascii="Times New Roman" w:hAnsi="Times New Roman" w:cs="Times New Roman"/>
          <w:sz w:val="24"/>
          <w:szCs w:val="24"/>
          <w:lang w:val="en-US"/>
        </w:rPr>
        <w:t>consists</w:t>
      </w:r>
      <w:proofErr w:type="gramEnd"/>
      <w:r w:rsidR="005D6AE3">
        <w:rPr>
          <w:rFonts w:ascii="Times New Roman" w:hAnsi="Times New Roman" w:cs="Times New Roman"/>
          <w:sz w:val="24"/>
          <w:szCs w:val="24"/>
          <w:lang w:val="en-US"/>
        </w:rPr>
        <w:t xml:space="preserve"> of medium- and long-term fixed-rate instruments. In this manner, the interest rates associated with these maturities are likely to exert the most influence on households’ consumption </w:t>
      </w:r>
      <w:r w:rsidR="005D6AE3">
        <w:rPr>
          <w:rFonts w:ascii="Times New Roman" w:hAnsi="Times New Roman" w:cs="Times New Roman"/>
          <w:sz w:val="24"/>
          <w:szCs w:val="24"/>
          <w:lang w:val="en-US"/>
        </w:rPr>
        <w:lastRenderedPageBreak/>
        <w:t xml:space="preserve">decisions (Ragan, 1994; </w:t>
      </w:r>
      <w:proofErr w:type="spellStart"/>
      <w:r w:rsidR="005D6AE3">
        <w:rPr>
          <w:rFonts w:ascii="Times New Roman" w:hAnsi="Times New Roman" w:cs="Times New Roman"/>
          <w:sz w:val="24"/>
          <w:szCs w:val="24"/>
          <w:lang w:val="en-US"/>
        </w:rPr>
        <w:t>Montplaisir</w:t>
      </w:r>
      <w:proofErr w:type="spellEnd"/>
      <w:r w:rsidR="005D6AE3">
        <w:rPr>
          <w:rFonts w:ascii="Times New Roman" w:hAnsi="Times New Roman" w:cs="Times New Roman"/>
          <w:sz w:val="24"/>
          <w:szCs w:val="24"/>
          <w:lang w:val="en-US"/>
        </w:rPr>
        <w:t>, 1997; OECD, 1998). The literature also highlights that the presence of financial (borrowing) constraints decrease consumption in anticipation that such decisions cannot be financed through credit (</w:t>
      </w:r>
      <w:proofErr w:type="spellStart"/>
      <w:r w:rsidR="005D6AE3">
        <w:rPr>
          <w:rFonts w:ascii="Times New Roman" w:hAnsi="Times New Roman" w:cs="Times New Roman"/>
          <w:sz w:val="24"/>
          <w:szCs w:val="24"/>
          <w:lang w:val="en-US"/>
        </w:rPr>
        <w:t>Jappelli</w:t>
      </w:r>
      <w:proofErr w:type="spellEnd"/>
      <w:r w:rsidR="005D6AE3">
        <w:rPr>
          <w:rFonts w:ascii="Times New Roman" w:hAnsi="Times New Roman" w:cs="Times New Roman"/>
          <w:sz w:val="24"/>
          <w:szCs w:val="24"/>
          <w:lang w:val="en-US"/>
        </w:rPr>
        <w:t xml:space="preserve"> and </w:t>
      </w:r>
      <w:proofErr w:type="spellStart"/>
      <w:r w:rsidR="005D6AE3">
        <w:rPr>
          <w:rFonts w:ascii="Times New Roman" w:hAnsi="Times New Roman" w:cs="Times New Roman"/>
          <w:sz w:val="24"/>
          <w:szCs w:val="24"/>
          <w:lang w:val="en-US"/>
        </w:rPr>
        <w:t>Pagano</w:t>
      </w:r>
      <w:proofErr w:type="spellEnd"/>
      <w:r w:rsidR="005D6AE3">
        <w:rPr>
          <w:rFonts w:ascii="Times New Roman" w:hAnsi="Times New Roman" w:cs="Times New Roman"/>
          <w:sz w:val="24"/>
          <w:szCs w:val="24"/>
          <w:lang w:val="en-US"/>
        </w:rPr>
        <w:t>, 1994).</w:t>
      </w:r>
      <w:r w:rsidR="002F698C">
        <w:rPr>
          <w:rFonts w:ascii="Times New Roman" w:hAnsi="Times New Roman" w:cs="Times New Roman"/>
          <w:sz w:val="24"/>
          <w:szCs w:val="24"/>
          <w:lang w:val="en-US"/>
        </w:rPr>
        <w:t xml:space="preserve"> Therefore, households undertake serious debt burdens in tranquility periods, because in stressful times (e.g., financial crisis), the presence of such constraints gets uglier with a substantial impact on consumption decisions (Lau, 1997). In this part, we use the ratio of consumer credit to personal disposable income as a rough indicator of financial constraints. Developments in consumer credit reflect changes not only in borrowing constraints, but also in the demand for loans (Lau, 1997). </w:t>
      </w:r>
    </w:p>
    <w:p w:rsidR="00F524DE" w:rsidRPr="009905BE" w:rsidRDefault="00F524DE" w:rsidP="00D347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Data on interest rates, consumer credit and household disposable income are obtained from </w:t>
      </w:r>
      <w:proofErr w:type="spellStart"/>
      <w:r>
        <w:rPr>
          <w:rFonts w:ascii="Times New Roman" w:hAnsi="Times New Roman" w:cs="Times New Roman"/>
          <w:sz w:val="24"/>
          <w:szCs w:val="24"/>
          <w:lang w:val="en-US"/>
        </w:rPr>
        <w:t>Datastream</w:t>
      </w:r>
      <w:proofErr w:type="spellEnd"/>
      <w:r>
        <w:rPr>
          <w:rFonts w:ascii="Times New Roman" w:hAnsi="Times New Roman" w:cs="Times New Roman"/>
          <w:sz w:val="24"/>
          <w:szCs w:val="24"/>
          <w:lang w:val="en-US"/>
        </w:rPr>
        <w:t xml:space="preserve">. After identifying a VAR model with three lags (through the </w:t>
      </w:r>
      <w:proofErr w:type="spellStart"/>
      <w:r>
        <w:rPr>
          <w:rFonts w:ascii="Times New Roman" w:hAnsi="Times New Roman" w:cs="Times New Roman"/>
          <w:sz w:val="24"/>
          <w:szCs w:val="24"/>
          <w:lang w:val="en-US"/>
        </w:rPr>
        <w:t>Akaike</w:t>
      </w:r>
      <w:proofErr w:type="spellEnd"/>
      <w:r>
        <w:rPr>
          <w:rFonts w:ascii="Times New Roman" w:hAnsi="Times New Roman" w:cs="Times New Roman"/>
          <w:sz w:val="24"/>
          <w:szCs w:val="24"/>
          <w:lang w:val="en-US"/>
        </w:rPr>
        <w:t xml:space="preserve"> criterion), the analysis makes use of variance decompositions. Such decompositions, by partitioning the variance of the forecast error of consumption into the proportions attributable to innovations (or shocks) in interest rates, liquidity constraints and its own, can provide an indication of these relativities and may be termed as out-of-sample causality tests (Kling and </w:t>
      </w:r>
      <w:proofErr w:type="spellStart"/>
      <w:r>
        <w:rPr>
          <w:rFonts w:ascii="Times New Roman" w:hAnsi="Times New Roman" w:cs="Times New Roman"/>
          <w:sz w:val="24"/>
          <w:szCs w:val="24"/>
          <w:lang w:val="en-US"/>
        </w:rPr>
        <w:t>Bessler</w:t>
      </w:r>
      <w:proofErr w:type="spellEnd"/>
      <w:r>
        <w:rPr>
          <w:rFonts w:ascii="Times New Roman" w:hAnsi="Times New Roman" w:cs="Times New Roman"/>
          <w:sz w:val="24"/>
          <w:szCs w:val="24"/>
          <w:lang w:val="en-US"/>
        </w:rPr>
        <w:t>, 1985). The variable that is primarily forecast from its own lagged values (i.e., consumption) will have all its forecast error variance explained by its own disturbances (Sims, 1982).</w:t>
      </w:r>
      <w:r w:rsidR="003035AC">
        <w:rPr>
          <w:rFonts w:ascii="Times New Roman" w:hAnsi="Times New Roman" w:cs="Times New Roman"/>
          <w:sz w:val="24"/>
          <w:szCs w:val="24"/>
          <w:lang w:val="en-US"/>
        </w:rPr>
        <w:t xml:space="preserve"> The variance decomposition results are reported in Table 7.</w:t>
      </w:r>
      <w:r w:rsidR="00D926F7">
        <w:rPr>
          <w:rFonts w:ascii="Times New Roman" w:hAnsi="Times New Roman" w:cs="Times New Roman"/>
          <w:sz w:val="24"/>
          <w:szCs w:val="24"/>
          <w:lang w:val="en-US"/>
        </w:rPr>
        <w:t xml:space="preserve"> They clearly indicate that in the medium- to log-term horizon both factors are capable of explaining more than 70% of household consumption decisions, with liquidity constraints dominating interest rates.</w:t>
      </w:r>
    </w:p>
    <w:p w:rsidR="003035AC" w:rsidRDefault="003035AC" w:rsidP="003035AC">
      <w:pPr>
        <w:spacing w:line="480" w:lineRule="auto"/>
        <w:jc w:val="center"/>
        <w:rPr>
          <w:rFonts w:ascii="Times New Roman" w:hAnsi="Times New Roman" w:cs="Times New Roman"/>
          <w:b/>
          <w:sz w:val="24"/>
          <w:szCs w:val="24"/>
          <w:lang w:val="en-US"/>
        </w:rPr>
      </w:pPr>
      <w:r w:rsidRPr="001274A9">
        <w:rPr>
          <w:rFonts w:ascii="Times New Roman" w:hAnsi="Times New Roman" w:cs="Times New Roman"/>
          <w:b/>
          <w:sz w:val="24"/>
          <w:szCs w:val="24"/>
          <w:lang w:val="en-US"/>
        </w:rPr>
        <w:t xml:space="preserve">[Insert Table </w:t>
      </w:r>
      <w:r>
        <w:rPr>
          <w:rFonts w:ascii="Times New Roman" w:hAnsi="Times New Roman" w:cs="Times New Roman"/>
          <w:b/>
          <w:sz w:val="24"/>
          <w:szCs w:val="24"/>
          <w:lang w:val="en-US"/>
        </w:rPr>
        <w:t>7</w:t>
      </w:r>
      <w:r w:rsidRPr="001274A9">
        <w:rPr>
          <w:rFonts w:ascii="Times New Roman" w:hAnsi="Times New Roman" w:cs="Times New Roman"/>
          <w:b/>
          <w:sz w:val="24"/>
          <w:szCs w:val="24"/>
          <w:lang w:val="en-US"/>
        </w:rPr>
        <w:t xml:space="preserve"> about here]</w:t>
      </w:r>
    </w:p>
    <w:p w:rsidR="00193F75" w:rsidRPr="009905BE" w:rsidRDefault="00136EE3" w:rsidP="00736C3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720B80" w:rsidRPr="009905BE">
        <w:rPr>
          <w:rFonts w:ascii="Times New Roman" w:hAnsi="Times New Roman" w:cs="Times New Roman"/>
          <w:sz w:val="24"/>
          <w:szCs w:val="24"/>
          <w:lang w:val="en-US"/>
        </w:rPr>
        <w:t xml:space="preserve"> </w:t>
      </w:r>
      <w:proofErr w:type="gramStart"/>
      <w:r w:rsidR="00193F75" w:rsidRPr="009905BE">
        <w:rPr>
          <w:rFonts w:ascii="Times New Roman" w:hAnsi="Times New Roman" w:cs="Times New Roman"/>
          <w:sz w:val="24"/>
          <w:szCs w:val="24"/>
          <w:lang w:val="en-US"/>
        </w:rPr>
        <w:t>C</w:t>
      </w:r>
      <w:r w:rsidR="009905BE" w:rsidRPr="009905BE">
        <w:rPr>
          <w:rFonts w:ascii="Times New Roman" w:hAnsi="Times New Roman" w:cs="Times New Roman"/>
          <w:sz w:val="24"/>
          <w:szCs w:val="24"/>
          <w:lang w:val="en-US"/>
        </w:rPr>
        <w:t>ONCLUSION</w:t>
      </w:r>
      <w:proofErr w:type="gramEnd"/>
    </w:p>
    <w:p w:rsidR="00635311" w:rsidRPr="00635311" w:rsidRDefault="001628C0" w:rsidP="00004196">
      <w:pPr>
        <w:spacing w:line="480" w:lineRule="auto"/>
        <w:jc w:val="both"/>
        <w:rPr>
          <w:rFonts w:ascii="Times New Roman" w:hAnsi="Times New Roman" w:cs="Times New Roman"/>
          <w:sz w:val="24"/>
          <w:szCs w:val="24"/>
          <w:lang w:val="en-US"/>
        </w:rPr>
      </w:pPr>
      <w:r w:rsidRPr="001628C0">
        <w:rPr>
          <w:rFonts w:ascii="Times New Roman" w:hAnsi="Times New Roman" w:cs="Times New Roman"/>
          <w:sz w:val="24"/>
          <w:szCs w:val="24"/>
          <w:lang w:val="en-US"/>
        </w:rPr>
        <w:lastRenderedPageBreak/>
        <w:t xml:space="preserve">This paper </w:t>
      </w:r>
      <w:r w:rsidR="00C96149">
        <w:rPr>
          <w:rFonts w:ascii="Times New Roman" w:hAnsi="Times New Roman" w:cs="Times New Roman"/>
          <w:sz w:val="24"/>
          <w:szCs w:val="24"/>
          <w:lang w:val="en-US"/>
        </w:rPr>
        <w:t>provided supportive evidence that</w:t>
      </w:r>
      <w:r w:rsidRPr="001628C0">
        <w:rPr>
          <w:rFonts w:ascii="Times New Roman" w:hAnsi="Times New Roman" w:cs="Times New Roman"/>
          <w:sz w:val="24"/>
          <w:szCs w:val="24"/>
          <w:lang w:val="en-US"/>
        </w:rPr>
        <w:t xml:space="preserve"> the debt burden of households, as measured by the debt</w:t>
      </w:r>
      <w:r w:rsidR="00C96149">
        <w:rPr>
          <w:rFonts w:ascii="Times New Roman" w:hAnsi="Times New Roman" w:cs="Times New Roman"/>
          <w:sz w:val="24"/>
          <w:szCs w:val="24"/>
          <w:lang w:val="en-US"/>
        </w:rPr>
        <w:t>-</w:t>
      </w:r>
      <w:r w:rsidRPr="001628C0">
        <w:rPr>
          <w:rFonts w:ascii="Times New Roman" w:hAnsi="Times New Roman" w:cs="Times New Roman"/>
          <w:sz w:val="24"/>
          <w:szCs w:val="24"/>
          <w:lang w:val="en-US"/>
        </w:rPr>
        <w:t xml:space="preserve">service to income ratio, </w:t>
      </w:r>
      <w:r w:rsidR="00C96149">
        <w:rPr>
          <w:rFonts w:ascii="Times New Roman" w:hAnsi="Times New Roman" w:cs="Times New Roman"/>
          <w:sz w:val="24"/>
          <w:szCs w:val="24"/>
          <w:lang w:val="en-US"/>
        </w:rPr>
        <w:t>wa</w:t>
      </w:r>
      <w:r w:rsidRPr="001628C0">
        <w:rPr>
          <w:rFonts w:ascii="Times New Roman" w:hAnsi="Times New Roman" w:cs="Times New Roman"/>
          <w:sz w:val="24"/>
          <w:szCs w:val="24"/>
          <w:lang w:val="en-US"/>
        </w:rPr>
        <w:t xml:space="preserve">s helpful in </w:t>
      </w:r>
      <w:r w:rsidR="00C96149">
        <w:rPr>
          <w:rFonts w:ascii="Times New Roman" w:hAnsi="Times New Roman" w:cs="Times New Roman"/>
          <w:sz w:val="24"/>
          <w:szCs w:val="24"/>
          <w:lang w:val="en-US"/>
        </w:rPr>
        <w:t>explaining</w:t>
      </w:r>
      <w:r w:rsidRPr="001628C0">
        <w:rPr>
          <w:rFonts w:ascii="Times New Roman" w:hAnsi="Times New Roman" w:cs="Times New Roman"/>
          <w:sz w:val="24"/>
          <w:szCs w:val="24"/>
          <w:lang w:val="en-US"/>
        </w:rPr>
        <w:t xml:space="preserve"> consumer spending.</w:t>
      </w:r>
      <w:r w:rsidR="00C96149">
        <w:rPr>
          <w:rFonts w:ascii="Times New Roman" w:hAnsi="Times New Roman" w:cs="Times New Roman"/>
          <w:sz w:val="24"/>
          <w:szCs w:val="24"/>
          <w:lang w:val="en-US"/>
        </w:rPr>
        <w:t xml:space="preserve"> </w:t>
      </w:r>
      <w:r w:rsidR="00635311">
        <w:rPr>
          <w:rFonts w:ascii="Times New Roman" w:hAnsi="Times New Roman" w:cs="Times New Roman"/>
          <w:sz w:val="24"/>
          <w:szCs w:val="24"/>
          <w:lang w:val="en-US"/>
        </w:rPr>
        <w:t xml:space="preserve">Moreover, the findings documented that </w:t>
      </w:r>
      <w:r w:rsidR="00635311" w:rsidRPr="00635311">
        <w:rPr>
          <w:rFonts w:ascii="Times New Roman" w:hAnsi="Times New Roman" w:cs="Times New Roman"/>
          <w:sz w:val="24"/>
          <w:szCs w:val="24"/>
          <w:lang w:val="en-US"/>
        </w:rPr>
        <w:t>the sign turn</w:t>
      </w:r>
      <w:r w:rsidR="00635311">
        <w:rPr>
          <w:rFonts w:ascii="Times New Roman" w:hAnsi="Times New Roman" w:cs="Times New Roman"/>
          <w:sz w:val="24"/>
          <w:szCs w:val="24"/>
          <w:lang w:val="en-US"/>
        </w:rPr>
        <w:t>ed</w:t>
      </w:r>
      <w:r w:rsidR="00635311" w:rsidRPr="00635311">
        <w:rPr>
          <w:rFonts w:ascii="Times New Roman" w:hAnsi="Times New Roman" w:cs="Times New Roman"/>
          <w:sz w:val="24"/>
          <w:szCs w:val="24"/>
          <w:lang w:val="en-US"/>
        </w:rPr>
        <w:t xml:space="preserve"> out to be positive</w:t>
      </w:r>
      <w:r w:rsidR="00635311">
        <w:rPr>
          <w:rFonts w:ascii="Times New Roman" w:hAnsi="Times New Roman" w:cs="Times New Roman"/>
          <w:sz w:val="24"/>
          <w:szCs w:val="24"/>
          <w:lang w:val="en-US"/>
        </w:rPr>
        <w:t xml:space="preserve">, </w:t>
      </w:r>
      <w:r w:rsidR="00BC7187">
        <w:rPr>
          <w:rFonts w:ascii="Times New Roman" w:hAnsi="Times New Roman" w:cs="Times New Roman"/>
          <w:sz w:val="24"/>
          <w:szCs w:val="24"/>
          <w:lang w:val="en-US"/>
        </w:rPr>
        <w:t>implying</w:t>
      </w:r>
      <w:r w:rsidR="00635311">
        <w:rPr>
          <w:rFonts w:ascii="Times New Roman" w:hAnsi="Times New Roman" w:cs="Times New Roman"/>
          <w:sz w:val="24"/>
          <w:szCs w:val="24"/>
          <w:lang w:val="en-US"/>
        </w:rPr>
        <w:t xml:space="preserve"> that</w:t>
      </w:r>
      <w:r w:rsidR="00635311" w:rsidRPr="00635311">
        <w:rPr>
          <w:rFonts w:ascii="Times New Roman" w:hAnsi="Times New Roman" w:cs="Times New Roman"/>
          <w:sz w:val="24"/>
          <w:szCs w:val="24"/>
          <w:lang w:val="en-US"/>
        </w:rPr>
        <w:t xml:space="preserve"> th</w:t>
      </w:r>
      <w:r w:rsidR="008B402A">
        <w:rPr>
          <w:rFonts w:ascii="Times New Roman" w:hAnsi="Times New Roman" w:cs="Times New Roman"/>
          <w:sz w:val="24"/>
          <w:szCs w:val="24"/>
          <w:lang w:val="en-US"/>
        </w:rPr>
        <w:t>is</w:t>
      </w:r>
      <w:r w:rsidR="00635311" w:rsidRPr="00635311">
        <w:rPr>
          <w:rFonts w:ascii="Times New Roman" w:hAnsi="Times New Roman" w:cs="Times New Roman"/>
          <w:sz w:val="24"/>
          <w:szCs w:val="24"/>
          <w:lang w:val="en-US"/>
        </w:rPr>
        <w:t xml:space="preserve"> positive sign </w:t>
      </w:r>
      <w:r w:rsidR="00635311">
        <w:rPr>
          <w:rFonts w:ascii="Times New Roman" w:hAnsi="Times New Roman" w:cs="Times New Roman"/>
          <w:sz w:val="24"/>
          <w:szCs w:val="24"/>
          <w:lang w:val="en-US"/>
        </w:rPr>
        <w:t>exemplified</w:t>
      </w:r>
      <w:r w:rsidR="00635311" w:rsidRPr="00635311">
        <w:rPr>
          <w:rFonts w:ascii="Times New Roman" w:hAnsi="Times New Roman" w:cs="Times New Roman"/>
          <w:sz w:val="24"/>
          <w:szCs w:val="24"/>
          <w:lang w:val="en-US"/>
        </w:rPr>
        <w:t xml:space="preserve"> the strength of the interest rates, the expectations of future income and the relaxation of liquidity constraints mechanisms driving the </w:t>
      </w:r>
      <w:r w:rsidR="00635311">
        <w:rPr>
          <w:rFonts w:ascii="Times New Roman" w:hAnsi="Times New Roman" w:cs="Times New Roman"/>
          <w:sz w:val="24"/>
          <w:szCs w:val="24"/>
          <w:lang w:val="en-US"/>
        </w:rPr>
        <w:t>debt</w:t>
      </w:r>
      <w:r w:rsidR="0059151B">
        <w:rPr>
          <w:rFonts w:ascii="Times New Roman" w:hAnsi="Times New Roman" w:cs="Times New Roman"/>
          <w:sz w:val="24"/>
          <w:szCs w:val="24"/>
          <w:lang w:val="en-US"/>
        </w:rPr>
        <w:t>-</w:t>
      </w:r>
      <w:r w:rsidR="00635311">
        <w:rPr>
          <w:rFonts w:ascii="Times New Roman" w:hAnsi="Times New Roman" w:cs="Times New Roman"/>
          <w:sz w:val="24"/>
          <w:szCs w:val="24"/>
          <w:lang w:val="en-US"/>
        </w:rPr>
        <w:t>servic</w:t>
      </w:r>
      <w:r w:rsidR="0059151B">
        <w:rPr>
          <w:rFonts w:ascii="Times New Roman" w:hAnsi="Times New Roman" w:cs="Times New Roman"/>
          <w:sz w:val="24"/>
          <w:szCs w:val="24"/>
          <w:lang w:val="en-US"/>
        </w:rPr>
        <w:t>e</w:t>
      </w:r>
      <w:r w:rsidR="00635311">
        <w:rPr>
          <w:rFonts w:ascii="Times New Roman" w:hAnsi="Times New Roman" w:cs="Times New Roman"/>
          <w:sz w:val="24"/>
          <w:szCs w:val="24"/>
          <w:lang w:val="en-US"/>
        </w:rPr>
        <w:t xml:space="preserve"> ratio</w:t>
      </w:r>
      <w:r w:rsidR="00635311" w:rsidRPr="00635311">
        <w:rPr>
          <w:rFonts w:ascii="Times New Roman" w:hAnsi="Times New Roman" w:cs="Times New Roman"/>
          <w:sz w:val="24"/>
          <w:szCs w:val="24"/>
          <w:lang w:val="en-US"/>
        </w:rPr>
        <w:t xml:space="preserve">. </w:t>
      </w:r>
      <w:r w:rsidR="003274D5">
        <w:rPr>
          <w:rFonts w:ascii="Times New Roman" w:hAnsi="Times New Roman" w:cs="Times New Roman"/>
          <w:sz w:val="24"/>
          <w:szCs w:val="24"/>
          <w:lang w:val="en-US"/>
        </w:rPr>
        <w:t>T</w:t>
      </w:r>
      <w:r w:rsidR="00004196" w:rsidRPr="00004196">
        <w:rPr>
          <w:rFonts w:ascii="Times New Roman" w:hAnsi="Times New Roman" w:cs="Times New Roman"/>
          <w:sz w:val="24"/>
          <w:szCs w:val="24"/>
          <w:lang w:val="en-US"/>
        </w:rPr>
        <w:t>he</w:t>
      </w:r>
      <w:r w:rsidR="003274D5">
        <w:rPr>
          <w:rFonts w:ascii="Times New Roman" w:hAnsi="Times New Roman" w:cs="Times New Roman"/>
          <w:sz w:val="24"/>
          <w:szCs w:val="24"/>
          <w:lang w:val="en-US"/>
        </w:rPr>
        <w:t xml:space="preserve"> presence of loose monetary policies that contributed to an environment with lower interest rates, especially after the break out of the crisis, seems to have eased the households’</w:t>
      </w:r>
      <w:r w:rsidR="00004196" w:rsidRPr="00004196">
        <w:rPr>
          <w:rFonts w:ascii="Times New Roman" w:hAnsi="Times New Roman" w:cs="Times New Roman"/>
          <w:sz w:val="24"/>
          <w:szCs w:val="24"/>
          <w:lang w:val="en-US"/>
        </w:rPr>
        <w:t xml:space="preserve"> ability to lower their </w:t>
      </w:r>
      <w:r w:rsidR="003274D5">
        <w:rPr>
          <w:rFonts w:ascii="Times New Roman" w:hAnsi="Times New Roman" w:cs="Times New Roman"/>
          <w:sz w:val="24"/>
          <w:szCs w:val="24"/>
          <w:lang w:val="en-US"/>
        </w:rPr>
        <w:t xml:space="preserve">debt payment </w:t>
      </w:r>
      <w:r w:rsidR="00004196" w:rsidRPr="00004196">
        <w:rPr>
          <w:rFonts w:ascii="Times New Roman" w:hAnsi="Times New Roman" w:cs="Times New Roman"/>
          <w:sz w:val="24"/>
          <w:szCs w:val="24"/>
          <w:lang w:val="en-US"/>
        </w:rPr>
        <w:t>obligations by refinancing into loans with lower interest rates</w:t>
      </w:r>
      <w:r w:rsidR="003274D5">
        <w:rPr>
          <w:rFonts w:ascii="Times New Roman" w:hAnsi="Times New Roman" w:cs="Times New Roman"/>
          <w:sz w:val="24"/>
          <w:szCs w:val="24"/>
          <w:lang w:val="en-US"/>
        </w:rPr>
        <w:t>.</w:t>
      </w:r>
    </w:p>
    <w:p w:rsidR="00762076" w:rsidRDefault="00C96149" w:rsidP="004C2D7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results received robust support even when the analysis explicitly considered both</w:t>
      </w:r>
      <w:r w:rsidRPr="00C96149">
        <w:rPr>
          <w:rFonts w:ascii="Times New Roman" w:hAnsi="Times New Roman" w:cs="Times New Roman"/>
          <w:sz w:val="24"/>
          <w:szCs w:val="24"/>
          <w:lang w:val="en-US"/>
        </w:rPr>
        <w:t xml:space="preserve"> consumer credit and mortgage debt</w:t>
      </w:r>
      <w:r>
        <w:rPr>
          <w:rFonts w:ascii="Times New Roman" w:hAnsi="Times New Roman" w:cs="Times New Roman"/>
          <w:sz w:val="24"/>
          <w:szCs w:val="24"/>
          <w:lang w:val="en-US"/>
        </w:rPr>
        <w:t xml:space="preserve"> as additional drivers in explaining consumer spending, while the results held especially for the case of durable goods. </w:t>
      </w:r>
      <w:r w:rsidR="001628C0" w:rsidRPr="001628C0">
        <w:rPr>
          <w:rFonts w:ascii="Times New Roman" w:hAnsi="Times New Roman" w:cs="Times New Roman"/>
          <w:sz w:val="24"/>
          <w:szCs w:val="24"/>
          <w:lang w:val="en-US"/>
        </w:rPr>
        <w:t>Th</w:t>
      </w:r>
      <w:r>
        <w:rPr>
          <w:rFonts w:ascii="Times New Roman" w:hAnsi="Times New Roman" w:cs="Times New Roman"/>
          <w:sz w:val="24"/>
          <w:szCs w:val="24"/>
          <w:lang w:val="en-US"/>
        </w:rPr>
        <w:t>ese</w:t>
      </w:r>
      <w:r w:rsidR="001628C0" w:rsidRPr="001628C0">
        <w:rPr>
          <w:rFonts w:ascii="Times New Roman" w:hAnsi="Times New Roman" w:cs="Times New Roman"/>
          <w:sz w:val="24"/>
          <w:szCs w:val="24"/>
          <w:lang w:val="en-US"/>
        </w:rPr>
        <w:t xml:space="preserve"> result</w:t>
      </w:r>
      <w:r>
        <w:rPr>
          <w:rFonts w:ascii="Times New Roman" w:hAnsi="Times New Roman" w:cs="Times New Roman"/>
          <w:sz w:val="24"/>
          <w:szCs w:val="24"/>
          <w:lang w:val="en-US"/>
        </w:rPr>
        <w:t xml:space="preserve">s seem </w:t>
      </w:r>
      <w:r w:rsidR="001628C0" w:rsidRPr="001628C0">
        <w:rPr>
          <w:rFonts w:ascii="Times New Roman" w:hAnsi="Times New Roman" w:cs="Times New Roman"/>
          <w:sz w:val="24"/>
          <w:szCs w:val="24"/>
          <w:lang w:val="en-US"/>
        </w:rPr>
        <w:t>consistent with the role of debt service in affecting spending by constrained consumers who have some limited (but not zero) access to credit. Furthermore,</w:t>
      </w:r>
      <w:r>
        <w:rPr>
          <w:rFonts w:ascii="Times New Roman" w:hAnsi="Times New Roman" w:cs="Times New Roman"/>
          <w:sz w:val="24"/>
          <w:szCs w:val="24"/>
          <w:lang w:val="en-US"/>
        </w:rPr>
        <w:t xml:space="preserve"> </w:t>
      </w:r>
      <w:r w:rsidR="001628C0" w:rsidRPr="001628C0">
        <w:rPr>
          <w:rFonts w:ascii="Times New Roman" w:hAnsi="Times New Roman" w:cs="Times New Roman"/>
          <w:sz w:val="24"/>
          <w:szCs w:val="24"/>
          <w:lang w:val="en-US"/>
        </w:rPr>
        <w:t xml:space="preserve">the lack of a </w:t>
      </w:r>
      <w:r>
        <w:rPr>
          <w:rFonts w:ascii="Times New Roman" w:hAnsi="Times New Roman" w:cs="Times New Roman"/>
          <w:sz w:val="24"/>
          <w:szCs w:val="24"/>
          <w:lang w:val="en-US"/>
        </w:rPr>
        <w:t>strong</w:t>
      </w:r>
      <w:r w:rsidR="001628C0" w:rsidRPr="001628C0">
        <w:rPr>
          <w:rFonts w:ascii="Times New Roman" w:hAnsi="Times New Roman" w:cs="Times New Roman"/>
          <w:sz w:val="24"/>
          <w:szCs w:val="24"/>
          <w:lang w:val="en-US"/>
        </w:rPr>
        <w:t xml:space="preserve"> role for the debt-service rati</w:t>
      </w:r>
      <w:r>
        <w:rPr>
          <w:rFonts w:ascii="Times New Roman" w:hAnsi="Times New Roman" w:cs="Times New Roman"/>
          <w:sz w:val="24"/>
          <w:szCs w:val="24"/>
          <w:lang w:val="en-US"/>
        </w:rPr>
        <w:t xml:space="preserve">o in explaining spending </w:t>
      </w:r>
      <w:r w:rsidR="001628C0" w:rsidRPr="001628C0">
        <w:rPr>
          <w:rFonts w:ascii="Times New Roman" w:hAnsi="Times New Roman" w:cs="Times New Roman"/>
          <w:sz w:val="24"/>
          <w:szCs w:val="24"/>
          <w:lang w:val="en-US"/>
        </w:rPr>
        <w:t>for</w:t>
      </w:r>
      <w:r w:rsidR="001628C0">
        <w:rPr>
          <w:rFonts w:ascii="Times New Roman" w:hAnsi="Times New Roman" w:cs="Times New Roman"/>
          <w:sz w:val="24"/>
          <w:szCs w:val="24"/>
          <w:lang w:val="en-US"/>
        </w:rPr>
        <w:t xml:space="preserve"> </w:t>
      </w:r>
      <w:r w:rsidR="001628C0" w:rsidRPr="001628C0">
        <w:rPr>
          <w:rFonts w:ascii="Times New Roman" w:hAnsi="Times New Roman" w:cs="Times New Roman"/>
          <w:sz w:val="24"/>
          <w:szCs w:val="24"/>
          <w:lang w:val="en-US"/>
        </w:rPr>
        <w:t>nondurable goods</w:t>
      </w:r>
      <w:r>
        <w:rPr>
          <w:rFonts w:ascii="Times New Roman" w:hAnsi="Times New Roman" w:cs="Times New Roman"/>
          <w:sz w:val="24"/>
          <w:szCs w:val="24"/>
          <w:lang w:val="en-US"/>
        </w:rPr>
        <w:t>, as well as the null role in explaining spending for services,</w:t>
      </w:r>
      <w:r w:rsidR="001628C0" w:rsidRPr="001628C0">
        <w:rPr>
          <w:rFonts w:ascii="Times New Roman" w:hAnsi="Times New Roman" w:cs="Times New Roman"/>
          <w:sz w:val="24"/>
          <w:szCs w:val="24"/>
          <w:lang w:val="en-US"/>
        </w:rPr>
        <w:t xml:space="preserve"> seems consistent with the likely behavior of constrained consumers</w:t>
      </w:r>
      <w:r>
        <w:rPr>
          <w:rFonts w:ascii="Times New Roman" w:hAnsi="Times New Roman" w:cs="Times New Roman"/>
          <w:sz w:val="24"/>
          <w:szCs w:val="24"/>
          <w:lang w:val="en-US"/>
        </w:rPr>
        <w:t xml:space="preserve"> </w:t>
      </w:r>
      <w:r w:rsidR="001628C0" w:rsidRPr="001628C0">
        <w:rPr>
          <w:rFonts w:ascii="Times New Roman" w:hAnsi="Times New Roman" w:cs="Times New Roman"/>
          <w:sz w:val="24"/>
          <w:szCs w:val="24"/>
          <w:lang w:val="en-US"/>
        </w:rPr>
        <w:t>slowing their spending on discretionary items</w:t>
      </w:r>
      <w:r>
        <w:rPr>
          <w:rFonts w:ascii="Times New Roman" w:hAnsi="Times New Roman" w:cs="Times New Roman"/>
          <w:sz w:val="24"/>
          <w:szCs w:val="24"/>
          <w:lang w:val="en-US"/>
        </w:rPr>
        <w:t>,</w:t>
      </w:r>
      <w:r w:rsidR="001628C0" w:rsidRPr="001628C0">
        <w:rPr>
          <w:rFonts w:ascii="Times New Roman" w:hAnsi="Times New Roman" w:cs="Times New Roman"/>
          <w:sz w:val="24"/>
          <w:szCs w:val="24"/>
          <w:lang w:val="en-US"/>
        </w:rPr>
        <w:t xml:space="preserve"> rather than necessities.</w:t>
      </w:r>
      <w:r w:rsidR="00762076">
        <w:rPr>
          <w:rFonts w:ascii="Times New Roman" w:hAnsi="Times New Roman" w:cs="Times New Roman"/>
          <w:sz w:val="24"/>
          <w:szCs w:val="24"/>
          <w:lang w:val="en-US"/>
        </w:rPr>
        <w:t xml:space="preserve"> Finally, the empirical analysis identified the relative importance of certain debt mechanisms in affecting consumption decisions. In particular, the findings clearly reflected the dominant role of liquidity (borrowing) constraints in affecting such decisions, while the relative importance of the course of interest rates was also substantial. </w:t>
      </w:r>
    </w:p>
    <w:p w:rsidR="001628C0" w:rsidRDefault="004C2D7F" w:rsidP="0076207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w:t>
      </w:r>
      <w:r w:rsidRPr="004C2D7F">
        <w:rPr>
          <w:rFonts w:ascii="Times New Roman" w:hAnsi="Times New Roman" w:cs="Times New Roman"/>
          <w:sz w:val="24"/>
          <w:szCs w:val="24"/>
          <w:lang w:val="en-US"/>
        </w:rPr>
        <w:t xml:space="preserve">household debt </w:t>
      </w:r>
      <w:r>
        <w:rPr>
          <w:rFonts w:ascii="Times New Roman" w:hAnsi="Times New Roman" w:cs="Times New Roman"/>
          <w:sz w:val="24"/>
          <w:szCs w:val="24"/>
          <w:lang w:val="en-US"/>
        </w:rPr>
        <w:t xml:space="preserve">is shown to be </w:t>
      </w:r>
      <w:r w:rsidRPr="004C2D7F">
        <w:rPr>
          <w:rFonts w:ascii="Times New Roman" w:hAnsi="Times New Roman" w:cs="Times New Roman"/>
          <w:sz w:val="24"/>
          <w:szCs w:val="24"/>
          <w:lang w:val="en-US"/>
        </w:rPr>
        <w:t>a signi</w:t>
      </w:r>
      <w:r>
        <w:rPr>
          <w:rFonts w:ascii="Times New Roman" w:hAnsi="Times New Roman" w:cs="Times New Roman"/>
          <w:sz w:val="24"/>
          <w:szCs w:val="24"/>
          <w:lang w:val="en-US"/>
        </w:rPr>
        <w:t>fi</w:t>
      </w:r>
      <w:r w:rsidRPr="004C2D7F">
        <w:rPr>
          <w:rFonts w:ascii="Times New Roman" w:hAnsi="Times New Roman" w:cs="Times New Roman"/>
          <w:sz w:val="24"/>
          <w:szCs w:val="24"/>
          <w:lang w:val="en-US"/>
        </w:rPr>
        <w:t>cant predictor of household consumption behavior, even after con</w:t>
      </w:r>
      <w:r>
        <w:rPr>
          <w:rFonts w:ascii="Times New Roman" w:hAnsi="Times New Roman" w:cs="Times New Roman"/>
          <w:sz w:val="24"/>
          <w:szCs w:val="24"/>
          <w:lang w:val="en-US"/>
        </w:rPr>
        <w:t>trolling for other drivers of consumption</w:t>
      </w:r>
      <w:r w:rsidRPr="004C2D7F">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4C2D7F">
        <w:rPr>
          <w:rFonts w:ascii="Times New Roman" w:hAnsi="Times New Roman" w:cs="Times New Roman"/>
          <w:sz w:val="24"/>
          <w:szCs w:val="24"/>
          <w:lang w:val="en-US"/>
        </w:rPr>
        <w:t xml:space="preserve">his paper points to the importance of models which incorporate heterogeneous </w:t>
      </w:r>
      <w:r w:rsidRPr="004C2D7F">
        <w:rPr>
          <w:rFonts w:ascii="Times New Roman" w:hAnsi="Times New Roman" w:cs="Times New Roman"/>
          <w:sz w:val="24"/>
          <w:szCs w:val="24"/>
          <w:lang w:val="en-US"/>
        </w:rPr>
        <w:lastRenderedPageBreak/>
        <w:t>households and account</w:t>
      </w:r>
      <w:r>
        <w:rPr>
          <w:rFonts w:ascii="Times New Roman" w:hAnsi="Times New Roman" w:cs="Times New Roman"/>
          <w:sz w:val="24"/>
          <w:szCs w:val="24"/>
          <w:lang w:val="en-US"/>
        </w:rPr>
        <w:t xml:space="preserve"> for</w:t>
      </w:r>
      <w:r w:rsidRPr="004C2D7F">
        <w:rPr>
          <w:rFonts w:ascii="Times New Roman" w:hAnsi="Times New Roman" w:cs="Times New Roman"/>
          <w:sz w:val="24"/>
          <w:szCs w:val="24"/>
          <w:lang w:val="en-US"/>
        </w:rPr>
        <w:t xml:space="preserve"> household balance sheet positions.</w:t>
      </w:r>
      <w:r w:rsidR="00ED1F8E">
        <w:rPr>
          <w:rFonts w:ascii="Times New Roman" w:hAnsi="Times New Roman" w:cs="Times New Roman"/>
          <w:sz w:val="24"/>
          <w:szCs w:val="24"/>
          <w:lang w:val="en-US"/>
        </w:rPr>
        <w:t xml:space="preserve"> Specific</w:t>
      </w:r>
      <w:r w:rsidR="00ED1F8E" w:rsidRPr="00ED1F8E">
        <w:rPr>
          <w:rFonts w:ascii="Times New Roman" w:hAnsi="Times New Roman" w:cs="Times New Roman"/>
          <w:sz w:val="24"/>
          <w:szCs w:val="24"/>
          <w:lang w:val="en-US"/>
        </w:rPr>
        <w:t xml:space="preserve"> macroeconomic policies, such as fiscal</w:t>
      </w:r>
      <w:r w:rsidR="00ED1F8E">
        <w:rPr>
          <w:rFonts w:ascii="Times New Roman" w:hAnsi="Times New Roman" w:cs="Times New Roman"/>
          <w:sz w:val="24"/>
          <w:szCs w:val="24"/>
          <w:lang w:val="en-US"/>
        </w:rPr>
        <w:t xml:space="preserve"> </w:t>
      </w:r>
      <w:r w:rsidR="00ED1F8E" w:rsidRPr="00ED1F8E">
        <w:rPr>
          <w:rFonts w:ascii="Times New Roman" w:hAnsi="Times New Roman" w:cs="Times New Roman"/>
          <w:sz w:val="24"/>
          <w:szCs w:val="24"/>
          <w:lang w:val="en-US"/>
        </w:rPr>
        <w:t>transfers to favor household debt restructuring or cuts in</w:t>
      </w:r>
      <w:r w:rsidR="00ED1F8E">
        <w:rPr>
          <w:rFonts w:ascii="Times New Roman" w:hAnsi="Times New Roman" w:cs="Times New Roman"/>
          <w:sz w:val="24"/>
          <w:szCs w:val="24"/>
          <w:lang w:val="en-US"/>
        </w:rPr>
        <w:t xml:space="preserve"> </w:t>
      </w:r>
      <w:r w:rsidR="00ED1F8E" w:rsidRPr="00ED1F8E">
        <w:rPr>
          <w:rFonts w:ascii="Times New Roman" w:hAnsi="Times New Roman" w:cs="Times New Roman"/>
          <w:sz w:val="24"/>
          <w:szCs w:val="24"/>
          <w:lang w:val="en-US"/>
        </w:rPr>
        <w:t xml:space="preserve">interest rates to historic lows, </w:t>
      </w:r>
      <w:r w:rsidR="00ED1F8E">
        <w:rPr>
          <w:rFonts w:ascii="Times New Roman" w:hAnsi="Times New Roman" w:cs="Times New Roman"/>
          <w:sz w:val="24"/>
          <w:szCs w:val="24"/>
          <w:lang w:val="en-US"/>
        </w:rPr>
        <w:t xml:space="preserve">have affected </w:t>
      </w:r>
      <w:r w:rsidR="00ED1F8E" w:rsidRPr="00ED1F8E">
        <w:rPr>
          <w:rFonts w:ascii="Times New Roman" w:hAnsi="Times New Roman" w:cs="Times New Roman"/>
          <w:sz w:val="24"/>
          <w:szCs w:val="24"/>
          <w:lang w:val="en-US"/>
        </w:rPr>
        <w:t>household</w:t>
      </w:r>
      <w:r w:rsidR="00ED1F8E">
        <w:rPr>
          <w:rFonts w:ascii="Times New Roman" w:hAnsi="Times New Roman" w:cs="Times New Roman"/>
          <w:sz w:val="24"/>
          <w:szCs w:val="24"/>
          <w:lang w:val="en-US"/>
        </w:rPr>
        <w:t>s’</w:t>
      </w:r>
      <w:r w:rsidR="0059151B">
        <w:rPr>
          <w:rFonts w:ascii="Times New Roman" w:hAnsi="Times New Roman" w:cs="Times New Roman"/>
          <w:sz w:val="24"/>
          <w:szCs w:val="24"/>
          <w:lang w:val="en-US"/>
        </w:rPr>
        <w:t xml:space="preserve"> debt-</w:t>
      </w:r>
      <w:r w:rsidR="00ED1F8E">
        <w:rPr>
          <w:rFonts w:ascii="Times New Roman" w:hAnsi="Times New Roman" w:cs="Times New Roman"/>
          <w:sz w:val="24"/>
          <w:szCs w:val="24"/>
          <w:lang w:val="en-US"/>
        </w:rPr>
        <w:t>service ratios, as well as</w:t>
      </w:r>
      <w:r w:rsidR="00ED1F8E" w:rsidRPr="00ED1F8E">
        <w:rPr>
          <w:rFonts w:ascii="Times New Roman" w:hAnsi="Times New Roman" w:cs="Times New Roman"/>
          <w:sz w:val="24"/>
          <w:szCs w:val="24"/>
          <w:lang w:val="en-US"/>
        </w:rPr>
        <w:t xml:space="preserve"> the household</w:t>
      </w:r>
      <w:r w:rsidR="00ED1F8E">
        <w:rPr>
          <w:rFonts w:ascii="Times New Roman" w:hAnsi="Times New Roman" w:cs="Times New Roman"/>
          <w:sz w:val="24"/>
          <w:szCs w:val="24"/>
          <w:lang w:val="en-US"/>
        </w:rPr>
        <w:t>s’</w:t>
      </w:r>
      <w:r w:rsidR="00ED1F8E" w:rsidRPr="00ED1F8E">
        <w:rPr>
          <w:rFonts w:ascii="Times New Roman" w:hAnsi="Times New Roman" w:cs="Times New Roman"/>
          <w:sz w:val="24"/>
          <w:szCs w:val="24"/>
          <w:lang w:val="en-US"/>
        </w:rPr>
        <w:t xml:space="preserve"> cash flow</w:t>
      </w:r>
      <w:r w:rsidR="00ED1F8E">
        <w:rPr>
          <w:rFonts w:ascii="Times New Roman" w:hAnsi="Times New Roman" w:cs="Times New Roman"/>
          <w:sz w:val="24"/>
          <w:szCs w:val="24"/>
          <w:lang w:val="en-US"/>
        </w:rPr>
        <w:t>s</w:t>
      </w:r>
      <w:r w:rsidR="00ED1F8E" w:rsidRPr="00ED1F8E">
        <w:rPr>
          <w:rFonts w:ascii="Times New Roman" w:hAnsi="Times New Roman" w:cs="Times New Roman"/>
          <w:sz w:val="24"/>
          <w:szCs w:val="24"/>
          <w:lang w:val="en-US"/>
        </w:rPr>
        <w:t xml:space="preserve"> and they</w:t>
      </w:r>
      <w:r w:rsidR="00ED1F8E">
        <w:rPr>
          <w:rFonts w:ascii="Times New Roman" w:hAnsi="Times New Roman" w:cs="Times New Roman"/>
          <w:sz w:val="24"/>
          <w:szCs w:val="24"/>
          <w:lang w:val="en-US"/>
        </w:rPr>
        <w:t xml:space="preserve"> </w:t>
      </w:r>
      <w:r w:rsidR="00ED1F8E" w:rsidRPr="00ED1F8E">
        <w:rPr>
          <w:rFonts w:ascii="Times New Roman" w:hAnsi="Times New Roman" w:cs="Times New Roman"/>
          <w:sz w:val="24"/>
          <w:szCs w:val="24"/>
          <w:lang w:val="en-US"/>
        </w:rPr>
        <w:t>are relevant counterweights of</w:t>
      </w:r>
      <w:r w:rsidR="00ED1F8E">
        <w:rPr>
          <w:rFonts w:ascii="Times New Roman" w:hAnsi="Times New Roman" w:cs="Times New Roman"/>
          <w:sz w:val="24"/>
          <w:szCs w:val="24"/>
          <w:lang w:val="en-US"/>
        </w:rPr>
        <w:t xml:space="preserve"> consumption dynamics. Therefore</w:t>
      </w:r>
      <w:r w:rsidR="00ED1F8E" w:rsidRPr="00ED1F8E">
        <w:rPr>
          <w:rFonts w:ascii="Times New Roman" w:hAnsi="Times New Roman" w:cs="Times New Roman"/>
          <w:sz w:val="24"/>
          <w:szCs w:val="24"/>
          <w:lang w:val="en-US"/>
        </w:rPr>
        <w:t>,</w:t>
      </w:r>
      <w:r w:rsidR="00ED1F8E">
        <w:rPr>
          <w:rFonts w:ascii="Times New Roman" w:hAnsi="Times New Roman" w:cs="Times New Roman"/>
          <w:sz w:val="24"/>
          <w:szCs w:val="24"/>
          <w:lang w:val="en-US"/>
        </w:rPr>
        <w:t xml:space="preserve"> the </w:t>
      </w:r>
      <w:r w:rsidR="00ED1F8E" w:rsidRPr="00ED1F8E">
        <w:rPr>
          <w:rFonts w:ascii="Times New Roman" w:hAnsi="Times New Roman" w:cs="Times New Roman"/>
          <w:sz w:val="24"/>
          <w:szCs w:val="24"/>
          <w:lang w:val="en-US"/>
        </w:rPr>
        <w:t>restructuring of financial institutions</w:t>
      </w:r>
      <w:r w:rsidR="00ED1F8E">
        <w:rPr>
          <w:rFonts w:ascii="Times New Roman" w:hAnsi="Times New Roman" w:cs="Times New Roman"/>
          <w:sz w:val="24"/>
          <w:szCs w:val="24"/>
          <w:lang w:val="en-US"/>
        </w:rPr>
        <w:t xml:space="preserve"> that suffered significantly from the 2008 crisis event and onwards is more than a necessity, which is expected to substantially</w:t>
      </w:r>
      <w:r w:rsidR="00ED1F8E" w:rsidRPr="00ED1F8E">
        <w:rPr>
          <w:rFonts w:ascii="Times New Roman" w:hAnsi="Times New Roman" w:cs="Times New Roman"/>
          <w:sz w:val="24"/>
          <w:szCs w:val="24"/>
          <w:lang w:val="en-US"/>
        </w:rPr>
        <w:t xml:space="preserve"> affect </w:t>
      </w:r>
      <w:r w:rsidR="00ED1F8E">
        <w:rPr>
          <w:rFonts w:ascii="Times New Roman" w:hAnsi="Times New Roman" w:cs="Times New Roman"/>
          <w:sz w:val="24"/>
          <w:szCs w:val="24"/>
          <w:lang w:val="en-US"/>
        </w:rPr>
        <w:t xml:space="preserve">future </w:t>
      </w:r>
      <w:r w:rsidR="00ED1F8E" w:rsidRPr="00ED1F8E">
        <w:rPr>
          <w:rFonts w:ascii="Times New Roman" w:hAnsi="Times New Roman" w:cs="Times New Roman"/>
          <w:sz w:val="24"/>
          <w:szCs w:val="24"/>
          <w:lang w:val="en-US"/>
        </w:rPr>
        <w:t>credit conditions</w:t>
      </w:r>
      <w:r w:rsidR="00A53171">
        <w:rPr>
          <w:rFonts w:ascii="Times New Roman" w:hAnsi="Times New Roman" w:cs="Times New Roman"/>
          <w:sz w:val="24"/>
          <w:szCs w:val="24"/>
          <w:lang w:val="en-US"/>
        </w:rPr>
        <w:t>, the future course of consumer spending and the future itself of the real economy</w:t>
      </w:r>
      <w:r w:rsidR="00ED1F8E" w:rsidRPr="00ED1F8E">
        <w:rPr>
          <w:rFonts w:ascii="Times New Roman" w:hAnsi="Times New Roman" w:cs="Times New Roman"/>
          <w:sz w:val="24"/>
          <w:szCs w:val="24"/>
          <w:lang w:val="en-US"/>
        </w:rPr>
        <w:t>.</w:t>
      </w:r>
      <w:r w:rsidR="00736C20">
        <w:rPr>
          <w:rFonts w:ascii="Times New Roman" w:hAnsi="Times New Roman" w:cs="Times New Roman"/>
          <w:sz w:val="24"/>
          <w:szCs w:val="24"/>
          <w:lang w:val="en-US"/>
        </w:rPr>
        <w:t xml:space="preserve"> </w:t>
      </w:r>
      <w:r w:rsidR="00972013">
        <w:rPr>
          <w:rFonts w:ascii="Times New Roman" w:hAnsi="Times New Roman" w:cs="Times New Roman"/>
          <w:sz w:val="24"/>
          <w:szCs w:val="24"/>
          <w:lang w:val="en-US"/>
        </w:rPr>
        <w:t>F</w:t>
      </w:r>
      <w:r w:rsidR="00972013" w:rsidRPr="00972013">
        <w:rPr>
          <w:rFonts w:ascii="Times New Roman" w:hAnsi="Times New Roman" w:cs="Times New Roman"/>
          <w:sz w:val="24"/>
          <w:szCs w:val="24"/>
          <w:lang w:val="en-US"/>
        </w:rPr>
        <w:t>inancial institutions</w:t>
      </w:r>
      <w:r w:rsidR="00972013">
        <w:rPr>
          <w:rFonts w:ascii="Times New Roman" w:hAnsi="Times New Roman" w:cs="Times New Roman"/>
          <w:sz w:val="24"/>
          <w:szCs w:val="24"/>
          <w:lang w:val="en-US"/>
        </w:rPr>
        <w:t xml:space="preserve"> </w:t>
      </w:r>
      <w:r w:rsidR="00972013" w:rsidRPr="00972013">
        <w:rPr>
          <w:rFonts w:ascii="Times New Roman" w:hAnsi="Times New Roman" w:cs="Times New Roman"/>
          <w:sz w:val="24"/>
          <w:szCs w:val="24"/>
          <w:lang w:val="en-US"/>
        </w:rPr>
        <w:t>are responsible for assessing the risk and the ability of</w:t>
      </w:r>
      <w:r w:rsidR="00972013">
        <w:rPr>
          <w:rFonts w:ascii="Times New Roman" w:hAnsi="Times New Roman" w:cs="Times New Roman"/>
          <w:sz w:val="24"/>
          <w:szCs w:val="24"/>
          <w:lang w:val="en-US"/>
        </w:rPr>
        <w:t xml:space="preserve"> </w:t>
      </w:r>
      <w:r w:rsidR="00972013" w:rsidRPr="00972013">
        <w:rPr>
          <w:rFonts w:ascii="Times New Roman" w:hAnsi="Times New Roman" w:cs="Times New Roman"/>
          <w:sz w:val="24"/>
          <w:szCs w:val="24"/>
          <w:lang w:val="en-US"/>
        </w:rPr>
        <w:t>their clients to service their debts. Regulatory authorities</w:t>
      </w:r>
      <w:r w:rsidR="00972013">
        <w:rPr>
          <w:rFonts w:ascii="Times New Roman" w:hAnsi="Times New Roman" w:cs="Times New Roman"/>
          <w:sz w:val="24"/>
          <w:szCs w:val="24"/>
          <w:lang w:val="en-US"/>
        </w:rPr>
        <w:t xml:space="preserve"> in many countries </w:t>
      </w:r>
      <w:r w:rsidR="00972013" w:rsidRPr="00972013">
        <w:rPr>
          <w:rFonts w:ascii="Times New Roman" w:hAnsi="Times New Roman" w:cs="Times New Roman"/>
          <w:sz w:val="24"/>
          <w:szCs w:val="24"/>
          <w:lang w:val="en-US"/>
        </w:rPr>
        <w:t xml:space="preserve">have taken measures to strengthen </w:t>
      </w:r>
      <w:r w:rsidR="00972013">
        <w:rPr>
          <w:rFonts w:ascii="Times New Roman" w:hAnsi="Times New Roman" w:cs="Times New Roman"/>
          <w:sz w:val="24"/>
          <w:szCs w:val="24"/>
          <w:lang w:val="en-US"/>
        </w:rPr>
        <w:t xml:space="preserve">borrowing, especially, </w:t>
      </w:r>
      <w:r w:rsidR="00972013" w:rsidRPr="00972013">
        <w:rPr>
          <w:rFonts w:ascii="Times New Roman" w:hAnsi="Times New Roman" w:cs="Times New Roman"/>
          <w:sz w:val="24"/>
          <w:szCs w:val="24"/>
          <w:lang w:val="en-US"/>
        </w:rPr>
        <w:t>mortgage rules</w:t>
      </w:r>
      <w:r w:rsidR="00972013">
        <w:rPr>
          <w:rFonts w:ascii="Times New Roman" w:hAnsi="Times New Roman" w:cs="Times New Roman"/>
          <w:sz w:val="24"/>
          <w:szCs w:val="24"/>
          <w:lang w:val="en-US"/>
        </w:rPr>
        <w:t xml:space="preserve"> </w:t>
      </w:r>
      <w:r w:rsidR="00972013" w:rsidRPr="00972013">
        <w:rPr>
          <w:rFonts w:ascii="Times New Roman" w:hAnsi="Times New Roman" w:cs="Times New Roman"/>
          <w:sz w:val="24"/>
          <w:szCs w:val="24"/>
          <w:lang w:val="en-US"/>
        </w:rPr>
        <w:t>since 2008 and continue to monitor closely the financial</w:t>
      </w:r>
      <w:r w:rsidR="00972013">
        <w:rPr>
          <w:rFonts w:ascii="Times New Roman" w:hAnsi="Times New Roman" w:cs="Times New Roman"/>
          <w:sz w:val="24"/>
          <w:szCs w:val="24"/>
          <w:lang w:val="en-US"/>
        </w:rPr>
        <w:t xml:space="preserve"> </w:t>
      </w:r>
      <w:r w:rsidR="00972013" w:rsidRPr="00972013">
        <w:rPr>
          <w:rFonts w:ascii="Times New Roman" w:hAnsi="Times New Roman" w:cs="Times New Roman"/>
          <w:sz w:val="24"/>
          <w:szCs w:val="24"/>
          <w:lang w:val="en-US"/>
        </w:rPr>
        <w:t>situation of households. In addition, other government</w:t>
      </w:r>
      <w:r w:rsidR="00972013">
        <w:rPr>
          <w:rFonts w:ascii="Times New Roman" w:hAnsi="Times New Roman" w:cs="Times New Roman"/>
          <w:sz w:val="24"/>
          <w:szCs w:val="24"/>
          <w:lang w:val="en-US"/>
        </w:rPr>
        <w:t xml:space="preserve"> </w:t>
      </w:r>
      <w:r w:rsidR="00972013" w:rsidRPr="00972013">
        <w:rPr>
          <w:rFonts w:ascii="Times New Roman" w:hAnsi="Times New Roman" w:cs="Times New Roman"/>
          <w:sz w:val="24"/>
          <w:szCs w:val="24"/>
          <w:lang w:val="en-US"/>
        </w:rPr>
        <w:t>bodies have developed useful information to educate</w:t>
      </w:r>
      <w:r w:rsidR="00972013">
        <w:rPr>
          <w:rFonts w:ascii="Times New Roman" w:hAnsi="Times New Roman" w:cs="Times New Roman"/>
          <w:sz w:val="24"/>
          <w:szCs w:val="24"/>
          <w:lang w:val="en-US"/>
        </w:rPr>
        <w:t xml:space="preserve"> </w:t>
      </w:r>
      <w:r w:rsidR="00972013" w:rsidRPr="00972013">
        <w:rPr>
          <w:rFonts w:ascii="Times New Roman" w:hAnsi="Times New Roman" w:cs="Times New Roman"/>
          <w:sz w:val="24"/>
          <w:szCs w:val="24"/>
          <w:lang w:val="en-US"/>
        </w:rPr>
        <w:t xml:space="preserve">households and sensitize them to the risks of </w:t>
      </w:r>
      <w:proofErr w:type="spellStart"/>
      <w:r w:rsidR="00972013" w:rsidRPr="00972013">
        <w:rPr>
          <w:rFonts w:ascii="Times New Roman" w:hAnsi="Times New Roman" w:cs="Times New Roman"/>
          <w:sz w:val="24"/>
          <w:szCs w:val="24"/>
          <w:lang w:val="en-US"/>
        </w:rPr>
        <w:t>overindebtedness</w:t>
      </w:r>
      <w:proofErr w:type="spellEnd"/>
      <w:r w:rsidR="00972013" w:rsidRPr="00972013">
        <w:rPr>
          <w:rFonts w:ascii="Times New Roman" w:hAnsi="Times New Roman" w:cs="Times New Roman"/>
          <w:sz w:val="24"/>
          <w:szCs w:val="24"/>
          <w:lang w:val="en-US"/>
        </w:rPr>
        <w:t>.</w:t>
      </w:r>
      <w:r w:rsidR="00972013">
        <w:rPr>
          <w:rFonts w:ascii="Times New Roman" w:hAnsi="Times New Roman" w:cs="Times New Roman"/>
          <w:sz w:val="24"/>
          <w:szCs w:val="24"/>
          <w:lang w:val="en-US"/>
        </w:rPr>
        <w:t xml:space="preserve"> </w:t>
      </w:r>
      <w:r w:rsidR="00736C20">
        <w:rPr>
          <w:rFonts w:ascii="Times New Roman" w:hAnsi="Times New Roman" w:cs="Times New Roman"/>
          <w:sz w:val="24"/>
          <w:szCs w:val="24"/>
          <w:lang w:val="en-US"/>
        </w:rPr>
        <w:t xml:space="preserve">In addition, </w:t>
      </w:r>
      <w:r w:rsidR="00736C20" w:rsidRPr="00736C20">
        <w:rPr>
          <w:rFonts w:ascii="Times New Roman" w:hAnsi="Times New Roman" w:cs="Times New Roman"/>
          <w:sz w:val="24"/>
          <w:szCs w:val="24"/>
          <w:lang w:val="en-US"/>
        </w:rPr>
        <w:t xml:space="preserve">policymakers </w:t>
      </w:r>
      <w:r w:rsidR="00736C20">
        <w:rPr>
          <w:rFonts w:ascii="Times New Roman" w:hAnsi="Times New Roman" w:cs="Times New Roman"/>
          <w:sz w:val="24"/>
          <w:szCs w:val="24"/>
          <w:lang w:val="en-US"/>
        </w:rPr>
        <w:t xml:space="preserve">should intensify their attempts to </w:t>
      </w:r>
      <w:r w:rsidR="00736C20" w:rsidRPr="00736C20">
        <w:rPr>
          <w:rFonts w:ascii="Times New Roman" w:hAnsi="Times New Roman" w:cs="Times New Roman"/>
          <w:sz w:val="24"/>
          <w:szCs w:val="24"/>
          <w:lang w:val="en-US"/>
        </w:rPr>
        <w:t>control high</w:t>
      </w:r>
      <w:r w:rsidR="00736C20">
        <w:rPr>
          <w:rFonts w:ascii="Times New Roman" w:hAnsi="Times New Roman" w:cs="Times New Roman"/>
          <w:sz w:val="24"/>
          <w:szCs w:val="24"/>
          <w:lang w:val="en-US"/>
        </w:rPr>
        <w:t xml:space="preserve"> </w:t>
      </w:r>
      <w:r w:rsidR="00736C20" w:rsidRPr="00736C20">
        <w:rPr>
          <w:rFonts w:ascii="Times New Roman" w:hAnsi="Times New Roman" w:cs="Times New Roman"/>
          <w:sz w:val="24"/>
          <w:szCs w:val="24"/>
          <w:lang w:val="en-US"/>
        </w:rPr>
        <w:t>debt level</w:t>
      </w:r>
      <w:r w:rsidR="00736C20">
        <w:rPr>
          <w:rFonts w:ascii="Times New Roman" w:hAnsi="Times New Roman" w:cs="Times New Roman"/>
          <w:sz w:val="24"/>
          <w:szCs w:val="24"/>
          <w:lang w:val="en-US"/>
        </w:rPr>
        <w:t>s</w:t>
      </w:r>
      <w:r w:rsidR="00736C20" w:rsidRPr="00736C20">
        <w:rPr>
          <w:rFonts w:ascii="Times New Roman" w:hAnsi="Times New Roman" w:cs="Times New Roman"/>
          <w:sz w:val="24"/>
          <w:szCs w:val="24"/>
          <w:lang w:val="en-US"/>
        </w:rPr>
        <w:t xml:space="preserve">. </w:t>
      </w:r>
      <w:r w:rsidR="00D45D4E">
        <w:rPr>
          <w:rFonts w:ascii="Times New Roman" w:hAnsi="Times New Roman" w:cs="Times New Roman"/>
          <w:sz w:val="24"/>
          <w:szCs w:val="24"/>
          <w:lang w:val="en-US"/>
        </w:rPr>
        <w:t>It is also worth pointing out the role of monetary policy in contributing to reduc</w:t>
      </w:r>
      <w:r w:rsidR="00BC7187">
        <w:rPr>
          <w:rFonts w:ascii="Times New Roman" w:hAnsi="Times New Roman" w:cs="Times New Roman"/>
          <w:sz w:val="24"/>
          <w:szCs w:val="24"/>
          <w:lang w:val="en-US"/>
        </w:rPr>
        <w:t xml:space="preserve">ed </w:t>
      </w:r>
      <w:r w:rsidR="00D45D4E">
        <w:rPr>
          <w:rFonts w:ascii="Times New Roman" w:hAnsi="Times New Roman" w:cs="Times New Roman"/>
          <w:sz w:val="24"/>
          <w:szCs w:val="24"/>
          <w:lang w:val="en-US"/>
        </w:rPr>
        <w:t>real debt burdens by raising inflationary expectations (</w:t>
      </w:r>
      <w:proofErr w:type="spellStart"/>
      <w:r w:rsidR="00D45D4E">
        <w:rPr>
          <w:rFonts w:ascii="Times New Roman" w:hAnsi="Times New Roman" w:cs="Times New Roman"/>
          <w:sz w:val="24"/>
          <w:szCs w:val="24"/>
          <w:lang w:val="en-US"/>
        </w:rPr>
        <w:t>Svensson</w:t>
      </w:r>
      <w:proofErr w:type="spellEnd"/>
      <w:r w:rsidR="00D45D4E">
        <w:rPr>
          <w:rFonts w:ascii="Times New Roman" w:hAnsi="Times New Roman" w:cs="Times New Roman"/>
          <w:sz w:val="24"/>
          <w:szCs w:val="24"/>
          <w:lang w:val="en-US"/>
        </w:rPr>
        <w:t>, 2012), without of course ignoring the consequences for the central bank’s credibility. Moreover, financial policies could also affect the cost and availability of debt (credit) in a sense that con</w:t>
      </w:r>
      <w:r w:rsidR="00BC7187">
        <w:rPr>
          <w:rFonts w:ascii="Times New Roman" w:hAnsi="Times New Roman" w:cs="Times New Roman"/>
          <w:sz w:val="24"/>
          <w:szCs w:val="24"/>
          <w:lang w:val="en-US"/>
        </w:rPr>
        <w:t>sumers could lo</w:t>
      </w:r>
      <w:r w:rsidR="00D45D4E">
        <w:rPr>
          <w:rFonts w:ascii="Times New Roman" w:hAnsi="Times New Roman" w:cs="Times New Roman"/>
          <w:sz w:val="24"/>
          <w:szCs w:val="24"/>
          <w:lang w:val="en-US"/>
        </w:rPr>
        <w:t>se any incentive</w:t>
      </w:r>
      <w:r w:rsidR="00BC7187">
        <w:rPr>
          <w:rFonts w:ascii="Times New Roman" w:hAnsi="Times New Roman" w:cs="Times New Roman"/>
          <w:sz w:val="24"/>
          <w:szCs w:val="24"/>
          <w:lang w:val="en-US"/>
        </w:rPr>
        <w:t>s</w:t>
      </w:r>
      <w:r w:rsidR="00D45D4E">
        <w:rPr>
          <w:rFonts w:ascii="Times New Roman" w:hAnsi="Times New Roman" w:cs="Times New Roman"/>
          <w:sz w:val="24"/>
          <w:szCs w:val="24"/>
          <w:lang w:val="en-US"/>
        </w:rPr>
        <w:t xml:space="preserve"> to accumulate household debt (</w:t>
      </w:r>
      <w:proofErr w:type="spellStart"/>
      <w:r w:rsidR="00D45D4E">
        <w:rPr>
          <w:rFonts w:ascii="Times New Roman" w:hAnsi="Times New Roman" w:cs="Times New Roman"/>
          <w:sz w:val="24"/>
          <w:szCs w:val="24"/>
          <w:lang w:val="en-US"/>
        </w:rPr>
        <w:t>Mishkin</w:t>
      </w:r>
      <w:proofErr w:type="spellEnd"/>
      <w:r w:rsidR="00D45D4E">
        <w:rPr>
          <w:rFonts w:ascii="Times New Roman" w:hAnsi="Times New Roman" w:cs="Times New Roman"/>
          <w:sz w:val="24"/>
          <w:szCs w:val="24"/>
          <w:lang w:val="en-US"/>
        </w:rPr>
        <w:t xml:space="preserve">, 1976, 1977, 1978). In other words, it is the role of </w:t>
      </w:r>
      <w:proofErr w:type="spellStart"/>
      <w:r w:rsidR="00D45D4E">
        <w:rPr>
          <w:rFonts w:ascii="Times New Roman" w:hAnsi="Times New Roman" w:cs="Times New Roman"/>
          <w:sz w:val="24"/>
          <w:szCs w:val="24"/>
          <w:lang w:val="en-US"/>
        </w:rPr>
        <w:t>macroprudential</w:t>
      </w:r>
      <w:proofErr w:type="spellEnd"/>
      <w:r w:rsidR="00D45D4E">
        <w:rPr>
          <w:rFonts w:ascii="Times New Roman" w:hAnsi="Times New Roman" w:cs="Times New Roman"/>
          <w:sz w:val="24"/>
          <w:szCs w:val="24"/>
          <w:lang w:val="en-US"/>
        </w:rPr>
        <w:t xml:space="preserve"> pol</w:t>
      </w:r>
      <w:r w:rsidR="00E92EBC">
        <w:rPr>
          <w:rFonts w:ascii="Times New Roman" w:hAnsi="Times New Roman" w:cs="Times New Roman"/>
          <w:sz w:val="24"/>
          <w:szCs w:val="24"/>
          <w:lang w:val="en-US"/>
        </w:rPr>
        <w:t>icies that could affect or limit credit expansions, along with certain institutional arrangements expected to impact the cost and availability of credit, such as the cost of defaults which is closely associated with consumption, especially during stressful economic conditions (Olney, 1999).</w:t>
      </w:r>
      <w:r w:rsidR="00DD3717">
        <w:rPr>
          <w:rFonts w:ascii="Times New Roman" w:hAnsi="Times New Roman" w:cs="Times New Roman"/>
          <w:sz w:val="24"/>
          <w:szCs w:val="24"/>
          <w:lang w:val="en-US"/>
        </w:rPr>
        <w:t xml:space="preserve"> </w:t>
      </w:r>
      <w:r w:rsidR="00736C20">
        <w:rPr>
          <w:rFonts w:ascii="Times New Roman" w:hAnsi="Times New Roman" w:cs="Times New Roman"/>
          <w:sz w:val="24"/>
          <w:szCs w:val="24"/>
          <w:lang w:val="en-US"/>
        </w:rPr>
        <w:t xml:space="preserve">Finally, </w:t>
      </w:r>
      <w:r w:rsidR="0027016D">
        <w:rPr>
          <w:rFonts w:ascii="Times New Roman" w:hAnsi="Times New Roman" w:cs="Times New Roman"/>
          <w:sz w:val="24"/>
          <w:szCs w:val="24"/>
          <w:lang w:val="en-US"/>
        </w:rPr>
        <w:t>m</w:t>
      </w:r>
      <w:r w:rsidR="0027016D" w:rsidRPr="0027016D">
        <w:rPr>
          <w:rFonts w:ascii="Times New Roman" w:hAnsi="Times New Roman" w:cs="Times New Roman"/>
          <w:sz w:val="24"/>
          <w:szCs w:val="24"/>
          <w:lang w:val="en-US"/>
        </w:rPr>
        <w:t xml:space="preserve">ore research </w:t>
      </w:r>
      <w:r w:rsidR="0027016D" w:rsidRPr="0027016D">
        <w:rPr>
          <w:rFonts w:ascii="Times New Roman" w:hAnsi="Times New Roman" w:cs="Times New Roman"/>
          <w:sz w:val="24"/>
          <w:szCs w:val="24"/>
          <w:lang w:val="en-US"/>
        </w:rPr>
        <w:lastRenderedPageBreak/>
        <w:t>is needed to discern the mechanism</w:t>
      </w:r>
      <w:r w:rsidR="0027016D">
        <w:rPr>
          <w:rFonts w:ascii="Times New Roman" w:hAnsi="Times New Roman" w:cs="Times New Roman"/>
          <w:sz w:val="24"/>
          <w:szCs w:val="24"/>
          <w:lang w:val="en-US"/>
        </w:rPr>
        <w:t xml:space="preserve">(s) through which consumers’ debt can be </w:t>
      </w:r>
      <w:r w:rsidR="00736C20" w:rsidRPr="00736C20">
        <w:rPr>
          <w:rFonts w:ascii="Times New Roman" w:hAnsi="Times New Roman" w:cs="Times New Roman"/>
          <w:sz w:val="24"/>
          <w:szCs w:val="24"/>
          <w:lang w:val="en-US"/>
        </w:rPr>
        <w:t>highly influen</w:t>
      </w:r>
      <w:r w:rsidR="00E92EBC">
        <w:rPr>
          <w:rFonts w:ascii="Times New Roman" w:hAnsi="Times New Roman" w:cs="Times New Roman"/>
          <w:sz w:val="24"/>
          <w:szCs w:val="24"/>
          <w:lang w:val="en-US"/>
        </w:rPr>
        <w:t>t</w:t>
      </w:r>
      <w:r w:rsidR="00736C20">
        <w:rPr>
          <w:rFonts w:ascii="Times New Roman" w:hAnsi="Times New Roman" w:cs="Times New Roman"/>
          <w:sz w:val="24"/>
          <w:szCs w:val="24"/>
          <w:lang w:val="en-US"/>
        </w:rPr>
        <w:t>ial</w:t>
      </w:r>
      <w:r w:rsidR="00736C20" w:rsidRPr="00736C20">
        <w:rPr>
          <w:rFonts w:ascii="Times New Roman" w:hAnsi="Times New Roman" w:cs="Times New Roman"/>
          <w:sz w:val="24"/>
          <w:szCs w:val="24"/>
          <w:lang w:val="en-US"/>
        </w:rPr>
        <w:t xml:space="preserve"> </w:t>
      </w:r>
      <w:r w:rsidR="00736C20">
        <w:rPr>
          <w:rFonts w:ascii="Times New Roman" w:hAnsi="Times New Roman" w:cs="Times New Roman"/>
          <w:sz w:val="24"/>
          <w:szCs w:val="24"/>
          <w:lang w:val="en-US"/>
        </w:rPr>
        <w:t>in impacting</w:t>
      </w:r>
      <w:r w:rsidR="00736C20" w:rsidRPr="00736C20">
        <w:rPr>
          <w:rFonts w:ascii="Times New Roman" w:hAnsi="Times New Roman" w:cs="Times New Roman"/>
          <w:sz w:val="24"/>
          <w:szCs w:val="24"/>
          <w:lang w:val="en-US"/>
        </w:rPr>
        <w:t xml:space="preserve"> household</w:t>
      </w:r>
      <w:r w:rsidR="00736C20">
        <w:rPr>
          <w:rFonts w:ascii="Times New Roman" w:hAnsi="Times New Roman" w:cs="Times New Roman"/>
          <w:sz w:val="24"/>
          <w:szCs w:val="24"/>
          <w:lang w:val="en-US"/>
        </w:rPr>
        <w:t>s’</w:t>
      </w:r>
      <w:r w:rsidR="00736C20" w:rsidRPr="00736C20">
        <w:rPr>
          <w:rFonts w:ascii="Times New Roman" w:hAnsi="Times New Roman" w:cs="Times New Roman"/>
          <w:sz w:val="24"/>
          <w:szCs w:val="24"/>
          <w:lang w:val="en-US"/>
        </w:rPr>
        <w:t xml:space="preserve"> consumption</w:t>
      </w:r>
      <w:r w:rsidR="0027016D">
        <w:rPr>
          <w:rFonts w:ascii="Times New Roman" w:hAnsi="Times New Roman" w:cs="Times New Roman"/>
          <w:sz w:val="24"/>
          <w:szCs w:val="24"/>
          <w:lang w:val="en-US"/>
        </w:rPr>
        <w:t xml:space="preserve"> expenses</w:t>
      </w:r>
      <w:r w:rsidR="00736C20" w:rsidRPr="00736C20">
        <w:rPr>
          <w:rFonts w:ascii="Times New Roman" w:hAnsi="Times New Roman" w:cs="Times New Roman"/>
          <w:sz w:val="24"/>
          <w:szCs w:val="24"/>
          <w:lang w:val="en-US"/>
        </w:rPr>
        <w:t>.</w:t>
      </w:r>
      <w:r w:rsidR="00736C20">
        <w:rPr>
          <w:rFonts w:ascii="Times New Roman" w:hAnsi="Times New Roman" w:cs="Times New Roman"/>
          <w:sz w:val="24"/>
          <w:szCs w:val="24"/>
          <w:lang w:val="en-US"/>
        </w:rPr>
        <w:t xml:space="preserve"> </w:t>
      </w:r>
    </w:p>
    <w:p w:rsidR="0050735B" w:rsidRDefault="0050735B" w:rsidP="00972013">
      <w:pPr>
        <w:spacing w:line="480" w:lineRule="auto"/>
        <w:ind w:firstLine="720"/>
        <w:jc w:val="both"/>
        <w:rPr>
          <w:rFonts w:ascii="Times New Roman" w:hAnsi="Times New Roman" w:cs="Times New Roman"/>
          <w:sz w:val="24"/>
          <w:szCs w:val="24"/>
          <w:lang w:val="en-US"/>
        </w:rPr>
      </w:pPr>
    </w:p>
    <w:p w:rsidR="00961935" w:rsidRPr="009C5AC7" w:rsidRDefault="00D1735C" w:rsidP="009C5AC7">
      <w:pPr>
        <w:spacing w:line="480" w:lineRule="auto"/>
        <w:jc w:val="center"/>
        <w:rPr>
          <w:rFonts w:ascii="Times New Roman" w:hAnsi="Times New Roman" w:cs="Times New Roman"/>
          <w:sz w:val="24"/>
          <w:szCs w:val="24"/>
          <w:lang w:val="en-US"/>
        </w:rPr>
      </w:pPr>
      <w:r w:rsidRPr="009C5AC7">
        <w:rPr>
          <w:rFonts w:ascii="Times New Roman" w:hAnsi="Times New Roman" w:cs="Times New Roman"/>
          <w:sz w:val="24"/>
          <w:szCs w:val="24"/>
          <w:lang w:val="en-US"/>
        </w:rPr>
        <w:t>R</w:t>
      </w:r>
      <w:r w:rsidR="009C5AC7" w:rsidRPr="009C5AC7">
        <w:rPr>
          <w:rFonts w:ascii="Times New Roman" w:hAnsi="Times New Roman" w:cs="Times New Roman"/>
          <w:sz w:val="24"/>
          <w:szCs w:val="24"/>
          <w:lang w:val="en-US"/>
        </w:rPr>
        <w:t>EFERENCES</w:t>
      </w:r>
    </w:p>
    <w:p w:rsidR="00706410" w:rsidRDefault="00706410" w:rsidP="00706410">
      <w:pPr>
        <w:spacing w:line="480" w:lineRule="auto"/>
        <w:ind w:left="851" w:hanging="851"/>
        <w:jc w:val="both"/>
        <w:rPr>
          <w:rFonts w:ascii="Times New Roman" w:hAnsi="Times New Roman" w:cs="Times New Roman"/>
          <w:sz w:val="24"/>
          <w:szCs w:val="24"/>
          <w:lang w:val="en-US"/>
        </w:rPr>
      </w:pPr>
      <w:proofErr w:type="spellStart"/>
      <w:proofErr w:type="gramStart"/>
      <w:r w:rsidRPr="00706410">
        <w:rPr>
          <w:rFonts w:ascii="Times New Roman" w:hAnsi="Times New Roman" w:cs="Times New Roman"/>
          <w:sz w:val="24"/>
          <w:szCs w:val="24"/>
          <w:lang w:val="en-US"/>
        </w:rPr>
        <w:t>Agarwal</w:t>
      </w:r>
      <w:proofErr w:type="spellEnd"/>
      <w:r w:rsidRPr="00706410">
        <w:rPr>
          <w:rFonts w:ascii="Times New Roman" w:hAnsi="Times New Roman" w:cs="Times New Roman"/>
          <w:sz w:val="24"/>
          <w:szCs w:val="24"/>
          <w:lang w:val="en-US"/>
        </w:rPr>
        <w:t xml:space="preserve">, S., Liu, </w:t>
      </w:r>
      <w:r>
        <w:rPr>
          <w:rFonts w:ascii="Times New Roman" w:hAnsi="Times New Roman" w:cs="Times New Roman"/>
          <w:sz w:val="24"/>
          <w:szCs w:val="24"/>
          <w:lang w:val="en-US"/>
        </w:rPr>
        <w:t xml:space="preserve">C. and </w:t>
      </w:r>
      <w:proofErr w:type="spellStart"/>
      <w:r w:rsidRPr="00706410">
        <w:rPr>
          <w:rFonts w:ascii="Times New Roman" w:hAnsi="Times New Roman" w:cs="Times New Roman"/>
          <w:sz w:val="24"/>
          <w:szCs w:val="24"/>
          <w:lang w:val="en-US"/>
        </w:rPr>
        <w:t>Souleles</w:t>
      </w:r>
      <w:proofErr w:type="spellEnd"/>
      <w:r>
        <w:rPr>
          <w:rFonts w:ascii="Times New Roman" w:hAnsi="Times New Roman" w:cs="Times New Roman"/>
          <w:sz w:val="24"/>
          <w:szCs w:val="24"/>
          <w:lang w:val="en-US"/>
        </w:rPr>
        <w:t>, N.S. (2007).</w:t>
      </w:r>
      <w:proofErr w:type="gramEnd"/>
      <w:r w:rsidRPr="0070641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Reaction of Consumer Spending and Debt to Tax R</w:t>
      </w:r>
      <w:r w:rsidRPr="00706410">
        <w:rPr>
          <w:rFonts w:ascii="Times New Roman" w:hAnsi="Times New Roman" w:cs="Times New Roman"/>
          <w:sz w:val="24"/>
          <w:szCs w:val="24"/>
          <w:lang w:val="en-US"/>
        </w:rPr>
        <w:t>ebates</w:t>
      </w:r>
      <w:r>
        <w:rPr>
          <w:rFonts w:ascii="Times New Roman" w:hAnsi="Times New Roman" w:cs="Times New Roman"/>
          <w:sz w:val="24"/>
          <w:szCs w:val="24"/>
          <w:lang w:val="en-US"/>
        </w:rPr>
        <w:t xml:space="preserve">’, </w:t>
      </w:r>
      <w:r w:rsidRPr="00706410">
        <w:rPr>
          <w:rFonts w:ascii="Times New Roman" w:hAnsi="Times New Roman" w:cs="Times New Roman"/>
          <w:i/>
          <w:sz w:val="24"/>
          <w:szCs w:val="24"/>
          <w:lang w:val="en-US"/>
        </w:rPr>
        <w:t>Journal of Political Economy</w:t>
      </w:r>
      <w:r w:rsidRPr="00706410">
        <w:rPr>
          <w:rFonts w:ascii="Times New Roman" w:hAnsi="Times New Roman" w:cs="Times New Roman"/>
          <w:sz w:val="24"/>
          <w:szCs w:val="24"/>
          <w:lang w:val="en-US"/>
        </w:rPr>
        <w:t xml:space="preserve">, </w:t>
      </w:r>
      <w:r w:rsidR="00850563">
        <w:rPr>
          <w:rFonts w:ascii="Times New Roman" w:hAnsi="Times New Roman" w:cs="Times New Roman"/>
          <w:sz w:val="24"/>
          <w:szCs w:val="24"/>
          <w:lang w:val="en-US"/>
        </w:rPr>
        <w:t>Vol. 115, pp. 986-1019.</w:t>
      </w:r>
      <w:proofErr w:type="gramEnd"/>
    </w:p>
    <w:p w:rsidR="00D1735C" w:rsidRPr="00194EC8"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Aghion</w:t>
      </w:r>
      <w:proofErr w:type="spellEnd"/>
      <w:r w:rsidRPr="00194EC8">
        <w:rPr>
          <w:rFonts w:ascii="Times New Roman" w:hAnsi="Times New Roman" w:cs="Times New Roman"/>
          <w:sz w:val="24"/>
          <w:szCs w:val="24"/>
          <w:lang w:val="en-US"/>
        </w:rPr>
        <w:t xml:space="preserve">, P., </w:t>
      </w:r>
      <w:proofErr w:type="spellStart"/>
      <w:r w:rsidRPr="00194EC8">
        <w:rPr>
          <w:rFonts w:ascii="Times New Roman" w:hAnsi="Times New Roman" w:cs="Times New Roman"/>
          <w:sz w:val="24"/>
          <w:szCs w:val="24"/>
          <w:lang w:val="en-US"/>
        </w:rPr>
        <w:t>Bacchetta</w:t>
      </w:r>
      <w:proofErr w:type="spellEnd"/>
      <w:r w:rsidRPr="00194EC8">
        <w:rPr>
          <w:rFonts w:ascii="Times New Roman" w:hAnsi="Times New Roman" w:cs="Times New Roman"/>
          <w:sz w:val="24"/>
          <w:szCs w:val="24"/>
          <w:lang w:val="en-US"/>
        </w:rPr>
        <w:t>, P.</w:t>
      </w:r>
      <w:r w:rsidR="00624F8F">
        <w:rPr>
          <w:rFonts w:ascii="Times New Roman" w:hAnsi="Times New Roman" w:cs="Times New Roman"/>
          <w:sz w:val="24"/>
          <w:szCs w:val="24"/>
          <w:lang w:val="en-US"/>
        </w:rPr>
        <w:t xml:space="preserve"> and</w:t>
      </w:r>
      <w:r w:rsidR="00D1735C" w:rsidRPr="00194EC8">
        <w:rPr>
          <w:rFonts w:ascii="Times New Roman" w:hAnsi="Times New Roman" w:cs="Times New Roman"/>
          <w:sz w:val="24"/>
          <w:szCs w:val="24"/>
          <w:lang w:val="en-US"/>
        </w:rPr>
        <w:t xml:space="preserve"> </w:t>
      </w:r>
      <w:proofErr w:type="spellStart"/>
      <w:r w:rsidR="00D1735C" w:rsidRPr="00194EC8">
        <w:rPr>
          <w:rFonts w:ascii="Times New Roman" w:hAnsi="Times New Roman" w:cs="Times New Roman"/>
          <w:sz w:val="24"/>
          <w:szCs w:val="24"/>
          <w:lang w:val="en-US"/>
        </w:rPr>
        <w:t>Banerjee</w:t>
      </w:r>
      <w:proofErr w:type="spellEnd"/>
      <w:r w:rsidR="00D1735C" w:rsidRPr="00194EC8">
        <w:rPr>
          <w:rFonts w:ascii="Times New Roman" w:hAnsi="Times New Roman" w:cs="Times New Roman"/>
          <w:sz w:val="24"/>
          <w:szCs w:val="24"/>
          <w:lang w:val="en-US"/>
        </w:rPr>
        <w:t xml:space="preserve">, A. </w:t>
      </w:r>
      <w:r w:rsidR="00624F8F">
        <w:rPr>
          <w:rFonts w:ascii="Times New Roman" w:hAnsi="Times New Roman" w:cs="Times New Roman"/>
          <w:sz w:val="24"/>
          <w:szCs w:val="24"/>
          <w:lang w:val="en-US"/>
        </w:rPr>
        <w:t>(</w:t>
      </w:r>
      <w:r w:rsidR="00D1735C" w:rsidRPr="00194EC8">
        <w:rPr>
          <w:rFonts w:ascii="Times New Roman" w:hAnsi="Times New Roman" w:cs="Times New Roman"/>
          <w:sz w:val="24"/>
          <w:szCs w:val="24"/>
          <w:lang w:val="en-US"/>
        </w:rPr>
        <w:t>2000</w:t>
      </w:r>
      <w:r w:rsidR="009C5AC7">
        <w:rPr>
          <w:rFonts w:ascii="Times New Roman" w:hAnsi="Times New Roman" w:cs="Times New Roman"/>
          <w:sz w:val="24"/>
          <w:szCs w:val="24"/>
          <w:lang w:val="en-US"/>
        </w:rPr>
        <w:t>).</w:t>
      </w:r>
      <w:proofErr w:type="gramEnd"/>
      <w:r w:rsidR="00D1735C"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w:t>
      </w:r>
      <w:r w:rsidR="00D1735C" w:rsidRPr="00194EC8">
        <w:rPr>
          <w:rFonts w:ascii="Times New Roman" w:hAnsi="Times New Roman" w:cs="Times New Roman"/>
          <w:sz w:val="24"/>
          <w:szCs w:val="24"/>
          <w:lang w:val="en-US"/>
        </w:rPr>
        <w:t xml:space="preserve">A </w:t>
      </w:r>
      <w:r w:rsidR="009C5AC7">
        <w:rPr>
          <w:rFonts w:ascii="Times New Roman" w:hAnsi="Times New Roman" w:cs="Times New Roman"/>
          <w:sz w:val="24"/>
          <w:szCs w:val="24"/>
          <w:lang w:val="en-US"/>
        </w:rPr>
        <w:t>S</w:t>
      </w:r>
      <w:r w:rsidR="00D1735C" w:rsidRPr="00194EC8">
        <w:rPr>
          <w:rFonts w:ascii="Times New Roman" w:hAnsi="Times New Roman" w:cs="Times New Roman"/>
          <w:sz w:val="24"/>
          <w:szCs w:val="24"/>
          <w:lang w:val="en-US"/>
        </w:rPr>
        <w:t xml:space="preserve">imple </w:t>
      </w:r>
      <w:r w:rsidR="009C5AC7">
        <w:rPr>
          <w:rFonts w:ascii="Times New Roman" w:hAnsi="Times New Roman" w:cs="Times New Roman"/>
          <w:sz w:val="24"/>
          <w:szCs w:val="24"/>
          <w:lang w:val="en-US"/>
        </w:rPr>
        <w:t>M</w:t>
      </w:r>
      <w:r w:rsidR="00D1735C" w:rsidRPr="00194EC8">
        <w:rPr>
          <w:rFonts w:ascii="Times New Roman" w:hAnsi="Times New Roman" w:cs="Times New Roman"/>
          <w:sz w:val="24"/>
          <w:szCs w:val="24"/>
          <w:lang w:val="en-US"/>
        </w:rPr>
        <w:t xml:space="preserve">odel of </w:t>
      </w:r>
      <w:r w:rsidR="009C5AC7">
        <w:rPr>
          <w:rFonts w:ascii="Times New Roman" w:hAnsi="Times New Roman" w:cs="Times New Roman"/>
          <w:sz w:val="24"/>
          <w:szCs w:val="24"/>
          <w:lang w:val="en-US"/>
        </w:rPr>
        <w:t>M</w:t>
      </w:r>
      <w:r w:rsidR="00D1735C" w:rsidRPr="00194EC8">
        <w:rPr>
          <w:rFonts w:ascii="Times New Roman" w:hAnsi="Times New Roman" w:cs="Times New Roman"/>
          <w:sz w:val="24"/>
          <w:szCs w:val="24"/>
          <w:lang w:val="en-US"/>
        </w:rPr>
        <w:t xml:space="preserve">onetary </w:t>
      </w:r>
      <w:r w:rsidR="009C5AC7">
        <w:rPr>
          <w:rFonts w:ascii="Times New Roman" w:hAnsi="Times New Roman" w:cs="Times New Roman"/>
          <w:sz w:val="24"/>
          <w:szCs w:val="24"/>
          <w:lang w:val="en-US"/>
        </w:rPr>
        <w:t>P</w:t>
      </w:r>
      <w:r w:rsidR="00D1735C" w:rsidRPr="00194EC8">
        <w:rPr>
          <w:rFonts w:ascii="Times New Roman" w:hAnsi="Times New Roman" w:cs="Times New Roman"/>
          <w:sz w:val="24"/>
          <w:szCs w:val="24"/>
          <w:lang w:val="en-US"/>
        </w:rPr>
        <w:t xml:space="preserve">olicy and </w:t>
      </w:r>
      <w:r w:rsidR="009C5AC7">
        <w:rPr>
          <w:rFonts w:ascii="Times New Roman" w:hAnsi="Times New Roman" w:cs="Times New Roman"/>
          <w:sz w:val="24"/>
          <w:szCs w:val="24"/>
          <w:lang w:val="en-US"/>
        </w:rPr>
        <w:t>Currency C</w:t>
      </w:r>
      <w:r w:rsidR="00D1735C" w:rsidRPr="00194EC8">
        <w:rPr>
          <w:rFonts w:ascii="Times New Roman" w:hAnsi="Times New Roman" w:cs="Times New Roman"/>
          <w:sz w:val="24"/>
          <w:szCs w:val="24"/>
          <w:lang w:val="en-US"/>
        </w:rPr>
        <w:t>rises</w:t>
      </w:r>
      <w:r w:rsidR="009C5AC7">
        <w:rPr>
          <w:rFonts w:ascii="Times New Roman" w:hAnsi="Times New Roman" w:cs="Times New Roman"/>
          <w:sz w:val="24"/>
          <w:szCs w:val="24"/>
          <w:lang w:val="en-US"/>
        </w:rPr>
        <w:t>’,</w:t>
      </w:r>
      <w:r w:rsidR="00D1735C" w:rsidRPr="00194EC8">
        <w:rPr>
          <w:rFonts w:ascii="Times New Roman" w:hAnsi="Times New Roman" w:cs="Times New Roman"/>
          <w:sz w:val="24"/>
          <w:szCs w:val="24"/>
          <w:lang w:val="en-US"/>
        </w:rPr>
        <w:t xml:space="preserve"> </w:t>
      </w:r>
      <w:r w:rsidR="00D1735C" w:rsidRPr="00624F8F">
        <w:rPr>
          <w:rFonts w:ascii="Times New Roman" w:hAnsi="Times New Roman" w:cs="Times New Roman"/>
          <w:i/>
          <w:sz w:val="24"/>
          <w:szCs w:val="24"/>
          <w:lang w:val="en-US"/>
        </w:rPr>
        <w:t>European Economic Review</w:t>
      </w:r>
      <w:r w:rsidR="009C5AC7">
        <w:rPr>
          <w:rFonts w:ascii="Times New Roman" w:hAnsi="Times New Roman" w:cs="Times New Roman"/>
          <w:i/>
          <w:sz w:val="24"/>
          <w:szCs w:val="24"/>
          <w:lang w:val="en-US"/>
        </w:rPr>
        <w:t>,</w:t>
      </w:r>
      <w:r w:rsidR="00D1735C"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Vol. </w:t>
      </w:r>
      <w:r w:rsidR="00D1735C" w:rsidRPr="00194EC8">
        <w:rPr>
          <w:rFonts w:ascii="Times New Roman" w:hAnsi="Times New Roman" w:cs="Times New Roman"/>
          <w:sz w:val="24"/>
          <w:szCs w:val="24"/>
          <w:lang w:val="en-US"/>
        </w:rPr>
        <w:t xml:space="preserve">44, </w:t>
      </w:r>
      <w:r w:rsidR="009C5AC7">
        <w:rPr>
          <w:rFonts w:ascii="Times New Roman" w:hAnsi="Times New Roman" w:cs="Times New Roman"/>
          <w:sz w:val="24"/>
          <w:szCs w:val="24"/>
          <w:lang w:val="en-US"/>
        </w:rPr>
        <w:t xml:space="preserve">pp. </w:t>
      </w:r>
      <w:r w:rsidR="00D1735C" w:rsidRPr="00194EC8">
        <w:rPr>
          <w:rFonts w:ascii="Times New Roman" w:hAnsi="Times New Roman" w:cs="Times New Roman"/>
          <w:sz w:val="24"/>
          <w:szCs w:val="24"/>
          <w:lang w:val="en-US"/>
        </w:rPr>
        <w:t>728-</w:t>
      </w:r>
      <w:r w:rsidR="00194EC8">
        <w:rPr>
          <w:rFonts w:ascii="Times New Roman" w:hAnsi="Times New Roman" w:cs="Times New Roman"/>
          <w:sz w:val="24"/>
          <w:szCs w:val="24"/>
          <w:lang w:val="en-US"/>
        </w:rPr>
        <w:t>7</w:t>
      </w:r>
      <w:r w:rsidR="00D1735C" w:rsidRPr="00194EC8">
        <w:rPr>
          <w:rFonts w:ascii="Times New Roman" w:hAnsi="Times New Roman" w:cs="Times New Roman"/>
          <w:sz w:val="24"/>
          <w:szCs w:val="24"/>
          <w:lang w:val="en-US"/>
        </w:rPr>
        <w:t>38.</w:t>
      </w:r>
    </w:p>
    <w:p w:rsidR="00D1735C" w:rsidRDefault="00A174E4" w:rsidP="00E24DA5">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 xml:space="preserve">Almeida, H., </w:t>
      </w:r>
      <w:proofErr w:type="spellStart"/>
      <w:r w:rsidRPr="00194EC8">
        <w:rPr>
          <w:rFonts w:ascii="Times New Roman" w:hAnsi="Times New Roman" w:cs="Times New Roman"/>
          <w:sz w:val="24"/>
          <w:szCs w:val="24"/>
          <w:lang w:val="en-US"/>
        </w:rPr>
        <w:t>Campello</w:t>
      </w:r>
      <w:proofErr w:type="spellEnd"/>
      <w:r w:rsidRPr="00194EC8">
        <w:rPr>
          <w:rFonts w:ascii="Times New Roman" w:hAnsi="Times New Roman" w:cs="Times New Roman"/>
          <w:sz w:val="24"/>
          <w:szCs w:val="24"/>
          <w:lang w:val="en-US"/>
        </w:rPr>
        <w:t>, M.</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D1735C" w:rsidRPr="00194EC8">
        <w:rPr>
          <w:rFonts w:ascii="Times New Roman" w:hAnsi="Times New Roman" w:cs="Times New Roman"/>
          <w:sz w:val="24"/>
          <w:szCs w:val="24"/>
          <w:lang w:val="en-US"/>
        </w:rPr>
        <w:t xml:space="preserve">Liu, C. </w:t>
      </w:r>
      <w:r w:rsidR="00624F8F">
        <w:rPr>
          <w:rFonts w:ascii="Times New Roman" w:hAnsi="Times New Roman" w:cs="Times New Roman"/>
          <w:sz w:val="24"/>
          <w:szCs w:val="24"/>
          <w:lang w:val="en-US"/>
        </w:rPr>
        <w:t>(</w:t>
      </w:r>
      <w:r w:rsidR="00D1735C" w:rsidRPr="00194EC8">
        <w:rPr>
          <w:rFonts w:ascii="Times New Roman" w:hAnsi="Times New Roman" w:cs="Times New Roman"/>
          <w:sz w:val="24"/>
          <w:szCs w:val="24"/>
          <w:lang w:val="en-US"/>
        </w:rPr>
        <w:t>2006</w:t>
      </w:r>
      <w:r w:rsidR="00624F8F">
        <w:rPr>
          <w:rFonts w:ascii="Times New Roman" w:hAnsi="Times New Roman" w:cs="Times New Roman"/>
          <w:sz w:val="24"/>
          <w:szCs w:val="24"/>
          <w:lang w:val="en-US"/>
        </w:rPr>
        <w:t>)</w:t>
      </w:r>
      <w:r w:rsidR="009C5AC7">
        <w:rPr>
          <w:rFonts w:ascii="Times New Roman" w:hAnsi="Times New Roman" w:cs="Times New Roman"/>
          <w:sz w:val="24"/>
          <w:szCs w:val="24"/>
          <w:lang w:val="en-US"/>
        </w:rPr>
        <w:t>.</w:t>
      </w:r>
      <w:proofErr w:type="gramEnd"/>
      <w:r w:rsidR="00D1735C"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‘The F</w:t>
      </w:r>
      <w:r w:rsidR="00D1735C" w:rsidRPr="00194EC8">
        <w:rPr>
          <w:rFonts w:ascii="Times New Roman" w:hAnsi="Times New Roman" w:cs="Times New Roman"/>
          <w:sz w:val="24"/>
          <w:szCs w:val="24"/>
          <w:lang w:val="en-US"/>
        </w:rPr>
        <w:t xml:space="preserve">inancial </w:t>
      </w:r>
      <w:r w:rsidR="009C5AC7">
        <w:rPr>
          <w:rFonts w:ascii="Times New Roman" w:hAnsi="Times New Roman" w:cs="Times New Roman"/>
          <w:sz w:val="24"/>
          <w:szCs w:val="24"/>
          <w:lang w:val="en-US"/>
        </w:rPr>
        <w:t>Accelerator: Evidence from I</w:t>
      </w:r>
      <w:r w:rsidR="00D1735C" w:rsidRPr="00194EC8">
        <w:rPr>
          <w:rFonts w:ascii="Times New Roman" w:hAnsi="Times New Roman" w:cs="Times New Roman"/>
          <w:sz w:val="24"/>
          <w:szCs w:val="24"/>
          <w:lang w:val="en-US"/>
        </w:rPr>
        <w:t xml:space="preserve">nternational </w:t>
      </w:r>
      <w:r w:rsidR="009C5AC7">
        <w:rPr>
          <w:rFonts w:ascii="Times New Roman" w:hAnsi="Times New Roman" w:cs="Times New Roman"/>
          <w:sz w:val="24"/>
          <w:szCs w:val="24"/>
          <w:lang w:val="en-US"/>
        </w:rPr>
        <w:t>Housing M</w:t>
      </w:r>
      <w:r w:rsidR="00D1735C" w:rsidRPr="00194EC8">
        <w:rPr>
          <w:rFonts w:ascii="Times New Roman" w:hAnsi="Times New Roman" w:cs="Times New Roman"/>
          <w:sz w:val="24"/>
          <w:szCs w:val="24"/>
          <w:lang w:val="en-US"/>
        </w:rPr>
        <w:t>arkets</w:t>
      </w:r>
      <w:r w:rsidR="009C5AC7">
        <w:rPr>
          <w:rFonts w:ascii="Times New Roman" w:hAnsi="Times New Roman" w:cs="Times New Roman"/>
          <w:sz w:val="24"/>
          <w:szCs w:val="24"/>
          <w:lang w:val="en-US"/>
        </w:rPr>
        <w:t>’,</w:t>
      </w:r>
      <w:r w:rsidR="00D1735C" w:rsidRPr="00194EC8">
        <w:rPr>
          <w:rFonts w:ascii="Times New Roman" w:hAnsi="Times New Roman" w:cs="Times New Roman"/>
          <w:sz w:val="24"/>
          <w:szCs w:val="24"/>
          <w:lang w:val="en-US"/>
        </w:rPr>
        <w:t xml:space="preserve"> </w:t>
      </w:r>
      <w:r w:rsidR="00D1735C" w:rsidRPr="00624F8F">
        <w:rPr>
          <w:rFonts w:ascii="Times New Roman" w:hAnsi="Times New Roman" w:cs="Times New Roman"/>
          <w:i/>
          <w:sz w:val="24"/>
          <w:szCs w:val="24"/>
          <w:lang w:val="en-US"/>
        </w:rPr>
        <w:t>Review of Finance</w:t>
      </w:r>
      <w:r w:rsidR="009C5AC7">
        <w:rPr>
          <w:rFonts w:ascii="Times New Roman" w:hAnsi="Times New Roman" w:cs="Times New Roman"/>
          <w:i/>
          <w:sz w:val="24"/>
          <w:szCs w:val="24"/>
          <w:lang w:val="en-US"/>
        </w:rPr>
        <w:t>,</w:t>
      </w:r>
      <w:r w:rsidR="00D1735C"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Vol. </w:t>
      </w:r>
      <w:r w:rsidR="00D1735C" w:rsidRPr="00194EC8">
        <w:rPr>
          <w:rFonts w:ascii="Times New Roman" w:hAnsi="Times New Roman" w:cs="Times New Roman"/>
          <w:sz w:val="24"/>
          <w:szCs w:val="24"/>
          <w:lang w:val="en-US"/>
        </w:rPr>
        <w:t xml:space="preserve">10, </w:t>
      </w:r>
      <w:r w:rsidR="009C5AC7">
        <w:rPr>
          <w:rFonts w:ascii="Times New Roman" w:hAnsi="Times New Roman" w:cs="Times New Roman"/>
          <w:sz w:val="24"/>
          <w:szCs w:val="24"/>
          <w:lang w:val="en-US"/>
        </w:rPr>
        <w:t xml:space="preserve">pp. </w:t>
      </w:r>
      <w:r w:rsidR="00D1735C" w:rsidRPr="00194EC8">
        <w:rPr>
          <w:rFonts w:ascii="Times New Roman" w:hAnsi="Times New Roman" w:cs="Times New Roman"/>
          <w:sz w:val="24"/>
          <w:szCs w:val="24"/>
          <w:lang w:val="en-US"/>
        </w:rPr>
        <w:t>321-</w:t>
      </w:r>
      <w:r w:rsidR="00194EC8">
        <w:rPr>
          <w:rFonts w:ascii="Times New Roman" w:hAnsi="Times New Roman" w:cs="Times New Roman"/>
          <w:sz w:val="24"/>
          <w:szCs w:val="24"/>
          <w:lang w:val="en-US"/>
        </w:rPr>
        <w:t>3</w:t>
      </w:r>
      <w:r w:rsidR="00D1735C" w:rsidRPr="00194EC8">
        <w:rPr>
          <w:rFonts w:ascii="Times New Roman" w:hAnsi="Times New Roman" w:cs="Times New Roman"/>
          <w:sz w:val="24"/>
          <w:szCs w:val="24"/>
          <w:lang w:val="en-US"/>
        </w:rPr>
        <w:t>52.</w:t>
      </w:r>
    </w:p>
    <w:p w:rsidR="00DC5C23" w:rsidRPr="00194EC8" w:rsidRDefault="00DC5C23"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DC5C23">
        <w:rPr>
          <w:rFonts w:ascii="Times New Roman" w:hAnsi="Times New Roman" w:cs="Times New Roman"/>
          <w:sz w:val="24"/>
          <w:szCs w:val="24"/>
          <w:lang w:val="en-US"/>
        </w:rPr>
        <w:t>Amromin</w:t>
      </w:r>
      <w:proofErr w:type="spellEnd"/>
      <w:r w:rsidRPr="00DC5C23">
        <w:rPr>
          <w:rFonts w:ascii="Times New Roman" w:hAnsi="Times New Roman" w:cs="Times New Roman"/>
          <w:sz w:val="24"/>
          <w:szCs w:val="24"/>
          <w:lang w:val="en-US"/>
        </w:rPr>
        <w:t>, G., Huang,</w:t>
      </w:r>
      <w:r>
        <w:rPr>
          <w:rFonts w:ascii="Times New Roman" w:hAnsi="Times New Roman" w:cs="Times New Roman"/>
          <w:sz w:val="24"/>
          <w:szCs w:val="24"/>
          <w:lang w:val="en-US"/>
        </w:rPr>
        <w:t xml:space="preserve"> J.</w:t>
      </w:r>
      <w:r w:rsidRPr="00DC5C23">
        <w:rPr>
          <w:rFonts w:ascii="Times New Roman" w:hAnsi="Times New Roman" w:cs="Times New Roman"/>
          <w:sz w:val="24"/>
          <w:szCs w:val="24"/>
          <w:lang w:val="en-US"/>
        </w:rPr>
        <w:t xml:space="preserve"> and </w:t>
      </w:r>
      <w:proofErr w:type="spellStart"/>
      <w:r w:rsidRPr="00DC5C23">
        <w:rPr>
          <w:rFonts w:ascii="Times New Roman" w:hAnsi="Times New Roman" w:cs="Times New Roman"/>
          <w:sz w:val="24"/>
          <w:szCs w:val="24"/>
          <w:lang w:val="en-US"/>
        </w:rPr>
        <w:t>Sialm</w:t>
      </w:r>
      <w:proofErr w:type="spellEnd"/>
      <w:r>
        <w:rPr>
          <w:rFonts w:ascii="Times New Roman" w:hAnsi="Times New Roman" w:cs="Times New Roman"/>
          <w:sz w:val="24"/>
          <w:szCs w:val="24"/>
          <w:lang w:val="en-US"/>
        </w:rPr>
        <w:t>, C.</w:t>
      </w:r>
      <w:r w:rsidRPr="00DC5C23">
        <w:rPr>
          <w:rFonts w:ascii="Times New Roman" w:hAnsi="Times New Roman" w:cs="Times New Roman"/>
          <w:sz w:val="24"/>
          <w:szCs w:val="24"/>
          <w:lang w:val="en-US"/>
        </w:rPr>
        <w:t xml:space="preserve"> (2007).</w:t>
      </w:r>
      <w:proofErr w:type="gramEnd"/>
      <w:r w:rsidRPr="00DC5C23">
        <w:rPr>
          <w:rFonts w:ascii="Times New Roman" w:hAnsi="Times New Roman" w:cs="Times New Roman"/>
          <w:sz w:val="24"/>
          <w:szCs w:val="24"/>
          <w:lang w:val="en-US"/>
        </w:rPr>
        <w:t xml:space="preserve"> </w:t>
      </w:r>
      <w:r>
        <w:rPr>
          <w:rFonts w:ascii="Times New Roman" w:hAnsi="Times New Roman" w:cs="Times New Roman"/>
          <w:sz w:val="24"/>
          <w:szCs w:val="24"/>
          <w:lang w:val="en-US"/>
        </w:rPr>
        <w:t>“The Tradeoff between Mortgage Prepayments and Tax-Deferred S</w:t>
      </w:r>
      <w:r w:rsidRPr="00DC5C23">
        <w:rPr>
          <w:rFonts w:ascii="Times New Roman" w:hAnsi="Times New Roman" w:cs="Times New Roman"/>
          <w:sz w:val="24"/>
          <w:szCs w:val="24"/>
          <w:lang w:val="en-US"/>
        </w:rPr>
        <w:t>avings</w:t>
      </w:r>
      <w:r>
        <w:rPr>
          <w:rFonts w:ascii="Times New Roman" w:hAnsi="Times New Roman" w:cs="Times New Roman"/>
          <w:sz w:val="24"/>
          <w:szCs w:val="24"/>
          <w:lang w:val="en-US"/>
        </w:rPr>
        <w:t>’,</w:t>
      </w:r>
      <w:r w:rsidRPr="00DC5C23">
        <w:rPr>
          <w:rFonts w:ascii="Times New Roman" w:hAnsi="Times New Roman" w:cs="Times New Roman"/>
          <w:sz w:val="24"/>
          <w:szCs w:val="24"/>
          <w:lang w:val="en-US"/>
        </w:rPr>
        <w:t xml:space="preserve"> </w:t>
      </w:r>
      <w:r w:rsidRPr="00DC5C23">
        <w:rPr>
          <w:rFonts w:ascii="Times New Roman" w:hAnsi="Times New Roman" w:cs="Times New Roman"/>
          <w:i/>
          <w:sz w:val="24"/>
          <w:szCs w:val="24"/>
          <w:lang w:val="en-US"/>
        </w:rPr>
        <w:t>Journal of Public Economics</w:t>
      </w:r>
      <w:r>
        <w:rPr>
          <w:rFonts w:ascii="Times New Roman" w:hAnsi="Times New Roman" w:cs="Times New Roman"/>
          <w:sz w:val="24"/>
          <w:szCs w:val="24"/>
          <w:lang w:val="en-US"/>
        </w:rPr>
        <w:t>,</w:t>
      </w:r>
      <w:r w:rsidRPr="00DC5C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w:t>
      </w:r>
      <w:r w:rsidRPr="00DC5C23">
        <w:rPr>
          <w:rFonts w:ascii="Times New Roman" w:hAnsi="Times New Roman" w:cs="Times New Roman"/>
          <w:sz w:val="24"/>
          <w:szCs w:val="24"/>
          <w:lang w:val="en-US"/>
        </w:rPr>
        <w:t xml:space="preserve">91, </w:t>
      </w:r>
      <w:r>
        <w:rPr>
          <w:rFonts w:ascii="Times New Roman" w:hAnsi="Times New Roman" w:cs="Times New Roman"/>
          <w:sz w:val="24"/>
          <w:szCs w:val="24"/>
          <w:lang w:val="en-US"/>
        </w:rPr>
        <w:t>pp. 2014-</w:t>
      </w:r>
      <w:r w:rsidRPr="00DC5C23">
        <w:rPr>
          <w:rFonts w:ascii="Times New Roman" w:hAnsi="Times New Roman" w:cs="Times New Roman"/>
          <w:sz w:val="24"/>
          <w:szCs w:val="24"/>
          <w:lang w:val="en-US"/>
        </w:rPr>
        <w:t>2040.</w:t>
      </w:r>
    </w:p>
    <w:p w:rsidR="00244C9E" w:rsidRPr="00194EC8" w:rsidRDefault="00244C9E" w:rsidP="00244C9E">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Arce</w:t>
      </w:r>
      <w:proofErr w:type="spellEnd"/>
      <w:r w:rsidRPr="00194EC8">
        <w:rPr>
          <w:rFonts w:ascii="Times New Roman" w:hAnsi="Times New Roman" w:cs="Times New Roman"/>
          <w:sz w:val="24"/>
          <w:szCs w:val="24"/>
          <w:lang w:val="en-US"/>
        </w:rPr>
        <w:t xml:space="preserve">, O., </w:t>
      </w:r>
      <w:proofErr w:type="spellStart"/>
      <w:r w:rsidRPr="00194EC8">
        <w:rPr>
          <w:rFonts w:ascii="Times New Roman" w:hAnsi="Times New Roman" w:cs="Times New Roman"/>
          <w:sz w:val="24"/>
          <w:szCs w:val="24"/>
          <w:lang w:val="en-US"/>
        </w:rPr>
        <w:t>P</w:t>
      </w:r>
      <w:r w:rsidR="00A174E4" w:rsidRPr="00194EC8">
        <w:rPr>
          <w:rFonts w:ascii="Times New Roman" w:hAnsi="Times New Roman" w:cs="Times New Roman"/>
          <w:sz w:val="24"/>
          <w:szCs w:val="24"/>
          <w:lang w:val="en-US"/>
        </w:rPr>
        <w:t>rades</w:t>
      </w:r>
      <w:proofErr w:type="spellEnd"/>
      <w:r w:rsidR="00A174E4" w:rsidRPr="00194EC8">
        <w:rPr>
          <w:rFonts w:ascii="Times New Roman" w:hAnsi="Times New Roman" w:cs="Times New Roman"/>
          <w:sz w:val="24"/>
          <w:szCs w:val="24"/>
          <w:lang w:val="en-US"/>
        </w:rPr>
        <w:t>, E.</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Urtasun</w:t>
      </w:r>
      <w:proofErr w:type="spellEnd"/>
      <w:r w:rsidRPr="00194EC8">
        <w:rPr>
          <w:rFonts w:ascii="Times New Roman" w:hAnsi="Times New Roman" w:cs="Times New Roman"/>
          <w:sz w:val="24"/>
          <w:szCs w:val="24"/>
          <w:lang w:val="en-US"/>
        </w:rPr>
        <w:t xml:space="preserve">, A.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2013</w:t>
      </w:r>
      <w:r w:rsidR="00624F8F">
        <w:rPr>
          <w:rFonts w:ascii="Times New Roman" w:hAnsi="Times New Roman" w:cs="Times New Roman"/>
          <w:sz w:val="24"/>
          <w:szCs w:val="24"/>
          <w:lang w:val="en-US"/>
        </w:rPr>
        <w:t>)</w:t>
      </w:r>
      <w:r w:rsidR="009C5AC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proofErr w:type="gramStart"/>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Changes in </w:t>
      </w:r>
      <w:r w:rsidR="009C5AC7">
        <w:rPr>
          <w:rFonts w:ascii="Times New Roman" w:hAnsi="Times New Roman" w:cs="Times New Roman"/>
          <w:sz w:val="24"/>
          <w:szCs w:val="24"/>
          <w:lang w:val="en-US"/>
        </w:rPr>
        <w:t>Household S</w:t>
      </w:r>
      <w:r w:rsidRPr="00194EC8">
        <w:rPr>
          <w:rFonts w:ascii="Times New Roman" w:hAnsi="Times New Roman" w:cs="Times New Roman"/>
          <w:sz w:val="24"/>
          <w:szCs w:val="24"/>
          <w:lang w:val="en-US"/>
        </w:rPr>
        <w:t xml:space="preserve">aving and </w:t>
      </w:r>
      <w:r w:rsidR="009C5AC7">
        <w:rPr>
          <w:rFonts w:ascii="Times New Roman" w:hAnsi="Times New Roman" w:cs="Times New Roman"/>
          <w:sz w:val="24"/>
          <w:szCs w:val="24"/>
          <w:lang w:val="en-US"/>
        </w:rPr>
        <w:t>Consumption in Spain during the C</w:t>
      </w:r>
      <w:r w:rsidRPr="00194EC8">
        <w:rPr>
          <w:rFonts w:ascii="Times New Roman" w:hAnsi="Times New Roman" w:cs="Times New Roman"/>
          <w:sz w:val="24"/>
          <w:szCs w:val="24"/>
          <w:lang w:val="en-US"/>
        </w:rPr>
        <w:t>risis</w:t>
      </w:r>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Economic Bulletin, </w:t>
      </w:r>
      <w:proofErr w:type="spellStart"/>
      <w:r w:rsidRPr="00194EC8">
        <w:rPr>
          <w:rFonts w:ascii="Times New Roman" w:hAnsi="Times New Roman" w:cs="Times New Roman"/>
          <w:sz w:val="24"/>
          <w:szCs w:val="24"/>
          <w:lang w:val="en-US"/>
        </w:rPr>
        <w:t>Banco</w:t>
      </w:r>
      <w:proofErr w:type="spellEnd"/>
      <w:r w:rsidRPr="00194EC8">
        <w:rPr>
          <w:rFonts w:ascii="Times New Roman" w:hAnsi="Times New Roman" w:cs="Times New Roman"/>
          <w:sz w:val="24"/>
          <w:szCs w:val="24"/>
          <w:lang w:val="en-US"/>
        </w:rPr>
        <w:t xml:space="preserve"> de </w:t>
      </w:r>
      <w:proofErr w:type="spellStart"/>
      <w:r w:rsidRPr="00194EC8">
        <w:rPr>
          <w:rFonts w:ascii="Times New Roman" w:hAnsi="Times New Roman" w:cs="Times New Roman"/>
          <w:sz w:val="24"/>
          <w:szCs w:val="24"/>
          <w:lang w:val="en-US"/>
        </w:rPr>
        <w:t>España</w:t>
      </w:r>
      <w:proofErr w:type="spellEnd"/>
      <w:r w:rsidRPr="00194EC8">
        <w:rPr>
          <w:rFonts w:ascii="Times New Roman" w:hAnsi="Times New Roman" w:cs="Times New Roman"/>
          <w:sz w:val="24"/>
          <w:szCs w:val="24"/>
          <w:lang w:val="en-US"/>
        </w:rPr>
        <w:t>.</w:t>
      </w:r>
      <w:proofErr w:type="gramEnd"/>
    </w:p>
    <w:p w:rsidR="00302283" w:rsidRPr="00194EC8" w:rsidRDefault="00A174E4" w:rsidP="00302283">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Arellano, M.</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302283" w:rsidRPr="00194EC8">
        <w:rPr>
          <w:rFonts w:ascii="Times New Roman" w:hAnsi="Times New Roman" w:cs="Times New Roman"/>
          <w:sz w:val="24"/>
          <w:szCs w:val="24"/>
          <w:lang w:val="en-US"/>
        </w:rPr>
        <w:t>Bover</w:t>
      </w:r>
      <w:proofErr w:type="spellEnd"/>
      <w:r w:rsidR="00302283" w:rsidRPr="00194EC8">
        <w:rPr>
          <w:rFonts w:ascii="Times New Roman" w:hAnsi="Times New Roman" w:cs="Times New Roman"/>
          <w:sz w:val="24"/>
          <w:szCs w:val="24"/>
          <w:lang w:val="en-US"/>
        </w:rPr>
        <w:t xml:space="preserve">, O. </w:t>
      </w:r>
      <w:r w:rsidR="00624F8F">
        <w:rPr>
          <w:rFonts w:ascii="Times New Roman" w:hAnsi="Times New Roman" w:cs="Times New Roman"/>
          <w:sz w:val="24"/>
          <w:szCs w:val="24"/>
          <w:lang w:val="en-US"/>
        </w:rPr>
        <w:t>(</w:t>
      </w:r>
      <w:r w:rsidR="00302283" w:rsidRPr="00194EC8">
        <w:rPr>
          <w:rFonts w:ascii="Times New Roman" w:hAnsi="Times New Roman" w:cs="Times New Roman"/>
          <w:sz w:val="24"/>
          <w:szCs w:val="24"/>
          <w:lang w:val="en-US"/>
        </w:rPr>
        <w:t>1995</w:t>
      </w:r>
      <w:r w:rsidR="009C5AC7">
        <w:rPr>
          <w:rFonts w:ascii="Times New Roman" w:hAnsi="Times New Roman" w:cs="Times New Roman"/>
          <w:sz w:val="24"/>
          <w:szCs w:val="24"/>
          <w:lang w:val="en-US"/>
        </w:rPr>
        <w:t>).</w:t>
      </w:r>
      <w:proofErr w:type="gramEnd"/>
      <w:r w:rsidR="00302283"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‘Another Look at the Instrumental V</w:t>
      </w:r>
      <w:r w:rsidR="00302283" w:rsidRPr="00194EC8">
        <w:rPr>
          <w:rFonts w:ascii="Times New Roman" w:hAnsi="Times New Roman" w:cs="Times New Roman"/>
          <w:sz w:val="24"/>
          <w:szCs w:val="24"/>
          <w:lang w:val="en-US"/>
        </w:rPr>
        <w:t>ariable</w:t>
      </w:r>
      <w:r w:rsidR="009C5AC7">
        <w:rPr>
          <w:rFonts w:ascii="Times New Roman" w:hAnsi="Times New Roman" w:cs="Times New Roman"/>
          <w:sz w:val="24"/>
          <w:szCs w:val="24"/>
          <w:lang w:val="en-US"/>
        </w:rPr>
        <w:t>: E</w:t>
      </w:r>
      <w:r w:rsidR="00302283" w:rsidRPr="00194EC8">
        <w:rPr>
          <w:rFonts w:ascii="Times New Roman" w:hAnsi="Times New Roman" w:cs="Times New Roman"/>
          <w:sz w:val="24"/>
          <w:szCs w:val="24"/>
          <w:lang w:val="en-US"/>
        </w:rPr>
        <w:t xml:space="preserve">stimation of </w:t>
      </w:r>
      <w:r w:rsidR="009C5AC7">
        <w:rPr>
          <w:rFonts w:ascii="Times New Roman" w:hAnsi="Times New Roman" w:cs="Times New Roman"/>
          <w:sz w:val="24"/>
          <w:szCs w:val="24"/>
          <w:lang w:val="en-US"/>
        </w:rPr>
        <w:t>Error-Component M</w:t>
      </w:r>
      <w:r w:rsidR="00302283" w:rsidRPr="00194EC8">
        <w:rPr>
          <w:rFonts w:ascii="Times New Roman" w:hAnsi="Times New Roman" w:cs="Times New Roman"/>
          <w:sz w:val="24"/>
          <w:szCs w:val="24"/>
          <w:lang w:val="en-US"/>
        </w:rPr>
        <w:t>odels</w:t>
      </w:r>
      <w:r w:rsidR="009C5AC7">
        <w:rPr>
          <w:rFonts w:ascii="Times New Roman" w:hAnsi="Times New Roman" w:cs="Times New Roman"/>
          <w:sz w:val="24"/>
          <w:szCs w:val="24"/>
          <w:lang w:val="en-US"/>
        </w:rPr>
        <w:t>’,</w:t>
      </w:r>
      <w:r w:rsidR="00302283" w:rsidRPr="00194EC8">
        <w:rPr>
          <w:rFonts w:ascii="Times New Roman" w:hAnsi="Times New Roman" w:cs="Times New Roman"/>
          <w:sz w:val="24"/>
          <w:szCs w:val="24"/>
          <w:lang w:val="en-US"/>
        </w:rPr>
        <w:t xml:space="preserve"> </w:t>
      </w:r>
      <w:r w:rsidR="00302283" w:rsidRPr="00624F8F">
        <w:rPr>
          <w:rFonts w:ascii="Times New Roman" w:hAnsi="Times New Roman" w:cs="Times New Roman"/>
          <w:i/>
          <w:sz w:val="24"/>
          <w:szCs w:val="24"/>
          <w:lang w:val="en-US"/>
        </w:rPr>
        <w:t>Journal of Econometrics</w:t>
      </w:r>
      <w:r w:rsidR="009C5AC7">
        <w:rPr>
          <w:rFonts w:ascii="Times New Roman" w:hAnsi="Times New Roman" w:cs="Times New Roman"/>
          <w:i/>
          <w:sz w:val="24"/>
          <w:szCs w:val="24"/>
          <w:lang w:val="en-US"/>
        </w:rPr>
        <w:t>,</w:t>
      </w:r>
      <w:r w:rsidR="00302283"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Vol. </w:t>
      </w:r>
      <w:r w:rsidR="00302283" w:rsidRPr="00194EC8">
        <w:rPr>
          <w:rFonts w:ascii="Times New Roman" w:hAnsi="Times New Roman" w:cs="Times New Roman"/>
          <w:sz w:val="24"/>
          <w:szCs w:val="24"/>
          <w:lang w:val="en-US"/>
        </w:rPr>
        <w:t xml:space="preserve">68, </w:t>
      </w:r>
      <w:r w:rsidR="009C5AC7">
        <w:rPr>
          <w:rFonts w:ascii="Times New Roman" w:hAnsi="Times New Roman" w:cs="Times New Roman"/>
          <w:sz w:val="24"/>
          <w:szCs w:val="24"/>
          <w:lang w:val="en-US"/>
        </w:rPr>
        <w:t xml:space="preserve">pp. </w:t>
      </w:r>
      <w:r w:rsidR="00302283" w:rsidRPr="00194EC8">
        <w:rPr>
          <w:rFonts w:ascii="Times New Roman" w:hAnsi="Times New Roman" w:cs="Times New Roman"/>
          <w:sz w:val="24"/>
          <w:szCs w:val="24"/>
          <w:lang w:val="en-US"/>
        </w:rPr>
        <w:t>29-51.</w:t>
      </w:r>
    </w:p>
    <w:p w:rsidR="00302283" w:rsidRPr="00194EC8" w:rsidRDefault="00A174E4" w:rsidP="00302283">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lastRenderedPageBreak/>
        <w:t>Arellano, M.</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302283" w:rsidRPr="00194EC8">
        <w:rPr>
          <w:rFonts w:ascii="Times New Roman" w:hAnsi="Times New Roman" w:cs="Times New Roman"/>
          <w:sz w:val="24"/>
          <w:szCs w:val="24"/>
          <w:lang w:val="en-US"/>
        </w:rPr>
        <w:t xml:space="preserve">Bond, S. </w:t>
      </w:r>
      <w:r w:rsidR="00624F8F">
        <w:rPr>
          <w:rFonts w:ascii="Times New Roman" w:hAnsi="Times New Roman" w:cs="Times New Roman"/>
          <w:sz w:val="24"/>
          <w:szCs w:val="24"/>
          <w:lang w:val="en-US"/>
        </w:rPr>
        <w:t>(</w:t>
      </w:r>
      <w:r w:rsidR="00302283" w:rsidRPr="00194EC8">
        <w:rPr>
          <w:rFonts w:ascii="Times New Roman" w:hAnsi="Times New Roman" w:cs="Times New Roman"/>
          <w:sz w:val="24"/>
          <w:szCs w:val="24"/>
          <w:lang w:val="en-US"/>
        </w:rPr>
        <w:t>1991</w:t>
      </w:r>
      <w:r w:rsidR="009C5AC7">
        <w:rPr>
          <w:rFonts w:ascii="Times New Roman" w:hAnsi="Times New Roman" w:cs="Times New Roman"/>
          <w:sz w:val="24"/>
          <w:szCs w:val="24"/>
          <w:lang w:val="en-US"/>
        </w:rPr>
        <w:t>).</w:t>
      </w:r>
      <w:proofErr w:type="gramEnd"/>
      <w:r w:rsidR="00302283"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‘Some Tests of Specification for Panel Data: Monte Carlo Evidence and an A</w:t>
      </w:r>
      <w:r w:rsidR="00302283" w:rsidRPr="00194EC8">
        <w:rPr>
          <w:rFonts w:ascii="Times New Roman" w:hAnsi="Times New Roman" w:cs="Times New Roman"/>
          <w:sz w:val="24"/>
          <w:szCs w:val="24"/>
          <w:lang w:val="en-US"/>
        </w:rPr>
        <w:t xml:space="preserve">pplication to </w:t>
      </w:r>
      <w:r w:rsidR="009C5AC7">
        <w:rPr>
          <w:rFonts w:ascii="Times New Roman" w:hAnsi="Times New Roman" w:cs="Times New Roman"/>
          <w:sz w:val="24"/>
          <w:szCs w:val="24"/>
          <w:lang w:val="en-US"/>
        </w:rPr>
        <w:t>E</w:t>
      </w:r>
      <w:r w:rsidR="00302283" w:rsidRPr="00194EC8">
        <w:rPr>
          <w:rFonts w:ascii="Times New Roman" w:hAnsi="Times New Roman" w:cs="Times New Roman"/>
          <w:sz w:val="24"/>
          <w:szCs w:val="24"/>
          <w:lang w:val="en-US"/>
        </w:rPr>
        <w:t xml:space="preserve">mployment </w:t>
      </w:r>
      <w:r w:rsidR="009C5AC7">
        <w:rPr>
          <w:rFonts w:ascii="Times New Roman" w:hAnsi="Times New Roman" w:cs="Times New Roman"/>
          <w:sz w:val="24"/>
          <w:szCs w:val="24"/>
          <w:lang w:val="en-US"/>
        </w:rPr>
        <w:t>E</w:t>
      </w:r>
      <w:r w:rsidR="00302283" w:rsidRPr="00194EC8">
        <w:rPr>
          <w:rFonts w:ascii="Times New Roman" w:hAnsi="Times New Roman" w:cs="Times New Roman"/>
          <w:sz w:val="24"/>
          <w:szCs w:val="24"/>
          <w:lang w:val="en-US"/>
        </w:rPr>
        <w:t>quations</w:t>
      </w:r>
      <w:r w:rsidR="009C5AC7">
        <w:rPr>
          <w:rFonts w:ascii="Times New Roman" w:hAnsi="Times New Roman" w:cs="Times New Roman"/>
          <w:sz w:val="24"/>
          <w:szCs w:val="24"/>
          <w:lang w:val="en-US"/>
        </w:rPr>
        <w:t>’,</w:t>
      </w:r>
      <w:r w:rsidR="00302283" w:rsidRPr="00194EC8">
        <w:rPr>
          <w:rFonts w:ascii="Times New Roman" w:hAnsi="Times New Roman" w:cs="Times New Roman"/>
          <w:sz w:val="24"/>
          <w:szCs w:val="24"/>
          <w:lang w:val="en-US"/>
        </w:rPr>
        <w:t xml:space="preserve"> </w:t>
      </w:r>
      <w:r w:rsidR="00302283" w:rsidRPr="00624F8F">
        <w:rPr>
          <w:rFonts w:ascii="Times New Roman" w:hAnsi="Times New Roman" w:cs="Times New Roman"/>
          <w:i/>
          <w:sz w:val="24"/>
          <w:szCs w:val="24"/>
          <w:lang w:val="en-US"/>
        </w:rPr>
        <w:t>Review of Economic Studies</w:t>
      </w:r>
      <w:r w:rsidR="009C5AC7">
        <w:rPr>
          <w:rFonts w:ascii="Times New Roman" w:hAnsi="Times New Roman" w:cs="Times New Roman"/>
          <w:i/>
          <w:sz w:val="24"/>
          <w:szCs w:val="24"/>
          <w:lang w:val="en-US"/>
        </w:rPr>
        <w:t>,</w:t>
      </w:r>
      <w:r w:rsidR="00302283"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Vol. </w:t>
      </w:r>
      <w:r w:rsidR="00302283" w:rsidRPr="00194EC8">
        <w:rPr>
          <w:rFonts w:ascii="Times New Roman" w:hAnsi="Times New Roman" w:cs="Times New Roman"/>
          <w:sz w:val="24"/>
          <w:szCs w:val="24"/>
          <w:lang w:val="en-US"/>
        </w:rPr>
        <w:t xml:space="preserve">58, </w:t>
      </w:r>
      <w:r w:rsidR="009C5AC7">
        <w:rPr>
          <w:rFonts w:ascii="Times New Roman" w:hAnsi="Times New Roman" w:cs="Times New Roman"/>
          <w:sz w:val="24"/>
          <w:szCs w:val="24"/>
          <w:lang w:val="en-US"/>
        </w:rPr>
        <w:t xml:space="preserve">pp. </w:t>
      </w:r>
      <w:r w:rsidR="00302283" w:rsidRPr="00194EC8">
        <w:rPr>
          <w:rFonts w:ascii="Times New Roman" w:hAnsi="Times New Roman" w:cs="Times New Roman"/>
          <w:sz w:val="24"/>
          <w:szCs w:val="24"/>
          <w:lang w:val="en-US"/>
        </w:rPr>
        <w:t>277-</w:t>
      </w:r>
      <w:r w:rsidR="00194EC8">
        <w:rPr>
          <w:rFonts w:ascii="Times New Roman" w:hAnsi="Times New Roman" w:cs="Times New Roman"/>
          <w:sz w:val="24"/>
          <w:szCs w:val="24"/>
          <w:lang w:val="en-US"/>
        </w:rPr>
        <w:t>2</w:t>
      </w:r>
      <w:r w:rsidR="00302283" w:rsidRPr="00194EC8">
        <w:rPr>
          <w:rFonts w:ascii="Times New Roman" w:hAnsi="Times New Roman" w:cs="Times New Roman"/>
          <w:sz w:val="24"/>
          <w:szCs w:val="24"/>
          <w:lang w:val="en-US"/>
        </w:rPr>
        <w:t>97.</w:t>
      </w:r>
    </w:p>
    <w:p w:rsidR="00E74D0F" w:rsidRPr="00194EC8" w:rsidRDefault="00E74D0F" w:rsidP="00E74D0F">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Bacchetta</w:t>
      </w:r>
      <w:proofErr w:type="spellEnd"/>
      <w:r w:rsidR="00A174E4" w:rsidRPr="00194EC8">
        <w:rPr>
          <w:rFonts w:ascii="Times New Roman" w:hAnsi="Times New Roman" w:cs="Times New Roman"/>
          <w:sz w:val="24"/>
          <w:szCs w:val="24"/>
          <w:lang w:val="en-US"/>
        </w:rPr>
        <w:t>, P.</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Gerlach</w:t>
      </w:r>
      <w:proofErr w:type="spellEnd"/>
      <w:r w:rsidRPr="00194EC8">
        <w:rPr>
          <w:rFonts w:ascii="Times New Roman" w:hAnsi="Times New Roman" w:cs="Times New Roman"/>
          <w:sz w:val="24"/>
          <w:szCs w:val="24"/>
          <w:lang w:val="en-US"/>
        </w:rPr>
        <w:t xml:space="preserve">, S.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1997</w:t>
      </w:r>
      <w:r w:rsidR="00624F8F">
        <w:rPr>
          <w:rFonts w:ascii="Times New Roman" w:hAnsi="Times New Roman" w:cs="Times New Roman"/>
          <w:sz w:val="24"/>
          <w:szCs w:val="24"/>
          <w:lang w:val="en-US"/>
        </w:rPr>
        <w:t>)</w:t>
      </w:r>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‘Consumption and Credit C</w:t>
      </w:r>
      <w:r w:rsidRPr="00194EC8">
        <w:rPr>
          <w:rFonts w:ascii="Times New Roman" w:hAnsi="Times New Roman" w:cs="Times New Roman"/>
          <w:sz w:val="24"/>
          <w:szCs w:val="24"/>
          <w:lang w:val="en-US"/>
        </w:rPr>
        <w:t xml:space="preserve">onstraints: </w:t>
      </w:r>
      <w:r w:rsidR="009C5AC7">
        <w:rPr>
          <w:rFonts w:ascii="Times New Roman" w:hAnsi="Times New Roman" w:cs="Times New Roman"/>
          <w:sz w:val="24"/>
          <w:szCs w:val="24"/>
          <w:lang w:val="en-US"/>
        </w:rPr>
        <w:t>International E</w:t>
      </w:r>
      <w:r w:rsidRPr="00194EC8">
        <w:rPr>
          <w:rFonts w:ascii="Times New Roman" w:hAnsi="Times New Roman" w:cs="Times New Roman"/>
          <w:sz w:val="24"/>
          <w:szCs w:val="24"/>
          <w:lang w:val="en-US"/>
        </w:rPr>
        <w:t>vidence</w:t>
      </w:r>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Journal of Monetary Economics</w:t>
      </w:r>
      <w:r w:rsidR="009C5AC7">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40, </w:t>
      </w:r>
      <w:r w:rsidR="009C5AC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207-</w:t>
      </w:r>
      <w:r w:rsidR="00194EC8">
        <w:rPr>
          <w:rFonts w:ascii="Times New Roman" w:hAnsi="Times New Roman" w:cs="Times New Roman"/>
          <w:sz w:val="24"/>
          <w:szCs w:val="24"/>
          <w:lang w:val="en-US"/>
        </w:rPr>
        <w:t>2</w:t>
      </w:r>
      <w:r w:rsidRPr="00194EC8">
        <w:rPr>
          <w:rFonts w:ascii="Times New Roman" w:hAnsi="Times New Roman" w:cs="Times New Roman"/>
          <w:sz w:val="24"/>
          <w:szCs w:val="24"/>
          <w:lang w:val="en-US"/>
        </w:rPr>
        <w:t>38.</w:t>
      </w:r>
    </w:p>
    <w:p w:rsidR="00D1735C" w:rsidRPr="00194EC8"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Benmelech</w:t>
      </w:r>
      <w:proofErr w:type="spellEnd"/>
      <w:r w:rsidRPr="00194EC8">
        <w:rPr>
          <w:rFonts w:ascii="Times New Roman" w:hAnsi="Times New Roman" w:cs="Times New Roman"/>
          <w:sz w:val="24"/>
          <w:szCs w:val="24"/>
          <w:lang w:val="en-US"/>
        </w:rPr>
        <w:t xml:space="preserve">, E., </w:t>
      </w:r>
      <w:proofErr w:type="spellStart"/>
      <w:r w:rsidRPr="00194EC8">
        <w:rPr>
          <w:rFonts w:ascii="Times New Roman" w:hAnsi="Times New Roman" w:cs="Times New Roman"/>
          <w:sz w:val="24"/>
          <w:szCs w:val="24"/>
          <w:lang w:val="en-US"/>
        </w:rPr>
        <w:t>Meisenzahl</w:t>
      </w:r>
      <w:proofErr w:type="spellEnd"/>
      <w:r w:rsidRPr="00194EC8">
        <w:rPr>
          <w:rFonts w:ascii="Times New Roman" w:hAnsi="Times New Roman" w:cs="Times New Roman"/>
          <w:sz w:val="24"/>
          <w:szCs w:val="24"/>
          <w:lang w:val="en-US"/>
        </w:rPr>
        <w:t>, R.R.</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D1735C" w:rsidRPr="00194EC8">
        <w:rPr>
          <w:rFonts w:ascii="Times New Roman" w:hAnsi="Times New Roman" w:cs="Times New Roman"/>
          <w:sz w:val="24"/>
          <w:szCs w:val="24"/>
          <w:lang w:val="en-US"/>
        </w:rPr>
        <w:t>Ramcharan</w:t>
      </w:r>
      <w:proofErr w:type="spellEnd"/>
      <w:r w:rsidR="00D1735C" w:rsidRPr="00194EC8">
        <w:rPr>
          <w:rFonts w:ascii="Times New Roman" w:hAnsi="Times New Roman" w:cs="Times New Roman"/>
          <w:sz w:val="24"/>
          <w:szCs w:val="24"/>
          <w:lang w:val="en-US"/>
        </w:rPr>
        <w:t xml:space="preserve">, R. </w:t>
      </w:r>
      <w:r w:rsidR="00624F8F">
        <w:rPr>
          <w:rFonts w:ascii="Times New Roman" w:hAnsi="Times New Roman" w:cs="Times New Roman"/>
          <w:sz w:val="24"/>
          <w:szCs w:val="24"/>
          <w:lang w:val="en-US"/>
        </w:rPr>
        <w:t>(</w:t>
      </w:r>
      <w:r w:rsidR="00D1735C" w:rsidRPr="00194EC8">
        <w:rPr>
          <w:rFonts w:ascii="Times New Roman" w:hAnsi="Times New Roman" w:cs="Times New Roman"/>
          <w:sz w:val="24"/>
          <w:szCs w:val="24"/>
          <w:lang w:val="en-US"/>
        </w:rPr>
        <w:t>2017</w:t>
      </w:r>
      <w:r w:rsidR="009C5AC7">
        <w:rPr>
          <w:rFonts w:ascii="Times New Roman" w:hAnsi="Times New Roman" w:cs="Times New Roman"/>
          <w:sz w:val="24"/>
          <w:szCs w:val="24"/>
          <w:lang w:val="en-US"/>
        </w:rPr>
        <w:t>).</w:t>
      </w:r>
      <w:proofErr w:type="gramEnd"/>
      <w:r w:rsidR="00D1735C"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w:t>
      </w:r>
      <w:r w:rsidR="00D1735C" w:rsidRPr="00194EC8">
        <w:rPr>
          <w:rFonts w:ascii="Times New Roman" w:hAnsi="Times New Roman" w:cs="Times New Roman"/>
          <w:sz w:val="24"/>
          <w:szCs w:val="24"/>
          <w:lang w:val="en-US"/>
        </w:rPr>
        <w:t xml:space="preserve">The </w:t>
      </w:r>
      <w:r w:rsidR="009C5AC7">
        <w:rPr>
          <w:rFonts w:ascii="Times New Roman" w:hAnsi="Times New Roman" w:cs="Times New Roman"/>
          <w:sz w:val="24"/>
          <w:szCs w:val="24"/>
          <w:lang w:val="en-US"/>
        </w:rPr>
        <w:t>R</w:t>
      </w:r>
      <w:r w:rsidR="00D1735C" w:rsidRPr="00194EC8">
        <w:rPr>
          <w:rFonts w:ascii="Times New Roman" w:hAnsi="Times New Roman" w:cs="Times New Roman"/>
          <w:sz w:val="24"/>
          <w:szCs w:val="24"/>
          <w:lang w:val="en-US"/>
        </w:rPr>
        <w:t xml:space="preserve">eal </w:t>
      </w:r>
      <w:r w:rsidR="009C5AC7">
        <w:rPr>
          <w:rFonts w:ascii="Times New Roman" w:hAnsi="Times New Roman" w:cs="Times New Roman"/>
          <w:sz w:val="24"/>
          <w:szCs w:val="24"/>
          <w:lang w:val="en-US"/>
        </w:rPr>
        <w:t>Effects of Liquidity during the Financial C</w:t>
      </w:r>
      <w:r w:rsidR="00D1735C" w:rsidRPr="00194EC8">
        <w:rPr>
          <w:rFonts w:ascii="Times New Roman" w:hAnsi="Times New Roman" w:cs="Times New Roman"/>
          <w:sz w:val="24"/>
          <w:szCs w:val="24"/>
          <w:lang w:val="en-US"/>
        </w:rPr>
        <w:t xml:space="preserve">risis: </w:t>
      </w:r>
      <w:r w:rsidR="009C5AC7">
        <w:rPr>
          <w:rFonts w:ascii="Times New Roman" w:hAnsi="Times New Roman" w:cs="Times New Roman"/>
          <w:sz w:val="24"/>
          <w:szCs w:val="24"/>
          <w:lang w:val="en-US"/>
        </w:rPr>
        <w:t>Evidence from A</w:t>
      </w:r>
      <w:r w:rsidR="00D1735C" w:rsidRPr="00194EC8">
        <w:rPr>
          <w:rFonts w:ascii="Times New Roman" w:hAnsi="Times New Roman" w:cs="Times New Roman"/>
          <w:sz w:val="24"/>
          <w:szCs w:val="24"/>
          <w:lang w:val="en-US"/>
        </w:rPr>
        <w:t>utomobiles</w:t>
      </w:r>
      <w:r w:rsidR="009C5AC7">
        <w:rPr>
          <w:rFonts w:ascii="Times New Roman" w:hAnsi="Times New Roman" w:cs="Times New Roman"/>
          <w:sz w:val="24"/>
          <w:szCs w:val="24"/>
          <w:lang w:val="en-US"/>
        </w:rPr>
        <w:t>’,</w:t>
      </w:r>
      <w:r w:rsidR="00D1735C" w:rsidRPr="00194EC8">
        <w:rPr>
          <w:rFonts w:ascii="Times New Roman" w:hAnsi="Times New Roman" w:cs="Times New Roman"/>
          <w:sz w:val="24"/>
          <w:szCs w:val="24"/>
          <w:lang w:val="en-US"/>
        </w:rPr>
        <w:t xml:space="preserve"> </w:t>
      </w:r>
      <w:r w:rsidR="00D1735C" w:rsidRPr="00624F8F">
        <w:rPr>
          <w:rFonts w:ascii="Times New Roman" w:hAnsi="Times New Roman" w:cs="Times New Roman"/>
          <w:i/>
          <w:sz w:val="24"/>
          <w:szCs w:val="24"/>
          <w:lang w:val="en-US"/>
        </w:rPr>
        <w:t>Quarterly Journal of Economics</w:t>
      </w:r>
      <w:r w:rsidR="009C5AC7">
        <w:rPr>
          <w:rFonts w:ascii="Times New Roman" w:hAnsi="Times New Roman" w:cs="Times New Roman"/>
          <w:i/>
          <w:sz w:val="24"/>
          <w:szCs w:val="24"/>
          <w:lang w:val="en-US"/>
        </w:rPr>
        <w:t>,</w:t>
      </w:r>
      <w:r w:rsidR="00D1735C"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Vol. </w:t>
      </w:r>
      <w:r w:rsidR="00D1735C" w:rsidRPr="00194EC8">
        <w:rPr>
          <w:rFonts w:ascii="Times New Roman" w:hAnsi="Times New Roman" w:cs="Times New Roman"/>
          <w:sz w:val="24"/>
          <w:szCs w:val="24"/>
          <w:lang w:val="en-US"/>
        </w:rPr>
        <w:t xml:space="preserve">132, </w:t>
      </w:r>
      <w:r w:rsidR="009C5AC7">
        <w:rPr>
          <w:rFonts w:ascii="Times New Roman" w:hAnsi="Times New Roman" w:cs="Times New Roman"/>
          <w:sz w:val="24"/>
          <w:szCs w:val="24"/>
          <w:lang w:val="en-US"/>
        </w:rPr>
        <w:t xml:space="preserve">pp. </w:t>
      </w:r>
      <w:r w:rsidR="00D1735C" w:rsidRPr="00194EC8">
        <w:rPr>
          <w:rFonts w:ascii="Times New Roman" w:hAnsi="Times New Roman" w:cs="Times New Roman"/>
          <w:sz w:val="24"/>
          <w:szCs w:val="24"/>
          <w:lang w:val="en-US"/>
        </w:rPr>
        <w:t>317-</w:t>
      </w:r>
      <w:r w:rsidR="00194EC8">
        <w:rPr>
          <w:rFonts w:ascii="Times New Roman" w:hAnsi="Times New Roman" w:cs="Times New Roman"/>
          <w:sz w:val="24"/>
          <w:szCs w:val="24"/>
          <w:lang w:val="en-US"/>
        </w:rPr>
        <w:t>3</w:t>
      </w:r>
      <w:r w:rsidR="00D1735C" w:rsidRPr="00194EC8">
        <w:rPr>
          <w:rFonts w:ascii="Times New Roman" w:hAnsi="Times New Roman" w:cs="Times New Roman"/>
          <w:sz w:val="24"/>
          <w:szCs w:val="24"/>
          <w:lang w:val="en-US"/>
        </w:rPr>
        <w:t>65.</w:t>
      </w:r>
    </w:p>
    <w:p w:rsidR="00BB4211" w:rsidRPr="00194EC8" w:rsidRDefault="00BB4211" w:rsidP="00BB4211">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Betti</w:t>
      </w:r>
      <w:proofErr w:type="spellEnd"/>
      <w:r w:rsidRPr="00194EC8">
        <w:rPr>
          <w:rFonts w:ascii="Times New Roman" w:hAnsi="Times New Roman" w:cs="Times New Roman"/>
          <w:sz w:val="24"/>
          <w:szCs w:val="24"/>
          <w:lang w:val="en-US"/>
        </w:rPr>
        <w:t xml:space="preserve"> G</w:t>
      </w:r>
      <w:proofErr w:type="gramStart"/>
      <w:r w:rsidRPr="00194EC8">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Dourmashkin</w:t>
      </w:r>
      <w:proofErr w:type="spellEnd"/>
      <w:r w:rsidRPr="00194EC8">
        <w:rPr>
          <w:rFonts w:ascii="Times New Roman" w:hAnsi="Times New Roman" w:cs="Times New Roman"/>
          <w:sz w:val="24"/>
          <w:szCs w:val="24"/>
          <w:lang w:val="en-US"/>
        </w:rPr>
        <w:t xml:space="preserve">, N., Rossi, </w:t>
      </w:r>
      <w:r w:rsidR="00A174E4" w:rsidRPr="00194EC8">
        <w:rPr>
          <w:rFonts w:ascii="Times New Roman" w:hAnsi="Times New Roman" w:cs="Times New Roman"/>
          <w:sz w:val="24"/>
          <w:szCs w:val="24"/>
          <w:lang w:val="en-US"/>
        </w:rPr>
        <w:t>M.</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Yin, Y.P.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2007</w:t>
      </w:r>
      <w:r w:rsidR="00624F8F">
        <w:rPr>
          <w:rFonts w:ascii="Times New Roman" w:hAnsi="Times New Roman" w:cs="Times New Roman"/>
          <w:sz w:val="24"/>
          <w:szCs w:val="24"/>
          <w:lang w:val="en-US"/>
        </w:rPr>
        <w:t>)</w:t>
      </w:r>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‘Consumer Over-Indebtedness in the EU: Measurement and C</w:t>
      </w:r>
      <w:r w:rsidRPr="00194EC8">
        <w:rPr>
          <w:rFonts w:ascii="Times New Roman" w:hAnsi="Times New Roman" w:cs="Times New Roman"/>
          <w:sz w:val="24"/>
          <w:szCs w:val="24"/>
          <w:lang w:val="en-US"/>
        </w:rPr>
        <w:t>haracteristics</w:t>
      </w:r>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Journal of Economic Studies</w:t>
      </w:r>
      <w:r w:rsidR="009C5AC7">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34, </w:t>
      </w:r>
      <w:r w:rsidR="009C5AC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136-</w:t>
      </w:r>
      <w:r w:rsidR="00194EC8">
        <w:rPr>
          <w:rFonts w:ascii="Times New Roman" w:hAnsi="Times New Roman" w:cs="Times New Roman"/>
          <w:sz w:val="24"/>
          <w:szCs w:val="24"/>
          <w:lang w:val="en-US"/>
        </w:rPr>
        <w:t>1</w:t>
      </w:r>
      <w:r w:rsidRPr="00194EC8">
        <w:rPr>
          <w:rFonts w:ascii="Times New Roman" w:hAnsi="Times New Roman" w:cs="Times New Roman"/>
          <w:sz w:val="24"/>
          <w:szCs w:val="24"/>
          <w:lang w:val="en-US"/>
        </w:rPr>
        <w:t>56.</w:t>
      </w:r>
    </w:p>
    <w:p w:rsidR="00302283" w:rsidRDefault="00A174E4" w:rsidP="00302283">
      <w:pPr>
        <w:spacing w:line="480" w:lineRule="auto"/>
        <w:ind w:left="851" w:hanging="851"/>
        <w:jc w:val="both"/>
        <w:rPr>
          <w:rFonts w:ascii="Times New Roman" w:hAnsi="Times New Roman" w:cs="Times New Roman"/>
          <w:sz w:val="24"/>
          <w:szCs w:val="24"/>
          <w:lang w:val="en-US"/>
        </w:rPr>
      </w:pPr>
      <w:r w:rsidRPr="00194EC8">
        <w:rPr>
          <w:rFonts w:ascii="Times New Roman" w:hAnsi="Times New Roman" w:cs="Times New Roman"/>
          <w:sz w:val="24"/>
          <w:szCs w:val="24"/>
          <w:lang w:val="en-US"/>
        </w:rPr>
        <w:t>Blundell, R.</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302283" w:rsidRPr="00194EC8">
        <w:rPr>
          <w:rFonts w:ascii="Times New Roman" w:hAnsi="Times New Roman" w:cs="Times New Roman"/>
          <w:sz w:val="24"/>
          <w:szCs w:val="24"/>
          <w:lang w:val="en-US"/>
        </w:rPr>
        <w:t xml:space="preserve">Bond, S. </w:t>
      </w:r>
      <w:r w:rsidR="00624F8F">
        <w:rPr>
          <w:rFonts w:ascii="Times New Roman" w:hAnsi="Times New Roman" w:cs="Times New Roman"/>
          <w:sz w:val="24"/>
          <w:szCs w:val="24"/>
          <w:lang w:val="en-US"/>
        </w:rPr>
        <w:t>(</w:t>
      </w:r>
      <w:r w:rsidR="00302283" w:rsidRPr="00194EC8">
        <w:rPr>
          <w:rFonts w:ascii="Times New Roman" w:hAnsi="Times New Roman" w:cs="Times New Roman"/>
          <w:sz w:val="24"/>
          <w:szCs w:val="24"/>
          <w:lang w:val="en-US"/>
        </w:rPr>
        <w:t>1998</w:t>
      </w:r>
      <w:r w:rsidR="009C5AC7">
        <w:rPr>
          <w:rFonts w:ascii="Times New Roman" w:hAnsi="Times New Roman" w:cs="Times New Roman"/>
          <w:sz w:val="24"/>
          <w:szCs w:val="24"/>
          <w:lang w:val="en-US"/>
        </w:rPr>
        <w:t>).</w:t>
      </w:r>
      <w:r w:rsidR="00302283"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‘Initial C</w:t>
      </w:r>
      <w:r w:rsidR="00302283" w:rsidRPr="00194EC8">
        <w:rPr>
          <w:rFonts w:ascii="Times New Roman" w:hAnsi="Times New Roman" w:cs="Times New Roman"/>
          <w:sz w:val="24"/>
          <w:szCs w:val="24"/>
          <w:lang w:val="en-US"/>
        </w:rPr>
        <w:t>on</w:t>
      </w:r>
      <w:r w:rsidR="009C5AC7">
        <w:rPr>
          <w:rFonts w:ascii="Times New Roman" w:hAnsi="Times New Roman" w:cs="Times New Roman"/>
          <w:sz w:val="24"/>
          <w:szCs w:val="24"/>
          <w:lang w:val="en-US"/>
        </w:rPr>
        <w:t>ditions and Moment R</w:t>
      </w:r>
      <w:r w:rsidR="00302283" w:rsidRPr="00194EC8">
        <w:rPr>
          <w:rFonts w:ascii="Times New Roman" w:hAnsi="Times New Roman" w:cs="Times New Roman"/>
          <w:sz w:val="24"/>
          <w:szCs w:val="24"/>
          <w:lang w:val="en-US"/>
        </w:rPr>
        <w:t xml:space="preserve">estrictions in </w:t>
      </w:r>
      <w:r w:rsidR="009C5AC7">
        <w:rPr>
          <w:rFonts w:ascii="Times New Roman" w:hAnsi="Times New Roman" w:cs="Times New Roman"/>
          <w:sz w:val="24"/>
          <w:szCs w:val="24"/>
          <w:lang w:val="en-US"/>
        </w:rPr>
        <w:t>Dynamic Panel Data M</w:t>
      </w:r>
      <w:r w:rsidR="00302283" w:rsidRPr="00194EC8">
        <w:rPr>
          <w:rFonts w:ascii="Times New Roman" w:hAnsi="Times New Roman" w:cs="Times New Roman"/>
          <w:sz w:val="24"/>
          <w:szCs w:val="24"/>
          <w:lang w:val="en-US"/>
        </w:rPr>
        <w:t>odels</w:t>
      </w:r>
      <w:r w:rsidR="009C5AC7">
        <w:rPr>
          <w:rFonts w:ascii="Times New Roman" w:hAnsi="Times New Roman" w:cs="Times New Roman"/>
          <w:sz w:val="24"/>
          <w:szCs w:val="24"/>
          <w:lang w:val="en-US"/>
        </w:rPr>
        <w:t>’,</w:t>
      </w:r>
      <w:r w:rsidR="00302283" w:rsidRPr="00194EC8">
        <w:rPr>
          <w:rFonts w:ascii="Times New Roman" w:hAnsi="Times New Roman" w:cs="Times New Roman"/>
          <w:sz w:val="24"/>
          <w:szCs w:val="24"/>
          <w:lang w:val="en-US"/>
        </w:rPr>
        <w:t xml:space="preserve"> </w:t>
      </w:r>
      <w:r w:rsidR="00302283" w:rsidRPr="00624F8F">
        <w:rPr>
          <w:rFonts w:ascii="Times New Roman" w:hAnsi="Times New Roman" w:cs="Times New Roman"/>
          <w:i/>
          <w:sz w:val="24"/>
          <w:szCs w:val="24"/>
          <w:lang w:val="en-US"/>
        </w:rPr>
        <w:t>Journal of Econometrics</w:t>
      </w:r>
      <w:r w:rsidR="009C5AC7">
        <w:rPr>
          <w:rFonts w:ascii="Times New Roman" w:hAnsi="Times New Roman" w:cs="Times New Roman"/>
          <w:i/>
          <w:sz w:val="24"/>
          <w:szCs w:val="24"/>
          <w:lang w:val="en-US"/>
        </w:rPr>
        <w:t>,</w:t>
      </w:r>
      <w:r w:rsidR="00302283"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Vol. </w:t>
      </w:r>
      <w:r w:rsidR="00302283" w:rsidRPr="00194EC8">
        <w:rPr>
          <w:rFonts w:ascii="Times New Roman" w:hAnsi="Times New Roman" w:cs="Times New Roman"/>
          <w:sz w:val="24"/>
          <w:szCs w:val="24"/>
          <w:lang w:val="en-US"/>
        </w:rPr>
        <w:t xml:space="preserve">87, </w:t>
      </w:r>
      <w:r w:rsidR="009C5AC7">
        <w:rPr>
          <w:rFonts w:ascii="Times New Roman" w:hAnsi="Times New Roman" w:cs="Times New Roman"/>
          <w:sz w:val="24"/>
          <w:szCs w:val="24"/>
          <w:lang w:val="en-US"/>
        </w:rPr>
        <w:t xml:space="preserve">pp. </w:t>
      </w:r>
      <w:r w:rsidR="00302283" w:rsidRPr="00194EC8">
        <w:rPr>
          <w:rFonts w:ascii="Times New Roman" w:hAnsi="Times New Roman" w:cs="Times New Roman"/>
          <w:sz w:val="24"/>
          <w:szCs w:val="24"/>
          <w:lang w:val="en-US"/>
        </w:rPr>
        <w:t>115-</w:t>
      </w:r>
      <w:r w:rsidR="00194EC8">
        <w:rPr>
          <w:rFonts w:ascii="Times New Roman" w:hAnsi="Times New Roman" w:cs="Times New Roman"/>
          <w:sz w:val="24"/>
          <w:szCs w:val="24"/>
          <w:lang w:val="en-US"/>
        </w:rPr>
        <w:t>1</w:t>
      </w:r>
      <w:r w:rsidR="00302283" w:rsidRPr="00194EC8">
        <w:rPr>
          <w:rFonts w:ascii="Times New Roman" w:hAnsi="Times New Roman" w:cs="Times New Roman"/>
          <w:sz w:val="24"/>
          <w:szCs w:val="24"/>
          <w:lang w:val="en-US"/>
        </w:rPr>
        <w:t>43.</w:t>
      </w:r>
    </w:p>
    <w:p w:rsidR="00706410" w:rsidRPr="00194EC8" w:rsidRDefault="00706410" w:rsidP="00706410">
      <w:pPr>
        <w:spacing w:line="480" w:lineRule="auto"/>
        <w:ind w:left="851" w:hanging="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Blundell R, </w:t>
      </w:r>
      <w:proofErr w:type="spellStart"/>
      <w:r>
        <w:rPr>
          <w:rFonts w:ascii="Times New Roman" w:hAnsi="Times New Roman" w:cs="Times New Roman"/>
          <w:sz w:val="24"/>
          <w:szCs w:val="24"/>
          <w:lang w:val="en-US"/>
        </w:rPr>
        <w:t>Pistaferri</w:t>
      </w:r>
      <w:proofErr w:type="spellEnd"/>
      <w:r>
        <w:rPr>
          <w:rFonts w:ascii="Times New Roman" w:hAnsi="Times New Roman" w:cs="Times New Roman"/>
          <w:sz w:val="24"/>
          <w:szCs w:val="24"/>
          <w:lang w:val="en-US"/>
        </w:rPr>
        <w:t xml:space="preserve"> L and</w:t>
      </w:r>
      <w:r w:rsidRPr="00706410">
        <w:rPr>
          <w:rFonts w:ascii="Times New Roman" w:hAnsi="Times New Roman" w:cs="Times New Roman"/>
          <w:sz w:val="24"/>
          <w:szCs w:val="24"/>
          <w:lang w:val="en-US"/>
        </w:rPr>
        <w:t xml:space="preserve"> Preston I. </w:t>
      </w:r>
      <w:r>
        <w:rPr>
          <w:rFonts w:ascii="Times New Roman" w:hAnsi="Times New Roman" w:cs="Times New Roman"/>
          <w:sz w:val="24"/>
          <w:szCs w:val="24"/>
          <w:lang w:val="en-US"/>
        </w:rPr>
        <w:t>(2008).</w:t>
      </w:r>
      <w:proofErr w:type="gramEnd"/>
      <w:r>
        <w:rPr>
          <w:rFonts w:ascii="Times New Roman" w:hAnsi="Times New Roman" w:cs="Times New Roman"/>
          <w:sz w:val="24"/>
          <w:szCs w:val="24"/>
          <w:lang w:val="en-US"/>
        </w:rPr>
        <w:t xml:space="preserve"> ‘Consumption Inequality and Partial I</w:t>
      </w:r>
      <w:r w:rsidRPr="00706410">
        <w:rPr>
          <w:rFonts w:ascii="Times New Roman" w:hAnsi="Times New Roman" w:cs="Times New Roman"/>
          <w:sz w:val="24"/>
          <w:szCs w:val="24"/>
          <w:lang w:val="en-US"/>
        </w:rPr>
        <w:t>nsurance</w:t>
      </w:r>
      <w:r>
        <w:rPr>
          <w:rFonts w:ascii="Times New Roman" w:hAnsi="Times New Roman" w:cs="Times New Roman"/>
          <w:sz w:val="24"/>
          <w:szCs w:val="24"/>
          <w:lang w:val="en-US"/>
        </w:rPr>
        <w:t>’,</w:t>
      </w:r>
      <w:r w:rsidRPr="00706410">
        <w:rPr>
          <w:rFonts w:ascii="Times New Roman" w:hAnsi="Times New Roman" w:cs="Times New Roman"/>
          <w:sz w:val="24"/>
          <w:szCs w:val="24"/>
          <w:lang w:val="en-US"/>
        </w:rPr>
        <w:t xml:space="preserve"> </w:t>
      </w:r>
      <w:r w:rsidRPr="00706410">
        <w:rPr>
          <w:rFonts w:ascii="Times New Roman" w:hAnsi="Times New Roman" w:cs="Times New Roman"/>
          <w:i/>
          <w:sz w:val="24"/>
          <w:szCs w:val="24"/>
          <w:lang w:val="en-US"/>
        </w:rPr>
        <w:t>American Economic Review</w:t>
      </w:r>
      <w:r w:rsidRPr="00706410">
        <w:rPr>
          <w:rFonts w:ascii="Times New Roman" w:hAnsi="Times New Roman" w:cs="Times New Roman"/>
          <w:sz w:val="24"/>
          <w:szCs w:val="24"/>
          <w:lang w:val="en-US"/>
        </w:rPr>
        <w:t xml:space="preserve">, </w:t>
      </w:r>
      <w:r w:rsidR="004D2B69">
        <w:rPr>
          <w:rFonts w:ascii="Times New Roman" w:hAnsi="Times New Roman" w:cs="Times New Roman"/>
          <w:sz w:val="24"/>
          <w:szCs w:val="24"/>
          <w:lang w:val="en-US"/>
        </w:rPr>
        <w:t>Vol. 98, pp. 1887-1921.</w:t>
      </w:r>
    </w:p>
    <w:p w:rsidR="00D1735C" w:rsidRPr="00194EC8" w:rsidRDefault="00D1735C" w:rsidP="00E24DA5">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Borio</w:t>
      </w:r>
      <w:proofErr w:type="spellEnd"/>
      <w:r w:rsidRPr="00194EC8">
        <w:rPr>
          <w:rFonts w:ascii="Times New Roman" w:hAnsi="Times New Roman" w:cs="Times New Roman"/>
          <w:sz w:val="24"/>
          <w:szCs w:val="24"/>
          <w:lang w:val="en-US"/>
        </w:rPr>
        <w:t xml:space="preserve">, C.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2014</w:t>
      </w:r>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‘The Financial Cycle and Macroeconomics: What Have we L</w:t>
      </w:r>
      <w:r w:rsidRPr="00194EC8">
        <w:rPr>
          <w:rFonts w:ascii="Times New Roman" w:hAnsi="Times New Roman" w:cs="Times New Roman"/>
          <w:sz w:val="24"/>
          <w:szCs w:val="24"/>
          <w:lang w:val="en-US"/>
        </w:rPr>
        <w:t>earnt?</w:t>
      </w:r>
      <w:proofErr w:type="gramStart"/>
      <w:r w:rsidR="009C5AC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Journal of Banking and Finance</w:t>
      </w:r>
      <w:r w:rsidR="009C5AC7">
        <w:rPr>
          <w:rFonts w:ascii="Times New Roman" w:hAnsi="Times New Roman" w:cs="Times New Roman"/>
          <w:i/>
          <w:sz w:val="24"/>
          <w:szCs w:val="24"/>
          <w:lang w:val="en-US"/>
        </w:rPr>
        <w:t xml:space="preserve">, </w:t>
      </w:r>
      <w:r w:rsidR="009C5AC7" w:rsidRPr="009C5AC7">
        <w:rPr>
          <w:rFonts w:ascii="Times New Roman" w:hAnsi="Times New Roman" w:cs="Times New Roman"/>
          <w:sz w:val="24"/>
          <w:szCs w:val="24"/>
          <w:lang w:val="en-US"/>
        </w:rPr>
        <w:t>Vol.</w:t>
      </w:r>
      <w:r w:rsidRPr="00194EC8">
        <w:rPr>
          <w:rFonts w:ascii="Times New Roman" w:hAnsi="Times New Roman" w:cs="Times New Roman"/>
          <w:sz w:val="24"/>
          <w:szCs w:val="24"/>
          <w:lang w:val="en-US"/>
        </w:rPr>
        <w:t xml:space="preserve"> 45</w:t>
      </w:r>
      <w:r w:rsidR="00194EC8">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182-</w:t>
      </w:r>
      <w:r w:rsidR="00194EC8">
        <w:rPr>
          <w:rFonts w:ascii="Times New Roman" w:hAnsi="Times New Roman" w:cs="Times New Roman"/>
          <w:sz w:val="24"/>
          <w:szCs w:val="24"/>
          <w:lang w:val="en-US"/>
        </w:rPr>
        <w:t>1</w:t>
      </w:r>
      <w:r w:rsidRPr="00194EC8">
        <w:rPr>
          <w:rFonts w:ascii="Times New Roman" w:hAnsi="Times New Roman" w:cs="Times New Roman"/>
          <w:sz w:val="24"/>
          <w:szCs w:val="24"/>
          <w:lang w:val="en-US"/>
        </w:rPr>
        <w:t>98.</w:t>
      </w:r>
    </w:p>
    <w:p w:rsidR="00956A1F" w:rsidRPr="00194EC8" w:rsidRDefault="00956A1F" w:rsidP="00956A1F">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Borio</w:t>
      </w:r>
      <w:proofErr w:type="spellEnd"/>
      <w:r w:rsidRPr="00194EC8">
        <w:rPr>
          <w:rFonts w:ascii="Times New Roman" w:hAnsi="Times New Roman" w:cs="Times New Roman"/>
          <w:sz w:val="24"/>
          <w:szCs w:val="24"/>
          <w:lang w:val="en-US"/>
        </w:rPr>
        <w:t xml:space="preserve">, C., </w:t>
      </w:r>
      <w:proofErr w:type="spellStart"/>
      <w:r w:rsidRPr="00194EC8">
        <w:rPr>
          <w:rFonts w:ascii="Times New Roman" w:hAnsi="Times New Roman" w:cs="Times New Roman"/>
          <w:sz w:val="24"/>
          <w:szCs w:val="24"/>
          <w:lang w:val="en-US"/>
        </w:rPr>
        <w:t>Kharroubi</w:t>
      </w:r>
      <w:proofErr w:type="spellEnd"/>
      <w:r w:rsidRPr="00194EC8">
        <w:rPr>
          <w:rFonts w:ascii="Times New Roman" w:hAnsi="Times New Roman" w:cs="Times New Roman"/>
          <w:sz w:val="24"/>
          <w:szCs w:val="24"/>
          <w:lang w:val="en-US"/>
        </w:rPr>
        <w:t>, E., Upper</w:t>
      </w:r>
      <w:r w:rsidR="00A174E4" w:rsidRPr="00194EC8">
        <w:rPr>
          <w:rFonts w:ascii="Times New Roman" w:hAnsi="Times New Roman" w:cs="Times New Roman"/>
          <w:sz w:val="24"/>
          <w:szCs w:val="24"/>
          <w:lang w:val="en-US"/>
        </w:rPr>
        <w:t>, C.</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Zampolli</w:t>
      </w:r>
      <w:proofErr w:type="spellEnd"/>
      <w:r w:rsidRPr="00194EC8">
        <w:rPr>
          <w:rFonts w:ascii="Times New Roman" w:hAnsi="Times New Roman" w:cs="Times New Roman"/>
          <w:sz w:val="24"/>
          <w:szCs w:val="24"/>
          <w:lang w:val="en-US"/>
        </w:rPr>
        <w:t xml:space="preserve">, F.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2016</w:t>
      </w:r>
      <w:r w:rsidR="009C5AC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proofErr w:type="gramStart"/>
      <w:r w:rsidR="009C5AC7">
        <w:rPr>
          <w:rFonts w:ascii="Times New Roman" w:hAnsi="Times New Roman" w:cs="Times New Roman"/>
          <w:sz w:val="24"/>
          <w:szCs w:val="24"/>
          <w:lang w:val="en-US"/>
        </w:rPr>
        <w:t>‘</w:t>
      </w:r>
      <w:proofErr w:type="spellStart"/>
      <w:r w:rsidRPr="00194EC8">
        <w:rPr>
          <w:rFonts w:ascii="Times New Roman" w:hAnsi="Times New Roman" w:cs="Times New Roman"/>
          <w:sz w:val="24"/>
          <w:szCs w:val="24"/>
          <w:lang w:val="en-US"/>
        </w:rPr>
        <w:t>Labour</w:t>
      </w:r>
      <w:proofErr w:type="spellEnd"/>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Reallocation and Productivity Dynamics: Financial Causes, Real Consequences’,</w:t>
      </w:r>
      <w:r w:rsidRPr="00194EC8">
        <w:rPr>
          <w:rFonts w:ascii="Times New Roman" w:hAnsi="Times New Roman" w:cs="Times New Roman"/>
          <w:sz w:val="24"/>
          <w:szCs w:val="24"/>
          <w:lang w:val="en-US"/>
        </w:rPr>
        <w:t xml:space="preserve"> BIS Working Paper, No 534.</w:t>
      </w:r>
      <w:proofErr w:type="gramEnd"/>
    </w:p>
    <w:p w:rsidR="00C32468" w:rsidRPr="00194EC8" w:rsidRDefault="00C32468" w:rsidP="00C32468">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lastRenderedPageBreak/>
        <w:t>Bostic</w:t>
      </w:r>
      <w:proofErr w:type="spellEnd"/>
      <w:r w:rsidRPr="00194EC8">
        <w:rPr>
          <w:rFonts w:ascii="Times New Roman" w:hAnsi="Times New Roman" w:cs="Times New Roman"/>
          <w:sz w:val="24"/>
          <w:szCs w:val="24"/>
          <w:lang w:val="en-US"/>
        </w:rPr>
        <w:t xml:space="preserve">, R.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2002</w:t>
      </w:r>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‘Trends in Equal Access to Credit P</w:t>
      </w:r>
      <w:r w:rsidRPr="00194EC8">
        <w:rPr>
          <w:rFonts w:ascii="Times New Roman" w:hAnsi="Times New Roman" w:cs="Times New Roman"/>
          <w:sz w:val="24"/>
          <w:szCs w:val="24"/>
          <w:lang w:val="en-US"/>
        </w:rPr>
        <w:t>roducts</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i</w:t>
      </w:r>
      <w:r w:rsidRPr="00194EC8">
        <w:rPr>
          <w:rFonts w:ascii="Times New Roman" w:hAnsi="Times New Roman" w:cs="Times New Roman"/>
          <w:sz w:val="24"/>
          <w:szCs w:val="24"/>
          <w:lang w:val="en-US"/>
        </w:rPr>
        <w:t>n</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The Impact of Public Policy on Consumer Credit</w:t>
      </w:r>
      <w:r w:rsidRPr="00194EC8">
        <w:rPr>
          <w:rFonts w:ascii="Times New Roman" w:hAnsi="Times New Roman" w:cs="Times New Roman"/>
          <w:sz w:val="24"/>
          <w:szCs w:val="24"/>
          <w:lang w:val="en-US"/>
        </w:rPr>
        <w:t>. Durkin, T., Staten, M. (</w:t>
      </w:r>
      <w:proofErr w:type="spellStart"/>
      <w:r w:rsidRPr="00194EC8">
        <w:rPr>
          <w:rFonts w:ascii="Times New Roman" w:hAnsi="Times New Roman" w:cs="Times New Roman"/>
          <w:sz w:val="24"/>
          <w:szCs w:val="24"/>
          <w:lang w:val="en-US"/>
        </w:rPr>
        <w:t>Eds</w:t>
      </w:r>
      <w:proofErr w:type="spellEnd"/>
      <w:r w:rsidRPr="00194EC8">
        <w:rPr>
          <w:rFonts w:ascii="Times New Roman" w:hAnsi="Times New Roman" w:cs="Times New Roman"/>
          <w:sz w:val="24"/>
          <w:szCs w:val="24"/>
          <w:lang w:val="en-US"/>
        </w:rPr>
        <w:t>),</w:t>
      </w:r>
      <w:r w:rsidR="007977F3" w:rsidRPr="00194EC8">
        <w:rPr>
          <w:rFonts w:ascii="Times New Roman" w:hAnsi="Times New Roman" w:cs="Times New Roman"/>
          <w:sz w:val="24"/>
          <w:szCs w:val="24"/>
          <w:lang w:val="en-US"/>
        </w:rPr>
        <w:t xml:space="preserve"> </w:t>
      </w:r>
      <w:proofErr w:type="spellStart"/>
      <w:r w:rsidR="007977F3" w:rsidRPr="00194EC8">
        <w:rPr>
          <w:rFonts w:ascii="Times New Roman" w:hAnsi="Times New Roman" w:cs="Times New Roman"/>
          <w:sz w:val="24"/>
          <w:szCs w:val="24"/>
          <w:lang w:val="en-US"/>
        </w:rPr>
        <w:t>Kluwer</w:t>
      </w:r>
      <w:proofErr w:type="spellEnd"/>
      <w:r w:rsidR="007977F3" w:rsidRPr="00194EC8">
        <w:rPr>
          <w:rFonts w:ascii="Times New Roman" w:hAnsi="Times New Roman" w:cs="Times New Roman"/>
          <w:sz w:val="24"/>
          <w:szCs w:val="24"/>
          <w:lang w:val="en-US"/>
        </w:rPr>
        <w:t xml:space="preserve"> Academic Publishers, Boston. </w:t>
      </w:r>
    </w:p>
    <w:p w:rsidR="00244C9E" w:rsidRPr="00194EC8" w:rsidRDefault="00244C9E" w:rsidP="00244C9E">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Browning, M.</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Crossley</w:t>
      </w:r>
      <w:proofErr w:type="spellEnd"/>
      <w:r w:rsidRPr="00194EC8">
        <w:rPr>
          <w:rFonts w:ascii="Times New Roman" w:hAnsi="Times New Roman" w:cs="Times New Roman"/>
          <w:sz w:val="24"/>
          <w:szCs w:val="24"/>
          <w:lang w:val="en-US"/>
        </w:rPr>
        <w:t xml:space="preserve">, T.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2009</w:t>
      </w:r>
      <w:r w:rsidR="009C5AC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9C5AC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Stocks, </w:t>
      </w:r>
      <w:r w:rsidR="00C97D97">
        <w:rPr>
          <w:rFonts w:ascii="Times New Roman" w:hAnsi="Times New Roman" w:cs="Times New Roman"/>
          <w:sz w:val="24"/>
          <w:szCs w:val="24"/>
          <w:lang w:val="en-US"/>
        </w:rPr>
        <w:t>S</w:t>
      </w:r>
      <w:r w:rsidRPr="00194EC8">
        <w:rPr>
          <w:rFonts w:ascii="Times New Roman" w:hAnsi="Times New Roman" w:cs="Times New Roman"/>
          <w:sz w:val="24"/>
          <w:szCs w:val="24"/>
          <w:lang w:val="en-US"/>
        </w:rPr>
        <w:t xml:space="preserve">hocks and </w:t>
      </w:r>
      <w:r w:rsidR="00C97D97">
        <w:rPr>
          <w:rFonts w:ascii="Times New Roman" w:hAnsi="Times New Roman" w:cs="Times New Roman"/>
          <w:sz w:val="24"/>
          <w:szCs w:val="24"/>
          <w:lang w:val="en-US"/>
        </w:rPr>
        <w:t>S</w:t>
      </w:r>
      <w:r w:rsidRPr="00194EC8">
        <w:rPr>
          <w:rFonts w:ascii="Times New Roman" w:hAnsi="Times New Roman" w:cs="Times New Roman"/>
          <w:sz w:val="24"/>
          <w:szCs w:val="24"/>
          <w:lang w:val="en-US"/>
        </w:rPr>
        <w:t xml:space="preserve">ocks: </w:t>
      </w:r>
      <w:r w:rsidR="00C97D97">
        <w:rPr>
          <w:rFonts w:ascii="Times New Roman" w:hAnsi="Times New Roman" w:cs="Times New Roman"/>
          <w:sz w:val="24"/>
          <w:szCs w:val="24"/>
          <w:lang w:val="en-US"/>
        </w:rPr>
        <w:t>Smoothing Consumption over a Temporary Income L</w:t>
      </w:r>
      <w:r w:rsidRPr="00194EC8">
        <w:rPr>
          <w:rFonts w:ascii="Times New Roman" w:hAnsi="Times New Roman" w:cs="Times New Roman"/>
          <w:sz w:val="24"/>
          <w:szCs w:val="24"/>
          <w:lang w:val="en-US"/>
        </w:rPr>
        <w:t>oss</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Journal of the European Economic Association</w:t>
      </w:r>
      <w:r w:rsidR="00C97D97">
        <w:rPr>
          <w:rFonts w:ascii="Times New Roman" w:hAnsi="Times New Roman" w:cs="Times New Roman"/>
          <w:i/>
          <w:sz w:val="24"/>
          <w:szCs w:val="24"/>
          <w:lang w:val="en-US"/>
        </w:rPr>
        <w:t>,</w:t>
      </w:r>
      <w:r w:rsidRPr="00194EC8">
        <w:rPr>
          <w:rFonts w:ascii="Times New Roman" w:hAnsi="Times New Roman" w:cs="Times New Roman"/>
          <w:sz w:val="24"/>
          <w:szCs w:val="24"/>
          <w:lang w:val="en-US"/>
        </w:rPr>
        <w:t> </w:t>
      </w:r>
      <w:r w:rsidR="00C97D97">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6, </w:t>
      </w:r>
      <w:r w:rsidR="00C97D9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1169</w:t>
      </w:r>
      <w:r w:rsidRPr="00194EC8">
        <w:rPr>
          <w:rFonts w:ascii="Times New Roman" w:eastAsia="MS Gothic" w:hAnsi="Times New Roman" w:cs="Times New Roman" w:hint="eastAsia"/>
          <w:sz w:val="24"/>
          <w:szCs w:val="24"/>
          <w:lang w:val="en-US"/>
        </w:rPr>
        <w:t>‑</w:t>
      </w:r>
      <w:r w:rsidR="00194EC8">
        <w:rPr>
          <w:rFonts w:ascii="Times New Roman" w:eastAsia="MS Gothic" w:hAnsi="Times New Roman" w:cs="Times New Roman"/>
          <w:sz w:val="24"/>
          <w:szCs w:val="24"/>
          <w:lang w:val="en-US"/>
        </w:rPr>
        <w:t>11</w:t>
      </w:r>
      <w:r w:rsidRPr="00194EC8">
        <w:rPr>
          <w:rFonts w:ascii="Times New Roman" w:hAnsi="Times New Roman" w:cs="Times New Roman"/>
          <w:sz w:val="24"/>
          <w:szCs w:val="24"/>
          <w:lang w:val="en-US"/>
        </w:rPr>
        <w:t>92.</w:t>
      </w:r>
    </w:p>
    <w:p w:rsidR="00B92B64" w:rsidRDefault="00B92B6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Buttigli</w:t>
      </w:r>
      <w:r w:rsidR="00A174E4" w:rsidRPr="00194EC8">
        <w:rPr>
          <w:rFonts w:ascii="Times New Roman" w:hAnsi="Times New Roman" w:cs="Times New Roman"/>
          <w:sz w:val="24"/>
          <w:szCs w:val="24"/>
          <w:lang w:val="en-US"/>
        </w:rPr>
        <w:t>one</w:t>
      </w:r>
      <w:proofErr w:type="spellEnd"/>
      <w:r w:rsidR="00A174E4" w:rsidRPr="00194EC8">
        <w:rPr>
          <w:rFonts w:ascii="Times New Roman" w:hAnsi="Times New Roman" w:cs="Times New Roman"/>
          <w:sz w:val="24"/>
          <w:szCs w:val="24"/>
          <w:lang w:val="en-US"/>
        </w:rPr>
        <w:t xml:space="preserve">, L., Lane, P., </w:t>
      </w:r>
      <w:proofErr w:type="spellStart"/>
      <w:r w:rsidR="00A174E4" w:rsidRPr="00194EC8">
        <w:rPr>
          <w:rFonts w:ascii="Times New Roman" w:hAnsi="Times New Roman" w:cs="Times New Roman"/>
          <w:sz w:val="24"/>
          <w:szCs w:val="24"/>
          <w:lang w:val="en-US"/>
        </w:rPr>
        <w:t>Reichlin</w:t>
      </w:r>
      <w:proofErr w:type="spellEnd"/>
      <w:r w:rsidR="00A174E4" w:rsidRPr="00194EC8">
        <w:rPr>
          <w:rFonts w:ascii="Times New Roman" w:hAnsi="Times New Roman" w:cs="Times New Roman"/>
          <w:sz w:val="24"/>
          <w:szCs w:val="24"/>
          <w:lang w:val="en-US"/>
        </w:rPr>
        <w:t>, L.</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Reinhart, V.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2014</w:t>
      </w:r>
      <w:r w:rsidR="00624F8F">
        <w:rPr>
          <w:rFonts w:ascii="Times New Roman" w:hAnsi="Times New Roman" w:cs="Times New Roman"/>
          <w:sz w:val="24"/>
          <w:szCs w:val="24"/>
          <w:lang w:val="en-US"/>
        </w:rPr>
        <w:t>)</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‘Deleveraging? What D</w:t>
      </w:r>
      <w:r w:rsidRPr="00194EC8">
        <w:rPr>
          <w:rFonts w:ascii="Times New Roman" w:hAnsi="Times New Roman" w:cs="Times New Roman"/>
          <w:sz w:val="24"/>
          <w:szCs w:val="24"/>
          <w:lang w:val="en-US"/>
        </w:rPr>
        <w:t>eleveraging?</w:t>
      </w:r>
      <w:proofErr w:type="gramStart"/>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Geneva Reports on the World Economy.</w:t>
      </w:r>
    </w:p>
    <w:p w:rsidR="00924E85" w:rsidRPr="00194EC8" w:rsidRDefault="00924E85" w:rsidP="00924E85">
      <w:pPr>
        <w:spacing w:line="480" w:lineRule="auto"/>
        <w:ind w:left="851" w:hanging="851"/>
        <w:jc w:val="both"/>
        <w:rPr>
          <w:rFonts w:ascii="Times New Roman" w:hAnsi="Times New Roman" w:cs="Times New Roman"/>
          <w:sz w:val="24"/>
          <w:szCs w:val="24"/>
          <w:lang w:val="en-US"/>
        </w:rPr>
      </w:pPr>
      <w:proofErr w:type="spellStart"/>
      <w:r w:rsidRPr="00924E85">
        <w:rPr>
          <w:rFonts w:ascii="Times New Roman" w:hAnsi="Times New Roman" w:cs="Times New Roman"/>
          <w:sz w:val="24"/>
          <w:szCs w:val="24"/>
          <w:lang w:val="en-US"/>
        </w:rPr>
        <w:t>Cagan</w:t>
      </w:r>
      <w:proofErr w:type="spellEnd"/>
      <w:r w:rsidRPr="00924E85">
        <w:rPr>
          <w:rFonts w:ascii="Times New Roman" w:hAnsi="Times New Roman" w:cs="Times New Roman"/>
          <w:sz w:val="24"/>
          <w:szCs w:val="24"/>
          <w:lang w:val="en-US"/>
        </w:rPr>
        <w:t xml:space="preserve">, C. (2007). </w:t>
      </w:r>
      <w:r>
        <w:rPr>
          <w:rFonts w:ascii="Times New Roman" w:hAnsi="Times New Roman" w:cs="Times New Roman"/>
          <w:sz w:val="24"/>
          <w:szCs w:val="24"/>
          <w:lang w:val="en-US"/>
        </w:rPr>
        <w:t>‘</w:t>
      </w:r>
      <w:r w:rsidRPr="00924E85">
        <w:rPr>
          <w:rFonts w:ascii="Times New Roman" w:hAnsi="Times New Roman" w:cs="Times New Roman"/>
          <w:sz w:val="24"/>
          <w:szCs w:val="24"/>
          <w:lang w:val="en-US"/>
        </w:rPr>
        <w:t>Mortgage Payment Reset: The Issue and the Impact</w:t>
      </w:r>
      <w:r>
        <w:rPr>
          <w:rFonts w:ascii="Times New Roman" w:hAnsi="Times New Roman" w:cs="Times New Roman"/>
          <w:sz w:val="24"/>
          <w:szCs w:val="24"/>
          <w:lang w:val="en-US"/>
        </w:rPr>
        <w:t>’,</w:t>
      </w:r>
      <w:r w:rsidRPr="00924E85">
        <w:rPr>
          <w:rFonts w:ascii="Times New Roman" w:hAnsi="Times New Roman" w:cs="Times New Roman"/>
          <w:sz w:val="24"/>
          <w:szCs w:val="24"/>
          <w:lang w:val="en-US"/>
        </w:rPr>
        <w:t xml:space="preserve"> Research Study,</w:t>
      </w:r>
      <w:r>
        <w:rPr>
          <w:rFonts w:ascii="Times New Roman" w:hAnsi="Times New Roman" w:cs="Times New Roman"/>
          <w:sz w:val="24"/>
          <w:szCs w:val="24"/>
          <w:lang w:val="en-US"/>
        </w:rPr>
        <w:t xml:space="preserve"> </w:t>
      </w:r>
      <w:r w:rsidRPr="00924E85">
        <w:rPr>
          <w:rFonts w:ascii="Times New Roman" w:hAnsi="Times New Roman" w:cs="Times New Roman"/>
          <w:sz w:val="24"/>
          <w:szCs w:val="24"/>
          <w:lang w:val="en-US"/>
        </w:rPr>
        <w:t xml:space="preserve">First American </w:t>
      </w:r>
      <w:proofErr w:type="spellStart"/>
      <w:r w:rsidRPr="00924E85">
        <w:rPr>
          <w:rFonts w:ascii="Times New Roman" w:hAnsi="Times New Roman" w:cs="Times New Roman"/>
          <w:sz w:val="24"/>
          <w:szCs w:val="24"/>
          <w:lang w:val="en-US"/>
        </w:rPr>
        <w:t>CoreLogic</w:t>
      </w:r>
      <w:proofErr w:type="spellEnd"/>
      <w:r>
        <w:rPr>
          <w:rFonts w:ascii="Times New Roman" w:hAnsi="Times New Roman" w:cs="Times New Roman"/>
          <w:sz w:val="24"/>
          <w:szCs w:val="24"/>
          <w:lang w:val="en-US"/>
        </w:rPr>
        <w:t>.</w:t>
      </w:r>
    </w:p>
    <w:p w:rsidR="0076420D" w:rsidRPr="00194EC8" w:rsidRDefault="00A174E4" w:rsidP="0076420D">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Campbell, J.</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76420D" w:rsidRPr="00194EC8">
        <w:rPr>
          <w:rFonts w:ascii="Times New Roman" w:hAnsi="Times New Roman" w:cs="Times New Roman"/>
          <w:sz w:val="24"/>
          <w:szCs w:val="24"/>
          <w:lang w:val="en-US"/>
        </w:rPr>
        <w:t>Mankiw</w:t>
      </w:r>
      <w:proofErr w:type="spellEnd"/>
      <w:r w:rsidR="0076420D" w:rsidRPr="00194EC8">
        <w:rPr>
          <w:rFonts w:ascii="Times New Roman" w:hAnsi="Times New Roman" w:cs="Times New Roman"/>
          <w:sz w:val="24"/>
          <w:szCs w:val="24"/>
          <w:lang w:val="en-US"/>
        </w:rPr>
        <w:t xml:space="preserve">, G. </w:t>
      </w:r>
      <w:r w:rsidR="00624F8F">
        <w:rPr>
          <w:rFonts w:ascii="Times New Roman" w:hAnsi="Times New Roman" w:cs="Times New Roman"/>
          <w:sz w:val="24"/>
          <w:szCs w:val="24"/>
          <w:lang w:val="en-US"/>
        </w:rPr>
        <w:t>(</w:t>
      </w:r>
      <w:r w:rsidR="0076420D" w:rsidRPr="00194EC8">
        <w:rPr>
          <w:rFonts w:ascii="Times New Roman" w:hAnsi="Times New Roman" w:cs="Times New Roman"/>
          <w:sz w:val="24"/>
          <w:szCs w:val="24"/>
          <w:lang w:val="en-US"/>
        </w:rPr>
        <w:t>1989</w:t>
      </w:r>
      <w:r w:rsidR="00C97D97">
        <w:rPr>
          <w:rFonts w:ascii="Times New Roman" w:hAnsi="Times New Roman" w:cs="Times New Roman"/>
          <w:sz w:val="24"/>
          <w:szCs w:val="24"/>
          <w:lang w:val="en-US"/>
        </w:rPr>
        <w:t>).</w:t>
      </w:r>
      <w:proofErr w:type="gramEnd"/>
      <w:r w:rsidR="0076420D"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w:t>
      </w:r>
      <w:r w:rsidR="0076420D" w:rsidRPr="00194EC8">
        <w:rPr>
          <w:rFonts w:ascii="Times New Roman" w:hAnsi="Times New Roman" w:cs="Times New Roman"/>
          <w:sz w:val="24"/>
          <w:szCs w:val="24"/>
          <w:lang w:val="en-US"/>
        </w:rPr>
        <w:t xml:space="preserve">Consumption, </w:t>
      </w:r>
      <w:r w:rsidR="00C97D97">
        <w:rPr>
          <w:rFonts w:ascii="Times New Roman" w:hAnsi="Times New Roman" w:cs="Times New Roman"/>
          <w:sz w:val="24"/>
          <w:szCs w:val="24"/>
          <w:lang w:val="en-US"/>
        </w:rPr>
        <w:t>I</w:t>
      </w:r>
      <w:r w:rsidR="0076420D" w:rsidRPr="00194EC8">
        <w:rPr>
          <w:rFonts w:ascii="Times New Roman" w:hAnsi="Times New Roman" w:cs="Times New Roman"/>
          <w:sz w:val="24"/>
          <w:szCs w:val="24"/>
          <w:lang w:val="en-US"/>
        </w:rPr>
        <w:t xml:space="preserve">ncome and </w:t>
      </w:r>
      <w:r w:rsidR="00C97D97">
        <w:rPr>
          <w:rFonts w:ascii="Times New Roman" w:hAnsi="Times New Roman" w:cs="Times New Roman"/>
          <w:sz w:val="24"/>
          <w:szCs w:val="24"/>
          <w:lang w:val="en-US"/>
        </w:rPr>
        <w:t>I</w:t>
      </w:r>
      <w:r w:rsidR="0076420D" w:rsidRPr="00194EC8">
        <w:rPr>
          <w:rFonts w:ascii="Times New Roman" w:hAnsi="Times New Roman" w:cs="Times New Roman"/>
          <w:sz w:val="24"/>
          <w:szCs w:val="24"/>
          <w:lang w:val="en-US"/>
        </w:rPr>
        <w:t xml:space="preserve">nterest </w:t>
      </w:r>
      <w:r w:rsidR="00C97D97">
        <w:rPr>
          <w:rFonts w:ascii="Times New Roman" w:hAnsi="Times New Roman" w:cs="Times New Roman"/>
          <w:sz w:val="24"/>
          <w:szCs w:val="24"/>
          <w:lang w:val="en-US"/>
        </w:rPr>
        <w:t>Rates: Reinterpreting the Time Series Evidence’,</w:t>
      </w:r>
      <w:r w:rsidR="0076420D"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i</w:t>
      </w:r>
      <w:r w:rsidR="0076420D" w:rsidRPr="00194EC8">
        <w:rPr>
          <w:rFonts w:ascii="Times New Roman" w:hAnsi="Times New Roman" w:cs="Times New Roman"/>
          <w:sz w:val="24"/>
          <w:szCs w:val="24"/>
          <w:lang w:val="en-US"/>
        </w:rPr>
        <w:t>n</w:t>
      </w:r>
      <w:r w:rsidR="00624F8F">
        <w:rPr>
          <w:rFonts w:ascii="Times New Roman" w:hAnsi="Times New Roman" w:cs="Times New Roman"/>
          <w:sz w:val="24"/>
          <w:szCs w:val="24"/>
          <w:lang w:val="en-US"/>
        </w:rPr>
        <w:t>: Blanchard, O. and</w:t>
      </w:r>
      <w:r w:rsidR="0076420D" w:rsidRPr="00194EC8">
        <w:rPr>
          <w:rFonts w:ascii="Times New Roman" w:hAnsi="Times New Roman" w:cs="Times New Roman"/>
          <w:sz w:val="24"/>
          <w:szCs w:val="24"/>
          <w:lang w:val="en-US"/>
        </w:rPr>
        <w:t xml:space="preserve"> Fischer, S. (Eds.), </w:t>
      </w:r>
      <w:r w:rsidR="0076420D" w:rsidRPr="00624F8F">
        <w:rPr>
          <w:rFonts w:ascii="Times New Roman" w:hAnsi="Times New Roman" w:cs="Times New Roman"/>
          <w:i/>
          <w:sz w:val="24"/>
          <w:szCs w:val="24"/>
          <w:lang w:val="en-US"/>
        </w:rPr>
        <w:t>NBER Macroeconomics Annual</w:t>
      </w:r>
      <w:r w:rsidR="0076420D" w:rsidRPr="00194EC8">
        <w:rPr>
          <w:rFonts w:ascii="Times New Roman" w:hAnsi="Times New Roman" w:cs="Times New Roman"/>
          <w:sz w:val="24"/>
          <w:szCs w:val="24"/>
          <w:lang w:val="en-US"/>
        </w:rPr>
        <w:t>, MIT Press, Cambridge, MA.</w:t>
      </w:r>
    </w:p>
    <w:p w:rsidR="005A10AF" w:rsidRPr="00194EC8"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Campello</w:t>
      </w:r>
      <w:proofErr w:type="spellEnd"/>
      <w:r w:rsidRPr="00194EC8">
        <w:rPr>
          <w:rFonts w:ascii="Times New Roman" w:hAnsi="Times New Roman" w:cs="Times New Roman"/>
          <w:sz w:val="24"/>
          <w:szCs w:val="24"/>
          <w:lang w:val="en-US"/>
        </w:rPr>
        <w:t>, M., Graham, J.R.</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5A10AF" w:rsidRPr="00194EC8">
        <w:rPr>
          <w:rFonts w:ascii="Times New Roman" w:hAnsi="Times New Roman" w:cs="Times New Roman"/>
          <w:sz w:val="24"/>
          <w:szCs w:val="24"/>
          <w:lang w:val="en-US"/>
        </w:rPr>
        <w:t xml:space="preserve">Harvey, C. </w:t>
      </w:r>
      <w:r w:rsidR="00624F8F">
        <w:rPr>
          <w:rFonts w:ascii="Times New Roman" w:hAnsi="Times New Roman" w:cs="Times New Roman"/>
          <w:sz w:val="24"/>
          <w:szCs w:val="24"/>
          <w:lang w:val="en-US"/>
        </w:rPr>
        <w:t>(</w:t>
      </w:r>
      <w:r w:rsidR="005A10AF" w:rsidRPr="00194EC8">
        <w:rPr>
          <w:rFonts w:ascii="Times New Roman" w:hAnsi="Times New Roman" w:cs="Times New Roman"/>
          <w:sz w:val="24"/>
          <w:szCs w:val="24"/>
          <w:lang w:val="en-US"/>
        </w:rPr>
        <w:t>2010</w:t>
      </w:r>
      <w:r w:rsidR="00C97D97">
        <w:rPr>
          <w:rFonts w:ascii="Times New Roman" w:hAnsi="Times New Roman" w:cs="Times New Roman"/>
          <w:sz w:val="24"/>
          <w:szCs w:val="24"/>
          <w:lang w:val="en-US"/>
        </w:rPr>
        <w:t>).</w:t>
      </w:r>
      <w:proofErr w:type="gramEnd"/>
      <w:r w:rsidR="005A10AF"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‘The Real Effects of Financial Constraints: Evidence from a Financial C</w:t>
      </w:r>
      <w:r w:rsidR="005A10AF" w:rsidRPr="00194EC8">
        <w:rPr>
          <w:rFonts w:ascii="Times New Roman" w:hAnsi="Times New Roman" w:cs="Times New Roman"/>
          <w:sz w:val="24"/>
          <w:szCs w:val="24"/>
          <w:lang w:val="en-US"/>
        </w:rPr>
        <w:t>risis</w:t>
      </w:r>
      <w:r w:rsidR="00C97D97">
        <w:rPr>
          <w:rFonts w:ascii="Times New Roman" w:hAnsi="Times New Roman" w:cs="Times New Roman"/>
          <w:sz w:val="24"/>
          <w:szCs w:val="24"/>
          <w:lang w:val="en-US"/>
        </w:rPr>
        <w:t>’,</w:t>
      </w:r>
      <w:r w:rsidR="005A10AF" w:rsidRPr="00194EC8">
        <w:rPr>
          <w:rFonts w:ascii="Times New Roman" w:hAnsi="Times New Roman" w:cs="Times New Roman"/>
          <w:sz w:val="24"/>
          <w:szCs w:val="24"/>
          <w:lang w:val="en-US"/>
        </w:rPr>
        <w:t xml:space="preserve"> </w:t>
      </w:r>
      <w:r w:rsidR="005A10AF" w:rsidRPr="00624F8F">
        <w:rPr>
          <w:rFonts w:ascii="Times New Roman" w:hAnsi="Times New Roman" w:cs="Times New Roman"/>
          <w:i/>
          <w:sz w:val="24"/>
          <w:szCs w:val="24"/>
          <w:lang w:val="en-US"/>
        </w:rPr>
        <w:t>Journal of Financial Economics</w:t>
      </w:r>
      <w:r w:rsidR="00C97D97">
        <w:rPr>
          <w:rFonts w:ascii="Times New Roman" w:hAnsi="Times New Roman" w:cs="Times New Roman"/>
          <w:i/>
          <w:sz w:val="24"/>
          <w:szCs w:val="24"/>
          <w:lang w:val="en-US"/>
        </w:rPr>
        <w:t>,</w:t>
      </w:r>
      <w:r w:rsidR="005A10AF"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Vol. </w:t>
      </w:r>
      <w:r w:rsidR="005A10AF" w:rsidRPr="00194EC8">
        <w:rPr>
          <w:rFonts w:ascii="Times New Roman" w:hAnsi="Times New Roman" w:cs="Times New Roman"/>
          <w:sz w:val="24"/>
          <w:szCs w:val="24"/>
          <w:lang w:val="en-US"/>
        </w:rPr>
        <w:t xml:space="preserve">97, </w:t>
      </w:r>
      <w:r w:rsidR="00C97D97">
        <w:rPr>
          <w:rFonts w:ascii="Times New Roman" w:hAnsi="Times New Roman" w:cs="Times New Roman"/>
          <w:sz w:val="24"/>
          <w:szCs w:val="24"/>
          <w:lang w:val="en-US"/>
        </w:rPr>
        <w:t xml:space="preserve">pp. </w:t>
      </w:r>
      <w:r w:rsidR="005A10AF" w:rsidRPr="00194EC8">
        <w:rPr>
          <w:rFonts w:ascii="Times New Roman" w:hAnsi="Times New Roman" w:cs="Times New Roman"/>
          <w:sz w:val="24"/>
          <w:szCs w:val="24"/>
          <w:lang w:val="en-US"/>
        </w:rPr>
        <w:t>470-</w:t>
      </w:r>
      <w:r w:rsidR="00194EC8">
        <w:rPr>
          <w:rFonts w:ascii="Times New Roman" w:hAnsi="Times New Roman" w:cs="Times New Roman"/>
          <w:sz w:val="24"/>
          <w:szCs w:val="24"/>
          <w:lang w:val="en-US"/>
        </w:rPr>
        <w:t>4</w:t>
      </w:r>
      <w:r w:rsidR="005A10AF" w:rsidRPr="00194EC8">
        <w:rPr>
          <w:rFonts w:ascii="Times New Roman" w:hAnsi="Times New Roman" w:cs="Times New Roman"/>
          <w:sz w:val="24"/>
          <w:szCs w:val="24"/>
          <w:lang w:val="en-US"/>
        </w:rPr>
        <w:t>87.</w:t>
      </w:r>
    </w:p>
    <w:p w:rsidR="005A10AF" w:rsidRPr="00194EC8" w:rsidRDefault="005A10AF" w:rsidP="00E24DA5">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Caprio</w:t>
      </w:r>
      <w:proofErr w:type="spellEnd"/>
      <w:r w:rsidRPr="00194EC8">
        <w:rPr>
          <w:rFonts w:ascii="Times New Roman" w:hAnsi="Times New Roman" w:cs="Times New Roman"/>
          <w:sz w:val="24"/>
          <w:szCs w:val="24"/>
          <w:lang w:val="en-US"/>
        </w:rPr>
        <w:t xml:space="preserve">, C. Jr.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2011</w:t>
      </w:r>
      <w:r w:rsidR="00624F8F">
        <w:rPr>
          <w:rFonts w:ascii="Times New Roman" w:hAnsi="Times New Roman" w:cs="Times New Roman"/>
          <w:sz w:val="24"/>
          <w:szCs w:val="24"/>
          <w:lang w:val="en-US"/>
        </w:rPr>
        <w:t>)</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‘Macro-F</w:t>
      </w:r>
      <w:r w:rsidRPr="00194EC8">
        <w:rPr>
          <w:rFonts w:ascii="Times New Roman" w:hAnsi="Times New Roman" w:cs="Times New Roman"/>
          <w:sz w:val="24"/>
          <w:szCs w:val="24"/>
          <w:lang w:val="en-US"/>
        </w:rPr>
        <w:t xml:space="preserve">inancial </w:t>
      </w:r>
      <w:r w:rsidR="00C97D97">
        <w:rPr>
          <w:rFonts w:ascii="Times New Roman" w:hAnsi="Times New Roman" w:cs="Times New Roman"/>
          <w:sz w:val="24"/>
          <w:szCs w:val="24"/>
          <w:lang w:val="en-US"/>
        </w:rPr>
        <w:t>Linkages in IMF R</w:t>
      </w:r>
      <w:r w:rsidRPr="00194EC8">
        <w:rPr>
          <w:rFonts w:ascii="Times New Roman" w:hAnsi="Times New Roman" w:cs="Times New Roman"/>
          <w:sz w:val="24"/>
          <w:szCs w:val="24"/>
          <w:lang w:val="en-US"/>
        </w:rPr>
        <w:t>esearch</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IEO Background Paper, No. 7, Washington DC: International Monetary Fund.</w:t>
      </w:r>
    </w:p>
    <w:p w:rsidR="00956A1F" w:rsidRPr="00194EC8" w:rsidRDefault="00956A1F" w:rsidP="00956A1F">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Cecchetti</w:t>
      </w:r>
      <w:proofErr w:type="spellEnd"/>
      <w:r w:rsidRPr="00194EC8">
        <w:rPr>
          <w:rFonts w:ascii="Times New Roman" w:hAnsi="Times New Roman" w:cs="Times New Roman"/>
          <w:sz w:val="24"/>
          <w:szCs w:val="24"/>
          <w:lang w:val="en-US"/>
        </w:rPr>
        <w:t>, S</w:t>
      </w:r>
      <w:r w:rsidR="00A174E4" w:rsidRPr="00194EC8">
        <w:rPr>
          <w:rFonts w:ascii="Times New Roman" w:hAnsi="Times New Roman" w:cs="Times New Roman"/>
          <w:sz w:val="24"/>
          <w:szCs w:val="24"/>
          <w:lang w:val="en-US"/>
        </w:rPr>
        <w:t>.</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Kharroubi</w:t>
      </w:r>
      <w:proofErr w:type="spellEnd"/>
      <w:r w:rsidRPr="00194EC8">
        <w:rPr>
          <w:rFonts w:ascii="Times New Roman" w:hAnsi="Times New Roman" w:cs="Times New Roman"/>
          <w:sz w:val="24"/>
          <w:szCs w:val="24"/>
          <w:lang w:val="en-US"/>
        </w:rPr>
        <w:t xml:space="preserve">, E.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2015</w:t>
      </w:r>
      <w:r w:rsidR="00624F8F">
        <w:rPr>
          <w:rFonts w:ascii="Times New Roman" w:hAnsi="Times New Roman" w:cs="Times New Roman"/>
          <w:sz w:val="24"/>
          <w:szCs w:val="24"/>
          <w:lang w:val="en-US"/>
        </w:rPr>
        <w:t>)</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Why does </w:t>
      </w:r>
      <w:r w:rsidR="00C97D97">
        <w:rPr>
          <w:rFonts w:ascii="Times New Roman" w:hAnsi="Times New Roman" w:cs="Times New Roman"/>
          <w:sz w:val="24"/>
          <w:szCs w:val="24"/>
          <w:lang w:val="en-US"/>
        </w:rPr>
        <w:t>F</w:t>
      </w:r>
      <w:r w:rsidRPr="00194EC8">
        <w:rPr>
          <w:rFonts w:ascii="Times New Roman" w:hAnsi="Times New Roman" w:cs="Times New Roman"/>
          <w:sz w:val="24"/>
          <w:szCs w:val="24"/>
          <w:lang w:val="en-US"/>
        </w:rPr>
        <w:t xml:space="preserve">inancial </w:t>
      </w:r>
      <w:r w:rsidR="00C97D97">
        <w:rPr>
          <w:rFonts w:ascii="Times New Roman" w:hAnsi="Times New Roman" w:cs="Times New Roman"/>
          <w:sz w:val="24"/>
          <w:szCs w:val="24"/>
          <w:lang w:val="en-US"/>
        </w:rPr>
        <w:t>S</w:t>
      </w:r>
      <w:r w:rsidRPr="00194EC8">
        <w:rPr>
          <w:rFonts w:ascii="Times New Roman" w:hAnsi="Times New Roman" w:cs="Times New Roman"/>
          <w:sz w:val="24"/>
          <w:szCs w:val="24"/>
          <w:lang w:val="en-US"/>
        </w:rPr>
        <w:t xml:space="preserve">ector </w:t>
      </w:r>
      <w:r w:rsidR="00C97D97">
        <w:rPr>
          <w:rFonts w:ascii="Times New Roman" w:hAnsi="Times New Roman" w:cs="Times New Roman"/>
          <w:sz w:val="24"/>
          <w:szCs w:val="24"/>
          <w:lang w:val="en-US"/>
        </w:rPr>
        <w:t>Growth C</w:t>
      </w:r>
      <w:r w:rsidRPr="00194EC8">
        <w:rPr>
          <w:rFonts w:ascii="Times New Roman" w:hAnsi="Times New Roman" w:cs="Times New Roman"/>
          <w:sz w:val="24"/>
          <w:szCs w:val="24"/>
          <w:lang w:val="en-US"/>
        </w:rPr>
        <w:t xml:space="preserve">rowd </w:t>
      </w:r>
      <w:r w:rsidR="00C97D97">
        <w:rPr>
          <w:rFonts w:ascii="Times New Roman" w:hAnsi="Times New Roman" w:cs="Times New Roman"/>
          <w:sz w:val="24"/>
          <w:szCs w:val="24"/>
          <w:lang w:val="en-US"/>
        </w:rPr>
        <w:t>O</w:t>
      </w:r>
      <w:r w:rsidRPr="00194EC8">
        <w:rPr>
          <w:rFonts w:ascii="Times New Roman" w:hAnsi="Times New Roman" w:cs="Times New Roman"/>
          <w:sz w:val="24"/>
          <w:szCs w:val="24"/>
          <w:lang w:val="en-US"/>
        </w:rPr>
        <w:t xml:space="preserve">ut </w:t>
      </w:r>
      <w:r w:rsidR="00C97D97">
        <w:rPr>
          <w:rFonts w:ascii="Times New Roman" w:hAnsi="Times New Roman" w:cs="Times New Roman"/>
          <w:sz w:val="24"/>
          <w:szCs w:val="24"/>
          <w:lang w:val="en-US"/>
        </w:rPr>
        <w:t>R</w:t>
      </w:r>
      <w:r w:rsidRPr="00194EC8">
        <w:rPr>
          <w:rFonts w:ascii="Times New Roman" w:hAnsi="Times New Roman" w:cs="Times New Roman"/>
          <w:sz w:val="24"/>
          <w:szCs w:val="24"/>
          <w:lang w:val="en-US"/>
        </w:rPr>
        <w:t xml:space="preserve">eal </w:t>
      </w:r>
      <w:r w:rsidR="00C97D97">
        <w:rPr>
          <w:rFonts w:ascii="Times New Roman" w:hAnsi="Times New Roman" w:cs="Times New Roman"/>
          <w:sz w:val="24"/>
          <w:szCs w:val="24"/>
          <w:lang w:val="en-US"/>
        </w:rPr>
        <w:t>Economic G</w:t>
      </w:r>
      <w:r w:rsidRPr="00194EC8">
        <w:rPr>
          <w:rFonts w:ascii="Times New Roman" w:hAnsi="Times New Roman" w:cs="Times New Roman"/>
          <w:sz w:val="24"/>
          <w:szCs w:val="24"/>
          <w:lang w:val="en-US"/>
        </w:rPr>
        <w:t>rowth?</w:t>
      </w:r>
      <w:proofErr w:type="gramStart"/>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BIS Working Paper, No 490.</w:t>
      </w:r>
    </w:p>
    <w:p w:rsidR="005A10AF" w:rsidRPr="00194EC8" w:rsidRDefault="00A174E4" w:rsidP="00E24DA5">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lastRenderedPageBreak/>
        <w:t xml:space="preserve">Chaney, T., </w:t>
      </w:r>
      <w:proofErr w:type="spellStart"/>
      <w:r w:rsidRPr="00194EC8">
        <w:rPr>
          <w:rFonts w:ascii="Times New Roman" w:hAnsi="Times New Roman" w:cs="Times New Roman"/>
          <w:sz w:val="24"/>
          <w:szCs w:val="24"/>
          <w:lang w:val="en-US"/>
        </w:rPr>
        <w:t>Sraer</w:t>
      </w:r>
      <w:proofErr w:type="spellEnd"/>
      <w:r w:rsidRPr="00194EC8">
        <w:rPr>
          <w:rFonts w:ascii="Times New Roman" w:hAnsi="Times New Roman" w:cs="Times New Roman"/>
          <w:sz w:val="24"/>
          <w:szCs w:val="24"/>
          <w:lang w:val="en-US"/>
        </w:rPr>
        <w:t>, D.</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5A10AF" w:rsidRPr="00194EC8">
        <w:rPr>
          <w:rFonts w:ascii="Times New Roman" w:hAnsi="Times New Roman" w:cs="Times New Roman"/>
          <w:sz w:val="24"/>
          <w:szCs w:val="24"/>
          <w:lang w:val="en-US"/>
        </w:rPr>
        <w:t>Themar</w:t>
      </w:r>
      <w:proofErr w:type="spellEnd"/>
      <w:r w:rsidR="005A10AF" w:rsidRPr="00194EC8">
        <w:rPr>
          <w:rFonts w:ascii="Times New Roman" w:hAnsi="Times New Roman" w:cs="Times New Roman"/>
          <w:sz w:val="24"/>
          <w:szCs w:val="24"/>
          <w:lang w:val="en-US"/>
        </w:rPr>
        <w:t xml:space="preserve">, D. </w:t>
      </w:r>
      <w:r w:rsidR="00624F8F">
        <w:rPr>
          <w:rFonts w:ascii="Times New Roman" w:hAnsi="Times New Roman" w:cs="Times New Roman"/>
          <w:sz w:val="24"/>
          <w:szCs w:val="24"/>
          <w:lang w:val="en-US"/>
        </w:rPr>
        <w:t>(</w:t>
      </w:r>
      <w:r w:rsidR="005A10AF" w:rsidRPr="00194EC8">
        <w:rPr>
          <w:rFonts w:ascii="Times New Roman" w:hAnsi="Times New Roman" w:cs="Times New Roman"/>
          <w:sz w:val="24"/>
          <w:szCs w:val="24"/>
          <w:lang w:val="en-US"/>
        </w:rPr>
        <w:t>2012</w:t>
      </w:r>
      <w:r w:rsidR="00624F8F">
        <w:rPr>
          <w:rFonts w:ascii="Times New Roman" w:hAnsi="Times New Roman" w:cs="Times New Roman"/>
          <w:sz w:val="24"/>
          <w:szCs w:val="24"/>
          <w:lang w:val="en-US"/>
        </w:rPr>
        <w:t>)</w:t>
      </w:r>
      <w:r w:rsidR="00C97D97">
        <w:rPr>
          <w:rFonts w:ascii="Times New Roman" w:hAnsi="Times New Roman" w:cs="Times New Roman"/>
          <w:sz w:val="24"/>
          <w:szCs w:val="24"/>
          <w:lang w:val="en-US"/>
        </w:rPr>
        <w:t>.</w:t>
      </w:r>
      <w:proofErr w:type="gramEnd"/>
      <w:r w:rsidR="005A10AF" w:rsidRPr="00194EC8">
        <w:rPr>
          <w:rFonts w:ascii="Times New Roman" w:hAnsi="Times New Roman" w:cs="Times New Roman"/>
          <w:sz w:val="24"/>
          <w:szCs w:val="24"/>
          <w:lang w:val="en-US"/>
        </w:rPr>
        <w:t xml:space="preserve"> </w:t>
      </w:r>
      <w:proofErr w:type="gramStart"/>
      <w:r w:rsidR="00C97D97">
        <w:rPr>
          <w:rFonts w:ascii="Times New Roman" w:hAnsi="Times New Roman" w:cs="Times New Roman"/>
          <w:sz w:val="24"/>
          <w:szCs w:val="24"/>
          <w:lang w:val="en-US"/>
        </w:rPr>
        <w:t>‘The Collateral Channel: How Real Estate S</w:t>
      </w:r>
      <w:r w:rsidR="005A10AF" w:rsidRPr="00194EC8">
        <w:rPr>
          <w:rFonts w:ascii="Times New Roman" w:hAnsi="Times New Roman" w:cs="Times New Roman"/>
          <w:sz w:val="24"/>
          <w:szCs w:val="24"/>
          <w:lang w:val="en-US"/>
        </w:rPr>
        <w:t>h</w:t>
      </w:r>
      <w:r w:rsidR="00C97D97">
        <w:rPr>
          <w:rFonts w:ascii="Times New Roman" w:hAnsi="Times New Roman" w:cs="Times New Roman"/>
          <w:sz w:val="24"/>
          <w:szCs w:val="24"/>
          <w:lang w:val="en-US"/>
        </w:rPr>
        <w:t>ocks Affect Corporate I</w:t>
      </w:r>
      <w:r w:rsidR="005A10AF" w:rsidRPr="00194EC8">
        <w:rPr>
          <w:rFonts w:ascii="Times New Roman" w:hAnsi="Times New Roman" w:cs="Times New Roman"/>
          <w:sz w:val="24"/>
          <w:szCs w:val="24"/>
          <w:lang w:val="en-US"/>
        </w:rPr>
        <w:t>nvestment</w:t>
      </w:r>
      <w:r w:rsidR="00C97D97">
        <w:rPr>
          <w:rFonts w:ascii="Times New Roman" w:hAnsi="Times New Roman" w:cs="Times New Roman"/>
          <w:sz w:val="24"/>
          <w:szCs w:val="24"/>
          <w:lang w:val="en-US"/>
        </w:rPr>
        <w:t>’,</w:t>
      </w:r>
      <w:r w:rsidR="005A10AF" w:rsidRPr="00194EC8">
        <w:rPr>
          <w:rFonts w:ascii="Times New Roman" w:hAnsi="Times New Roman" w:cs="Times New Roman"/>
          <w:sz w:val="24"/>
          <w:szCs w:val="24"/>
          <w:lang w:val="en-US"/>
        </w:rPr>
        <w:t xml:space="preserve"> </w:t>
      </w:r>
      <w:r w:rsidR="005A10AF" w:rsidRPr="00624F8F">
        <w:rPr>
          <w:rFonts w:ascii="Times New Roman" w:hAnsi="Times New Roman" w:cs="Times New Roman"/>
          <w:i/>
          <w:sz w:val="24"/>
          <w:szCs w:val="24"/>
          <w:lang w:val="en-US"/>
        </w:rPr>
        <w:t>American Economic Review</w:t>
      </w:r>
      <w:r w:rsidR="00C97D97">
        <w:rPr>
          <w:rFonts w:ascii="Times New Roman" w:hAnsi="Times New Roman" w:cs="Times New Roman"/>
          <w:i/>
          <w:sz w:val="24"/>
          <w:szCs w:val="24"/>
          <w:lang w:val="en-US"/>
        </w:rPr>
        <w:t>,</w:t>
      </w:r>
      <w:r w:rsidR="005A10AF"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Vol. </w:t>
      </w:r>
      <w:r w:rsidR="005A10AF" w:rsidRPr="00194EC8">
        <w:rPr>
          <w:rFonts w:ascii="Times New Roman" w:hAnsi="Times New Roman" w:cs="Times New Roman"/>
          <w:sz w:val="24"/>
          <w:szCs w:val="24"/>
          <w:lang w:val="en-US"/>
        </w:rPr>
        <w:t xml:space="preserve">102, </w:t>
      </w:r>
      <w:r w:rsidR="00C97D97">
        <w:rPr>
          <w:rFonts w:ascii="Times New Roman" w:hAnsi="Times New Roman" w:cs="Times New Roman"/>
          <w:sz w:val="24"/>
          <w:szCs w:val="24"/>
          <w:lang w:val="en-US"/>
        </w:rPr>
        <w:t xml:space="preserve">pp. </w:t>
      </w:r>
      <w:r w:rsidR="005A10AF" w:rsidRPr="00194EC8">
        <w:rPr>
          <w:rFonts w:ascii="Times New Roman" w:hAnsi="Times New Roman" w:cs="Times New Roman"/>
          <w:sz w:val="24"/>
          <w:szCs w:val="24"/>
          <w:lang w:val="en-US"/>
        </w:rPr>
        <w:t>2381-</w:t>
      </w:r>
      <w:r w:rsidR="00194EC8">
        <w:rPr>
          <w:rFonts w:ascii="Times New Roman" w:hAnsi="Times New Roman" w:cs="Times New Roman"/>
          <w:sz w:val="24"/>
          <w:szCs w:val="24"/>
          <w:lang w:val="en-US"/>
        </w:rPr>
        <w:t>2</w:t>
      </w:r>
      <w:r w:rsidR="005A10AF" w:rsidRPr="00194EC8">
        <w:rPr>
          <w:rFonts w:ascii="Times New Roman" w:hAnsi="Times New Roman" w:cs="Times New Roman"/>
          <w:sz w:val="24"/>
          <w:szCs w:val="24"/>
          <w:lang w:val="en-US"/>
        </w:rPr>
        <w:t>409.</w:t>
      </w:r>
      <w:proofErr w:type="gramEnd"/>
    </w:p>
    <w:p w:rsidR="00244C9E" w:rsidRPr="00194EC8" w:rsidRDefault="00244C9E" w:rsidP="00244C9E">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Charles, K.K.</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Stephens, M.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2006</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‘The Level and Composition of Consumption over the Business C</w:t>
      </w:r>
      <w:r w:rsidRPr="00194EC8">
        <w:rPr>
          <w:rFonts w:ascii="Times New Roman" w:hAnsi="Times New Roman" w:cs="Times New Roman"/>
          <w:sz w:val="24"/>
          <w:szCs w:val="24"/>
          <w:lang w:val="en-US"/>
        </w:rPr>
        <w:t xml:space="preserve">ycle: </w:t>
      </w:r>
      <w:r w:rsidR="00C97D97">
        <w:rPr>
          <w:rFonts w:ascii="Times New Roman" w:hAnsi="Times New Roman" w:cs="Times New Roman"/>
          <w:sz w:val="24"/>
          <w:szCs w:val="24"/>
          <w:lang w:val="en-US"/>
        </w:rPr>
        <w:t>T</w:t>
      </w:r>
      <w:r w:rsidRPr="00194EC8">
        <w:rPr>
          <w:rFonts w:ascii="Times New Roman" w:hAnsi="Times New Roman" w:cs="Times New Roman"/>
          <w:sz w:val="24"/>
          <w:szCs w:val="24"/>
          <w:lang w:val="en-US"/>
        </w:rPr>
        <w:t xml:space="preserve">he </w:t>
      </w:r>
      <w:r w:rsidR="00C97D97">
        <w:rPr>
          <w:rFonts w:ascii="Times New Roman" w:hAnsi="Times New Roman" w:cs="Times New Roman"/>
          <w:sz w:val="24"/>
          <w:szCs w:val="24"/>
          <w:lang w:val="en-US"/>
        </w:rPr>
        <w:t>Role of ‘Quasi-Fixed’ E</w:t>
      </w:r>
      <w:r w:rsidRPr="00194EC8">
        <w:rPr>
          <w:rFonts w:ascii="Times New Roman" w:hAnsi="Times New Roman" w:cs="Times New Roman"/>
          <w:sz w:val="24"/>
          <w:szCs w:val="24"/>
          <w:lang w:val="en-US"/>
        </w:rPr>
        <w:t>xpenditures</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National Bureau of Economic Research, Working Paper, No. 12388.</w:t>
      </w:r>
    </w:p>
    <w:p w:rsidR="005A10AF" w:rsidRPr="00194EC8" w:rsidRDefault="005A10AF" w:rsidP="00E24DA5">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Claessens</w:t>
      </w:r>
      <w:proofErr w:type="spellEnd"/>
      <w:r w:rsidRPr="00194EC8">
        <w:rPr>
          <w:rFonts w:ascii="Times New Roman" w:hAnsi="Times New Roman" w:cs="Times New Roman"/>
          <w:sz w:val="24"/>
          <w:szCs w:val="24"/>
          <w:lang w:val="en-US"/>
        </w:rPr>
        <w:t>, S.</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00A174E4" w:rsidRPr="00194EC8">
        <w:rPr>
          <w:rFonts w:ascii="Times New Roman" w:hAnsi="Times New Roman" w:cs="Times New Roman"/>
          <w:sz w:val="24"/>
          <w:szCs w:val="24"/>
          <w:lang w:val="en-US"/>
        </w:rPr>
        <w:t>K</w:t>
      </w:r>
      <w:r w:rsidRPr="00194EC8">
        <w:rPr>
          <w:rFonts w:ascii="Times New Roman" w:hAnsi="Times New Roman" w:cs="Times New Roman"/>
          <w:sz w:val="24"/>
          <w:szCs w:val="24"/>
          <w:lang w:val="en-US"/>
        </w:rPr>
        <w:t>ose</w:t>
      </w:r>
      <w:proofErr w:type="spellEnd"/>
      <w:r w:rsidRPr="00194EC8">
        <w:rPr>
          <w:rFonts w:ascii="Times New Roman" w:hAnsi="Times New Roman" w:cs="Times New Roman"/>
          <w:sz w:val="24"/>
          <w:szCs w:val="24"/>
          <w:lang w:val="en-US"/>
        </w:rPr>
        <w:t xml:space="preserve">, M.A.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2017</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‘Asset Prices and Macroeconomic Outcomes: A S</w:t>
      </w:r>
      <w:r w:rsidRPr="00194EC8">
        <w:rPr>
          <w:rFonts w:ascii="Times New Roman" w:hAnsi="Times New Roman" w:cs="Times New Roman"/>
          <w:sz w:val="24"/>
          <w:szCs w:val="24"/>
          <w:lang w:val="en-US"/>
        </w:rPr>
        <w:t>urvey</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BIS Working Paper, No. 676, Basel: Bank for International Settlements.</w:t>
      </w:r>
    </w:p>
    <w:p w:rsidR="005A10AF" w:rsidRPr="00194EC8" w:rsidRDefault="005A10AF" w:rsidP="00E24DA5">
      <w:pPr>
        <w:spacing w:line="480" w:lineRule="auto"/>
        <w:ind w:left="851" w:hanging="851"/>
        <w:jc w:val="both"/>
        <w:rPr>
          <w:rFonts w:ascii="Times New Roman" w:hAnsi="Times New Roman" w:cs="Times New Roman"/>
          <w:sz w:val="24"/>
          <w:szCs w:val="24"/>
          <w:lang w:val="en-US"/>
        </w:rPr>
      </w:pPr>
      <w:r w:rsidRPr="00194EC8">
        <w:rPr>
          <w:rFonts w:ascii="Times New Roman" w:hAnsi="Times New Roman" w:cs="Times New Roman"/>
          <w:sz w:val="24"/>
          <w:szCs w:val="24"/>
          <w:lang w:val="en-US"/>
        </w:rPr>
        <w:t xml:space="preserve">Cook, D.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2004</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‘Experience and G</w:t>
      </w:r>
      <w:r w:rsidRPr="00194EC8">
        <w:rPr>
          <w:rFonts w:ascii="Times New Roman" w:hAnsi="Times New Roman" w:cs="Times New Roman"/>
          <w:sz w:val="24"/>
          <w:szCs w:val="24"/>
          <w:lang w:val="en-US"/>
        </w:rPr>
        <w:t>rowth</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Economics Letters</w:t>
      </w:r>
      <w:r w:rsidR="00C97D97">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85</w:t>
      </w:r>
      <w:r w:rsidR="00D2492A"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pp. </w:t>
      </w:r>
      <w:r w:rsidR="00D2492A" w:rsidRPr="00194EC8">
        <w:rPr>
          <w:rFonts w:ascii="Times New Roman" w:hAnsi="Times New Roman" w:cs="Times New Roman"/>
          <w:sz w:val="24"/>
          <w:szCs w:val="24"/>
          <w:lang w:val="en-US"/>
        </w:rPr>
        <w:t>53-</w:t>
      </w:r>
      <w:r w:rsidR="00194EC8">
        <w:rPr>
          <w:rFonts w:ascii="Times New Roman" w:hAnsi="Times New Roman" w:cs="Times New Roman"/>
          <w:sz w:val="24"/>
          <w:szCs w:val="24"/>
          <w:lang w:val="en-US"/>
        </w:rPr>
        <w:t>5</w:t>
      </w:r>
      <w:r w:rsidRPr="00194EC8">
        <w:rPr>
          <w:rFonts w:ascii="Times New Roman" w:hAnsi="Times New Roman" w:cs="Times New Roman"/>
          <w:sz w:val="24"/>
          <w:szCs w:val="24"/>
          <w:lang w:val="en-US"/>
        </w:rPr>
        <w:t>6.</w:t>
      </w:r>
    </w:p>
    <w:p w:rsidR="005B6F52" w:rsidRPr="00194EC8" w:rsidRDefault="00A174E4" w:rsidP="005B6F52">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Coulibaly</w:t>
      </w:r>
      <w:proofErr w:type="spellEnd"/>
      <w:r w:rsidRPr="00194EC8">
        <w:rPr>
          <w:rFonts w:ascii="Times New Roman" w:hAnsi="Times New Roman" w:cs="Times New Roman"/>
          <w:sz w:val="24"/>
          <w:szCs w:val="24"/>
          <w:lang w:val="en-US"/>
        </w:rPr>
        <w:t xml:space="preserve"> B.</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5B6F52" w:rsidRPr="00194EC8">
        <w:rPr>
          <w:rFonts w:ascii="Times New Roman" w:hAnsi="Times New Roman" w:cs="Times New Roman"/>
          <w:sz w:val="24"/>
          <w:szCs w:val="24"/>
          <w:lang w:val="en-US"/>
        </w:rPr>
        <w:t xml:space="preserve">Li, G. </w:t>
      </w:r>
      <w:r w:rsidR="00624F8F">
        <w:rPr>
          <w:rFonts w:ascii="Times New Roman" w:hAnsi="Times New Roman" w:cs="Times New Roman"/>
          <w:sz w:val="24"/>
          <w:szCs w:val="24"/>
          <w:lang w:val="en-US"/>
        </w:rPr>
        <w:t>(</w:t>
      </w:r>
      <w:r w:rsidR="005B6F52" w:rsidRPr="00194EC8">
        <w:rPr>
          <w:rFonts w:ascii="Times New Roman" w:hAnsi="Times New Roman" w:cs="Times New Roman"/>
          <w:sz w:val="24"/>
          <w:szCs w:val="24"/>
          <w:lang w:val="en-US"/>
        </w:rPr>
        <w:t>2006</w:t>
      </w:r>
      <w:r w:rsidR="00C97D97">
        <w:rPr>
          <w:rFonts w:ascii="Times New Roman" w:hAnsi="Times New Roman" w:cs="Times New Roman"/>
          <w:sz w:val="24"/>
          <w:szCs w:val="24"/>
          <w:lang w:val="en-US"/>
        </w:rPr>
        <w:t>).</w:t>
      </w:r>
      <w:proofErr w:type="gramEnd"/>
      <w:r w:rsidR="005B6F52"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‘Do Homeowners Increase Consumption after the Last Mortgage Payment? An Alternative Test of the Permanent Income H</w:t>
      </w:r>
      <w:r w:rsidR="005B6F52" w:rsidRPr="00194EC8">
        <w:rPr>
          <w:rFonts w:ascii="Times New Roman" w:hAnsi="Times New Roman" w:cs="Times New Roman"/>
          <w:sz w:val="24"/>
          <w:szCs w:val="24"/>
          <w:lang w:val="en-US"/>
        </w:rPr>
        <w:t>ypothesis</w:t>
      </w:r>
      <w:r w:rsidR="00C97D97">
        <w:rPr>
          <w:rFonts w:ascii="Times New Roman" w:hAnsi="Times New Roman" w:cs="Times New Roman"/>
          <w:sz w:val="24"/>
          <w:szCs w:val="24"/>
          <w:lang w:val="en-US"/>
        </w:rPr>
        <w:t>’,</w:t>
      </w:r>
      <w:r w:rsidR="005B6F52" w:rsidRPr="00194EC8">
        <w:rPr>
          <w:rFonts w:ascii="Times New Roman" w:hAnsi="Times New Roman" w:cs="Times New Roman"/>
          <w:sz w:val="24"/>
          <w:szCs w:val="24"/>
          <w:lang w:val="en-US"/>
        </w:rPr>
        <w:t xml:space="preserve"> </w:t>
      </w:r>
      <w:r w:rsidR="005B6F52" w:rsidRPr="00624F8F">
        <w:rPr>
          <w:rFonts w:ascii="Times New Roman" w:hAnsi="Times New Roman" w:cs="Times New Roman"/>
          <w:i/>
          <w:sz w:val="24"/>
          <w:szCs w:val="24"/>
          <w:lang w:val="en-US"/>
        </w:rPr>
        <w:t>The Review of Economics and Statistics</w:t>
      </w:r>
      <w:r w:rsidR="00C97D97">
        <w:rPr>
          <w:rFonts w:ascii="Times New Roman" w:hAnsi="Times New Roman" w:cs="Times New Roman"/>
          <w:i/>
          <w:sz w:val="24"/>
          <w:szCs w:val="24"/>
          <w:lang w:val="en-US"/>
        </w:rPr>
        <w:t>,</w:t>
      </w:r>
      <w:r w:rsidR="005B6F52"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Vol. </w:t>
      </w:r>
      <w:r w:rsidR="005B6F52" w:rsidRPr="00194EC8">
        <w:rPr>
          <w:rFonts w:ascii="Times New Roman" w:hAnsi="Times New Roman" w:cs="Times New Roman"/>
          <w:sz w:val="24"/>
          <w:szCs w:val="24"/>
          <w:lang w:val="en-US"/>
        </w:rPr>
        <w:t xml:space="preserve">88, </w:t>
      </w:r>
      <w:r w:rsidR="00C97D97">
        <w:rPr>
          <w:rFonts w:ascii="Times New Roman" w:hAnsi="Times New Roman" w:cs="Times New Roman"/>
          <w:sz w:val="24"/>
          <w:szCs w:val="24"/>
          <w:lang w:val="en-US"/>
        </w:rPr>
        <w:t xml:space="preserve">pp. </w:t>
      </w:r>
      <w:r w:rsidR="005B6F52" w:rsidRPr="00194EC8">
        <w:rPr>
          <w:rFonts w:ascii="Times New Roman" w:hAnsi="Times New Roman" w:cs="Times New Roman"/>
          <w:sz w:val="24"/>
          <w:szCs w:val="24"/>
          <w:lang w:val="en-US"/>
        </w:rPr>
        <w:t>10-</w:t>
      </w:r>
      <w:r w:rsidR="00194EC8">
        <w:rPr>
          <w:rFonts w:ascii="Times New Roman" w:hAnsi="Times New Roman" w:cs="Times New Roman"/>
          <w:sz w:val="24"/>
          <w:szCs w:val="24"/>
          <w:lang w:val="en-US"/>
        </w:rPr>
        <w:t>1</w:t>
      </w:r>
      <w:r w:rsidR="005B6F52" w:rsidRPr="00194EC8">
        <w:rPr>
          <w:rFonts w:ascii="Times New Roman" w:hAnsi="Times New Roman" w:cs="Times New Roman"/>
          <w:sz w:val="24"/>
          <w:szCs w:val="24"/>
          <w:lang w:val="en-US"/>
        </w:rPr>
        <w:t>9.</w:t>
      </w:r>
    </w:p>
    <w:p w:rsidR="00C3433A" w:rsidRPr="00194EC8" w:rsidRDefault="00C3433A" w:rsidP="00C3433A">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Cynamon</w:t>
      </w:r>
      <w:proofErr w:type="spellEnd"/>
      <w:r w:rsidRPr="00194EC8">
        <w:rPr>
          <w:rFonts w:ascii="Times New Roman" w:hAnsi="Times New Roman" w:cs="Times New Roman"/>
          <w:sz w:val="24"/>
          <w:szCs w:val="24"/>
          <w:lang w:val="en-US"/>
        </w:rPr>
        <w:t>, B.Z.</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Fazzari</w:t>
      </w:r>
      <w:proofErr w:type="spellEnd"/>
      <w:r w:rsidRPr="00194EC8">
        <w:rPr>
          <w:rFonts w:ascii="Times New Roman" w:hAnsi="Times New Roman" w:cs="Times New Roman"/>
          <w:sz w:val="24"/>
          <w:szCs w:val="24"/>
          <w:lang w:val="en-US"/>
        </w:rPr>
        <w:t xml:space="preserve">, S.M.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2008</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Household </w:t>
      </w:r>
      <w:r w:rsidR="00C97D97">
        <w:rPr>
          <w:rFonts w:ascii="Times New Roman" w:hAnsi="Times New Roman" w:cs="Times New Roman"/>
          <w:sz w:val="24"/>
          <w:szCs w:val="24"/>
          <w:lang w:val="en-US"/>
        </w:rPr>
        <w:t>Debt in the Consumer Age: Source of Growth-Risk of C</w:t>
      </w:r>
      <w:r w:rsidRPr="00194EC8">
        <w:rPr>
          <w:rFonts w:ascii="Times New Roman" w:hAnsi="Times New Roman" w:cs="Times New Roman"/>
          <w:sz w:val="24"/>
          <w:szCs w:val="24"/>
          <w:lang w:val="en-US"/>
        </w:rPr>
        <w:t>ollapse</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Capitalism and Society</w:t>
      </w:r>
      <w:r w:rsidRPr="00194EC8">
        <w:rPr>
          <w:rFonts w:ascii="Times New Roman" w:hAnsi="Times New Roman" w:cs="Times New Roman"/>
          <w:sz w:val="24"/>
          <w:szCs w:val="24"/>
          <w:lang w:val="en-US"/>
        </w:rPr>
        <w:t xml:space="preserve"> 3, Article 3.</w:t>
      </w:r>
    </w:p>
    <w:p w:rsidR="00C3433A" w:rsidRDefault="00C3433A" w:rsidP="00C3433A">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Cynamon</w:t>
      </w:r>
      <w:proofErr w:type="spellEnd"/>
      <w:r w:rsidRPr="00194EC8">
        <w:rPr>
          <w:rFonts w:ascii="Times New Roman" w:hAnsi="Times New Roman" w:cs="Times New Roman"/>
          <w:sz w:val="24"/>
          <w:szCs w:val="24"/>
          <w:lang w:val="en-US"/>
        </w:rPr>
        <w:t>, B.Z.</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Fazzari</w:t>
      </w:r>
      <w:proofErr w:type="spellEnd"/>
      <w:r w:rsidRPr="00194EC8">
        <w:rPr>
          <w:rFonts w:ascii="Times New Roman" w:hAnsi="Times New Roman" w:cs="Times New Roman"/>
          <w:sz w:val="24"/>
          <w:szCs w:val="24"/>
          <w:lang w:val="en-US"/>
        </w:rPr>
        <w:t xml:space="preserve">, S.M.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2013</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The </w:t>
      </w:r>
      <w:r w:rsidR="00C97D97">
        <w:rPr>
          <w:rFonts w:ascii="Times New Roman" w:hAnsi="Times New Roman" w:cs="Times New Roman"/>
          <w:sz w:val="24"/>
          <w:szCs w:val="24"/>
          <w:lang w:val="en-US"/>
        </w:rPr>
        <w:t>End of the Consumer A</w:t>
      </w:r>
      <w:r w:rsidRPr="00194EC8">
        <w:rPr>
          <w:rFonts w:ascii="Times New Roman" w:hAnsi="Times New Roman" w:cs="Times New Roman"/>
          <w:sz w:val="24"/>
          <w:szCs w:val="24"/>
          <w:lang w:val="en-US"/>
        </w:rPr>
        <w:t>ge</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i</w:t>
      </w:r>
      <w:r w:rsidRPr="00194EC8">
        <w:rPr>
          <w:rFonts w:ascii="Times New Roman" w:hAnsi="Times New Roman" w:cs="Times New Roman"/>
          <w:sz w:val="24"/>
          <w:szCs w:val="24"/>
          <w:lang w:val="en-US"/>
        </w:rPr>
        <w:t>n</w:t>
      </w:r>
      <w:r w:rsidR="00624F8F">
        <w:rPr>
          <w:rFonts w:ascii="Times New Roman" w:hAnsi="Times New Roman" w:cs="Times New Roman"/>
          <w:sz w:val="24"/>
          <w:szCs w:val="24"/>
          <w:lang w:val="en-US"/>
        </w:rPr>
        <w:t xml:space="preserve">: </w:t>
      </w:r>
      <w:proofErr w:type="spellStart"/>
      <w:r w:rsidR="00624F8F">
        <w:rPr>
          <w:rFonts w:ascii="Times New Roman" w:hAnsi="Times New Roman" w:cs="Times New Roman"/>
          <w:sz w:val="24"/>
          <w:szCs w:val="24"/>
          <w:lang w:val="en-US"/>
        </w:rPr>
        <w:t>Fazzari</w:t>
      </w:r>
      <w:proofErr w:type="spellEnd"/>
      <w:r w:rsidR="00624F8F">
        <w:rPr>
          <w:rFonts w:ascii="Times New Roman" w:hAnsi="Times New Roman" w:cs="Times New Roman"/>
          <w:sz w:val="24"/>
          <w:szCs w:val="24"/>
          <w:lang w:val="en-US"/>
        </w:rPr>
        <w:t xml:space="preserve">, S.M. </w:t>
      </w:r>
      <w:proofErr w:type="spellStart"/>
      <w:r w:rsidR="00624F8F">
        <w:rPr>
          <w:rFonts w:ascii="Times New Roman" w:hAnsi="Times New Roman" w:cs="Times New Roman"/>
          <w:sz w:val="24"/>
          <w:szCs w:val="24"/>
          <w:lang w:val="en-US"/>
        </w:rPr>
        <w:t>Cynamon</w:t>
      </w:r>
      <w:proofErr w:type="spellEnd"/>
      <w:r w:rsidR="00624F8F">
        <w:rPr>
          <w:rFonts w:ascii="Times New Roman" w:hAnsi="Times New Roman" w:cs="Times New Roman"/>
          <w:sz w:val="24"/>
          <w:szCs w:val="24"/>
          <w:lang w:val="en-US"/>
        </w:rPr>
        <w:t>, B.Z. and</w:t>
      </w:r>
      <w:r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Setterfield</w:t>
      </w:r>
      <w:proofErr w:type="spellEnd"/>
      <w:r w:rsidRPr="00194EC8">
        <w:rPr>
          <w:rFonts w:ascii="Times New Roman" w:hAnsi="Times New Roman" w:cs="Times New Roman"/>
          <w:sz w:val="24"/>
          <w:szCs w:val="24"/>
          <w:lang w:val="en-US"/>
        </w:rPr>
        <w:t xml:space="preserve">, M. (Eds.), </w:t>
      </w:r>
      <w:r w:rsidRPr="00624F8F">
        <w:rPr>
          <w:rFonts w:ascii="Times New Roman" w:hAnsi="Times New Roman" w:cs="Times New Roman"/>
          <w:i/>
          <w:sz w:val="24"/>
          <w:szCs w:val="24"/>
          <w:lang w:val="en-US"/>
        </w:rPr>
        <w:t>After the Great Recession: The Struggle for Economic Recovery and Growth</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129-</w:t>
      </w:r>
      <w:r w:rsidR="00624F8F">
        <w:rPr>
          <w:rFonts w:ascii="Times New Roman" w:hAnsi="Times New Roman" w:cs="Times New Roman"/>
          <w:sz w:val="24"/>
          <w:szCs w:val="24"/>
          <w:lang w:val="en-US"/>
        </w:rPr>
        <w:t>1</w:t>
      </w:r>
      <w:r w:rsidRPr="00194EC8">
        <w:rPr>
          <w:rFonts w:ascii="Times New Roman" w:hAnsi="Times New Roman" w:cs="Times New Roman"/>
          <w:sz w:val="24"/>
          <w:szCs w:val="24"/>
          <w:lang w:val="en-US"/>
        </w:rPr>
        <w:t xml:space="preserve">57. </w:t>
      </w:r>
      <w:proofErr w:type="gramStart"/>
      <w:r w:rsidRPr="00194EC8">
        <w:rPr>
          <w:rFonts w:ascii="Times New Roman" w:hAnsi="Times New Roman" w:cs="Times New Roman"/>
          <w:sz w:val="24"/>
          <w:szCs w:val="24"/>
          <w:lang w:val="en-US"/>
        </w:rPr>
        <w:t>Cambridge University Press.</w:t>
      </w:r>
      <w:proofErr w:type="gramEnd"/>
    </w:p>
    <w:p w:rsidR="00924E85" w:rsidRPr="00924E85" w:rsidRDefault="00924E85" w:rsidP="00924E85">
      <w:pPr>
        <w:spacing w:line="480" w:lineRule="auto"/>
        <w:ind w:left="851" w:hanging="851"/>
        <w:jc w:val="both"/>
        <w:rPr>
          <w:rFonts w:ascii="Times New Roman" w:hAnsi="Times New Roman" w:cs="Times New Roman"/>
          <w:sz w:val="24"/>
          <w:szCs w:val="24"/>
          <w:lang w:val="en-US"/>
        </w:rPr>
      </w:pPr>
      <w:proofErr w:type="spellStart"/>
      <w:r w:rsidRPr="00924E85">
        <w:rPr>
          <w:rFonts w:ascii="Times New Roman" w:hAnsi="Times New Roman" w:cs="Times New Roman"/>
          <w:sz w:val="24"/>
          <w:szCs w:val="24"/>
          <w:lang w:val="en-US"/>
        </w:rPr>
        <w:t>Debelle</w:t>
      </w:r>
      <w:proofErr w:type="spellEnd"/>
      <w:r w:rsidRPr="00924E85">
        <w:rPr>
          <w:rFonts w:ascii="Times New Roman" w:hAnsi="Times New Roman" w:cs="Times New Roman"/>
          <w:sz w:val="24"/>
          <w:szCs w:val="24"/>
          <w:lang w:val="en-US"/>
        </w:rPr>
        <w:t>, G</w:t>
      </w:r>
      <w:r>
        <w:rPr>
          <w:rFonts w:ascii="Times New Roman" w:hAnsi="Times New Roman" w:cs="Times New Roman"/>
          <w:sz w:val="24"/>
          <w:szCs w:val="24"/>
          <w:lang w:val="en-US"/>
        </w:rPr>
        <w:t>.</w:t>
      </w:r>
      <w:r w:rsidRPr="00924E85">
        <w:rPr>
          <w:rFonts w:ascii="Times New Roman" w:hAnsi="Times New Roman" w:cs="Times New Roman"/>
          <w:sz w:val="24"/>
          <w:szCs w:val="24"/>
          <w:lang w:val="en-US"/>
        </w:rPr>
        <w:t xml:space="preserve"> (2004). </w:t>
      </w:r>
      <w:r>
        <w:rPr>
          <w:rFonts w:ascii="Times New Roman" w:hAnsi="Times New Roman" w:cs="Times New Roman"/>
          <w:sz w:val="24"/>
          <w:szCs w:val="24"/>
          <w:lang w:val="en-US"/>
        </w:rPr>
        <w:t>‘</w:t>
      </w:r>
      <w:r w:rsidRPr="00924E85">
        <w:rPr>
          <w:rFonts w:ascii="Times New Roman" w:hAnsi="Times New Roman" w:cs="Times New Roman"/>
          <w:sz w:val="24"/>
          <w:szCs w:val="24"/>
          <w:lang w:val="en-US"/>
        </w:rPr>
        <w:t>Macroeconomic Implications of Rising Household Debt</w:t>
      </w:r>
      <w:r>
        <w:rPr>
          <w:rFonts w:ascii="Times New Roman" w:hAnsi="Times New Roman" w:cs="Times New Roman"/>
          <w:sz w:val="24"/>
          <w:szCs w:val="24"/>
          <w:lang w:val="en-US"/>
        </w:rPr>
        <w:t>’,</w:t>
      </w:r>
      <w:r w:rsidRPr="00924E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Working Paper, No. 13, </w:t>
      </w:r>
      <w:r w:rsidRPr="00924E85">
        <w:rPr>
          <w:rFonts w:ascii="Times New Roman" w:hAnsi="Times New Roman" w:cs="Times New Roman"/>
          <w:sz w:val="24"/>
          <w:szCs w:val="24"/>
          <w:lang w:val="en-US"/>
        </w:rPr>
        <w:t>B</w:t>
      </w:r>
      <w:r>
        <w:rPr>
          <w:rFonts w:ascii="Times New Roman" w:hAnsi="Times New Roman" w:cs="Times New Roman"/>
          <w:sz w:val="24"/>
          <w:szCs w:val="24"/>
          <w:lang w:val="en-US"/>
        </w:rPr>
        <w:t xml:space="preserve">ank of </w:t>
      </w:r>
      <w:r w:rsidRPr="00924E85">
        <w:rPr>
          <w:rFonts w:ascii="Times New Roman" w:hAnsi="Times New Roman" w:cs="Times New Roman"/>
          <w:sz w:val="24"/>
          <w:szCs w:val="24"/>
          <w:lang w:val="en-US"/>
        </w:rPr>
        <w:t>I</w:t>
      </w:r>
      <w:r>
        <w:rPr>
          <w:rFonts w:ascii="Times New Roman" w:hAnsi="Times New Roman" w:cs="Times New Roman"/>
          <w:sz w:val="24"/>
          <w:szCs w:val="24"/>
          <w:lang w:val="en-US"/>
        </w:rPr>
        <w:t xml:space="preserve">nternational </w:t>
      </w:r>
      <w:r w:rsidRPr="00924E85">
        <w:rPr>
          <w:rFonts w:ascii="Times New Roman" w:hAnsi="Times New Roman" w:cs="Times New Roman"/>
          <w:sz w:val="24"/>
          <w:szCs w:val="24"/>
          <w:lang w:val="en-US"/>
        </w:rPr>
        <w:t>S</w:t>
      </w:r>
      <w:r>
        <w:rPr>
          <w:rFonts w:ascii="Times New Roman" w:hAnsi="Times New Roman" w:cs="Times New Roman"/>
          <w:sz w:val="24"/>
          <w:szCs w:val="24"/>
          <w:lang w:val="en-US"/>
        </w:rPr>
        <w:t>ettlements.</w:t>
      </w:r>
    </w:p>
    <w:p w:rsidR="007977F3" w:rsidRPr="00194EC8" w:rsidRDefault="00624F8F" w:rsidP="007977F3">
      <w:pPr>
        <w:spacing w:line="480" w:lineRule="auto"/>
        <w:ind w:left="851" w:hanging="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Duesenberry</w:t>
      </w:r>
      <w:proofErr w:type="spellEnd"/>
      <w:r>
        <w:rPr>
          <w:rFonts w:ascii="Times New Roman" w:hAnsi="Times New Roman" w:cs="Times New Roman"/>
          <w:sz w:val="24"/>
          <w:szCs w:val="24"/>
          <w:lang w:val="en-US"/>
        </w:rPr>
        <w:t>, J.S</w:t>
      </w:r>
      <w:r w:rsidR="00194EC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7977F3" w:rsidRPr="00194EC8">
        <w:rPr>
          <w:rFonts w:ascii="Times New Roman" w:hAnsi="Times New Roman" w:cs="Times New Roman"/>
          <w:sz w:val="24"/>
          <w:szCs w:val="24"/>
          <w:lang w:val="en-US"/>
        </w:rPr>
        <w:t>1949</w:t>
      </w:r>
      <w:r w:rsidR="00C97D97">
        <w:rPr>
          <w:rFonts w:ascii="Times New Roman" w:hAnsi="Times New Roman" w:cs="Times New Roman"/>
          <w:sz w:val="24"/>
          <w:szCs w:val="24"/>
          <w:lang w:val="en-US"/>
        </w:rPr>
        <w:t>).</w:t>
      </w:r>
      <w:r w:rsidR="007977F3" w:rsidRPr="00194EC8">
        <w:rPr>
          <w:rFonts w:ascii="Times New Roman" w:hAnsi="Times New Roman" w:cs="Times New Roman"/>
          <w:sz w:val="24"/>
          <w:szCs w:val="24"/>
          <w:lang w:val="en-US"/>
        </w:rPr>
        <w:t xml:space="preserve"> </w:t>
      </w:r>
      <w:r w:rsidR="007977F3" w:rsidRPr="00624F8F">
        <w:rPr>
          <w:rFonts w:ascii="Times New Roman" w:hAnsi="Times New Roman" w:cs="Times New Roman"/>
          <w:i/>
          <w:sz w:val="24"/>
          <w:szCs w:val="24"/>
          <w:lang w:val="en-US"/>
        </w:rPr>
        <w:t>Income, Saving and the Theory of Consumer Behaviors</w:t>
      </w:r>
      <w:r w:rsidR="007977F3" w:rsidRPr="00194EC8">
        <w:rPr>
          <w:rFonts w:ascii="Times New Roman" w:hAnsi="Times New Roman" w:cs="Times New Roman"/>
          <w:sz w:val="24"/>
          <w:szCs w:val="24"/>
          <w:lang w:val="en-US"/>
        </w:rPr>
        <w:t>. Cambridge, MA: Harvard University Press.</w:t>
      </w:r>
    </w:p>
    <w:p w:rsidR="00956A1F" w:rsidRDefault="00956A1F" w:rsidP="00956A1F">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Dynan</w:t>
      </w:r>
      <w:proofErr w:type="spellEnd"/>
      <w:r w:rsidRPr="00194EC8">
        <w:rPr>
          <w:rFonts w:ascii="Times New Roman" w:hAnsi="Times New Roman" w:cs="Times New Roman"/>
          <w:sz w:val="24"/>
          <w:szCs w:val="24"/>
          <w:lang w:val="en-US"/>
        </w:rPr>
        <w:t>, K.</w:t>
      </w:r>
      <w:r w:rsidR="00810959">
        <w:rPr>
          <w:rFonts w:ascii="Times New Roman" w:hAnsi="Times New Roman" w:cs="Times New Roman"/>
          <w:sz w:val="24"/>
          <w:szCs w:val="24"/>
          <w:lang w:val="en-US"/>
        </w:rPr>
        <w:t>E.</w:t>
      </w:r>
      <w:r w:rsidRPr="00194EC8">
        <w:rPr>
          <w:rFonts w:ascii="Times New Roman" w:hAnsi="Times New Roman" w:cs="Times New Roman"/>
          <w:sz w:val="24"/>
          <w:szCs w:val="24"/>
          <w:lang w:val="en-US"/>
        </w:rPr>
        <w:t xml:space="preserve">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2012</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‘Is a Household Debt Overhang H</w:t>
      </w:r>
      <w:r w:rsidRPr="00194EC8">
        <w:rPr>
          <w:rFonts w:ascii="Times New Roman" w:hAnsi="Times New Roman" w:cs="Times New Roman"/>
          <w:sz w:val="24"/>
          <w:szCs w:val="24"/>
          <w:lang w:val="en-US"/>
        </w:rPr>
        <w:t xml:space="preserve">olding </w:t>
      </w:r>
      <w:r w:rsidR="00C97D97">
        <w:rPr>
          <w:rFonts w:ascii="Times New Roman" w:hAnsi="Times New Roman" w:cs="Times New Roman"/>
          <w:sz w:val="24"/>
          <w:szCs w:val="24"/>
          <w:lang w:val="en-US"/>
        </w:rPr>
        <w:t>Back C</w:t>
      </w:r>
      <w:r w:rsidRPr="00194EC8">
        <w:rPr>
          <w:rFonts w:ascii="Times New Roman" w:hAnsi="Times New Roman" w:cs="Times New Roman"/>
          <w:sz w:val="24"/>
          <w:szCs w:val="24"/>
          <w:lang w:val="en-US"/>
        </w:rPr>
        <w:t>onsumption?</w:t>
      </w:r>
      <w:proofErr w:type="gramStart"/>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Brookings Paper on Economic Activity</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299-362.</w:t>
      </w:r>
    </w:p>
    <w:p w:rsidR="00810959" w:rsidRPr="00194EC8" w:rsidRDefault="00810959" w:rsidP="00956A1F">
      <w:pPr>
        <w:spacing w:line="480" w:lineRule="auto"/>
        <w:ind w:left="851" w:hanging="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Dynan</w:t>
      </w:r>
      <w:proofErr w:type="spellEnd"/>
      <w:r>
        <w:rPr>
          <w:rFonts w:ascii="Times New Roman" w:hAnsi="Times New Roman" w:cs="Times New Roman"/>
          <w:sz w:val="24"/>
          <w:szCs w:val="24"/>
          <w:lang w:val="en-US"/>
        </w:rPr>
        <w:t xml:space="preserve">, KE. </w:t>
      </w:r>
      <w:proofErr w:type="gramStart"/>
      <w:r>
        <w:rPr>
          <w:rFonts w:ascii="Times New Roman" w:hAnsi="Times New Roman" w:cs="Times New Roman"/>
          <w:sz w:val="24"/>
          <w:szCs w:val="24"/>
          <w:lang w:val="en-US"/>
        </w:rPr>
        <w:t>And Kohn, D.L. (2007).</w:t>
      </w:r>
      <w:proofErr w:type="gramEnd"/>
      <w:r>
        <w:rPr>
          <w:rFonts w:ascii="Times New Roman" w:hAnsi="Times New Roman" w:cs="Times New Roman"/>
          <w:sz w:val="24"/>
          <w:szCs w:val="24"/>
          <w:lang w:val="en-US"/>
        </w:rPr>
        <w:t xml:space="preserve"> ‘The Rise in Household Indebtedness: Causes and Consequences’, Working Paper, Reserve Bank of Australia.</w:t>
      </w:r>
    </w:p>
    <w:p w:rsidR="00EB6335" w:rsidRPr="00194EC8" w:rsidRDefault="00EB6335" w:rsidP="00EB633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Dynan</w:t>
      </w:r>
      <w:proofErr w:type="spellEnd"/>
      <w:r w:rsidRPr="00194EC8">
        <w:rPr>
          <w:rFonts w:ascii="Times New Roman" w:hAnsi="Times New Roman" w:cs="Times New Roman"/>
          <w:sz w:val="24"/>
          <w:szCs w:val="24"/>
          <w:lang w:val="en-US"/>
        </w:rPr>
        <w:t>, K.E.</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Maki, D.M.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2001</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‘Does Stock Market Wealth Matter for C</w:t>
      </w:r>
      <w:r w:rsidRPr="00194EC8">
        <w:rPr>
          <w:rFonts w:ascii="Times New Roman" w:hAnsi="Times New Roman" w:cs="Times New Roman"/>
          <w:sz w:val="24"/>
          <w:szCs w:val="24"/>
          <w:lang w:val="en-US"/>
        </w:rPr>
        <w:t>onsumption?</w:t>
      </w:r>
      <w:proofErr w:type="gramStart"/>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Working Paper, Washington: Board of Governors of the Federal Reserve System.</w:t>
      </w:r>
    </w:p>
    <w:p w:rsidR="001274A9" w:rsidRPr="00194EC8" w:rsidRDefault="001274A9" w:rsidP="001274A9">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Estrella</w:t>
      </w:r>
      <w:proofErr w:type="spellEnd"/>
      <w:r w:rsidRPr="00194EC8">
        <w:rPr>
          <w:rFonts w:ascii="Times New Roman" w:hAnsi="Times New Roman" w:cs="Times New Roman"/>
          <w:sz w:val="24"/>
          <w:szCs w:val="24"/>
          <w:lang w:val="en-US"/>
        </w:rPr>
        <w:t xml:space="preserve">, A.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2005</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Why does </w:t>
      </w:r>
      <w:r w:rsidR="00C97D97">
        <w:rPr>
          <w:rFonts w:ascii="Times New Roman" w:hAnsi="Times New Roman" w:cs="Times New Roman"/>
          <w:sz w:val="24"/>
          <w:szCs w:val="24"/>
          <w:lang w:val="en-US"/>
        </w:rPr>
        <w:t>the Yield Curve Predict Output and I</w:t>
      </w:r>
      <w:r w:rsidRPr="00194EC8">
        <w:rPr>
          <w:rFonts w:ascii="Times New Roman" w:hAnsi="Times New Roman" w:cs="Times New Roman"/>
          <w:sz w:val="24"/>
          <w:szCs w:val="24"/>
          <w:lang w:val="en-US"/>
        </w:rPr>
        <w:t>nflation?</w:t>
      </w:r>
      <w:proofErr w:type="gramStart"/>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Economic Journal</w:t>
      </w:r>
      <w:r w:rsidR="00C97D97">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115, </w:t>
      </w:r>
      <w:r w:rsidR="00C97D9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722-</w:t>
      </w:r>
      <w:r w:rsidR="00194EC8">
        <w:rPr>
          <w:rFonts w:ascii="Times New Roman" w:hAnsi="Times New Roman" w:cs="Times New Roman"/>
          <w:sz w:val="24"/>
          <w:szCs w:val="24"/>
          <w:lang w:val="en-US"/>
        </w:rPr>
        <w:t>7</w:t>
      </w:r>
      <w:r w:rsidRPr="00194EC8">
        <w:rPr>
          <w:rFonts w:ascii="Times New Roman" w:hAnsi="Times New Roman" w:cs="Times New Roman"/>
          <w:sz w:val="24"/>
          <w:szCs w:val="24"/>
          <w:lang w:val="en-US"/>
        </w:rPr>
        <w:t>44.</w:t>
      </w:r>
    </w:p>
    <w:p w:rsidR="001274A9" w:rsidRDefault="001274A9" w:rsidP="001274A9">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Estrella</w:t>
      </w:r>
      <w:proofErr w:type="spellEnd"/>
      <w:r w:rsidRPr="00194EC8">
        <w:rPr>
          <w:rFonts w:ascii="Times New Roman" w:hAnsi="Times New Roman" w:cs="Times New Roman"/>
          <w:sz w:val="24"/>
          <w:szCs w:val="24"/>
          <w:lang w:val="en-US"/>
        </w:rPr>
        <w:t>, A</w:t>
      </w:r>
      <w:r w:rsidR="00A174E4" w:rsidRPr="00194EC8">
        <w:rPr>
          <w:rFonts w:ascii="Times New Roman" w:hAnsi="Times New Roman" w:cs="Times New Roman"/>
          <w:sz w:val="24"/>
          <w:szCs w:val="24"/>
          <w:lang w:val="en-US"/>
        </w:rPr>
        <w:t>.</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Trubin</w:t>
      </w:r>
      <w:proofErr w:type="spellEnd"/>
      <w:r w:rsidRPr="00194EC8">
        <w:rPr>
          <w:rFonts w:ascii="Times New Roman" w:hAnsi="Times New Roman" w:cs="Times New Roman"/>
          <w:sz w:val="24"/>
          <w:szCs w:val="24"/>
          <w:lang w:val="en-US"/>
        </w:rPr>
        <w:t xml:space="preserve">, M.R.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2006</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The </w:t>
      </w:r>
      <w:r w:rsidR="00C97D97">
        <w:rPr>
          <w:rFonts w:ascii="Times New Roman" w:hAnsi="Times New Roman" w:cs="Times New Roman"/>
          <w:sz w:val="24"/>
          <w:szCs w:val="24"/>
          <w:lang w:val="en-US"/>
        </w:rPr>
        <w:t>Yield Curve as a Leading Indicator: Some Practical I</w:t>
      </w:r>
      <w:r w:rsidRPr="00194EC8">
        <w:rPr>
          <w:rFonts w:ascii="Times New Roman" w:hAnsi="Times New Roman" w:cs="Times New Roman"/>
          <w:sz w:val="24"/>
          <w:szCs w:val="24"/>
          <w:lang w:val="en-US"/>
        </w:rPr>
        <w:t>ssues</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Federal Reserve Bank of New York Current Issues in Economics and Finance</w:t>
      </w:r>
      <w:r w:rsidR="00C97D97">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12, </w:t>
      </w:r>
      <w:r w:rsidR="00C97D9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1-7.</w:t>
      </w:r>
    </w:p>
    <w:p w:rsidR="00B46B09" w:rsidRPr="00194EC8" w:rsidRDefault="00B46B09" w:rsidP="001274A9">
      <w:pPr>
        <w:spacing w:line="480" w:lineRule="auto"/>
        <w:ind w:left="851" w:hanging="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Favilukis</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Ludvigson</w:t>
      </w:r>
      <w:proofErr w:type="spellEnd"/>
      <w:r>
        <w:rPr>
          <w:rFonts w:ascii="Times New Roman" w:hAnsi="Times New Roman" w:cs="Times New Roman"/>
          <w:sz w:val="24"/>
          <w:szCs w:val="24"/>
          <w:lang w:val="en-US"/>
        </w:rPr>
        <w:t xml:space="preserve">, S.C. and </w:t>
      </w:r>
      <w:proofErr w:type="spellStart"/>
      <w:r>
        <w:rPr>
          <w:rFonts w:ascii="Times New Roman" w:hAnsi="Times New Roman" w:cs="Times New Roman"/>
          <w:sz w:val="24"/>
          <w:szCs w:val="24"/>
          <w:lang w:val="en-US"/>
        </w:rPr>
        <w:t>Nieuwerburgh</w:t>
      </w:r>
      <w:proofErr w:type="spellEnd"/>
      <w:r>
        <w:rPr>
          <w:rFonts w:ascii="Times New Roman" w:hAnsi="Times New Roman" w:cs="Times New Roman"/>
          <w:sz w:val="24"/>
          <w:szCs w:val="24"/>
          <w:lang w:val="en-US"/>
        </w:rPr>
        <w:t>, S.V. (2013).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Macroeconomic Effects of Housing Wealth, Housing Finance, and Limited Risk-Sharing in General Equilibrium’, SSRN Working Paper.</w:t>
      </w:r>
      <w:proofErr w:type="gramEnd"/>
    </w:p>
    <w:p w:rsidR="001274A9" w:rsidRPr="00194EC8" w:rsidRDefault="001274A9" w:rsidP="001274A9">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Feroli</w:t>
      </w:r>
      <w:proofErr w:type="spellEnd"/>
      <w:r w:rsidRPr="00194EC8">
        <w:rPr>
          <w:rFonts w:ascii="Times New Roman" w:hAnsi="Times New Roman" w:cs="Times New Roman"/>
          <w:sz w:val="24"/>
          <w:szCs w:val="24"/>
          <w:lang w:val="en-US"/>
        </w:rPr>
        <w:t xml:space="preserve">, M.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2004</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‘Monetary Policy and the Information Content of the Yield S</w:t>
      </w:r>
      <w:r w:rsidRPr="00194EC8">
        <w:rPr>
          <w:rFonts w:ascii="Times New Roman" w:hAnsi="Times New Roman" w:cs="Times New Roman"/>
          <w:sz w:val="24"/>
          <w:szCs w:val="24"/>
          <w:lang w:val="en-US"/>
        </w:rPr>
        <w:t>pread</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Topics in Macroeconomics</w:t>
      </w:r>
      <w:r w:rsidRPr="00194EC8">
        <w:rPr>
          <w:rFonts w:ascii="Times New Roman" w:hAnsi="Times New Roman" w:cs="Times New Roman"/>
          <w:sz w:val="24"/>
          <w:szCs w:val="24"/>
          <w:lang w:val="en-US"/>
        </w:rPr>
        <w:t xml:space="preserve"> 4, Article 13.</w:t>
      </w:r>
    </w:p>
    <w:p w:rsidR="005A10AF" w:rsidRPr="00194EC8" w:rsidRDefault="00A174E4" w:rsidP="00E24DA5">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Ferraris, L.</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5A10AF" w:rsidRPr="00194EC8">
        <w:rPr>
          <w:rFonts w:ascii="Times New Roman" w:hAnsi="Times New Roman" w:cs="Times New Roman"/>
          <w:sz w:val="24"/>
          <w:szCs w:val="24"/>
          <w:lang w:val="en-US"/>
        </w:rPr>
        <w:t>Minetti</w:t>
      </w:r>
      <w:proofErr w:type="spellEnd"/>
      <w:r w:rsidR="005A10AF" w:rsidRPr="00194EC8">
        <w:rPr>
          <w:rFonts w:ascii="Times New Roman" w:hAnsi="Times New Roman" w:cs="Times New Roman"/>
          <w:sz w:val="24"/>
          <w:szCs w:val="24"/>
          <w:lang w:val="en-US"/>
        </w:rPr>
        <w:t xml:space="preserve">, R. </w:t>
      </w:r>
      <w:r w:rsidR="00624F8F">
        <w:rPr>
          <w:rFonts w:ascii="Times New Roman" w:hAnsi="Times New Roman" w:cs="Times New Roman"/>
          <w:sz w:val="24"/>
          <w:szCs w:val="24"/>
          <w:lang w:val="en-US"/>
        </w:rPr>
        <w:t>(</w:t>
      </w:r>
      <w:r w:rsidR="005A10AF" w:rsidRPr="00194EC8">
        <w:rPr>
          <w:rFonts w:ascii="Times New Roman" w:hAnsi="Times New Roman" w:cs="Times New Roman"/>
          <w:sz w:val="24"/>
          <w:szCs w:val="24"/>
          <w:lang w:val="en-US"/>
        </w:rPr>
        <w:t>2013</w:t>
      </w:r>
      <w:r w:rsidR="00C97D97">
        <w:rPr>
          <w:rFonts w:ascii="Times New Roman" w:hAnsi="Times New Roman" w:cs="Times New Roman"/>
          <w:sz w:val="24"/>
          <w:szCs w:val="24"/>
          <w:lang w:val="en-US"/>
        </w:rPr>
        <w:t>).</w:t>
      </w:r>
      <w:proofErr w:type="gramEnd"/>
      <w:r w:rsidR="005A10AF" w:rsidRPr="00194EC8">
        <w:rPr>
          <w:rFonts w:ascii="Times New Roman" w:hAnsi="Times New Roman" w:cs="Times New Roman"/>
          <w:sz w:val="24"/>
          <w:szCs w:val="24"/>
          <w:lang w:val="en-US"/>
        </w:rPr>
        <w:t xml:space="preserve"> </w:t>
      </w:r>
      <w:proofErr w:type="gramStart"/>
      <w:r w:rsidR="00C97D97">
        <w:rPr>
          <w:rFonts w:ascii="Times New Roman" w:hAnsi="Times New Roman" w:cs="Times New Roman"/>
          <w:sz w:val="24"/>
          <w:szCs w:val="24"/>
          <w:lang w:val="en-US"/>
        </w:rPr>
        <w:t>‘Foreign Banks and the Dual Effect of F</w:t>
      </w:r>
      <w:r w:rsidR="005A10AF" w:rsidRPr="00194EC8">
        <w:rPr>
          <w:rFonts w:ascii="Times New Roman" w:hAnsi="Times New Roman" w:cs="Times New Roman"/>
          <w:sz w:val="24"/>
          <w:szCs w:val="24"/>
          <w:lang w:val="en-US"/>
        </w:rPr>
        <w:t xml:space="preserve">inancial </w:t>
      </w:r>
      <w:r w:rsidR="00C97D97">
        <w:rPr>
          <w:rFonts w:ascii="Times New Roman" w:hAnsi="Times New Roman" w:cs="Times New Roman"/>
          <w:sz w:val="24"/>
          <w:szCs w:val="24"/>
          <w:lang w:val="en-US"/>
        </w:rPr>
        <w:t>L</w:t>
      </w:r>
      <w:r w:rsidR="005A10AF" w:rsidRPr="00194EC8">
        <w:rPr>
          <w:rFonts w:ascii="Times New Roman" w:hAnsi="Times New Roman" w:cs="Times New Roman"/>
          <w:sz w:val="24"/>
          <w:szCs w:val="24"/>
          <w:lang w:val="en-US"/>
        </w:rPr>
        <w:t>iberalization</w:t>
      </w:r>
      <w:r w:rsidR="00C97D97">
        <w:rPr>
          <w:rFonts w:ascii="Times New Roman" w:hAnsi="Times New Roman" w:cs="Times New Roman"/>
          <w:sz w:val="24"/>
          <w:szCs w:val="24"/>
          <w:lang w:val="en-US"/>
        </w:rPr>
        <w:t>’,</w:t>
      </w:r>
      <w:r w:rsidR="005A10AF" w:rsidRPr="00194EC8">
        <w:rPr>
          <w:rFonts w:ascii="Times New Roman" w:hAnsi="Times New Roman" w:cs="Times New Roman"/>
          <w:sz w:val="24"/>
          <w:szCs w:val="24"/>
          <w:lang w:val="en-US"/>
        </w:rPr>
        <w:t xml:space="preserve"> </w:t>
      </w:r>
      <w:r w:rsidR="005A10AF" w:rsidRPr="00624F8F">
        <w:rPr>
          <w:rFonts w:ascii="Times New Roman" w:hAnsi="Times New Roman" w:cs="Times New Roman"/>
          <w:i/>
          <w:sz w:val="24"/>
          <w:szCs w:val="24"/>
          <w:lang w:val="en-US"/>
        </w:rPr>
        <w:t>Journal of Money, Credit and Banking</w:t>
      </w:r>
      <w:r w:rsidR="005A10AF" w:rsidRPr="00194EC8">
        <w:rPr>
          <w:rFonts w:ascii="Times New Roman" w:hAnsi="Times New Roman" w:cs="Times New Roman"/>
          <w:sz w:val="24"/>
          <w:szCs w:val="24"/>
          <w:lang w:val="en-US"/>
        </w:rPr>
        <w:t xml:space="preserve"> 45, 1301-</w:t>
      </w:r>
      <w:r w:rsidR="00194EC8">
        <w:rPr>
          <w:rFonts w:ascii="Times New Roman" w:hAnsi="Times New Roman" w:cs="Times New Roman"/>
          <w:sz w:val="24"/>
          <w:szCs w:val="24"/>
          <w:lang w:val="en-US"/>
        </w:rPr>
        <w:t>13</w:t>
      </w:r>
      <w:r w:rsidR="005A10AF" w:rsidRPr="00194EC8">
        <w:rPr>
          <w:rFonts w:ascii="Times New Roman" w:hAnsi="Times New Roman" w:cs="Times New Roman"/>
          <w:sz w:val="24"/>
          <w:szCs w:val="24"/>
          <w:lang w:val="en-US"/>
        </w:rPr>
        <w:t>33.</w:t>
      </w:r>
      <w:proofErr w:type="gramEnd"/>
    </w:p>
    <w:p w:rsidR="0076420D" w:rsidRPr="00194EC8" w:rsidRDefault="0076420D" w:rsidP="0076420D">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lastRenderedPageBreak/>
        <w:t>Flavin</w:t>
      </w:r>
      <w:proofErr w:type="spellEnd"/>
      <w:r w:rsidRPr="00194EC8">
        <w:rPr>
          <w:rFonts w:ascii="Times New Roman" w:hAnsi="Times New Roman" w:cs="Times New Roman"/>
          <w:sz w:val="24"/>
          <w:szCs w:val="24"/>
          <w:lang w:val="en-US"/>
        </w:rPr>
        <w:t xml:space="preserve">, M.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1981</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proofErr w:type="gramStart"/>
      <w:r w:rsidR="00C97D97">
        <w:rPr>
          <w:rFonts w:ascii="Times New Roman" w:hAnsi="Times New Roman" w:cs="Times New Roman"/>
          <w:sz w:val="24"/>
          <w:szCs w:val="24"/>
          <w:lang w:val="en-US"/>
        </w:rPr>
        <w:t>‘The Adjustment of Consumption to Changing Expectations about Future Income’,</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Journal of Political Economy</w:t>
      </w:r>
      <w:r w:rsidR="00C97D97">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89, </w:t>
      </w:r>
      <w:r w:rsidR="00C97D9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974-1009.</w:t>
      </w:r>
      <w:proofErr w:type="gramEnd"/>
    </w:p>
    <w:p w:rsidR="005A10AF" w:rsidRPr="00194EC8" w:rsidRDefault="005A10AF" w:rsidP="00E24DA5">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 xml:space="preserve">Fort, </w:t>
      </w:r>
      <w:r w:rsidR="00A174E4" w:rsidRPr="00194EC8">
        <w:rPr>
          <w:rFonts w:ascii="Times New Roman" w:hAnsi="Times New Roman" w:cs="Times New Roman"/>
          <w:sz w:val="24"/>
          <w:szCs w:val="24"/>
          <w:lang w:val="en-US"/>
        </w:rPr>
        <w:t xml:space="preserve">T., </w:t>
      </w:r>
      <w:proofErr w:type="spellStart"/>
      <w:r w:rsidR="00A174E4" w:rsidRPr="00194EC8">
        <w:rPr>
          <w:rFonts w:ascii="Times New Roman" w:hAnsi="Times New Roman" w:cs="Times New Roman"/>
          <w:sz w:val="24"/>
          <w:szCs w:val="24"/>
          <w:lang w:val="en-US"/>
        </w:rPr>
        <w:t>Haltiwanger</w:t>
      </w:r>
      <w:proofErr w:type="spellEnd"/>
      <w:r w:rsidR="00A174E4" w:rsidRPr="00194EC8">
        <w:rPr>
          <w:rFonts w:ascii="Times New Roman" w:hAnsi="Times New Roman" w:cs="Times New Roman"/>
          <w:sz w:val="24"/>
          <w:szCs w:val="24"/>
          <w:lang w:val="en-US"/>
        </w:rPr>
        <w:t xml:space="preserve">, J., </w:t>
      </w:r>
      <w:proofErr w:type="spellStart"/>
      <w:r w:rsidR="00A174E4" w:rsidRPr="00194EC8">
        <w:rPr>
          <w:rFonts w:ascii="Times New Roman" w:hAnsi="Times New Roman" w:cs="Times New Roman"/>
          <w:sz w:val="24"/>
          <w:szCs w:val="24"/>
          <w:lang w:val="en-US"/>
        </w:rPr>
        <w:t>Jarmin</w:t>
      </w:r>
      <w:proofErr w:type="spellEnd"/>
      <w:r w:rsidR="00A174E4" w:rsidRPr="00194EC8">
        <w:rPr>
          <w:rFonts w:ascii="Times New Roman" w:hAnsi="Times New Roman" w:cs="Times New Roman"/>
          <w:sz w:val="24"/>
          <w:szCs w:val="24"/>
          <w:lang w:val="en-US"/>
        </w:rPr>
        <w:t>, R.</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Mirands</w:t>
      </w:r>
      <w:proofErr w:type="spellEnd"/>
      <w:r w:rsidRPr="00194EC8">
        <w:rPr>
          <w:rFonts w:ascii="Times New Roman" w:hAnsi="Times New Roman" w:cs="Times New Roman"/>
          <w:sz w:val="24"/>
          <w:szCs w:val="24"/>
          <w:lang w:val="en-US"/>
        </w:rPr>
        <w:t xml:space="preserve">, J.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2013</w:t>
      </w:r>
      <w:r w:rsidR="00C97D97">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proofErr w:type="gramStart"/>
      <w:r w:rsidR="00C97D97">
        <w:rPr>
          <w:rFonts w:ascii="Times New Roman" w:hAnsi="Times New Roman" w:cs="Times New Roman"/>
          <w:sz w:val="24"/>
          <w:szCs w:val="24"/>
          <w:lang w:val="en-US"/>
        </w:rPr>
        <w:t>‘How Firms Respond to Business C</w:t>
      </w:r>
      <w:r w:rsidRPr="00194EC8">
        <w:rPr>
          <w:rFonts w:ascii="Times New Roman" w:hAnsi="Times New Roman" w:cs="Times New Roman"/>
          <w:sz w:val="24"/>
          <w:szCs w:val="24"/>
          <w:lang w:val="en-US"/>
        </w:rPr>
        <w:t>y</w:t>
      </w:r>
      <w:r w:rsidR="00C97D97">
        <w:rPr>
          <w:rFonts w:ascii="Times New Roman" w:hAnsi="Times New Roman" w:cs="Times New Roman"/>
          <w:sz w:val="24"/>
          <w:szCs w:val="24"/>
          <w:lang w:val="en-US"/>
        </w:rPr>
        <w:t>cles: The Role of Firm Age and Firm S</w:t>
      </w:r>
      <w:r w:rsidRPr="00194EC8">
        <w:rPr>
          <w:rFonts w:ascii="Times New Roman" w:hAnsi="Times New Roman" w:cs="Times New Roman"/>
          <w:sz w:val="24"/>
          <w:szCs w:val="24"/>
          <w:lang w:val="en-US"/>
        </w:rPr>
        <w:t>ize</w:t>
      </w:r>
      <w:r w:rsidR="00C97D97">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IMF Economic Review</w:t>
      </w:r>
      <w:r w:rsidR="00C97D97">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97D97">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61, </w:t>
      </w:r>
      <w:r w:rsidR="00C97D97">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520-</w:t>
      </w:r>
      <w:r w:rsidR="00194EC8">
        <w:rPr>
          <w:rFonts w:ascii="Times New Roman" w:hAnsi="Times New Roman" w:cs="Times New Roman"/>
          <w:sz w:val="24"/>
          <w:szCs w:val="24"/>
          <w:lang w:val="en-US"/>
        </w:rPr>
        <w:t>5</w:t>
      </w:r>
      <w:r w:rsidRPr="00194EC8">
        <w:rPr>
          <w:rFonts w:ascii="Times New Roman" w:hAnsi="Times New Roman" w:cs="Times New Roman"/>
          <w:sz w:val="24"/>
          <w:szCs w:val="24"/>
          <w:lang w:val="en-US"/>
        </w:rPr>
        <w:t>59.</w:t>
      </w:r>
      <w:proofErr w:type="gramEnd"/>
    </w:p>
    <w:p w:rsidR="005A10AF" w:rsidRPr="00194EC8" w:rsidRDefault="005A10AF" w:rsidP="00E24DA5">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Gan</w:t>
      </w:r>
      <w:proofErr w:type="spellEnd"/>
      <w:r w:rsidRPr="00194EC8">
        <w:rPr>
          <w:rFonts w:ascii="Times New Roman" w:hAnsi="Times New Roman" w:cs="Times New Roman"/>
          <w:sz w:val="24"/>
          <w:szCs w:val="24"/>
          <w:lang w:val="en-US"/>
        </w:rPr>
        <w:t xml:space="preserve">, J.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2007</w:t>
      </w:r>
      <w:r w:rsidR="001F6A38">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1F6A38">
        <w:rPr>
          <w:rFonts w:ascii="Times New Roman" w:hAnsi="Times New Roman" w:cs="Times New Roman"/>
          <w:sz w:val="24"/>
          <w:szCs w:val="24"/>
          <w:lang w:val="en-US"/>
        </w:rPr>
        <w:t>‘The Real Effects of Asset Market B</w:t>
      </w:r>
      <w:r w:rsidRPr="00194EC8">
        <w:rPr>
          <w:rFonts w:ascii="Times New Roman" w:hAnsi="Times New Roman" w:cs="Times New Roman"/>
          <w:sz w:val="24"/>
          <w:szCs w:val="24"/>
          <w:lang w:val="en-US"/>
        </w:rPr>
        <w:t xml:space="preserve">ubbles: </w:t>
      </w:r>
      <w:r w:rsidR="001F6A38">
        <w:rPr>
          <w:rFonts w:ascii="Times New Roman" w:hAnsi="Times New Roman" w:cs="Times New Roman"/>
          <w:sz w:val="24"/>
          <w:szCs w:val="24"/>
          <w:lang w:val="en-US"/>
        </w:rPr>
        <w:t>Loan and Firm Level Evidence of a Lending C</w:t>
      </w:r>
      <w:r w:rsidRPr="00194EC8">
        <w:rPr>
          <w:rFonts w:ascii="Times New Roman" w:hAnsi="Times New Roman" w:cs="Times New Roman"/>
          <w:sz w:val="24"/>
          <w:szCs w:val="24"/>
          <w:lang w:val="en-US"/>
        </w:rPr>
        <w:t>hannel</w:t>
      </w:r>
      <w:r w:rsidR="001F6A38">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Review of Financial Studies</w:t>
      </w:r>
      <w:r w:rsidR="001F6A38">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1F6A38">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20, </w:t>
      </w:r>
      <w:r w:rsidR="001F6A38">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1941-</w:t>
      </w:r>
      <w:r w:rsidR="00194EC8">
        <w:rPr>
          <w:rFonts w:ascii="Times New Roman" w:hAnsi="Times New Roman" w:cs="Times New Roman"/>
          <w:sz w:val="24"/>
          <w:szCs w:val="24"/>
          <w:lang w:val="en-US"/>
        </w:rPr>
        <w:t>19</w:t>
      </w:r>
      <w:r w:rsidRPr="00194EC8">
        <w:rPr>
          <w:rFonts w:ascii="Times New Roman" w:hAnsi="Times New Roman" w:cs="Times New Roman"/>
          <w:sz w:val="24"/>
          <w:szCs w:val="24"/>
          <w:lang w:val="en-US"/>
        </w:rPr>
        <w:t>73.</w:t>
      </w:r>
    </w:p>
    <w:p w:rsidR="00916F1E" w:rsidRPr="00194EC8"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Gertler</w:t>
      </w:r>
      <w:proofErr w:type="spellEnd"/>
      <w:r w:rsidRPr="00194EC8">
        <w:rPr>
          <w:rFonts w:ascii="Times New Roman" w:hAnsi="Times New Roman" w:cs="Times New Roman"/>
          <w:sz w:val="24"/>
          <w:szCs w:val="24"/>
          <w:lang w:val="en-US"/>
        </w:rPr>
        <w:t>, M.</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916F1E" w:rsidRPr="00194EC8">
        <w:rPr>
          <w:rFonts w:ascii="Times New Roman" w:hAnsi="Times New Roman" w:cs="Times New Roman"/>
          <w:sz w:val="24"/>
          <w:szCs w:val="24"/>
          <w:lang w:val="en-US"/>
        </w:rPr>
        <w:t>Kiyotaki</w:t>
      </w:r>
      <w:proofErr w:type="spellEnd"/>
      <w:r w:rsidR="00916F1E" w:rsidRPr="00194EC8">
        <w:rPr>
          <w:rFonts w:ascii="Times New Roman" w:hAnsi="Times New Roman" w:cs="Times New Roman"/>
          <w:sz w:val="24"/>
          <w:szCs w:val="24"/>
          <w:lang w:val="en-US"/>
        </w:rPr>
        <w:t xml:space="preserve">, N. </w:t>
      </w:r>
      <w:r w:rsidR="00624F8F">
        <w:rPr>
          <w:rFonts w:ascii="Times New Roman" w:hAnsi="Times New Roman" w:cs="Times New Roman"/>
          <w:sz w:val="24"/>
          <w:szCs w:val="24"/>
          <w:lang w:val="en-US"/>
        </w:rPr>
        <w:t>(</w:t>
      </w:r>
      <w:r w:rsidR="00916F1E" w:rsidRPr="00194EC8">
        <w:rPr>
          <w:rFonts w:ascii="Times New Roman" w:hAnsi="Times New Roman" w:cs="Times New Roman"/>
          <w:sz w:val="24"/>
          <w:szCs w:val="24"/>
          <w:lang w:val="en-US"/>
        </w:rPr>
        <w:t>2011</w:t>
      </w:r>
      <w:r w:rsidR="001F6A38">
        <w:rPr>
          <w:rFonts w:ascii="Times New Roman" w:hAnsi="Times New Roman" w:cs="Times New Roman"/>
          <w:sz w:val="24"/>
          <w:szCs w:val="24"/>
          <w:lang w:val="en-US"/>
        </w:rPr>
        <w:t>).</w:t>
      </w:r>
      <w:proofErr w:type="gramEnd"/>
      <w:r w:rsidR="00916F1E" w:rsidRPr="00194EC8">
        <w:rPr>
          <w:rFonts w:ascii="Times New Roman" w:hAnsi="Times New Roman" w:cs="Times New Roman"/>
          <w:sz w:val="24"/>
          <w:szCs w:val="24"/>
          <w:lang w:val="en-US"/>
        </w:rPr>
        <w:t xml:space="preserve"> </w:t>
      </w:r>
      <w:r w:rsidR="001F6A38">
        <w:rPr>
          <w:rFonts w:ascii="Times New Roman" w:hAnsi="Times New Roman" w:cs="Times New Roman"/>
          <w:sz w:val="24"/>
          <w:szCs w:val="24"/>
          <w:lang w:val="en-US"/>
        </w:rPr>
        <w:t>‘Financial Intermediation and Credit Policy in Business Cycle A</w:t>
      </w:r>
      <w:r w:rsidR="00916F1E" w:rsidRPr="00194EC8">
        <w:rPr>
          <w:rFonts w:ascii="Times New Roman" w:hAnsi="Times New Roman" w:cs="Times New Roman"/>
          <w:sz w:val="24"/>
          <w:szCs w:val="24"/>
          <w:lang w:val="en-US"/>
        </w:rPr>
        <w:t>nalysis</w:t>
      </w:r>
      <w:r w:rsidR="001F6A38">
        <w:rPr>
          <w:rFonts w:ascii="Times New Roman" w:hAnsi="Times New Roman" w:cs="Times New Roman"/>
          <w:sz w:val="24"/>
          <w:szCs w:val="24"/>
          <w:lang w:val="en-US"/>
        </w:rPr>
        <w:t>’,</w:t>
      </w:r>
      <w:r w:rsidR="00916F1E" w:rsidRPr="00194EC8">
        <w:rPr>
          <w:rFonts w:ascii="Times New Roman" w:hAnsi="Times New Roman" w:cs="Times New Roman"/>
          <w:sz w:val="24"/>
          <w:szCs w:val="24"/>
          <w:lang w:val="en-US"/>
        </w:rPr>
        <w:t xml:space="preserve"> </w:t>
      </w:r>
      <w:r w:rsidR="001F6A38">
        <w:rPr>
          <w:rFonts w:ascii="Times New Roman" w:hAnsi="Times New Roman" w:cs="Times New Roman"/>
          <w:sz w:val="24"/>
          <w:szCs w:val="24"/>
          <w:lang w:val="en-US"/>
        </w:rPr>
        <w:t>i</w:t>
      </w:r>
      <w:r w:rsidR="00916F1E" w:rsidRPr="00194EC8">
        <w:rPr>
          <w:rFonts w:ascii="Times New Roman" w:hAnsi="Times New Roman" w:cs="Times New Roman"/>
          <w:sz w:val="24"/>
          <w:szCs w:val="24"/>
          <w:lang w:val="en-US"/>
        </w:rPr>
        <w:t>n</w:t>
      </w:r>
      <w:r w:rsidR="00624F8F">
        <w:rPr>
          <w:rFonts w:ascii="Times New Roman" w:hAnsi="Times New Roman" w:cs="Times New Roman"/>
          <w:sz w:val="24"/>
          <w:szCs w:val="24"/>
          <w:lang w:val="en-US"/>
        </w:rPr>
        <w:t>:</w:t>
      </w:r>
      <w:r w:rsidR="00916F1E" w:rsidRPr="00194EC8">
        <w:rPr>
          <w:rFonts w:ascii="Times New Roman" w:hAnsi="Times New Roman" w:cs="Times New Roman"/>
          <w:sz w:val="24"/>
          <w:szCs w:val="24"/>
          <w:lang w:val="en-US"/>
        </w:rPr>
        <w:t xml:space="preserve"> </w:t>
      </w:r>
      <w:r w:rsidR="00916F1E" w:rsidRPr="00624F8F">
        <w:rPr>
          <w:rFonts w:ascii="Times New Roman" w:hAnsi="Times New Roman" w:cs="Times New Roman"/>
          <w:i/>
          <w:sz w:val="24"/>
          <w:szCs w:val="24"/>
          <w:lang w:val="en-US"/>
        </w:rPr>
        <w:t>Handbook of Monetary Economics</w:t>
      </w:r>
      <w:r w:rsidR="00624F8F">
        <w:rPr>
          <w:rFonts w:ascii="Times New Roman" w:hAnsi="Times New Roman" w:cs="Times New Roman"/>
          <w:sz w:val="24"/>
          <w:szCs w:val="24"/>
          <w:lang w:val="en-US"/>
        </w:rPr>
        <w:t xml:space="preserve"> 3, Friedman, B.M. and</w:t>
      </w:r>
      <w:r w:rsidR="00916F1E" w:rsidRPr="00194EC8">
        <w:rPr>
          <w:rFonts w:ascii="Times New Roman" w:hAnsi="Times New Roman" w:cs="Times New Roman"/>
          <w:sz w:val="24"/>
          <w:szCs w:val="24"/>
          <w:lang w:val="en-US"/>
        </w:rPr>
        <w:t xml:space="preserve"> Woodford, M. (Eds.), </w:t>
      </w:r>
      <w:r w:rsidR="001F6A38">
        <w:rPr>
          <w:rFonts w:ascii="Times New Roman" w:hAnsi="Times New Roman" w:cs="Times New Roman"/>
          <w:sz w:val="24"/>
          <w:szCs w:val="24"/>
          <w:lang w:val="en-US"/>
        </w:rPr>
        <w:t xml:space="preserve">pp. </w:t>
      </w:r>
      <w:r w:rsidR="00916F1E" w:rsidRPr="00194EC8">
        <w:rPr>
          <w:rFonts w:ascii="Times New Roman" w:hAnsi="Times New Roman" w:cs="Times New Roman"/>
          <w:sz w:val="24"/>
          <w:szCs w:val="24"/>
          <w:lang w:val="en-US"/>
        </w:rPr>
        <w:t>547-</w:t>
      </w:r>
      <w:r w:rsidR="00194EC8">
        <w:rPr>
          <w:rFonts w:ascii="Times New Roman" w:hAnsi="Times New Roman" w:cs="Times New Roman"/>
          <w:sz w:val="24"/>
          <w:szCs w:val="24"/>
          <w:lang w:val="en-US"/>
        </w:rPr>
        <w:t>5</w:t>
      </w:r>
      <w:r w:rsidR="00916F1E" w:rsidRPr="00194EC8">
        <w:rPr>
          <w:rFonts w:ascii="Times New Roman" w:hAnsi="Times New Roman" w:cs="Times New Roman"/>
          <w:sz w:val="24"/>
          <w:szCs w:val="24"/>
          <w:lang w:val="en-US"/>
        </w:rPr>
        <w:t>99, Amsterdam: North Holland.</w:t>
      </w:r>
    </w:p>
    <w:p w:rsidR="005A10AF"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Gertler</w:t>
      </w:r>
      <w:proofErr w:type="spellEnd"/>
      <w:r w:rsidRPr="00194EC8">
        <w:rPr>
          <w:rFonts w:ascii="Times New Roman" w:hAnsi="Times New Roman" w:cs="Times New Roman"/>
          <w:sz w:val="24"/>
          <w:szCs w:val="24"/>
          <w:lang w:val="en-US"/>
        </w:rPr>
        <w:t>, M.</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5A10AF" w:rsidRPr="00194EC8">
        <w:rPr>
          <w:rFonts w:ascii="Times New Roman" w:hAnsi="Times New Roman" w:cs="Times New Roman"/>
          <w:sz w:val="24"/>
          <w:szCs w:val="24"/>
          <w:lang w:val="en-US"/>
        </w:rPr>
        <w:t>Gi</w:t>
      </w:r>
      <w:r w:rsidR="00916F1E" w:rsidRPr="00194EC8">
        <w:rPr>
          <w:rFonts w:ascii="Times New Roman" w:hAnsi="Times New Roman" w:cs="Times New Roman"/>
          <w:sz w:val="24"/>
          <w:szCs w:val="24"/>
          <w:lang w:val="en-US"/>
        </w:rPr>
        <w:t xml:space="preserve">lchrist, S. </w:t>
      </w:r>
      <w:r w:rsidR="00624F8F">
        <w:rPr>
          <w:rFonts w:ascii="Times New Roman" w:hAnsi="Times New Roman" w:cs="Times New Roman"/>
          <w:sz w:val="24"/>
          <w:szCs w:val="24"/>
          <w:lang w:val="en-US"/>
        </w:rPr>
        <w:t>(</w:t>
      </w:r>
      <w:r w:rsidR="00916F1E" w:rsidRPr="00194EC8">
        <w:rPr>
          <w:rFonts w:ascii="Times New Roman" w:hAnsi="Times New Roman" w:cs="Times New Roman"/>
          <w:sz w:val="24"/>
          <w:szCs w:val="24"/>
          <w:lang w:val="en-US"/>
        </w:rPr>
        <w:t>1994</w:t>
      </w:r>
      <w:r w:rsidR="001F6A38">
        <w:rPr>
          <w:rFonts w:ascii="Times New Roman" w:hAnsi="Times New Roman" w:cs="Times New Roman"/>
          <w:sz w:val="24"/>
          <w:szCs w:val="24"/>
          <w:lang w:val="en-US"/>
        </w:rPr>
        <w:t>).</w:t>
      </w:r>
      <w:proofErr w:type="gramEnd"/>
      <w:r w:rsidR="00916F1E" w:rsidRPr="00194EC8">
        <w:rPr>
          <w:rFonts w:ascii="Times New Roman" w:hAnsi="Times New Roman" w:cs="Times New Roman"/>
          <w:sz w:val="24"/>
          <w:szCs w:val="24"/>
          <w:lang w:val="en-US"/>
        </w:rPr>
        <w:t xml:space="preserve"> </w:t>
      </w:r>
      <w:r w:rsidR="001F6A38">
        <w:rPr>
          <w:rFonts w:ascii="Times New Roman" w:hAnsi="Times New Roman" w:cs="Times New Roman"/>
          <w:sz w:val="24"/>
          <w:szCs w:val="24"/>
          <w:lang w:val="en-US"/>
        </w:rPr>
        <w:t>‘Monetary Policy, Business Cycles, and the Behavior of Small Manufacturing Firms’,</w:t>
      </w:r>
      <w:r w:rsidR="00916F1E" w:rsidRPr="00194EC8">
        <w:rPr>
          <w:rFonts w:ascii="Times New Roman" w:hAnsi="Times New Roman" w:cs="Times New Roman"/>
          <w:sz w:val="24"/>
          <w:szCs w:val="24"/>
          <w:lang w:val="en-US"/>
        </w:rPr>
        <w:t xml:space="preserve"> </w:t>
      </w:r>
      <w:r w:rsidR="00916F1E" w:rsidRPr="00624F8F">
        <w:rPr>
          <w:rFonts w:ascii="Times New Roman" w:hAnsi="Times New Roman" w:cs="Times New Roman"/>
          <w:i/>
          <w:sz w:val="24"/>
          <w:szCs w:val="24"/>
          <w:lang w:val="en-US"/>
        </w:rPr>
        <w:t>Quarterly Journal of Economics</w:t>
      </w:r>
      <w:r w:rsidR="001F6A38">
        <w:rPr>
          <w:rFonts w:ascii="Times New Roman" w:hAnsi="Times New Roman" w:cs="Times New Roman"/>
          <w:i/>
          <w:sz w:val="24"/>
          <w:szCs w:val="24"/>
          <w:lang w:val="en-US"/>
        </w:rPr>
        <w:t>,</w:t>
      </w:r>
      <w:r w:rsidR="00916F1E"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00916F1E" w:rsidRPr="00194EC8">
        <w:rPr>
          <w:rFonts w:ascii="Times New Roman" w:hAnsi="Times New Roman" w:cs="Times New Roman"/>
          <w:sz w:val="24"/>
          <w:szCs w:val="24"/>
          <w:lang w:val="en-US"/>
        </w:rPr>
        <w:t xml:space="preserve">109, </w:t>
      </w:r>
      <w:r w:rsidR="00C75E04">
        <w:rPr>
          <w:rFonts w:ascii="Times New Roman" w:hAnsi="Times New Roman" w:cs="Times New Roman"/>
          <w:sz w:val="24"/>
          <w:szCs w:val="24"/>
          <w:lang w:val="en-US"/>
        </w:rPr>
        <w:t xml:space="preserve">pp. </w:t>
      </w:r>
      <w:r w:rsidR="00916F1E" w:rsidRPr="00194EC8">
        <w:rPr>
          <w:rFonts w:ascii="Times New Roman" w:hAnsi="Times New Roman" w:cs="Times New Roman"/>
          <w:sz w:val="24"/>
          <w:szCs w:val="24"/>
          <w:lang w:val="en-US"/>
        </w:rPr>
        <w:t>309-</w:t>
      </w:r>
      <w:r w:rsidR="00194EC8">
        <w:rPr>
          <w:rFonts w:ascii="Times New Roman" w:hAnsi="Times New Roman" w:cs="Times New Roman"/>
          <w:sz w:val="24"/>
          <w:szCs w:val="24"/>
          <w:lang w:val="en-US"/>
        </w:rPr>
        <w:t>3</w:t>
      </w:r>
      <w:r w:rsidR="00916F1E" w:rsidRPr="00194EC8">
        <w:rPr>
          <w:rFonts w:ascii="Times New Roman" w:hAnsi="Times New Roman" w:cs="Times New Roman"/>
          <w:sz w:val="24"/>
          <w:szCs w:val="24"/>
          <w:lang w:val="en-US"/>
        </w:rPr>
        <w:t>40.</w:t>
      </w:r>
    </w:p>
    <w:p w:rsidR="00924E85" w:rsidRPr="00194EC8" w:rsidRDefault="00924E85" w:rsidP="00924E85">
      <w:pPr>
        <w:spacing w:line="480" w:lineRule="auto"/>
        <w:ind w:left="851" w:hanging="851"/>
        <w:jc w:val="both"/>
        <w:rPr>
          <w:rFonts w:ascii="Times New Roman" w:hAnsi="Times New Roman" w:cs="Times New Roman"/>
          <w:sz w:val="24"/>
          <w:szCs w:val="24"/>
          <w:lang w:val="en-US"/>
        </w:rPr>
      </w:pPr>
      <w:r w:rsidRPr="00924E85">
        <w:rPr>
          <w:rFonts w:ascii="Times New Roman" w:hAnsi="Times New Roman" w:cs="Times New Roman"/>
          <w:sz w:val="24"/>
          <w:szCs w:val="24"/>
          <w:lang w:val="en-US"/>
        </w:rPr>
        <w:t xml:space="preserve">Gross, D. and </w:t>
      </w:r>
      <w:proofErr w:type="spellStart"/>
      <w:r w:rsidRPr="00924E85">
        <w:rPr>
          <w:rFonts w:ascii="Times New Roman" w:hAnsi="Times New Roman" w:cs="Times New Roman"/>
          <w:sz w:val="24"/>
          <w:szCs w:val="24"/>
          <w:lang w:val="en-US"/>
        </w:rPr>
        <w:t>Souleles</w:t>
      </w:r>
      <w:proofErr w:type="spellEnd"/>
      <w:r>
        <w:rPr>
          <w:rFonts w:ascii="Times New Roman" w:hAnsi="Times New Roman" w:cs="Times New Roman"/>
          <w:sz w:val="24"/>
          <w:szCs w:val="24"/>
          <w:lang w:val="en-US"/>
        </w:rPr>
        <w:t>, N.</w:t>
      </w:r>
      <w:r w:rsidRPr="00924E85">
        <w:rPr>
          <w:rFonts w:ascii="Times New Roman" w:hAnsi="Times New Roman" w:cs="Times New Roman"/>
          <w:sz w:val="24"/>
          <w:szCs w:val="24"/>
          <w:lang w:val="en-US"/>
        </w:rPr>
        <w:t xml:space="preserve"> (2002). </w:t>
      </w:r>
      <w:r>
        <w:rPr>
          <w:rFonts w:ascii="Times New Roman" w:hAnsi="Times New Roman" w:cs="Times New Roman"/>
          <w:sz w:val="24"/>
          <w:szCs w:val="24"/>
          <w:lang w:val="en-US"/>
        </w:rPr>
        <w:t>‘</w:t>
      </w:r>
      <w:r w:rsidRPr="00924E85">
        <w:rPr>
          <w:rFonts w:ascii="Times New Roman" w:hAnsi="Times New Roman" w:cs="Times New Roman"/>
          <w:sz w:val="24"/>
          <w:szCs w:val="24"/>
          <w:lang w:val="en-US"/>
        </w:rPr>
        <w:t>Do Liquidity Constraints and Interest Rates Matter for</w:t>
      </w:r>
      <w:r>
        <w:rPr>
          <w:rFonts w:ascii="Times New Roman" w:hAnsi="Times New Roman" w:cs="Times New Roman"/>
          <w:sz w:val="24"/>
          <w:szCs w:val="24"/>
          <w:lang w:val="en-US"/>
        </w:rPr>
        <w:t xml:space="preserve"> </w:t>
      </w:r>
      <w:r w:rsidRPr="00924E85">
        <w:rPr>
          <w:rFonts w:ascii="Times New Roman" w:hAnsi="Times New Roman" w:cs="Times New Roman"/>
          <w:sz w:val="24"/>
          <w:szCs w:val="24"/>
          <w:lang w:val="en-US"/>
        </w:rPr>
        <w:t>Consumer Behavior? Evidence from Credit Card Data</w:t>
      </w:r>
      <w:r>
        <w:rPr>
          <w:rFonts w:ascii="Times New Roman" w:hAnsi="Times New Roman" w:cs="Times New Roman"/>
          <w:sz w:val="24"/>
          <w:szCs w:val="24"/>
          <w:lang w:val="en-US"/>
        </w:rPr>
        <w:t>’,</w:t>
      </w:r>
      <w:r w:rsidRPr="00924E85">
        <w:rPr>
          <w:rFonts w:ascii="Times New Roman" w:hAnsi="Times New Roman" w:cs="Times New Roman"/>
          <w:sz w:val="24"/>
          <w:szCs w:val="24"/>
          <w:lang w:val="en-US"/>
        </w:rPr>
        <w:t xml:space="preserve"> </w:t>
      </w:r>
      <w:r w:rsidRPr="00924E85">
        <w:rPr>
          <w:rFonts w:ascii="Times New Roman" w:hAnsi="Times New Roman" w:cs="Times New Roman"/>
          <w:i/>
          <w:sz w:val="24"/>
          <w:szCs w:val="24"/>
          <w:lang w:val="en-US"/>
        </w:rPr>
        <w:t>Quarterly Journal of Economics</w:t>
      </w:r>
      <w:r>
        <w:rPr>
          <w:rFonts w:ascii="Times New Roman" w:hAnsi="Times New Roman" w:cs="Times New Roman"/>
          <w:sz w:val="24"/>
          <w:szCs w:val="24"/>
          <w:lang w:val="en-US"/>
        </w:rPr>
        <w:t>, Vol</w:t>
      </w:r>
      <w:r w:rsidRPr="00924E85">
        <w:rPr>
          <w:rFonts w:ascii="Times New Roman" w:hAnsi="Times New Roman" w:cs="Times New Roman"/>
          <w:sz w:val="24"/>
          <w:szCs w:val="24"/>
          <w:lang w:val="en-US"/>
        </w:rPr>
        <w:t>. 117</w:t>
      </w:r>
      <w:r>
        <w:rPr>
          <w:rFonts w:ascii="Times New Roman" w:hAnsi="Times New Roman" w:cs="Times New Roman"/>
          <w:sz w:val="24"/>
          <w:szCs w:val="24"/>
          <w:lang w:val="en-US"/>
        </w:rPr>
        <w:t xml:space="preserve">, pp. </w:t>
      </w:r>
      <w:r w:rsidR="004D2B69">
        <w:rPr>
          <w:rFonts w:ascii="Times New Roman" w:hAnsi="Times New Roman" w:cs="Times New Roman"/>
          <w:sz w:val="24"/>
          <w:szCs w:val="24"/>
          <w:lang w:val="en-US"/>
        </w:rPr>
        <w:t>149-185.</w:t>
      </w:r>
    </w:p>
    <w:p w:rsidR="00916F1E" w:rsidRPr="00194EC8" w:rsidRDefault="00916F1E"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Guerrieri</w:t>
      </w:r>
      <w:proofErr w:type="spellEnd"/>
      <w:r w:rsidRPr="00194EC8">
        <w:rPr>
          <w:rFonts w:ascii="Times New Roman" w:hAnsi="Times New Roman" w:cs="Times New Roman"/>
          <w:sz w:val="24"/>
          <w:szCs w:val="24"/>
          <w:lang w:val="en-US"/>
        </w:rPr>
        <w:t>, L.</w:t>
      </w:r>
      <w:r w:rsidR="00A174E4" w:rsidRPr="00194EC8">
        <w:rPr>
          <w:rFonts w:ascii="Times New Roman" w:hAnsi="Times New Roman" w:cs="Times New Roman"/>
          <w:sz w:val="24"/>
          <w:szCs w:val="24"/>
          <w:lang w:val="en-US"/>
        </w:rPr>
        <w:t xml:space="preserve">, </w:t>
      </w:r>
      <w:proofErr w:type="spellStart"/>
      <w:r w:rsidR="00A174E4" w:rsidRPr="00194EC8">
        <w:rPr>
          <w:rFonts w:ascii="Times New Roman" w:hAnsi="Times New Roman" w:cs="Times New Roman"/>
          <w:sz w:val="24"/>
          <w:szCs w:val="24"/>
          <w:lang w:val="en-US"/>
        </w:rPr>
        <w:t>Iacoviello</w:t>
      </w:r>
      <w:proofErr w:type="spellEnd"/>
      <w:r w:rsidR="00A174E4" w:rsidRPr="00194EC8">
        <w:rPr>
          <w:rFonts w:ascii="Times New Roman" w:hAnsi="Times New Roman" w:cs="Times New Roman"/>
          <w:sz w:val="24"/>
          <w:szCs w:val="24"/>
          <w:lang w:val="en-US"/>
        </w:rPr>
        <w:t>, M.</w:t>
      </w:r>
      <w:r w:rsidR="00624F8F">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Minetti</w:t>
      </w:r>
      <w:proofErr w:type="spellEnd"/>
      <w:r w:rsidRPr="00194EC8">
        <w:rPr>
          <w:rFonts w:ascii="Times New Roman" w:hAnsi="Times New Roman" w:cs="Times New Roman"/>
          <w:sz w:val="24"/>
          <w:szCs w:val="24"/>
          <w:lang w:val="en-US"/>
        </w:rPr>
        <w:t xml:space="preserve">, R.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2012</w:t>
      </w:r>
      <w:r w:rsidR="00624F8F">
        <w:rPr>
          <w:rFonts w:ascii="Times New Roman" w:hAnsi="Times New Roman" w:cs="Times New Roman"/>
          <w:sz w:val="24"/>
          <w:szCs w:val="24"/>
          <w:lang w:val="en-US"/>
        </w:rPr>
        <w:t>)</w:t>
      </w:r>
      <w:r w:rsidR="00C75E04">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‘Banks, Sovereign Debt, and the International Transmission of Business C</w:t>
      </w:r>
      <w:r w:rsidRPr="00194EC8">
        <w:rPr>
          <w:rFonts w:ascii="Times New Roman" w:hAnsi="Times New Roman" w:cs="Times New Roman"/>
          <w:sz w:val="24"/>
          <w:szCs w:val="24"/>
          <w:lang w:val="en-US"/>
        </w:rPr>
        <w:t>ycles</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i</w:t>
      </w:r>
      <w:r w:rsidRPr="00194EC8">
        <w:rPr>
          <w:rFonts w:ascii="Times New Roman" w:hAnsi="Times New Roman" w:cs="Times New Roman"/>
          <w:sz w:val="24"/>
          <w:szCs w:val="24"/>
          <w:lang w:val="en-US"/>
        </w:rPr>
        <w:t>n</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NBER International Seminar on Macroeconomics 2012</w:t>
      </w:r>
      <w:r w:rsidR="00624F8F">
        <w:rPr>
          <w:rFonts w:ascii="Times New Roman" w:hAnsi="Times New Roman" w:cs="Times New Roman"/>
          <w:sz w:val="24"/>
          <w:szCs w:val="24"/>
          <w:lang w:val="en-US"/>
        </w:rPr>
        <w:t xml:space="preserve">, </w:t>
      </w:r>
      <w:proofErr w:type="spellStart"/>
      <w:r w:rsidR="00624F8F">
        <w:rPr>
          <w:rFonts w:ascii="Times New Roman" w:hAnsi="Times New Roman" w:cs="Times New Roman"/>
          <w:sz w:val="24"/>
          <w:szCs w:val="24"/>
          <w:lang w:val="en-US"/>
        </w:rPr>
        <w:t>Giavazzi</w:t>
      </w:r>
      <w:proofErr w:type="spellEnd"/>
      <w:r w:rsidR="00624F8F">
        <w:rPr>
          <w:rFonts w:ascii="Times New Roman" w:hAnsi="Times New Roman" w:cs="Times New Roman"/>
          <w:sz w:val="24"/>
          <w:szCs w:val="24"/>
          <w:lang w:val="en-US"/>
        </w:rPr>
        <w:t>, F. and</w:t>
      </w:r>
      <w:r w:rsidRPr="00194EC8">
        <w:rPr>
          <w:rFonts w:ascii="Times New Roman" w:hAnsi="Times New Roman" w:cs="Times New Roman"/>
          <w:sz w:val="24"/>
          <w:szCs w:val="24"/>
          <w:lang w:val="en-US"/>
        </w:rPr>
        <w:t xml:space="preserve"> West, K.D. (Eds.),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181-213, Chicago: University of Chicago Press.</w:t>
      </w:r>
    </w:p>
    <w:p w:rsidR="001274A9" w:rsidRPr="00194EC8" w:rsidRDefault="001274A9" w:rsidP="001274A9">
      <w:pPr>
        <w:spacing w:line="480" w:lineRule="auto"/>
        <w:ind w:left="851" w:hanging="851"/>
        <w:jc w:val="both"/>
        <w:rPr>
          <w:rFonts w:ascii="Times New Roman" w:hAnsi="Times New Roman" w:cs="Times New Roman"/>
          <w:sz w:val="24"/>
          <w:szCs w:val="24"/>
          <w:lang w:val="en-US"/>
        </w:rPr>
      </w:pPr>
      <w:r w:rsidRPr="00194EC8">
        <w:rPr>
          <w:rFonts w:ascii="Times New Roman" w:hAnsi="Times New Roman" w:cs="Times New Roman"/>
          <w:sz w:val="24"/>
          <w:szCs w:val="24"/>
          <w:lang w:val="en-US"/>
        </w:rPr>
        <w:lastRenderedPageBreak/>
        <w:t xml:space="preserve">Harvey, C.R.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1988</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“The Real Term Structure and Consumption G</w:t>
      </w:r>
      <w:r w:rsidRPr="00194EC8">
        <w:rPr>
          <w:rFonts w:ascii="Times New Roman" w:hAnsi="Times New Roman" w:cs="Times New Roman"/>
          <w:sz w:val="24"/>
          <w:szCs w:val="24"/>
          <w:lang w:val="en-US"/>
        </w:rPr>
        <w:t>rowth</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Journal of Financial Economics</w:t>
      </w:r>
      <w:r w:rsidR="00C75E04">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22,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305-</w:t>
      </w:r>
      <w:r w:rsidR="00194EC8">
        <w:rPr>
          <w:rFonts w:ascii="Times New Roman" w:hAnsi="Times New Roman" w:cs="Times New Roman"/>
          <w:sz w:val="24"/>
          <w:szCs w:val="24"/>
          <w:lang w:val="en-US"/>
        </w:rPr>
        <w:t>3</w:t>
      </w:r>
      <w:r w:rsidRPr="00194EC8">
        <w:rPr>
          <w:rFonts w:ascii="Times New Roman" w:hAnsi="Times New Roman" w:cs="Times New Roman"/>
          <w:sz w:val="24"/>
          <w:szCs w:val="24"/>
          <w:lang w:val="en-US"/>
        </w:rPr>
        <w:t>33.</w:t>
      </w:r>
    </w:p>
    <w:p w:rsidR="001274A9" w:rsidRDefault="001274A9" w:rsidP="001274A9">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Hu</w:t>
      </w:r>
      <w:proofErr w:type="spellEnd"/>
      <w:r w:rsidRPr="00194EC8">
        <w:rPr>
          <w:rFonts w:ascii="Times New Roman" w:hAnsi="Times New Roman" w:cs="Times New Roman"/>
          <w:sz w:val="24"/>
          <w:szCs w:val="24"/>
          <w:lang w:val="en-US"/>
        </w:rPr>
        <w:t xml:space="preserve">, Z.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1993</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‘The Yield C</w:t>
      </w:r>
      <w:r w:rsidRPr="00194EC8">
        <w:rPr>
          <w:rFonts w:ascii="Times New Roman" w:hAnsi="Times New Roman" w:cs="Times New Roman"/>
          <w:sz w:val="24"/>
          <w:szCs w:val="24"/>
          <w:lang w:val="en-US"/>
        </w:rPr>
        <w:t>urve</w:t>
      </w:r>
      <w:r w:rsidR="00C75E04">
        <w:rPr>
          <w:rFonts w:ascii="Times New Roman" w:hAnsi="Times New Roman" w:cs="Times New Roman"/>
          <w:sz w:val="24"/>
          <w:szCs w:val="24"/>
          <w:lang w:val="en-US"/>
        </w:rPr>
        <w:t xml:space="preserve"> and Real Economic A</w:t>
      </w:r>
      <w:r w:rsidRPr="00194EC8">
        <w:rPr>
          <w:rFonts w:ascii="Times New Roman" w:hAnsi="Times New Roman" w:cs="Times New Roman"/>
          <w:sz w:val="24"/>
          <w:szCs w:val="24"/>
          <w:lang w:val="en-US"/>
        </w:rPr>
        <w:t>ctivity</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IMF Staff Papers</w:t>
      </w:r>
      <w:r w:rsidR="00C75E04">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40,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781-806.</w:t>
      </w:r>
    </w:p>
    <w:p w:rsidR="00890F2D" w:rsidRDefault="00D64C90" w:rsidP="00E24DA5">
      <w:pPr>
        <w:spacing w:line="480" w:lineRule="auto"/>
        <w:ind w:left="851" w:hanging="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K.S., </w:t>
      </w:r>
      <w:proofErr w:type="spellStart"/>
      <w:r>
        <w:rPr>
          <w:rFonts w:ascii="Times New Roman" w:hAnsi="Times New Roman" w:cs="Times New Roman"/>
          <w:sz w:val="24"/>
          <w:szCs w:val="24"/>
          <w:lang w:val="en-US"/>
        </w:rPr>
        <w:t>Pesaran</w:t>
      </w:r>
      <w:proofErr w:type="spellEnd"/>
      <w:r>
        <w:rPr>
          <w:rFonts w:ascii="Times New Roman" w:hAnsi="Times New Roman" w:cs="Times New Roman"/>
          <w:sz w:val="24"/>
          <w:szCs w:val="24"/>
          <w:lang w:val="en-US"/>
        </w:rPr>
        <w:t>, H., Shin, Y. and Smith, R.J. (2003).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‘Testing for Unit Root in </w:t>
      </w:r>
      <w:proofErr w:type="spellStart"/>
      <w:r>
        <w:rPr>
          <w:rFonts w:ascii="Times New Roman" w:hAnsi="Times New Roman" w:cs="Times New Roman"/>
          <w:sz w:val="24"/>
          <w:szCs w:val="24"/>
          <w:lang w:val="en-US"/>
        </w:rPr>
        <w:t>HeterogeneousPanels</w:t>
      </w:r>
      <w:proofErr w:type="spellEnd"/>
      <w:r>
        <w:rPr>
          <w:rFonts w:ascii="Times New Roman" w:hAnsi="Times New Roman" w:cs="Times New Roman"/>
          <w:sz w:val="24"/>
          <w:szCs w:val="24"/>
          <w:lang w:val="en-US"/>
        </w:rPr>
        <w:t xml:space="preserve">’, </w:t>
      </w:r>
      <w:r w:rsidRPr="00D64C90">
        <w:rPr>
          <w:rFonts w:ascii="Times New Roman" w:hAnsi="Times New Roman" w:cs="Times New Roman"/>
          <w:i/>
          <w:sz w:val="24"/>
          <w:szCs w:val="24"/>
          <w:lang w:val="en-US"/>
        </w:rPr>
        <w:t>Journal of Econometrics</w:t>
      </w:r>
      <w:r>
        <w:rPr>
          <w:rFonts w:ascii="Times New Roman" w:hAnsi="Times New Roman" w:cs="Times New Roman"/>
          <w:sz w:val="24"/>
          <w:szCs w:val="24"/>
          <w:lang w:val="en-US"/>
        </w:rPr>
        <w:t>, Vol. 115, pp. 53-74.</w:t>
      </w:r>
      <w:proofErr w:type="gramEnd"/>
      <w:r>
        <w:rPr>
          <w:rFonts w:ascii="Times New Roman" w:hAnsi="Times New Roman" w:cs="Times New Roman"/>
          <w:sz w:val="24"/>
          <w:szCs w:val="24"/>
          <w:lang w:val="en-US"/>
        </w:rPr>
        <w:t xml:space="preserve"> </w:t>
      </w:r>
    </w:p>
    <w:p w:rsidR="00916F1E"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Jappelli</w:t>
      </w:r>
      <w:proofErr w:type="spellEnd"/>
      <w:r w:rsidRPr="00194EC8">
        <w:rPr>
          <w:rFonts w:ascii="Times New Roman" w:hAnsi="Times New Roman" w:cs="Times New Roman"/>
          <w:sz w:val="24"/>
          <w:szCs w:val="24"/>
          <w:lang w:val="en-US"/>
        </w:rPr>
        <w:t>, T.</w:t>
      </w:r>
      <w:r w:rsidR="00624F8F">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916F1E" w:rsidRPr="00194EC8">
        <w:rPr>
          <w:rFonts w:ascii="Times New Roman" w:hAnsi="Times New Roman" w:cs="Times New Roman"/>
          <w:sz w:val="24"/>
          <w:szCs w:val="24"/>
          <w:lang w:val="en-US"/>
        </w:rPr>
        <w:t>Pistaferri</w:t>
      </w:r>
      <w:proofErr w:type="spellEnd"/>
      <w:r w:rsidR="00916F1E" w:rsidRPr="00194EC8">
        <w:rPr>
          <w:rFonts w:ascii="Times New Roman" w:hAnsi="Times New Roman" w:cs="Times New Roman"/>
          <w:sz w:val="24"/>
          <w:szCs w:val="24"/>
          <w:lang w:val="en-US"/>
        </w:rPr>
        <w:t xml:space="preserve">, L. </w:t>
      </w:r>
      <w:r w:rsidR="00624F8F">
        <w:rPr>
          <w:rFonts w:ascii="Times New Roman" w:hAnsi="Times New Roman" w:cs="Times New Roman"/>
          <w:sz w:val="24"/>
          <w:szCs w:val="24"/>
          <w:lang w:val="en-US"/>
        </w:rPr>
        <w:t>(</w:t>
      </w:r>
      <w:r w:rsidR="00916F1E" w:rsidRPr="00194EC8">
        <w:rPr>
          <w:rFonts w:ascii="Times New Roman" w:hAnsi="Times New Roman" w:cs="Times New Roman"/>
          <w:sz w:val="24"/>
          <w:szCs w:val="24"/>
          <w:lang w:val="en-US"/>
        </w:rPr>
        <w:t>2010</w:t>
      </w:r>
      <w:r w:rsidR="00C75E04">
        <w:rPr>
          <w:rFonts w:ascii="Times New Roman" w:hAnsi="Times New Roman" w:cs="Times New Roman"/>
          <w:sz w:val="24"/>
          <w:szCs w:val="24"/>
          <w:lang w:val="en-US"/>
        </w:rPr>
        <w:t>).</w:t>
      </w:r>
      <w:proofErr w:type="gramEnd"/>
      <w:r w:rsidR="00916F1E"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‘The Consumption Response to Income C</w:t>
      </w:r>
      <w:r w:rsidR="00916F1E" w:rsidRPr="00194EC8">
        <w:rPr>
          <w:rFonts w:ascii="Times New Roman" w:hAnsi="Times New Roman" w:cs="Times New Roman"/>
          <w:sz w:val="24"/>
          <w:szCs w:val="24"/>
          <w:lang w:val="en-US"/>
        </w:rPr>
        <w:t>hanges</w:t>
      </w:r>
      <w:r w:rsidR="00C75E04">
        <w:rPr>
          <w:rFonts w:ascii="Times New Roman" w:hAnsi="Times New Roman" w:cs="Times New Roman"/>
          <w:sz w:val="24"/>
          <w:szCs w:val="24"/>
          <w:lang w:val="en-US"/>
        </w:rPr>
        <w:t>’,</w:t>
      </w:r>
      <w:r w:rsidR="00916F1E" w:rsidRPr="00194EC8">
        <w:rPr>
          <w:rFonts w:ascii="Times New Roman" w:hAnsi="Times New Roman" w:cs="Times New Roman"/>
          <w:sz w:val="24"/>
          <w:szCs w:val="24"/>
          <w:lang w:val="en-US"/>
        </w:rPr>
        <w:t xml:space="preserve"> </w:t>
      </w:r>
      <w:r w:rsidR="00916F1E" w:rsidRPr="00624F8F">
        <w:rPr>
          <w:rFonts w:ascii="Times New Roman" w:hAnsi="Times New Roman" w:cs="Times New Roman"/>
          <w:i/>
          <w:sz w:val="24"/>
          <w:szCs w:val="24"/>
          <w:lang w:val="en-US"/>
        </w:rPr>
        <w:t>Annual Review of Economics</w:t>
      </w:r>
      <w:r w:rsidR="00C75E04">
        <w:rPr>
          <w:rFonts w:ascii="Times New Roman" w:hAnsi="Times New Roman" w:cs="Times New Roman"/>
          <w:i/>
          <w:sz w:val="24"/>
          <w:szCs w:val="24"/>
          <w:lang w:val="en-US"/>
        </w:rPr>
        <w:t>,</w:t>
      </w:r>
      <w:r w:rsidR="00916F1E"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00916F1E" w:rsidRPr="00194EC8">
        <w:rPr>
          <w:rFonts w:ascii="Times New Roman" w:hAnsi="Times New Roman" w:cs="Times New Roman"/>
          <w:sz w:val="24"/>
          <w:szCs w:val="24"/>
          <w:lang w:val="en-US"/>
        </w:rPr>
        <w:t xml:space="preserve">2, </w:t>
      </w:r>
      <w:r w:rsidR="00C75E04">
        <w:rPr>
          <w:rFonts w:ascii="Times New Roman" w:hAnsi="Times New Roman" w:cs="Times New Roman"/>
          <w:sz w:val="24"/>
          <w:szCs w:val="24"/>
          <w:lang w:val="en-US"/>
        </w:rPr>
        <w:t xml:space="preserve">pp. </w:t>
      </w:r>
      <w:r w:rsidR="00916F1E" w:rsidRPr="00194EC8">
        <w:rPr>
          <w:rFonts w:ascii="Times New Roman" w:hAnsi="Times New Roman" w:cs="Times New Roman"/>
          <w:sz w:val="24"/>
          <w:szCs w:val="24"/>
          <w:lang w:val="en-US"/>
        </w:rPr>
        <w:t>479-506.</w:t>
      </w:r>
    </w:p>
    <w:p w:rsidR="00EB185E" w:rsidRPr="00194EC8" w:rsidRDefault="00EB185E" w:rsidP="00E24DA5">
      <w:pPr>
        <w:spacing w:line="480" w:lineRule="auto"/>
        <w:ind w:left="851" w:hanging="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Jappelli</w:t>
      </w:r>
      <w:proofErr w:type="spellEnd"/>
      <w:r>
        <w:rPr>
          <w:rFonts w:ascii="Times New Roman" w:hAnsi="Times New Roman" w:cs="Times New Roman"/>
          <w:sz w:val="24"/>
          <w:szCs w:val="24"/>
          <w:lang w:val="en-US"/>
        </w:rPr>
        <w:t xml:space="preserve">, T. and </w:t>
      </w:r>
      <w:proofErr w:type="spellStart"/>
      <w:r>
        <w:rPr>
          <w:rFonts w:ascii="Times New Roman" w:hAnsi="Times New Roman" w:cs="Times New Roman"/>
          <w:sz w:val="24"/>
          <w:szCs w:val="24"/>
          <w:lang w:val="en-US"/>
        </w:rPr>
        <w:t>Pagano</w:t>
      </w:r>
      <w:proofErr w:type="spellEnd"/>
      <w:r>
        <w:rPr>
          <w:rFonts w:ascii="Times New Roman" w:hAnsi="Times New Roman" w:cs="Times New Roman"/>
          <w:sz w:val="24"/>
          <w:szCs w:val="24"/>
          <w:lang w:val="en-US"/>
        </w:rPr>
        <w:t>, M. (1994).</w:t>
      </w:r>
      <w:proofErr w:type="gramEnd"/>
      <w:r>
        <w:rPr>
          <w:rFonts w:ascii="Times New Roman" w:hAnsi="Times New Roman" w:cs="Times New Roman"/>
          <w:sz w:val="24"/>
          <w:szCs w:val="24"/>
          <w:lang w:val="en-US"/>
        </w:rPr>
        <w:t xml:space="preserve"> ‘Saving, Growth, and Liquidity Constraints’, </w:t>
      </w:r>
      <w:r w:rsidRPr="00EB185E">
        <w:rPr>
          <w:rFonts w:ascii="Times New Roman" w:hAnsi="Times New Roman" w:cs="Times New Roman"/>
          <w:i/>
          <w:sz w:val="24"/>
          <w:szCs w:val="24"/>
          <w:lang w:val="en-US"/>
        </w:rPr>
        <w:t>Quarterly Journal of Economics</w:t>
      </w:r>
      <w:r>
        <w:rPr>
          <w:rFonts w:ascii="Times New Roman" w:hAnsi="Times New Roman" w:cs="Times New Roman"/>
          <w:sz w:val="24"/>
          <w:szCs w:val="24"/>
          <w:lang w:val="en-US"/>
        </w:rPr>
        <w:t>, Vol. 109, pp. 83-109.</w:t>
      </w:r>
    </w:p>
    <w:p w:rsidR="005B6F52" w:rsidRPr="00194EC8" w:rsidRDefault="005B6F52" w:rsidP="005B6F52">
      <w:pPr>
        <w:spacing w:line="480" w:lineRule="auto"/>
        <w:ind w:left="851" w:hanging="851"/>
        <w:jc w:val="both"/>
        <w:rPr>
          <w:rFonts w:ascii="Times New Roman" w:hAnsi="Times New Roman" w:cs="Times New Roman"/>
          <w:sz w:val="24"/>
          <w:szCs w:val="24"/>
          <w:lang w:val="en-US"/>
        </w:rPr>
      </w:pPr>
      <w:r w:rsidRPr="00194EC8">
        <w:rPr>
          <w:rFonts w:ascii="Times New Roman" w:hAnsi="Times New Roman" w:cs="Times New Roman"/>
          <w:sz w:val="24"/>
          <w:szCs w:val="24"/>
          <w:lang w:val="en-US"/>
        </w:rPr>
        <w:t xml:space="preserve">Johnson, K.W.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2007</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‘The Transactions Demand for Credit Cards’,</w:t>
      </w:r>
      <w:r w:rsidRPr="00194EC8">
        <w:rPr>
          <w:rFonts w:ascii="Times New Roman" w:hAnsi="Times New Roman" w:cs="Times New Roman"/>
          <w:sz w:val="24"/>
          <w:szCs w:val="24"/>
          <w:lang w:val="en-US"/>
        </w:rPr>
        <w:t xml:space="preserve"> </w:t>
      </w:r>
      <w:r w:rsidRPr="00624F8F">
        <w:rPr>
          <w:rFonts w:ascii="Times New Roman" w:hAnsi="Times New Roman" w:cs="Times New Roman"/>
          <w:i/>
          <w:sz w:val="24"/>
          <w:szCs w:val="24"/>
          <w:lang w:val="en-US"/>
        </w:rPr>
        <w:t>The B.E. Journal of Economic Analysis and Policy</w:t>
      </w:r>
      <w:r w:rsidR="00C75E04">
        <w:rPr>
          <w:rFonts w:ascii="Times New Roman" w:hAnsi="Times New Roman" w:cs="Times New Roman"/>
          <w:i/>
          <w:sz w:val="24"/>
          <w:szCs w:val="24"/>
          <w:lang w:val="en-US"/>
        </w:rPr>
        <w:t>,</w:t>
      </w:r>
      <w:r w:rsidR="00C75E04" w:rsidRPr="00C75E04">
        <w:rPr>
          <w:rFonts w:ascii="Times New Roman" w:hAnsi="Times New Roman" w:cs="Times New Roman"/>
          <w:sz w:val="24"/>
          <w:szCs w:val="24"/>
          <w:lang w:val="en-US"/>
        </w:rPr>
        <w:t xml:space="preserve"> Vol.</w:t>
      </w:r>
      <w:r w:rsidRPr="00194EC8">
        <w:rPr>
          <w:rFonts w:ascii="Times New Roman" w:hAnsi="Times New Roman" w:cs="Times New Roman"/>
          <w:sz w:val="24"/>
          <w:szCs w:val="24"/>
          <w:lang w:val="en-US"/>
        </w:rPr>
        <w:t xml:space="preserve"> 7, Article 16.</w:t>
      </w:r>
    </w:p>
    <w:p w:rsidR="00C32468" w:rsidRPr="00194EC8" w:rsidRDefault="00C32468" w:rsidP="00C32468">
      <w:pPr>
        <w:spacing w:line="480" w:lineRule="auto"/>
        <w:ind w:left="851" w:hanging="851"/>
        <w:jc w:val="both"/>
        <w:rPr>
          <w:rFonts w:ascii="Times New Roman" w:hAnsi="Times New Roman" w:cs="Times New Roman"/>
          <w:sz w:val="24"/>
          <w:szCs w:val="24"/>
          <w:lang w:val="en-US"/>
        </w:rPr>
      </w:pPr>
      <w:r w:rsidRPr="00194EC8">
        <w:rPr>
          <w:rFonts w:ascii="Times New Roman" w:hAnsi="Times New Roman" w:cs="Times New Roman"/>
          <w:sz w:val="24"/>
          <w:szCs w:val="24"/>
          <w:lang w:val="en-US"/>
        </w:rPr>
        <w:t xml:space="preserve">Johnson, K.W. </w:t>
      </w:r>
      <w:r w:rsidR="00624F8F">
        <w:rPr>
          <w:rFonts w:ascii="Times New Roman" w:hAnsi="Times New Roman" w:cs="Times New Roman"/>
          <w:sz w:val="24"/>
          <w:szCs w:val="24"/>
          <w:lang w:val="en-US"/>
        </w:rPr>
        <w:t>(</w:t>
      </w:r>
      <w:r w:rsidRPr="00194EC8">
        <w:rPr>
          <w:rFonts w:ascii="Times New Roman" w:hAnsi="Times New Roman" w:cs="Times New Roman"/>
          <w:sz w:val="24"/>
          <w:szCs w:val="24"/>
          <w:lang w:val="en-US"/>
        </w:rPr>
        <w:t>200</w:t>
      </w:r>
      <w:r w:rsidR="002C75AC">
        <w:rPr>
          <w:rFonts w:ascii="Times New Roman" w:hAnsi="Times New Roman" w:cs="Times New Roman"/>
          <w:sz w:val="24"/>
          <w:szCs w:val="24"/>
          <w:lang w:val="en-US"/>
        </w:rPr>
        <w:t>5</w:t>
      </w:r>
      <w:r w:rsidR="00D2492A" w:rsidRPr="00194EC8">
        <w:rPr>
          <w:rFonts w:ascii="Times New Roman" w:hAnsi="Times New Roman" w:cs="Times New Roman"/>
          <w:sz w:val="24"/>
          <w:szCs w:val="24"/>
          <w:lang w:val="en-US"/>
        </w:rPr>
        <w:t>)</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‘Recent Developments in the Credit Card Market and the Financial Obligations R</w:t>
      </w:r>
      <w:r w:rsidRPr="00194EC8">
        <w:rPr>
          <w:rFonts w:ascii="Times New Roman" w:hAnsi="Times New Roman" w:cs="Times New Roman"/>
          <w:sz w:val="24"/>
          <w:szCs w:val="24"/>
          <w:lang w:val="en-US"/>
        </w:rPr>
        <w:t>atio</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Federal Reserve Bulletin</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473-</w:t>
      </w:r>
      <w:r w:rsidR="00194EC8">
        <w:rPr>
          <w:rFonts w:ascii="Times New Roman" w:hAnsi="Times New Roman" w:cs="Times New Roman"/>
          <w:sz w:val="24"/>
          <w:szCs w:val="24"/>
          <w:lang w:val="en-US"/>
        </w:rPr>
        <w:t>4</w:t>
      </w:r>
      <w:r w:rsidRPr="00194EC8">
        <w:rPr>
          <w:rFonts w:ascii="Times New Roman" w:hAnsi="Times New Roman" w:cs="Times New Roman"/>
          <w:sz w:val="24"/>
          <w:szCs w:val="24"/>
          <w:lang w:val="en-US"/>
        </w:rPr>
        <w:t>86.</w:t>
      </w:r>
    </w:p>
    <w:p w:rsidR="00956A1F" w:rsidRPr="00194EC8" w:rsidRDefault="00956A1F" w:rsidP="00956A1F">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Jordà</w:t>
      </w:r>
      <w:proofErr w:type="spellEnd"/>
      <w:r w:rsidRPr="00194EC8">
        <w:rPr>
          <w:rFonts w:ascii="Times New Roman" w:hAnsi="Times New Roman" w:cs="Times New Roman"/>
          <w:sz w:val="24"/>
          <w:szCs w:val="24"/>
          <w:lang w:val="en-US"/>
        </w:rPr>
        <w:t xml:space="preserve">, </w:t>
      </w:r>
      <w:proofErr w:type="gramStart"/>
      <w:r w:rsidRPr="00194EC8">
        <w:rPr>
          <w:rFonts w:ascii="Times New Roman" w:hAnsi="Times New Roman" w:cs="Times New Roman"/>
          <w:sz w:val="24"/>
          <w:szCs w:val="24"/>
          <w:lang w:val="en-US"/>
        </w:rPr>
        <w:t>Ò.</w:t>
      </w:r>
      <w:r w:rsidR="00A174E4" w:rsidRPr="00194EC8">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Schularick</w:t>
      </w:r>
      <w:proofErr w:type="spellEnd"/>
      <w:r w:rsidR="00A174E4" w:rsidRPr="00194EC8">
        <w:rPr>
          <w:rFonts w:ascii="Times New Roman" w:hAnsi="Times New Roman" w:cs="Times New Roman"/>
          <w:sz w:val="24"/>
          <w:szCs w:val="24"/>
          <w:lang w:val="en-US"/>
        </w:rPr>
        <w:t>, M.</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Taylor, A.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2013</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proofErr w:type="gramStart"/>
      <w:r w:rsidR="00C75E04">
        <w:rPr>
          <w:rFonts w:ascii="Times New Roman" w:hAnsi="Times New Roman" w:cs="Times New Roman"/>
          <w:sz w:val="24"/>
          <w:szCs w:val="24"/>
          <w:lang w:val="en-US"/>
        </w:rPr>
        <w:t>‘When Credit Bites B</w:t>
      </w:r>
      <w:r w:rsidRPr="00194EC8">
        <w:rPr>
          <w:rFonts w:ascii="Times New Roman" w:hAnsi="Times New Roman" w:cs="Times New Roman"/>
          <w:sz w:val="24"/>
          <w:szCs w:val="24"/>
          <w:lang w:val="en-US"/>
        </w:rPr>
        <w:t>ack</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Journal of Money, Credit and Banking</w:t>
      </w:r>
      <w:r w:rsidR="00C75E04">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45,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3-28.</w:t>
      </w:r>
      <w:proofErr w:type="gramEnd"/>
    </w:p>
    <w:p w:rsidR="00956A1F" w:rsidRPr="00194EC8" w:rsidRDefault="00956A1F" w:rsidP="00956A1F">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Jordà</w:t>
      </w:r>
      <w:proofErr w:type="spellEnd"/>
      <w:r w:rsidRPr="00194EC8">
        <w:rPr>
          <w:rFonts w:ascii="Times New Roman" w:hAnsi="Times New Roman" w:cs="Times New Roman"/>
          <w:sz w:val="24"/>
          <w:szCs w:val="24"/>
          <w:lang w:val="en-US"/>
        </w:rPr>
        <w:t xml:space="preserve">, </w:t>
      </w:r>
      <w:proofErr w:type="gramStart"/>
      <w:r w:rsidRPr="00194EC8">
        <w:rPr>
          <w:rFonts w:ascii="Times New Roman" w:hAnsi="Times New Roman" w:cs="Times New Roman"/>
          <w:sz w:val="24"/>
          <w:szCs w:val="24"/>
          <w:lang w:val="en-US"/>
        </w:rPr>
        <w:t>Ò.,</w:t>
      </w:r>
      <w:proofErr w:type="gramEnd"/>
      <w:r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Schularick</w:t>
      </w:r>
      <w:proofErr w:type="spellEnd"/>
      <w:r w:rsidR="00A174E4" w:rsidRPr="00194EC8">
        <w:rPr>
          <w:rFonts w:ascii="Times New Roman" w:hAnsi="Times New Roman" w:cs="Times New Roman"/>
          <w:sz w:val="24"/>
          <w:szCs w:val="24"/>
          <w:lang w:val="en-US"/>
        </w:rPr>
        <w:t>, M.</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Taylor, A.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2015</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‘Betting the H</w:t>
      </w:r>
      <w:r w:rsidRPr="00194EC8">
        <w:rPr>
          <w:rFonts w:ascii="Times New Roman" w:hAnsi="Times New Roman" w:cs="Times New Roman"/>
          <w:sz w:val="24"/>
          <w:szCs w:val="24"/>
          <w:lang w:val="en-US"/>
        </w:rPr>
        <w:t>ouse</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Journal of International Economics</w:t>
      </w:r>
      <w:r w:rsidR="00C75E04">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96,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S2-S18.</w:t>
      </w:r>
    </w:p>
    <w:p w:rsidR="00956A1F" w:rsidRPr="00194EC8" w:rsidRDefault="00956A1F" w:rsidP="00956A1F">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Jordà</w:t>
      </w:r>
      <w:proofErr w:type="spellEnd"/>
      <w:r w:rsidRPr="00194EC8">
        <w:rPr>
          <w:rFonts w:ascii="Times New Roman" w:hAnsi="Times New Roman" w:cs="Times New Roman"/>
          <w:sz w:val="24"/>
          <w:szCs w:val="24"/>
          <w:lang w:val="en-US"/>
        </w:rPr>
        <w:t xml:space="preserve">, </w:t>
      </w:r>
      <w:proofErr w:type="gramStart"/>
      <w:r w:rsidRPr="00194EC8">
        <w:rPr>
          <w:rFonts w:ascii="Times New Roman" w:hAnsi="Times New Roman" w:cs="Times New Roman"/>
          <w:sz w:val="24"/>
          <w:szCs w:val="24"/>
          <w:lang w:val="en-US"/>
        </w:rPr>
        <w:t>Ò.,</w:t>
      </w:r>
      <w:proofErr w:type="gramEnd"/>
      <w:r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Schularick</w:t>
      </w:r>
      <w:proofErr w:type="spellEnd"/>
      <w:r w:rsidR="00A174E4" w:rsidRPr="00194EC8">
        <w:rPr>
          <w:rFonts w:ascii="Times New Roman" w:hAnsi="Times New Roman" w:cs="Times New Roman"/>
          <w:sz w:val="24"/>
          <w:szCs w:val="24"/>
          <w:lang w:val="en-US"/>
        </w:rPr>
        <w:t>, M.</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Taylor, A.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2016</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‘The Great Mortgaging: Housing F</w:t>
      </w:r>
      <w:r w:rsidRPr="00194EC8">
        <w:rPr>
          <w:rFonts w:ascii="Times New Roman" w:hAnsi="Times New Roman" w:cs="Times New Roman"/>
          <w:sz w:val="24"/>
          <w:szCs w:val="24"/>
          <w:lang w:val="en-US"/>
        </w:rPr>
        <w:t>ina</w:t>
      </w:r>
      <w:r w:rsidR="00C75E04">
        <w:rPr>
          <w:rFonts w:ascii="Times New Roman" w:hAnsi="Times New Roman" w:cs="Times New Roman"/>
          <w:sz w:val="24"/>
          <w:szCs w:val="24"/>
          <w:lang w:val="en-US"/>
        </w:rPr>
        <w:t>nce, Crises and Business C</w:t>
      </w:r>
      <w:r w:rsidRPr="00194EC8">
        <w:rPr>
          <w:rFonts w:ascii="Times New Roman" w:hAnsi="Times New Roman" w:cs="Times New Roman"/>
          <w:sz w:val="24"/>
          <w:szCs w:val="24"/>
          <w:lang w:val="en-US"/>
        </w:rPr>
        <w:t>ycles</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Economic Policy</w:t>
      </w:r>
      <w:r w:rsidR="00C75E04">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31,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107-</w:t>
      </w:r>
      <w:r w:rsidR="00194EC8">
        <w:rPr>
          <w:rFonts w:ascii="Times New Roman" w:hAnsi="Times New Roman" w:cs="Times New Roman"/>
          <w:sz w:val="24"/>
          <w:szCs w:val="24"/>
          <w:lang w:val="en-US"/>
        </w:rPr>
        <w:t>1</w:t>
      </w:r>
      <w:r w:rsidRPr="00194EC8">
        <w:rPr>
          <w:rFonts w:ascii="Times New Roman" w:hAnsi="Times New Roman" w:cs="Times New Roman"/>
          <w:sz w:val="24"/>
          <w:szCs w:val="24"/>
          <w:lang w:val="en-US"/>
        </w:rPr>
        <w:t>52.</w:t>
      </w:r>
    </w:p>
    <w:p w:rsidR="00B92B64"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lastRenderedPageBreak/>
        <w:t>Juselius</w:t>
      </w:r>
      <w:proofErr w:type="spellEnd"/>
      <w:r w:rsidRPr="00194EC8">
        <w:rPr>
          <w:rFonts w:ascii="Times New Roman" w:hAnsi="Times New Roman" w:cs="Times New Roman"/>
          <w:sz w:val="24"/>
          <w:szCs w:val="24"/>
          <w:lang w:val="en-US"/>
        </w:rPr>
        <w:t>, M.</w:t>
      </w:r>
      <w:r w:rsidR="002C75AC">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B92B64" w:rsidRPr="00194EC8">
        <w:rPr>
          <w:rFonts w:ascii="Times New Roman" w:hAnsi="Times New Roman" w:cs="Times New Roman"/>
          <w:sz w:val="24"/>
          <w:szCs w:val="24"/>
          <w:lang w:val="en-US"/>
        </w:rPr>
        <w:t>Drehmann</w:t>
      </w:r>
      <w:proofErr w:type="spellEnd"/>
      <w:r w:rsidR="00B92B64" w:rsidRPr="00194EC8">
        <w:rPr>
          <w:rFonts w:ascii="Times New Roman" w:hAnsi="Times New Roman" w:cs="Times New Roman"/>
          <w:sz w:val="24"/>
          <w:szCs w:val="24"/>
          <w:lang w:val="en-US"/>
        </w:rPr>
        <w:t xml:space="preserve">, M. </w:t>
      </w:r>
      <w:r w:rsidR="002C75AC">
        <w:rPr>
          <w:rFonts w:ascii="Times New Roman" w:hAnsi="Times New Roman" w:cs="Times New Roman"/>
          <w:sz w:val="24"/>
          <w:szCs w:val="24"/>
          <w:lang w:val="en-US"/>
        </w:rPr>
        <w:t>(</w:t>
      </w:r>
      <w:r w:rsidR="00B92B64" w:rsidRPr="00194EC8">
        <w:rPr>
          <w:rFonts w:ascii="Times New Roman" w:hAnsi="Times New Roman" w:cs="Times New Roman"/>
          <w:sz w:val="24"/>
          <w:szCs w:val="24"/>
          <w:lang w:val="en-US"/>
        </w:rPr>
        <w:t>2015</w:t>
      </w:r>
      <w:r w:rsidR="00C75E04">
        <w:rPr>
          <w:rFonts w:ascii="Times New Roman" w:hAnsi="Times New Roman" w:cs="Times New Roman"/>
          <w:sz w:val="24"/>
          <w:szCs w:val="24"/>
          <w:lang w:val="en-US"/>
        </w:rPr>
        <w:t>).</w:t>
      </w:r>
      <w:proofErr w:type="gramEnd"/>
      <w:r w:rsidR="00B92B64"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‘Leverage Dynamics and the Real Burden of D</w:t>
      </w:r>
      <w:r w:rsidR="00B92B64" w:rsidRPr="00194EC8">
        <w:rPr>
          <w:rFonts w:ascii="Times New Roman" w:hAnsi="Times New Roman" w:cs="Times New Roman"/>
          <w:sz w:val="24"/>
          <w:szCs w:val="24"/>
          <w:lang w:val="en-US"/>
        </w:rPr>
        <w:t>ebt</w:t>
      </w:r>
      <w:r w:rsidR="00C75E04">
        <w:rPr>
          <w:rFonts w:ascii="Times New Roman" w:hAnsi="Times New Roman" w:cs="Times New Roman"/>
          <w:sz w:val="24"/>
          <w:szCs w:val="24"/>
          <w:lang w:val="en-US"/>
        </w:rPr>
        <w:t>’,</w:t>
      </w:r>
      <w:r w:rsidR="00B92B64" w:rsidRPr="00194EC8">
        <w:rPr>
          <w:rFonts w:ascii="Times New Roman" w:hAnsi="Times New Roman" w:cs="Times New Roman"/>
          <w:sz w:val="24"/>
          <w:szCs w:val="24"/>
          <w:lang w:val="en-US"/>
        </w:rPr>
        <w:t xml:space="preserve"> Working Paper, No. 501, Geneva: Bank of International Settlements.</w:t>
      </w:r>
    </w:p>
    <w:p w:rsidR="00B46B09" w:rsidRPr="00194EC8" w:rsidRDefault="00B46B09" w:rsidP="00E24DA5">
      <w:pPr>
        <w:spacing w:line="480" w:lineRule="auto"/>
        <w:ind w:left="851" w:hanging="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Justiniano</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Primiceri</w:t>
      </w:r>
      <w:proofErr w:type="spellEnd"/>
      <w:r>
        <w:rPr>
          <w:rFonts w:ascii="Times New Roman" w:hAnsi="Times New Roman" w:cs="Times New Roman"/>
          <w:sz w:val="24"/>
          <w:szCs w:val="24"/>
          <w:lang w:val="en-US"/>
        </w:rPr>
        <w:t xml:space="preserve">, G.E. and </w:t>
      </w:r>
      <w:proofErr w:type="spellStart"/>
      <w:r>
        <w:rPr>
          <w:rFonts w:ascii="Times New Roman" w:hAnsi="Times New Roman" w:cs="Times New Roman"/>
          <w:sz w:val="24"/>
          <w:szCs w:val="24"/>
          <w:lang w:val="en-US"/>
        </w:rPr>
        <w:t>Tambalotti</w:t>
      </w:r>
      <w:proofErr w:type="spellEnd"/>
      <w:r>
        <w:rPr>
          <w:rFonts w:ascii="Times New Roman" w:hAnsi="Times New Roman" w:cs="Times New Roman"/>
          <w:sz w:val="24"/>
          <w:szCs w:val="24"/>
          <w:lang w:val="en-US"/>
        </w:rPr>
        <w:t>, A. (2014).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‘Credit Supply and the Housing Boom’, </w:t>
      </w:r>
      <w:r w:rsidR="004D2B69">
        <w:rPr>
          <w:rFonts w:ascii="Times New Roman" w:hAnsi="Times New Roman" w:cs="Times New Roman"/>
          <w:sz w:val="24"/>
          <w:szCs w:val="24"/>
          <w:lang w:val="en-US"/>
        </w:rPr>
        <w:t>Unpublished manuscript.</w:t>
      </w:r>
      <w:proofErr w:type="gramEnd"/>
    </w:p>
    <w:p w:rsidR="00916F1E" w:rsidRPr="00194EC8" w:rsidRDefault="00916F1E"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Kal</w:t>
      </w:r>
      <w:r w:rsidR="00A174E4" w:rsidRPr="00194EC8">
        <w:rPr>
          <w:rFonts w:ascii="Times New Roman" w:hAnsi="Times New Roman" w:cs="Times New Roman"/>
          <w:sz w:val="24"/>
          <w:szCs w:val="24"/>
          <w:lang w:val="en-US"/>
        </w:rPr>
        <w:t>emli-Ozcan</w:t>
      </w:r>
      <w:proofErr w:type="spellEnd"/>
      <w:r w:rsidR="00A174E4" w:rsidRPr="00194EC8">
        <w:rPr>
          <w:rFonts w:ascii="Times New Roman" w:hAnsi="Times New Roman" w:cs="Times New Roman"/>
          <w:sz w:val="24"/>
          <w:szCs w:val="24"/>
          <w:lang w:val="en-US"/>
        </w:rPr>
        <w:t xml:space="preserve">, S., </w:t>
      </w:r>
      <w:proofErr w:type="spellStart"/>
      <w:r w:rsidR="00A174E4" w:rsidRPr="00194EC8">
        <w:rPr>
          <w:rFonts w:ascii="Times New Roman" w:hAnsi="Times New Roman" w:cs="Times New Roman"/>
          <w:sz w:val="24"/>
          <w:szCs w:val="24"/>
          <w:lang w:val="en-US"/>
        </w:rPr>
        <w:t>Papaioannou</w:t>
      </w:r>
      <w:proofErr w:type="spellEnd"/>
      <w:r w:rsidR="00A174E4" w:rsidRPr="00194EC8">
        <w:rPr>
          <w:rFonts w:ascii="Times New Roman" w:hAnsi="Times New Roman" w:cs="Times New Roman"/>
          <w:sz w:val="24"/>
          <w:szCs w:val="24"/>
          <w:lang w:val="en-US"/>
        </w:rPr>
        <w:t>, E.</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Peydro</w:t>
      </w:r>
      <w:proofErr w:type="spellEnd"/>
      <w:r w:rsidRPr="00194EC8">
        <w:rPr>
          <w:rFonts w:ascii="Times New Roman" w:hAnsi="Times New Roman" w:cs="Times New Roman"/>
          <w:sz w:val="24"/>
          <w:szCs w:val="24"/>
          <w:lang w:val="en-US"/>
        </w:rPr>
        <w:t xml:space="preserve">, J.L.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2013</w:t>
      </w:r>
      <w:r w:rsidR="00C75E04">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‘Financial Regulation, Financial Globalization, and the S</w:t>
      </w:r>
      <w:r w:rsidRPr="00194EC8">
        <w:rPr>
          <w:rFonts w:ascii="Times New Roman" w:hAnsi="Times New Roman" w:cs="Times New Roman"/>
          <w:sz w:val="24"/>
          <w:szCs w:val="24"/>
          <w:lang w:val="en-US"/>
        </w:rPr>
        <w:t>ynchr</w:t>
      </w:r>
      <w:r w:rsidR="00C75E04">
        <w:rPr>
          <w:rFonts w:ascii="Times New Roman" w:hAnsi="Times New Roman" w:cs="Times New Roman"/>
          <w:sz w:val="24"/>
          <w:szCs w:val="24"/>
          <w:lang w:val="en-US"/>
        </w:rPr>
        <w:t>onization of Economic A</w:t>
      </w:r>
      <w:r w:rsidR="000C7558" w:rsidRPr="00194EC8">
        <w:rPr>
          <w:rFonts w:ascii="Times New Roman" w:hAnsi="Times New Roman" w:cs="Times New Roman"/>
          <w:sz w:val="24"/>
          <w:szCs w:val="24"/>
          <w:lang w:val="en-US"/>
        </w:rPr>
        <w:t>ctivity</w:t>
      </w:r>
      <w:r w:rsidR="00C75E04">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 xml:space="preserve"> </w:t>
      </w:r>
      <w:r w:rsidR="000C7558" w:rsidRPr="002C75AC">
        <w:rPr>
          <w:rFonts w:ascii="Times New Roman" w:hAnsi="Times New Roman" w:cs="Times New Roman"/>
          <w:i/>
          <w:sz w:val="24"/>
          <w:szCs w:val="24"/>
          <w:lang w:val="en-US"/>
        </w:rPr>
        <w:t>Journal of Finance</w:t>
      </w:r>
      <w:r w:rsidR="00C75E04">
        <w:rPr>
          <w:rFonts w:ascii="Times New Roman" w:hAnsi="Times New Roman" w:cs="Times New Roman"/>
          <w:i/>
          <w:sz w:val="24"/>
          <w:szCs w:val="24"/>
          <w:lang w:val="en-US"/>
        </w:rPr>
        <w:t>,</w:t>
      </w:r>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000C7558" w:rsidRPr="00194EC8">
        <w:rPr>
          <w:rFonts w:ascii="Times New Roman" w:hAnsi="Times New Roman" w:cs="Times New Roman"/>
          <w:sz w:val="24"/>
          <w:szCs w:val="24"/>
          <w:lang w:val="en-US"/>
        </w:rPr>
        <w:t xml:space="preserve">68, </w:t>
      </w:r>
      <w:r w:rsidR="00C75E04">
        <w:rPr>
          <w:rFonts w:ascii="Times New Roman" w:hAnsi="Times New Roman" w:cs="Times New Roman"/>
          <w:sz w:val="24"/>
          <w:szCs w:val="24"/>
          <w:lang w:val="en-US"/>
        </w:rPr>
        <w:t xml:space="preserve">pp. </w:t>
      </w:r>
      <w:r w:rsidR="000C7558" w:rsidRPr="00194EC8">
        <w:rPr>
          <w:rFonts w:ascii="Times New Roman" w:hAnsi="Times New Roman" w:cs="Times New Roman"/>
          <w:sz w:val="24"/>
          <w:szCs w:val="24"/>
          <w:lang w:val="en-US"/>
        </w:rPr>
        <w:t>1179-</w:t>
      </w:r>
      <w:r w:rsidR="00194EC8">
        <w:rPr>
          <w:rFonts w:ascii="Times New Roman" w:hAnsi="Times New Roman" w:cs="Times New Roman"/>
          <w:sz w:val="24"/>
          <w:szCs w:val="24"/>
          <w:lang w:val="en-US"/>
        </w:rPr>
        <w:t>1</w:t>
      </w:r>
      <w:r w:rsidR="000C7558" w:rsidRPr="00194EC8">
        <w:rPr>
          <w:rFonts w:ascii="Times New Roman" w:hAnsi="Times New Roman" w:cs="Times New Roman"/>
          <w:sz w:val="24"/>
          <w:szCs w:val="24"/>
          <w:lang w:val="en-US"/>
        </w:rPr>
        <w:t>228.</w:t>
      </w:r>
    </w:p>
    <w:p w:rsidR="000C7558" w:rsidRPr="00194EC8" w:rsidRDefault="00A174E4" w:rsidP="00E24DA5">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Kaplan, S.N.</w:t>
      </w:r>
      <w:r w:rsidR="002C75AC">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0C7558" w:rsidRPr="00194EC8">
        <w:rPr>
          <w:rFonts w:ascii="Times New Roman" w:hAnsi="Times New Roman" w:cs="Times New Roman"/>
          <w:sz w:val="24"/>
          <w:szCs w:val="24"/>
          <w:lang w:val="en-US"/>
        </w:rPr>
        <w:t>Zingales</w:t>
      </w:r>
      <w:proofErr w:type="spellEnd"/>
      <w:r w:rsidR="000C7558" w:rsidRPr="00194EC8">
        <w:rPr>
          <w:rFonts w:ascii="Times New Roman" w:hAnsi="Times New Roman" w:cs="Times New Roman"/>
          <w:sz w:val="24"/>
          <w:szCs w:val="24"/>
          <w:lang w:val="en-US"/>
        </w:rPr>
        <w:t xml:space="preserve">, L. </w:t>
      </w:r>
      <w:r w:rsidR="002C75AC">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2000</w:t>
      </w:r>
      <w:r w:rsidR="002C75AC">
        <w:rPr>
          <w:rFonts w:ascii="Times New Roman" w:hAnsi="Times New Roman" w:cs="Times New Roman"/>
          <w:sz w:val="24"/>
          <w:szCs w:val="24"/>
          <w:lang w:val="en-US"/>
        </w:rPr>
        <w:t>)</w:t>
      </w:r>
      <w:r w:rsidR="00C75E04">
        <w:rPr>
          <w:rFonts w:ascii="Times New Roman" w:hAnsi="Times New Roman" w:cs="Times New Roman"/>
          <w:sz w:val="24"/>
          <w:szCs w:val="24"/>
          <w:lang w:val="en-US"/>
        </w:rPr>
        <w:t>.</w:t>
      </w:r>
      <w:proofErr w:type="gramEnd"/>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‘Investment-Cash Flow Sensitivities and not Valid Measures of Financing C</w:t>
      </w:r>
      <w:r w:rsidR="000C7558" w:rsidRPr="00194EC8">
        <w:rPr>
          <w:rFonts w:ascii="Times New Roman" w:hAnsi="Times New Roman" w:cs="Times New Roman"/>
          <w:sz w:val="24"/>
          <w:szCs w:val="24"/>
          <w:lang w:val="en-US"/>
        </w:rPr>
        <w:t>onstraints</w:t>
      </w:r>
      <w:r w:rsidR="00C75E04">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 xml:space="preserve"> </w:t>
      </w:r>
      <w:r w:rsidR="000C7558" w:rsidRPr="002C75AC">
        <w:rPr>
          <w:rFonts w:ascii="Times New Roman" w:hAnsi="Times New Roman" w:cs="Times New Roman"/>
          <w:i/>
          <w:sz w:val="24"/>
          <w:szCs w:val="24"/>
          <w:lang w:val="en-US"/>
        </w:rPr>
        <w:t>Quarterly Journal of Economics</w:t>
      </w:r>
      <w:r w:rsidR="00C75E04">
        <w:rPr>
          <w:rFonts w:ascii="Times New Roman" w:hAnsi="Times New Roman" w:cs="Times New Roman"/>
          <w:i/>
          <w:sz w:val="24"/>
          <w:szCs w:val="24"/>
          <w:lang w:val="en-US"/>
        </w:rPr>
        <w:t>,</w:t>
      </w:r>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000C7558" w:rsidRPr="00194EC8">
        <w:rPr>
          <w:rFonts w:ascii="Times New Roman" w:hAnsi="Times New Roman" w:cs="Times New Roman"/>
          <w:sz w:val="24"/>
          <w:szCs w:val="24"/>
          <w:lang w:val="en-US"/>
        </w:rPr>
        <w:t xml:space="preserve">115, </w:t>
      </w:r>
      <w:r w:rsidR="00C75E04">
        <w:rPr>
          <w:rFonts w:ascii="Times New Roman" w:hAnsi="Times New Roman" w:cs="Times New Roman"/>
          <w:sz w:val="24"/>
          <w:szCs w:val="24"/>
          <w:lang w:val="en-US"/>
        </w:rPr>
        <w:t xml:space="preserve">pp. </w:t>
      </w:r>
      <w:r w:rsidR="000C7558" w:rsidRPr="00194EC8">
        <w:rPr>
          <w:rFonts w:ascii="Times New Roman" w:hAnsi="Times New Roman" w:cs="Times New Roman"/>
          <w:sz w:val="24"/>
          <w:szCs w:val="24"/>
          <w:lang w:val="en-US"/>
        </w:rPr>
        <w:t>707-</w:t>
      </w:r>
      <w:r w:rsidR="00194EC8">
        <w:rPr>
          <w:rFonts w:ascii="Times New Roman" w:hAnsi="Times New Roman" w:cs="Times New Roman"/>
          <w:sz w:val="24"/>
          <w:szCs w:val="24"/>
          <w:lang w:val="en-US"/>
        </w:rPr>
        <w:t>7</w:t>
      </w:r>
      <w:r w:rsidR="000C7558" w:rsidRPr="00194EC8">
        <w:rPr>
          <w:rFonts w:ascii="Times New Roman" w:hAnsi="Times New Roman" w:cs="Times New Roman"/>
          <w:sz w:val="24"/>
          <w:szCs w:val="24"/>
          <w:lang w:val="en-US"/>
        </w:rPr>
        <w:t>12.</w:t>
      </w:r>
    </w:p>
    <w:p w:rsidR="000C7558" w:rsidRPr="00194EC8" w:rsidRDefault="00A174E4" w:rsidP="00E24DA5">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Kaplan, S.N.</w:t>
      </w:r>
      <w:r w:rsidR="002C75AC">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0C7558" w:rsidRPr="00194EC8">
        <w:rPr>
          <w:rFonts w:ascii="Times New Roman" w:hAnsi="Times New Roman" w:cs="Times New Roman"/>
          <w:sz w:val="24"/>
          <w:szCs w:val="24"/>
          <w:lang w:val="en-US"/>
        </w:rPr>
        <w:t>Zingales</w:t>
      </w:r>
      <w:proofErr w:type="spellEnd"/>
      <w:r w:rsidR="000C7558" w:rsidRPr="00194EC8">
        <w:rPr>
          <w:rFonts w:ascii="Times New Roman" w:hAnsi="Times New Roman" w:cs="Times New Roman"/>
          <w:sz w:val="24"/>
          <w:szCs w:val="24"/>
          <w:lang w:val="en-US"/>
        </w:rPr>
        <w:t xml:space="preserve">, L. </w:t>
      </w:r>
      <w:r w:rsidR="002C75AC">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1997</w:t>
      </w:r>
      <w:r w:rsidR="002C75AC">
        <w:rPr>
          <w:rFonts w:ascii="Times New Roman" w:hAnsi="Times New Roman" w:cs="Times New Roman"/>
          <w:sz w:val="24"/>
          <w:szCs w:val="24"/>
          <w:lang w:val="en-US"/>
        </w:rPr>
        <w:t>)</w:t>
      </w:r>
      <w:r w:rsidR="00C75E04">
        <w:rPr>
          <w:rFonts w:ascii="Times New Roman" w:hAnsi="Times New Roman" w:cs="Times New Roman"/>
          <w:sz w:val="24"/>
          <w:szCs w:val="24"/>
          <w:lang w:val="en-US"/>
        </w:rPr>
        <w:t>.</w:t>
      </w:r>
      <w:proofErr w:type="gramEnd"/>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‘Do Investment-Cash Flow Sensitivities Provide Useful Measures of Financing C</w:t>
      </w:r>
      <w:r w:rsidR="000C7558" w:rsidRPr="00194EC8">
        <w:rPr>
          <w:rFonts w:ascii="Times New Roman" w:hAnsi="Times New Roman" w:cs="Times New Roman"/>
          <w:sz w:val="24"/>
          <w:szCs w:val="24"/>
          <w:lang w:val="en-US"/>
        </w:rPr>
        <w:t>onstraints</w:t>
      </w:r>
      <w:r w:rsidR="00C75E04">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 xml:space="preserve"> </w:t>
      </w:r>
      <w:r w:rsidR="000C7558" w:rsidRPr="002C75AC">
        <w:rPr>
          <w:rFonts w:ascii="Times New Roman" w:hAnsi="Times New Roman" w:cs="Times New Roman"/>
          <w:i/>
          <w:sz w:val="24"/>
          <w:szCs w:val="24"/>
          <w:lang w:val="en-US"/>
        </w:rPr>
        <w:t>Quarterly Journal of Economics</w:t>
      </w:r>
      <w:r w:rsidR="00C75E04">
        <w:rPr>
          <w:rFonts w:ascii="Times New Roman" w:hAnsi="Times New Roman" w:cs="Times New Roman"/>
          <w:i/>
          <w:sz w:val="24"/>
          <w:szCs w:val="24"/>
          <w:lang w:val="en-US"/>
        </w:rPr>
        <w:t>,</w:t>
      </w:r>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000C7558" w:rsidRPr="00194EC8">
        <w:rPr>
          <w:rFonts w:ascii="Times New Roman" w:hAnsi="Times New Roman" w:cs="Times New Roman"/>
          <w:sz w:val="24"/>
          <w:szCs w:val="24"/>
          <w:lang w:val="en-US"/>
        </w:rPr>
        <w:t xml:space="preserve">112, </w:t>
      </w:r>
      <w:r w:rsidR="00C75E04">
        <w:rPr>
          <w:rFonts w:ascii="Times New Roman" w:hAnsi="Times New Roman" w:cs="Times New Roman"/>
          <w:sz w:val="24"/>
          <w:szCs w:val="24"/>
          <w:lang w:val="en-US"/>
        </w:rPr>
        <w:t xml:space="preserve">pp. </w:t>
      </w:r>
      <w:r w:rsidR="000C7558" w:rsidRPr="00194EC8">
        <w:rPr>
          <w:rFonts w:ascii="Times New Roman" w:hAnsi="Times New Roman" w:cs="Times New Roman"/>
          <w:sz w:val="24"/>
          <w:szCs w:val="24"/>
          <w:lang w:val="en-US"/>
        </w:rPr>
        <w:t>169-</w:t>
      </w:r>
      <w:proofErr w:type="gramStart"/>
      <w:r w:rsidR="000C7558" w:rsidRPr="00194EC8">
        <w:rPr>
          <w:rFonts w:ascii="Times New Roman" w:hAnsi="Times New Roman" w:cs="Times New Roman"/>
          <w:sz w:val="24"/>
          <w:szCs w:val="24"/>
          <w:lang w:val="en-US"/>
        </w:rPr>
        <w:t>215.</w:t>
      </w:r>
      <w:proofErr w:type="gramEnd"/>
    </w:p>
    <w:p w:rsidR="00C81CE8" w:rsidRPr="00194EC8" w:rsidRDefault="00C81CE8" w:rsidP="00C81CE8">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Kennickell</w:t>
      </w:r>
      <w:proofErr w:type="spellEnd"/>
      <w:r w:rsidRPr="00194EC8">
        <w:rPr>
          <w:rFonts w:ascii="Times New Roman" w:hAnsi="Times New Roman" w:cs="Times New Roman"/>
          <w:sz w:val="24"/>
          <w:szCs w:val="24"/>
          <w:lang w:val="en-US"/>
        </w:rPr>
        <w:t>, A.</w:t>
      </w:r>
      <w:r w:rsidR="00A174E4" w:rsidRPr="00194EC8">
        <w:rPr>
          <w:rFonts w:ascii="Times New Roman" w:hAnsi="Times New Roman" w:cs="Times New Roman"/>
          <w:sz w:val="24"/>
          <w:szCs w:val="24"/>
          <w:lang w:val="en-US"/>
        </w:rPr>
        <w:t>B.</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Starr-</w:t>
      </w:r>
      <w:proofErr w:type="spellStart"/>
      <w:r w:rsidRPr="00194EC8">
        <w:rPr>
          <w:rFonts w:ascii="Times New Roman" w:hAnsi="Times New Roman" w:cs="Times New Roman"/>
          <w:sz w:val="24"/>
          <w:szCs w:val="24"/>
          <w:lang w:val="en-US"/>
        </w:rPr>
        <w:t>McCluer</w:t>
      </w:r>
      <w:proofErr w:type="spellEnd"/>
      <w:r w:rsidRPr="00194EC8">
        <w:rPr>
          <w:rFonts w:ascii="Times New Roman" w:hAnsi="Times New Roman" w:cs="Times New Roman"/>
          <w:sz w:val="24"/>
          <w:szCs w:val="24"/>
          <w:lang w:val="en-US"/>
        </w:rPr>
        <w:t xml:space="preserve">, M.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1997</w:t>
      </w:r>
      <w:r w:rsidR="00C75E04">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‘Retrospective Reporting of Household Wealth: E</w:t>
      </w:r>
      <w:r w:rsidRPr="00194EC8">
        <w:rPr>
          <w:rFonts w:ascii="Times New Roman" w:hAnsi="Times New Roman" w:cs="Times New Roman"/>
          <w:sz w:val="24"/>
          <w:szCs w:val="24"/>
          <w:lang w:val="en-US"/>
        </w:rPr>
        <w:t>vidence from the 1983</w:t>
      </w:r>
      <w:r w:rsidR="00C75E04">
        <w:rPr>
          <w:rFonts w:ascii="Times New Roman" w:hAnsi="Times New Roman" w:cs="Times New Roman"/>
          <w:sz w:val="24"/>
          <w:szCs w:val="24"/>
          <w:lang w:val="en-US"/>
        </w:rPr>
        <w:t>-89 Survey of Consumer Finances’,</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Journal of Business and Economic Statistics</w:t>
      </w:r>
      <w:r w:rsidR="00C75E04">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75E04" w:rsidRPr="00C75E04">
        <w:rPr>
          <w:rFonts w:ascii="Times New Roman" w:hAnsi="Times New Roman" w:cs="Times New Roman"/>
          <w:sz w:val="24"/>
          <w:szCs w:val="24"/>
          <w:lang w:val="en-US"/>
        </w:rPr>
        <w:t>Vol.</w:t>
      </w:r>
      <w:r w:rsidR="00C75E04">
        <w:rPr>
          <w:rFonts w:ascii="Times New Roman" w:hAnsi="Times New Roman" w:cs="Times New Roman"/>
          <w:i/>
          <w:sz w:val="24"/>
          <w:szCs w:val="24"/>
          <w:lang w:val="en-US"/>
        </w:rPr>
        <w:t xml:space="preserve"> </w:t>
      </w:r>
      <w:r w:rsidRPr="00C75E04">
        <w:rPr>
          <w:rFonts w:ascii="Times New Roman" w:hAnsi="Times New Roman" w:cs="Times New Roman"/>
          <w:sz w:val="24"/>
          <w:szCs w:val="24"/>
          <w:lang w:val="en-US"/>
        </w:rPr>
        <w:t>15</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452-</w:t>
      </w:r>
      <w:r w:rsidR="00194EC8">
        <w:rPr>
          <w:rFonts w:ascii="Times New Roman" w:hAnsi="Times New Roman" w:cs="Times New Roman"/>
          <w:sz w:val="24"/>
          <w:szCs w:val="24"/>
          <w:lang w:val="en-US"/>
        </w:rPr>
        <w:t>4</w:t>
      </w:r>
      <w:r w:rsidRPr="00194EC8">
        <w:rPr>
          <w:rFonts w:ascii="Times New Roman" w:hAnsi="Times New Roman" w:cs="Times New Roman"/>
          <w:sz w:val="24"/>
          <w:szCs w:val="24"/>
          <w:lang w:val="en-US"/>
        </w:rPr>
        <w:t>63.</w:t>
      </w:r>
    </w:p>
    <w:p w:rsidR="00BB4211" w:rsidRDefault="005832EB" w:rsidP="005832EB">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Kim, Y.I</w:t>
      </w:r>
      <w:r w:rsidR="00A174E4" w:rsidRPr="00194EC8">
        <w:rPr>
          <w:rFonts w:ascii="Times New Roman" w:hAnsi="Times New Roman" w:cs="Times New Roman"/>
          <w:sz w:val="24"/>
          <w:szCs w:val="24"/>
          <w:lang w:val="en-US"/>
        </w:rPr>
        <w:t>.</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Kim, D.J.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2012</w:t>
      </w:r>
      <w:r w:rsidR="00C75E04">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‘Household Indebtedness in Korea: Its Causes and S</w:t>
      </w:r>
      <w:r w:rsidRPr="00194EC8">
        <w:rPr>
          <w:rFonts w:ascii="Times New Roman" w:hAnsi="Times New Roman" w:cs="Times New Roman"/>
          <w:sz w:val="24"/>
          <w:szCs w:val="24"/>
          <w:lang w:val="en-US"/>
        </w:rPr>
        <w:t>ustainability</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Japan and the World Economy</w:t>
      </w:r>
      <w:r w:rsidR="00C75E04">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29,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59-76.</w:t>
      </w:r>
    </w:p>
    <w:p w:rsidR="0050735B" w:rsidRPr="00194EC8" w:rsidRDefault="0050735B" w:rsidP="005832EB">
      <w:pPr>
        <w:spacing w:line="480" w:lineRule="auto"/>
        <w:ind w:left="851" w:hanging="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Kling, J.L. and </w:t>
      </w:r>
      <w:proofErr w:type="spellStart"/>
      <w:r>
        <w:rPr>
          <w:rFonts w:ascii="Times New Roman" w:hAnsi="Times New Roman" w:cs="Times New Roman"/>
          <w:sz w:val="24"/>
          <w:szCs w:val="24"/>
          <w:lang w:val="en-US"/>
        </w:rPr>
        <w:t>Bessler</w:t>
      </w:r>
      <w:proofErr w:type="spellEnd"/>
      <w:r>
        <w:rPr>
          <w:rFonts w:ascii="Times New Roman" w:hAnsi="Times New Roman" w:cs="Times New Roman"/>
          <w:sz w:val="24"/>
          <w:szCs w:val="24"/>
          <w:lang w:val="en-US"/>
        </w:rPr>
        <w:t>, D.A. (1985).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 Comparison of Multivariate Forecasting Procedures for Economic Time Series’, </w:t>
      </w:r>
      <w:r w:rsidRPr="0050735B">
        <w:rPr>
          <w:rFonts w:ascii="Times New Roman" w:hAnsi="Times New Roman" w:cs="Times New Roman"/>
          <w:i/>
          <w:sz w:val="24"/>
          <w:szCs w:val="24"/>
          <w:lang w:val="en-US"/>
        </w:rPr>
        <w:t>International Journal of Forecasting</w:t>
      </w:r>
      <w:r>
        <w:rPr>
          <w:rFonts w:ascii="Times New Roman" w:hAnsi="Times New Roman" w:cs="Times New Roman"/>
          <w:sz w:val="24"/>
          <w:szCs w:val="24"/>
          <w:lang w:val="en-US"/>
        </w:rPr>
        <w:t>, Vol. 1, pp. 5-24.</w:t>
      </w:r>
      <w:proofErr w:type="gramEnd"/>
      <w:r>
        <w:rPr>
          <w:rFonts w:ascii="Times New Roman" w:hAnsi="Times New Roman" w:cs="Times New Roman"/>
          <w:sz w:val="24"/>
          <w:szCs w:val="24"/>
          <w:lang w:val="en-US"/>
        </w:rPr>
        <w:t xml:space="preserve"> </w:t>
      </w:r>
    </w:p>
    <w:p w:rsidR="000C7558"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lastRenderedPageBreak/>
        <w:t>Korinek</w:t>
      </w:r>
      <w:proofErr w:type="spellEnd"/>
      <w:r w:rsidRPr="00194EC8">
        <w:rPr>
          <w:rFonts w:ascii="Times New Roman" w:hAnsi="Times New Roman" w:cs="Times New Roman"/>
          <w:sz w:val="24"/>
          <w:szCs w:val="24"/>
          <w:lang w:val="en-US"/>
        </w:rPr>
        <w:t>, A.</w:t>
      </w:r>
      <w:r w:rsidR="002C75AC">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0C7558" w:rsidRPr="00194EC8">
        <w:rPr>
          <w:rFonts w:ascii="Times New Roman" w:hAnsi="Times New Roman" w:cs="Times New Roman"/>
          <w:sz w:val="24"/>
          <w:szCs w:val="24"/>
          <w:lang w:val="en-US"/>
        </w:rPr>
        <w:t xml:space="preserve">Mendoza, E.G. </w:t>
      </w:r>
      <w:r w:rsidR="002C75AC">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2014</w:t>
      </w:r>
      <w:r w:rsidR="00C75E04">
        <w:rPr>
          <w:rFonts w:ascii="Times New Roman" w:hAnsi="Times New Roman" w:cs="Times New Roman"/>
          <w:sz w:val="24"/>
          <w:szCs w:val="24"/>
          <w:lang w:val="en-US"/>
        </w:rPr>
        <w:t>).</w:t>
      </w:r>
      <w:proofErr w:type="gramEnd"/>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‘From Sudden Stops to </w:t>
      </w:r>
      <w:proofErr w:type="spellStart"/>
      <w:r w:rsidR="00C75E04">
        <w:rPr>
          <w:rFonts w:ascii="Times New Roman" w:hAnsi="Times New Roman" w:cs="Times New Roman"/>
          <w:sz w:val="24"/>
          <w:szCs w:val="24"/>
          <w:lang w:val="en-US"/>
        </w:rPr>
        <w:t>Fisherian</w:t>
      </w:r>
      <w:proofErr w:type="spellEnd"/>
      <w:r w:rsidR="00C75E04">
        <w:rPr>
          <w:rFonts w:ascii="Times New Roman" w:hAnsi="Times New Roman" w:cs="Times New Roman"/>
          <w:sz w:val="24"/>
          <w:szCs w:val="24"/>
          <w:lang w:val="en-US"/>
        </w:rPr>
        <w:t xml:space="preserve"> Deflation: Quantitative Theory and P</w:t>
      </w:r>
      <w:r w:rsidR="000C7558" w:rsidRPr="00194EC8">
        <w:rPr>
          <w:rFonts w:ascii="Times New Roman" w:hAnsi="Times New Roman" w:cs="Times New Roman"/>
          <w:sz w:val="24"/>
          <w:szCs w:val="24"/>
          <w:lang w:val="en-US"/>
        </w:rPr>
        <w:t>olicy</w:t>
      </w:r>
      <w:r w:rsidR="00C75E04">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 xml:space="preserve"> </w:t>
      </w:r>
      <w:r w:rsidR="000C7558" w:rsidRPr="002C75AC">
        <w:rPr>
          <w:rFonts w:ascii="Times New Roman" w:hAnsi="Times New Roman" w:cs="Times New Roman"/>
          <w:i/>
          <w:sz w:val="24"/>
          <w:szCs w:val="24"/>
          <w:lang w:val="en-US"/>
        </w:rPr>
        <w:t>Annual Review of Economics</w:t>
      </w:r>
      <w:r w:rsidR="00C75E04">
        <w:rPr>
          <w:rFonts w:ascii="Times New Roman" w:hAnsi="Times New Roman" w:cs="Times New Roman"/>
          <w:i/>
          <w:sz w:val="24"/>
          <w:szCs w:val="24"/>
          <w:lang w:val="en-US"/>
        </w:rPr>
        <w:t>,</w:t>
      </w:r>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000C7558" w:rsidRPr="00194EC8">
        <w:rPr>
          <w:rFonts w:ascii="Times New Roman" w:hAnsi="Times New Roman" w:cs="Times New Roman"/>
          <w:sz w:val="24"/>
          <w:szCs w:val="24"/>
          <w:lang w:val="en-US"/>
        </w:rPr>
        <w:t xml:space="preserve">6, </w:t>
      </w:r>
      <w:r w:rsidR="00C75E04">
        <w:rPr>
          <w:rFonts w:ascii="Times New Roman" w:hAnsi="Times New Roman" w:cs="Times New Roman"/>
          <w:sz w:val="24"/>
          <w:szCs w:val="24"/>
          <w:lang w:val="en-US"/>
        </w:rPr>
        <w:t xml:space="preserve">pp. </w:t>
      </w:r>
      <w:r w:rsidR="000C7558" w:rsidRPr="00194EC8">
        <w:rPr>
          <w:rFonts w:ascii="Times New Roman" w:hAnsi="Times New Roman" w:cs="Times New Roman"/>
          <w:sz w:val="24"/>
          <w:szCs w:val="24"/>
          <w:lang w:val="en-US"/>
        </w:rPr>
        <w:t>299-332.</w:t>
      </w:r>
    </w:p>
    <w:p w:rsidR="00EB185E" w:rsidRPr="00194EC8" w:rsidRDefault="00EB185E" w:rsidP="00E24DA5">
      <w:pPr>
        <w:spacing w:line="48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Lau, H.H. (1997). </w:t>
      </w:r>
      <w:proofErr w:type="gramStart"/>
      <w:r>
        <w:rPr>
          <w:rFonts w:ascii="Times New Roman" w:hAnsi="Times New Roman" w:cs="Times New Roman"/>
          <w:sz w:val="24"/>
          <w:szCs w:val="24"/>
          <w:lang w:val="en-US"/>
        </w:rPr>
        <w:t>‘Recent Developments in the Personal Sector Financial Position and Savings in Canada’, Working Paper, Bank of Canada.</w:t>
      </w:r>
      <w:proofErr w:type="gramEnd"/>
    </w:p>
    <w:p w:rsidR="0076420D" w:rsidRDefault="00A174E4" w:rsidP="0076420D">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Lettau</w:t>
      </w:r>
      <w:proofErr w:type="spellEnd"/>
      <w:r w:rsidRPr="00194EC8">
        <w:rPr>
          <w:rFonts w:ascii="Times New Roman" w:hAnsi="Times New Roman" w:cs="Times New Roman"/>
          <w:sz w:val="24"/>
          <w:szCs w:val="24"/>
          <w:lang w:val="en-US"/>
        </w:rPr>
        <w:t>, M.</w:t>
      </w:r>
      <w:r w:rsidR="002C75AC">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76420D" w:rsidRPr="00194EC8">
        <w:rPr>
          <w:rFonts w:ascii="Times New Roman" w:hAnsi="Times New Roman" w:cs="Times New Roman"/>
          <w:sz w:val="24"/>
          <w:szCs w:val="24"/>
          <w:lang w:val="en-US"/>
        </w:rPr>
        <w:t>Ludvigson</w:t>
      </w:r>
      <w:proofErr w:type="spellEnd"/>
      <w:r w:rsidR="0076420D" w:rsidRPr="00194EC8">
        <w:rPr>
          <w:rFonts w:ascii="Times New Roman" w:hAnsi="Times New Roman" w:cs="Times New Roman"/>
          <w:sz w:val="24"/>
          <w:szCs w:val="24"/>
          <w:lang w:val="en-US"/>
        </w:rPr>
        <w:t xml:space="preserve">, S. </w:t>
      </w:r>
      <w:r w:rsidR="002C75AC">
        <w:rPr>
          <w:rFonts w:ascii="Times New Roman" w:hAnsi="Times New Roman" w:cs="Times New Roman"/>
          <w:sz w:val="24"/>
          <w:szCs w:val="24"/>
          <w:lang w:val="en-US"/>
        </w:rPr>
        <w:t>(</w:t>
      </w:r>
      <w:r w:rsidR="0076420D" w:rsidRPr="00194EC8">
        <w:rPr>
          <w:rFonts w:ascii="Times New Roman" w:hAnsi="Times New Roman" w:cs="Times New Roman"/>
          <w:sz w:val="24"/>
          <w:szCs w:val="24"/>
          <w:lang w:val="en-US"/>
        </w:rPr>
        <w:t>2001</w:t>
      </w:r>
      <w:r w:rsidR="00C75E04">
        <w:rPr>
          <w:rFonts w:ascii="Times New Roman" w:hAnsi="Times New Roman" w:cs="Times New Roman"/>
          <w:sz w:val="24"/>
          <w:szCs w:val="24"/>
          <w:lang w:val="en-US"/>
        </w:rPr>
        <w:t>).</w:t>
      </w:r>
      <w:proofErr w:type="gramEnd"/>
      <w:r w:rsidR="0076420D"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‘Consumption, Aggregate Wealth, and Expected Stock Returns’,</w:t>
      </w:r>
      <w:r w:rsidR="0076420D" w:rsidRPr="00194EC8">
        <w:rPr>
          <w:rFonts w:ascii="Times New Roman" w:hAnsi="Times New Roman" w:cs="Times New Roman"/>
          <w:sz w:val="24"/>
          <w:szCs w:val="24"/>
          <w:lang w:val="en-US"/>
        </w:rPr>
        <w:t xml:space="preserve"> </w:t>
      </w:r>
      <w:r w:rsidR="0076420D" w:rsidRPr="002C75AC">
        <w:rPr>
          <w:rFonts w:ascii="Times New Roman" w:hAnsi="Times New Roman" w:cs="Times New Roman"/>
          <w:i/>
          <w:sz w:val="24"/>
          <w:szCs w:val="24"/>
          <w:lang w:val="en-US"/>
        </w:rPr>
        <w:t>Journal of Finance</w:t>
      </w:r>
      <w:r w:rsidR="00C75E04">
        <w:rPr>
          <w:rFonts w:ascii="Times New Roman" w:hAnsi="Times New Roman" w:cs="Times New Roman"/>
          <w:i/>
          <w:sz w:val="24"/>
          <w:szCs w:val="24"/>
          <w:lang w:val="en-US"/>
        </w:rPr>
        <w:t>,</w:t>
      </w:r>
      <w:r w:rsidR="0076420D"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0076420D" w:rsidRPr="00194EC8">
        <w:rPr>
          <w:rFonts w:ascii="Times New Roman" w:hAnsi="Times New Roman" w:cs="Times New Roman"/>
          <w:sz w:val="24"/>
          <w:szCs w:val="24"/>
          <w:lang w:val="en-US"/>
        </w:rPr>
        <w:t xml:space="preserve">56, </w:t>
      </w:r>
      <w:r w:rsidR="00C75E04">
        <w:rPr>
          <w:rFonts w:ascii="Times New Roman" w:hAnsi="Times New Roman" w:cs="Times New Roman"/>
          <w:sz w:val="24"/>
          <w:szCs w:val="24"/>
          <w:lang w:val="en-US"/>
        </w:rPr>
        <w:t xml:space="preserve">pp. </w:t>
      </w:r>
      <w:r w:rsidR="0076420D" w:rsidRPr="00194EC8">
        <w:rPr>
          <w:rFonts w:ascii="Times New Roman" w:hAnsi="Times New Roman" w:cs="Times New Roman"/>
          <w:sz w:val="24"/>
          <w:szCs w:val="24"/>
          <w:lang w:val="en-US"/>
        </w:rPr>
        <w:t>815-</w:t>
      </w:r>
      <w:r w:rsidR="00194EC8">
        <w:rPr>
          <w:rFonts w:ascii="Times New Roman" w:hAnsi="Times New Roman" w:cs="Times New Roman"/>
          <w:sz w:val="24"/>
          <w:szCs w:val="24"/>
          <w:lang w:val="en-US"/>
        </w:rPr>
        <w:t>8</w:t>
      </w:r>
      <w:r w:rsidR="0076420D" w:rsidRPr="00194EC8">
        <w:rPr>
          <w:rFonts w:ascii="Times New Roman" w:hAnsi="Times New Roman" w:cs="Times New Roman"/>
          <w:sz w:val="24"/>
          <w:szCs w:val="24"/>
          <w:lang w:val="en-US"/>
        </w:rPr>
        <w:t>49.</w:t>
      </w:r>
    </w:p>
    <w:p w:rsidR="00D64C90" w:rsidRPr="00194EC8" w:rsidRDefault="00D64C90" w:rsidP="0076420D">
      <w:pPr>
        <w:spacing w:line="480" w:lineRule="auto"/>
        <w:ind w:left="851" w:hanging="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Leybourne</w:t>
      </w:r>
      <w:proofErr w:type="spellEnd"/>
      <w:r>
        <w:rPr>
          <w:rFonts w:ascii="Times New Roman" w:hAnsi="Times New Roman" w:cs="Times New Roman"/>
          <w:sz w:val="24"/>
          <w:szCs w:val="24"/>
          <w:lang w:val="en-US"/>
        </w:rPr>
        <w:t>, S. (1995).</w:t>
      </w:r>
      <w:proofErr w:type="gramEnd"/>
      <w:r>
        <w:rPr>
          <w:rFonts w:ascii="Times New Roman" w:hAnsi="Times New Roman" w:cs="Times New Roman"/>
          <w:sz w:val="24"/>
          <w:szCs w:val="24"/>
          <w:lang w:val="en-US"/>
        </w:rPr>
        <w:t xml:space="preserve"> ‘Testing for Unit Roots Using Forward and Reverse Dickey-Fuller Regressions’, </w:t>
      </w:r>
      <w:r w:rsidRPr="00D64C90">
        <w:rPr>
          <w:rFonts w:ascii="Times New Roman" w:hAnsi="Times New Roman" w:cs="Times New Roman"/>
          <w:i/>
          <w:sz w:val="24"/>
          <w:szCs w:val="24"/>
          <w:lang w:val="en-US"/>
        </w:rPr>
        <w:t>Oxford Bulletin of Economics and Statistics</w:t>
      </w:r>
      <w:r>
        <w:rPr>
          <w:rFonts w:ascii="Times New Roman" w:hAnsi="Times New Roman" w:cs="Times New Roman"/>
          <w:sz w:val="24"/>
          <w:szCs w:val="24"/>
          <w:lang w:val="en-US"/>
        </w:rPr>
        <w:t>, Vol. 57, pp. 559-571.</w:t>
      </w:r>
    </w:p>
    <w:p w:rsidR="005B6F52" w:rsidRPr="00194EC8" w:rsidRDefault="005B6F52" w:rsidP="005B6F52">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Ludvigson</w:t>
      </w:r>
      <w:proofErr w:type="spellEnd"/>
      <w:r w:rsidRPr="00194EC8">
        <w:rPr>
          <w:rFonts w:ascii="Times New Roman" w:hAnsi="Times New Roman" w:cs="Times New Roman"/>
          <w:sz w:val="24"/>
          <w:szCs w:val="24"/>
          <w:lang w:val="en-US"/>
        </w:rPr>
        <w:t xml:space="preserve">, S.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1999</w:t>
      </w:r>
      <w:r w:rsidR="002C75AC">
        <w:rPr>
          <w:rFonts w:ascii="Times New Roman" w:hAnsi="Times New Roman" w:cs="Times New Roman"/>
          <w:sz w:val="24"/>
          <w:szCs w:val="24"/>
          <w:lang w:val="en-US"/>
        </w:rPr>
        <w:t>)</w:t>
      </w:r>
      <w:r w:rsidR="00C75E04">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‘Consumption and C</w:t>
      </w:r>
      <w:r w:rsidRPr="00194EC8">
        <w:rPr>
          <w:rFonts w:ascii="Times New Roman" w:hAnsi="Times New Roman" w:cs="Times New Roman"/>
          <w:sz w:val="24"/>
          <w:szCs w:val="24"/>
          <w:lang w:val="en-US"/>
        </w:rPr>
        <w:t xml:space="preserve">redit: </w:t>
      </w:r>
      <w:r w:rsidR="00C75E04">
        <w:rPr>
          <w:rFonts w:ascii="Times New Roman" w:hAnsi="Times New Roman" w:cs="Times New Roman"/>
          <w:sz w:val="24"/>
          <w:szCs w:val="24"/>
          <w:lang w:val="en-US"/>
        </w:rPr>
        <w:t>A</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Model of Time-Varying Liquidity C</w:t>
      </w:r>
      <w:r w:rsidRPr="00194EC8">
        <w:rPr>
          <w:rFonts w:ascii="Times New Roman" w:hAnsi="Times New Roman" w:cs="Times New Roman"/>
          <w:sz w:val="24"/>
          <w:szCs w:val="24"/>
          <w:lang w:val="en-US"/>
        </w:rPr>
        <w:t>onstraints</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Review of Economics and Statistics</w:t>
      </w:r>
      <w:r w:rsidR="00C75E04">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81, </w:t>
      </w:r>
      <w:r w:rsidR="00C75E04">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434-</w:t>
      </w:r>
      <w:r w:rsidR="006A5847">
        <w:rPr>
          <w:rFonts w:ascii="Times New Roman" w:hAnsi="Times New Roman" w:cs="Times New Roman"/>
          <w:sz w:val="24"/>
          <w:szCs w:val="24"/>
          <w:lang w:val="en-US"/>
        </w:rPr>
        <w:t>4</w:t>
      </w:r>
      <w:r w:rsidRPr="00194EC8">
        <w:rPr>
          <w:rFonts w:ascii="Times New Roman" w:hAnsi="Times New Roman" w:cs="Times New Roman"/>
          <w:sz w:val="24"/>
          <w:szCs w:val="24"/>
          <w:lang w:val="en-US"/>
        </w:rPr>
        <w:t xml:space="preserve">47. </w:t>
      </w:r>
    </w:p>
    <w:p w:rsidR="005B6F52" w:rsidRPr="00194EC8" w:rsidRDefault="005B6F52" w:rsidP="005B6F52">
      <w:pPr>
        <w:spacing w:line="480" w:lineRule="auto"/>
        <w:ind w:left="851" w:hanging="851"/>
        <w:jc w:val="both"/>
        <w:rPr>
          <w:rFonts w:ascii="Times New Roman" w:hAnsi="Times New Roman" w:cs="Times New Roman"/>
          <w:sz w:val="24"/>
          <w:szCs w:val="24"/>
          <w:lang w:val="en-US"/>
        </w:rPr>
      </w:pPr>
      <w:r w:rsidRPr="00194EC8">
        <w:rPr>
          <w:rFonts w:ascii="Times New Roman" w:hAnsi="Times New Roman" w:cs="Times New Roman"/>
          <w:sz w:val="24"/>
          <w:szCs w:val="24"/>
          <w:lang w:val="en-US"/>
        </w:rPr>
        <w:t xml:space="preserve">Maki, D.M.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2002</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‘The Growth of C</w:t>
      </w:r>
      <w:r w:rsidRPr="00194EC8">
        <w:rPr>
          <w:rFonts w:ascii="Times New Roman" w:hAnsi="Times New Roman" w:cs="Times New Roman"/>
          <w:sz w:val="24"/>
          <w:szCs w:val="24"/>
          <w:lang w:val="en-US"/>
        </w:rPr>
        <w:t>ons</w:t>
      </w:r>
      <w:r w:rsidR="00C75E04">
        <w:rPr>
          <w:rFonts w:ascii="Times New Roman" w:hAnsi="Times New Roman" w:cs="Times New Roman"/>
          <w:sz w:val="24"/>
          <w:szCs w:val="24"/>
          <w:lang w:val="en-US"/>
        </w:rPr>
        <w:t>umer Credit and the Household Debt Service B</w:t>
      </w:r>
      <w:r w:rsidRPr="00194EC8">
        <w:rPr>
          <w:rFonts w:ascii="Times New Roman" w:hAnsi="Times New Roman" w:cs="Times New Roman"/>
          <w:sz w:val="24"/>
          <w:szCs w:val="24"/>
          <w:lang w:val="en-US"/>
        </w:rPr>
        <w:t>urden</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i</w:t>
      </w:r>
      <w:r w:rsidRPr="00194EC8">
        <w:rPr>
          <w:rFonts w:ascii="Times New Roman" w:hAnsi="Times New Roman" w:cs="Times New Roman"/>
          <w:sz w:val="24"/>
          <w:szCs w:val="24"/>
          <w:lang w:val="en-US"/>
        </w:rPr>
        <w:t>n</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The Impact of Public Policy on Consumer Credit</w:t>
      </w:r>
      <w:r w:rsidR="002C75AC">
        <w:rPr>
          <w:rFonts w:ascii="Times New Roman" w:hAnsi="Times New Roman" w:cs="Times New Roman"/>
          <w:sz w:val="24"/>
          <w:szCs w:val="24"/>
          <w:lang w:val="en-US"/>
        </w:rPr>
        <w:t>, Durkin, T. and</w:t>
      </w:r>
      <w:r w:rsidRPr="00194EC8">
        <w:rPr>
          <w:rFonts w:ascii="Times New Roman" w:hAnsi="Times New Roman" w:cs="Times New Roman"/>
          <w:sz w:val="24"/>
          <w:szCs w:val="24"/>
          <w:lang w:val="en-US"/>
        </w:rPr>
        <w:t xml:space="preserve"> Staten, M. (Eds.), </w:t>
      </w:r>
      <w:proofErr w:type="spellStart"/>
      <w:r w:rsidRPr="00194EC8">
        <w:rPr>
          <w:rFonts w:ascii="Times New Roman" w:hAnsi="Times New Roman" w:cs="Times New Roman"/>
          <w:sz w:val="24"/>
          <w:szCs w:val="24"/>
          <w:lang w:val="en-US"/>
        </w:rPr>
        <w:t>Kluwer</w:t>
      </w:r>
      <w:proofErr w:type="spellEnd"/>
      <w:r w:rsidRPr="00194EC8">
        <w:rPr>
          <w:rFonts w:ascii="Times New Roman" w:hAnsi="Times New Roman" w:cs="Times New Roman"/>
          <w:sz w:val="24"/>
          <w:szCs w:val="24"/>
          <w:lang w:val="en-US"/>
        </w:rPr>
        <w:t xml:space="preserve"> Academic Publishers. Boston.</w:t>
      </w:r>
    </w:p>
    <w:p w:rsidR="005B6F52" w:rsidRPr="00194EC8" w:rsidRDefault="005B6F52" w:rsidP="005B6F52">
      <w:pPr>
        <w:spacing w:line="480" w:lineRule="auto"/>
        <w:ind w:left="851" w:hanging="851"/>
        <w:jc w:val="both"/>
        <w:rPr>
          <w:rFonts w:ascii="Times New Roman" w:hAnsi="Times New Roman" w:cs="Times New Roman"/>
          <w:sz w:val="24"/>
          <w:szCs w:val="24"/>
          <w:lang w:val="en-US"/>
        </w:rPr>
      </w:pPr>
      <w:r w:rsidRPr="00194EC8">
        <w:rPr>
          <w:rFonts w:ascii="Times New Roman" w:hAnsi="Times New Roman" w:cs="Times New Roman"/>
          <w:sz w:val="24"/>
          <w:szCs w:val="24"/>
          <w:lang w:val="en-US"/>
        </w:rPr>
        <w:t xml:space="preserve">McCarthy, J.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1997</w:t>
      </w:r>
      <w:r w:rsidR="00C75E04">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proofErr w:type="gramStart"/>
      <w:r w:rsidR="00C75E04">
        <w:rPr>
          <w:rFonts w:ascii="Times New Roman" w:hAnsi="Times New Roman" w:cs="Times New Roman"/>
          <w:sz w:val="24"/>
          <w:szCs w:val="24"/>
          <w:lang w:val="en-US"/>
        </w:rPr>
        <w:t>‘Debt, Delinquencies and Consumer Spending’,</w:t>
      </w:r>
      <w:r w:rsidRPr="00194EC8">
        <w:rPr>
          <w:rFonts w:ascii="Times New Roman" w:hAnsi="Times New Roman" w:cs="Times New Roman"/>
          <w:sz w:val="24"/>
          <w:szCs w:val="24"/>
          <w:lang w:val="en-US"/>
        </w:rPr>
        <w:t xml:space="preserve"> Current Issues in Economics and Finance, Federal Reserve Bank of New York</w:t>
      </w:r>
      <w:r w:rsidR="006A5847">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3.</w:t>
      </w:r>
      <w:proofErr w:type="gramEnd"/>
    </w:p>
    <w:p w:rsidR="000C7558" w:rsidRPr="00194EC8"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Mian</w:t>
      </w:r>
      <w:proofErr w:type="spellEnd"/>
      <w:r w:rsidRPr="00194EC8">
        <w:rPr>
          <w:rFonts w:ascii="Times New Roman" w:hAnsi="Times New Roman" w:cs="Times New Roman"/>
          <w:sz w:val="24"/>
          <w:szCs w:val="24"/>
          <w:lang w:val="en-US"/>
        </w:rPr>
        <w:t>, A.</w:t>
      </w:r>
      <w:r w:rsidR="002C75AC">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0C7558" w:rsidRPr="00194EC8">
        <w:rPr>
          <w:rFonts w:ascii="Times New Roman" w:hAnsi="Times New Roman" w:cs="Times New Roman"/>
          <w:sz w:val="24"/>
          <w:szCs w:val="24"/>
          <w:lang w:val="en-US"/>
        </w:rPr>
        <w:t xml:space="preserve">Sufi, A. </w:t>
      </w:r>
      <w:r w:rsidR="002C75AC">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2010</w:t>
      </w:r>
      <w:r w:rsidR="00C75E04">
        <w:rPr>
          <w:rFonts w:ascii="Times New Roman" w:hAnsi="Times New Roman" w:cs="Times New Roman"/>
          <w:sz w:val="24"/>
          <w:szCs w:val="24"/>
          <w:lang w:val="en-US"/>
        </w:rPr>
        <w:t>).</w:t>
      </w:r>
      <w:proofErr w:type="gramEnd"/>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‘Household Leverage and the Recession of 2007-2009’,</w:t>
      </w:r>
      <w:r w:rsidR="000C7558" w:rsidRPr="00194EC8">
        <w:rPr>
          <w:rFonts w:ascii="Times New Roman" w:hAnsi="Times New Roman" w:cs="Times New Roman"/>
          <w:sz w:val="24"/>
          <w:szCs w:val="24"/>
          <w:lang w:val="en-US"/>
        </w:rPr>
        <w:t xml:space="preserve"> </w:t>
      </w:r>
      <w:r w:rsidR="000C7558" w:rsidRPr="002C75AC">
        <w:rPr>
          <w:rFonts w:ascii="Times New Roman" w:hAnsi="Times New Roman" w:cs="Times New Roman"/>
          <w:i/>
          <w:sz w:val="24"/>
          <w:szCs w:val="24"/>
          <w:lang w:val="en-US"/>
        </w:rPr>
        <w:t>IMF Economic Review</w:t>
      </w:r>
      <w:r w:rsidR="00C75E04">
        <w:rPr>
          <w:rFonts w:ascii="Times New Roman" w:hAnsi="Times New Roman" w:cs="Times New Roman"/>
          <w:i/>
          <w:sz w:val="24"/>
          <w:szCs w:val="24"/>
          <w:lang w:val="en-US"/>
        </w:rPr>
        <w:t>,</w:t>
      </w:r>
      <w:r w:rsidR="000C7558"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 xml:space="preserve">Vol. </w:t>
      </w:r>
      <w:r w:rsidR="000C7558" w:rsidRPr="00194EC8">
        <w:rPr>
          <w:rFonts w:ascii="Times New Roman" w:hAnsi="Times New Roman" w:cs="Times New Roman"/>
          <w:sz w:val="24"/>
          <w:szCs w:val="24"/>
          <w:lang w:val="en-US"/>
        </w:rPr>
        <w:t xml:space="preserve">58, </w:t>
      </w:r>
      <w:r w:rsidR="00C75E04">
        <w:rPr>
          <w:rFonts w:ascii="Times New Roman" w:hAnsi="Times New Roman" w:cs="Times New Roman"/>
          <w:sz w:val="24"/>
          <w:szCs w:val="24"/>
          <w:lang w:val="en-US"/>
        </w:rPr>
        <w:t xml:space="preserve">pp. </w:t>
      </w:r>
      <w:r w:rsidR="000C7558" w:rsidRPr="00194EC8">
        <w:rPr>
          <w:rFonts w:ascii="Times New Roman" w:hAnsi="Times New Roman" w:cs="Times New Roman"/>
          <w:sz w:val="24"/>
          <w:szCs w:val="24"/>
          <w:lang w:val="en-US"/>
        </w:rPr>
        <w:t>74-117.</w:t>
      </w:r>
    </w:p>
    <w:p w:rsidR="007C68A5" w:rsidRPr="00194EC8" w:rsidRDefault="007C68A5" w:rsidP="007C68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Mian</w:t>
      </w:r>
      <w:proofErr w:type="spellEnd"/>
      <w:r w:rsidRPr="00194EC8">
        <w:rPr>
          <w:rFonts w:ascii="Times New Roman" w:hAnsi="Times New Roman" w:cs="Times New Roman"/>
          <w:sz w:val="24"/>
          <w:szCs w:val="24"/>
          <w:lang w:val="en-US"/>
        </w:rPr>
        <w:t xml:space="preserve">, A., </w:t>
      </w:r>
      <w:proofErr w:type="spellStart"/>
      <w:r w:rsidRPr="00194EC8">
        <w:rPr>
          <w:rFonts w:ascii="Times New Roman" w:hAnsi="Times New Roman" w:cs="Times New Roman"/>
          <w:sz w:val="24"/>
          <w:szCs w:val="24"/>
          <w:lang w:val="en-US"/>
        </w:rPr>
        <w:t>Rao</w:t>
      </w:r>
      <w:proofErr w:type="spellEnd"/>
      <w:r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rPr>
        <w:t>Κ</w:t>
      </w:r>
      <w:r w:rsidR="00A174E4" w:rsidRPr="00194EC8">
        <w:rPr>
          <w:rFonts w:ascii="Times New Roman" w:hAnsi="Times New Roman" w:cs="Times New Roman"/>
          <w:sz w:val="24"/>
          <w:szCs w:val="24"/>
          <w:lang w:val="en-US"/>
        </w:rPr>
        <w:t>.</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Sufi, </w:t>
      </w:r>
      <w:r w:rsidRPr="00194EC8">
        <w:rPr>
          <w:rFonts w:ascii="Times New Roman" w:hAnsi="Times New Roman" w:cs="Times New Roman"/>
          <w:sz w:val="24"/>
          <w:szCs w:val="24"/>
        </w:rPr>
        <w:t>Α</w:t>
      </w:r>
      <w:r w:rsidRPr="00194EC8">
        <w:rPr>
          <w:rFonts w:ascii="Times New Roman" w:hAnsi="Times New Roman" w:cs="Times New Roman"/>
          <w:sz w:val="24"/>
          <w:szCs w:val="24"/>
          <w:lang w:val="en-US"/>
        </w:rPr>
        <w:t xml:space="preserve">.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2013</w:t>
      </w:r>
      <w:r w:rsidR="00C75E04">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C75E04">
        <w:rPr>
          <w:rFonts w:ascii="Times New Roman" w:hAnsi="Times New Roman" w:cs="Times New Roman"/>
          <w:sz w:val="24"/>
          <w:szCs w:val="24"/>
          <w:lang w:val="en-US"/>
        </w:rPr>
        <w:t>‘Household Balance Sheets, C</w:t>
      </w:r>
      <w:r w:rsidRPr="00194EC8">
        <w:rPr>
          <w:rFonts w:ascii="Times New Roman" w:hAnsi="Times New Roman" w:cs="Times New Roman"/>
          <w:sz w:val="24"/>
          <w:szCs w:val="24"/>
          <w:lang w:val="en-US"/>
        </w:rPr>
        <w:t xml:space="preserve">onsumption and the </w:t>
      </w:r>
      <w:r w:rsidR="00C75E04">
        <w:rPr>
          <w:rFonts w:ascii="Times New Roman" w:hAnsi="Times New Roman" w:cs="Times New Roman"/>
          <w:sz w:val="24"/>
          <w:szCs w:val="24"/>
          <w:lang w:val="en-US"/>
        </w:rPr>
        <w:t>Economic S</w:t>
      </w:r>
      <w:r w:rsidRPr="00194EC8">
        <w:rPr>
          <w:rFonts w:ascii="Times New Roman" w:hAnsi="Times New Roman" w:cs="Times New Roman"/>
          <w:sz w:val="24"/>
          <w:szCs w:val="24"/>
          <w:lang w:val="en-US"/>
        </w:rPr>
        <w:t>lump</w:t>
      </w:r>
      <w:r w:rsidR="00C75E04">
        <w:rPr>
          <w:rFonts w:ascii="Times New Roman" w:hAnsi="Times New Roman" w:cs="Times New Roman"/>
          <w:sz w:val="24"/>
          <w:szCs w:val="24"/>
          <w:lang w:val="en-US"/>
        </w:rPr>
        <w:t>’</w:t>
      </w:r>
      <w:r w:rsidR="004F553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Quarterly Journal of Economics</w:t>
      </w:r>
      <w:r w:rsidR="004F553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4F553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128, </w:t>
      </w:r>
      <w:r w:rsidR="004F553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1687-</w:t>
      </w:r>
      <w:r w:rsidR="006A5847">
        <w:rPr>
          <w:rFonts w:ascii="Times New Roman" w:hAnsi="Times New Roman" w:cs="Times New Roman"/>
          <w:sz w:val="24"/>
          <w:szCs w:val="24"/>
          <w:lang w:val="en-US"/>
        </w:rPr>
        <w:t>1</w:t>
      </w:r>
      <w:r w:rsidRPr="00194EC8">
        <w:rPr>
          <w:rFonts w:ascii="Times New Roman" w:hAnsi="Times New Roman" w:cs="Times New Roman"/>
          <w:sz w:val="24"/>
          <w:szCs w:val="24"/>
          <w:lang w:val="en-US"/>
        </w:rPr>
        <w:t xml:space="preserve">726. </w:t>
      </w:r>
    </w:p>
    <w:p w:rsidR="007C68A5" w:rsidRDefault="007C68A5" w:rsidP="007C68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lastRenderedPageBreak/>
        <w:t>Mian</w:t>
      </w:r>
      <w:proofErr w:type="spellEnd"/>
      <w:r w:rsidRPr="00194EC8">
        <w:rPr>
          <w:rFonts w:ascii="Times New Roman" w:hAnsi="Times New Roman" w:cs="Times New Roman"/>
          <w:sz w:val="24"/>
          <w:szCs w:val="24"/>
          <w:lang w:val="en-US"/>
        </w:rPr>
        <w:t>, A., Sufi</w:t>
      </w:r>
      <w:r w:rsidR="00A174E4" w:rsidRPr="00194EC8">
        <w:rPr>
          <w:rFonts w:ascii="Times New Roman" w:hAnsi="Times New Roman" w:cs="Times New Roman"/>
          <w:sz w:val="24"/>
          <w:szCs w:val="24"/>
          <w:lang w:val="en-US"/>
        </w:rPr>
        <w:t>, A.</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proofErr w:type="spellStart"/>
      <w:r w:rsidRPr="00194EC8">
        <w:rPr>
          <w:rFonts w:ascii="Times New Roman" w:hAnsi="Times New Roman" w:cs="Times New Roman"/>
          <w:sz w:val="24"/>
          <w:szCs w:val="24"/>
          <w:lang w:val="en-US"/>
        </w:rPr>
        <w:t>Verner</w:t>
      </w:r>
      <w:proofErr w:type="spellEnd"/>
      <w:r w:rsidRPr="00194EC8">
        <w:rPr>
          <w:rFonts w:ascii="Times New Roman" w:hAnsi="Times New Roman" w:cs="Times New Roman"/>
          <w:sz w:val="24"/>
          <w:szCs w:val="24"/>
          <w:lang w:val="en-US"/>
        </w:rPr>
        <w:t xml:space="preserve">, E.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2015</w:t>
      </w:r>
      <w:r w:rsidR="004F553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proofErr w:type="gramStart"/>
      <w:r w:rsidR="004F5539">
        <w:rPr>
          <w:rFonts w:ascii="Times New Roman" w:hAnsi="Times New Roman" w:cs="Times New Roman"/>
          <w:sz w:val="24"/>
          <w:szCs w:val="24"/>
          <w:lang w:val="en-US"/>
        </w:rPr>
        <w:t>‘Household Debt and Business Cycles W</w:t>
      </w:r>
      <w:r w:rsidRPr="00194EC8">
        <w:rPr>
          <w:rFonts w:ascii="Times New Roman" w:hAnsi="Times New Roman" w:cs="Times New Roman"/>
          <w:sz w:val="24"/>
          <w:szCs w:val="24"/>
          <w:lang w:val="en-US"/>
        </w:rPr>
        <w:t>orldwide</w:t>
      </w:r>
      <w:r w:rsidR="004F553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NBER Working Paper, No 21581.</w:t>
      </w:r>
      <w:proofErr w:type="gramEnd"/>
    </w:p>
    <w:p w:rsidR="00F61B6F" w:rsidRPr="00194EC8" w:rsidRDefault="00F61B6F" w:rsidP="007C68A5">
      <w:pPr>
        <w:spacing w:line="480" w:lineRule="auto"/>
        <w:ind w:left="851" w:hanging="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Midrigan</w:t>
      </w:r>
      <w:proofErr w:type="spellEnd"/>
      <w:r>
        <w:rPr>
          <w:rFonts w:ascii="Times New Roman" w:hAnsi="Times New Roman" w:cs="Times New Roman"/>
          <w:sz w:val="24"/>
          <w:szCs w:val="24"/>
          <w:lang w:val="en-US"/>
        </w:rPr>
        <w:t xml:space="preserve">, V. and </w:t>
      </w:r>
      <w:proofErr w:type="spellStart"/>
      <w:r>
        <w:rPr>
          <w:rFonts w:ascii="Times New Roman" w:hAnsi="Times New Roman" w:cs="Times New Roman"/>
          <w:sz w:val="24"/>
          <w:szCs w:val="24"/>
          <w:lang w:val="en-US"/>
        </w:rPr>
        <w:t>Philippon</w:t>
      </w:r>
      <w:proofErr w:type="spellEnd"/>
      <w:r>
        <w:rPr>
          <w:rFonts w:ascii="Times New Roman" w:hAnsi="Times New Roman" w:cs="Times New Roman"/>
          <w:sz w:val="24"/>
          <w:szCs w:val="24"/>
          <w:lang w:val="en-US"/>
        </w:rPr>
        <w:t>, T. (2011).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‘Housing Leverage and the Recession’, </w:t>
      </w:r>
      <w:r w:rsidR="00160F7C">
        <w:rPr>
          <w:rFonts w:ascii="Times New Roman" w:hAnsi="Times New Roman" w:cs="Times New Roman"/>
          <w:sz w:val="24"/>
          <w:szCs w:val="24"/>
          <w:lang w:val="en-US"/>
        </w:rPr>
        <w:t>New York University, mimeo.</w:t>
      </w:r>
      <w:proofErr w:type="gramEnd"/>
    </w:p>
    <w:p w:rsidR="00541BB1" w:rsidRPr="00194EC8" w:rsidRDefault="00541BB1" w:rsidP="00541BB1">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Mishkin</w:t>
      </w:r>
      <w:proofErr w:type="spellEnd"/>
      <w:r w:rsidRPr="00194EC8">
        <w:rPr>
          <w:rFonts w:ascii="Times New Roman" w:hAnsi="Times New Roman" w:cs="Times New Roman"/>
          <w:sz w:val="24"/>
          <w:szCs w:val="24"/>
          <w:lang w:val="en-US"/>
        </w:rPr>
        <w:t xml:space="preserve">, F.S.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1976</w:t>
      </w:r>
      <w:r w:rsidR="002C75AC">
        <w:rPr>
          <w:rFonts w:ascii="Times New Roman" w:hAnsi="Times New Roman" w:cs="Times New Roman"/>
          <w:sz w:val="24"/>
          <w:szCs w:val="24"/>
          <w:lang w:val="en-US"/>
        </w:rPr>
        <w:t>)</w:t>
      </w:r>
      <w:r w:rsidR="004F553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‘Illiquidity, Consumer Durable Expenditures, and M</w:t>
      </w:r>
      <w:r w:rsidRPr="00194EC8">
        <w:rPr>
          <w:rFonts w:ascii="Times New Roman" w:hAnsi="Times New Roman" w:cs="Times New Roman"/>
          <w:sz w:val="24"/>
          <w:szCs w:val="24"/>
          <w:lang w:val="en-US"/>
        </w:rPr>
        <w:t>one</w:t>
      </w:r>
      <w:r w:rsidR="003E4C09">
        <w:rPr>
          <w:rFonts w:ascii="Times New Roman" w:hAnsi="Times New Roman" w:cs="Times New Roman"/>
          <w:sz w:val="24"/>
          <w:szCs w:val="24"/>
          <w:lang w:val="en-US"/>
        </w:rPr>
        <w:t>tary P</w:t>
      </w:r>
      <w:r w:rsidRPr="00194EC8">
        <w:rPr>
          <w:rFonts w:ascii="Times New Roman" w:hAnsi="Times New Roman" w:cs="Times New Roman"/>
          <w:sz w:val="24"/>
          <w:szCs w:val="24"/>
          <w:lang w:val="en-US"/>
        </w:rPr>
        <w:t>olicy</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American Economic Review</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66, </w:t>
      </w:r>
      <w:r w:rsidR="003E4C0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642-</w:t>
      </w:r>
      <w:r w:rsidR="006A5847">
        <w:rPr>
          <w:rFonts w:ascii="Times New Roman" w:hAnsi="Times New Roman" w:cs="Times New Roman"/>
          <w:sz w:val="24"/>
          <w:szCs w:val="24"/>
          <w:lang w:val="en-US"/>
        </w:rPr>
        <w:t>6</w:t>
      </w:r>
      <w:r w:rsidRPr="00194EC8">
        <w:rPr>
          <w:rFonts w:ascii="Times New Roman" w:hAnsi="Times New Roman" w:cs="Times New Roman"/>
          <w:sz w:val="24"/>
          <w:szCs w:val="24"/>
          <w:lang w:val="en-US"/>
        </w:rPr>
        <w:t>54.</w:t>
      </w:r>
    </w:p>
    <w:p w:rsidR="00E04EED" w:rsidRPr="00194EC8" w:rsidRDefault="00E04EED" w:rsidP="00E04EED">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Mishkin</w:t>
      </w:r>
      <w:proofErr w:type="spellEnd"/>
      <w:r w:rsidRPr="00194EC8">
        <w:rPr>
          <w:rFonts w:ascii="Times New Roman" w:hAnsi="Times New Roman" w:cs="Times New Roman"/>
          <w:sz w:val="24"/>
          <w:szCs w:val="24"/>
          <w:lang w:val="en-US"/>
        </w:rPr>
        <w:t>, F</w:t>
      </w:r>
      <w:r w:rsidR="00CE3EF7" w:rsidRPr="00194EC8">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S.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1977</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What </w:t>
      </w:r>
      <w:r w:rsidR="003E4C09">
        <w:rPr>
          <w:rFonts w:ascii="Times New Roman" w:hAnsi="Times New Roman" w:cs="Times New Roman"/>
          <w:sz w:val="24"/>
          <w:szCs w:val="24"/>
          <w:lang w:val="en-US"/>
        </w:rPr>
        <w:t>D</w:t>
      </w:r>
      <w:r w:rsidRPr="00194EC8">
        <w:rPr>
          <w:rFonts w:ascii="Times New Roman" w:hAnsi="Times New Roman" w:cs="Times New Roman"/>
          <w:sz w:val="24"/>
          <w:szCs w:val="24"/>
          <w:lang w:val="en-US"/>
        </w:rPr>
        <w:t xml:space="preserve">epressed the </w:t>
      </w:r>
      <w:r w:rsidR="003E4C09">
        <w:rPr>
          <w:rFonts w:ascii="Times New Roman" w:hAnsi="Times New Roman" w:cs="Times New Roman"/>
          <w:sz w:val="24"/>
          <w:szCs w:val="24"/>
          <w:lang w:val="en-US"/>
        </w:rPr>
        <w:t>C</w:t>
      </w:r>
      <w:r w:rsidRPr="00194EC8">
        <w:rPr>
          <w:rFonts w:ascii="Times New Roman" w:hAnsi="Times New Roman" w:cs="Times New Roman"/>
          <w:sz w:val="24"/>
          <w:szCs w:val="24"/>
          <w:lang w:val="en-US"/>
        </w:rPr>
        <w:t xml:space="preserve">onsumer? The </w:t>
      </w:r>
      <w:r w:rsidR="003E4C09">
        <w:rPr>
          <w:rFonts w:ascii="Times New Roman" w:hAnsi="Times New Roman" w:cs="Times New Roman"/>
          <w:sz w:val="24"/>
          <w:szCs w:val="24"/>
          <w:lang w:val="en-US"/>
        </w:rPr>
        <w:t>H</w:t>
      </w:r>
      <w:r w:rsidRPr="00194EC8">
        <w:rPr>
          <w:rFonts w:ascii="Times New Roman" w:hAnsi="Times New Roman" w:cs="Times New Roman"/>
          <w:sz w:val="24"/>
          <w:szCs w:val="24"/>
          <w:lang w:val="en-US"/>
        </w:rPr>
        <w:t xml:space="preserve">ousehold </w:t>
      </w:r>
      <w:r w:rsidR="003E4C09">
        <w:rPr>
          <w:rFonts w:ascii="Times New Roman" w:hAnsi="Times New Roman" w:cs="Times New Roman"/>
          <w:sz w:val="24"/>
          <w:szCs w:val="24"/>
          <w:lang w:val="en-US"/>
        </w:rPr>
        <w:t>B</w:t>
      </w:r>
      <w:r w:rsidRPr="00194EC8">
        <w:rPr>
          <w:rFonts w:ascii="Times New Roman" w:hAnsi="Times New Roman" w:cs="Times New Roman"/>
          <w:sz w:val="24"/>
          <w:szCs w:val="24"/>
          <w:lang w:val="en-US"/>
        </w:rPr>
        <w:t xml:space="preserve">alance </w:t>
      </w:r>
      <w:r w:rsidR="003E4C09">
        <w:rPr>
          <w:rFonts w:ascii="Times New Roman" w:hAnsi="Times New Roman" w:cs="Times New Roman"/>
          <w:sz w:val="24"/>
          <w:szCs w:val="24"/>
          <w:lang w:val="en-US"/>
        </w:rPr>
        <w:t>S</w:t>
      </w:r>
      <w:r w:rsidRPr="00194EC8">
        <w:rPr>
          <w:rFonts w:ascii="Times New Roman" w:hAnsi="Times New Roman" w:cs="Times New Roman"/>
          <w:sz w:val="24"/>
          <w:szCs w:val="24"/>
          <w:lang w:val="en-US"/>
        </w:rPr>
        <w:t>heet</w:t>
      </w:r>
      <w:r w:rsidR="00CE3EF7"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and the 1973-75 </w:t>
      </w:r>
      <w:r w:rsidR="003E4C09">
        <w:rPr>
          <w:rFonts w:ascii="Times New Roman" w:hAnsi="Times New Roman" w:cs="Times New Roman"/>
          <w:sz w:val="24"/>
          <w:szCs w:val="24"/>
          <w:lang w:val="en-US"/>
        </w:rPr>
        <w:t>R</w:t>
      </w:r>
      <w:r w:rsidRPr="00194EC8">
        <w:rPr>
          <w:rFonts w:ascii="Times New Roman" w:hAnsi="Times New Roman" w:cs="Times New Roman"/>
          <w:sz w:val="24"/>
          <w:szCs w:val="24"/>
          <w:lang w:val="en-US"/>
        </w:rPr>
        <w:t>ecession</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Brooki</w:t>
      </w:r>
      <w:r w:rsidR="00CA046F" w:rsidRPr="002C75AC">
        <w:rPr>
          <w:rFonts w:ascii="Times New Roman" w:hAnsi="Times New Roman" w:cs="Times New Roman"/>
          <w:i/>
          <w:sz w:val="24"/>
          <w:szCs w:val="24"/>
          <w:lang w:val="en-US"/>
        </w:rPr>
        <w:t>ngs Papers on Economic Activity</w:t>
      </w:r>
      <w:r w:rsidR="003E4C09">
        <w:rPr>
          <w:rFonts w:ascii="Times New Roman" w:hAnsi="Times New Roman" w:cs="Times New Roman"/>
          <w:i/>
          <w:sz w:val="24"/>
          <w:szCs w:val="24"/>
          <w:lang w:val="en-US"/>
        </w:rPr>
        <w:t>,</w:t>
      </w:r>
      <w:r w:rsidR="00CA046F"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00CA046F" w:rsidRPr="00194EC8">
        <w:rPr>
          <w:rFonts w:ascii="Times New Roman" w:hAnsi="Times New Roman" w:cs="Times New Roman"/>
          <w:sz w:val="24"/>
          <w:szCs w:val="24"/>
          <w:lang w:val="en-US"/>
        </w:rPr>
        <w:t xml:space="preserve">1, </w:t>
      </w:r>
      <w:proofErr w:type="gramStart"/>
      <w:r w:rsidR="003E4C09">
        <w:rPr>
          <w:rFonts w:ascii="Times New Roman" w:hAnsi="Times New Roman" w:cs="Times New Roman"/>
          <w:sz w:val="24"/>
          <w:szCs w:val="24"/>
          <w:lang w:val="en-US"/>
        </w:rPr>
        <w:t>pp</w:t>
      </w:r>
      <w:proofErr w:type="gramEnd"/>
      <w:r w:rsidR="003E4C09">
        <w:rPr>
          <w:rFonts w:ascii="Times New Roman" w:hAnsi="Times New Roman" w:cs="Times New Roman"/>
          <w:sz w:val="24"/>
          <w:szCs w:val="24"/>
          <w:lang w:val="en-US"/>
        </w:rPr>
        <w:t xml:space="preserve">. </w:t>
      </w:r>
      <w:r w:rsidR="00CA046F" w:rsidRPr="00194EC8">
        <w:rPr>
          <w:rFonts w:ascii="Times New Roman" w:hAnsi="Times New Roman" w:cs="Times New Roman"/>
          <w:sz w:val="24"/>
          <w:szCs w:val="24"/>
          <w:lang w:val="en-US"/>
        </w:rPr>
        <w:t>123-</w:t>
      </w:r>
      <w:r w:rsidR="006A5847">
        <w:rPr>
          <w:rFonts w:ascii="Times New Roman" w:hAnsi="Times New Roman" w:cs="Times New Roman"/>
          <w:sz w:val="24"/>
          <w:szCs w:val="24"/>
          <w:lang w:val="en-US"/>
        </w:rPr>
        <w:t>1</w:t>
      </w:r>
      <w:r w:rsidR="00CA046F" w:rsidRPr="00194EC8">
        <w:rPr>
          <w:rFonts w:ascii="Times New Roman" w:hAnsi="Times New Roman" w:cs="Times New Roman"/>
          <w:sz w:val="24"/>
          <w:szCs w:val="24"/>
          <w:lang w:val="en-US"/>
        </w:rPr>
        <w:t>64.</w:t>
      </w:r>
    </w:p>
    <w:p w:rsidR="00E04EED" w:rsidRDefault="00E04EED" w:rsidP="00E04EED">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Mishkin</w:t>
      </w:r>
      <w:proofErr w:type="spellEnd"/>
      <w:r w:rsidRPr="00194EC8">
        <w:rPr>
          <w:rFonts w:ascii="Times New Roman" w:hAnsi="Times New Roman" w:cs="Times New Roman"/>
          <w:sz w:val="24"/>
          <w:szCs w:val="24"/>
          <w:lang w:val="en-US"/>
        </w:rPr>
        <w:t>, F</w:t>
      </w:r>
      <w:r w:rsidR="00CE3EF7" w:rsidRPr="00194EC8">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S.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1978</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The </w:t>
      </w:r>
      <w:r w:rsidR="003E4C09">
        <w:rPr>
          <w:rFonts w:ascii="Times New Roman" w:hAnsi="Times New Roman" w:cs="Times New Roman"/>
          <w:sz w:val="24"/>
          <w:szCs w:val="24"/>
          <w:lang w:val="en-US"/>
        </w:rPr>
        <w:t>H</w:t>
      </w:r>
      <w:r w:rsidRPr="00194EC8">
        <w:rPr>
          <w:rFonts w:ascii="Times New Roman" w:hAnsi="Times New Roman" w:cs="Times New Roman"/>
          <w:sz w:val="24"/>
          <w:szCs w:val="24"/>
          <w:lang w:val="en-US"/>
        </w:rPr>
        <w:t xml:space="preserve">ousehold </w:t>
      </w:r>
      <w:r w:rsidR="003E4C09">
        <w:rPr>
          <w:rFonts w:ascii="Times New Roman" w:hAnsi="Times New Roman" w:cs="Times New Roman"/>
          <w:sz w:val="24"/>
          <w:szCs w:val="24"/>
          <w:lang w:val="en-US"/>
        </w:rPr>
        <w:t>B</w:t>
      </w:r>
      <w:r w:rsidRPr="00194EC8">
        <w:rPr>
          <w:rFonts w:ascii="Times New Roman" w:hAnsi="Times New Roman" w:cs="Times New Roman"/>
          <w:sz w:val="24"/>
          <w:szCs w:val="24"/>
          <w:lang w:val="en-US"/>
        </w:rPr>
        <w:t xml:space="preserve">alance </w:t>
      </w:r>
      <w:r w:rsidR="003E4C09">
        <w:rPr>
          <w:rFonts w:ascii="Times New Roman" w:hAnsi="Times New Roman" w:cs="Times New Roman"/>
          <w:sz w:val="24"/>
          <w:szCs w:val="24"/>
          <w:lang w:val="en-US"/>
        </w:rPr>
        <w:t>S</w:t>
      </w:r>
      <w:r w:rsidRPr="00194EC8">
        <w:rPr>
          <w:rFonts w:ascii="Times New Roman" w:hAnsi="Times New Roman" w:cs="Times New Roman"/>
          <w:sz w:val="24"/>
          <w:szCs w:val="24"/>
          <w:lang w:val="en-US"/>
        </w:rPr>
        <w:t>heet</w:t>
      </w:r>
      <w:r w:rsidR="003E4C09">
        <w:rPr>
          <w:rFonts w:ascii="Times New Roman" w:hAnsi="Times New Roman" w:cs="Times New Roman"/>
          <w:sz w:val="24"/>
          <w:szCs w:val="24"/>
          <w:lang w:val="en-US"/>
        </w:rPr>
        <w:t xml:space="preserve"> and the Great Depression’,</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Journal</w:t>
      </w:r>
      <w:r w:rsidR="00CE3EF7" w:rsidRPr="002C75AC">
        <w:rPr>
          <w:rFonts w:ascii="Times New Roman" w:hAnsi="Times New Roman" w:cs="Times New Roman"/>
          <w:i/>
          <w:sz w:val="24"/>
          <w:szCs w:val="24"/>
          <w:lang w:val="en-US"/>
        </w:rPr>
        <w:t xml:space="preserve"> </w:t>
      </w:r>
      <w:r w:rsidR="00CA046F" w:rsidRPr="002C75AC">
        <w:rPr>
          <w:rFonts w:ascii="Times New Roman" w:hAnsi="Times New Roman" w:cs="Times New Roman"/>
          <w:i/>
          <w:sz w:val="24"/>
          <w:szCs w:val="24"/>
          <w:lang w:val="en-US"/>
        </w:rPr>
        <w:t>of Economic History</w:t>
      </w:r>
      <w:r w:rsidR="003E4C09">
        <w:rPr>
          <w:rFonts w:ascii="Times New Roman" w:hAnsi="Times New Roman" w:cs="Times New Roman"/>
          <w:i/>
          <w:sz w:val="24"/>
          <w:szCs w:val="24"/>
          <w:lang w:val="en-US"/>
        </w:rPr>
        <w:t>,</w:t>
      </w:r>
      <w:r w:rsidR="00CA046F"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00CA046F" w:rsidRPr="00194EC8">
        <w:rPr>
          <w:rFonts w:ascii="Times New Roman" w:hAnsi="Times New Roman" w:cs="Times New Roman"/>
          <w:sz w:val="24"/>
          <w:szCs w:val="24"/>
          <w:lang w:val="en-US"/>
        </w:rPr>
        <w:t xml:space="preserve">38, </w:t>
      </w:r>
      <w:r w:rsidR="003E4C09">
        <w:rPr>
          <w:rFonts w:ascii="Times New Roman" w:hAnsi="Times New Roman" w:cs="Times New Roman"/>
          <w:sz w:val="24"/>
          <w:szCs w:val="24"/>
          <w:lang w:val="en-US"/>
        </w:rPr>
        <w:t xml:space="preserve">pp. </w:t>
      </w:r>
      <w:r w:rsidR="00CA046F" w:rsidRPr="00194EC8">
        <w:rPr>
          <w:rFonts w:ascii="Times New Roman" w:hAnsi="Times New Roman" w:cs="Times New Roman"/>
          <w:sz w:val="24"/>
          <w:szCs w:val="24"/>
          <w:lang w:val="en-US"/>
        </w:rPr>
        <w:t>918-</w:t>
      </w:r>
      <w:r w:rsidR="006A5847">
        <w:rPr>
          <w:rFonts w:ascii="Times New Roman" w:hAnsi="Times New Roman" w:cs="Times New Roman"/>
          <w:sz w:val="24"/>
          <w:szCs w:val="24"/>
          <w:lang w:val="en-US"/>
        </w:rPr>
        <w:t>9</w:t>
      </w:r>
      <w:r w:rsidR="00CA046F" w:rsidRPr="00194EC8">
        <w:rPr>
          <w:rFonts w:ascii="Times New Roman" w:hAnsi="Times New Roman" w:cs="Times New Roman"/>
          <w:sz w:val="24"/>
          <w:szCs w:val="24"/>
          <w:lang w:val="en-US"/>
        </w:rPr>
        <w:t>37.</w:t>
      </w:r>
    </w:p>
    <w:p w:rsidR="00EB185E" w:rsidRPr="00194EC8" w:rsidRDefault="00EB185E" w:rsidP="00E04EED">
      <w:pPr>
        <w:spacing w:line="480" w:lineRule="auto"/>
        <w:ind w:left="851" w:hanging="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Montplaisir</w:t>
      </w:r>
      <w:proofErr w:type="spellEnd"/>
      <w:r>
        <w:rPr>
          <w:rFonts w:ascii="Times New Roman" w:hAnsi="Times New Roman" w:cs="Times New Roman"/>
          <w:sz w:val="24"/>
          <w:szCs w:val="24"/>
          <w:lang w:val="en-US"/>
        </w:rPr>
        <w:t xml:space="preserve">, M.C. (1997). ‘The Maturity Structure of Household Financial Assets and Liabilities’, </w:t>
      </w:r>
      <w:r w:rsidRPr="00EB185E">
        <w:rPr>
          <w:rFonts w:ascii="Times New Roman" w:hAnsi="Times New Roman" w:cs="Times New Roman"/>
          <w:i/>
          <w:sz w:val="24"/>
          <w:szCs w:val="24"/>
          <w:lang w:val="en-US"/>
        </w:rPr>
        <w:t>Bank of Canada Review</w:t>
      </w:r>
      <w:r>
        <w:rPr>
          <w:rFonts w:ascii="Times New Roman" w:hAnsi="Times New Roman" w:cs="Times New Roman"/>
          <w:sz w:val="24"/>
          <w:szCs w:val="24"/>
          <w:lang w:val="en-US"/>
        </w:rPr>
        <w:t>, pp. 33-46.</w:t>
      </w:r>
    </w:p>
    <w:p w:rsidR="000C7558" w:rsidRPr="00194EC8" w:rsidRDefault="000C7558" w:rsidP="00E24DA5">
      <w:pPr>
        <w:spacing w:line="480" w:lineRule="auto"/>
        <w:ind w:left="851" w:hanging="851"/>
        <w:jc w:val="both"/>
        <w:rPr>
          <w:rFonts w:ascii="Times New Roman" w:hAnsi="Times New Roman" w:cs="Times New Roman"/>
          <w:sz w:val="24"/>
          <w:szCs w:val="24"/>
          <w:lang w:val="en-US"/>
        </w:rPr>
      </w:pPr>
      <w:r w:rsidRPr="00194EC8">
        <w:rPr>
          <w:rFonts w:ascii="Times New Roman" w:hAnsi="Times New Roman" w:cs="Times New Roman"/>
          <w:sz w:val="24"/>
          <w:szCs w:val="24"/>
          <w:lang w:val="en-US"/>
        </w:rPr>
        <w:t xml:space="preserve">Morley, J.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2016</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‘Macro-Financial Linkages’,</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Journal of Economic Surveys</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30, </w:t>
      </w:r>
      <w:r w:rsidR="003E4C0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698-711.</w:t>
      </w:r>
    </w:p>
    <w:p w:rsidR="000C7558"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Obstfeld</w:t>
      </w:r>
      <w:proofErr w:type="spellEnd"/>
      <w:r w:rsidRPr="00194EC8">
        <w:rPr>
          <w:rFonts w:ascii="Times New Roman" w:hAnsi="Times New Roman" w:cs="Times New Roman"/>
          <w:sz w:val="24"/>
          <w:szCs w:val="24"/>
          <w:lang w:val="en-US"/>
        </w:rPr>
        <w:t>, M.</w:t>
      </w:r>
      <w:r w:rsidR="002C75AC">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proofErr w:type="spellStart"/>
      <w:r w:rsidR="000C7558" w:rsidRPr="00194EC8">
        <w:rPr>
          <w:rFonts w:ascii="Times New Roman" w:hAnsi="Times New Roman" w:cs="Times New Roman"/>
          <w:sz w:val="24"/>
          <w:szCs w:val="24"/>
          <w:lang w:val="en-US"/>
        </w:rPr>
        <w:t>Rogoff</w:t>
      </w:r>
      <w:proofErr w:type="spellEnd"/>
      <w:r w:rsidR="000C7558" w:rsidRPr="00194EC8">
        <w:rPr>
          <w:rFonts w:ascii="Times New Roman" w:hAnsi="Times New Roman" w:cs="Times New Roman"/>
          <w:sz w:val="24"/>
          <w:szCs w:val="24"/>
          <w:lang w:val="en-US"/>
        </w:rPr>
        <w:t xml:space="preserve">, K. </w:t>
      </w:r>
      <w:r w:rsidR="002C75AC">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2002</w:t>
      </w:r>
      <w:r w:rsidR="003E4C09">
        <w:rPr>
          <w:rFonts w:ascii="Times New Roman" w:hAnsi="Times New Roman" w:cs="Times New Roman"/>
          <w:sz w:val="24"/>
          <w:szCs w:val="24"/>
          <w:lang w:val="en-US"/>
        </w:rPr>
        <w:t>).</w:t>
      </w:r>
      <w:proofErr w:type="gramEnd"/>
      <w:r w:rsidR="000C7558"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‘Global Implications of Self-Oriented National Monetary R</w:t>
      </w:r>
      <w:r w:rsidR="000C7558" w:rsidRPr="00194EC8">
        <w:rPr>
          <w:rFonts w:ascii="Times New Roman" w:hAnsi="Times New Roman" w:cs="Times New Roman"/>
          <w:sz w:val="24"/>
          <w:szCs w:val="24"/>
          <w:lang w:val="en-US"/>
        </w:rPr>
        <w:t>ules</w:t>
      </w:r>
      <w:r w:rsidR="003E4C09">
        <w:rPr>
          <w:rFonts w:ascii="Times New Roman" w:hAnsi="Times New Roman" w:cs="Times New Roman"/>
          <w:sz w:val="24"/>
          <w:szCs w:val="24"/>
          <w:lang w:val="en-US"/>
        </w:rPr>
        <w:t>’,</w:t>
      </w:r>
      <w:r w:rsidR="000C7558" w:rsidRPr="00194EC8">
        <w:rPr>
          <w:rFonts w:ascii="Times New Roman" w:hAnsi="Times New Roman" w:cs="Times New Roman"/>
          <w:sz w:val="24"/>
          <w:szCs w:val="24"/>
          <w:lang w:val="en-US"/>
        </w:rPr>
        <w:t xml:space="preserve"> </w:t>
      </w:r>
      <w:r w:rsidR="000C7558" w:rsidRPr="002C75AC">
        <w:rPr>
          <w:rFonts w:ascii="Times New Roman" w:hAnsi="Times New Roman" w:cs="Times New Roman"/>
          <w:i/>
          <w:sz w:val="24"/>
          <w:szCs w:val="24"/>
          <w:lang w:val="en-US"/>
        </w:rPr>
        <w:t>Quarterly Journal of Economics</w:t>
      </w:r>
      <w:r w:rsidR="003E4C09">
        <w:rPr>
          <w:rFonts w:ascii="Times New Roman" w:hAnsi="Times New Roman" w:cs="Times New Roman"/>
          <w:i/>
          <w:sz w:val="24"/>
          <w:szCs w:val="24"/>
          <w:lang w:val="en-US"/>
        </w:rPr>
        <w:t>,</w:t>
      </w:r>
      <w:r w:rsidR="000C7558"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000C7558" w:rsidRPr="00194EC8">
        <w:rPr>
          <w:rFonts w:ascii="Times New Roman" w:hAnsi="Times New Roman" w:cs="Times New Roman"/>
          <w:sz w:val="24"/>
          <w:szCs w:val="24"/>
          <w:lang w:val="en-US"/>
        </w:rPr>
        <w:t xml:space="preserve">117, </w:t>
      </w:r>
      <w:r w:rsidR="003E4C09">
        <w:rPr>
          <w:rFonts w:ascii="Times New Roman" w:hAnsi="Times New Roman" w:cs="Times New Roman"/>
          <w:sz w:val="24"/>
          <w:szCs w:val="24"/>
          <w:lang w:val="en-US"/>
        </w:rPr>
        <w:t xml:space="preserve">pp. </w:t>
      </w:r>
      <w:r w:rsidR="000C7558" w:rsidRPr="00194EC8">
        <w:rPr>
          <w:rFonts w:ascii="Times New Roman" w:hAnsi="Times New Roman" w:cs="Times New Roman"/>
          <w:sz w:val="24"/>
          <w:szCs w:val="24"/>
          <w:lang w:val="en-US"/>
        </w:rPr>
        <w:t>503-</w:t>
      </w:r>
      <w:r w:rsidR="006A5847">
        <w:rPr>
          <w:rFonts w:ascii="Times New Roman" w:hAnsi="Times New Roman" w:cs="Times New Roman"/>
          <w:sz w:val="24"/>
          <w:szCs w:val="24"/>
          <w:lang w:val="en-US"/>
        </w:rPr>
        <w:t>5</w:t>
      </w:r>
      <w:r w:rsidR="000C7558" w:rsidRPr="00194EC8">
        <w:rPr>
          <w:rFonts w:ascii="Times New Roman" w:hAnsi="Times New Roman" w:cs="Times New Roman"/>
          <w:sz w:val="24"/>
          <w:szCs w:val="24"/>
          <w:lang w:val="en-US"/>
        </w:rPr>
        <w:t>35.</w:t>
      </w:r>
    </w:p>
    <w:p w:rsidR="00EB185E" w:rsidRPr="00194EC8" w:rsidRDefault="00EB185E" w:rsidP="00E24DA5">
      <w:pPr>
        <w:spacing w:line="480" w:lineRule="auto"/>
        <w:ind w:left="851" w:hanging="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OECD (1998).</w:t>
      </w:r>
      <w:proofErr w:type="gramEnd"/>
      <w:r>
        <w:rPr>
          <w:rFonts w:ascii="Times New Roman" w:hAnsi="Times New Roman" w:cs="Times New Roman"/>
          <w:sz w:val="24"/>
          <w:szCs w:val="24"/>
          <w:lang w:val="en-US"/>
        </w:rPr>
        <w:t xml:space="preserve"> ‘The Retirement Decision in OECD Countries’, Working Paper, No. 2, Paris: OECD.</w:t>
      </w:r>
    </w:p>
    <w:p w:rsidR="005832EB" w:rsidRPr="00194EC8" w:rsidRDefault="005832EB" w:rsidP="005832EB">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Ogawa, K</w:t>
      </w:r>
      <w:r w:rsidR="00A174E4" w:rsidRPr="00194EC8">
        <w:rPr>
          <w:rFonts w:ascii="Times New Roman" w:hAnsi="Times New Roman" w:cs="Times New Roman"/>
          <w:sz w:val="24"/>
          <w:szCs w:val="24"/>
          <w:lang w:val="en-US"/>
        </w:rPr>
        <w:t>.</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Wan, J.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2007</w:t>
      </w:r>
      <w:r w:rsidR="003E4C0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‘Household Debt and Consumption: A Quantitative Analysis based on Household Micro D</w:t>
      </w:r>
      <w:r w:rsidRPr="00194EC8">
        <w:rPr>
          <w:rFonts w:ascii="Times New Roman" w:hAnsi="Times New Roman" w:cs="Times New Roman"/>
          <w:sz w:val="24"/>
          <w:szCs w:val="24"/>
          <w:lang w:val="en-US"/>
        </w:rPr>
        <w:t>ata for Japan</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Journal of Housing Economics</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16, </w:t>
      </w:r>
      <w:r w:rsidR="003E4C09">
        <w:rPr>
          <w:rFonts w:ascii="Times New Roman" w:hAnsi="Times New Roman" w:cs="Times New Roman"/>
          <w:sz w:val="24"/>
          <w:szCs w:val="24"/>
          <w:lang w:val="en-US"/>
        </w:rPr>
        <w:t xml:space="preserve">pp. </w:t>
      </w:r>
      <w:r w:rsidR="00923FDB" w:rsidRPr="00194EC8">
        <w:rPr>
          <w:rFonts w:ascii="Times New Roman" w:hAnsi="Times New Roman" w:cs="Times New Roman"/>
          <w:sz w:val="24"/>
          <w:szCs w:val="24"/>
          <w:lang w:val="en-US"/>
        </w:rPr>
        <w:t>127-</w:t>
      </w:r>
      <w:r w:rsidR="006A5847">
        <w:rPr>
          <w:rFonts w:ascii="Times New Roman" w:hAnsi="Times New Roman" w:cs="Times New Roman"/>
          <w:sz w:val="24"/>
          <w:szCs w:val="24"/>
          <w:lang w:val="en-US"/>
        </w:rPr>
        <w:t>1</w:t>
      </w:r>
      <w:r w:rsidR="00923FDB" w:rsidRPr="00194EC8">
        <w:rPr>
          <w:rFonts w:ascii="Times New Roman" w:hAnsi="Times New Roman" w:cs="Times New Roman"/>
          <w:sz w:val="24"/>
          <w:szCs w:val="24"/>
          <w:lang w:val="en-US"/>
        </w:rPr>
        <w:t>42.</w:t>
      </w:r>
    </w:p>
    <w:p w:rsidR="00601DBC" w:rsidRPr="00194EC8" w:rsidRDefault="00601DBC" w:rsidP="005832EB">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lastRenderedPageBreak/>
        <w:t xml:space="preserve">Olney, M.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1999</w:t>
      </w:r>
      <w:r w:rsidR="003E4C0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proofErr w:type="gramStart"/>
      <w:r w:rsidR="003E4C09">
        <w:rPr>
          <w:rFonts w:ascii="Times New Roman" w:hAnsi="Times New Roman" w:cs="Times New Roman"/>
          <w:sz w:val="24"/>
          <w:szCs w:val="24"/>
          <w:lang w:val="en-US"/>
        </w:rPr>
        <w:t>‘Avoiding Default: The R</w:t>
      </w:r>
      <w:r w:rsidRPr="00194EC8">
        <w:rPr>
          <w:rFonts w:ascii="Times New Roman" w:hAnsi="Times New Roman" w:cs="Times New Roman"/>
          <w:sz w:val="24"/>
          <w:szCs w:val="24"/>
          <w:lang w:val="en-US"/>
        </w:rPr>
        <w:t>ole o</w:t>
      </w:r>
      <w:r w:rsidR="003E4C09">
        <w:rPr>
          <w:rFonts w:ascii="Times New Roman" w:hAnsi="Times New Roman" w:cs="Times New Roman"/>
          <w:sz w:val="24"/>
          <w:szCs w:val="24"/>
          <w:lang w:val="en-US"/>
        </w:rPr>
        <w:t>f Credit in the Consumption C</w:t>
      </w:r>
      <w:r w:rsidRPr="00194EC8">
        <w:rPr>
          <w:rFonts w:ascii="Times New Roman" w:hAnsi="Times New Roman" w:cs="Times New Roman"/>
          <w:sz w:val="24"/>
          <w:szCs w:val="24"/>
          <w:lang w:val="en-US"/>
        </w:rPr>
        <w:t>ollapse of 1930</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Quarterly Journal of Economics</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114, </w:t>
      </w:r>
      <w:r w:rsidR="003E4C0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319-</w:t>
      </w:r>
      <w:r w:rsidR="006A5847">
        <w:rPr>
          <w:rFonts w:ascii="Times New Roman" w:hAnsi="Times New Roman" w:cs="Times New Roman"/>
          <w:sz w:val="24"/>
          <w:szCs w:val="24"/>
          <w:lang w:val="en-US"/>
        </w:rPr>
        <w:t>3</w:t>
      </w:r>
      <w:r w:rsidRPr="00194EC8">
        <w:rPr>
          <w:rFonts w:ascii="Times New Roman" w:hAnsi="Times New Roman" w:cs="Times New Roman"/>
          <w:sz w:val="24"/>
          <w:szCs w:val="24"/>
          <w:lang w:val="en-US"/>
        </w:rPr>
        <w:t>35.</w:t>
      </w:r>
      <w:proofErr w:type="gramEnd"/>
    </w:p>
    <w:p w:rsidR="000C7558" w:rsidRPr="00194EC8" w:rsidRDefault="000C7558"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Quadrini</w:t>
      </w:r>
      <w:proofErr w:type="spellEnd"/>
      <w:r w:rsidRPr="00194EC8">
        <w:rPr>
          <w:rFonts w:ascii="Times New Roman" w:hAnsi="Times New Roman" w:cs="Times New Roman"/>
          <w:sz w:val="24"/>
          <w:szCs w:val="24"/>
          <w:lang w:val="en-US"/>
        </w:rPr>
        <w:t xml:space="preserve">, V.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2014</w:t>
      </w:r>
      <w:r w:rsidR="003E4C0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‘Macroeconomic Effects of Asset-Price Shocks in a Globalized Financial M</w:t>
      </w:r>
      <w:r w:rsidRPr="00194EC8">
        <w:rPr>
          <w:rFonts w:ascii="Times New Roman" w:hAnsi="Times New Roman" w:cs="Times New Roman"/>
          <w:sz w:val="24"/>
          <w:szCs w:val="24"/>
          <w:lang w:val="en-US"/>
        </w:rPr>
        <w:t>arket</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Scandinavian Journal of Economics</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116, </w:t>
      </w:r>
      <w:r w:rsidR="003E4C0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190-217.</w:t>
      </w:r>
    </w:p>
    <w:p w:rsidR="006C5692" w:rsidRPr="00194EC8" w:rsidRDefault="006C5692" w:rsidP="006C5692">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 xml:space="preserve">Parker, J.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1999</w:t>
      </w:r>
      <w:r w:rsidR="003E4C0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‘The Reaction of Household Consumption to Predictable Changes in Social Security T</w:t>
      </w:r>
      <w:r w:rsidRPr="00194EC8">
        <w:rPr>
          <w:rFonts w:ascii="Times New Roman" w:hAnsi="Times New Roman" w:cs="Times New Roman"/>
          <w:sz w:val="24"/>
          <w:szCs w:val="24"/>
          <w:lang w:val="en-US"/>
        </w:rPr>
        <w:t>axes</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American Economic Review</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89, </w:t>
      </w:r>
      <w:r w:rsidR="003E4C0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959</w:t>
      </w:r>
      <w:r w:rsidRPr="00194EC8">
        <w:rPr>
          <w:rFonts w:ascii="Times New Roman" w:eastAsia="MS Gothic" w:hAnsi="Times New Roman" w:cs="Times New Roman" w:hint="eastAsia"/>
          <w:sz w:val="24"/>
          <w:szCs w:val="24"/>
          <w:lang w:val="en-US"/>
        </w:rPr>
        <w:t>‑</w:t>
      </w:r>
      <w:r w:rsidR="006A5847">
        <w:rPr>
          <w:rFonts w:ascii="Times New Roman" w:eastAsia="MS Gothic" w:hAnsi="Times New Roman" w:cs="Times New Roman"/>
          <w:sz w:val="24"/>
          <w:szCs w:val="24"/>
          <w:lang w:val="en-US"/>
        </w:rPr>
        <w:t>9</w:t>
      </w:r>
      <w:r w:rsidRPr="00194EC8">
        <w:rPr>
          <w:rFonts w:ascii="Times New Roman" w:hAnsi="Times New Roman" w:cs="Times New Roman"/>
          <w:sz w:val="24"/>
          <w:szCs w:val="24"/>
          <w:lang w:val="en-US"/>
        </w:rPr>
        <w:t>73.</w:t>
      </w:r>
    </w:p>
    <w:p w:rsidR="009E7F24" w:rsidRDefault="009E7F24" w:rsidP="006C5692">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Pesaran</w:t>
      </w:r>
      <w:proofErr w:type="spellEnd"/>
      <w:r w:rsidRPr="00194EC8">
        <w:rPr>
          <w:rFonts w:ascii="Times New Roman" w:hAnsi="Times New Roman" w:cs="Times New Roman"/>
          <w:sz w:val="24"/>
          <w:szCs w:val="24"/>
          <w:lang w:val="en-US"/>
        </w:rPr>
        <w:t xml:space="preserve">, M.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2007</w:t>
      </w:r>
      <w:r w:rsidR="003E4C0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‘A Simple Panel Unit Root Test in the Presence of Cross-Section D</w:t>
      </w:r>
      <w:r w:rsidRPr="00194EC8">
        <w:rPr>
          <w:rFonts w:ascii="Times New Roman" w:hAnsi="Times New Roman" w:cs="Times New Roman"/>
          <w:sz w:val="24"/>
          <w:szCs w:val="24"/>
          <w:lang w:val="en-US"/>
        </w:rPr>
        <w:t>ependence</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Journal of Applied Econometrics</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22, </w:t>
      </w:r>
      <w:r w:rsidR="003E4C0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 xml:space="preserve">265-312.  </w:t>
      </w:r>
    </w:p>
    <w:p w:rsidR="00EB185E" w:rsidRPr="00194EC8" w:rsidRDefault="00EB185E" w:rsidP="006C5692">
      <w:pPr>
        <w:spacing w:line="480" w:lineRule="auto"/>
        <w:ind w:left="851" w:hanging="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Ragan, C. (1994).</w:t>
      </w:r>
      <w:proofErr w:type="gramEnd"/>
      <w:r>
        <w:rPr>
          <w:rFonts w:ascii="Times New Roman" w:hAnsi="Times New Roman" w:cs="Times New Roman"/>
          <w:sz w:val="24"/>
          <w:szCs w:val="24"/>
          <w:lang w:val="en-US"/>
        </w:rPr>
        <w:t xml:space="preserve"> ‘Progressive Income Taxes and the Substitution Effect of RRSP’, </w:t>
      </w:r>
      <w:r w:rsidRPr="00EB185E">
        <w:rPr>
          <w:rFonts w:ascii="Times New Roman" w:hAnsi="Times New Roman" w:cs="Times New Roman"/>
          <w:i/>
          <w:sz w:val="24"/>
          <w:szCs w:val="24"/>
          <w:lang w:val="en-US"/>
        </w:rPr>
        <w:t>Canadian Journal of Economics</w:t>
      </w:r>
      <w:r>
        <w:rPr>
          <w:rFonts w:ascii="Times New Roman" w:hAnsi="Times New Roman" w:cs="Times New Roman"/>
          <w:sz w:val="24"/>
          <w:szCs w:val="24"/>
          <w:lang w:val="en-US"/>
        </w:rPr>
        <w:t>, Vol. 27, pp. 43-57.</w:t>
      </w:r>
    </w:p>
    <w:p w:rsidR="00CD0860" w:rsidRDefault="00CD0860" w:rsidP="00CD0860">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Schularick</w:t>
      </w:r>
      <w:proofErr w:type="spellEnd"/>
      <w:r w:rsidRPr="00194EC8">
        <w:rPr>
          <w:rFonts w:ascii="Times New Roman" w:hAnsi="Times New Roman" w:cs="Times New Roman"/>
          <w:sz w:val="24"/>
          <w:szCs w:val="24"/>
          <w:lang w:val="en-US"/>
        </w:rPr>
        <w:t>, M</w:t>
      </w:r>
      <w:r w:rsidR="00A174E4" w:rsidRPr="00194EC8">
        <w:rPr>
          <w:rFonts w:ascii="Times New Roman" w:hAnsi="Times New Roman" w:cs="Times New Roman"/>
          <w:sz w:val="24"/>
          <w:szCs w:val="24"/>
          <w:lang w:val="en-US"/>
        </w:rPr>
        <w:t>.</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Taylor, A.</w:t>
      </w:r>
      <w:r w:rsidR="002C75AC">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2012</w:t>
      </w:r>
      <w:r w:rsidR="003E4C0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‘Credit Booms Gone Bust: Monetary Policy, Leverage Cycles and F</w:t>
      </w:r>
      <w:r w:rsidRPr="00194EC8">
        <w:rPr>
          <w:rFonts w:ascii="Times New Roman" w:hAnsi="Times New Roman" w:cs="Times New Roman"/>
          <w:sz w:val="24"/>
          <w:szCs w:val="24"/>
          <w:lang w:val="en-US"/>
        </w:rPr>
        <w:t>inancial</w:t>
      </w:r>
      <w:r w:rsidR="003E4C09">
        <w:rPr>
          <w:rFonts w:ascii="Times New Roman" w:hAnsi="Times New Roman" w:cs="Times New Roman"/>
          <w:sz w:val="24"/>
          <w:szCs w:val="24"/>
          <w:lang w:val="en-US"/>
        </w:rPr>
        <w:t xml:space="preserve"> C</w:t>
      </w:r>
      <w:r w:rsidRPr="00194EC8">
        <w:rPr>
          <w:rFonts w:ascii="Times New Roman" w:hAnsi="Times New Roman" w:cs="Times New Roman"/>
          <w:sz w:val="24"/>
          <w:szCs w:val="24"/>
          <w:lang w:val="en-US"/>
        </w:rPr>
        <w:t>rises</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American Economic Review</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102, </w:t>
      </w:r>
      <w:r w:rsidR="001B076A">
        <w:rPr>
          <w:rFonts w:ascii="Times New Roman" w:hAnsi="Times New Roman" w:cs="Times New Roman"/>
          <w:sz w:val="24"/>
          <w:szCs w:val="24"/>
          <w:lang w:val="en-US"/>
        </w:rPr>
        <w:t>pp</w:t>
      </w:r>
      <w:r w:rsidR="003E4C09">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1029-</w:t>
      </w:r>
      <w:r w:rsidR="006A5847">
        <w:rPr>
          <w:rFonts w:ascii="Times New Roman" w:hAnsi="Times New Roman" w:cs="Times New Roman"/>
          <w:sz w:val="24"/>
          <w:szCs w:val="24"/>
          <w:lang w:val="en-US"/>
        </w:rPr>
        <w:t>10</w:t>
      </w:r>
      <w:r w:rsidRPr="00194EC8">
        <w:rPr>
          <w:rFonts w:ascii="Times New Roman" w:hAnsi="Times New Roman" w:cs="Times New Roman"/>
          <w:sz w:val="24"/>
          <w:szCs w:val="24"/>
          <w:lang w:val="en-US"/>
        </w:rPr>
        <w:t>61.</w:t>
      </w:r>
    </w:p>
    <w:p w:rsidR="00706410" w:rsidRDefault="001B076A" w:rsidP="001B076A">
      <w:pPr>
        <w:spacing w:line="480" w:lineRule="auto"/>
        <w:ind w:left="851" w:hanging="851"/>
        <w:jc w:val="both"/>
        <w:rPr>
          <w:rFonts w:ascii="Times New Roman" w:hAnsi="Times New Roman" w:cs="Times New Roman"/>
          <w:sz w:val="24"/>
          <w:szCs w:val="24"/>
          <w:lang w:val="en-US"/>
        </w:rPr>
      </w:pPr>
      <w:r w:rsidRPr="001B076A">
        <w:rPr>
          <w:rFonts w:ascii="Times New Roman" w:hAnsi="Times New Roman" w:cs="Times New Roman"/>
          <w:sz w:val="24"/>
          <w:szCs w:val="24"/>
          <w:lang w:val="en-US"/>
        </w:rPr>
        <w:t xml:space="preserve">Shea, J. </w:t>
      </w:r>
      <w:r>
        <w:rPr>
          <w:rFonts w:ascii="Times New Roman" w:hAnsi="Times New Roman" w:cs="Times New Roman"/>
          <w:sz w:val="24"/>
          <w:szCs w:val="24"/>
          <w:lang w:val="en-US"/>
        </w:rPr>
        <w:t>(1995). ‘</w:t>
      </w:r>
      <w:r w:rsidRPr="001B076A">
        <w:rPr>
          <w:rFonts w:ascii="Times New Roman" w:hAnsi="Times New Roman" w:cs="Times New Roman"/>
          <w:sz w:val="24"/>
          <w:szCs w:val="24"/>
          <w:lang w:val="en-US"/>
        </w:rPr>
        <w:t>Union Contracts and the Life</w:t>
      </w:r>
      <w:r>
        <w:rPr>
          <w:rFonts w:ascii="Times New Roman" w:hAnsi="Times New Roman" w:cs="Times New Roman"/>
          <w:sz w:val="24"/>
          <w:szCs w:val="24"/>
          <w:lang w:val="en-US"/>
        </w:rPr>
        <w:t>-</w:t>
      </w:r>
      <w:r w:rsidRPr="001B076A">
        <w:rPr>
          <w:rFonts w:ascii="Times New Roman" w:hAnsi="Times New Roman" w:cs="Times New Roman"/>
          <w:sz w:val="24"/>
          <w:szCs w:val="24"/>
          <w:lang w:val="en-US"/>
        </w:rPr>
        <w:t>Cycle/Permanent-Income</w:t>
      </w:r>
      <w:r>
        <w:rPr>
          <w:rFonts w:ascii="Times New Roman" w:hAnsi="Times New Roman" w:cs="Times New Roman"/>
          <w:sz w:val="24"/>
          <w:szCs w:val="24"/>
          <w:lang w:val="en-US"/>
        </w:rPr>
        <w:t xml:space="preserve"> </w:t>
      </w:r>
      <w:r w:rsidRPr="001B076A">
        <w:rPr>
          <w:rFonts w:ascii="Times New Roman" w:hAnsi="Times New Roman" w:cs="Times New Roman"/>
          <w:sz w:val="24"/>
          <w:szCs w:val="24"/>
          <w:lang w:val="en-US"/>
        </w:rPr>
        <w:t>Hypothesis</w:t>
      </w:r>
      <w:r>
        <w:rPr>
          <w:rFonts w:ascii="Times New Roman" w:hAnsi="Times New Roman" w:cs="Times New Roman"/>
          <w:sz w:val="24"/>
          <w:szCs w:val="24"/>
          <w:lang w:val="en-US"/>
        </w:rPr>
        <w:t>’,</w:t>
      </w:r>
      <w:r w:rsidRPr="001B076A">
        <w:rPr>
          <w:rFonts w:ascii="Times New Roman" w:hAnsi="Times New Roman" w:cs="Times New Roman"/>
          <w:sz w:val="24"/>
          <w:szCs w:val="24"/>
          <w:lang w:val="en-US"/>
        </w:rPr>
        <w:t xml:space="preserve"> </w:t>
      </w:r>
      <w:r w:rsidRPr="001B076A">
        <w:rPr>
          <w:rFonts w:ascii="Times New Roman" w:hAnsi="Times New Roman" w:cs="Times New Roman"/>
          <w:i/>
          <w:sz w:val="24"/>
          <w:szCs w:val="24"/>
          <w:lang w:val="en-US"/>
        </w:rPr>
        <w:t>American Economic Review</w:t>
      </w:r>
      <w:r w:rsidRPr="001B07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w:t>
      </w:r>
      <w:r w:rsidRPr="001B076A">
        <w:rPr>
          <w:rFonts w:ascii="Times New Roman" w:hAnsi="Times New Roman" w:cs="Times New Roman"/>
          <w:sz w:val="24"/>
          <w:szCs w:val="24"/>
          <w:lang w:val="en-US"/>
        </w:rPr>
        <w:t>85,</w:t>
      </w:r>
      <w:r>
        <w:rPr>
          <w:rFonts w:ascii="Times New Roman" w:hAnsi="Times New Roman" w:cs="Times New Roman"/>
          <w:sz w:val="24"/>
          <w:szCs w:val="24"/>
          <w:lang w:val="en-US"/>
        </w:rPr>
        <w:t xml:space="preserve"> pp. 186-</w:t>
      </w:r>
      <w:r w:rsidRPr="001B076A">
        <w:rPr>
          <w:rFonts w:ascii="Times New Roman" w:hAnsi="Times New Roman" w:cs="Times New Roman"/>
          <w:sz w:val="24"/>
          <w:szCs w:val="24"/>
          <w:lang w:val="en-US"/>
        </w:rPr>
        <w:t>200.</w:t>
      </w:r>
    </w:p>
    <w:p w:rsidR="0050735B" w:rsidRPr="00194EC8" w:rsidRDefault="0050735B" w:rsidP="00706410">
      <w:pPr>
        <w:spacing w:line="48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Sims, C.A. (1982). ‘Policy Analysis with Econometric Models’, </w:t>
      </w:r>
      <w:r w:rsidRPr="0050735B">
        <w:rPr>
          <w:rFonts w:ascii="Times New Roman" w:hAnsi="Times New Roman" w:cs="Times New Roman"/>
          <w:i/>
          <w:sz w:val="24"/>
          <w:szCs w:val="24"/>
          <w:lang w:val="en-US"/>
        </w:rPr>
        <w:t>Brooking Papers on Economic Activity</w:t>
      </w:r>
      <w:r>
        <w:rPr>
          <w:rFonts w:ascii="Times New Roman" w:hAnsi="Times New Roman" w:cs="Times New Roman"/>
          <w:sz w:val="24"/>
          <w:szCs w:val="24"/>
          <w:lang w:val="en-US"/>
        </w:rPr>
        <w:t>, pp. 107-164.</w:t>
      </w:r>
    </w:p>
    <w:p w:rsidR="009E7F24" w:rsidRPr="00194EC8" w:rsidRDefault="009E7F24" w:rsidP="00CD0860">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 xml:space="preserve">Smith, V., </w:t>
      </w:r>
      <w:proofErr w:type="spellStart"/>
      <w:r w:rsidRPr="00194EC8">
        <w:rPr>
          <w:rFonts w:ascii="Times New Roman" w:hAnsi="Times New Roman" w:cs="Times New Roman"/>
          <w:sz w:val="24"/>
          <w:szCs w:val="24"/>
          <w:lang w:val="en-US"/>
        </w:rPr>
        <w:t>Leybourne</w:t>
      </w:r>
      <w:proofErr w:type="spellEnd"/>
      <w:r w:rsidRPr="00194EC8">
        <w:rPr>
          <w:rFonts w:ascii="Times New Roman" w:hAnsi="Times New Roman" w:cs="Times New Roman"/>
          <w:sz w:val="24"/>
          <w:szCs w:val="24"/>
          <w:lang w:val="en-US"/>
        </w:rPr>
        <w:t>, S.</w:t>
      </w:r>
      <w:r w:rsidR="002C75AC">
        <w:rPr>
          <w:rFonts w:ascii="Times New Roman" w:hAnsi="Times New Roman" w:cs="Times New Roman"/>
          <w:sz w:val="24"/>
          <w:szCs w:val="24"/>
          <w:lang w:val="en-US"/>
        </w:rPr>
        <w:t xml:space="preserve"> and</w:t>
      </w:r>
      <w:r w:rsidR="00A174E4" w:rsidRPr="00194EC8">
        <w:rPr>
          <w:rFonts w:ascii="Times New Roman" w:hAnsi="Times New Roman" w:cs="Times New Roman"/>
          <w:sz w:val="24"/>
          <w:szCs w:val="24"/>
          <w:lang w:val="en-US"/>
        </w:rPr>
        <w:t xml:space="preserve"> </w:t>
      </w:r>
      <w:r w:rsidRPr="00194EC8">
        <w:rPr>
          <w:rFonts w:ascii="Times New Roman" w:hAnsi="Times New Roman" w:cs="Times New Roman"/>
          <w:sz w:val="24"/>
          <w:szCs w:val="24"/>
          <w:lang w:val="en-US"/>
        </w:rPr>
        <w:t xml:space="preserve">Kim, T.H.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2004</w:t>
      </w:r>
      <w:r w:rsidR="003E4C0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‘More Powerful Panel Unit Root Tests with an Application to the Mean Reversion in Real Exchange R</w:t>
      </w:r>
      <w:r w:rsidRPr="00194EC8">
        <w:rPr>
          <w:rFonts w:ascii="Times New Roman" w:hAnsi="Times New Roman" w:cs="Times New Roman"/>
          <w:sz w:val="24"/>
          <w:szCs w:val="24"/>
          <w:lang w:val="en-US"/>
        </w:rPr>
        <w:t>ates</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Journal of Applied Econometrics</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19, </w:t>
      </w:r>
      <w:r w:rsidR="003E4C0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147-</w:t>
      </w:r>
      <w:r w:rsidR="006A5847">
        <w:rPr>
          <w:rFonts w:ascii="Times New Roman" w:hAnsi="Times New Roman" w:cs="Times New Roman"/>
          <w:sz w:val="24"/>
          <w:szCs w:val="24"/>
          <w:lang w:val="en-US"/>
        </w:rPr>
        <w:t>1</w:t>
      </w:r>
      <w:r w:rsidRPr="00194EC8">
        <w:rPr>
          <w:rFonts w:ascii="Times New Roman" w:hAnsi="Times New Roman" w:cs="Times New Roman"/>
          <w:sz w:val="24"/>
          <w:szCs w:val="24"/>
          <w:lang w:val="en-US"/>
        </w:rPr>
        <w:t>70.</w:t>
      </w:r>
    </w:p>
    <w:p w:rsidR="000C7558" w:rsidRDefault="000C7558" w:rsidP="00E24DA5">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lastRenderedPageBreak/>
        <w:t>Solimano</w:t>
      </w:r>
      <w:proofErr w:type="spellEnd"/>
      <w:r w:rsidRPr="00194EC8">
        <w:rPr>
          <w:rFonts w:ascii="Times New Roman" w:hAnsi="Times New Roman" w:cs="Times New Roman"/>
          <w:sz w:val="24"/>
          <w:szCs w:val="24"/>
          <w:lang w:val="en-US"/>
        </w:rPr>
        <w:t xml:space="preserve">, A.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2010</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‘An Overview of IMF Research on Macro-Financial Linkages: Relevance, Diversity of Approaches and Context’,</w:t>
      </w:r>
      <w:r w:rsidRPr="00194EC8">
        <w:rPr>
          <w:rFonts w:ascii="Times New Roman" w:hAnsi="Times New Roman" w:cs="Times New Roman"/>
          <w:sz w:val="24"/>
          <w:szCs w:val="24"/>
          <w:lang w:val="en-US"/>
        </w:rPr>
        <w:t xml:space="preserve"> Paper prepared for the IEO of IMF</w:t>
      </w:r>
      <w:r w:rsidR="00394A34" w:rsidRPr="00194EC8">
        <w:rPr>
          <w:rFonts w:ascii="Times New Roman" w:hAnsi="Times New Roman" w:cs="Times New Roman"/>
          <w:sz w:val="24"/>
          <w:szCs w:val="24"/>
          <w:lang w:val="en-US"/>
        </w:rPr>
        <w:t>, Santiago: International Center for Globalization and Development.</w:t>
      </w:r>
    </w:p>
    <w:p w:rsidR="00D64C90" w:rsidRPr="00194EC8" w:rsidRDefault="00D64C90" w:rsidP="00E24DA5">
      <w:pPr>
        <w:spacing w:line="48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Solo</w:t>
      </w:r>
      <w:r w:rsidR="00850563">
        <w:rPr>
          <w:rFonts w:ascii="Times New Roman" w:hAnsi="Times New Roman" w:cs="Times New Roman"/>
          <w:sz w:val="24"/>
          <w:szCs w:val="24"/>
          <w:lang w:val="en-US"/>
        </w:rPr>
        <w:t>, V.</w:t>
      </w:r>
      <w:r>
        <w:rPr>
          <w:rFonts w:ascii="Times New Roman" w:hAnsi="Times New Roman" w:cs="Times New Roman"/>
          <w:sz w:val="24"/>
          <w:szCs w:val="24"/>
          <w:lang w:val="en-US"/>
        </w:rPr>
        <w:t xml:space="preserve"> (1984). ‘</w:t>
      </w:r>
      <w:r w:rsidR="00850563">
        <w:rPr>
          <w:rFonts w:ascii="Times New Roman" w:hAnsi="Times New Roman" w:cs="Times New Roman"/>
          <w:sz w:val="24"/>
          <w:szCs w:val="24"/>
          <w:lang w:val="en-US"/>
        </w:rPr>
        <w:t xml:space="preserve">The order of Differencing in ARMA models’, </w:t>
      </w:r>
      <w:r w:rsidR="00850563" w:rsidRPr="00850563">
        <w:rPr>
          <w:rFonts w:ascii="Times New Roman" w:hAnsi="Times New Roman" w:cs="Times New Roman"/>
          <w:i/>
          <w:sz w:val="24"/>
          <w:szCs w:val="24"/>
          <w:lang w:val="en-US"/>
        </w:rPr>
        <w:t>Journal of the American Statistical Association</w:t>
      </w:r>
      <w:r w:rsidR="00850563">
        <w:rPr>
          <w:rFonts w:ascii="Times New Roman" w:hAnsi="Times New Roman" w:cs="Times New Roman"/>
          <w:sz w:val="24"/>
          <w:szCs w:val="24"/>
          <w:lang w:val="en-US"/>
        </w:rPr>
        <w:t>, Vol. 76, pp. 916-921.</w:t>
      </w:r>
    </w:p>
    <w:p w:rsidR="00541BB1" w:rsidRPr="00194EC8" w:rsidRDefault="00541BB1" w:rsidP="00541BB1">
      <w:pPr>
        <w:spacing w:line="480" w:lineRule="auto"/>
        <w:ind w:left="851" w:hanging="851"/>
        <w:jc w:val="both"/>
        <w:rPr>
          <w:rFonts w:ascii="Times New Roman" w:hAnsi="Times New Roman" w:cs="Times New Roman"/>
          <w:sz w:val="24"/>
          <w:szCs w:val="24"/>
          <w:lang w:val="en-US"/>
        </w:rPr>
      </w:pPr>
      <w:proofErr w:type="gramStart"/>
      <w:r w:rsidRPr="00194EC8">
        <w:rPr>
          <w:rFonts w:ascii="Times New Roman" w:hAnsi="Times New Roman" w:cs="Times New Roman"/>
          <w:sz w:val="24"/>
          <w:szCs w:val="24"/>
          <w:lang w:val="en-US"/>
        </w:rPr>
        <w:t xml:space="preserve">Stephens, M.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2008</w:t>
      </w:r>
      <w:r w:rsidR="003E4C09">
        <w:rPr>
          <w:rFonts w:ascii="Times New Roman" w:hAnsi="Times New Roman" w:cs="Times New Roman"/>
          <w:sz w:val="24"/>
          <w:szCs w:val="24"/>
          <w:lang w:val="en-US"/>
        </w:rPr>
        <w:t>).</w:t>
      </w:r>
      <w:proofErr w:type="gramEnd"/>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‘The Consumption R</w:t>
      </w:r>
      <w:r w:rsidRPr="00194EC8">
        <w:rPr>
          <w:rFonts w:ascii="Times New Roman" w:hAnsi="Times New Roman" w:cs="Times New Roman"/>
          <w:sz w:val="24"/>
          <w:szCs w:val="24"/>
          <w:lang w:val="en-US"/>
        </w:rPr>
        <w:t>esp</w:t>
      </w:r>
      <w:r w:rsidR="003E4C09">
        <w:rPr>
          <w:rFonts w:ascii="Times New Roman" w:hAnsi="Times New Roman" w:cs="Times New Roman"/>
          <w:sz w:val="24"/>
          <w:szCs w:val="24"/>
          <w:lang w:val="en-US"/>
        </w:rPr>
        <w:t>onse to Predictable Changes in Discretionary Income: Evidence from the Repayment of Vehicle L</w:t>
      </w:r>
      <w:r w:rsidRPr="00194EC8">
        <w:rPr>
          <w:rFonts w:ascii="Times New Roman" w:hAnsi="Times New Roman" w:cs="Times New Roman"/>
          <w:sz w:val="24"/>
          <w:szCs w:val="24"/>
          <w:lang w:val="en-US"/>
        </w:rPr>
        <w:t>oans</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r w:rsidRPr="002C75AC">
        <w:rPr>
          <w:rFonts w:ascii="Times New Roman" w:hAnsi="Times New Roman" w:cs="Times New Roman"/>
          <w:i/>
          <w:sz w:val="24"/>
          <w:szCs w:val="24"/>
          <w:lang w:val="en-US"/>
        </w:rPr>
        <w:t>Review of Economics and Statistics</w:t>
      </w:r>
      <w:r w:rsidR="003E4C09">
        <w:rPr>
          <w:rFonts w:ascii="Times New Roman" w:hAnsi="Times New Roman" w:cs="Times New Roman"/>
          <w:i/>
          <w:sz w:val="24"/>
          <w:szCs w:val="24"/>
          <w:lang w:val="en-US"/>
        </w:rPr>
        <w:t>,</w:t>
      </w:r>
      <w:r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Pr="00194EC8">
        <w:rPr>
          <w:rFonts w:ascii="Times New Roman" w:hAnsi="Times New Roman" w:cs="Times New Roman"/>
          <w:sz w:val="24"/>
          <w:szCs w:val="24"/>
          <w:lang w:val="en-US"/>
        </w:rPr>
        <w:t xml:space="preserve">90, </w:t>
      </w:r>
      <w:r w:rsidR="003E4C09">
        <w:rPr>
          <w:rFonts w:ascii="Times New Roman" w:hAnsi="Times New Roman" w:cs="Times New Roman"/>
          <w:sz w:val="24"/>
          <w:szCs w:val="24"/>
          <w:lang w:val="en-US"/>
        </w:rPr>
        <w:t xml:space="preserve">pp. </w:t>
      </w:r>
      <w:r w:rsidRPr="00194EC8">
        <w:rPr>
          <w:rFonts w:ascii="Times New Roman" w:hAnsi="Times New Roman" w:cs="Times New Roman"/>
          <w:sz w:val="24"/>
          <w:szCs w:val="24"/>
          <w:lang w:val="en-US"/>
        </w:rPr>
        <w:t>241-</w:t>
      </w:r>
      <w:r w:rsidR="006A5847">
        <w:rPr>
          <w:rFonts w:ascii="Times New Roman" w:hAnsi="Times New Roman" w:cs="Times New Roman"/>
          <w:sz w:val="24"/>
          <w:szCs w:val="24"/>
          <w:lang w:val="en-US"/>
        </w:rPr>
        <w:t>2</w:t>
      </w:r>
      <w:r w:rsidRPr="00194EC8">
        <w:rPr>
          <w:rFonts w:ascii="Times New Roman" w:hAnsi="Times New Roman" w:cs="Times New Roman"/>
          <w:sz w:val="24"/>
          <w:szCs w:val="24"/>
          <w:lang w:val="en-US"/>
        </w:rPr>
        <w:t>52.</w:t>
      </w:r>
    </w:p>
    <w:p w:rsidR="00394A34" w:rsidRPr="00194EC8" w:rsidRDefault="00A174E4" w:rsidP="00E24DA5">
      <w:pPr>
        <w:spacing w:line="480" w:lineRule="auto"/>
        <w:ind w:left="851" w:hanging="851"/>
        <w:jc w:val="both"/>
        <w:rPr>
          <w:rFonts w:ascii="Times New Roman" w:hAnsi="Times New Roman" w:cs="Times New Roman"/>
          <w:sz w:val="24"/>
          <w:szCs w:val="24"/>
          <w:lang w:val="en-US"/>
        </w:rPr>
      </w:pPr>
      <w:proofErr w:type="spellStart"/>
      <w:proofErr w:type="gramStart"/>
      <w:r w:rsidRPr="00194EC8">
        <w:rPr>
          <w:rFonts w:ascii="Times New Roman" w:hAnsi="Times New Roman" w:cs="Times New Roman"/>
          <w:sz w:val="24"/>
          <w:szCs w:val="24"/>
          <w:lang w:val="en-US"/>
        </w:rPr>
        <w:t>Stiglitz</w:t>
      </w:r>
      <w:proofErr w:type="spellEnd"/>
      <w:r w:rsidRPr="00194EC8">
        <w:rPr>
          <w:rFonts w:ascii="Times New Roman" w:hAnsi="Times New Roman" w:cs="Times New Roman"/>
          <w:sz w:val="24"/>
          <w:szCs w:val="24"/>
          <w:lang w:val="en-US"/>
        </w:rPr>
        <w:t>, J.E.</w:t>
      </w:r>
      <w:r w:rsidR="002C75AC">
        <w:rPr>
          <w:rFonts w:ascii="Times New Roman" w:hAnsi="Times New Roman" w:cs="Times New Roman"/>
          <w:sz w:val="24"/>
          <w:szCs w:val="24"/>
          <w:lang w:val="en-US"/>
        </w:rPr>
        <w:t xml:space="preserve"> and</w:t>
      </w:r>
      <w:r w:rsidRPr="00194EC8">
        <w:rPr>
          <w:rFonts w:ascii="Times New Roman" w:hAnsi="Times New Roman" w:cs="Times New Roman"/>
          <w:sz w:val="24"/>
          <w:szCs w:val="24"/>
          <w:lang w:val="en-US"/>
        </w:rPr>
        <w:t xml:space="preserve"> </w:t>
      </w:r>
      <w:r w:rsidR="00394A34" w:rsidRPr="00194EC8">
        <w:rPr>
          <w:rFonts w:ascii="Times New Roman" w:hAnsi="Times New Roman" w:cs="Times New Roman"/>
          <w:sz w:val="24"/>
          <w:szCs w:val="24"/>
          <w:lang w:val="en-US"/>
        </w:rPr>
        <w:t xml:space="preserve">Weiss, A. </w:t>
      </w:r>
      <w:r w:rsidR="002C75AC">
        <w:rPr>
          <w:rFonts w:ascii="Times New Roman" w:hAnsi="Times New Roman" w:cs="Times New Roman"/>
          <w:sz w:val="24"/>
          <w:szCs w:val="24"/>
          <w:lang w:val="en-US"/>
        </w:rPr>
        <w:t>(</w:t>
      </w:r>
      <w:r w:rsidR="00394A34" w:rsidRPr="00194EC8">
        <w:rPr>
          <w:rFonts w:ascii="Times New Roman" w:hAnsi="Times New Roman" w:cs="Times New Roman"/>
          <w:sz w:val="24"/>
          <w:szCs w:val="24"/>
          <w:lang w:val="en-US"/>
        </w:rPr>
        <w:t>1981</w:t>
      </w:r>
      <w:r w:rsidR="003E4C09">
        <w:rPr>
          <w:rFonts w:ascii="Times New Roman" w:hAnsi="Times New Roman" w:cs="Times New Roman"/>
          <w:sz w:val="24"/>
          <w:szCs w:val="24"/>
          <w:lang w:val="en-US"/>
        </w:rPr>
        <w:t>).</w:t>
      </w:r>
      <w:proofErr w:type="gramEnd"/>
      <w:r w:rsidR="00394A34" w:rsidRPr="00194EC8">
        <w:rPr>
          <w:rFonts w:ascii="Times New Roman" w:hAnsi="Times New Roman" w:cs="Times New Roman"/>
          <w:sz w:val="24"/>
          <w:szCs w:val="24"/>
          <w:lang w:val="en-US"/>
        </w:rPr>
        <w:t xml:space="preserve"> </w:t>
      </w:r>
      <w:proofErr w:type="gramStart"/>
      <w:r w:rsidR="003E4C09">
        <w:rPr>
          <w:rFonts w:ascii="Times New Roman" w:hAnsi="Times New Roman" w:cs="Times New Roman"/>
          <w:sz w:val="24"/>
          <w:szCs w:val="24"/>
          <w:lang w:val="en-US"/>
        </w:rPr>
        <w:t>‘Credit Rationing in Markets with Imperfect I</w:t>
      </w:r>
      <w:r w:rsidR="00394A34" w:rsidRPr="00194EC8">
        <w:rPr>
          <w:rFonts w:ascii="Times New Roman" w:hAnsi="Times New Roman" w:cs="Times New Roman"/>
          <w:sz w:val="24"/>
          <w:szCs w:val="24"/>
          <w:lang w:val="en-US"/>
        </w:rPr>
        <w:t>nformation</w:t>
      </w:r>
      <w:r w:rsidR="003E4C09">
        <w:rPr>
          <w:rFonts w:ascii="Times New Roman" w:hAnsi="Times New Roman" w:cs="Times New Roman"/>
          <w:sz w:val="24"/>
          <w:szCs w:val="24"/>
          <w:lang w:val="en-US"/>
        </w:rPr>
        <w:t>’,</w:t>
      </w:r>
      <w:r w:rsidR="00394A34" w:rsidRPr="00194EC8">
        <w:rPr>
          <w:rFonts w:ascii="Times New Roman" w:hAnsi="Times New Roman" w:cs="Times New Roman"/>
          <w:sz w:val="24"/>
          <w:szCs w:val="24"/>
          <w:lang w:val="en-US"/>
        </w:rPr>
        <w:t xml:space="preserve"> </w:t>
      </w:r>
      <w:r w:rsidR="00394A34" w:rsidRPr="002C75AC">
        <w:rPr>
          <w:rFonts w:ascii="Times New Roman" w:hAnsi="Times New Roman" w:cs="Times New Roman"/>
          <w:i/>
          <w:sz w:val="24"/>
          <w:szCs w:val="24"/>
          <w:lang w:val="en-US"/>
        </w:rPr>
        <w:t>American Economic Review</w:t>
      </w:r>
      <w:r w:rsidR="003E4C09">
        <w:rPr>
          <w:rFonts w:ascii="Times New Roman" w:hAnsi="Times New Roman" w:cs="Times New Roman"/>
          <w:i/>
          <w:sz w:val="24"/>
          <w:szCs w:val="24"/>
          <w:lang w:val="en-US"/>
        </w:rPr>
        <w:t>,</w:t>
      </w:r>
      <w:r w:rsidR="00394A34" w:rsidRPr="00194EC8">
        <w:rPr>
          <w:rFonts w:ascii="Times New Roman" w:hAnsi="Times New Roman" w:cs="Times New Roman"/>
          <w:sz w:val="24"/>
          <w:szCs w:val="24"/>
          <w:lang w:val="en-US"/>
        </w:rPr>
        <w:t xml:space="preserve"> </w:t>
      </w:r>
      <w:r w:rsidR="003E4C09">
        <w:rPr>
          <w:rFonts w:ascii="Times New Roman" w:hAnsi="Times New Roman" w:cs="Times New Roman"/>
          <w:sz w:val="24"/>
          <w:szCs w:val="24"/>
          <w:lang w:val="en-US"/>
        </w:rPr>
        <w:t xml:space="preserve">Vol. </w:t>
      </w:r>
      <w:r w:rsidR="00394A34" w:rsidRPr="00194EC8">
        <w:rPr>
          <w:rFonts w:ascii="Times New Roman" w:hAnsi="Times New Roman" w:cs="Times New Roman"/>
          <w:sz w:val="24"/>
          <w:szCs w:val="24"/>
          <w:lang w:val="en-US"/>
        </w:rPr>
        <w:t xml:space="preserve">71, </w:t>
      </w:r>
      <w:r w:rsidR="003E4C09">
        <w:rPr>
          <w:rFonts w:ascii="Times New Roman" w:hAnsi="Times New Roman" w:cs="Times New Roman"/>
          <w:sz w:val="24"/>
          <w:szCs w:val="24"/>
          <w:lang w:val="en-US"/>
        </w:rPr>
        <w:t xml:space="preserve">pp. </w:t>
      </w:r>
      <w:r w:rsidR="00394A34" w:rsidRPr="00194EC8">
        <w:rPr>
          <w:rFonts w:ascii="Times New Roman" w:hAnsi="Times New Roman" w:cs="Times New Roman"/>
          <w:sz w:val="24"/>
          <w:szCs w:val="24"/>
          <w:lang w:val="en-US"/>
        </w:rPr>
        <w:t>393-410.</w:t>
      </w:r>
      <w:proofErr w:type="gramEnd"/>
    </w:p>
    <w:p w:rsidR="00601DBC" w:rsidRDefault="00601DBC" w:rsidP="00E24DA5">
      <w:pPr>
        <w:spacing w:line="480" w:lineRule="auto"/>
        <w:ind w:left="851" w:hanging="851"/>
        <w:jc w:val="both"/>
        <w:rPr>
          <w:rFonts w:ascii="Times New Roman" w:hAnsi="Times New Roman" w:cs="Times New Roman"/>
          <w:sz w:val="24"/>
          <w:szCs w:val="24"/>
          <w:lang w:val="en-US"/>
        </w:rPr>
      </w:pPr>
      <w:proofErr w:type="spellStart"/>
      <w:r w:rsidRPr="00194EC8">
        <w:rPr>
          <w:rFonts w:ascii="Times New Roman" w:hAnsi="Times New Roman" w:cs="Times New Roman"/>
          <w:sz w:val="24"/>
          <w:szCs w:val="24"/>
          <w:lang w:val="en-US"/>
        </w:rPr>
        <w:t>Svensson</w:t>
      </w:r>
      <w:proofErr w:type="spellEnd"/>
      <w:r w:rsidRPr="00194EC8">
        <w:rPr>
          <w:rFonts w:ascii="Times New Roman" w:hAnsi="Times New Roman" w:cs="Times New Roman"/>
          <w:sz w:val="24"/>
          <w:szCs w:val="24"/>
          <w:lang w:val="en-US"/>
        </w:rPr>
        <w:t xml:space="preserve">, L.E.O. </w:t>
      </w:r>
      <w:r w:rsidR="002C75AC">
        <w:rPr>
          <w:rFonts w:ascii="Times New Roman" w:hAnsi="Times New Roman" w:cs="Times New Roman"/>
          <w:sz w:val="24"/>
          <w:szCs w:val="24"/>
          <w:lang w:val="en-US"/>
        </w:rPr>
        <w:t>(</w:t>
      </w:r>
      <w:r w:rsidRPr="00194EC8">
        <w:rPr>
          <w:rFonts w:ascii="Times New Roman" w:hAnsi="Times New Roman" w:cs="Times New Roman"/>
          <w:sz w:val="24"/>
          <w:szCs w:val="24"/>
          <w:lang w:val="en-US"/>
        </w:rPr>
        <w:t>2012</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w:t>
      </w:r>
      <w:proofErr w:type="gramStart"/>
      <w:r w:rsidR="003E4C09">
        <w:rPr>
          <w:rFonts w:ascii="Times New Roman" w:hAnsi="Times New Roman" w:cs="Times New Roman"/>
          <w:sz w:val="24"/>
          <w:szCs w:val="24"/>
          <w:lang w:val="en-US"/>
        </w:rPr>
        <w:t>‘Monetary Policy, Debt, and U</w:t>
      </w:r>
      <w:r w:rsidRPr="00194EC8">
        <w:rPr>
          <w:rFonts w:ascii="Times New Roman" w:hAnsi="Times New Roman" w:cs="Times New Roman"/>
          <w:sz w:val="24"/>
          <w:szCs w:val="24"/>
          <w:lang w:val="en-US"/>
        </w:rPr>
        <w:t>nemployment</w:t>
      </w:r>
      <w:r w:rsidR="003E4C09">
        <w:rPr>
          <w:rFonts w:ascii="Times New Roman" w:hAnsi="Times New Roman" w:cs="Times New Roman"/>
          <w:sz w:val="24"/>
          <w:szCs w:val="24"/>
          <w:lang w:val="en-US"/>
        </w:rPr>
        <w:t>’,</w:t>
      </w:r>
      <w:r w:rsidRPr="00194EC8">
        <w:rPr>
          <w:rFonts w:ascii="Times New Roman" w:hAnsi="Times New Roman" w:cs="Times New Roman"/>
          <w:sz w:val="24"/>
          <w:szCs w:val="24"/>
          <w:lang w:val="en-US"/>
        </w:rPr>
        <w:t xml:space="preserve"> Speech at SNS, Stockholm.</w:t>
      </w:r>
      <w:proofErr w:type="gramEnd"/>
    </w:p>
    <w:p w:rsidR="00CB26B5" w:rsidRDefault="00CB26B5" w:rsidP="00E24DA5">
      <w:pPr>
        <w:spacing w:line="480" w:lineRule="auto"/>
        <w:ind w:left="851" w:hanging="851"/>
        <w:jc w:val="both"/>
        <w:rPr>
          <w:rFonts w:ascii="Times New Roman" w:hAnsi="Times New Roman" w:cs="Times New Roman"/>
          <w:sz w:val="24"/>
          <w:szCs w:val="24"/>
          <w:lang w:val="en-US"/>
        </w:rPr>
      </w:pPr>
    </w:p>
    <w:p w:rsidR="0050735B" w:rsidRDefault="0050735B" w:rsidP="00E24DA5">
      <w:pPr>
        <w:spacing w:line="480" w:lineRule="auto"/>
        <w:ind w:left="851" w:hanging="851"/>
        <w:jc w:val="both"/>
        <w:rPr>
          <w:rFonts w:ascii="Times New Roman" w:hAnsi="Times New Roman" w:cs="Times New Roman"/>
          <w:sz w:val="24"/>
          <w:szCs w:val="24"/>
          <w:lang w:val="en-US"/>
        </w:rPr>
      </w:pPr>
    </w:p>
    <w:p w:rsidR="00CB26B5" w:rsidRDefault="00606A20" w:rsidP="00E24DA5">
      <w:pPr>
        <w:spacing w:line="480" w:lineRule="auto"/>
        <w:ind w:left="851" w:hanging="851"/>
        <w:jc w:val="both"/>
        <w:rPr>
          <w:rFonts w:ascii="Times New Roman" w:hAnsi="Times New Roman" w:cs="Times New Roman"/>
          <w:sz w:val="24"/>
          <w:szCs w:val="24"/>
          <w:lang w:val="en-US"/>
        </w:rPr>
      </w:pPr>
      <w:r w:rsidRPr="00606A20">
        <w:rPr>
          <w:rFonts w:ascii="Times New Roman" w:hAnsi="Times New Roman" w:cs="Times New Roman"/>
          <w:noProof/>
          <w:sz w:val="24"/>
          <w:szCs w:val="24"/>
          <w:lang w:eastAsia="el-GR"/>
        </w:rPr>
        <w:lastRenderedPageBreak/>
        <w:drawing>
          <wp:inline distT="0" distB="0" distL="0" distR="0">
            <wp:extent cx="5278120" cy="3596330"/>
            <wp:effectExtent l="19050" t="0" r="17780" b="412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6A20" w:rsidRDefault="00D7095D" w:rsidP="00D7095D">
      <w:pPr>
        <w:spacing w:line="480" w:lineRule="auto"/>
        <w:ind w:left="851" w:hanging="851"/>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FIG. 1.</w:t>
      </w:r>
      <w:proofErr w:type="gramEnd"/>
      <w:r>
        <w:rPr>
          <w:rFonts w:ascii="Times New Roman" w:hAnsi="Times New Roman" w:cs="Times New Roman"/>
          <w:sz w:val="24"/>
          <w:szCs w:val="24"/>
          <w:lang w:val="en-US"/>
        </w:rPr>
        <w:t xml:space="preserve"> </w:t>
      </w:r>
      <w:r w:rsidR="00606A20">
        <w:rPr>
          <w:rFonts w:ascii="Times New Roman" w:hAnsi="Times New Roman" w:cs="Times New Roman"/>
          <w:sz w:val="24"/>
          <w:szCs w:val="24"/>
          <w:lang w:val="en-US"/>
        </w:rPr>
        <w:t xml:space="preserve">Average </w:t>
      </w:r>
      <w:r>
        <w:rPr>
          <w:rFonts w:ascii="Times New Roman" w:hAnsi="Times New Roman" w:cs="Times New Roman"/>
          <w:sz w:val="24"/>
          <w:szCs w:val="24"/>
          <w:lang w:val="en-US"/>
        </w:rPr>
        <w:t>D</w:t>
      </w:r>
      <w:r w:rsidR="00606A20">
        <w:rPr>
          <w:rFonts w:ascii="Times New Roman" w:hAnsi="Times New Roman" w:cs="Times New Roman"/>
          <w:sz w:val="24"/>
          <w:szCs w:val="24"/>
          <w:lang w:val="en-US"/>
        </w:rPr>
        <w:t>ebt-</w:t>
      </w:r>
      <w:r>
        <w:rPr>
          <w:rFonts w:ascii="Times New Roman" w:hAnsi="Times New Roman" w:cs="Times New Roman"/>
          <w:sz w:val="24"/>
          <w:szCs w:val="24"/>
          <w:lang w:val="en-US"/>
        </w:rPr>
        <w:t>S</w:t>
      </w:r>
      <w:r w:rsidR="00606A20">
        <w:rPr>
          <w:rFonts w:ascii="Times New Roman" w:hAnsi="Times New Roman" w:cs="Times New Roman"/>
          <w:sz w:val="24"/>
          <w:szCs w:val="24"/>
          <w:lang w:val="en-US"/>
        </w:rPr>
        <w:t xml:space="preserve">ervice </w:t>
      </w:r>
      <w:r>
        <w:rPr>
          <w:rFonts w:ascii="Times New Roman" w:hAnsi="Times New Roman" w:cs="Times New Roman"/>
          <w:sz w:val="24"/>
          <w:szCs w:val="24"/>
          <w:lang w:val="en-US"/>
        </w:rPr>
        <w:t>R</w:t>
      </w:r>
      <w:r w:rsidR="00606A20">
        <w:rPr>
          <w:rFonts w:ascii="Times New Roman" w:hAnsi="Times New Roman" w:cs="Times New Roman"/>
          <w:sz w:val="24"/>
          <w:szCs w:val="24"/>
          <w:lang w:val="en-US"/>
        </w:rPr>
        <w:t xml:space="preserve">atios </w:t>
      </w:r>
      <w:proofErr w:type="gramStart"/>
      <w:r>
        <w:rPr>
          <w:rFonts w:ascii="Times New Roman" w:hAnsi="Times New Roman" w:cs="Times New Roman"/>
          <w:sz w:val="24"/>
          <w:szCs w:val="24"/>
          <w:lang w:val="en-US"/>
        </w:rPr>
        <w:t>Across</w:t>
      </w:r>
      <w:proofErr w:type="gramEnd"/>
      <w:r>
        <w:rPr>
          <w:rFonts w:ascii="Times New Roman" w:hAnsi="Times New Roman" w:cs="Times New Roman"/>
          <w:sz w:val="24"/>
          <w:szCs w:val="24"/>
          <w:lang w:val="en-US"/>
        </w:rPr>
        <w:t xml:space="preserve"> the 32 C</w:t>
      </w:r>
      <w:r w:rsidR="00606A20">
        <w:rPr>
          <w:rFonts w:ascii="Times New Roman" w:hAnsi="Times New Roman" w:cs="Times New Roman"/>
          <w:sz w:val="24"/>
          <w:szCs w:val="24"/>
          <w:lang w:val="en-US"/>
        </w:rPr>
        <w:t>ountries</w:t>
      </w:r>
    </w:p>
    <w:p w:rsidR="00BC51B8" w:rsidRDefault="00BC51B8" w:rsidP="00E24DA5">
      <w:pPr>
        <w:spacing w:line="480" w:lineRule="auto"/>
        <w:ind w:left="851" w:hanging="851"/>
        <w:jc w:val="both"/>
        <w:rPr>
          <w:rFonts w:ascii="Times New Roman" w:hAnsi="Times New Roman" w:cs="Times New Roman"/>
          <w:sz w:val="24"/>
          <w:szCs w:val="24"/>
          <w:lang w:val="en-US"/>
        </w:rPr>
      </w:pPr>
    </w:p>
    <w:p w:rsidR="00BC51B8" w:rsidRDefault="009E7113" w:rsidP="00E24DA5">
      <w:pPr>
        <w:spacing w:line="480" w:lineRule="auto"/>
        <w:ind w:left="851" w:hanging="851"/>
        <w:jc w:val="both"/>
        <w:rPr>
          <w:rFonts w:ascii="Times New Roman" w:hAnsi="Times New Roman" w:cs="Times New Roman"/>
          <w:sz w:val="24"/>
          <w:szCs w:val="24"/>
          <w:lang w:val="en-US"/>
        </w:rPr>
      </w:pPr>
      <w:r w:rsidRPr="009E7113">
        <w:rPr>
          <w:rFonts w:ascii="Times New Roman" w:hAnsi="Times New Roman" w:cs="Times New Roman"/>
          <w:noProof/>
          <w:sz w:val="24"/>
          <w:szCs w:val="24"/>
          <w:lang w:eastAsia="el-GR"/>
        </w:rPr>
        <w:drawing>
          <wp:inline distT="0" distB="0" distL="0" distR="0">
            <wp:extent cx="4572000" cy="2743200"/>
            <wp:effectExtent l="19050" t="0" r="19050" b="0"/>
            <wp:docPr id="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7113" w:rsidRDefault="009E7113" w:rsidP="009E7113">
      <w:pPr>
        <w:spacing w:line="240" w:lineRule="auto"/>
        <w:jc w:val="center"/>
        <w:rPr>
          <w:rFonts w:ascii="Times New Roman" w:hAnsi="Times New Roman" w:cs="Times New Roman"/>
          <w:sz w:val="24"/>
          <w:szCs w:val="24"/>
          <w:lang w:val="en-GB" w:eastAsia="el-GR"/>
        </w:rPr>
      </w:pPr>
      <w:proofErr w:type="gramStart"/>
      <w:r>
        <w:rPr>
          <w:rFonts w:ascii="Times New Roman" w:hAnsi="Times New Roman" w:cs="Times New Roman"/>
          <w:sz w:val="24"/>
          <w:szCs w:val="24"/>
          <w:lang w:val="en-GB" w:eastAsia="el-GR"/>
        </w:rPr>
        <w:t>FIG. 2.</w:t>
      </w:r>
      <w:proofErr w:type="gramEnd"/>
      <w:r>
        <w:rPr>
          <w:rFonts w:ascii="Times New Roman" w:hAnsi="Times New Roman" w:cs="Times New Roman"/>
          <w:sz w:val="24"/>
          <w:szCs w:val="24"/>
          <w:lang w:val="en-GB" w:eastAsia="el-GR"/>
        </w:rPr>
        <w:t xml:space="preserve"> Low and High Debt Service Ratios Country Groups</w:t>
      </w:r>
    </w:p>
    <w:p w:rsidR="00BC51B8" w:rsidRDefault="00BC51B8" w:rsidP="00E24DA5">
      <w:pPr>
        <w:spacing w:line="480" w:lineRule="auto"/>
        <w:ind w:left="851" w:hanging="851"/>
        <w:jc w:val="both"/>
        <w:rPr>
          <w:rFonts w:ascii="Times New Roman" w:hAnsi="Times New Roman" w:cs="Times New Roman"/>
          <w:sz w:val="24"/>
          <w:szCs w:val="24"/>
          <w:lang w:val="en-US"/>
        </w:rPr>
      </w:pPr>
    </w:p>
    <w:p w:rsidR="00BC51B8" w:rsidRDefault="00BC51B8" w:rsidP="00E24DA5">
      <w:pPr>
        <w:spacing w:line="480" w:lineRule="auto"/>
        <w:ind w:left="851" w:hanging="851"/>
        <w:jc w:val="both"/>
        <w:rPr>
          <w:rFonts w:ascii="Times New Roman" w:hAnsi="Times New Roman" w:cs="Times New Roman"/>
          <w:sz w:val="24"/>
          <w:szCs w:val="24"/>
          <w:lang w:val="en-US"/>
        </w:rPr>
        <w:sectPr w:rsidR="00BC51B8" w:rsidSect="00617335">
          <w:headerReference w:type="default" r:id="rId11"/>
          <w:pgSz w:w="11906" w:h="16838"/>
          <w:pgMar w:top="1440" w:right="1797" w:bottom="1440" w:left="1797" w:header="709" w:footer="709" w:gutter="0"/>
          <w:cols w:space="708"/>
          <w:docGrid w:linePitch="360"/>
        </w:sectPr>
      </w:pPr>
    </w:p>
    <w:p w:rsidR="005D370D" w:rsidRDefault="001D1C05" w:rsidP="001D1C05">
      <w:pPr>
        <w:spacing w:line="480" w:lineRule="auto"/>
        <w:ind w:left="-284" w:right="-283"/>
        <w:jc w:val="both"/>
        <w:rPr>
          <w:noProof/>
          <w:lang w:val="en-US" w:eastAsia="el-GR"/>
        </w:rPr>
      </w:pPr>
      <w:r>
        <w:rPr>
          <w:noProof/>
          <w:lang w:eastAsia="el-GR"/>
        </w:rPr>
        <w:lastRenderedPageBreak/>
        <w:drawing>
          <wp:inline distT="0" distB="0" distL="0" distR="0">
            <wp:extent cx="4576430" cy="1998921"/>
            <wp:effectExtent l="19050" t="0" r="14620" b="1329"/>
            <wp:docPr id="11"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l-GR"/>
        </w:rPr>
        <w:drawing>
          <wp:inline distT="0" distB="0" distL="0" distR="0">
            <wp:extent cx="4576430" cy="1998921"/>
            <wp:effectExtent l="19050" t="0" r="14620" b="1329"/>
            <wp:docPr id="12"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370D" w:rsidRPr="00D7095D" w:rsidRDefault="00D7095D" w:rsidP="001D1C05">
      <w:pPr>
        <w:spacing w:line="480" w:lineRule="auto"/>
        <w:ind w:left="-284" w:right="-283"/>
        <w:jc w:val="both"/>
        <w:rPr>
          <w:rFonts w:ascii="Times New Roman" w:hAnsi="Times New Roman" w:cs="Times New Roman"/>
          <w:noProof/>
          <w:sz w:val="24"/>
          <w:szCs w:val="24"/>
          <w:lang w:val="en-US" w:eastAsia="el-GR"/>
        </w:rPr>
      </w:pPr>
      <w:r w:rsidRPr="00D7095D">
        <w:rPr>
          <w:rFonts w:ascii="Times New Roman" w:hAnsi="Times New Roman" w:cs="Times New Roman"/>
          <w:noProof/>
          <w:sz w:val="24"/>
          <w:szCs w:val="24"/>
          <w:lang w:val="en-US" w:eastAsia="el-GR"/>
        </w:rPr>
        <w:t>Belgium</w:t>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t>Denmark</w:t>
      </w:r>
    </w:p>
    <w:p w:rsidR="005D370D" w:rsidRDefault="005D370D" w:rsidP="001D1C05">
      <w:pPr>
        <w:spacing w:line="480" w:lineRule="auto"/>
        <w:ind w:left="-284" w:right="-283"/>
        <w:jc w:val="both"/>
        <w:rPr>
          <w:noProof/>
          <w:lang w:val="en-US" w:eastAsia="el-GR"/>
        </w:rPr>
      </w:pPr>
      <w:r>
        <w:rPr>
          <w:noProof/>
          <w:lang w:eastAsia="el-GR"/>
        </w:rPr>
        <w:drawing>
          <wp:inline distT="0" distB="0" distL="0" distR="0">
            <wp:extent cx="4576430" cy="1998921"/>
            <wp:effectExtent l="19050" t="0" r="14620" b="1329"/>
            <wp:docPr id="13"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el-GR"/>
        </w:rPr>
        <w:drawing>
          <wp:inline distT="0" distB="0" distL="0" distR="0">
            <wp:extent cx="4576430" cy="2009553"/>
            <wp:effectExtent l="19050" t="0" r="14620" b="0"/>
            <wp:docPr id="14"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095D" w:rsidRPr="00D7095D" w:rsidRDefault="00D7095D" w:rsidP="001D1C05">
      <w:pPr>
        <w:spacing w:line="480" w:lineRule="auto"/>
        <w:ind w:left="-284" w:right="-283"/>
        <w:jc w:val="both"/>
        <w:rPr>
          <w:rFonts w:ascii="Times New Roman" w:hAnsi="Times New Roman" w:cs="Times New Roman"/>
          <w:noProof/>
          <w:sz w:val="24"/>
          <w:szCs w:val="24"/>
          <w:lang w:val="en-US" w:eastAsia="el-GR"/>
        </w:rPr>
      </w:pPr>
      <w:r w:rsidRPr="00D7095D">
        <w:rPr>
          <w:rFonts w:ascii="Times New Roman" w:hAnsi="Times New Roman" w:cs="Times New Roman"/>
          <w:noProof/>
          <w:sz w:val="24"/>
          <w:szCs w:val="24"/>
          <w:lang w:val="en-US" w:eastAsia="el-GR"/>
        </w:rPr>
        <w:t>France</w:t>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r>
      <w:r>
        <w:rPr>
          <w:rFonts w:ascii="Times New Roman" w:hAnsi="Times New Roman" w:cs="Times New Roman"/>
          <w:noProof/>
          <w:sz w:val="24"/>
          <w:szCs w:val="24"/>
          <w:lang w:val="en-US" w:eastAsia="el-GR"/>
        </w:rPr>
        <w:tab/>
        <w:t>Germany</w:t>
      </w:r>
    </w:p>
    <w:p w:rsidR="00D7095D" w:rsidRDefault="001D1C05" w:rsidP="001D1C05">
      <w:pPr>
        <w:spacing w:line="480" w:lineRule="auto"/>
        <w:ind w:left="-284" w:right="-283"/>
        <w:jc w:val="both"/>
        <w:rPr>
          <w:noProof/>
          <w:lang w:val="en-US" w:eastAsia="el-GR"/>
        </w:rPr>
      </w:pPr>
      <w:r>
        <w:rPr>
          <w:noProof/>
          <w:lang w:eastAsia="el-GR"/>
        </w:rPr>
        <w:lastRenderedPageBreak/>
        <w:drawing>
          <wp:inline distT="0" distB="0" distL="0" distR="0">
            <wp:extent cx="4576430" cy="2009553"/>
            <wp:effectExtent l="19050" t="0" r="14620" b="0"/>
            <wp:docPr id="9"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el-GR"/>
        </w:rPr>
        <w:drawing>
          <wp:inline distT="0" distB="0" distL="0" distR="0">
            <wp:extent cx="4576430" cy="2009553"/>
            <wp:effectExtent l="19050" t="0" r="14620" b="0"/>
            <wp:docPr id="10"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4151" w:rsidRPr="00D7095D" w:rsidRDefault="00D7095D" w:rsidP="001D1C05">
      <w:pPr>
        <w:spacing w:line="480" w:lineRule="auto"/>
        <w:ind w:left="-284" w:right="-283"/>
        <w:jc w:val="both"/>
        <w:rPr>
          <w:rFonts w:ascii="Times New Roman" w:hAnsi="Times New Roman" w:cs="Times New Roman"/>
          <w:sz w:val="24"/>
          <w:szCs w:val="24"/>
          <w:lang w:val="en-US"/>
        </w:rPr>
      </w:pPr>
      <w:r w:rsidRPr="00D7095D">
        <w:rPr>
          <w:rFonts w:ascii="Times New Roman" w:hAnsi="Times New Roman" w:cs="Times New Roman"/>
          <w:noProof/>
          <w:sz w:val="24"/>
          <w:szCs w:val="24"/>
          <w:lang w:val="en-US" w:eastAsia="el-GR"/>
        </w:rPr>
        <w:t>Hong-Kong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U.S.</w:t>
      </w:r>
      <w:r w:rsidR="001D1C05" w:rsidRPr="00D7095D">
        <w:rPr>
          <w:rFonts w:ascii="Times New Roman" w:hAnsi="Times New Roman" w:cs="Times New Roman"/>
          <w:sz w:val="24"/>
          <w:szCs w:val="24"/>
          <w:lang w:val="en-US"/>
        </w:rPr>
        <w:tab/>
      </w:r>
    </w:p>
    <w:p w:rsidR="004A01AD" w:rsidRPr="009905BE" w:rsidRDefault="004A01AD" w:rsidP="00F15AC3">
      <w:pPr>
        <w:spacing w:line="480" w:lineRule="auto"/>
        <w:jc w:val="center"/>
        <w:rPr>
          <w:rFonts w:ascii="Times New Roman" w:hAnsi="Times New Roman" w:cs="Times New Roman"/>
          <w:sz w:val="24"/>
          <w:szCs w:val="24"/>
          <w:lang w:val="en-US"/>
        </w:rPr>
      </w:pPr>
      <w:proofErr w:type="gramStart"/>
      <w:r w:rsidRPr="009905BE">
        <w:rPr>
          <w:rFonts w:ascii="Times New Roman" w:hAnsi="Times New Roman" w:cs="Times New Roman"/>
          <w:sz w:val="24"/>
          <w:szCs w:val="24"/>
          <w:lang w:val="en-US"/>
        </w:rPr>
        <w:t>F</w:t>
      </w:r>
      <w:r w:rsidR="009905BE">
        <w:rPr>
          <w:rFonts w:ascii="Times New Roman" w:hAnsi="Times New Roman" w:cs="Times New Roman"/>
          <w:sz w:val="24"/>
          <w:szCs w:val="24"/>
          <w:lang w:val="en-US"/>
        </w:rPr>
        <w:t>IG</w:t>
      </w:r>
      <w:r w:rsidR="00736C3D" w:rsidRPr="009905BE">
        <w:rPr>
          <w:rFonts w:ascii="Times New Roman" w:hAnsi="Times New Roman" w:cs="Times New Roman"/>
          <w:sz w:val="24"/>
          <w:szCs w:val="24"/>
          <w:lang w:val="en-US"/>
        </w:rPr>
        <w:t>.</w:t>
      </w:r>
      <w:r w:rsidR="00E14FAD" w:rsidRPr="009905BE">
        <w:rPr>
          <w:rFonts w:ascii="Times New Roman" w:hAnsi="Times New Roman" w:cs="Times New Roman"/>
          <w:sz w:val="24"/>
          <w:szCs w:val="24"/>
          <w:lang w:val="en-US"/>
        </w:rPr>
        <w:t xml:space="preserve"> </w:t>
      </w:r>
      <w:r w:rsidR="00A66787">
        <w:rPr>
          <w:rFonts w:ascii="Times New Roman" w:hAnsi="Times New Roman" w:cs="Times New Roman"/>
          <w:sz w:val="24"/>
          <w:szCs w:val="24"/>
          <w:lang w:val="en-US"/>
        </w:rPr>
        <w:t>3</w:t>
      </w:r>
      <w:r w:rsidR="00E14FAD" w:rsidRPr="009905BE">
        <w:rPr>
          <w:rFonts w:ascii="Times New Roman" w:hAnsi="Times New Roman" w:cs="Times New Roman"/>
          <w:sz w:val="24"/>
          <w:szCs w:val="24"/>
          <w:lang w:val="en-US"/>
        </w:rPr>
        <w:t>.</w:t>
      </w:r>
      <w:proofErr w:type="gramEnd"/>
      <w:r w:rsidR="00E14FAD" w:rsidRPr="009905BE">
        <w:rPr>
          <w:rFonts w:ascii="Times New Roman" w:hAnsi="Times New Roman" w:cs="Times New Roman"/>
          <w:sz w:val="24"/>
          <w:szCs w:val="24"/>
          <w:lang w:val="en-US"/>
        </w:rPr>
        <w:t xml:space="preserve"> </w:t>
      </w:r>
      <w:r w:rsidR="00D7095D">
        <w:rPr>
          <w:rFonts w:ascii="Times New Roman" w:hAnsi="Times New Roman" w:cs="Times New Roman"/>
          <w:sz w:val="24"/>
          <w:szCs w:val="24"/>
          <w:lang w:val="en-US"/>
        </w:rPr>
        <w:t>Selected D</w:t>
      </w:r>
      <w:r w:rsidR="001735E3" w:rsidRPr="009905BE">
        <w:rPr>
          <w:rFonts w:ascii="Times New Roman" w:hAnsi="Times New Roman" w:cs="Times New Roman"/>
          <w:sz w:val="24"/>
          <w:szCs w:val="24"/>
          <w:lang w:val="en-US"/>
        </w:rPr>
        <w:t>ebt</w:t>
      </w:r>
      <w:r w:rsidR="0059151B" w:rsidRPr="009905BE">
        <w:rPr>
          <w:rFonts w:ascii="Times New Roman" w:hAnsi="Times New Roman" w:cs="Times New Roman"/>
          <w:sz w:val="24"/>
          <w:szCs w:val="24"/>
          <w:lang w:val="en-US"/>
        </w:rPr>
        <w:t>-</w:t>
      </w:r>
      <w:r w:rsidR="00F15AC3">
        <w:rPr>
          <w:rFonts w:ascii="Times New Roman" w:hAnsi="Times New Roman" w:cs="Times New Roman"/>
          <w:sz w:val="24"/>
          <w:szCs w:val="24"/>
          <w:lang w:val="en-US"/>
        </w:rPr>
        <w:t>S</w:t>
      </w:r>
      <w:r w:rsidR="001735E3" w:rsidRPr="009905BE">
        <w:rPr>
          <w:rFonts w:ascii="Times New Roman" w:hAnsi="Times New Roman" w:cs="Times New Roman"/>
          <w:sz w:val="24"/>
          <w:szCs w:val="24"/>
          <w:lang w:val="en-US"/>
        </w:rPr>
        <w:t>ervice</w:t>
      </w:r>
      <w:r w:rsidR="00E14FAD" w:rsidRPr="009905BE">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R</w:t>
      </w:r>
      <w:r w:rsidR="001042CD" w:rsidRPr="009905BE">
        <w:rPr>
          <w:rFonts w:ascii="Times New Roman" w:hAnsi="Times New Roman" w:cs="Times New Roman"/>
          <w:sz w:val="24"/>
          <w:szCs w:val="24"/>
          <w:lang w:val="en-US"/>
        </w:rPr>
        <w:t>atios</w:t>
      </w: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pPr>
    </w:p>
    <w:p w:rsidR="00BC51B8" w:rsidRDefault="00BC51B8" w:rsidP="00F15AC3">
      <w:pPr>
        <w:spacing w:line="240" w:lineRule="auto"/>
        <w:jc w:val="center"/>
        <w:rPr>
          <w:rFonts w:ascii="Times New Roman" w:hAnsi="Times New Roman" w:cs="Times New Roman"/>
          <w:sz w:val="24"/>
          <w:szCs w:val="24"/>
          <w:lang w:val="en-GB" w:eastAsia="el-GR"/>
        </w:rPr>
        <w:sectPr w:rsidR="00BC51B8" w:rsidSect="005D370D">
          <w:pgSz w:w="16838" w:h="11906" w:orient="landscape"/>
          <w:pgMar w:top="709" w:right="1440" w:bottom="284" w:left="1440" w:header="709" w:footer="709" w:gutter="0"/>
          <w:cols w:space="708"/>
          <w:docGrid w:linePitch="360"/>
        </w:sectPr>
      </w:pPr>
    </w:p>
    <w:p w:rsidR="00F15AC3" w:rsidRDefault="00736C3D" w:rsidP="00F15AC3">
      <w:pPr>
        <w:spacing w:line="240" w:lineRule="auto"/>
        <w:jc w:val="center"/>
        <w:rPr>
          <w:rFonts w:ascii="Times New Roman" w:hAnsi="Times New Roman" w:cs="Times New Roman"/>
          <w:sz w:val="24"/>
          <w:szCs w:val="24"/>
          <w:lang w:val="en-GB" w:eastAsia="el-GR"/>
        </w:rPr>
      </w:pPr>
      <w:r w:rsidRPr="00DD6420">
        <w:rPr>
          <w:rFonts w:ascii="Times New Roman" w:hAnsi="Times New Roman" w:cs="Times New Roman"/>
          <w:sz w:val="24"/>
          <w:szCs w:val="24"/>
          <w:lang w:val="en-GB" w:eastAsia="el-GR"/>
        </w:rPr>
        <w:lastRenderedPageBreak/>
        <w:t>T</w:t>
      </w:r>
      <w:r w:rsidR="00F15AC3">
        <w:rPr>
          <w:rFonts w:ascii="Times New Roman" w:hAnsi="Times New Roman" w:cs="Times New Roman"/>
          <w:sz w:val="24"/>
          <w:szCs w:val="24"/>
          <w:lang w:val="en-GB" w:eastAsia="el-GR"/>
        </w:rPr>
        <w:t>ABLE</w:t>
      </w:r>
      <w:r w:rsidR="00D03BAA" w:rsidRPr="00DD6420">
        <w:rPr>
          <w:rFonts w:ascii="Times New Roman" w:hAnsi="Times New Roman" w:cs="Times New Roman"/>
          <w:sz w:val="24"/>
          <w:szCs w:val="24"/>
          <w:lang w:val="en-GB" w:eastAsia="el-GR"/>
        </w:rPr>
        <w:t xml:space="preserve"> 1</w:t>
      </w:r>
    </w:p>
    <w:p w:rsidR="00D03BAA" w:rsidRPr="00F15AC3" w:rsidRDefault="00D03BAA" w:rsidP="00F15AC3">
      <w:pPr>
        <w:spacing w:line="240" w:lineRule="auto"/>
        <w:jc w:val="center"/>
        <w:rPr>
          <w:rFonts w:ascii="Times New Roman" w:hAnsi="Times New Roman" w:cs="Times New Roman"/>
          <w:sz w:val="24"/>
          <w:szCs w:val="24"/>
          <w:lang w:val="en-GB" w:eastAsia="el-GR"/>
        </w:rPr>
      </w:pPr>
      <w:r w:rsidRPr="00F15AC3">
        <w:rPr>
          <w:rFonts w:ascii="Times New Roman" w:hAnsi="Times New Roman" w:cs="Times New Roman"/>
          <w:sz w:val="24"/>
          <w:szCs w:val="24"/>
          <w:lang w:val="en-GB" w:eastAsia="el-GR"/>
        </w:rPr>
        <w:t>P</w:t>
      </w:r>
      <w:r w:rsidR="00F15AC3">
        <w:rPr>
          <w:rFonts w:ascii="Times New Roman" w:hAnsi="Times New Roman" w:cs="Times New Roman"/>
          <w:sz w:val="24"/>
          <w:szCs w:val="24"/>
          <w:lang w:val="en-GB" w:eastAsia="el-GR"/>
        </w:rPr>
        <w:t>ANEL</w:t>
      </w:r>
      <w:r w:rsidR="00DD6420" w:rsidRPr="00F15AC3">
        <w:rPr>
          <w:rFonts w:ascii="Times New Roman" w:hAnsi="Times New Roman" w:cs="Times New Roman"/>
          <w:sz w:val="24"/>
          <w:szCs w:val="24"/>
          <w:lang w:val="en-GB" w:eastAsia="el-GR"/>
        </w:rPr>
        <w:t xml:space="preserve"> </w:t>
      </w:r>
      <w:r w:rsidR="00F15AC3">
        <w:rPr>
          <w:rFonts w:ascii="Times New Roman" w:hAnsi="Times New Roman" w:cs="Times New Roman"/>
          <w:sz w:val="24"/>
          <w:szCs w:val="24"/>
          <w:lang w:val="en-GB" w:eastAsia="el-GR"/>
        </w:rPr>
        <w:t>UNIT ROOT</w:t>
      </w:r>
      <w:r w:rsidR="00DD6420" w:rsidRPr="00F15AC3">
        <w:rPr>
          <w:rFonts w:ascii="Times New Roman" w:hAnsi="Times New Roman" w:cs="Times New Roman"/>
          <w:sz w:val="24"/>
          <w:szCs w:val="24"/>
          <w:lang w:val="en-GB" w:eastAsia="el-GR"/>
        </w:rPr>
        <w:t xml:space="preserve"> </w:t>
      </w:r>
      <w:r w:rsidR="00F15AC3">
        <w:rPr>
          <w:rFonts w:ascii="Times New Roman" w:hAnsi="Times New Roman" w:cs="Times New Roman"/>
          <w:sz w:val="24"/>
          <w:szCs w:val="24"/>
          <w:lang w:val="en-GB" w:eastAsia="el-GR"/>
        </w:rPr>
        <w:t>TESTS</w:t>
      </w:r>
    </w:p>
    <w:tbl>
      <w:tblPr>
        <w:tblW w:w="7794" w:type="dxa"/>
        <w:tblInd w:w="55" w:type="dxa"/>
        <w:tblCellMar>
          <w:left w:w="70" w:type="dxa"/>
          <w:right w:w="70" w:type="dxa"/>
        </w:tblCellMar>
        <w:tblLook w:val="04A0"/>
      </w:tblPr>
      <w:tblGrid>
        <w:gridCol w:w="1299"/>
        <w:gridCol w:w="1299"/>
        <w:gridCol w:w="1299"/>
        <w:gridCol w:w="1299"/>
        <w:gridCol w:w="1299"/>
        <w:gridCol w:w="1299"/>
      </w:tblGrid>
      <w:tr w:rsidR="00A67219" w:rsidRPr="00736C3D" w:rsidTr="00A67219">
        <w:trPr>
          <w:trHeight w:val="297"/>
        </w:trPr>
        <w:tc>
          <w:tcPr>
            <w:tcW w:w="1299" w:type="dxa"/>
            <w:vMerge w:val="restart"/>
            <w:tcBorders>
              <w:top w:val="single" w:sz="4" w:space="0" w:color="auto"/>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b/>
                <w:bCs/>
                <w:color w:val="000000"/>
                <w:lang w:val="fr-FR" w:eastAsia="fr-FR"/>
              </w:rPr>
            </w:pPr>
            <w:r w:rsidRPr="00C62CA8">
              <w:rPr>
                <w:rFonts w:ascii="Times New Roman" w:hAnsi="Times New Roman" w:cs="Times New Roman"/>
                <w:b/>
                <w:bCs/>
                <w:color w:val="000000"/>
                <w:lang w:val="en-GB" w:eastAsia="fr-FR"/>
              </w:rPr>
              <w:t>Variable</w:t>
            </w:r>
          </w:p>
        </w:tc>
        <w:tc>
          <w:tcPr>
            <w:tcW w:w="1299" w:type="dxa"/>
            <w:tcBorders>
              <w:top w:val="single" w:sz="4" w:space="0" w:color="auto"/>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b/>
                <w:bCs/>
                <w:color w:val="000000"/>
                <w:lang w:val="fr-FR" w:eastAsia="fr-FR"/>
              </w:rPr>
            </w:pPr>
            <w:proofErr w:type="spellStart"/>
            <w:r w:rsidRPr="00C62CA8">
              <w:rPr>
                <w:rFonts w:ascii="Times New Roman" w:hAnsi="Times New Roman" w:cs="Times New Roman"/>
                <w:b/>
                <w:bCs/>
                <w:color w:val="000000"/>
                <w:lang w:val="en-GB" w:eastAsia="fr-FR"/>
              </w:rPr>
              <w:t>Pesaran</w:t>
            </w:r>
            <w:proofErr w:type="spellEnd"/>
          </w:p>
        </w:tc>
        <w:tc>
          <w:tcPr>
            <w:tcW w:w="1299" w:type="dxa"/>
            <w:vMerge w:val="restart"/>
            <w:tcBorders>
              <w:top w:val="single" w:sz="4" w:space="0" w:color="auto"/>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b/>
                <w:bCs/>
                <w:color w:val="000000"/>
                <w:lang w:val="fr-FR" w:eastAsia="fr-FR"/>
              </w:rPr>
            </w:pPr>
            <w:r w:rsidRPr="00D03BAA">
              <w:rPr>
                <w:rFonts w:ascii="Times New Roman" w:hAnsi="Times New Roman" w:cs="Times New Roman"/>
                <w:b/>
                <w:bCs/>
                <w:color w:val="000000"/>
                <w:lang w:val="en-US" w:eastAsia="fr-FR"/>
              </w:rPr>
              <w:t>Smith et al. t-test</w:t>
            </w:r>
          </w:p>
        </w:tc>
        <w:tc>
          <w:tcPr>
            <w:tcW w:w="1299" w:type="dxa"/>
            <w:vMerge w:val="restart"/>
            <w:tcBorders>
              <w:top w:val="single" w:sz="4" w:space="0" w:color="auto"/>
              <w:left w:val="nil"/>
              <w:bottom w:val="nil"/>
              <w:right w:val="nil"/>
            </w:tcBorders>
            <w:shd w:val="clear" w:color="auto" w:fill="auto"/>
            <w:vAlign w:val="center"/>
            <w:hideMark/>
          </w:tcPr>
          <w:p w:rsidR="00A67219" w:rsidRPr="00D03BAA" w:rsidRDefault="00A67219" w:rsidP="00DB525D">
            <w:pPr>
              <w:spacing w:line="240" w:lineRule="auto"/>
              <w:jc w:val="center"/>
              <w:rPr>
                <w:rFonts w:ascii="Times New Roman" w:hAnsi="Times New Roman" w:cs="Times New Roman"/>
                <w:b/>
                <w:bCs/>
                <w:color w:val="000000"/>
                <w:lang w:val="en-US" w:eastAsia="fr-FR"/>
              </w:rPr>
            </w:pPr>
            <w:r w:rsidRPr="00C62CA8">
              <w:rPr>
                <w:rFonts w:ascii="Times New Roman" w:hAnsi="Times New Roman" w:cs="Times New Roman"/>
                <w:b/>
                <w:bCs/>
                <w:color w:val="000000"/>
                <w:lang w:val="en-GB" w:eastAsia="fr-FR"/>
              </w:rPr>
              <w:t>Smith et al. LM-test</w:t>
            </w:r>
          </w:p>
        </w:tc>
        <w:tc>
          <w:tcPr>
            <w:tcW w:w="1299" w:type="dxa"/>
            <w:vMerge w:val="restart"/>
            <w:tcBorders>
              <w:top w:val="single" w:sz="4" w:space="0" w:color="auto"/>
              <w:left w:val="nil"/>
              <w:bottom w:val="nil"/>
              <w:right w:val="nil"/>
            </w:tcBorders>
            <w:shd w:val="clear" w:color="auto" w:fill="auto"/>
            <w:vAlign w:val="center"/>
            <w:hideMark/>
          </w:tcPr>
          <w:p w:rsidR="00A67219" w:rsidRPr="00D03BAA" w:rsidRDefault="00A67219" w:rsidP="00DB525D">
            <w:pPr>
              <w:spacing w:line="240" w:lineRule="auto"/>
              <w:jc w:val="center"/>
              <w:rPr>
                <w:rFonts w:ascii="Times New Roman" w:hAnsi="Times New Roman" w:cs="Times New Roman"/>
                <w:b/>
                <w:bCs/>
                <w:color w:val="000000"/>
                <w:lang w:val="en-US" w:eastAsia="fr-FR"/>
              </w:rPr>
            </w:pPr>
            <w:r w:rsidRPr="00C62CA8">
              <w:rPr>
                <w:rFonts w:ascii="Times New Roman" w:hAnsi="Times New Roman" w:cs="Times New Roman"/>
                <w:b/>
                <w:bCs/>
                <w:color w:val="000000"/>
                <w:lang w:val="en-GB" w:eastAsia="fr-FR"/>
              </w:rPr>
              <w:t>Smith et al. max-test</w:t>
            </w:r>
          </w:p>
        </w:tc>
        <w:tc>
          <w:tcPr>
            <w:tcW w:w="1299" w:type="dxa"/>
            <w:vMerge w:val="restart"/>
            <w:tcBorders>
              <w:top w:val="single" w:sz="4" w:space="0" w:color="auto"/>
              <w:left w:val="nil"/>
              <w:bottom w:val="nil"/>
              <w:right w:val="nil"/>
            </w:tcBorders>
            <w:shd w:val="clear" w:color="auto" w:fill="auto"/>
            <w:vAlign w:val="center"/>
            <w:hideMark/>
          </w:tcPr>
          <w:p w:rsidR="00A67219" w:rsidRPr="00D03BAA" w:rsidRDefault="00A67219" w:rsidP="00DB525D">
            <w:pPr>
              <w:spacing w:line="240" w:lineRule="auto"/>
              <w:jc w:val="center"/>
              <w:rPr>
                <w:rFonts w:ascii="Times New Roman" w:hAnsi="Times New Roman" w:cs="Times New Roman"/>
                <w:b/>
                <w:bCs/>
                <w:color w:val="000000"/>
                <w:lang w:val="en-US" w:eastAsia="fr-FR"/>
              </w:rPr>
            </w:pPr>
            <w:r w:rsidRPr="00C62CA8">
              <w:rPr>
                <w:rFonts w:ascii="Times New Roman" w:hAnsi="Times New Roman" w:cs="Times New Roman"/>
                <w:b/>
                <w:bCs/>
                <w:color w:val="000000"/>
                <w:lang w:val="en-GB" w:eastAsia="fr-FR"/>
              </w:rPr>
              <w:t>Smith et al. min-test</w:t>
            </w:r>
          </w:p>
        </w:tc>
      </w:tr>
      <w:tr w:rsidR="00A67219" w:rsidRPr="00C62CA8" w:rsidTr="00A67219">
        <w:trPr>
          <w:trHeight w:val="297"/>
        </w:trPr>
        <w:tc>
          <w:tcPr>
            <w:tcW w:w="1299" w:type="dxa"/>
            <w:vMerge/>
            <w:tcBorders>
              <w:top w:val="nil"/>
              <w:left w:val="nil"/>
              <w:bottom w:val="nil"/>
              <w:right w:val="nil"/>
            </w:tcBorders>
            <w:shd w:val="clear" w:color="auto" w:fill="auto"/>
            <w:vAlign w:val="center"/>
            <w:hideMark/>
          </w:tcPr>
          <w:p w:rsidR="00A67219" w:rsidRPr="00D03BAA" w:rsidRDefault="00A67219" w:rsidP="00DB525D">
            <w:pPr>
              <w:spacing w:line="240" w:lineRule="auto"/>
              <w:rPr>
                <w:rFonts w:ascii="Times New Roman" w:hAnsi="Times New Roman" w:cs="Times New Roman"/>
                <w:b/>
                <w:bCs/>
                <w:color w:val="000000"/>
                <w:lang w:val="en-US" w:eastAsia="fr-FR"/>
              </w:rPr>
            </w:pP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b/>
                <w:bCs/>
                <w:color w:val="000000"/>
                <w:lang w:val="fr-FR" w:eastAsia="fr-FR"/>
              </w:rPr>
            </w:pPr>
            <w:r w:rsidRPr="00C62CA8">
              <w:rPr>
                <w:rFonts w:ascii="Times New Roman" w:hAnsi="Times New Roman" w:cs="Times New Roman"/>
                <w:b/>
                <w:bCs/>
                <w:color w:val="000000"/>
                <w:lang w:val="en-GB" w:eastAsia="fr-FR"/>
              </w:rPr>
              <w:t>CIPS</w:t>
            </w:r>
          </w:p>
        </w:tc>
        <w:tc>
          <w:tcPr>
            <w:tcW w:w="1299" w:type="dxa"/>
            <w:vMerge/>
            <w:tcBorders>
              <w:top w:val="nil"/>
              <w:left w:val="nil"/>
              <w:bottom w:val="nil"/>
              <w:right w:val="nil"/>
            </w:tcBorders>
            <w:shd w:val="clear" w:color="auto" w:fill="auto"/>
            <w:vAlign w:val="center"/>
            <w:hideMark/>
          </w:tcPr>
          <w:p w:rsidR="00A67219" w:rsidRPr="00C62CA8" w:rsidRDefault="00A67219" w:rsidP="00DB525D">
            <w:pPr>
              <w:spacing w:line="240" w:lineRule="auto"/>
              <w:rPr>
                <w:rFonts w:ascii="Times New Roman" w:hAnsi="Times New Roman" w:cs="Times New Roman"/>
                <w:b/>
                <w:bCs/>
                <w:color w:val="000000"/>
                <w:lang w:val="fr-FR" w:eastAsia="fr-FR"/>
              </w:rPr>
            </w:pPr>
          </w:p>
        </w:tc>
        <w:tc>
          <w:tcPr>
            <w:tcW w:w="1299" w:type="dxa"/>
            <w:vMerge/>
            <w:tcBorders>
              <w:top w:val="nil"/>
              <w:left w:val="nil"/>
              <w:bottom w:val="nil"/>
              <w:right w:val="nil"/>
            </w:tcBorders>
            <w:shd w:val="clear" w:color="auto" w:fill="auto"/>
            <w:vAlign w:val="center"/>
            <w:hideMark/>
          </w:tcPr>
          <w:p w:rsidR="00A67219" w:rsidRPr="00C62CA8" w:rsidRDefault="00A67219" w:rsidP="00DB525D">
            <w:pPr>
              <w:spacing w:line="240" w:lineRule="auto"/>
              <w:rPr>
                <w:rFonts w:ascii="Times New Roman" w:hAnsi="Times New Roman" w:cs="Times New Roman"/>
                <w:b/>
                <w:bCs/>
                <w:color w:val="000000"/>
                <w:lang w:val="fr-FR" w:eastAsia="fr-FR"/>
              </w:rPr>
            </w:pPr>
          </w:p>
        </w:tc>
        <w:tc>
          <w:tcPr>
            <w:tcW w:w="1299" w:type="dxa"/>
            <w:vMerge/>
            <w:tcBorders>
              <w:top w:val="nil"/>
              <w:left w:val="nil"/>
              <w:bottom w:val="nil"/>
              <w:right w:val="nil"/>
            </w:tcBorders>
            <w:shd w:val="clear" w:color="auto" w:fill="auto"/>
            <w:vAlign w:val="center"/>
            <w:hideMark/>
          </w:tcPr>
          <w:p w:rsidR="00A67219" w:rsidRPr="00C62CA8" w:rsidRDefault="00A67219" w:rsidP="00DB525D">
            <w:pPr>
              <w:spacing w:line="240" w:lineRule="auto"/>
              <w:rPr>
                <w:rFonts w:ascii="Times New Roman" w:hAnsi="Times New Roman" w:cs="Times New Roman"/>
                <w:b/>
                <w:bCs/>
                <w:color w:val="000000"/>
                <w:lang w:val="fr-FR" w:eastAsia="fr-FR"/>
              </w:rPr>
            </w:pPr>
          </w:p>
        </w:tc>
        <w:tc>
          <w:tcPr>
            <w:tcW w:w="1299" w:type="dxa"/>
            <w:vMerge/>
            <w:tcBorders>
              <w:top w:val="nil"/>
              <w:left w:val="nil"/>
              <w:bottom w:val="nil"/>
              <w:right w:val="nil"/>
            </w:tcBorders>
            <w:shd w:val="clear" w:color="auto" w:fill="auto"/>
            <w:vAlign w:val="center"/>
            <w:hideMark/>
          </w:tcPr>
          <w:p w:rsidR="00A67219" w:rsidRPr="00C62CA8" w:rsidRDefault="00A67219" w:rsidP="00DB525D">
            <w:pPr>
              <w:spacing w:line="240" w:lineRule="auto"/>
              <w:rPr>
                <w:rFonts w:ascii="Times New Roman" w:hAnsi="Times New Roman" w:cs="Times New Roman"/>
                <w:b/>
                <w:bCs/>
                <w:color w:val="000000"/>
                <w:lang w:val="fr-FR" w:eastAsia="fr-FR"/>
              </w:rPr>
            </w:pPr>
          </w:p>
        </w:tc>
      </w:tr>
      <w:tr w:rsidR="00A67219" w:rsidRPr="00C62CA8" w:rsidTr="00A67219">
        <w:trPr>
          <w:trHeight w:val="297"/>
        </w:trPr>
        <w:tc>
          <w:tcPr>
            <w:tcW w:w="1299" w:type="dxa"/>
            <w:tcBorders>
              <w:top w:val="nil"/>
              <w:left w:val="nil"/>
              <w:bottom w:val="nil"/>
              <w:right w:val="nil"/>
            </w:tcBorders>
            <w:shd w:val="clear" w:color="auto" w:fill="auto"/>
            <w:vAlign w:val="center"/>
            <w:hideMark/>
          </w:tcPr>
          <w:p w:rsidR="00A67219" w:rsidRPr="001D5DF5" w:rsidRDefault="00A67219" w:rsidP="00DB525D">
            <w:pPr>
              <w:spacing w:line="240" w:lineRule="auto"/>
              <w:rPr>
                <w:rFonts w:ascii="Times New Roman" w:hAnsi="Times New Roman" w:cs="Times New Roman"/>
                <w:b/>
                <w:bCs/>
                <w:color w:val="000000"/>
                <w:sz w:val="20"/>
                <w:szCs w:val="20"/>
                <w:lang w:val="en-US" w:eastAsia="fr-FR"/>
              </w:rPr>
            </w:pP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b/>
                <w:bCs/>
                <w:color w:val="000000"/>
                <w:lang w:val="en-GB" w:eastAsia="fr-FR"/>
              </w:rPr>
            </w:pP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rPr>
                <w:rFonts w:ascii="Times New Roman" w:hAnsi="Times New Roman" w:cs="Times New Roman"/>
                <w:b/>
                <w:bCs/>
                <w:color w:val="000000"/>
                <w:lang w:val="fr-FR" w:eastAsia="fr-FR"/>
              </w:rPr>
            </w:pP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rPr>
                <w:rFonts w:ascii="Times New Roman" w:hAnsi="Times New Roman" w:cs="Times New Roman"/>
                <w:b/>
                <w:bCs/>
                <w:color w:val="000000"/>
                <w:lang w:val="fr-FR" w:eastAsia="fr-FR"/>
              </w:rPr>
            </w:pP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rPr>
                <w:rFonts w:ascii="Times New Roman" w:hAnsi="Times New Roman" w:cs="Times New Roman"/>
                <w:b/>
                <w:bCs/>
                <w:color w:val="000000"/>
                <w:lang w:val="fr-FR" w:eastAsia="fr-FR"/>
              </w:rPr>
            </w:pP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rPr>
                <w:rFonts w:ascii="Times New Roman" w:hAnsi="Times New Roman" w:cs="Times New Roman"/>
                <w:b/>
                <w:bCs/>
                <w:color w:val="000000"/>
                <w:lang w:val="fr-FR" w:eastAsia="fr-FR"/>
              </w:rPr>
            </w:pPr>
          </w:p>
        </w:tc>
      </w:tr>
      <w:tr w:rsidR="00A67219" w:rsidRPr="00C62CA8" w:rsidTr="00A67219">
        <w:trPr>
          <w:trHeight w:val="297"/>
        </w:trPr>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iCs/>
                <w:color w:val="000000"/>
                <w:lang w:val="fr-FR" w:eastAsia="fr-FR"/>
              </w:rPr>
            </w:pPr>
            <w:r>
              <w:rPr>
                <w:rFonts w:ascii="Times New Roman" w:hAnsi="Times New Roman" w:cs="Times New Roman"/>
                <w:iCs/>
                <w:color w:val="000000"/>
                <w:lang w:val="fr-FR" w:eastAsia="fr-FR"/>
              </w:rPr>
              <w:t>DS</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sidRPr="00C62CA8">
              <w:rPr>
                <w:rFonts w:ascii="Times New Roman" w:hAnsi="Times New Roman" w:cs="Times New Roman"/>
                <w:color w:val="000000"/>
                <w:lang w:eastAsia="fr-FR"/>
              </w:rPr>
              <w:t>-1.2</w:t>
            </w:r>
            <w:r>
              <w:rPr>
                <w:rFonts w:ascii="Times New Roman" w:hAnsi="Times New Roman" w:cs="Times New Roman"/>
                <w:color w:val="000000"/>
                <w:lang w:val="en-US" w:eastAsia="fr-FR"/>
              </w:rPr>
              <w:t>4</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sidRPr="00C62CA8">
              <w:rPr>
                <w:rFonts w:ascii="Times New Roman" w:hAnsi="Times New Roman" w:cs="Times New Roman"/>
                <w:color w:val="000000"/>
                <w:lang w:eastAsia="fr-FR"/>
              </w:rPr>
              <w:t>-1.</w:t>
            </w:r>
            <w:r>
              <w:rPr>
                <w:rFonts w:ascii="Times New Roman" w:hAnsi="Times New Roman" w:cs="Times New Roman"/>
                <w:color w:val="000000"/>
                <w:lang w:val="en-US" w:eastAsia="fr-FR"/>
              </w:rPr>
              <w:t>28</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2</w:t>
            </w:r>
            <w:r w:rsidRPr="00C62CA8">
              <w:rPr>
                <w:rFonts w:ascii="Times New Roman" w:hAnsi="Times New Roman" w:cs="Times New Roman"/>
                <w:color w:val="000000"/>
                <w:lang w:eastAsia="fr-FR"/>
              </w:rPr>
              <w:t>.</w:t>
            </w:r>
            <w:r>
              <w:rPr>
                <w:rFonts w:ascii="Times New Roman" w:hAnsi="Times New Roman" w:cs="Times New Roman"/>
                <w:color w:val="000000"/>
                <w:lang w:val="en-US" w:eastAsia="fr-FR"/>
              </w:rPr>
              <w:t>94</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sidRPr="00C62CA8">
              <w:rPr>
                <w:rFonts w:ascii="Times New Roman" w:hAnsi="Times New Roman" w:cs="Times New Roman"/>
                <w:color w:val="000000"/>
                <w:lang w:eastAsia="fr-FR"/>
              </w:rPr>
              <w:t>-1.</w:t>
            </w:r>
            <w:r>
              <w:rPr>
                <w:rFonts w:ascii="Times New Roman" w:hAnsi="Times New Roman" w:cs="Times New Roman"/>
                <w:color w:val="000000"/>
                <w:lang w:val="en-US" w:eastAsia="fr-FR"/>
              </w:rPr>
              <w:t>35</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sidRPr="00C62CA8">
              <w:rPr>
                <w:rFonts w:ascii="Times New Roman" w:hAnsi="Times New Roman" w:cs="Times New Roman"/>
                <w:color w:val="000000"/>
                <w:lang w:eastAsia="fr-FR"/>
              </w:rPr>
              <w:t>1.</w:t>
            </w:r>
            <w:r>
              <w:rPr>
                <w:rFonts w:ascii="Times New Roman" w:hAnsi="Times New Roman" w:cs="Times New Roman"/>
                <w:color w:val="000000"/>
                <w:lang w:val="en-US" w:eastAsia="fr-FR"/>
              </w:rPr>
              <w:t>39</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iCs/>
                <w:color w:val="000000"/>
                <w:lang w:val="fr-FR" w:eastAsia="fr-FR"/>
              </w:rPr>
            </w:pPr>
            <w:r w:rsidRPr="00C62CA8">
              <w:rPr>
                <w:rFonts w:ascii="Times New Roman" w:hAnsi="Times New Roman" w:cs="Times New Roman"/>
                <w:iCs/>
                <w:color w:val="000000"/>
                <w:lang w:eastAsia="fr-FR"/>
              </w:rPr>
              <w:t>Δ</w:t>
            </w:r>
            <w:r>
              <w:rPr>
                <w:rFonts w:ascii="Times New Roman" w:hAnsi="Times New Roman" w:cs="Times New Roman"/>
                <w:iCs/>
                <w:color w:val="000000"/>
                <w:lang w:val="en-US" w:eastAsia="fr-FR"/>
              </w:rPr>
              <w:t>DS</w:t>
            </w: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color w:val="000000"/>
                <w:lang w:val="fr-FR" w:eastAsia="fr-FR"/>
              </w:rPr>
            </w:pPr>
            <w:r w:rsidRPr="00C62CA8">
              <w:rPr>
                <w:rFonts w:ascii="Times New Roman" w:hAnsi="Times New Roman" w:cs="Times New Roman"/>
                <w:color w:val="000000"/>
                <w:lang w:eastAsia="fr-FR"/>
              </w:rPr>
              <w:t>-5.</w:t>
            </w:r>
            <w:r>
              <w:rPr>
                <w:rFonts w:ascii="Times New Roman" w:hAnsi="Times New Roman" w:cs="Times New Roman"/>
                <w:color w:val="000000"/>
                <w:lang w:val="en-US" w:eastAsia="fr-FR"/>
              </w:rPr>
              <w:t>36</w:t>
            </w:r>
            <w:r>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Pr="00C62CA8" w:rsidRDefault="00A67219" w:rsidP="00452868">
            <w:pPr>
              <w:spacing w:line="240" w:lineRule="auto"/>
              <w:jc w:val="center"/>
              <w:rPr>
                <w:rFonts w:ascii="Times New Roman" w:hAnsi="Times New Roman" w:cs="Times New Roman"/>
                <w:color w:val="000000"/>
                <w:lang w:val="fr-FR" w:eastAsia="fr-FR"/>
              </w:rPr>
            </w:pPr>
            <w:r w:rsidRPr="00C62CA8">
              <w:rPr>
                <w:rFonts w:ascii="Times New Roman" w:hAnsi="Times New Roman" w:cs="Times New Roman"/>
                <w:color w:val="000000"/>
                <w:lang w:eastAsia="fr-FR"/>
              </w:rPr>
              <w:t>-</w:t>
            </w:r>
            <w:r>
              <w:rPr>
                <w:rFonts w:ascii="Times New Roman" w:hAnsi="Times New Roman" w:cs="Times New Roman"/>
                <w:color w:val="000000"/>
                <w:lang w:val="en-US" w:eastAsia="fr-FR"/>
              </w:rPr>
              <w:t>5</w:t>
            </w:r>
            <w:r w:rsidRPr="00C62CA8">
              <w:rPr>
                <w:rFonts w:ascii="Times New Roman" w:hAnsi="Times New Roman" w:cs="Times New Roman"/>
                <w:color w:val="000000"/>
                <w:lang w:eastAsia="fr-FR"/>
              </w:rPr>
              <w:t>.</w:t>
            </w:r>
            <w:r>
              <w:rPr>
                <w:rFonts w:ascii="Times New Roman" w:hAnsi="Times New Roman" w:cs="Times New Roman"/>
                <w:color w:val="000000"/>
                <w:lang w:val="en-US" w:eastAsia="fr-FR"/>
              </w:rPr>
              <w:t>49</w:t>
            </w:r>
            <w:r>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color w:val="000000"/>
                <w:lang w:val="fr-FR" w:eastAsia="fr-FR"/>
              </w:rPr>
            </w:pPr>
            <w:r>
              <w:rPr>
                <w:rFonts w:ascii="Times New Roman" w:hAnsi="Times New Roman" w:cs="Times New Roman"/>
                <w:color w:val="000000"/>
                <w:lang w:eastAsia="fr-FR"/>
              </w:rPr>
              <w:t>20</w:t>
            </w:r>
            <w:r w:rsidRPr="00C62CA8">
              <w:rPr>
                <w:rFonts w:ascii="Times New Roman" w:hAnsi="Times New Roman" w:cs="Times New Roman"/>
                <w:color w:val="000000"/>
                <w:lang w:eastAsia="fr-FR"/>
              </w:rPr>
              <w:t>.</w:t>
            </w:r>
            <w:r>
              <w:rPr>
                <w:rFonts w:ascii="Times New Roman" w:hAnsi="Times New Roman" w:cs="Times New Roman"/>
                <w:color w:val="000000"/>
                <w:lang w:eastAsia="fr-FR"/>
              </w:rPr>
              <w:t>2</w:t>
            </w:r>
            <w:r>
              <w:rPr>
                <w:rFonts w:ascii="Times New Roman" w:hAnsi="Times New Roman" w:cs="Times New Roman"/>
                <w:color w:val="000000"/>
                <w:lang w:val="en-US" w:eastAsia="fr-FR"/>
              </w:rPr>
              <w:t>4</w:t>
            </w:r>
            <w:r>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color w:val="000000"/>
                <w:lang w:val="fr-FR" w:eastAsia="fr-FR"/>
              </w:rPr>
            </w:pPr>
            <w:r w:rsidRPr="00C62CA8">
              <w:rPr>
                <w:rFonts w:ascii="Times New Roman" w:hAnsi="Times New Roman" w:cs="Times New Roman"/>
                <w:color w:val="000000"/>
                <w:lang w:eastAsia="fr-FR"/>
              </w:rPr>
              <w:t>-</w:t>
            </w:r>
            <w:r>
              <w:rPr>
                <w:rFonts w:ascii="Times New Roman" w:hAnsi="Times New Roman" w:cs="Times New Roman"/>
                <w:color w:val="000000"/>
                <w:lang w:val="en-US" w:eastAsia="fr-FR"/>
              </w:rPr>
              <w:t>6</w:t>
            </w:r>
            <w:r w:rsidRPr="00C62CA8">
              <w:rPr>
                <w:rFonts w:ascii="Times New Roman" w:hAnsi="Times New Roman" w:cs="Times New Roman"/>
                <w:color w:val="000000"/>
                <w:lang w:eastAsia="fr-FR"/>
              </w:rPr>
              <w:t>.</w:t>
            </w:r>
            <w:r>
              <w:rPr>
                <w:rFonts w:ascii="Times New Roman" w:hAnsi="Times New Roman" w:cs="Times New Roman"/>
                <w:color w:val="000000"/>
                <w:lang w:eastAsia="fr-FR"/>
              </w:rPr>
              <w:t>9</w:t>
            </w:r>
            <w:r>
              <w:rPr>
                <w:rFonts w:ascii="Times New Roman" w:hAnsi="Times New Roman" w:cs="Times New Roman"/>
                <w:color w:val="000000"/>
                <w:lang w:val="en-US" w:eastAsia="fr-FR"/>
              </w:rPr>
              <w:t>1</w:t>
            </w:r>
            <w:r>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color w:val="000000"/>
                <w:lang w:val="fr-FR" w:eastAsia="fr-FR"/>
              </w:rPr>
            </w:pPr>
            <w:r w:rsidRPr="00C62CA8">
              <w:rPr>
                <w:rFonts w:ascii="Times New Roman" w:hAnsi="Times New Roman" w:cs="Times New Roman"/>
                <w:color w:val="000000"/>
                <w:lang w:eastAsia="fr-FR"/>
              </w:rPr>
              <w:t>7.</w:t>
            </w:r>
            <w:r>
              <w:rPr>
                <w:rFonts w:ascii="Times New Roman" w:hAnsi="Times New Roman" w:cs="Times New Roman"/>
                <w:color w:val="000000"/>
                <w:lang w:val="en-US" w:eastAsia="fr-FR"/>
              </w:rPr>
              <w:t>02</w:t>
            </w:r>
            <w:r>
              <w:rPr>
                <w:rFonts w:ascii="Times New Roman" w:hAnsi="Times New Roman" w:cs="Times New Roman"/>
                <w:color w:val="000000"/>
                <w:vertAlign w:val="superscript"/>
                <w:lang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C</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w:t>
            </w:r>
            <w:r>
              <w:rPr>
                <w:rFonts w:ascii="Times New Roman" w:hAnsi="Times New Roman" w:cs="Times New Roman"/>
                <w:color w:val="000000"/>
                <w:lang w:val="en-US" w:eastAsia="fr-FR"/>
              </w:rPr>
              <w:t>28</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0</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3.0</w:t>
            </w:r>
            <w:r>
              <w:rPr>
                <w:rFonts w:ascii="Times New Roman" w:hAnsi="Times New Roman" w:cs="Times New Roman"/>
                <w:color w:val="000000"/>
                <w:lang w:val="en-US" w:eastAsia="fr-FR"/>
              </w:rPr>
              <w:t>2</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1</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5</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sidRPr="00C62CA8">
              <w:rPr>
                <w:rFonts w:ascii="Times New Roman" w:hAnsi="Times New Roman" w:cs="Times New Roman"/>
                <w:iCs/>
                <w:color w:val="000000"/>
                <w:lang w:eastAsia="fr-FR"/>
              </w:rPr>
              <w:t>Δ</w:t>
            </w:r>
            <w:r>
              <w:rPr>
                <w:rFonts w:ascii="Times New Roman" w:hAnsi="Times New Roman" w:cs="Times New Roman"/>
                <w:iCs/>
                <w:color w:val="000000"/>
                <w:lang w:val="en-US" w:eastAsia="fr-FR"/>
              </w:rPr>
              <w:t>C</w:t>
            </w: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-5.4</w:t>
            </w:r>
            <w:r>
              <w:rPr>
                <w:rFonts w:ascii="Times New Roman" w:hAnsi="Times New Roman" w:cs="Times New Roman"/>
                <w:color w:val="000000"/>
                <w:lang w:val="en-US" w:eastAsia="fr-FR"/>
              </w:rPr>
              <w:t>0</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-6.3</w:t>
            </w:r>
            <w:r>
              <w:rPr>
                <w:rFonts w:ascii="Times New Roman" w:hAnsi="Times New Roman" w:cs="Times New Roman"/>
                <w:color w:val="000000"/>
                <w:lang w:val="en-US" w:eastAsia="fr-FR"/>
              </w:rPr>
              <w:t>9</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2</w:t>
            </w:r>
            <w:r>
              <w:rPr>
                <w:rFonts w:ascii="Times New Roman" w:hAnsi="Times New Roman" w:cs="Times New Roman"/>
                <w:color w:val="000000"/>
                <w:lang w:val="en-US" w:eastAsia="fr-FR"/>
              </w:rPr>
              <w:t>1</w:t>
            </w:r>
            <w:r>
              <w:rPr>
                <w:rFonts w:ascii="Times New Roman" w:hAnsi="Times New Roman" w:cs="Times New Roman"/>
                <w:color w:val="000000"/>
                <w:lang w:eastAsia="fr-FR"/>
              </w:rPr>
              <w:t>.</w:t>
            </w:r>
            <w:r>
              <w:rPr>
                <w:rFonts w:ascii="Times New Roman" w:hAnsi="Times New Roman" w:cs="Times New Roman"/>
                <w:color w:val="000000"/>
                <w:lang w:val="en-US" w:eastAsia="fr-FR"/>
              </w:rPr>
              <w:t>03</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w:t>
            </w:r>
            <w:r>
              <w:rPr>
                <w:rFonts w:ascii="Times New Roman" w:hAnsi="Times New Roman" w:cs="Times New Roman"/>
                <w:color w:val="000000"/>
                <w:lang w:val="en-US" w:eastAsia="fr-FR"/>
              </w:rPr>
              <w:t>7</w:t>
            </w:r>
            <w:r>
              <w:rPr>
                <w:rFonts w:ascii="Times New Roman" w:hAnsi="Times New Roman" w:cs="Times New Roman"/>
                <w:color w:val="000000"/>
                <w:lang w:eastAsia="fr-FR"/>
              </w:rPr>
              <w:t>.</w:t>
            </w:r>
            <w:r>
              <w:rPr>
                <w:rFonts w:ascii="Times New Roman" w:hAnsi="Times New Roman" w:cs="Times New Roman"/>
                <w:color w:val="000000"/>
                <w:lang w:val="en-US" w:eastAsia="fr-FR"/>
              </w:rPr>
              <w:t>16</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Pr="00C62CA8"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7.</w:t>
            </w:r>
            <w:r>
              <w:rPr>
                <w:rFonts w:ascii="Times New Roman" w:hAnsi="Times New Roman" w:cs="Times New Roman"/>
                <w:color w:val="000000"/>
                <w:lang w:val="en-US" w:eastAsia="fr-FR"/>
              </w:rPr>
              <w:t>32</w:t>
            </w:r>
            <w:r w:rsidRPr="000E3C67">
              <w:rPr>
                <w:rFonts w:ascii="Times New Roman" w:hAnsi="Times New Roman" w:cs="Times New Roman"/>
                <w:color w:val="000000"/>
                <w:vertAlign w:val="superscript"/>
                <w:lang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Y</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-1.2</w:t>
            </w:r>
            <w:r>
              <w:rPr>
                <w:rFonts w:ascii="Times New Roman" w:hAnsi="Times New Roman" w:cs="Times New Roman"/>
                <w:color w:val="000000"/>
                <w:lang w:val="en-US" w:eastAsia="fr-FR"/>
              </w:rPr>
              <w:t>4</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w:t>
            </w:r>
            <w:r>
              <w:rPr>
                <w:rFonts w:ascii="Times New Roman" w:hAnsi="Times New Roman" w:cs="Times New Roman"/>
                <w:color w:val="000000"/>
                <w:lang w:val="en-US" w:eastAsia="fr-FR"/>
              </w:rPr>
              <w:t>28</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2</w:t>
            </w:r>
            <w:r>
              <w:rPr>
                <w:rFonts w:ascii="Times New Roman" w:hAnsi="Times New Roman" w:cs="Times New Roman"/>
                <w:color w:val="000000"/>
                <w:lang w:eastAsia="fr-FR"/>
              </w:rPr>
              <w:t>.</w:t>
            </w:r>
            <w:r>
              <w:rPr>
                <w:rFonts w:ascii="Times New Roman" w:hAnsi="Times New Roman" w:cs="Times New Roman"/>
                <w:color w:val="000000"/>
                <w:lang w:val="en-US" w:eastAsia="fr-FR"/>
              </w:rPr>
              <w:t>86</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w:t>
            </w:r>
            <w:r>
              <w:rPr>
                <w:rFonts w:ascii="Times New Roman" w:hAnsi="Times New Roman" w:cs="Times New Roman"/>
                <w:color w:val="000000"/>
                <w:lang w:val="en-US" w:eastAsia="fr-FR"/>
              </w:rPr>
              <w:t>35</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8</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iCs/>
                <w:color w:val="000000"/>
                <w:lang w:val="en-US" w:eastAsia="fr-FR"/>
              </w:rPr>
            </w:pPr>
            <w:r w:rsidRPr="00C62CA8">
              <w:rPr>
                <w:rFonts w:ascii="Times New Roman" w:hAnsi="Times New Roman" w:cs="Times New Roman"/>
                <w:iCs/>
                <w:color w:val="000000"/>
                <w:lang w:eastAsia="fr-FR"/>
              </w:rPr>
              <w:t>Δ</w:t>
            </w:r>
            <w:r>
              <w:rPr>
                <w:rFonts w:ascii="Times New Roman" w:hAnsi="Times New Roman" w:cs="Times New Roman"/>
                <w:iCs/>
                <w:color w:val="000000"/>
                <w:lang w:val="en-US" w:eastAsia="fr-FR"/>
              </w:rPr>
              <w:t>Y</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54</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-6.1</w:t>
            </w:r>
            <w:r>
              <w:rPr>
                <w:rFonts w:ascii="Times New Roman" w:hAnsi="Times New Roman" w:cs="Times New Roman"/>
                <w:color w:val="000000"/>
                <w:lang w:val="en-US" w:eastAsia="fr-FR"/>
              </w:rPr>
              <w:t>1</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20.4</w:t>
            </w:r>
            <w:r>
              <w:rPr>
                <w:rFonts w:ascii="Times New Roman" w:hAnsi="Times New Roman" w:cs="Times New Roman"/>
                <w:color w:val="000000"/>
                <w:lang w:val="en-US" w:eastAsia="fr-FR"/>
              </w:rPr>
              <w:t>2</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-6.</w:t>
            </w:r>
            <w:r>
              <w:rPr>
                <w:rFonts w:ascii="Times New Roman" w:hAnsi="Times New Roman" w:cs="Times New Roman"/>
                <w:color w:val="000000"/>
                <w:lang w:val="en-US" w:eastAsia="fr-FR"/>
              </w:rPr>
              <w:t>39</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6.</w:t>
            </w:r>
            <w:r>
              <w:rPr>
                <w:rFonts w:ascii="Times New Roman" w:hAnsi="Times New Roman" w:cs="Times New Roman"/>
                <w:color w:val="000000"/>
                <w:lang w:val="en-US" w:eastAsia="fr-FR"/>
              </w:rPr>
              <w:t>68</w:t>
            </w:r>
            <w:r w:rsidRPr="000E3C67">
              <w:rPr>
                <w:rFonts w:ascii="Times New Roman" w:hAnsi="Times New Roman" w:cs="Times New Roman"/>
                <w:color w:val="000000"/>
                <w:vertAlign w:val="superscript"/>
                <w:lang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S</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w:t>
            </w:r>
            <w:r>
              <w:rPr>
                <w:rFonts w:ascii="Times New Roman" w:hAnsi="Times New Roman" w:cs="Times New Roman"/>
                <w:color w:val="000000"/>
                <w:lang w:val="en-US" w:eastAsia="fr-FR"/>
              </w:rPr>
              <w:t>25</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4</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2.</w:t>
            </w:r>
            <w:r>
              <w:rPr>
                <w:rFonts w:ascii="Times New Roman" w:hAnsi="Times New Roman" w:cs="Times New Roman"/>
                <w:color w:val="000000"/>
                <w:lang w:val="en-US" w:eastAsia="fr-FR"/>
              </w:rPr>
              <w:t>76</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4</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1.4</w:t>
            </w:r>
            <w:r>
              <w:rPr>
                <w:rFonts w:ascii="Times New Roman" w:hAnsi="Times New Roman" w:cs="Times New Roman"/>
                <w:color w:val="000000"/>
                <w:lang w:val="en-US" w:eastAsia="fr-FR"/>
              </w:rPr>
              <w:t>2</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sidRPr="00C62CA8">
              <w:rPr>
                <w:rFonts w:ascii="Times New Roman" w:hAnsi="Times New Roman" w:cs="Times New Roman"/>
                <w:iCs/>
                <w:color w:val="000000"/>
                <w:lang w:eastAsia="fr-FR"/>
              </w:rPr>
              <w:t>Δ</w:t>
            </w:r>
            <w:r>
              <w:rPr>
                <w:rFonts w:ascii="Times New Roman" w:hAnsi="Times New Roman" w:cs="Times New Roman"/>
                <w:iCs/>
                <w:color w:val="000000"/>
                <w:lang w:val="en-US" w:eastAsia="fr-FR"/>
              </w:rPr>
              <w:t>S</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-5.5</w:t>
            </w:r>
            <w:r>
              <w:rPr>
                <w:rFonts w:ascii="Times New Roman" w:hAnsi="Times New Roman" w:cs="Times New Roman"/>
                <w:color w:val="000000"/>
                <w:lang w:val="en-US" w:eastAsia="fr-FR"/>
              </w:rPr>
              <w:t>1</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48</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2</w:t>
            </w:r>
            <w:r>
              <w:rPr>
                <w:rFonts w:ascii="Times New Roman" w:hAnsi="Times New Roman" w:cs="Times New Roman"/>
                <w:color w:val="000000"/>
                <w:lang w:val="en-US" w:eastAsia="fr-FR"/>
              </w:rPr>
              <w:t>0</w:t>
            </w:r>
            <w:r>
              <w:rPr>
                <w:rFonts w:ascii="Times New Roman" w:hAnsi="Times New Roman" w:cs="Times New Roman"/>
                <w:color w:val="000000"/>
                <w:lang w:eastAsia="fr-FR"/>
              </w:rPr>
              <w:t>.6</w:t>
            </w:r>
            <w:r>
              <w:rPr>
                <w:rFonts w:ascii="Times New Roman" w:hAnsi="Times New Roman" w:cs="Times New Roman"/>
                <w:color w:val="000000"/>
                <w:lang w:val="en-US" w:eastAsia="fr-FR"/>
              </w:rPr>
              <w:t>2</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-6.</w:t>
            </w:r>
            <w:r>
              <w:rPr>
                <w:rFonts w:ascii="Times New Roman" w:hAnsi="Times New Roman" w:cs="Times New Roman"/>
                <w:color w:val="000000"/>
                <w:lang w:val="en-US" w:eastAsia="fr-FR"/>
              </w:rPr>
              <w:t>53</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w:t>
            </w:r>
            <w:r>
              <w:rPr>
                <w:rFonts w:ascii="Times New Roman" w:hAnsi="Times New Roman" w:cs="Times New Roman"/>
                <w:color w:val="000000"/>
                <w:lang w:val="en-US" w:eastAsia="fr-FR"/>
              </w:rPr>
              <w:t>6</w:t>
            </w:r>
            <w:r>
              <w:rPr>
                <w:rFonts w:ascii="Times New Roman" w:hAnsi="Times New Roman" w:cs="Times New Roman"/>
                <w:color w:val="000000"/>
                <w:lang w:eastAsia="fr-FR"/>
              </w:rPr>
              <w:t>.</w:t>
            </w:r>
            <w:r>
              <w:rPr>
                <w:rFonts w:ascii="Times New Roman" w:hAnsi="Times New Roman" w:cs="Times New Roman"/>
                <w:color w:val="000000"/>
                <w:lang w:val="en-US" w:eastAsia="fr-FR"/>
              </w:rPr>
              <w:t>74</w:t>
            </w:r>
            <w:r w:rsidRPr="000E3C67">
              <w:rPr>
                <w:rFonts w:ascii="Times New Roman" w:hAnsi="Times New Roman" w:cs="Times New Roman"/>
                <w:color w:val="000000"/>
                <w:vertAlign w:val="superscript"/>
                <w:lang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H</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-1.2</w:t>
            </w:r>
            <w:r>
              <w:rPr>
                <w:rFonts w:ascii="Times New Roman" w:hAnsi="Times New Roman" w:cs="Times New Roman"/>
                <w:color w:val="000000"/>
                <w:lang w:val="en-US" w:eastAsia="fr-FR"/>
              </w:rPr>
              <w:t>4</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1</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2</w:t>
            </w:r>
            <w:r>
              <w:rPr>
                <w:rFonts w:ascii="Times New Roman" w:hAnsi="Times New Roman" w:cs="Times New Roman"/>
                <w:color w:val="000000"/>
                <w:lang w:eastAsia="fr-FR"/>
              </w:rPr>
              <w:t>.</w:t>
            </w:r>
            <w:r>
              <w:rPr>
                <w:rFonts w:ascii="Times New Roman" w:hAnsi="Times New Roman" w:cs="Times New Roman"/>
                <w:color w:val="000000"/>
                <w:lang w:val="en-US" w:eastAsia="fr-FR"/>
              </w:rPr>
              <w:t>79</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4</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1.4</w:t>
            </w:r>
            <w:r>
              <w:rPr>
                <w:rFonts w:ascii="Times New Roman" w:hAnsi="Times New Roman" w:cs="Times New Roman"/>
                <w:color w:val="000000"/>
                <w:lang w:val="en-US" w:eastAsia="fr-FR"/>
              </w:rPr>
              <w:t>2</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sidRPr="00C62CA8">
              <w:rPr>
                <w:rFonts w:ascii="Times New Roman" w:hAnsi="Times New Roman" w:cs="Times New Roman"/>
                <w:iCs/>
                <w:color w:val="000000"/>
                <w:lang w:eastAsia="fr-FR"/>
              </w:rPr>
              <w:t>Δ</w:t>
            </w:r>
            <w:r>
              <w:rPr>
                <w:rFonts w:ascii="Times New Roman" w:hAnsi="Times New Roman" w:cs="Times New Roman"/>
                <w:iCs/>
                <w:color w:val="000000"/>
                <w:lang w:val="en-US" w:eastAsia="fr-FR"/>
              </w:rPr>
              <w:t>H</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63</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82</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21.</w:t>
            </w:r>
            <w:r>
              <w:rPr>
                <w:rFonts w:ascii="Times New Roman" w:hAnsi="Times New Roman" w:cs="Times New Roman"/>
                <w:color w:val="000000"/>
                <w:lang w:val="en-US" w:eastAsia="fr-FR"/>
              </w:rPr>
              <w:t>16</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w:t>
            </w:r>
            <w:r>
              <w:rPr>
                <w:rFonts w:ascii="Times New Roman" w:hAnsi="Times New Roman" w:cs="Times New Roman"/>
                <w:color w:val="000000"/>
                <w:lang w:val="en-US" w:eastAsia="fr-FR"/>
              </w:rPr>
              <w:t>5</w:t>
            </w:r>
            <w:r>
              <w:rPr>
                <w:rFonts w:ascii="Times New Roman" w:hAnsi="Times New Roman" w:cs="Times New Roman"/>
                <w:color w:val="000000"/>
                <w:lang w:eastAsia="fr-FR"/>
              </w:rPr>
              <w:t>.</w:t>
            </w:r>
            <w:r>
              <w:rPr>
                <w:rFonts w:ascii="Times New Roman" w:hAnsi="Times New Roman" w:cs="Times New Roman"/>
                <w:color w:val="000000"/>
                <w:lang w:val="en-US" w:eastAsia="fr-FR"/>
              </w:rPr>
              <w:t>32</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val="en-US" w:eastAsia="fr-FR"/>
              </w:rPr>
              <w:t>5</w:t>
            </w:r>
            <w:r>
              <w:rPr>
                <w:rFonts w:ascii="Times New Roman" w:hAnsi="Times New Roman" w:cs="Times New Roman"/>
                <w:color w:val="000000"/>
                <w:lang w:eastAsia="fr-FR"/>
              </w:rPr>
              <w:t>.4</w:t>
            </w:r>
            <w:r>
              <w:rPr>
                <w:rFonts w:ascii="Times New Roman" w:hAnsi="Times New Roman" w:cs="Times New Roman"/>
                <w:color w:val="000000"/>
                <w:lang w:val="en-US" w:eastAsia="fr-FR"/>
              </w:rPr>
              <w:t>1</w:t>
            </w:r>
            <w:r w:rsidRPr="000E3C67">
              <w:rPr>
                <w:rFonts w:ascii="Times New Roman" w:hAnsi="Times New Roman" w:cs="Times New Roman"/>
                <w:color w:val="000000"/>
                <w:vertAlign w:val="superscript"/>
                <w:lang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DS x develop</w:t>
            </w:r>
          </w:p>
        </w:tc>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-1.28</w:t>
            </w:r>
          </w:p>
        </w:tc>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-1.30</w:t>
            </w:r>
          </w:p>
        </w:tc>
        <w:tc>
          <w:tcPr>
            <w:tcW w:w="1299" w:type="dxa"/>
            <w:tcBorders>
              <w:top w:val="nil"/>
              <w:left w:val="nil"/>
              <w:bottom w:val="nil"/>
              <w:right w:val="nil"/>
            </w:tcBorders>
            <w:shd w:val="clear" w:color="auto" w:fill="auto"/>
            <w:vAlign w:val="center"/>
            <w:hideMark/>
          </w:tcPr>
          <w:p w:rsidR="00A67219" w:rsidRPr="00452868" w:rsidRDefault="00A67219" w:rsidP="00452868">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2.96</w:t>
            </w:r>
          </w:p>
        </w:tc>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-1.39</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1.43</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eastAsia="fr-FR"/>
              </w:rPr>
              <w:t>Δ</w:t>
            </w:r>
            <w:r>
              <w:rPr>
                <w:rFonts w:ascii="Times New Roman" w:hAnsi="Times New Roman" w:cs="Times New Roman"/>
                <w:iCs/>
                <w:color w:val="000000"/>
                <w:lang w:val="en-US" w:eastAsia="fr-FR"/>
              </w:rPr>
              <w:t>DS x develop</w:t>
            </w:r>
          </w:p>
        </w:tc>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-5.42</w:t>
            </w:r>
            <w:r w:rsidRPr="00452868">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-5.58</w:t>
            </w:r>
            <w:r w:rsidRPr="00452868">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20.73</w:t>
            </w:r>
            <w:r w:rsidRPr="00452868">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452868"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-7.04</w:t>
            </w:r>
            <w:r w:rsidRPr="00452868">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7.25</w:t>
            </w:r>
            <w:r w:rsidRPr="00452868">
              <w:rPr>
                <w:rFonts w:ascii="Times New Roman" w:hAnsi="Times New Roman" w:cs="Times New Roman"/>
                <w:color w:val="000000"/>
                <w:vertAlign w:val="superscript"/>
                <w:lang w:val="en-US"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CR</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5</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-1.4</w:t>
            </w:r>
            <w:r>
              <w:rPr>
                <w:rFonts w:ascii="Times New Roman" w:hAnsi="Times New Roman" w:cs="Times New Roman"/>
                <w:color w:val="000000"/>
                <w:lang w:val="en-US" w:eastAsia="fr-FR"/>
              </w:rPr>
              <w:t>0</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2.5</w:t>
            </w:r>
            <w:r>
              <w:rPr>
                <w:rFonts w:ascii="Times New Roman" w:hAnsi="Times New Roman" w:cs="Times New Roman"/>
                <w:color w:val="000000"/>
                <w:lang w:val="en-US" w:eastAsia="fr-FR"/>
              </w:rPr>
              <w:t>8</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w:t>
            </w:r>
            <w:r>
              <w:rPr>
                <w:rFonts w:ascii="Times New Roman" w:hAnsi="Times New Roman" w:cs="Times New Roman"/>
                <w:color w:val="000000"/>
                <w:lang w:val="en-US" w:eastAsia="fr-FR"/>
              </w:rPr>
              <w:t>39</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1.4</w:t>
            </w:r>
            <w:r>
              <w:rPr>
                <w:rFonts w:ascii="Times New Roman" w:hAnsi="Times New Roman" w:cs="Times New Roman"/>
                <w:color w:val="000000"/>
                <w:lang w:val="en-US" w:eastAsia="fr-FR"/>
              </w:rPr>
              <w:t>4</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sidRPr="00C62CA8">
              <w:rPr>
                <w:rFonts w:ascii="Times New Roman" w:hAnsi="Times New Roman" w:cs="Times New Roman"/>
                <w:iCs/>
                <w:color w:val="000000"/>
                <w:lang w:eastAsia="fr-FR"/>
              </w:rPr>
              <w:t>Δ</w:t>
            </w:r>
            <w:r>
              <w:rPr>
                <w:rFonts w:ascii="Times New Roman" w:hAnsi="Times New Roman" w:cs="Times New Roman"/>
                <w:iCs/>
                <w:color w:val="000000"/>
                <w:lang w:val="en-US" w:eastAsia="fr-FR"/>
              </w:rPr>
              <w:t>CR</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84</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-6.</w:t>
            </w:r>
            <w:r>
              <w:rPr>
                <w:rFonts w:ascii="Times New Roman" w:hAnsi="Times New Roman" w:cs="Times New Roman"/>
                <w:color w:val="000000"/>
                <w:lang w:val="en-US" w:eastAsia="fr-FR"/>
              </w:rPr>
              <w:t>01</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2</w:t>
            </w:r>
            <w:r>
              <w:rPr>
                <w:rFonts w:ascii="Times New Roman" w:hAnsi="Times New Roman" w:cs="Times New Roman"/>
                <w:color w:val="000000"/>
                <w:lang w:val="en-US" w:eastAsia="fr-FR"/>
              </w:rPr>
              <w:t>1</w:t>
            </w:r>
            <w:r>
              <w:rPr>
                <w:rFonts w:ascii="Times New Roman" w:hAnsi="Times New Roman" w:cs="Times New Roman"/>
                <w:color w:val="000000"/>
                <w:lang w:eastAsia="fr-FR"/>
              </w:rPr>
              <w:t>.5</w:t>
            </w:r>
            <w:r>
              <w:rPr>
                <w:rFonts w:ascii="Times New Roman" w:hAnsi="Times New Roman" w:cs="Times New Roman"/>
                <w:color w:val="000000"/>
                <w:lang w:val="en-US" w:eastAsia="fr-FR"/>
              </w:rPr>
              <w:t>6</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-6.</w:t>
            </w:r>
            <w:r>
              <w:rPr>
                <w:rFonts w:ascii="Times New Roman" w:hAnsi="Times New Roman" w:cs="Times New Roman"/>
                <w:color w:val="000000"/>
                <w:lang w:val="en-US" w:eastAsia="fr-FR"/>
              </w:rPr>
              <w:t>04</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6.</w:t>
            </w:r>
            <w:r>
              <w:rPr>
                <w:rFonts w:ascii="Times New Roman" w:hAnsi="Times New Roman" w:cs="Times New Roman"/>
                <w:color w:val="000000"/>
                <w:lang w:val="en-US" w:eastAsia="fr-FR"/>
              </w:rPr>
              <w:t>15</w:t>
            </w:r>
            <w:r w:rsidRPr="000E3C67">
              <w:rPr>
                <w:rFonts w:ascii="Times New Roman" w:hAnsi="Times New Roman" w:cs="Times New Roman"/>
                <w:color w:val="000000"/>
                <w:vertAlign w:val="superscript"/>
                <w:lang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8D32D8"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MD</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-1.3</w:t>
            </w:r>
            <w:r>
              <w:rPr>
                <w:rFonts w:ascii="Times New Roman" w:hAnsi="Times New Roman" w:cs="Times New Roman"/>
                <w:color w:val="000000"/>
                <w:lang w:val="en-US" w:eastAsia="fr-FR"/>
              </w:rPr>
              <w:t>2</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-1.4</w:t>
            </w:r>
            <w:r>
              <w:rPr>
                <w:rFonts w:ascii="Times New Roman" w:hAnsi="Times New Roman" w:cs="Times New Roman"/>
                <w:color w:val="000000"/>
                <w:lang w:val="en-US" w:eastAsia="fr-FR"/>
              </w:rPr>
              <w:t>2</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2.8</w:t>
            </w:r>
            <w:r>
              <w:rPr>
                <w:rFonts w:ascii="Times New Roman" w:hAnsi="Times New Roman" w:cs="Times New Roman"/>
                <w:color w:val="000000"/>
                <w:lang w:val="en-US" w:eastAsia="fr-FR"/>
              </w:rPr>
              <w:t>1</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-1.4</w:t>
            </w:r>
            <w:r>
              <w:rPr>
                <w:rFonts w:ascii="Times New Roman" w:hAnsi="Times New Roman" w:cs="Times New Roman"/>
                <w:color w:val="000000"/>
                <w:lang w:val="en-US" w:eastAsia="fr-FR"/>
              </w:rPr>
              <w:t>2</w:t>
            </w:r>
          </w:p>
        </w:tc>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1.4</w:t>
            </w:r>
            <w:r>
              <w:rPr>
                <w:rFonts w:ascii="Times New Roman" w:hAnsi="Times New Roman" w:cs="Times New Roman"/>
                <w:color w:val="000000"/>
                <w:lang w:val="en-US" w:eastAsia="fr-FR"/>
              </w:rPr>
              <w:t>8</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4D37AA" w:rsidRDefault="00A67219" w:rsidP="00DB525D">
            <w:pPr>
              <w:spacing w:line="240" w:lineRule="auto"/>
              <w:jc w:val="center"/>
              <w:rPr>
                <w:rFonts w:ascii="Times New Roman" w:hAnsi="Times New Roman" w:cs="Times New Roman"/>
                <w:iCs/>
                <w:color w:val="000000"/>
                <w:lang w:val="en-US" w:eastAsia="fr-FR"/>
              </w:rPr>
            </w:pPr>
            <w:r w:rsidRPr="00C62CA8">
              <w:rPr>
                <w:rFonts w:ascii="Times New Roman" w:hAnsi="Times New Roman" w:cs="Times New Roman"/>
                <w:iCs/>
                <w:color w:val="000000"/>
                <w:lang w:eastAsia="fr-FR"/>
              </w:rPr>
              <w:t>Δ</w:t>
            </w:r>
            <w:r>
              <w:rPr>
                <w:rFonts w:ascii="Times New Roman" w:hAnsi="Times New Roman" w:cs="Times New Roman"/>
                <w:iCs/>
                <w:color w:val="000000"/>
                <w:lang w:val="en-US" w:eastAsia="fr-FR"/>
              </w:rPr>
              <w:t>MD</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52</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6</w:t>
            </w:r>
            <w:r>
              <w:rPr>
                <w:rFonts w:ascii="Times New Roman" w:hAnsi="Times New Roman" w:cs="Times New Roman"/>
                <w:color w:val="000000"/>
                <w:lang w:eastAsia="fr-FR"/>
              </w:rPr>
              <w:t>2</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20.4</w:t>
            </w:r>
            <w:r>
              <w:rPr>
                <w:rFonts w:ascii="Times New Roman" w:hAnsi="Times New Roman" w:cs="Times New Roman"/>
                <w:color w:val="000000"/>
                <w:lang w:val="en-US" w:eastAsia="fr-FR"/>
              </w:rPr>
              <w:t>3</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Default="00A67219" w:rsidP="00DB525D">
            <w:pPr>
              <w:spacing w:line="240" w:lineRule="auto"/>
              <w:jc w:val="center"/>
              <w:rPr>
                <w:rFonts w:ascii="Times New Roman" w:hAnsi="Times New Roman" w:cs="Times New Roman"/>
                <w:color w:val="000000"/>
                <w:lang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47</w:t>
            </w:r>
            <w:r w:rsidRPr="000E3C67">
              <w:rPr>
                <w:rFonts w:ascii="Times New Roman" w:hAnsi="Times New Roman" w:cs="Times New Roman"/>
                <w:color w:val="000000"/>
                <w:vertAlign w:val="superscript"/>
                <w:lang w:eastAsia="fr-FR"/>
              </w:rPr>
              <w:t>***</w:t>
            </w:r>
          </w:p>
        </w:tc>
        <w:tc>
          <w:tcPr>
            <w:tcW w:w="1299" w:type="dxa"/>
            <w:tcBorders>
              <w:top w:val="nil"/>
              <w:left w:val="nil"/>
              <w:bottom w:val="nil"/>
              <w:right w:val="nil"/>
            </w:tcBorders>
            <w:shd w:val="clear" w:color="auto" w:fill="auto"/>
            <w:vAlign w:val="center"/>
            <w:hideMark/>
          </w:tcPr>
          <w:p w:rsidR="00A67219" w:rsidRPr="00313284"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eastAsia="fr-FR"/>
              </w:rPr>
              <w:t>5.</w:t>
            </w:r>
            <w:r>
              <w:rPr>
                <w:rFonts w:ascii="Times New Roman" w:hAnsi="Times New Roman" w:cs="Times New Roman"/>
                <w:color w:val="000000"/>
                <w:lang w:val="en-US" w:eastAsia="fr-FR"/>
              </w:rPr>
              <w:t>59</w:t>
            </w:r>
            <w:r w:rsidRPr="000E3C67">
              <w:rPr>
                <w:rFonts w:ascii="Times New Roman" w:hAnsi="Times New Roman" w:cs="Times New Roman"/>
                <w:color w:val="000000"/>
                <w:vertAlign w:val="superscript"/>
                <w:lang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Durables</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-6.12</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-6.28</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21.39</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-6.19</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-6.38</w:t>
            </w:r>
            <w:r w:rsidRPr="001C7C99">
              <w:rPr>
                <w:rFonts w:ascii="Times New Roman" w:hAnsi="Times New Roman" w:cs="Times New Roman"/>
                <w:color w:val="000000"/>
                <w:vertAlign w:val="superscript"/>
                <w:lang w:val="en-US"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Non-durables</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-5.68</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-5.74</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19.80</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-5.48</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5.61</w:t>
            </w:r>
            <w:r w:rsidRPr="001C7C99">
              <w:rPr>
                <w:rFonts w:ascii="Times New Roman" w:hAnsi="Times New Roman" w:cs="Times New Roman"/>
                <w:color w:val="000000"/>
                <w:vertAlign w:val="superscript"/>
                <w:lang w:val="en-US"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Services</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-5.46</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-5.69</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20.13</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-5.31</w:t>
            </w:r>
            <w:r w:rsidRPr="001C7C99">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1C7C99"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5.53</w:t>
            </w:r>
            <w:r w:rsidRPr="001C7C99">
              <w:rPr>
                <w:rFonts w:ascii="Times New Roman" w:hAnsi="Times New Roman" w:cs="Times New Roman"/>
                <w:color w:val="000000"/>
                <w:vertAlign w:val="superscript"/>
                <w:lang w:val="en-US" w:eastAsia="fr-FR"/>
              </w:rPr>
              <w:t>***</w:t>
            </w:r>
          </w:p>
        </w:tc>
      </w:tr>
      <w:tr w:rsidR="00A67219" w:rsidRPr="00C62CA8" w:rsidTr="00A67219">
        <w:trPr>
          <w:trHeight w:val="312"/>
        </w:trPr>
        <w:tc>
          <w:tcPr>
            <w:tcW w:w="1299" w:type="dxa"/>
            <w:tcBorders>
              <w:top w:val="nil"/>
              <w:left w:val="nil"/>
              <w:bottom w:val="nil"/>
              <w:right w:val="nil"/>
            </w:tcBorders>
            <w:shd w:val="clear" w:color="auto" w:fill="auto"/>
            <w:vAlign w:val="center"/>
            <w:hideMark/>
          </w:tcPr>
          <w:p w:rsidR="00A67219" w:rsidRPr="00313284" w:rsidRDefault="00A67219" w:rsidP="00DB525D">
            <w:pPr>
              <w:spacing w:line="240" w:lineRule="auto"/>
              <w:jc w:val="center"/>
              <w:rPr>
                <w:rFonts w:ascii="Times New Roman" w:hAnsi="Times New Roman" w:cs="Times New Roman"/>
                <w:iCs/>
                <w:color w:val="000000"/>
                <w:lang w:val="en-US" w:eastAsia="fr-FR"/>
              </w:rPr>
            </w:pPr>
            <w:r>
              <w:rPr>
                <w:rFonts w:ascii="Times New Roman" w:hAnsi="Times New Roman" w:cs="Times New Roman"/>
                <w:iCs/>
                <w:color w:val="000000"/>
                <w:lang w:val="en-US" w:eastAsia="fr-FR"/>
              </w:rPr>
              <w:t>Term spread</w:t>
            </w:r>
          </w:p>
        </w:tc>
        <w:tc>
          <w:tcPr>
            <w:tcW w:w="1299" w:type="dxa"/>
            <w:tcBorders>
              <w:top w:val="nil"/>
              <w:left w:val="nil"/>
              <w:bottom w:val="nil"/>
              <w:right w:val="nil"/>
            </w:tcBorders>
            <w:shd w:val="clear" w:color="auto" w:fill="auto"/>
            <w:vAlign w:val="center"/>
            <w:hideMark/>
          </w:tcPr>
          <w:p w:rsidR="00A67219" w:rsidRPr="00313284"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-5.61</w:t>
            </w:r>
            <w:r w:rsidRPr="00313284">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313284"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-5.71</w:t>
            </w:r>
            <w:r w:rsidRPr="00313284">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313284"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21.19</w:t>
            </w:r>
            <w:r w:rsidRPr="00313284">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313284"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-5.38</w:t>
            </w:r>
            <w:r w:rsidRPr="00313284">
              <w:rPr>
                <w:rFonts w:ascii="Times New Roman" w:hAnsi="Times New Roman" w:cs="Times New Roman"/>
                <w:color w:val="000000"/>
                <w:vertAlign w:val="superscript"/>
                <w:lang w:val="en-US" w:eastAsia="fr-FR"/>
              </w:rPr>
              <w:t>***</w:t>
            </w:r>
          </w:p>
        </w:tc>
        <w:tc>
          <w:tcPr>
            <w:tcW w:w="1299" w:type="dxa"/>
            <w:tcBorders>
              <w:top w:val="nil"/>
              <w:left w:val="nil"/>
              <w:bottom w:val="nil"/>
              <w:right w:val="nil"/>
            </w:tcBorders>
            <w:shd w:val="clear" w:color="auto" w:fill="auto"/>
            <w:vAlign w:val="center"/>
            <w:hideMark/>
          </w:tcPr>
          <w:p w:rsidR="00A67219" w:rsidRPr="00313284" w:rsidRDefault="00A67219" w:rsidP="00DB525D">
            <w:pPr>
              <w:spacing w:line="240" w:lineRule="auto"/>
              <w:jc w:val="center"/>
              <w:rPr>
                <w:rFonts w:ascii="Times New Roman" w:hAnsi="Times New Roman" w:cs="Times New Roman"/>
                <w:color w:val="000000"/>
                <w:lang w:val="en-US" w:eastAsia="fr-FR"/>
              </w:rPr>
            </w:pPr>
            <w:r>
              <w:rPr>
                <w:rFonts w:ascii="Times New Roman" w:hAnsi="Times New Roman" w:cs="Times New Roman"/>
                <w:color w:val="000000"/>
                <w:lang w:val="en-US" w:eastAsia="fr-FR"/>
              </w:rPr>
              <w:t>5.61</w:t>
            </w:r>
            <w:r w:rsidRPr="00313284">
              <w:rPr>
                <w:rFonts w:ascii="Times New Roman" w:hAnsi="Times New Roman" w:cs="Times New Roman"/>
                <w:color w:val="000000"/>
                <w:vertAlign w:val="superscript"/>
                <w:lang w:val="en-US" w:eastAsia="fr-FR"/>
              </w:rPr>
              <w:t>***</w:t>
            </w:r>
          </w:p>
        </w:tc>
      </w:tr>
    </w:tbl>
    <w:p w:rsidR="00D03BAA" w:rsidRDefault="00D03BAA" w:rsidP="00DB525D">
      <w:pPr>
        <w:widowControl w:val="0"/>
        <w:autoSpaceDE w:val="0"/>
        <w:autoSpaceDN w:val="0"/>
        <w:adjustRightInd w:val="0"/>
        <w:spacing w:line="240" w:lineRule="auto"/>
        <w:jc w:val="both"/>
        <w:rPr>
          <w:rFonts w:ascii="Times New Roman" w:hAnsi="Times New Roman" w:cs="Times New Roman"/>
          <w:sz w:val="20"/>
          <w:szCs w:val="20"/>
          <w:lang w:val="en-US" w:eastAsia="el-GR"/>
        </w:rPr>
      </w:pPr>
      <w:r w:rsidRPr="00C62CA8">
        <w:rPr>
          <w:rFonts w:ascii="Times New Roman" w:hAnsi="Times New Roman" w:cs="Times New Roman"/>
          <w:sz w:val="20"/>
          <w:szCs w:val="20"/>
          <w:lang w:eastAsia="el-GR"/>
        </w:rPr>
        <w:t>Δ</w:t>
      </w:r>
      <w:r w:rsidRPr="00C62CA8">
        <w:rPr>
          <w:rFonts w:ascii="Times New Roman" w:hAnsi="Times New Roman" w:cs="Times New Roman"/>
          <w:sz w:val="20"/>
          <w:szCs w:val="20"/>
          <w:lang w:val="en-GB" w:eastAsia="el-GR"/>
        </w:rPr>
        <w:t xml:space="preserve"> denotes first differences</w:t>
      </w:r>
      <w:r w:rsidRPr="00D03BAA">
        <w:rPr>
          <w:rFonts w:ascii="Times New Roman" w:hAnsi="Times New Roman" w:cs="Times New Roman"/>
          <w:sz w:val="20"/>
          <w:szCs w:val="20"/>
          <w:lang w:val="en-US" w:eastAsia="el-GR"/>
        </w:rPr>
        <w:t xml:space="preserve">. </w:t>
      </w:r>
      <w:r w:rsidR="005370AA">
        <w:rPr>
          <w:rFonts w:ascii="Times New Roman" w:hAnsi="Times New Roman" w:cs="Times New Roman"/>
          <w:sz w:val="20"/>
          <w:szCs w:val="20"/>
          <w:lang w:val="en-US" w:eastAsia="el-GR"/>
        </w:rPr>
        <w:t xml:space="preserve">DS = debt-service ratio, C = consumption, Y = income, S = stock prices, H = Housing prices, CR = consumer credit, MD = mortgage debt. </w:t>
      </w:r>
      <w:r w:rsidRPr="00D03BAA">
        <w:rPr>
          <w:rFonts w:ascii="Times New Roman" w:hAnsi="Times New Roman" w:cs="Times New Roman"/>
          <w:sz w:val="20"/>
          <w:szCs w:val="20"/>
          <w:lang w:val="en-US" w:eastAsia="el-GR"/>
        </w:rPr>
        <w:t xml:space="preserve">A constant is included in the </w:t>
      </w:r>
      <w:proofErr w:type="spellStart"/>
      <w:r w:rsidRPr="00D03BAA">
        <w:rPr>
          <w:rFonts w:ascii="Times New Roman" w:hAnsi="Times New Roman" w:cs="Times New Roman"/>
          <w:sz w:val="20"/>
          <w:szCs w:val="20"/>
          <w:lang w:val="en-US" w:eastAsia="el-GR"/>
        </w:rPr>
        <w:t>Pesaran</w:t>
      </w:r>
      <w:proofErr w:type="spellEnd"/>
      <w:r w:rsidRPr="00D03BAA">
        <w:rPr>
          <w:rFonts w:ascii="Times New Roman" w:hAnsi="Times New Roman" w:cs="Times New Roman"/>
          <w:sz w:val="20"/>
          <w:szCs w:val="20"/>
          <w:lang w:val="en-US" w:eastAsia="el-GR"/>
        </w:rPr>
        <w:t xml:space="preserve"> (2007) tests. Rejection of the null hypothesis indicates stationarity in at least one country. Critical values for the </w:t>
      </w:r>
      <w:proofErr w:type="spellStart"/>
      <w:r w:rsidRPr="00D03BAA">
        <w:rPr>
          <w:rFonts w:ascii="Times New Roman" w:hAnsi="Times New Roman" w:cs="Times New Roman"/>
          <w:sz w:val="20"/>
          <w:szCs w:val="20"/>
          <w:lang w:val="en-US" w:eastAsia="el-GR"/>
        </w:rPr>
        <w:t>Pesaran</w:t>
      </w:r>
      <w:proofErr w:type="spellEnd"/>
      <w:r w:rsidRPr="00D03BAA">
        <w:rPr>
          <w:rFonts w:ascii="Times New Roman" w:hAnsi="Times New Roman" w:cs="Times New Roman"/>
          <w:sz w:val="20"/>
          <w:szCs w:val="20"/>
          <w:lang w:val="en-US" w:eastAsia="el-GR"/>
        </w:rPr>
        <w:t xml:space="preserve"> (2007) test are -2.40 at 1%, -2.22 at 5%, and -2.14 at 10%, respectively.  Both a constant and a time trend are included in the Smith et al. (2004) tests. Rejection of the null hypothesis indicates stationarity in at least one country.  For both tests the results are reported at lag = 4. The null hypothesis is that of a unit root. </w:t>
      </w:r>
      <w:r w:rsidRPr="00112808">
        <w:rPr>
          <w:rFonts w:ascii="Times New Roman" w:hAnsi="Times New Roman" w:cs="Times New Roman"/>
          <w:sz w:val="20"/>
          <w:szCs w:val="20"/>
          <w:lang w:val="en-US" w:eastAsia="el-GR"/>
        </w:rPr>
        <w:t>***: p≤0.01.</w:t>
      </w:r>
    </w:p>
    <w:p w:rsidR="00F15AC3" w:rsidRDefault="002B1A74" w:rsidP="00F15AC3">
      <w:pPr>
        <w:spacing w:line="240" w:lineRule="auto"/>
        <w:jc w:val="center"/>
        <w:rPr>
          <w:rFonts w:ascii="Times New Roman" w:hAnsi="Times New Roman" w:cs="Times New Roman"/>
          <w:sz w:val="24"/>
          <w:szCs w:val="24"/>
          <w:lang w:val="en-US"/>
        </w:rPr>
      </w:pPr>
      <w:r w:rsidRPr="00DD6420">
        <w:rPr>
          <w:rFonts w:ascii="Times New Roman" w:hAnsi="Times New Roman" w:cs="Times New Roman"/>
          <w:sz w:val="24"/>
          <w:szCs w:val="24"/>
          <w:lang w:val="en-US"/>
        </w:rPr>
        <w:lastRenderedPageBreak/>
        <w:t>T</w:t>
      </w:r>
      <w:r w:rsidR="00F15AC3">
        <w:rPr>
          <w:rFonts w:ascii="Times New Roman" w:hAnsi="Times New Roman" w:cs="Times New Roman"/>
          <w:sz w:val="24"/>
          <w:szCs w:val="24"/>
          <w:lang w:val="en-US"/>
        </w:rPr>
        <w:t>ABLE</w:t>
      </w:r>
      <w:r w:rsidRPr="00DD6420">
        <w:rPr>
          <w:rFonts w:ascii="Times New Roman" w:hAnsi="Times New Roman" w:cs="Times New Roman"/>
          <w:sz w:val="24"/>
          <w:szCs w:val="24"/>
          <w:lang w:val="en-US"/>
        </w:rPr>
        <w:t xml:space="preserve"> </w:t>
      </w:r>
      <w:r w:rsidR="00D03BAA" w:rsidRPr="00DD6420">
        <w:rPr>
          <w:rFonts w:ascii="Times New Roman" w:hAnsi="Times New Roman" w:cs="Times New Roman"/>
          <w:sz w:val="24"/>
          <w:szCs w:val="24"/>
          <w:lang w:val="en-US"/>
        </w:rPr>
        <w:t>2</w:t>
      </w:r>
    </w:p>
    <w:p w:rsidR="007317D7" w:rsidRPr="00F15AC3" w:rsidRDefault="00D51CAE" w:rsidP="00F15AC3">
      <w:pPr>
        <w:spacing w:line="240" w:lineRule="auto"/>
        <w:jc w:val="center"/>
        <w:rPr>
          <w:rFonts w:ascii="Times New Roman" w:hAnsi="Times New Roman" w:cs="Times New Roman"/>
          <w:sz w:val="24"/>
          <w:szCs w:val="24"/>
          <w:lang w:val="en-US"/>
        </w:rPr>
      </w:pPr>
      <w:r w:rsidRPr="00F15AC3">
        <w:rPr>
          <w:rFonts w:ascii="Times New Roman" w:hAnsi="Times New Roman" w:cs="Times New Roman"/>
          <w:sz w:val="24"/>
          <w:szCs w:val="24"/>
          <w:lang w:val="en-US"/>
        </w:rPr>
        <w:t>D</w:t>
      </w:r>
      <w:r w:rsidR="00F15AC3">
        <w:rPr>
          <w:rFonts w:ascii="Times New Roman" w:hAnsi="Times New Roman" w:cs="Times New Roman"/>
          <w:sz w:val="24"/>
          <w:szCs w:val="24"/>
          <w:lang w:val="en-US"/>
        </w:rPr>
        <w:t>YNAMIC</w:t>
      </w:r>
      <w:r w:rsidR="00720B80" w:rsidRPr="00F15AC3">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PANEL</w:t>
      </w:r>
      <w:r w:rsidRPr="00F15AC3">
        <w:rPr>
          <w:rFonts w:ascii="Times New Roman" w:hAnsi="Times New Roman" w:cs="Times New Roman"/>
          <w:sz w:val="24"/>
          <w:szCs w:val="24"/>
          <w:lang w:val="en-US"/>
        </w:rPr>
        <w:t xml:space="preserve"> GMM </w:t>
      </w:r>
      <w:r w:rsidR="007C0B60" w:rsidRPr="00F15AC3">
        <w:rPr>
          <w:rFonts w:ascii="Times New Roman" w:hAnsi="Times New Roman" w:cs="Times New Roman"/>
          <w:sz w:val="24"/>
          <w:szCs w:val="24"/>
          <w:lang w:val="en-US"/>
        </w:rPr>
        <w:t>(</w:t>
      </w:r>
      <w:r w:rsidR="00F15AC3">
        <w:rPr>
          <w:rFonts w:ascii="Times New Roman" w:hAnsi="Times New Roman" w:cs="Times New Roman"/>
          <w:sz w:val="24"/>
          <w:szCs w:val="24"/>
          <w:lang w:val="en-US"/>
        </w:rPr>
        <w:t>BASELINE</w:t>
      </w:r>
      <w:r w:rsidR="007C0B60" w:rsidRPr="00F15AC3">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RESULTS</w:t>
      </w:r>
    </w:p>
    <w:p w:rsidR="00D51CAE" w:rsidRDefault="00D51CAE" w:rsidP="00DB525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w:t>
      </w:r>
      <w:r w:rsidR="00617335">
        <w:rPr>
          <w:rFonts w:ascii="Times New Roman" w:hAnsi="Times New Roman" w:cs="Times New Roman"/>
          <w:sz w:val="24"/>
          <w:szCs w:val="24"/>
          <w:lang w:val="en-US"/>
        </w:rPr>
        <w:t>_________________</w:t>
      </w:r>
    </w:p>
    <w:p w:rsidR="00AD47B5" w:rsidRPr="00AD47B5" w:rsidRDefault="00AD47B5"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t xml:space="preserve"> </w:t>
      </w:r>
      <w:r>
        <w:rPr>
          <w:rFonts w:ascii="Times New Roman" w:hAnsi="Times New Roman" w:cs="Times New Roman"/>
          <w:lang w:val="en-US"/>
        </w:rPr>
        <w:t xml:space="preserve">  </w:t>
      </w:r>
      <w:r w:rsidRPr="00AD47B5">
        <w:rPr>
          <w:rFonts w:ascii="Times New Roman" w:hAnsi="Times New Roman" w:cs="Times New Roman"/>
          <w:lang w:val="en-US"/>
        </w:rPr>
        <w:t>Model (1)</w:t>
      </w:r>
      <w:r w:rsidRPr="00AD47B5">
        <w:rPr>
          <w:rFonts w:ascii="Times New Roman" w:hAnsi="Times New Roman" w:cs="Times New Roman"/>
          <w:lang w:val="en-US"/>
        </w:rPr>
        <w:tab/>
        <w:t>Model (2)</w:t>
      </w:r>
      <w:r w:rsidRPr="00AD47B5">
        <w:rPr>
          <w:rFonts w:ascii="Times New Roman" w:hAnsi="Times New Roman" w:cs="Times New Roman"/>
          <w:lang w:val="en-US"/>
        </w:rPr>
        <w:tab/>
        <w:t xml:space="preserve">      </w:t>
      </w:r>
      <w:r>
        <w:rPr>
          <w:rFonts w:ascii="Times New Roman" w:hAnsi="Times New Roman" w:cs="Times New Roman"/>
          <w:lang w:val="en-US"/>
        </w:rPr>
        <w:t>______________________________________________________</w:t>
      </w:r>
      <w:r w:rsidR="00617335">
        <w:rPr>
          <w:rFonts w:ascii="Times New Roman" w:hAnsi="Times New Roman" w:cs="Times New Roman"/>
          <w:lang w:val="en-US"/>
        </w:rPr>
        <w:t>_____________________</w:t>
      </w:r>
    </w:p>
    <w:p w:rsidR="00374800" w:rsidRDefault="00374800"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004B1FB6">
        <w:rPr>
          <w:rFonts w:ascii="Times New Roman" w:hAnsi="Times New Roman" w:cs="Times New Roman"/>
          <w:lang w:val="en-US"/>
        </w:rPr>
        <w:t>logDebt</w:t>
      </w:r>
      <w:proofErr w:type="spellEnd"/>
      <w:r w:rsidR="004B1FB6">
        <w:rPr>
          <w:rFonts w:ascii="Times New Roman" w:hAnsi="Times New Roman" w:cs="Times New Roman"/>
          <w:lang w:val="en-US"/>
        </w:rPr>
        <w:t>-</w:t>
      </w:r>
      <w:r w:rsidRPr="00AD47B5">
        <w:rPr>
          <w:rFonts w:ascii="Times New Roman" w:hAnsi="Times New Roman" w:cs="Times New Roman"/>
          <w:lang w:val="en-US"/>
        </w:rPr>
        <w:t>Serv</w:t>
      </w:r>
      <w:r w:rsidR="004B1FB6">
        <w:rPr>
          <w:rFonts w:ascii="Times New Roman" w:hAnsi="Times New Roman" w:cs="Times New Roman"/>
          <w:lang w:val="en-US"/>
        </w:rPr>
        <w:t>ice</w:t>
      </w:r>
      <w:r w:rsidRPr="00AD47B5">
        <w:rPr>
          <w:rFonts w:ascii="Times New Roman" w:hAnsi="Times New Roman" w:cs="Times New Roman"/>
          <w:lang w:val="en-US"/>
        </w:rPr>
        <w:t xml:space="preserve"> </w:t>
      </w:r>
      <w:r w:rsidR="00112808">
        <w:rPr>
          <w:rFonts w:ascii="Times New Roman" w:hAnsi="Times New Roman" w:cs="Times New Roman"/>
          <w:lang w:val="en-US"/>
        </w:rPr>
        <w:t>r</w:t>
      </w:r>
      <w:r w:rsidRPr="00AD47B5">
        <w:rPr>
          <w:rFonts w:ascii="Times New Roman" w:hAnsi="Times New Roman" w:cs="Times New Roman"/>
          <w:lang w:val="en-US"/>
        </w:rPr>
        <w:t>atio</w:t>
      </w:r>
      <w:r>
        <w:rPr>
          <w:rFonts w:ascii="Times New Roman" w:hAnsi="Times New Roman" w:cs="Times New Roman"/>
          <w:lang w:val="en-US"/>
        </w:rPr>
        <w:tab/>
      </w:r>
      <w:r>
        <w:rPr>
          <w:rFonts w:ascii="Times New Roman" w:hAnsi="Times New Roman" w:cs="Times New Roman"/>
          <w:lang w:val="en-US"/>
        </w:rPr>
        <w:tab/>
        <w:t xml:space="preserve">     0.</w:t>
      </w:r>
      <w:r w:rsidR="000B34A0">
        <w:rPr>
          <w:rFonts w:ascii="Times New Roman" w:hAnsi="Times New Roman" w:cs="Times New Roman"/>
          <w:lang w:val="en-US"/>
        </w:rPr>
        <w:t>5</w:t>
      </w:r>
      <w:r>
        <w:rPr>
          <w:rFonts w:ascii="Times New Roman" w:hAnsi="Times New Roman" w:cs="Times New Roman"/>
          <w:lang w:val="en-US"/>
        </w:rPr>
        <w:t>3</w:t>
      </w:r>
      <w:r w:rsidR="00C96126">
        <w:rPr>
          <w:rFonts w:ascii="Times New Roman" w:hAnsi="Times New Roman" w:cs="Times New Roman"/>
          <w:lang w:val="en-US"/>
        </w:rPr>
        <w:t>1</w:t>
      </w:r>
      <w:r>
        <w:rPr>
          <w:rFonts w:ascii="Times New Roman" w:hAnsi="Times New Roman" w:cs="Times New Roman"/>
          <w:lang w:val="en-US"/>
        </w:rPr>
        <w:t>**</w:t>
      </w:r>
      <w:r w:rsidR="002E7553">
        <w:rPr>
          <w:rFonts w:ascii="Times New Roman" w:hAnsi="Times New Roman" w:cs="Times New Roman"/>
          <w:lang w:val="en-US"/>
        </w:rPr>
        <w:t>*</w:t>
      </w:r>
      <w:r>
        <w:rPr>
          <w:rFonts w:ascii="Times New Roman" w:hAnsi="Times New Roman" w:cs="Times New Roman"/>
          <w:lang w:val="en-US"/>
        </w:rPr>
        <w:tab/>
        <w:t>0.</w:t>
      </w:r>
      <w:r w:rsidR="000B34A0">
        <w:rPr>
          <w:rFonts w:ascii="Times New Roman" w:hAnsi="Times New Roman" w:cs="Times New Roman"/>
          <w:lang w:val="en-US"/>
        </w:rPr>
        <w:t>4</w:t>
      </w:r>
      <w:r w:rsidR="002E7553">
        <w:rPr>
          <w:rFonts w:ascii="Times New Roman" w:hAnsi="Times New Roman" w:cs="Times New Roman"/>
          <w:lang w:val="en-US"/>
        </w:rPr>
        <w:t>7</w:t>
      </w:r>
      <w:r w:rsidR="00C96126">
        <w:rPr>
          <w:rFonts w:ascii="Times New Roman" w:hAnsi="Times New Roman" w:cs="Times New Roman"/>
          <w:lang w:val="en-US"/>
        </w:rPr>
        <w:t>2</w:t>
      </w:r>
      <w:r>
        <w:rPr>
          <w:rFonts w:ascii="Times New Roman" w:hAnsi="Times New Roman" w:cs="Times New Roman"/>
          <w:lang w:val="en-US"/>
        </w:rPr>
        <w:t>**</w:t>
      </w:r>
      <w:r w:rsidR="002E7553">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374800" w:rsidRDefault="00374800"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[0.0</w:t>
      </w:r>
      <w:r w:rsidR="002E7553">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t>[0.0</w:t>
      </w:r>
      <w:r w:rsidR="002E7553">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4A01AD"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logConsumption</w:t>
      </w:r>
      <w:proofErr w:type="spellEnd"/>
      <w:r w:rsidRPr="00AD47B5">
        <w:rPr>
          <w:rFonts w:ascii="Times New Roman" w:hAnsi="Times New Roman" w:cs="Times New Roman"/>
          <w:lang w:val="en-US"/>
        </w:rPr>
        <w:t>(</w:t>
      </w:r>
      <w:r w:rsidR="003A6FBD">
        <w:rPr>
          <w:rFonts w:ascii="Times New Roman" w:hAnsi="Times New Roman" w:cs="Times New Roman"/>
          <w:lang w:val="en-US"/>
        </w:rPr>
        <w:t>-</w:t>
      </w:r>
      <w:r w:rsidRPr="00AD47B5">
        <w:rPr>
          <w:rFonts w:ascii="Times New Roman" w:hAnsi="Times New Roman" w:cs="Times New Roman"/>
          <w:lang w:val="en-US"/>
        </w:rPr>
        <w:t>1)</w:t>
      </w:r>
      <w:r w:rsidR="00AD47B5">
        <w:rPr>
          <w:rFonts w:ascii="Times New Roman" w:hAnsi="Times New Roman" w:cs="Times New Roman"/>
          <w:lang w:val="en-US"/>
        </w:rPr>
        <w:tab/>
      </w:r>
      <w:r w:rsidR="00AD47B5">
        <w:rPr>
          <w:rFonts w:ascii="Times New Roman" w:hAnsi="Times New Roman" w:cs="Times New Roman"/>
          <w:lang w:val="en-US"/>
        </w:rPr>
        <w:tab/>
      </w:r>
      <w:r w:rsidR="001A6D89">
        <w:rPr>
          <w:rFonts w:ascii="Times New Roman" w:hAnsi="Times New Roman" w:cs="Times New Roman"/>
          <w:lang w:val="en-US"/>
        </w:rPr>
        <w:tab/>
      </w:r>
      <w:r w:rsidR="00AD47B5">
        <w:rPr>
          <w:rFonts w:ascii="Times New Roman" w:hAnsi="Times New Roman" w:cs="Times New Roman"/>
          <w:lang w:val="en-US"/>
        </w:rPr>
        <w:tab/>
        <w:t>0.834***</w:t>
      </w:r>
      <w:r w:rsidR="00AD47B5">
        <w:rPr>
          <w:rFonts w:ascii="Times New Roman" w:hAnsi="Times New Roman" w:cs="Times New Roman"/>
          <w:lang w:val="en-US"/>
        </w:rPr>
        <w:tab/>
      </w:r>
      <w:r w:rsidR="00AD47B5">
        <w:rPr>
          <w:rFonts w:ascii="Times New Roman" w:hAnsi="Times New Roman" w:cs="Times New Roman"/>
          <w:lang w:val="en-US"/>
        </w:rPr>
        <w:tab/>
      </w:r>
    </w:p>
    <w:p w:rsidR="00AD47B5" w:rsidRPr="00AD47B5" w:rsidRDefault="00AD47B5"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D51CAE"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logIncome</w:t>
      </w:r>
      <w:proofErr w:type="spellEnd"/>
      <w:r w:rsidR="00E46481">
        <w:rPr>
          <w:rFonts w:ascii="Times New Roman" w:hAnsi="Times New Roman" w:cs="Times New Roman"/>
          <w:lang w:val="en-US"/>
        </w:rPr>
        <w:tab/>
      </w:r>
      <w:r w:rsidR="00E46481">
        <w:rPr>
          <w:rFonts w:ascii="Times New Roman" w:hAnsi="Times New Roman" w:cs="Times New Roman"/>
          <w:lang w:val="en-US"/>
        </w:rPr>
        <w:tab/>
      </w:r>
      <w:r w:rsidR="00E46481">
        <w:rPr>
          <w:rFonts w:ascii="Times New Roman" w:hAnsi="Times New Roman" w:cs="Times New Roman"/>
          <w:lang w:val="en-US"/>
        </w:rPr>
        <w:tab/>
      </w:r>
      <w:r w:rsidR="00E46481">
        <w:rPr>
          <w:rFonts w:ascii="Times New Roman" w:hAnsi="Times New Roman" w:cs="Times New Roman"/>
          <w:lang w:val="en-US"/>
        </w:rPr>
        <w:tab/>
      </w:r>
      <w:r w:rsidR="00E46481">
        <w:rPr>
          <w:rFonts w:ascii="Times New Roman" w:hAnsi="Times New Roman" w:cs="Times New Roman"/>
          <w:lang w:val="en-US"/>
        </w:rPr>
        <w:tab/>
        <w:t>0.</w:t>
      </w:r>
      <w:r w:rsidR="001A6D89">
        <w:rPr>
          <w:rFonts w:ascii="Times New Roman" w:hAnsi="Times New Roman" w:cs="Times New Roman"/>
          <w:lang w:val="en-US"/>
        </w:rPr>
        <w:t>128</w:t>
      </w:r>
      <w:r w:rsidR="00E46481">
        <w:rPr>
          <w:rFonts w:ascii="Times New Roman" w:hAnsi="Times New Roman" w:cs="Times New Roman"/>
          <w:lang w:val="en-US"/>
        </w:rPr>
        <w:t>**</w:t>
      </w:r>
      <w:r w:rsidR="00E46481">
        <w:rPr>
          <w:rFonts w:ascii="Times New Roman" w:hAnsi="Times New Roman" w:cs="Times New Roman"/>
          <w:lang w:val="en-US"/>
        </w:rPr>
        <w:tab/>
      </w:r>
      <w:r w:rsidR="00E46481">
        <w:rPr>
          <w:rFonts w:ascii="Times New Roman" w:hAnsi="Times New Roman" w:cs="Times New Roman"/>
          <w:lang w:val="en-US"/>
        </w:rPr>
        <w:tab/>
      </w:r>
      <w:r w:rsidR="00E46481">
        <w:rPr>
          <w:rFonts w:ascii="Times New Roman" w:hAnsi="Times New Roman" w:cs="Times New Roman"/>
          <w:lang w:val="en-US"/>
        </w:rPr>
        <w:tab/>
      </w:r>
    </w:p>
    <w:p w:rsidR="0098736F" w:rsidRDefault="00E46481"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w:t>
      </w:r>
      <w:r w:rsidR="000B6338">
        <w:rPr>
          <w:rFonts w:ascii="Times New Roman" w:hAnsi="Times New Roman" w:cs="Times New Roman"/>
          <w:lang w:val="en-US"/>
        </w:rPr>
        <w:t>03</w:t>
      </w:r>
      <w:r>
        <w:rPr>
          <w:rFonts w:ascii="Times New Roman" w:hAnsi="Times New Roman" w:cs="Times New Roman"/>
          <w:lang w:val="en-US"/>
        </w:rPr>
        <w:t>]</w:t>
      </w:r>
      <w:r>
        <w:rPr>
          <w:rFonts w:ascii="Times New Roman" w:hAnsi="Times New Roman" w:cs="Times New Roman"/>
          <w:lang w:val="en-US"/>
        </w:rPr>
        <w:tab/>
      </w:r>
    </w:p>
    <w:p w:rsidR="0098736F" w:rsidRPr="0098736F" w:rsidRDefault="0098736F" w:rsidP="00DB525D">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logIncome</w:t>
      </w:r>
      <w:proofErr w:type="spellEnd"/>
      <w:r>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0.049**</w:t>
      </w:r>
    </w:p>
    <w:p w:rsidR="00E46481" w:rsidRPr="00AD47B5" w:rsidRDefault="00E46481"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98736F">
        <w:rPr>
          <w:rFonts w:ascii="Times New Roman" w:hAnsi="Times New Roman" w:cs="Times New Roman"/>
          <w:lang w:val="en-US"/>
        </w:rPr>
        <w:tab/>
      </w:r>
      <w:r w:rsidR="0098736F">
        <w:rPr>
          <w:rFonts w:ascii="Times New Roman" w:hAnsi="Times New Roman" w:cs="Times New Roman"/>
          <w:lang w:val="en-US"/>
        </w:rPr>
        <w:tab/>
      </w:r>
      <w:r w:rsidR="0098736F">
        <w:rPr>
          <w:rFonts w:ascii="Times New Roman" w:hAnsi="Times New Roman" w:cs="Times New Roman"/>
          <w:lang w:val="en-US"/>
        </w:rPr>
        <w:tab/>
      </w:r>
      <w:r w:rsidR="0098736F">
        <w:rPr>
          <w:rFonts w:ascii="Times New Roman" w:hAnsi="Times New Roman" w:cs="Times New Roman"/>
          <w:lang w:val="en-US"/>
        </w:rPr>
        <w:tab/>
        <w:t>[0.05]</w:t>
      </w:r>
    </w:p>
    <w:p w:rsidR="00D51CAE"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logStock</w:t>
      </w:r>
      <w:proofErr w:type="spellEnd"/>
      <w:r w:rsidRPr="00AD47B5">
        <w:rPr>
          <w:rFonts w:ascii="Times New Roman" w:hAnsi="Times New Roman" w:cs="Times New Roman"/>
          <w:lang w:val="en-US"/>
        </w:rPr>
        <w:t xml:space="preserve"> price</w:t>
      </w:r>
      <w:r w:rsidR="006C3612">
        <w:rPr>
          <w:rFonts w:ascii="Times New Roman" w:hAnsi="Times New Roman" w:cs="Times New Roman"/>
          <w:lang w:val="en-US"/>
        </w:rPr>
        <w:t>s</w:t>
      </w:r>
      <w:r w:rsidR="009112F3">
        <w:rPr>
          <w:rFonts w:ascii="Times New Roman" w:hAnsi="Times New Roman" w:cs="Times New Roman"/>
          <w:lang w:val="en-US"/>
        </w:rPr>
        <w:tab/>
      </w:r>
      <w:r w:rsidR="009112F3">
        <w:rPr>
          <w:rFonts w:ascii="Times New Roman" w:hAnsi="Times New Roman" w:cs="Times New Roman"/>
          <w:lang w:val="en-US"/>
        </w:rPr>
        <w:tab/>
      </w:r>
      <w:r w:rsidR="001A6D89">
        <w:rPr>
          <w:rFonts w:ascii="Times New Roman" w:hAnsi="Times New Roman" w:cs="Times New Roman"/>
          <w:lang w:val="en-US"/>
        </w:rPr>
        <w:tab/>
      </w:r>
      <w:r w:rsidR="009112F3">
        <w:rPr>
          <w:rFonts w:ascii="Times New Roman" w:hAnsi="Times New Roman" w:cs="Times New Roman"/>
          <w:lang w:val="en-US"/>
        </w:rPr>
        <w:tab/>
        <w:t>0.1</w:t>
      </w:r>
      <w:r w:rsidR="001A6D89">
        <w:rPr>
          <w:rFonts w:ascii="Times New Roman" w:hAnsi="Times New Roman" w:cs="Times New Roman"/>
          <w:lang w:val="en-US"/>
        </w:rPr>
        <w:t>63</w:t>
      </w:r>
      <w:r w:rsidR="009112F3">
        <w:rPr>
          <w:rFonts w:ascii="Times New Roman" w:hAnsi="Times New Roman" w:cs="Times New Roman"/>
          <w:lang w:val="en-US"/>
        </w:rPr>
        <w:t>***</w:t>
      </w:r>
      <w:r w:rsidR="009112F3">
        <w:rPr>
          <w:rFonts w:ascii="Times New Roman" w:hAnsi="Times New Roman" w:cs="Times New Roman"/>
          <w:lang w:val="en-US"/>
        </w:rPr>
        <w:tab/>
      </w:r>
      <w:r w:rsidR="009112F3">
        <w:rPr>
          <w:rFonts w:ascii="Times New Roman" w:hAnsi="Times New Roman" w:cs="Times New Roman"/>
          <w:lang w:val="en-US"/>
        </w:rPr>
        <w:tab/>
      </w:r>
    </w:p>
    <w:p w:rsidR="009112F3" w:rsidRPr="00AD47B5" w:rsidRDefault="009112F3"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374800" w:rsidRDefault="0098736F" w:rsidP="00DB525D">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logStock</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0.071**</w:t>
      </w:r>
    </w:p>
    <w:p w:rsidR="0098736F" w:rsidRPr="0098736F" w:rsidRDefault="0098736F"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[0.02]</w:t>
      </w:r>
    </w:p>
    <w:p w:rsidR="00D51CAE"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logHousing</w:t>
      </w:r>
      <w:proofErr w:type="spellEnd"/>
      <w:r w:rsidRPr="00AD47B5">
        <w:rPr>
          <w:rFonts w:ascii="Times New Roman" w:hAnsi="Times New Roman" w:cs="Times New Roman"/>
          <w:lang w:val="en-US"/>
        </w:rPr>
        <w:t xml:space="preserve"> price</w:t>
      </w:r>
      <w:r w:rsidR="006C3612">
        <w:rPr>
          <w:rFonts w:ascii="Times New Roman" w:hAnsi="Times New Roman" w:cs="Times New Roman"/>
          <w:lang w:val="en-US"/>
        </w:rPr>
        <w:t>s</w:t>
      </w:r>
      <w:r w:rsidR="00321C6C">
        <w:rPr>
          <w:rFonts w:ascii="Times New Roman" w:hAnsi="Times New Roman" w:cs="Times New Roman"/>
          <w:lang w:val="en-US"/>
        </w:rPr>
        <w:tab/>
      </w:r>
      <w:r w:rsidR="00321C6C">
        <w:rPr>
          <w:rFonts w:ascii="Times New Roman" w:hAnsi="Times New Roman" w:cs="Times New Roman"/>
          <w:lang w:val="en-US"/>
        </w:rPr>
        <w:tab/>
      </w:r>
      <w:r w:rsidR="001A6D89">
        <w:rPr>
          <w:rFonts w:ascii="Times New Roman" w:hAnsi="Times New Roman" w:cs="Times New Roman"/>
          <w:lang w:val="en-US"/>
        </w:rPr>
        <w:tab/>
      </w:r>
      <w:r w:rsidR="003C7080">
        <w:rPr>
          <w:rFonts w:ascii="Times New Roman" w:hAnsi="Times New Roman" w:cs="Times New Roman"/>
          <w:lang w:val="en-US"/>
        </w:rPr>
        <w:tab/>
        <w:t>0.2</w:t>
      </w:r>
      <w:r w:rsidR="001A6D89">
        <w:rPr>
          <w:rFonts w:ascii="Times New Roman" w:hAnsi="Times New Roman" w:cs="Times New Roman"/>
          <w:lang w:val="en-US"/>
        </w:rPr>
        <w:t>41</w:t>
      </w:r>
      <w:r w:rsidR="003C7080">
        <w:rPr>
          <w:rFonts w:ascii="Times New Roman" w:hAnsi="Times New Roman" w:cs="Times New Roman"/>
          <w:lang w:val="en-US"/>
        </w:rPr>
        <w:t>***</w:t>
      </w:r>
      <w:r w:rsidR="003C7080">
        <w:rPr>
          <w:rFonts w:ascii="Times New Roman" w:hAnsi="Times New Roman" w:cs="Times New Roman"/>
          <w:lang w:val="en-US"/>
        </w:rPr>
        <w:tab/>
      </w:r>
      <w:r w:rsidR="003C7080">
        <w:rPr>
          <w:rFonts w:ascii="Times New Roman" w:hAnsi="Times New Roman" w:cs="Times New Roman"/>
          <w:lang w:val="en-US"/>
        </w:rPr>
        <w:tab/>
      </w:r>
    </w:p>
    <w:p w:rsidR="0098736F" w:rsidRDefault="003C7080"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p>
    <w:p w:rsidR="0098736F" w:rsidRDefault="0098736F" w:rsidP="00DB525D">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0.157***</w:t>
      </w:r>
    </w:p>
    <w:p w:rsidR="006C4B26" w:rsidRDefault="003C7080"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98736F">
        <w:rPr>
          <w:rFonts w:ascii="Times New Roman" w:hAnsi="Times New Roman" w:cs="Times New Roman"/>
          <w:lang w:val="en-US"/>
        </w:rPr>
        <w:tab/>
      </w:r>
      <w:r w:rsidR="0098736F">
        <w:rPr>
          <w:rFonts w:ascii="Times New Roman" w:hAnsi="Times New Roman" w:cs="Times New Roman"/>
          <w:lang w:val="en-US"/>
        </w:rPr>
        <w:tab/>
      </w:r>
      <w:r w:rsidR="0098736F">
        <w:rPr>
          <w:rFonts w:ascii="Times New Roman" w:hAnsi="Times New Roman" w:cs="Times New Roman"/>
          <w:lang w:val="en-US"/>
        </w:rPr>
        <w:tab/>
      </w:r>
      <w:r w:rsidR="0098736F">
        <w:rPr>
          <w:rFonts w:ascii="Times New Roman" w:hAnsi="Times New Roman" w:cs="Times New Roman"/>
          <w:lang w:val="en-US"/>
        </w:rPr>
        <w:tab/>
        <w:t>[0.01]</w:t>
      </w:r>
    </w:p>
    <w:p w:rsidR="0098736F" w:rsidRDefault="0098736F" w:rsidP="00DB525D">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0.075**</w:t>
      </w:r>
    </w:p>
    <w:p w:rsidR="0098736F" w:rsidRPr="0098736F" w:rsidRDefault="0098736F"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[0.02]</w:t>
      </w:r>
    </w:p>
    <w:p w:rsidR="00D43B41" w:rsidRDefault="00D43B41" w:rsidP="00DB525D">
      <w:pPr>
        <w:spacing w:line="240" w:lineRule="auto"/>
        <w:jc w:val="both"/>
        <w:rPr>
          <w:rFonts w:ascii="Times New Roman" w:hAnsi="Times New Roman" w:cs="Times New Roman"/>
          <w:lang w:val="en-US"/>
        </w:rPr>
      </w:pPr>
      <w:r>
        <w:rPr>
          <w:rFonts w:ascii="Times New Roman" w:hAnsi="Times New Roman" w:cs="Times New Roman"/>
          <w:lang w:val="en-US"/>
        </w:rPr>
        <w:t>D2008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C65FD1">
        <w:rPr>
          <w:rFonts w:ascii="Times New Roman" w:hAnsi="Times New Roman" w:cs="Times New Roman"/>
          <w:lang w:val="en-US"/>
        </w:rPr>
        <w:t>-0.131***</w:t>
      </w:r>
      <w:r>
        <w:rPr>
          <w:rFonts w:ascii="Times New Roman" w:hAnsi="Times New Roman" w:cs="Times New Roman"/>
          <w:lang w:val="en-US"/>
        </w:rPr>
        <w:tab/>
        <w:t>-0.</w:t>
      </w:r>
      <w:r w:rsidR="001A6D89">
        <w:rPr>
          <w:rFonts w:ascii="Times New Roman" w:hAnsi="Times New Roman" w:cs="Times New Roman"/>
          <w:lang w:val="en-US"/>
        </w:rPr>
        <w:t>118*</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112808" w:rsidRDefault="00D43B41"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C65FD1">
        <w:rPr>
          <w:rFonts w:ascii="Times New Roman" w:hAnsi="Times New Roman" w:cs="Times New Roman"/>
          <w:lang w:val="en-US"/>
        </w:rPr>
        <w:t>[0.00]</w:t>
      </w:r>
      <w:r>
        <w:rPr>
          <w:rFonts w:ascii="Times New Roman" w:hAnsi="Times New Roman" w:cs="Times New Roman"/>
          <w:lang w:val="en-US"/>
        </w:rPr>
        <w:tab/>
      </w:r>
      <w:r>
        <w:rPr>
          <w:rFonts w:ascii="Times New Roman" w:hAnsi="Times New Roman" w:cs="Times New Roman"/>
          <w:lang w:val="en-US"/>
        </w:rPr>
        <w:tab/>
        <w:t>[0.0</w:t>
      </w:r>
      <w:r w:rsidR="001A6D89">
        <w:rPr>
          <w:rFonts w:ascii="Times New Roman" w:hAnsi="Times New Roman" w:cs="Times New Roman"/>
          <w:lang w:val="en-US"/>
        </w:rPr>
        <w:t>1</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112808" w:rsidRPr="00112808" w:rsidRDefault="00112808" w:rsidP="00DB525D">
      <w:pPr>
        <w:spacing w:line="240" w:lineRule="auto"/>
        <w:jc w:val="both"/>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DS x develop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0.486***</w:t>
      </w:r>
    </w:p>
    <w:p w:rsidR="00D43B41" w:rsidRPr="00AD47B5" w:rsidRDefault="00D43B41" w:rsidP="00DB525D">
      <w:pPr>
        <w:spacing w:line="240" w:lineRule="auto"/>
        <w:jc w:val="both"/>
        <w:rPr>
          <w:rFonts w:ascii="Times New Roman" w:hAnsi="Times New Roman" w:cs="Times New Roman"/>
          <w:lang w:val="en-US"/>
        </w:rPr>
      </w:pPr>
      <w:r>
        <w:rPr>
          <w:rFonts w:ascii="Times New Roman" w:hAnsi="Times New Roman" w:cs="Times New Roman"/>
          <w:lang w:val="en-US"/>
        </w:rPr>
        <w:tab/>
      </w:r>
      <w:r w:rsidR="00112808">
        <w:rPr>
          <w:rFonts w:ascii="Times New Roman" w:hAnsi="Times New Roman" w:cs="Times New Roman"/>
          <w:lang w:val="en-US"/>
        </w:rPr>
        <w:tab/>
      </w:r>
      <w:r w:rsidR="00112808">
        <w:rPr>
          <w:rFonts w:ascii="Times New Roman" w:hAnsi="Times New Roman" w:cs="Times New Roman"/>
          <w:lang w:val="en-US"/>
        </w:rPr>
        <w:tab/>
      </w:r>
      <w:r w:rsidR="00112808">
        <w:rPr>
          <w:rFonts w:ascii="Times New Roman" w:hAnsi="Times New Roman" w:cs="Times New Roman"/>
          <w:lang w:val="en-US"/>
        </w:rPr>
        <w:tab/>
      </w:r>
      <w:r w:rsidR="00112808">
        <w:rPr>
          <w:rFonts w:ascii="Times New Roman" w:hAnsi="Times New Roman" w:cs="Times New Roman"/>
          <w:lang w:val="en-US"/>
        </w:rPr>
        <w:tab/>
      </w:r>
      <w:r w:rsidR="00112808">
        <w:rPr>
          <w:rFonts w:ascii="Times New Roman" w:hAnsi="Times New Roman" w:cs="Times New Roman"/>
          <w:lang w:val="en-US"/>
        </w:rPr>
        <w:tab/>
        <w:t>[0.00]</w:t>
      </w:r>
    </w:p>
    <w:p w:rsidR="00D51CAE"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Constant</w:t>
      </w:r>
      <w:r w:rsidR="00AD47B5">
        <w:rPr>
          <w:rFonts w:ascii="Times New Roman" w:hAnsi="Times New Roman" w:cs="Times New Roman"/>
          <w:lang w:val="en-US"/>
        </w:rPr>
        <w:tab/>
      </w:r>
      <w:r w:rsidR="00AD47B5">
        <w:rPr>
          <w:rFonts w:ascii="Times New Roman" w:hAnsi="Times New Roman" w:cs="Times New Roman"/>
          <w:lang w:val="en-US"/>
        </w:rPr>
        <w:tab/>
      </w:r>
      <w:r w:rsidR="00AD47B5">
        <w:rPr>
          <w:rFonts w:ascii="Times New Roman" w:hAnsi="Times New Roman" w:cs="Times New Roman"/>
          <w:lang w:val="en-US"/>
        </w:rPr>
        <w:tab/>
        <w:t>1.673**</w:t>
      </w:r>
      <w:r w:rsidR="00167043">
        <w:rPr>
          <w:rFonts w:ascii="Times New Roman" w:hAnsi="Times New Roman" w:cs="Times New Roman"/>
          <w:lang w:val="en-US"/>
        </w:rPr>
        <w:tab/>
      </w:r>
      <w:r w:rsidR="00AD47B5">
        <w:rPr>
          <w:rFonts w:ascii="Times New Roman" w:hAnsi="Times New Roman" w:cs="Times New Roman"/>
          <w:lang w:val="en-US"/>
        </w:rPr>
        <w:tab/>
        <w:t>1.194*</w:t>
      </w:r>
      <w:r w:rsidR="00AD47B5">
        <w:rPr>
          <w:rFonts w:ascii="Times New Roman" w:hAnsi="Times New Roman" w:cs="Times New Roman"/>
          <w:lang w:val="en-US"/>
        </w:rPr>
        <w:tab/>
      </w:r>
      <w:r w:rsidR="00AD47B5">
        <w:rPr>
          <w:rFonts w:ascii="Times New Roman" w:hAnsi="Times New Roman" w:cs="Times New Roman"/>
          <w:lang w:val="en-US"/>
        </w:rPr>
        <w:tab/>
      </w:r>
      <w:r w:rsidR="00167043">
        <w:rPr>
          <w:rFonts w:ascii="Times New Roman" w:hAnsi="Times New Roman" w:cs="Times New Roman"/>
          <w:lang w:val="en-US"/>
        </w:rPr>
        <w:tab/>
      </w:r>
    </w:p>
    <w:p w:rsidR="00AD47B5" w:rsidRPr="00AD47B5" w:rsidRDefault="00AD47B5"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[0.03]</w:t>
      </w:r>
      <w:r>
        <w:rPr>
          <w:rFonts w:ascii="Times New Roman" w:hAnsi="Times New Roman" w:cs="Times New Roman"/>
          <w:lang w:val="en-US"/>
        </w:rPr>
        <w:tab/>
      </w:r>
      <w:r w:rsidR="00167043">
        <w:rPr>
          <w:rFonts w:ascii="Times New Roman" w:hAnsi="Times New Roman" w:cs="Times New Roman"/>
          <w:lang w:val="en-US"/>
        </w:rPr>
        <w:tab/>
      </w:r>
      <w:r>
        <w:rPr>
          <w:rFonts w:ascii="Times New Roman" w:hAnsi="Times New Roman" w:cs="Times New Roman"/>
          <w:lang w:val="en-US"/>
        </w:rPr>
        <w:t>[0.07]</w:t>
      </w:r>
      <w:r>
        <w:rPr>
          <w:rFonts w:ascii="Times New Roman" w:hAnsi="Times New Roman" w:cs="Times New Roman"/>
          <w:lang w:val="en-US"/>
        </w:rPr>
        <w:tab/>
      </w:r>
      <w:r>
        <w:rPr>
          <w:rFonts w:ascii="Times New Roman" w:hAnsi="Times New Roman" w:cs="Times New Roman"/>
          <w:lang w:val="en-US"/>
        </w:rPr>
        <w:tab/>
      </w:r>
      <w:r w:rsidR="00167043">
        <w:rPr>
          <w:rFonts w:ascii="Times New Roman" w:hAnsi="Times New Roman" w:cs="Times New Roman"/>
          <w:lang w:val="en-US"/>
        </w:rPr>
        <w:tab/>
      </w:r>
    </w:p>
    <w:p w:rsidR="00D51CAE" w:rsidRPr="00AD47B5"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Observations</w:t>
      </w:r>
      <w:r w:rsidR="00C0187F">
        <w:rPr>
          <w:rFonts w:ascii="Times New Roman" w:hAnsi="Times New Roman" w:cs="Times New Roman"/>
          <w:lang w:val="en-US"/>
        </w:rPr>
        <w:tab/>
      </w:r>
      <w:r w:rsidR="00C0187F">
        <w:rPr>
          <w:rFonts w:ascii="Times New Roman" w:hAnsi="Times New Roman" w:cs="Times New Roman"/>
          <w:lang w:val="en-US"/>
        </w:rPr>
        <w:tab/>
      </w:r>
      <w:r w:rsidR="00C0187F">
        <w:rPr>
          <w:rFonts w:ascii="Times New Roman" w:hAnsi="Times New Roman" w:cs="Times New Roman"/>
          <w:lang w:val="en-US"/>
        </w:rPr>
        <w:tab/>
        <w:t>2,400</w:t>
      </w:r>
      <w:r w:rsidR="00C0187F">
        <w:rPr>
          <w:rFonts w:ascii="Times New Roman" w:hAnsi="Times New Roman" w:cs="Times New Roman"/>
          <w:lang w:val="en-US"/>
        </w:rPr>
        <w:tab/>
      </w:r>
      <w:r w:rsidR="00C0187F">
        <w:rPr>
          <w:rFonts w:ascii="Times New Roman" w:hAnsi="Times New Roman" w:cs="Times New Roman"/>
          <w:lang w:val="en-US"/>
        </w:rPr>
        <w:tab/>
        <w:t>2,400</w:t>
      </w:r>
      <w:r w:rsidR="00C0187F">
        <w:rPr>
          <w:rFonts w:ascii="Times New Roman" w:hAnsi="Times New Roman" w:cs="Times New Roman"/>
          <w:lang w:val="en-US"/>
        </w:rPr>
        <w:tab/>
      </w:r>
      <w:r w:rsidR="00C0187F">
        <w:rPr>
          <w:rFonts w:ascii="Times New Roman" w:hAnsi="Times New Roman" w:cs="Times New Roman"/>
          <w:lang w:val="en-US"/>
        </w:rPr>
        <w:tab/>
      </w:r>
      <w:r w:rsidR="00C0187F">
        <w:rPr>
          <w:rFonts w:ascii="Times New Roman" w:hAnsi="Times New Roman" w:cs="Times New Roman"/>
          <w:lang w:val="en-US"/>
        </w:rPr>
        <w:tab/>
      </w:r>
    </w:p>
    <w:p w:rsidR="00D51CAE"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Countries</w:t>
      </w:r>
      <w:r w:rsidR="00610988">
        <w:rPr>
          <w:rFonts w:ascii="Times New Roman" w:hAnsi="Times New Roman" w:cs="Times New Roman"/>
          <w:lang w:val="en-US"/>
        </w:rPr>
        <w:tab/>
      </w:r>
      <w:r w:rsidR="00610988">
        <w:rPr>
          <w:rFonts w:ascii="Times New Roman" w:hAnsi="Times New Roman" w:cs="Times New Roman"/>
          <w:lang w:val="en-US"/>
        </w:rPr>
        <w:tab/>
      </w:r>
      <w:r w:rsidR="00610988">
        <w:rPr>
          <w:rFonts w:ascii="Times New Roman" w:hAnsi="Times New Roman" w:cs="Times New Roman"/>
          <w:lang w:val="en-US"/>
        </w:rPr>
        <w:tab/>
        <w:t>32</w:t>
      </w:r>
      <w:r w:rsidR="00610988">
        <w:rPr>
          <w:rFonts w:ascii="Times New Roman" w:hAnsi="Times New Roman" w:cs="Times New Roman"/>
          <w:lang w:val="en-US"/>
        </w:rPr>
        <w:tab/>
      </w:r>
      <w:r w:rsidR="00610988">
        <w:rPr>
          <w:rFonts w:ascii="Times New Roman" w:hAnsi="Times New Roman" w:cs="Times New Roman"/>
          <w:lang w:val="en-US"/>
        </w:rPr>
        <w:tab/>
        <w:t>32</w:t>
      </w:r>
      <w:r w:rsidR="00951ACF">
        <w:rPr>
          <w:rFonts w:ascii="Times New Roman" w:hAnsi="Times New Roman" w:cs="Times New Roman"/>
          <w:lang w:val="en-US"/>
        </w:rPr>
        <w:tab/>
      </w:r>
      <w:r w:rsidR="00951ACF">
        <w:rPr>
          <w:rFonts w:ascii="Times New Roman" w:hAnsi="Times New Roman" w:cs="Times New Roman"/>
          <w:lang w:val="en-US"/>
        </w:rPr>
        <w:tab/>
      </w:r>
      <w:r w:rsidR="00951ACF">
        <w:rPr>
          <w:rFonts w:ascii="Times New Roman" w:hAnsi="Times New Roman" w:cs="Times New Roman"/>
          <w:lang w:val="en-US"/>
        </w:rPr>
        <w:tab/>
      </w:r>
    </w:p>
    <w:p w:rsidR="001A6D89" w:rsidRDefault="001A6D89" w:rsidP="00DB525D">
      <w:pPr>
        <w:spacing w:line="240" w:lineRule="auto"/>
        <w:jc w:val="both"/>
        <w:rPr>
          <w:rFonts w:ascii="Times New Roman" w:hAnsi="Times New Roman" w:cs="Times New Roman"/>
          <w:lang w:val="en-US"/>
        </w:rPr>
      </w:pPr>
      <w:r>
        <w:rPr>
          <w:rFonts w:ascii="Times New Roman" w:hAnsi="Times New Roman" w:cs="Times New Roman"/>
          <w:lang w:val="en-US"/>
        </w:rPr>
        <w:lastRenderedPageBreak/>
        <w:t>R</w:t>
      </w:r>
      <w:r w:rsidRPr="001A6D89">
        <w:rPr>
          <w:rFonts w:ascii="Times New Roman" w:hAnsi="Times New Roman" w:cs="Times New Roman"/>
          <w:vertAlign w:val="superscript"/>
          <w:lang w:val="en-US"/>
        </w:rPr>
        <w:t>2</w:t>
      </w:r>
      <w:r>
        <w:rPr>
          <w:rFonts w:ascii="Times New Roman" w:hAnsi="Times New Roman" w:cs="Times New Roman"/>
          <w:lang w:val="en-US"/>
        </w:rPr>
        <w:t>-adjusted</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0.25</w:t>
      </w:r>
      <w:r>
        <w:rPr>
          <w:rFonts w:ascii="Times New Roman" w:hAnsi="Times New Roman" w:cs="Times New Roman"/>
          <w:lang w:val="en-US"/>
        </w:rPr>
        <w:tab/>
      </w:r>
      <w:r>
        <w:rPr>
          <w:rFonts w:ascii="Times New Roman" w:hAnsi="Times New Roman" w:cs="Times New Roman"/>
          <w:lang w:val="en-US"/>
        </w:rPr>
        <w:tab/>
        <w:t>0.</w:t>
      </w:r>
      <w:r w:rsidR="00605848">
        <w:rPr>
          <w:rFonts w:ascii="Times New Roman" w:hAnsi="Times New Roman" w:cs="Times New Roman"/>
          <w:lang w:val="en-US"/>
        </w:rPr>
        <w:t>6</w:t>
      </w:r>
      <w:r>
        <w:rPr>
          <w:rFonts w:ascii="Times New Roman" w:hAnsi="Times New Roman" w:cs="Times New Roman"/>
          <w:lang w:val="en-US"/>
        </w:rPr>
        <w:t>7</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95438C" w:rsidRPr="00AD47B5" w:rsidRDefault="0095438C" w:rsidP="00DB525D">
      <w:pPr>
        <w:spacing w:line="240" w:lineRule="auto"/>
        <w:jc w:val="both"/>
        <w:rPr>
          <w:rFonts w:ascii="Times New Roman" w:hAnsi="Times New Roman" w:cs="Times New Roman"/>
          <w:lang w:val="en-US"/>
        </w:rPr>
      </w:pPr>
      <w:r>
        <w:rPr>
          <w:rFonts w:ascii="Times New Roman" w:hAnsi="Times New Roman" w:cs="Times New Roman"/>
          <w:lang w:val="en-US"/>
        </w:rPr>
        <w:t>Instruments used</w:t>
      </w:r>
      <w:r>
        <w:rPr>
          <w:rFonts w:ascii="Times New Roman" w:hAnsi="Times New Roman" w:cs="Times New Roman"/>
          <w:lang w:val="en-US"/>
        </w:rPr>
        <w:tab/>
      </w:r>
      <w:r>
        <w:rPr>
          <w:rFonts w:ascii="Times New Roman" w:hAnsi="Times New Roman" w:cs="Times New Roman"/>
          <w:lang w:val="en-US"/>
        </w:rPr>
        <w:tab/>
      </w:r>
      <w:r w:rsidR="00FE0E8D">
        <w:rPr>
          <w:rFonts w:ascii="Times New Roman" w:hAnsi="Times New Roman" w:cs="Times New Roman"/>
          <w:lang w:val="en-US"/>
        </w:rPr>
        <w:t>7</w:t>
      </w:r>
      <w:r>
        <w:rPr>
          <w:rFonts w:ascii="Times New Roman" w:hAnsi="Times New Roman" w:cs="Times New Roman"/>
          <w:lang w:val="en-US"/>
        </w:rPr>
        <w:tab/>
      </w:r>
      <w:r>
        <w:rPr>
          <w:rFonts w:ascii="Times New Roman" w:hAnsi="Times New Roman" w:cs="Times New Roman"/>
          <w:lang w:val="en-US"/>
        </w:rPr>
        <w:tab/>
        <w:t>2</w:t>
      </w:r>
      <w:r w:rsidR="00FE0E8D">
        <w:rPr>
          <w:rFonts w:ascii="Times New Roman" w:hAnsi="Times New Roman" w:cs="Times New Roman"/>
          <w:lang w:val="en-US"/>
        </w:rPr>
        <w:t>3</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D51CAE" w:rsidRPr="00AD47B5"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Hansen p-value</w:t>
      </w:r>
      <w:r w:rsidR="00167043">
        <w:rPr>
          <w:rFonts w:ascii="Times New Roman" w:hAnsi="Times New Roman" w:cs="Times New Roman"/>
          <w:lang w:val="en-US"/>
        </w:rPr>
        <w:tab/>
      </w:r>
      <w:r w:rsidR="00167043">
        <w:rPr>
          <w:rFonts w:ascii="Times New Roman" w:hAnsi="Times New Roman" w:cs="Times New Roman"/>
          <w:lang w:val="en-US"/>
        </w:rPr>
        <w:tab/>
      </w:r>
      <w:r w:rsidR="00167043">
        <w:rPr>
          <w:rFonts w:ascii="Times New Roman" w:hAnsi="Times New Roman" w:cs="Times New Roman"/>
          <w:lang w:val="en-US"/>
        </w:rPr>
        <w:tab/>
        <w:t>0.98</w:t>
      </w:r>
      <w:r w:rsidR="00167043">
        <w:rPr>
          <w:rFonts w:ascii="Times New Roman" w:hAnsi="Times New Roman" w:cs="Times New Roman"/>
          <w:lang w:val="en-US"/>
        </w:rPr>
        <w:tab/>
      </w:r>
      <w:r w:rsidR="00167043">
        <w:rPr>
          <w:rFonts w:ascii="Times New Roman" w:hAnsi="Times New Roman" w:cs="Times New Roman"/>
          <w:lang w:val="en-US"/>
        </w:rPr>
        <w:tab/>
        <w:t>0.98</w:t>
      </w:r>
      <w:r w:rsidR="00167043">
        <w:rPr>
          <w:rFonts w:ascii="Times New Roman" w:hAnsi="Times New Roman" w:cs="Times New Roman"/>
          <w:lang w:val="en-US"/>
        </w:rPr>
        <w:tab/>
      </w:r>
      <w:r w:rsidR="00167043">
        <w:rPr>
          <w:rFonts w:ascii="Times New Roman" w:hAnsi="Times New Roman" w:cs="Times New Roman"/>
          <w:lang w:val="en-US"/>
        </w:rPr>
        <w:tab/>
      </w:r>
      <w:r w:rsidR="00167043">
        <w:rPr>
          <w:rFonts w:ascii="Times New Roman" w:hAnsi="Times New Roman" w:cs="Times New Roman"/>
          <w:lang w:val="en-US"/>
        </w:rPr>
        <w:tab/>
      </w:r>
    </w:p>
    <w:p w:rsidR="00D51CAE" w:rsidRPr="00AD47B5" w:rsidRDefault="00D51CAE"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AR1 p-value</w:t>
      </w:r>
      <w:r w:rsidR="00167043">
        <w:rPr>
          <w:rFonts w:ascii="Times New Roman" w:hAnsi="Times New Roman" w:cs="Times New Roman"/>
          <w:lang w:val="en-US"/>
        </w:rPr>
        <w:tab/>
      </w:r>
      <w:r w:rsidR="00167043">
        <w:rPr>
          <w:rFonts w:ascii="Times New Roman" w:hAnsi="Times New Roman" w:cs="Times New Roman"/>
          <w:lang w:val="en-US"/>
        </w:rPr>
        <w:tab/>
      </w:r>
      <w:r w:rsidR="00167043">
        <w:rPr>
          <w:rFonts w:ascii="Times New Roman" w:hAnsi="Times New Roman" w:cs="Times New Roman"/>
          <w:lang w:val="en-US"/>
        </w:rPr>
        <w:tab/>
        <w:t>0.02</w:t>
      </w:r>
      <w:r w:rsidR="00167043">
        <w:rPr>
          <w:rFonts w:ascii="Times New Roman" w:hAnsi="Times New Roman" w:cs="Times New Roman"/>
          <w:lang w:val="en-US"/>
        </w:rPr>
        <w:tab/>
      </w:r>
      <w:r w:rsidR="00167043">
        <w:rPr>
          <w:rFonts w:ascii="Times New Roman" w:hAnsi="Times New Roman" w:cs="Times New Roman"/>
          <w:lang w:val="en-US"/>
        </w:rPr>
        <w:tab/>
        <w:t>0.02</w:t>
      </w:r>
      <w:r w:rsidR="00167043">
        <w:rPr>
          <w:rFonts w:ascii="Times New Roman" w:hAnsi="Times New Roman" w:cs="Times New Roman"/>
          <w:lang w:val="en-US"/>
        </w:rPr>
        <w:tab/>
      </w:r>
      <w:r w:rsidR="00167043">
        <w:rPr>
          <w:rFonts w:ascii="Times New Roman" w:hAnsi="Times New Roman" w:cs="Times New Roman"/>
          <w:lang w:val="en-US"/>
        </w:rPr>
        <w:tab/>
      </w:r>
      <w:r w:rsidR="00167043">
        <w:rPr>
          <w:rFonts w:ascii="Times New Roman" w:hAnsi="Times New Roman" w:cs="Times New Roman"/>
          <w:lang w:val="en-US"/>
        </w:rPr>
        <w:tab/>
      </w:r>
    </w:p>
    <w:p w:rsidR="00D51CAE" w:rsidRDefault="00D51CAE" w:rsidP="00DB525D">
      <w:pPr>
        <w:spacing w:line="240" w:lineRule="auto"/>
        <w:jc w:val="both"/>
        <w:rPr>
          <w:rFonts w:ascii="Times New Roman" w:hAnsi="Times New Roman" w:cs="Times New Roman"/>
          <w:sz w:val="24"/>
          <w:szCs w:val="24"/>
          <w:lang w:val="en-US"/>
        </w:rPr>
      </w:pPr>
      <w:r w:rsidRPr="00AD47B5">
        <w:rPr>
          <w:rFonts w:ascii="Times New Roman" w:hAnsi="Times New Roman" w:cs="Times New Roman"/>
          <w:lang w:val="en-US"/>
        </w:rPr>
        <w:t>AR2 p-value</w:t>
      </w:r>
      <w:r w:rsidR="00167043">
        <w:rPr>
          <w:rFonts w:ascii="Times New Roman" w:hAnsi="Times New Roman" w:cs="Times New Roman"/>
          <w:lang w:val="en-US"/>
        </w:rPr>
        <w:tab/>
      </w:r>
      <w:r w:rsidR="00167043">
        <w:rPr>
          <w:rFonts w:ascii="Times New Roman" w:hAnsi="Times New Roman" w:cs="Times New Roman"/>
          <w:lang w:val="en-US"/>
        </w:rPr>
        <w:tab/>
      </w:r>
      <w:r w:rsidR="00167043">
        <w:rPr>
          <w:rFonts w:ascii="Times New Roman" w:hAnsi="Times New Roman" w:cs="Times New Roman"/>
          <w:lang w:val="en-US"/>
        </w:rPr>
        <w:tab/>
        <w:t>0.48</w:t>
      </w:r>
      <w:r w:rsidR="00167043">
        <w:rPr>
          <w:rFonts w:ascii="Times New Roman" w:hAnsi="Times New Roman" w:cs="Times New Roman"/>
          <w:lang w:val="en-US"/>
        </w:rPr>
        <w:tab/>
      </w:r>
      <w:r w:rsidR="00167043">
        <w:rPr>
          <w:rFonts w:ascii="Times New Roman" w:hAnsi="Times New Roman" w:cs="Times New Roman"/>
          <w:lang w:val="en-US"/>
        </w:rPr>
        <w:tab/>
        <w:t>0.53</w:t>
      </w:r>
      <w:r w:rsidR="00167043">
        <w:rPr>
          <w:rFonts w:ascii="Times New Roman" w:hAnsi="Times New Roman" w:cs="Times New Roman"/>
          <w:lang w:val="en-US"/>
        </w:rPr>
        <w:tab/>
      </w:r>
      <w:r w:rsidR="00167043">
        <w:rPr>
          <w:rFonts w:ascii="Times New Roman" w:hAnsi="Times New Roman" w:cs="Times New Roman"/>
          <w:lang w:val="en-US"/>
        </w:rPr>
        <w:tab/>
      </w:r>
      <w:r w:rsidR="00167043">
        <w:rPr>
          <w:rFonts w:ascii="Times New Roman" w:hAnsi="Times New Roman" w:cs="Times New Roman"/>
          <w:lang w:val="en-US"/>
        </w:rPr>
        <w:tab/>
      </w:r>
    </w:p>
    <w:p w:rsidR="00D51CAE" w:rsidRPr="00D51CAE" w:rsidRDefault="00D51CAE" w:rsidP="00DB525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w:t>
      </w:r>
      <w:r w:rsidR="00617335">
        <w:rPr>
          <w:rFonts w:ascii="Times New Roman" w:hAnsi="Times New Roman" w:cs="Times New Roman"/>
          <w:sz w:val="24"/>
          <w:szCs w:val="24"/>
          <w:lang w:val="en-US"/>
        </w:rPr>
        <w:t>_________________</w:t>
      </w:r>
    </w:p>
    <w:p w:rsidR="00D51CAE" w:rsidRPr="00605848" w:rsidRDefault="00D51CAE" w:rsidP="00DB525D">
      <w:pPr>
        <w:spacing w:line="240" w:lineRule="auto"/>
        <w:jc w:val="both"/>
        <w:rPr>
          <w:rFonts w:ascii="Times New Roman" w:hAnsi="Times New Roman" w:cs="Times New Roman"/>
          <w:sz w:val="20"/>
          <w:szCs w:val="20"/>
          <w:lang w:val="en-US"/>
        </w:rPr>
      </w:pPr>
      <w:proofErr w:type="spellStart"/>
      <w:proofErr w:type="gramStart"/>
      <w:r w:rsidRPr="00605848">
        <w:rPr>
          <w:rFonts w:ascii="Times New Roman" w:hAnsi="Times New Roman" w:cs="Times New Roman"/>
          <w:sz w:val="20"/>
          <w:szCs w:val="20"/>
          <w:lang w:val="en-US"/>
        </w:rPr>
        <w:t>Heteroskedasticity</w:t>
      </w:r>
      <w:proofErr w:type="spellEnd"/>
      <w:r w:rsidRPr="00605848">
        <w:rPr>
          <w:rFonts w:ascii="Times New Roman" w:hAnsi="Times New Roman" w:cs="Times New Roman"/>
          <w:sz w:val="20"/>
          <w:szCs w:val="20"/>
          <w:lang w:val="en-US"/>
        </w:rPr>
        <w:t xml:space="preserve"> and serial correlation robust p-values in brackets.</w:t>
      </w:r>
      <w:proofErr w:type="gramEnd"/>
      <w:r w:rsidRPr="00605848">
        <w:rPr>
          <w:rFonts w:ascii="Times New Roman" w:hAnsi="Times New Roman" w:cs="Times New Roman"/>
          <w:sz w:val="20"/>
          <w:szCs w:val="20"/>
          <w:lang w:val="en-US"/>
        </w:rPr>
        <w:t xml:space="preserve"> ***: p≤0.01</w:t>
      </w:r>
      <w:proofErr w:type="gramStart"/>
      <w:r w:rsidRPr="00605848">
        <w:rPr>
          <w:rFonts w:ascii="Times New Roman" w:hAnsi="Times New Roman" w:cs="Times New Roman"/>
          <w:sz w:val="20"/>
          <w:szCs w:val="20"/>
          <w:lang w:val="en-US"/>
        </w:rPr>
        <w:t>,  *</w:t>
      </w:r>
      <w:proofErr w:type="gramEnd"/>
      <w:r w:rsidRPr="00605848">
        <w:rPr>
          <w:rFonts w:ascii="Times New Roman" w:hAnsi="Times New Roman" w:cs="Times New Roman"/>
          <w:sz w:val="20"/>
          <w:szCs w:val="20"/>
          <w:lang w:val="en-US"/>
        </w:rPr>
        <w:t>*: p≤0.05, *: p≤0.10.</w:t>
      </w:r>
    </w:p>
    <w:p w:rsidR="00617335" w:rsidRDefault="00617335" w:rsidP="00DB525D">
      <w:pPr>
        <w:spacing w:line="240" w:lineRule="auto"/>
        <w:jc w:val="both"/>
        <w:rPr>
          <w:rFonts w:ascii="Times New Roman" w:hAnsi="Times New Roman" w:cs="Times New Roman"/>
          <w:sz w:val="24"/>
          <w:szCs w:val="24"/>
          <w:lang w:val="en-US"/>
        </w:rPr>
        <w:sectPr w:rsidR="00617335" w:rsidSect="00617335">
          <w:pgSz w:w="11906" w:h="16838"/>
          <w:pgMar w:top="1440" w:right="1797" w:bottom="1440" w:left="1797" w:header="709" w:footer="709" w:gutter="0"/>
          <w:cols w:space="708"/>
          <w:docGrid w:linePitch="360"/>
        </w:sectPr>
      </w:pPr>
    </w:p>
    <w:p w:rsidR="00F15AC3" w:rsidRDefault="00617335" w:rsidP="00F15AC3">
      <w:pPr>
        <w:spacing w:line="240" w:lineRule="auto"/>
        <w:jc w:val="center"/>
        <w:rPr>
          <w:rFonts w:ascii="Times New Roman" w:hAnsi="Times New Roman" w:cs="Times New Roman"/>
          <w:sz w:val="24"/>
          <w:szCs w:val="24"/>
          <w:lang w:val="en-US"/>
        </w:rPr>
      </w:pPr>
      <w:r w:rsidRPr="00DD6420">
        <w:rPr>
          <w:rFonts w:ascii="Times New Roman" w:hAnsi="Times New Roman" w:cs="Times New Roman"/>
          <w:sz w:val="24"/>
          <w:szCs w:val="24"/>
          <w:lang w:val="en-US"/>
        </w:rPr>
        <w:lastRenderedPageBreak/>
        <w:t>T</w:t>
      </w:r>
      <w:r w:rsidR="00F15AC3">
        <w:rPr>
          <w:rFonts w:ascii="Times New Roman" w:hAnsi="Times New Roman" w:cs="Times New Roman"/>
          <w:sz w:val="24"/>
          <w:szCs w:val="24"/>
          <w:lang w:val="en-US"/>
        </w:rPr>
        <w:t>ABLE</w:t>
      </w:r>
      <w:r w:rsidR="001F12C8" w:rsidRPr="00DD6420">
        <w:rPr>
          <w:rFonts w:ascii="Times New Roman" w:hAnsi="Times New Roman" w:cs="Times New Roman"/>
          <w:sz w:val="24"/>
          <w:szCs w:val="24"/>
          <w:lang w:val="en-US"/>
        </w:rPr>
        <w:t xml:space="preserve"> </w:t>
      </w:r>
      <w:r w:rsidR="00136EE3">
        <w:rPr>
          <w:rFonts w:ascii="Times New Roman" w:hAnsi="Times New Roman" w:cs="Times New Roman"/>
          <w:sz w:val="24"/>
          <w:szCs w:val="24"/>
          <w:lang w:val="en-US"/>
        </w:rPr>
        <w:t>3</w:t>
      </w:r>
    </w:p>
    <w:p w:rsidR="001F12C8" w:rsidRPr="00F15AC3" w:rsidRDefault="001F12C8" w:rsidP="00F15AC3">
      <w:pPr>
        <w:spacing w:line="240" w:lineRule="auto"/>
        <w:jc w:val="center"/>
        <w:rPr>
          <w:rFonts w:ascii="Times New Roman" w:hAnsi="Times New Roman" w:cs="Times New Roman"/>
          <w:sz w:val="24"/>
          <w:szCs w:val="24"/>
          <w:lang w:val="en-US"/>
        </w:rPr>
      </w:pPr>
      <w:r w:rsidRPr="00F15AC3">
        <w:rPr>
          <w:rFonts w:ascii="Times New Roman" w:hAnsi="Times New Roman" w:cs="Times New Roman"/>
          <w:sz w:val="24"/>
          <w:szCs w:val="24"/>
          <w:lang w:val="en-US"/>
        </w:rPr>
        <w:t>D</w:t>
      </w:r>
      <w:r w:rsidR="00F15AC3">
        <w:rPr>
          <w:rFonts w:ascii="Times New Roman" w:hAnsi="Times New Roman" w:cs="Times New Roman"/>
          <w:sz w:val="24"/>
          <w:szCs w:val="24"/>
          <w:lang w:val="en-US"/>
        </w:rPr>
        <w:t>YNAMIC</w:t>
      </w:r>
      <w:r w:rsidR="00720B80" w:rsidRPr="00F15AC3">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PANEL</w:t>
      </w:r>
      <w:r w:rsidRPr="00F15AC3">
        <w:rPr>
          <w:rFonts w:ascii="Times New Roman" w:hAnsi="Times New Roman" w:cs="Times New Roman"/>
          <w:sz w:val="24"/>
          <w:szCs w:val="24"/>
          <w:lang w:val="en-US"/>
        </w:rPr>
        <w:t xml:space="preserve"> GMM </w:t>
      </w:r>
      <w:r w:rsidR="00F15AC3">
        <w:rPr>
          <w:rFonts w:ascii="Times New Roman" w:hAnsi="Times New Roman" w:cs="Times New Roman"/>
          <w:sz w:val="24"/>
          <w:szCs w:val="24"/>
          <w:lang w:val="en-US"/>
        </w:rPr>
        <w:t>RESULTS</w:t>
      </w:r>
      <w:r w:rsidRPr="00F15AC3">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TYPES OF CONSUMPTION</w:t>
      </w:r>
    </w:p>
    <w:p w:rsidR="001F12C8" w:rsidRDefault="001F12C8" w:rsidP="00DB525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w:t>
      </w:r>
    </w:p>
    <w:p w:rsidR="00FD1A87" w:rsidRDefault="00FD1A87" w:rsidP="00DB525D">
      <w:pPr>
        <w:spacing w:line="240" w:lineRule="auto"/>
        <w:ind w:left="2880" w:firstLine="720"/>
        <w:jc w:val="both"/>
        <w:rPr>
          <w:rFonts w:ascii="Times New Roman" w:hAnsi="Times New Roman" w:cs="Times New Roman"/>
          <w:lang w:val="en-US"/>
        </w:rPr>
      </w:pPr>
      <w:r>
        <w:rPr>
          <w:rFonts w:ascii="Times New Roman" w:hAnsi="Times New Roman" w:cs="Times New Roman"/>
          <w:lang w:val="en-US"/>
        </w:rPr>
        <w:t>Durable goods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sidR="00CC165F">
        <w:rPr>
          <w:rFonts w:ascii="Times New Roman" w:hAnsi="Times New Roman" w:cs="Times New Roman"/>
          <w:lang w:val="en-US"/>
        </w:rPr>
        <w:t xml:space="preserve">    </w:t>
      </w:r>
      <w:r>
        <w:rPr>
          <w:rFonts w:ascii="Times New Roman" w:hAnsi="Times New Roman" w:cs="Times New Roman"/>
          <w:lang w:val="en-US"/>
        </w:rPr>
        <w:t>Non-durable goods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Services</w:t>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t xml:space="preserve"> </w:t>
      </w:r>
      <w:r>
        <w:rPr>
          <w:rFonts w:ascii="Times New Roman" w:hAnsi="Times New Roman" w:cs="Times New Roman"/>
          <w:lang w:val="en-US"/>
        </w:rPr>
        <w:t xml:space="preserve">  </w:t>
      </w:r>
      <w:r w:rsidRPr="00AD47B5">
        <w:rPr>
          <w:rFonts w:ascii="Times New Roman" w:hAnsi="Times New Roman" w:cs="Times New Roman"/>
          <w:lang w:val="en-US"/>
        </w:rPr>
        <w:t>Model (1)</w:t>
      </w:r>
      <w:r w:rsidRPr="00AD47B5">
        <w:rPr>
          <w:rFonts w:ascii="Times New Roman" w:hAnsi="Times New Roman" w:cs="Times New Roman"/>
          <w:lang w:val="en-US"/>
        </w:rPr>
        <w:tab/>
        <w:t xml:space="preserve">  </w:t>
      </w:r>
      <w:r>
        <w:rPr>
          <w:rFonts w:ascii="Times New Roman" w:hAnsi="Times New Roman" w:cs="Times New Roman"/>
          <w:lang w:val="en-US"/>
        </w:rPr>
        <w:t xml:space="preserve"> </w:t>
      </w:r>
      <w:r w:rsidRPr="00AD47B5">
        <w:rPr>
          <w:rFonts w:ascii="Times New Roman" w:hAnsi="Times New Roman" w:cs="Times New Roman"/>
          <w:lang w:val="en-US"/>
        </w:rPr>
        <w:t>Model (2)</w:t>
      </w:r>
      <w:r w:rsidRPr="00AD47B5">
        <w:rPr>
          <w:rFonts w:ascii="Times New Roman" w:hAnsi="Times New Roman" w:cs="Times New Roman"/>
          <w:lang w:val="en-US"/>
        </w:rPr>
        <w:tab/>
        <w:t xml:space="preserve">  </w:t>
      </w:r>
      <w:r w:rsidR="00FD1A87" w:rsidRPr="00AD47B5">
        <w:rPr>
          <w:rFonts w:ascii="Times New Roman" w:hAnsi="Times New Roman" w:cs="Times New Roman"/>
          <w:lang w:val="en-US"/>
        </w:rPr>
        <w:t xml:space="preserve"> </w:t>
      </w:r>
      <w:r w:rsidR="00FD1A87">
        <w:rPr>
          <w:rFonts w:ascii="Times New Roman" w:hAnsi="Times New Roman" w:cs="Times New Roman"/>
          <w:lang w:val="en-US"/>
        </w:rPr>
        <w:t xml:space="preserve">        </w:t>
      </w:r>
      <w:r w:rsidR="00CC165F">
        <w:rPr>
          <w:rFonts w:ascii="Times New Roman" w:hAnsi="Times New Roman" w:cs="Times New Roman"/>
          <w:lang w:val="en-US"/>
        </w:rPr>
        <w:t xml:space="preserve"> </w:t>
      </w:r>
      <w:r w:rsidR="00FD1A87" w:rsidRPr="00AD47B5">
        <w:rPr>
          <w:rFonts w:ascii="Times New Roman" w:hAnsi="Times New Roman" w:cs="Times New Roman"/>
          <w:lang w:val="en-US"/>
        </w:rPr>
        <w:t>Model (1)</w:t>
      </w:r>
      <w:r w:rsidR="00FD1A87" w:rsidRPr="00AD47B5">
        <w:rPr>
          <w:rFonts w:ascii="Times New Roman" w:hAnsi="Times New Roman" w:cs="Times New Roman"/>
          <w:lang w:val="en-US"/>
        </w:rPr>
        <w:tab/>
        <w:t xml:space="preserve">  </w:t>
      </w:r>
      <w:r w:rsidR="00FD1A87">
        <w:rPr>
          <w:rFonts w:ascii="Times New Roman" w:hAnsi="Times New Roman" w:cs="Times New Roman"/>
          <w:lang w:val="en-US"/>
        </w:rPr>
        <w:t xml:space="preserve"> </w:t>
      </w:r>
      <w:r w:rsidR="00CC165F">
        <w:rPr>
          <w:rFonts w:ascii="Times New Roman" w:hAnsi="Times New Roman" w:cs="Times New Roman"/>
          <w:lang w:val="en-US"/>
        </w:rPr>
        <w:t xml:space="preserve">         </w:t>
      </w:r>
      <w:r w:rsidR="00FD1A87" w:rsidRPr="00AD47B5">
        <w:rPr>
          <w:rFonts w:ascii="Times New Roman" w:hAnsi="Times New Roman" w:cs="Times New Roman"/>
          <w:lang w:val="en-US"/>
        </w:rPr>
        <w:t>Model (2)</w:t>
      </w:r>
      <w:r w:rsidR="00FD1A87">
        <w:rPr>
          <w:rFonts w:ascii="Times New Roman" w:hAnsi="Times New Roman" w:cs="Times New Roman"/>
          <w:lang w:val="en-US"/>
        </w:rPr>
        <w:tab/>
      </w:r>
      <w:r w:rsidR="00FD1A87" w:rsidRPr="00AD47B5">
        <w:rPr>
          <w:rFonts w:ascii="Times New Roman" w:hAnsi="Times New Roman" w:cs="Times New Roman"/>
          <w:lang w:val="en-US"/>
        </w:rPr>
        <w:t xml:space="preserve"> </w:t>
      </w:r>
      <w:r w:rsidR="00FD1A87">
        <w:rPr>
          <w:rFonts w:ascii="Times New Roman" w:hAnsi="Times New Roman" w:cs="Times New Roman"/>
          <w:lang w:val="en-US"/>
        </w:rPr>
        <w:t xml:space="preserve">  </w:t>
      </w:r>
      <w:r w:rsidR="00FD1A87">
        <w:rPr>
          <w:rFonts w:ascii="Times New Roman" w:hAnsi="Times New Roman" w:cs="Times New Roman"/>
          <w:lang w:val="en-US"/>
        </w:rPr>
        <w:tab/>
      </w:r>
      <w:r w:rsidR="00FD1A87" w:rsidRPr="00AD47B5">
        <w:rPr>
          <w:rFonts w:ascii="Times New Roman" w:hAnsi="Times New Roman" w:cs="Times New Roman"/>
          <w:lang w:val="en-US"/>
        </w:rPr>
        <w:t>Model (1)</w:t>
      </w:r>
      <w:r w:rsidR="00DB525D">
        <w:rPr>
          <w:rFonts w:ascii="Times New Roman" w:hAnsi="Times New Roman" w:cs="Times New Roman"/>
          <w:lang w:val="en-US"/>
        </w:rPr>
        <w:t xml:space="preserve">         </w:t>
      </w:r>
      <w:r w:rsidR="00FD1A87" w:rsidRPr="00AD47B5">
        <w:rPr>
          <w:rFonts w:ascii="Times New Roman" w:hAnsi="Times New Roman" w:cs="Times New Roman"/>
          <w:lang w:val="en-US"/>
        </w:rPr>
        <w:t>Model (2)</w:t>
      </w:r>
    </w:p>
    <w:p w:rsidR="001F12C8" w:rsidRPr="00AD47B5"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____________________________________________________________________________________________________________________________</w:t>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logDebt</w:t>
      </w:r>
      <w:proofErr w:type="spellEnd"/>
      <w:r w:rsidR="004B1FB6">
        <w:rPr>
          <w:rFonts w:ascii="Times New Roman" w:hAnsi="Times New Roman" w:cs="Times New Roman"/>
          <w:lang w:val="en-US"/>
        </w:rPr>
        <w:t>-</w:t>
      </w:r>
      <w:r w:rsidRPr="00AD47B5">
        <w:rPr>
          <w:rFonts w:ascii="Times New Roman" w:hAnsi="Times New Roman" w:cs="Times New Roman"/>
          <w:lang w:val="en-US"/>
        </w:rPr>
        <w:t>Servi</w:t>
      </w:r>
      <w:r w:rsidR="004B1FB6">
        <w:rPr>
          <w:rFonts w:ascii="Times New Roman" w:hAnsi="Times New Roman" w:cs="Times New Roman"/>
          <w:lang w:val="en-US"/>
        </w:rPr>
        <w:t>ce</w:t>
      </w:r>
      <w:r w:rsidRPr="00AD47B5">
        <w:rPr>
          <w:rFonts w:ascii="Times New Roman" w:hAnsi="Times New Roman" w:cs="Times New Roman"/>
          <w:lang w:val="en-US"/>
        </w:rPr>
        <w:t xml:space="preserve"> Ratio</w:t>
      </w:r>
      <w:r>
        <w:rPr>
          <w:rFonts w:ascii="Times New Roman" w:hAnsi="Times New Roman" w:cs="Times New Roman"/>
          <w:lang w:val="en-US"/>
        </w:rPr>
        <w:tab/>
      </w:r>
      <w:r>
        <w:rPr>
          <w:rFonts w:ascii="Times New Roman" w:hAnsi="Times New Roman" w:cs="Times New Roman"/>
          <w:lang w:val="en-US"/>
        </w:rPr>
        <w:tab/>
        <w:t xml:space="preserve">     0.</w:t>
      </w:r>
      <w:r w:rsidR="000B34A0">
        <w:rPr>
          <w:rFonts w:ascii="Times New Roman" w:hAnsi="Times New Roman" w:cs="Times New Roman"/>
          <w:lang w:val="en-US"/>
        </w:rPr>
        <w:t>5</w:t>
      </w:r>
      <w:r w:rsidR="008E3BEB">
        <w:rPr>
          <w:rFonts w:ascii="Times New Roman" w:hAnsi="Times New Roman" w:cs="Times New Roman"/>
          <w:lang w:val="en-US"/>
        </w:rPr>
        <w:t>6</w:t>
      </w:r>
      <w:r w:rsidR="00C96126">
        <w:rPr>
          <w:rFonts w:ascii="Times New Roman" w:hAnsi="Times New Roman" w:cs="Times New Roman"/>
          <w:lang w:val="en-US"/>
        </w:rPr>
        <w:t>1</w:t>
      </w:r>
      <w:r>
        <w:rPr>
          <w:rFonts w:ascii="Times New Roman" w:hAnsi="Times New Roman" w:cs="Times New Roman"/>
          <w:lang w:val="en-US"/>
        </w:rPr>
        <w:t>*</w:t>
      </w:r>
      <w:r w:rsidR="008E3BEB">
        <w:rPr>
          <w:rFonts w:ascii="Times New Roman" w:hAnsi="Times New Roman" w:cs="Times New Roman"/>
          <w:lang w:val="en-US"/>
        </w:rPr>
        <w:t>*</w:t>
      </w:r>
      <w:r>
        <w:rPr>
          <w:rFonts w:ascii="Times New Roman" w:hAnsi="Times New Roman" w:cs="Times New Roman"/>
          <w:lang w:val="en-US"/>
        </w:rPr>
        <w:t>*</w:t>
      </w:r>
      <w:r>
        <w:rPr>
          <w:rFonts w:ascii="Times New Roman" w:hAnsi="Times New Roman" w:cs="Times New Roman"/>
          <w:lang w:val="en-US"/>
        </w:rPr>
        <w:tab/>
        <w:t>0.</w:t>
      </w:r>
      <w:r w:rsidR="00112808">
        <w:rPr>
          <w:rFonts w:ascii="Times New Roman" w:hAnsi="Times New Roman" w:cs="Times New Roman"/>
          <w:lang w:val="en-US"/>
        </w:rPr>
        <w:t>5</w:t>
      </w:r>
      <w:r w:rsidR="008E3BEB">
        <w:rPr>
          <w:rFonts w:ascii="Times New Roman" w:hAnsi="Times New Roman" w:cs="Times New Roman"/>
          <w:lang w:val="en-US"/>
        </w:rPr>
        <w:t>5</w:t>
      </w:r>
      <w:r w:rsidR="00C96126">
        <w:rPr>
          <w:rFonts w:ascii="Times New Roman" w:hAnsi="Times New Roman" w:cs="Times New Roman"/>
          <w:lang w:val="en-US"/>
        </w:rPr>
        <w:t>3</w:t>
      </w:r>
      <w:r>
        <w:rPr>
          <w:rFonts w:ascii="Times New Roman" w:hAnsi="Times New Roman" w:cs="Times New Roman"/>
          <w:lang w:val="en-US"/>
        </w:rPr>
        <w:t>*</w:t>
      </w:r>
      <w:r w:rsidR="008E3BEB">
        <w:rPr>
          <w:rFonts w:ascii="Times New Roman" w:hAnsi="Times New Roman" w:cs="Times New Roman"/>
          <w:lang w:val="en-US"/>
        </w:rPr>
        <w:t>*</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sidR="00FD1A87">
        <w:rPr>
          <w:rFonts w:ascii="Times New Roman" w:hAnsi="Times New Roman" w:cs="Times New Roman"/>
          <w:lang w:val="en-US"/>
        </w:rPr>
        <w:t>0.</w:t>
      </w:r>
      <w:r w:rsidR="007E00CE">
        <w:rPr>
          <w:rFonts w:ascii="Times New Roman" w:hAnsi="Times New Roman" w:cs="Times New Roman"/>
          <w:lang w:val="en-US"/>
        </w:rPr>
        <w:t>1</w:t>
      </w:r>
      <w:r w:rsidR="00FD1A87">
        <w:rPr>
          <w:rFonts w:ascii="Times New Roman" w:hAnsi="Times New Roman" w:cs="Times New Roman"/>
          <w:lang w:val="en-US"/>
        </w:rPr>
        <w:t>71*</w:t>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ab/>
        <w:t>0.</w:t>
      </w:r>
      <w:r w:rsidR="007E00CE">
        <w:rPr>
          <w:rFonts w:ascii="Times New Roman" w:hAnsi="Times New Roman" w:cs="Times New Roman"/>
          <w:lang w:val="en-US"/>
        </w:rPr>
        <w:t>1</w:t>
      </w:r>
      <w:r w:rsidR="00FD1A87">
        <w:rPr>
          <w:rFonts w:ascii="Times New Roman" w:hAnsi="Times New Roman" w:cs="Times New Roman"/>
          <w:lang w:val="en-US"/>
        </w:rPr>
        <w:t>23</w:t>
      </w:r>
      <w:r w:rsidR="002E7553">
        <w:rPr>
          <w:rFonts w:ascii="Times New Roman" w:hAnsi="Times New Roman" w:cs="Times New Roman"/>
          <w:lang w:val="en-US"/>
        </w:rPr>
        <w:t>*</w:t>
      </w:r>
      <w:r w:rsidR="00FD1A87">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t xml:space="preserve">     0.</w:t>
      </w:r>
      <w:r w:rsidR="007E00CE">
        <w:rPr>
          <w:rFonts w:ascii="Times New Roman" w:hAnsi="Times New Roman" w:cs="Times New Roman"/>
          <w:lang w:val="en-US"/>
        </w:rPr>
        <w:t>0</w:t>
      </w:r>
      <w:r w:rsidR="00AC0CE3">
        <w:rPr>
          <w:rFonts w:ascii="Times New Roman" w:hAnsi="Times New Roman" w:cs="Times New Roman"/>
          <w:lang w:val="en-US"/>
        </w:rPr>
        <w:t>92</w:t>
      </w:r>
      <w:r w:rsidR="00AC0CE3">
        <w:rPr>
          <w:rFonts w:ascii="Times New Roman" w:hAnsi="Times New Roman" w:cs="Times New Roman"/>
          <w:lang w:val="en-US"/>
        </w:rPr>
        <w:tab/>
        <w:t>0.</w:t>
      </w:r>
      <w:r w:rsidR="007E00CE">
        <w:rPr>
          <w:rFonts w:ascii="Times New Roman" w:hAnsi="Times New Roman" w:cs="Times New Roman"/>
          <w:lang w:val="en-US"/>
        </w:rPr>
        <w:t>0</w:t>
      </w:r>
      <w:r w:rsidR="002E7553">
        <w:rPr>
          <w:rFonts w:ascii="Times New Roman" w:hAnsi="Times New Roman" w:cs="Times New Roman"/>
          <w:lang w:val="en-US"/>
        </w:rPr>
        <w:t>58</w:t>
      </w:r>
      <w:r w:rsidR="00AC0CE3">
        <w:rPr>
          <w:rFonts w:ascii="Times New Roman" w:hAnsi="Times New Roman" w:cs="Times New Roman"/>
          <w:lang w:val="en-US"/>
        </w:rPr>
        <w:tab/>
      </w:r>
    </w:p>
    <w:p w:rsidR="001F12C8"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[0.0</w:t>
      </w:r>
      <w:r w:rsidR="002E7553">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t>[0.0</w:t>
      </w:r>
      <w:r w:rsidR="002E7553">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r w:rsidR="00FD1A87">
        <w:rPr>
          <w:rFonts w:ascii="Times New Roman" w:hAnsi="Times New Roman" w:cs="Times New Roman"/>
          <w:lang w:val="en-US"/>
        </w:rPr>
        <w:tab/>
      </w:r>
      <w:r w:rsidR="00FD1A87">
        <w:rPr>
          <w:rFonts w:ascii="Times New Roman" w:hAnsi="Times New Roman" w:cs="Times New Roman"/>
          <w:lang w:val="en-US"/>
        </w:rPr>
        <w:tab/>
        <w:t>[0.0</w:t>
      </w:r>
      <w:r w:rsidR="007E00CE">
        <w:rPr>
          <w:rFonts w:ascii="Times New Roman" w:hAnsi="Times New Roman" w:cs="Times New Roman"/>
          <w:lang w:val="en-US"/>
        </w:rPr>
        <w:t>6</w:t>
      </w:r>
      <w:r w:rsidR="00FD1A87">
        <w:rPr>
          <w:rFonts w:ascii="Times New Roman" w:hAnsi="Times New Roman" w:cs="Times New Roman"/>
          <w:lang w:val="en-US"/>
        </w:rPr>
        <w:t>]</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[0.0</w:t>
      </w:r>
      <w:r w:rsidR="007E00CE">
        <w:rPr>
          <w:rFonts w:ascii="Times New Roman" w:hAnsi="Times New Roman" w:cs="Times New Roman"/>
          <w:lang w:val="en-US"/>
        </w:rPr>
        <w:t>8</w:t>
      </w:r>
      <w:r w:rsidR="00FD1A87">
        <w:rPr>
          <w:rFonts w:ascii="Times New Roman" w:hAnsi="Times New Roman" w:cs="Times New Roman"/>
          <w:lang w:val="en-US"/>
        </w:rPr>
        <w:t>]</w:t>
      </w:r>
      <w:r w:rsidR="00FD1A87">
        <w:rPr>
          <w:rFonts w:ascii="Times New Roman" w:hAnsi="Times New Roman" w:cs="Times New Roman"/>
          <w:lang w:val="en-US"/>
        </w:rPr>
        <w:tab/>
      </w:r>
      <w:r>
        <w:rPr>
          <w:rFonts w:ascii="Times New Roman" w:hAnsi="Times New Roman" w:cs="Times New Roman"/>
          <w:lang w:val="en-US"/>
        </w:rPr>
        <w:tab/>
      </w:r>
      <w:r w:rsidR="00AC0CE3">
        <w:rPr>
          <w:rFonts w:ascii="Times New Roman" w:hAnsi="Times New Roman" w:cs="Times New Roman"/>
          <w:lang w:val="en-US"/>
        </w:rPr>
        <w:tab/>
        <w:t xml:space="preserve">      [0.</w:t>
      </w:r>
      <w:r w:rsidR="007E00CE">
        <w:rPr>
          <w:rFonts w:ascii="Times New Roman" w:hAnsi="Times New Roman" w:cs="Times New Roman"/>
          <w:lang w:val="en-US"/>
        </w:rPr>
        <w:t>1</w:t>
      </w:r>
      <w:r w:rsidR="002E7553">
        <w:rPr>
          <w:rFonts w:ascii="Times New Roman" w:hAnsi="Times New Roman" w:cs="Times New Roman"/>
          <w:lang w:val="en-US"/>
        </w:rPr>
        <w:t>4</w:t>
      </w:r>
      <w:r w:rsidR="00AC0CE3">
        <w:rPr>
          <w:rFonts w:ascii="Times New Roman" w:hAnsi="Times New Roman" w:cs="Times New Roman"/>
          <w:lang w:val="en-US"/>
        </w:rPr>
        <w:t>]</w:t>
      </w:r>
      <w:r w:rsidR="00AC0CE3">
        <w:rPr>
          <w:rFonts w:ascii="Times New Roman" w:hAnsi="Times New Roman" w:cs="Times New Roman"/>
          <w:lang w:val="en-US"/>
        </w:rPr>
        <w:tab/>
        <w:t>[0.</w:t>
      </w:r>
      <w:r w:rsidR="007E00CE">
        <w:rPr>
          <w:rFonts w:ascii="Times New Roman" w:hAnsi="Times New Roman" w:cs="Times New Roman"/>
          <w:lang w:val="en-US"/>
        </w:rPr>
        <w:t>17</w:t>
      </w:r>
      <w:r w:rsidR="00AC0CE3">
        <w:rPr>
          <w:rFonts w:ascii="Times New Roman" w:hAnsi="Times New Roman" w:cs="Times New Roman"/>
          <w:lang w:val="en-US"/>
        </w:rPr>
        <w:t>]</w:t>
      </w:r>
      <w:r>
        <w:rPr>
          <w:rFonts w:ascii="Times New Roman" w:hAnsi="Times New Roman" w:cs="Times New Roman"/>
          <w:lang w:val="en-US"/>
        </w:rPr>
        <w:tab/>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logConsumption</w:t>
      </w:r>
      <w:proofErr w:type="spellEnd"/>
      <w:r w:rsidRPr="00AD47B5">
        <w:rPr>
          <w:rFonts w:ascii="Times New Roman" w:hAnsi="Times New Roman" w:cs="Times New Roman"/>
          <w:lang w:val="en-US"/>
        </w:rPr>
        <w:t>(</w:t>
      </w:r>
      <w:r w:rsidR="003A6FBD">
        <w:rPr>
          <w:rFonts w:ascii="Times New Roman" w:hAnsi="Times New Roman" w:cs="Times New Roman"/>
          <w:lang w:val="en-US"/>
        </w:rPr>
        <w:t>-</w:t>
      </w:r>
      <w:r w:rsidRPr="00AD47B5">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0.8</w:t>
      </w:r>
      <w:r w:rsidR="008E3BEB">
        <w:rPr>
          <w:rFonts w:ascii="Times New Roman" w:hAnsi="Times New Roman" w:cs="Times New Roman"/>
          <w:lang w:val="en-US"/>
        </w:rPr>
        <w:t>73</w:t>
      </w:r>
      <w:r>
        <w:rPr>
          <w:rFonts w:ascii="Times New Roman" w:hAnsi="Times New Roman" w:cs="Times New Roman"/>
          <w:lang w:val="en-US"/>
        </w:rPr>
        <w:t>***</w:t>
      </w:r>
      <w:r>
        <w:rPr>
          <w:rFonts w:ascii="Times New Roman" w:hAnsi="Times New Roman" w:cs="Times New Roman"/>
          <w:lang w:val="en-US"/>
        </w:rPr>
        <w:tab/>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0.638***</w:t>
      </w:r>
      <w:r>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t>0.612***</w:t>
      </w:r>
    </w:p>
    <w:p w:rsidR="001F12C8" w:rsidRPr="00AD47B5"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sidR="00FD1A87">
        <w:rPr>
          <w:rFonts w:ascii="Times New Roman" w:hAnsi="Times New Roman" w:cs="Times New Roman"/>
          <w:lang w:val="en-US"/>
        </w:rPr>
        <w:tab/>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[0.00]</w:t>
      </w:r>
      <w:r>
        <w:rPr>
          <w:rFonts w:ascii="Times New Roman" w:hAnsi="Times New Roman" w:cs="Times New Roman"/>
          <w:lang w:val="en-US"/>
        </w:rPr>
        <w:tab/>
      </w:r>
      <w:r>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t>[0.00]</w:t>
      </w:r>
      <w:r w:rsidR="00AC0CE3">
        <w:rPr>
          <w:rFonts w:ascii="Times New Roman" w:hAnsi="Times New Roman" w:cs="Times New Roman"/>
          <w:lang w:val="en-US"/>
        </w:rPr>
        <w:tab/>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logIncome</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w:t>
      </w:r>
      <w:r w:rsidR="008E3BEB">
        <w:rPr>
          <w:rFonts w:ascii="Times New Roman" w:hAnsi="Times New Roman" w:cs="Times New Roman"/>
          <w:lang w:val="en-US"/>
        </w:rPr>
        <w:t>47</w:t>
      </w:r>
      <w:r>
        <w:rPr>
          <w:rFonts w:ascii="Times New Roman" w:hAnsi="Times New Roman" w:cs="Times New Roman"/>
          <w:lang w:val="en-US"/>
        </w:rPr>
        <w:t>*</w:t>
      </w:r>
      <w:r w:rsidR="008E3BEB">
        <w:rPr>
          <w:rFonts w:ascii="Times New Roman" w:hAnsi="Times New Roman" w:cs="Times New Roman"/>
          <w:lang w:val="en-US"/>
        </w:rPr>
        <w:t>*</w:t>
      </w:r>
      <w:r>
        <w:rPr>
          <w:rFonts w:ascii="Times New Roman" w:hAnsi="Times New Roman" w:cs="Times New Roman"/>
          <w:lang w:val="en-US"/>
        </w:rPr>
        <w:t>*</w:t>
      </w:r>
      <w:r>
        <w:rPr>
          <w:rFonts w:ascii="Times New Roman" w:hAnsi="Times New Roman" w:cs="Times New Roman"/>
          <w:lang w:val="en-US"/>
        </w:rPr>
        <w:tab/>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0.125***</w:t>
      </w:r>
      <w:r>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t>0.114***</w:t>
      </w:r>
    </w:p>
    <w:p w:rsidR="001F12C8"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8E3BEB">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r w:rsidR="00FD1A87">
        <w:rPr>
          <w:rFonts w:ascii="Times New Roman" w:hAnsi="Times New Roman" w:cs="Times New Roman"/>
          <w:lang w:val="en-US"/>
        </w:rPr>
        <w:tab/>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[0.00]</w:t>
      </w:r>
      <w:r>
        <w:rPr>
          <w:rFonts w:ascii="Times New Roman" w:hAnsi="Times New Roman" w:cs="Times New Roman"/>
          <w:lang w:val="en-US"/>
        </w:rPr>
        <w:tab/>
      </w:r>
      <w:r>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r>
      <w:r w:rsidR="00AC0CE3">
        <w:rPr>
          <w:rFonts w:ascii="Times New Roman" w:hAnsi="Times New Roman" w:cs="Times New Roman"/>
          <w:lang w:val="en-US"/>
        </w:rPr>
        <w:tab/>
        <w:t>[0.00]</w:t>
      </w:r>
      <w:r w:rsidR="00AC0CE3">
        <w:rPr>
          <w:rFonts w:ascii="Times New Roman" w:hAnsi="Times New Roman" w:cs="Times New Roman"/>
          <w:lang w:val="en-US"/>
        </w:rPr>
        <w:tab/>
      </w:r>
    </w:p>
    <w:p w:rsidR="0098736F" w:rsidRPr="0098736F" w:rsidRDefault="0098736F" w:rsidP="00DB525D">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logIncome</w:t>
      </w:r>
      <w:proofErr w:type="spellEnd"/>
      <w:r>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0.085***</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0.045**</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0.039*</w:t>
      </w:r>
    </w:p>
    <w:p w:rsidR="0098736F" w:rsidRDefault="0098736F"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[0.05]</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[0.06]</w:t>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logStock</w:t>
      </w:r>
      <w:proofErr w:type="spellEnd"/>
      <w:r w:rsidRPr="00AD47B5">
        <w:rPr>
          <w:rFonts w:ascii="Times New Roman" w:hAnsi="Times New Roman" w:cs="Times New Roman"/>
          <w:lang w:val="en-US"/>
        </w:rPr>
        <w:t xml:space="preserve"> price</w:t>
      </w:r>
      <w:r w:rsidR="006C3612">
        <w:rPr>
          <w:rFonts w:ascii="Times New Roman" w:hAnsi="Times New Roman" w:cs="Times New Roman"/>
          <w:lang w:val="en-US"/>
        </w:rPr>
        <w: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0.16</w:t>
      </w:r>
      <w:r w:rsidR="008E3BEB">
        <w:rPr>
          <w:rFonts w:ascii="Times New Roman" w:hAnsi="Times New Roman" w:cs="Times New Roman"/>
          <w:lang w:val="en-US"/>
        </w:rPr>
        <w:t>8</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0.135***</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0.129***</w:t>
      </w:r>
    </w:p>
    <w:p w:rsidR="001F12C8"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8E3BEB">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[0.00]</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[0.00]</w:t>
      </w:r>
    </w:p>
    <w:p w:rsidR="00DB525D" w:rsidRDefault="0098736F" w:rsidP="00DB525D">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logStock</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0.081***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0.048**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0.032*</w:t>
      </w:r>
    </w:p>
    <w:p w:rsidR="0098736F" w:rsidRPr="0098736F" w:rsidRDefault="0098736F"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[0.05]</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[0.07]</w:t>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rPr>
        <w:lastRenderedPageBreak/>
        <w:t>Δ</w:t>
      </w:r>
      <w:proofErr w:type="spellStart"/>
      <w:r w:rsidRPr="00AD47B5">
        <w:rPr>
          <w:rFonts w:ascii="Times New Roman" w:hAnsi="Times New Roman" w:cs="Times New Roman"/>
          <w:lang w:val="en-US"/>
        </w:rPr>
        <w:t>logHousing</w:t>
      </w:r>
      <w:proofErr w:type="spellEnd"/>
      <w:r w:rsidRPr="00AD47B5">
        <w:rPr>
          <w:rFonts w:ascii="Times New Roman" w:hAnsi="Times New Roman" w:cs="Times New Roman"/>
          <w:lang w:val="en-US"/>
        </w:rPr>
        <w:t xml:space="preserve"> price</w:t>
      </w:r>
      <w:r w:rsidR="006C3612">
        <w:rPr>
          <w:rFonts w:ascii="Times New Roman" w:hAnsi="Times New Roman" w:cs="Times New Roman"/>
          <w:lang w:val="en-US"/>
        </w:rPr>
        <w: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w:t>
      </w:r>
      <w:r w:rsidR="008E3BEB">
        <w:rPr>
          <w:rFonts w:ascii="Times New Roman" w:hAnsi="Times New Roman" w:cs="Times New Roman"/>
          <w:lang w:val="en-US"/>
        </w:rPr>
        <w:t>35</w:t>
      </w:r>
      <w:r>
        <w:rPr>
          <w:rFonts w:ascii="Times New Roman" w:hAnsi="Times New Roman" w:cs="Times New Roman"/>
          <w:lang w:val="en-US"/>
        </w:rPr>
        <w:t>***</w:t>
      </w:r>
      <w:r>
        <w:rPr>
          <w:rFonts w:ascii="Times New Roman" w:hAnsi="Times New Roman" w:cs="Times New Roman"/>
          <w:lang w:val="en-US"/>
        </w:rPr>
        <w:tab/>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0.214***</w:t>
      </w:r>
      <w:r>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0.208***</w:t>
      </w:r>
    </w:p>
    <w:p w:rsidR="001F12C8"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sidR="00FD1A87">
        <w:rPr>
          <w:rFonts w:ascii="Times New Roman" w:hAnsi="Times New Roman" w:cs="Times New Roman"/>
          <w:lang w:val="en-US"/>
        </w:rPr>
        <w:tab/>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[0.00]</w:t>
      </w:r>
      <w:r>
        <w:rPr>
          <w:rFonts w:ascii="Times New Roman" w:hAnsi="Times New Roman" w:cs="Times New Roman"/>
          <w:lang w:val="en-US"/>
        </w:rPr>
        <w:tab/>
      </w:r>
      <w:r>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[0.00]</w:t>
      </w:r>
      <w:r w:rsidR="00DB525D">
        <w:rPr>
          <w:rFonts w:ascii="Times New Roman" w:hAnsi="Times New Roman" w:cs="Times New Roman"/>
          <w:lang w:val="en-US"/>
        </w:rPr>
        <w:tab/>
      </w:r>
    </w:p>
    <w:p w:rsidR="0098736F" w:rsidRDefault="0098736F" w:rsidP="00DB525D">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0.163***</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0.128***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0.094***</w:t>
      </w:r>
    </w:p>
    <w:p w:rsidR="0098736F" w:rsidRDefault="0098736F"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p>
    <w:p w:rsidR="0098736F" w:rsidRDefault="0098736F" w:rsidP="00DB525D">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0.079***</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0.044**</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0.038**</w:t>
      </w:r>
    </w:p>
    <w:p w:rsidR="0098736F" w:rsidRPr="0098736F" w:rsidRDefault="0098736F"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[0.04]</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[0.05]</w:t>
      </w:r>
    </w:p>
    <w:p w:rsidR="001F12C8"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D2008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C65FD1">
        <w:rPr>
          <w:rFonts w:ascii="Times New Roman" w:hAnsi="Times New Roman" w:cs="Times New Roman"/>
          <w:lang w:val="en-US"/>
        </w:rPr>
        <w:t>-0.142***</w:t>
      </w:r>
      <w:r>
        <w:rPr>
          <w:rFonts w:ascii="Times New Roman" w:hAnsi="Times New Roman" w:cs="Times New Roman"/>
          <w:lang w:val="en-US"/>
        </w:rPr>
        <w:tab/>
        <w:t>-0.1</w:t>
      </w:r>
      <w:r w:rsidR="008E3BEB">
        <w:rPr>
          <w:rFonts w:ascii="Times New Roman" w:hAnsi="Times New Roman" w:cs="Times New Roman"/>
          <w:lang w:val="en-US"/>
        </w:rPr>
        <w:t>29</w:t>
      </w:r>
      <w:r>
        <w:rPr>
          <w:rFonts w:ascii="Times New Roman" w:hAnsi="Times New Roman" w:cs="Times New Roman"/>
          <w:lang w:val="en-US"/>
        </w:rPr>
        <w:t>***</w:t>
      </w:r>
      <w:r>
        <w:rPr>
          <w:rFonts w:ascii="Times New Roman" w:hAnsi="Times New Roman" w:cs="Times New Roman"/>
          <w:lang w:val="en-US"/>
        </w:rPr>
        <w:tab/>
      </w:r>
      <w:r w:rsidR="00AC4DD1">
        <w:rPr>
          <w:rFonts w:ascii="Times New Roman" w:hAnsi="Times New Roman" w:cs="Times New Roman"/>
          <w:lang w:val="en-US"/>
        </w:rPr>
        <w:tab/>
      </w:r>
      <w:r w:rsidR="00C65FD1">
        <w:rPr>
          <w:rFonts w:ascii="Times New Roman" w:hAnsi="Times New Roman" w:cs="Times New Roman"/>
          <w:lang w:val="en-US"/>
        </w:rPr>
        <w:t>-0.138***</w:t>
      </w:r>
      <w:r w:rsidR="00C65FD1">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-0.125***</w:t>
      </w:r>
      <w:r w:rsidR="00FD1A87">
        <w:rPr>
          <w:rFonts w:ascii="Times New Roman" w:hAnsi="Times New Roman" w:cs="Times New Roman"/>
          <w:lang w:val="en-US"/>
        </w:rPr>
        <w:tab/>
      </w:r>
      <w:r w:rsidR="00C65FD1">
        <w:rPr>
          <w:rFonts w:ascii="Times New Roman" w:hAnsi="Times New Roman" w:cs="Times New Roman"/>
          <w:lang w:val="en-US"/>
        </w:rPr>
        <w:t>-0.134***</w:t>
      </w:r>
      <w:r w:rsidR="00DB525D">
        <w:rPr>
          <w:rFonts w:ascii="Times New Roman" w:hAnsi="Times New Roman" w:cs="Times New Roman"/>
          <w:lang w:val="en-US"/>
        </w:rPr>
        <w:tab/>
      </w:r>
      <w:r w:rsidR="00C65FD1">
        <w:rPr>
          <w:rFonts w:ascii="Times New Roman" w:hAnsi="Times New Roman" w:cs="Times New Roman"/>
          <w:lang w:val="en-US"/>
        </w:rPr>
        <w:tab/>
      </w:r>
      <w:r w:rsidR="00DB525D">
        <w:rPr>
          <w:rFonts w:ascii="Times New Roman" w:hAnsi="Times New Roman" w:cs="Times New Roman"/>
          <w:lang w:val="en-US"/>
        </w:rPr>
        <w:t>-0.129***</w:t>
      </w:r>
      <w:r>
        <w:rPr>
          <w:rFonts w:ascii="Times New Roman" w:hAnsi="Times New Roman" w:cs="Times New Roman"/>
          <w:lang w:val="en-US"/>
        </w:rPr>
        <w:tab/>
      </w:r>
    </w:p>
    <w:p w:rsidR="001F12C8"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C65FD1">
        <w:rPr>
          <w:rFonts w:ascii="Times New Roman" w:hAnsi="Times New Roman" w:cs="Times New Roman"/>
          <w:lang w:val="en-US"/>
        </w:rPr>
        <w:t>[0.00]</w:t>
      </w:r>
      <w:r>
        <w:rPr>
          <w:rFonts w:ascii="Times New Roman" w:hAnsi="Times New Roman" w:cs="Times New Roman"/>
          <w:lang w:val="en-US"/>
        </w:rPr>
        <w:tab/>
      </w:r>
      <w:r>
        <w:rPr>
          <w:rFonts w:ascii="Times New Roman" w:hAnsi="Times New Roman" w:cs="Times New Roman"/>
          <w:lang w:val="en-US"/>
        </w:rPr>
        <w:tab/>
        <w:t>[0.0</w:t>
      </w:r>
      <w:r w:rsidR="008E3BEB">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r w:rsidR="00FD1A87">
        <w:rPr>
          <w:rFonts w:ascii="Times New Roman" w:hAnsi="Times New Roman" w:cs="Times New Roman"/>
          <w:lang w:val="en-US"/>
        </w:rPr>
        <w:tab/>
      </w:r>
      <w:r w:rsidR="00AC4DD1">
        <w:rPr>
          <w:rFonts w:ascii="Times New Roman" w:hAnsi="Times New Roman" w:cs="Times New Roman"/>
          <w:lang w:val="en-US"/>
        </w:rPr>
        <w:tab/>
      </w:r>
      <w:r w:rsidR="00C65FD1">
        <w:rPr>
          <w:rFonts w:ascii="Times New Roman" w:hAnsi="Times New Roman" w:cs="Times New Roman"/>
          <w:lang w:val="en-US"/>
        </w:rPr>
        <w:t>[0.00]</w:t>
      </w:r>
      <w:r w:rsidR="00CC165F">
        <w:rPr>
          <w:rFonts w:ascii="Times New Roman" w:hAnsi="Times New Roman" w:cs="Times New Roman"/>
          <w:lang w:val="en-US"/>
        </w:rPr>
        <w:tab/>
      </w:r>
      <w:r w:rsidR="00CC165F">
        <w:rPr>
          <w:rFonts w:ascii="Times New Roman" w:hAnsi="Times New Roman" w:cs="Times New Roman"/>
          <w:lang w:val="en-US"/>
        </w:rPr>
        <w:tab/>
      </w:r>
      <w:r w:rsidR="00C65FD1">
        <w:rPr>
          <w:rFonts w:ascii="Times New Roman" w:hAnsi="Times New Roman" w:cs="Times New Roman"/>
          <w:lang w:val="en-US"/>
        </w:rPr>
        <w:tab/>
      </w:r>
      <w:r w:rsidR="00FD1A87">
        <w:rPr>
          <w:rFonts w:ascii="Times New Roman" w:hAnsi="Times New Roman" w:cs="Times New Roman"/>
          <w:lang w:val="en-US"/>
        </w:rPr>
        <w:t>[0.00]</w:t>
      </w:r>
      <w:r>
        <w:rPr>
          <w:rFonts w:ascii="Times New Roman" w:hAnsi="Times New Roman" w:cs="Times New Roman"/>
          <w:lang w:val="en-US"/>
        </w:rPr>
        <w:tab/>
      </w:r>
      <w:r w:rsidR="00DB525D">
        <w:rPr>
          <w:rFonts w:ascii="Times New Roman" w:hAnsi="Times New Roman" w:cs="Times New Roman"/>
          <w:lang w:val="en-US"/>
        </w:rPr>
        <w:tab/>
      </w:r>
      <w:r w:rsidR="00C65FD1">
        <w:rPr>
          <w:rFonts w:ascii="Times New Roman" w:hAnsi="Times New Roman" w:cs="Times New Roman"/>
          <w:lang w:val="en-US"/>
        </w:rPr>
        <w:t>[0.00]</w:t>
      </w:r>
      <w:r w:rsidR="00DB525D">
        <w:rPr>
          <w:rFonts w:ascii="Times New Roman" w:hAnsi="Times New Roman" w:cs="Times New Roman"/>
          <w:lang w:val="en-US"/>
        </w:rPr>
        <w:tab/>
      </w:r>
      <w:r w:rsidR="00DB525D">
        <w:rPr>
          <w:rFonts w:ascii="Times New Roman" w:hAnsi="Times New Roman" w:cs="Times New Roman"/>
          <w:lang w:val="en-US"/>
        </w:rPr>
        <w:tab/>
      </w:r>
      <w:r w:rsidR="00C65FD1">
        <w:rPr>
          <w:rFonts w:ascii="Times New Roman" w:hAnsi="Times New Roman" w:cs="Times New Roman"/>
          <w:lang w:val="en-US"/>
        </w:rPr>
        <w:tab/>
      </w:r>
      <w:r w:rsidR="00DB525D">
        <w:rPr>
          <w:rFonts w:ascii="Times New Roman" w:hAnsi="Times New Roman" w:cs="Times New Roman"/>
          <w:lang w:val="en-US"/>
        </w:rPr>
        <w:t>[0.00]</w:t>
      </w:r>
      <w:r>
        <w:rPr>
          <w:rFonts w:ascii="Times New Roman" w:hAnsi="Times New Roman" w:cs="Times New Roman"/>
          <w:lang w:val="en-US"/>
        </w:rPr>
        <w:tab/>
      </w:r>
    </w:p>
    <w:p w:rsidR="00112808" w:rsidRPr="00112808" w:rsidRDefault="00112808" w:rsidP="00112808">
      <w:pPr>
        <w:spacing w:line="240" w:lineRule="auto"/>
        <w:jc w:val="both"/>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DS x develop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0.578***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0.241***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0.166**</w:t>
      </w:r>
    </w:p>
    <w:p w:rsidR="00112808" w:rsidRPr="00AD47B5" w:rsidRDefault="00112808" w:rsidP="00112808">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[0.05]</w:t>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Constant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1.3</w:t>
      </w:r>
      <w:r w:rsidR="008E3BEB">
        <w:rPr>
          <w:rFonts w:ascii="Times New Roman" w:hAnsi="Times New Roman" w:cs="Times New Roman"/>
          <w:lang w:val="en-US"/>
        </w:rPr>
        <w:t>16</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t>1.1</w:t>
      </w:r>
      <w:r w:rsidR="008E3BEB">
        <w:rPr>
          <w:rFonts w:ascii="Times New Roman" w:hAnsi="Times New Roman" w:cs="Times New Roman"/>
          <w:lang w:val="en-US"/>
        </w:rPr>
        <w:t>52</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ab/>
      </w:r>
      <w:r w:rsidR="00FD1A87">
        <w:rPr>
          <w:rFonts w:ascii="Times New Roman" w:hAnsi="Times New Roman" w:cs="Times New Roman"/>
          <w:lang w:val="en-US"/>
        </w:rPr>
        <w:t>1.158**</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1.126*</w:t>
      </w:r>
      <w:r w:rsidR="00FD1A87">
        <w:rPr>
          <w:rFonts w:ascii="Times New Roman" w:hAnsi="Times New Roman" w:cs="Times New Roman"/>
          <w:lang w:val="en-US"/>
        </w:rPr>
        <w:tab/>
      </w:r>
      <w:r>
        <w:rPr>
          <w:rFonts w:ascii="Times New Roman" w:hAnsi="Times New Roman" w:cs="Times New Roman"/>
          <w:lang w:val="en-US"/>
        </w:rPr>
        <w:tab/>
      </w:r>
      <w:r w:rsidR="00DB525D">
        <w:rPr>
          <w:rFonts w:ascii="Times New Roman" w:hAnsi="Times New Roman" w:cs="Times New Roman"/>
          <w:lang w:val="en-US"/>
        </w:rPr>
        <w:t>1.194**</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1.142*</w:t>
      </w:r>
    </w:p>
    <w:p w:rsidR="001F12C8" w:rsidRPr="00AD47B5"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[0.0</w:t>
      </w:r>
      <w:r w:rsidR="008E3BEB">
        <w:rPr>
          <w:rFonts w:ascii="Times New Roman" w:hAnsi="Times New Roman" w:cs="Times New Roman"/>
          <w:lang w:val="en-US"/>
        </w:rPr>
        <w:t>4</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t>[0.0</w:t>
      </w:r>
      <w:r w:rsidR="008E3BEB">
        <w:rPr>
          <w:rFonts w:ascii="Times New Roman" w:hAnsi="Times New Roman" w:cs="Times New Roman"/>
          <w:lang w:val="en-US"/>
        </w:rPr>
        <w:t>8</w:t>
      </w:r>
      <w:r>
        <w:rPr>
          <w:rFonts w:ascii="Times New Roman" w:hAnsi="Times New Roman" w:cs="Times New Roman"/>
          <w:lang w:val="en-US"/>
        </w:rPr>
        <w:t>]</w:t>
      </w:r>
      <w:r>
        <w:rPr>
          <w:rFonts w:ascii="Times New Roman" w:hAnsi="Times New Roman" w:cs="Times New Roman"/>
          <w:lang w:val="en-US"/>
        </w:rPr>
        <w:tab/>
      </w:r>
      <w:r w:rsidR="00FD1A87">
        <w:rPr>
          <w:rFonts w:ascii="Times New Roman" w:hAnsi="Times New Roman" w:cs="Times New Roman"/>
          <w:lang w:val="en-US"/>
        </w:rPr>
        <w:tab/>
      </w:r>
      <w:r w:rsidR="00AC4DD1">
        <w:rPr>
          <w:rFonts w:ascii="Times New Roman" w:hAnsi="Times New Roman" w:cs="Times New Roman"/>
          <w:lang w:val="en-US"/>
        </w:rPr>
        <w:tab/>
      </w:r>
      <w:r w:rsidR="00FD1A87">
        <w:rPr>
          <w:rFonts w:ascii="Times New Roman" w:hAnsi="Times New Roman" w:cs="Times New Roman"/>
          <w:lang w:val="en-US"/>
        </w:rPr>
        <w:t>[0.04]</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[0.09]</w:t>
      </w:r>
      <w:r w:rsidR="00FD1A87">
        <w:rPr>
          <w:rFonts w:ascii="Times New Roman" w:hAnsi="Times New Roman" w:cs="Times New Roman"/>
          <w:lang w:val="en-US"/>
        </w:rPr>
        <w:tab/>
      </w:r>
      <w:r>
        <w:rPr>
          <w:rFonts w:ascii="Times New Roman" w:hAnsi="Times New Roman" w:cs="Times New Roman"/>
          <w:lang w:val="en-US"/>
        </w:rPr>
        <w:tab/>
      </w:r>
      <w:r w:rsidR="00DB525D">
        <w:rPr>
          <w:rFonts w:ascii="Times New Roman" w:hAnsi="Times New Roman" w:cs="Times New Roman"/>
          <w:lang w:val="en-US"/>
        </w:rPr>
        <w:t>[0.03]</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[0.07]</w:t>
      </w:r>
      <w:r w:rsidR="00DB525D">
        <w:rPr>
          <w:rFonts w:ascii="Times New Roman" w:hAnsi="Times New Roman" w:cs="Times New Roman"/>
          <w:lang w:val="en-US"/>
        </w:rPr>
        <w:tab/>
      </w:r>
      <w:r>
        <w:rPr>
          <w:rFonts w:ascii="Times New Roman" w:hAnsi="Times New Roman" w:cs="Times New Roman"/>
          <w:lang w:val="en-US"/>
        </w:rPr>
        <w:tab/>
      </w:r>
    </w:p>
    <w:p w:rsidR="001F12C8" w:rsidRPr="00AD47B5"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Observations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2,400</w:t>
      </w:r>
      <w:r>
        <w:rPr>
          <w:rFonts w:ascii="Times New Roman" w:hAnsi="Times New Roman" w:cs="Times New Roman"/>
          <w:lang w:val="en-US"/>
        </w:rPr>
        <w:tab/>
      </w:r>
      <w:r>
        <w:rPr>
          <w:rFonts w:ascii="Times New Roman" w:hAnsi="Times New Roman" w:cs="Times New Roman"/>
          <w:lang w:val="en-US"/>
        </w:rPr>
        <w:tab/>
        <w:t>2,400</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ab/>
      </w:r>
      <w:r w:rsidR="00FD1A87">
        <w:rPr>
          <w:rFonts w:ascii="Times New Roman" w:hAnsi="Times New Roman" w:cs="Times New Roman"/>
          <w:lang w:val="en-US"/>
        </w:rPr>
        <w:t>2,400</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2,400</w:t>
      </w:r>
      <w:r>
        <w:rPr>
          <w:rFonts w:ascii="Times New Roman" w:hAnsi="Times New Roman" w:cs="Times New Roman"/>
          <w:lang w:val="en-US"/>
        </w:rPr>
        <w:tab/>
      </w:r>
      <w:r w:rsidR="00DB525D">
        <w:rPr>
          <w:rFonts w:ascii="Times New Roman" w:hAnsi="Times New Roman" w:cs="Times New Roman"/>
          <w:lang w:val="en-US"/>
        </w:rPr>
        <w:tab/>
        <w:t>2,400</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2,400</w:t>
      </w:r>
      <w:r w:rsidR="00DB525D">
        <w:rPr>
          <w:rFonts w:ascii="Times New Roman" w:hAnsi="Times New Roman" w:cs="Times New Roman"/>
          <w:lang w:val="en-US"/>
        </w:rPr>
        <w:tab/>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Countries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32</w:t>
      </w:r>
      <w:r>
        <w:rPr>
          <w:rFonts w:ascii="Times New Roman" w:hAnsi="Times New Roman" w:cs="Times New Roman"/>
          <w:lang w:val="en-US"/>
        </w:rPr>
        <w:tab/>
      </w:r>
      <w:r>
        <w:rPr>
          <w:rFonts w:ascii="Times New Roman" w:hAnsi="Times New Roman" w:cs="Times New Roman"/>
          <w:lang w:val="en-US"/>
        </w:rPr>
        <w:tab/>
        <w:t>32</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ab/>
      </w:r>
      <w:r w:rsidR="00FD1A87">
        <w:rPr>
          <w:rFonts w:ascii="Times New Roman" w:hAnsi="Times New Roman" w:cs="Times New Roman"/>
          <w:lang w:val="en-US"/>
        </w:rPr>
        <w:t>32</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32</w:t>
      </w:r>
      <w:r w:rsidR="00DB525D">
        <w:rPr>
          <w:rFonts w:ascii="Times New Roman" w:hAnsi="Times New Roman" w:cs="Times New Roman"/>
          <w:lang w:val="en-US"/>
        </w:rPr>
        <w:tab/>
      </w:r>
      <w:r w:rsidR="00DB525D">
        <w:rPr>
          <w:rFonts w:ascii="Times New Roman" w:hAnsi="Times New Roman" w:cs="Times New Roman"/>
          <w:lang w:val="en-US"/>
        </w:rPr>
        <w:tab/>
        <w:t>32</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32</w:t>
      </w:r>
    </w:p>
    <w:p w:rsidR="001F12C8"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R</w:t>
      </w:r>
      <w:r w:rsidRPr="001A6D89">
        <w:rPr>
          <w:rFonts w:ascii="Times New Roman" w:hAnsi="Times New Roman" w:cs="Times New Roman"/>
          <w:vertAlign w:val="superscript"/>
          <w:lang w:val="en-US"/>
        </w:rPr>
        <w:t>2</w:t>
      </w:r>
      <w:r>
        <w:rPr>
          <w:rFonts w:ascii="Times New Roman" w:hAnsi="Times New Roman" w:cs="Times New Roman"/>
          <w:lang w:val="en-US"/>
        </w:rPr>
        <w:t>-adjusted</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w:t>
      </w:r>
      <w:r w:rsidR="008E3BEB">
        <w:rPr>
          <w:rFonts w:ascii="Times New Roman" w:hAnsi="Times New Roman" w:cs="Times New Roman"/>
          <w:lang w:val="en-US"/>
        </w:rPr>
        <w:t>32</w:t>
      </w:r>
      <w:r>
        <w:rPr>
          <w:rFonts w:ascii="Times New Roman" w:hAnsi="Times New Roman" w:cs="Times New Roman"/>
          <w:lang w:val="en-US"/>
        </w:rPr>
        <w:tab/>
      </w:r>
      <w:r>
        <w:rPr>
          <w:rFonts w:ascii="Times New Roman" w:hAnsi="Times New Roman" w:cs="Times New Roman"/>
          <w:lang w:val="en-US"/>
        </w:rPr>
        <w:tab/>
        <w:t>0.</w:t>
      </w:r>
      <w:r w:rsidR="008E3BEB">
        <w:rPr>
          <w:rFonts w:ascii="Times New Roman" w:hAnsi="Times New Roman" w:cs="Times New Roman"/>
          <w:lang w:val="en-US"/>
        </w:rPr>
        <w:t>73</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ab/>
      </w:r>
      <w:r w:rsidR="00FD1A87">
        <w:rPr>
          <w:rFonts w:ascii="Times New Roman" w:hAnsi="Times New Roman" w:cs="Times New Roman"/>
          <w:lang w:val="en-US"/>
        </w:rPr>
        <w:t>0.30</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0.66</w:t>
      </w:r>
      <w:r>
        <w:rPr>
          <w:rFonts w:ascii="Times New Roman" w:hAnsi="Times New Roman" w:cs="Times New Roman"/>
          <w:lang w:val="en-US"/>
        </w:rPr>
        <w:tab/>
      </w:r>
      <w:r w:rsidR="00DB525D">
        <w:rPr>
          <w:rFonts w:ascii="Times New Roman" w:hAnsi="Times New Roman" w:cs="Times New Roman"/>
          <w:lang w:val="en-US"/>
        </w:rPr>
        <w:tab/>
        <w:t>0.28</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0.61</w:t>
      </w:r>
    </w:p>
    <w:p w:rsidR="001F12C8" w:rsidRPr="00AD47B5" w:rsidRDefault="001F12C8" w:rsidP="00DB525D">
      <w:pPr>
        <w:spacing w:line="240" w:lineRule="auto"/>
        <w:jc w:val="both"/>
        <w:rPr>
          <w:rFonts w:ascii="Times New Roman" w:hAnsi="Times New Roman" w:cs="Times New Roman"/>
          <w:lang w:val="en-US"/>
        </w:rPr>
      </w:pPr>
      <w:r>
        <w:rPr>
          <w:rFonts w:ascii="Times New Roman" w:hAnsi="Times New Roman" w:cs="Times New Roman"/>
          <w:lang w:val="en-US"/>
        </w:rPr>
        <w:t>Instruments used</w:t>
      </w:r>
      <w:r>
        <w:rPr>
          <w:rFonts w:ascii="Times New Roman" w:hAnsi="Times New Roman" w:cs="Times New Roman"/>
          <w:lang w:val="en-US"/>
        </w:rPr>
        <w:tab/>
      </w:r>
      <w:r>
        <w:rPr>
          <w:rFonts w:ascii="Times New Roman" w:hAnsi="Times New Roman" w:cs="Times New Roman"/>
          <w:lang w:val="en-US"/>
        </w:rPr>
        <w:tab/>
      </w:r>
      <w:r w:rsidR="00FE0E8D">
        <w:rPr>
          <w:rFonts w:ascii="Times New Roman" w:hAnsi="Times New Roman" w:cs="Times New Roman"/>
          <w:lang w:val="en-US"/>
        </w:rPr>
        <w:t>7</w:t>
      </w:r>
      <w:r>
        <w:rPr>
          <w:rFonts w:ascii="Times New Roman" w:hAnsi="Times New Roman" w:cs="Times New Roman"/>
          <w:lang w:val="en-US"/>
        </w:rPr>
        <w:tab/>
      </w:r>
      <w:r>
        <w:rPr>
          <w:rFonts w:ascii="Times New Roman" w:hAnsi="Times New Roman" w:cs="Times New Roman"/>
          <w:lang w:val="en-US"/>
        </w:rPr>
        <w:tab/>
      </w:r>
      <w:r w:rsidR="008E3BEB">
        <w:rPr>
          <w:rFonts w:ascii="Times New Roman" w:hAnsi="Times New Roman" w:cs="Times New Roman"/>
          <w:lang w:val="en-US"/>
        </w:rPr>
        <w:t>2</w:t>
      </w:r>
      <w:r w:rsidR="00FE0E8D">
        <w:rPr>
          <w:rFonts w:ascii="Times New Roman" w:hAnsi="Times New Roman" w:cs="Times New Roman"/>
          <w:lang w:val="en-US"/>
        </w:rPr>
        <w:t>7</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ab/>
      </w:r>
      <w:r w:rsidR="00FE0E8D">
        <w:rPr>
          <w:rFonts w:ascii="Times New Roman" w:hAnsi="Times New Roman" w:cs="Times New Roman"/>
          <w:lang w:val="en-US"/>
        </w:rPr>
        <w:t>7</w:t>
      </w:r>
      <w:r w:rsidR="00FD1A87">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ab/>
      </w:r>
      <w:r w:rsidR="00AC4DD1">
        <w:rPr>
          <w:rFonts w:ascii="Times New Roman" w:hAnsi="Times New Roman" w:cs="Times New Roman"/>
          <w:lang w:val="en-US"/>
        </w:rPr>
        <w:t>2</w:t>
      </w:r>
      <w:r w:rsidR="00FE0E8D">
        <w:rPr>
          <w:rFonts w:ascii="Times New Roman" w:hAnsi="Times New Roman" w:cs="Times New Roman"/>
          <w:lang w:val="en-US"/>
        </w:rPr>
        <w:t>5</w:t>
      </w:r>
      <w:r w:rsidR="00FD1A87">
        <w:rPr>
          <w:rFonts w:ascii="Times New Roman" w:hAnsi="Times New Roman" w:cs="Times New Roman"/>
          <w:lang w:val="en-US"/>
        </w:rPr>
        <w:tab/>
      </w:r>
      <w:r>
        <w:rPr>
          <w:rFonts w:ascii="Times New Roman" w:hAnsi="Times New Roman" w:cs="Times New Roman"/>
          <w:lang w:val="en-US"/>
        </w:rPr>
        <w:tab/>
      </w:r>
      <w:r w:rsidR="00FE0E8D">
        <w:rPr>
          <w:rFonts w:ascii="Times New Roman" w:hAnsi="Times New Roman" w:cs="Times New Roman"/>
          <w:lang w:val="en-US"/>
        </w:rPr>
        <w:t>7</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r>
      <w:r w:rsidR="00AC4DD1">
        <w:rPr>
          <w:rFonts w:ascii="Times New Roman" w:hAnsi="Times New Roman" w:cs="Times New Roman"/>
          <w:lang w:val="en-US"/>
        </w:rPr>
        <w:t>2</w:t>
      </w:r>
      <w:r w:rsidR="00FE0E8D">
        <w:rPr>
          <w:rFonts w:ascii="Times New Roman" w:hAnsi="Times New Roman" w:cs="Times New Roman"/>
          <w:lang w:val="en-US"/>
        </w:rPr>
        <w:t>3</w:t>
      </w:r>
    </w:p>
    <w:p w:rsidR="001F12C8" w:rsidRPr="00AD47B5"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Hansen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0.9</w:t>
      </w:r>
      <w:r w:rsidR="008E3BEB">
        <w:rPr>
          <w:rFonts w:ascii="Times New Roman" w:hAnsi="Times New Roman" w:cs="Times New Roman"/>
          <w:lang w:val="en-US"/>
        </w:rPr>
        <w:t>9</w:t>
      </w:r>
      <w:r>
        <w:rPr>
          <w:rFonts w:ascii="Times New Roman" w:hAnsi="Times New Roman" w:cs="Times New Roman"/>
          <w:lang w:val="en-US"/>
        </w:rPr>
        <w:tab/>
      </w:r>
      <w:r>
        <w:rPr>
          <w:rFonts w:ascii="Times New Roman" w:hAnsi="Times New Roman" w:cs="Times New Roman"/>
          <w:lang w:val="en-US"/>
        </w:rPr>
        <w:tab/>
        <w:t>0.9</w:t>
      </w:r>
      <w:r w:rsidR="008E3BEB">
        <w:rPr>
          <w:rFonts w:ascii="Times New Roman" w:hAnsi="Times New Roman" w:cs="Times New Roman"/>
          <w:lang w:val="en-US"/>
        </w:rPr>
        <w:t>9</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ab/>
      </w:r>
      <w:r w:rsidR="00FD1A87">
        <w:rPr>
          <w:rFonts w:ascii="Times New Roman" w:hAnsi="Times New Roman" w:cs="Times New Roman"/>
          <w:lang w:val="en-US"/>
        </w:rPr>
        <w:t>0.95</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0.95</w:t>
      </w:r>
      <w:r>
        <w:rPr>
          <w:rFonts w:ascii="Times New Roman" w:hAnsi="Times New Roman" w:cs="Times New Roman"/>
          <w:lang w:val="en-US"/>
        </w:rPr>
        <w:tab/>
      </w:r>
      <w:r w:rsidR="00DB525D">
        <w:rPr>
          <w:rFonts w:ascii="Times New Roman" w:hAnsi="Times New Roman" w:cs="Times New Roman"/>
          <w:lang w:val="en-US"/>
        </w:rPr>
        <w:tab/>
        <w:t>0.95</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0.96</w:t>
      </w:r>
      <w:r w:rsidR="00DB525D">
        <w:rPr>
          <w:rFonts w:ascii="Times New Roman" w:hAnsi="Times New Roman" w:cs="Times New Roman"/>
          <w:lang w:val="en-US"/>
        </w:rPr>
        <w:tab/>
      </w:r>
    </w:p>
    <w:p w:rsidR="001F12C8" w:rsidRPr="00AD47B5"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t>AR1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8E3BEB">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t>0.0</w:t>
      </w:r>
      <w:r w:rsidR="008E3BEB">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ab/>
      </w:r>
      <w:r w:rsidR="00FD1A87">
        <w:rPr>
          <w:rFonts w:ascii="Times New Roman" w:hAnsi="Times New Roman" w:cs="Times New Roman"/>
          <w:lang w:val="en-US"/>
        </w:rPr>
        <w:t>0.03</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0.03</w:t>
      </w:r>
      <w:r>
        <w:rPr>
          <w:rFonts w:ascii="Times New Roman" w:hAnsi="Times New Roman" w:cs="Times New Roman"/>
          <w:lang w:val="en-US"/>
        </w:rPr>
        <w:tab/>
      </w:r>
      <w:r w:rsidR="00DB525D">
        <w:rPr>
          <w:rFonts w:ascii="Times New Roman" w:hAnsi="Times New Roman" w:cs="Times New Roman"/>
          <w:lang w:val="en-US"/>
        </w:rPr>
        <w:tab/>
        <w:t>0.04</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0.04</w:t>
      </w:r>
    </w:p>
    <w:p w:rsidR="001F12C8" w:rsidRDefault="001F12C8" w:rsidP="00DB525D">
      <w:pPr>
        <w:spacing w:line="240" w:lineRule="auto"/>
        <w:jc w:val="both"/>
        <w:rPr>
          <w:rFonts w:ascii="Times New Roman" w:hAnsi="Times New Roman" w:cs="Times New Roman"/>
          <w:lang w:val="en-US"/>
        </w:rPr>
      </w:pPr>
      <w:r w:rsidRPr="00AD47B5">
        <w:rPr>
          <w:rFonts w:ascii="Times New Roman" w:hAnsi="Times New Roman" w:cs="Times New Roman"/>
          <w:lang w:val="en-US"/>
        </w:rPr>
        <w:lastRenderedPageBreak/>
        <w:t>AR2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w:t>
      </w:r>
      <w:r w:rsidR="008E3BEB">
        <w:rPr>
          <w:rFonts w:ascii="Times New Roman" w:hAnsi="Times New Roman" w:cs="Times New Roman"/>
          <w:lang w:val="en-US"/>
        </w:rPr>
        <w:t>53</w:t>
      </w:r>
      <w:r>
        <w:rPr>
          <w:rFonts w:ascii="Times New Roman" w:hAnsi="Times New Roman" w:cs="Times New Roman"/>
          <w:lang w:val="en-US"/>
        </w:rPr>
        <w:tab/>
      </w:r>
      <w:r>
        <w:rPr>
          <w:rFonts w:ascii="Times New Roman" w:hAnsi="Times New Roman" w:cs="Times New Roman"/>
          <w:lang w:val="en-US"/>
        </w:rPr>
        <w:tab/>
        <w:t>0.5</w:t>
      </w:r>
      <w:r w:rsidR="008E3BEB">
        <w:rPr>
          <w:rFonts w:ascii="Times New Roman" w:hAnsi="Times New Roman" w:cs="Times New Roman"/>
          <w:lang w:val="en-US"/>
        </w:rPr>
        <w:t>8</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ab/>
      </w:r>
      <w:r w:rsidR="00FD1A87">
        <w:rPr>
          <w:rFonts w:ascii="Times New Roman" w:hAnsi="Times New Roman" w:cs="Times New Roman"/>
          <w:lang w:val="en-US"/>
        </w:rPr>
        <w:t>0.46</w:t>
      </w:r>
      <w:r w:rsidR="00FD1A87">
        <w:rPr>
          <w:rFonts w:ascii="Times New Roman" w:hAnsi="Times New Roman" w:cs="Times New Roman"/>
          <w:lang w:val="en-US"/>
        </w:rPr>
        <w:tab/>
      </w:r>
      <w:r w:rsidR="00CC165F">
        <w:rPr>
          <w:rFonts w:ascii="Times New Roman" w:hAnsi="Times New Roman" w:cs="Times New Roman"/>
          <w:lang w:val="en-US"/>
        </w:rPr>
        <w:tab/>
      </w:r>
      <w:r w:rsidR="00CC165F">
        <w:rPr>
          <w:rFonts w:ascii="Times New Roman" w:hAnsi="Times New Roman" w:cs="Times New Roman"/>
          <w:lang w:val="en-US"/>
        </w:rPr>
        <w:tab/>
      </w:r>
      <w:r w:rsidR="00FD1A87">
        <w:rPr>
          <w:rFonts w:ascii="Times New Roman" w:hAnsi="Times New Roman" w:cs="Times New Roman"/>
          <w:lang w:val="en-US"/>
        </w:rPr>
        <w:t>0.51</w:t>
      </w:r>
      <w:r>
        <w:rPr>
          <w:rFonts w:ascii="Times New Roman" w:hAnsi="Times New Roman" w:cs="Times New Roman"/>
          <w:lang w:val="en-US"/>
        </w:rPr>
        <w:tab/>
      </w:r>
      <w:r w:rsidR="00DB525D">
        <w:rPr>
          <w:rFonts w:ascii="Times New Roman" w:hAnsi="Times New Roman" w:cs="Times New Roman"/>
          <w:lang w:val="en-US"/>
        </w:rPr>
        <w:tab/>
        <w:t>0.41</w:t>
      </w:r>
      <w:r w:rsidR="00DB525D">
        <w:rPr>
          <w:rFonts w:ascii="Times New Roman" w:hAnsi="Times New Roman" w:cs="Times New Roman"/>
          <w:lang w:val="en-US"/>
        </w:rPr>
        <w:tab/>
      </w:r>
      <w:r w:rsidR="00DB525D">
        <w:rPr>
          <w:rFonts w:ascii="Times New Roman" w:hAnsi="Times New Roman" w:cs="Times New Roman"/>
          <w:lang w:val="en-US"/>
        </w:rPr>
        <w:tab/>
      </w:r>
      <w:r w:rsidR="00DB525D">
        <w:rPr>
          <w:rFonts w:ascii="Times New Roman" w:hAnsi="Times New Roman" w:cs="Times New Roman"/>
          <w:lang w:val="en-US"/>
        </w:rPr>
        <w:tab/>
        <w:t>0.45</w:t>
      </w:r>
    </w:p>
    <w:p w:rsidR="001F12C8" w:rsidRPr="00D51CAE" w:rsidRDefault="001F12C8" w:rsidP="00DB525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w:t>
      </w:r>
    </w:p>
    <w:p w:rsidR="002D41AB" w:rsidRDefault="001F12C8" w:rsidP="00081F99">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0"/>
          <w:szCs w:val="20"/>
          <w:lang w:val="en-US"/>
        </w:rPr>
        <w:t xml:space="preserve">Similar to those in Table </w:t>
      </w:r>
      <w:r w:rsidR="00D03BAA">
        <w:rPr>
          <w:rFonts w:ascii="Times New Roman" w:hAnsi="Times New Roman" w:cs="Times New Roman"/>
          <w:sz w:val="20"/>
          <w:szCs w:val="20"/>
          <w:lang w:val="en-US"/>
        </w:rPr>
        <w:t>2</w:t>
      </w:r>
      <w:r w:rsidRPr="00605848">
        <w:rPr>
          <w:rFonts w:ascii="Times New Roman" w:hAnsi="Times New Roman" w:cs="Times New Roman"/>
          <w:sz w:val="20"/>
          <w:szCs w:val="20"/>
          <w:lang w:val="en-US"/>
        </w:rPr>
        <w:t>.</w:t>
      </w:r>
      <w:proofErr w:type="gramEnd"/>
    </w:p>
    <w:p w:rsidR="002D41AB" w:rsidRDefault="002D41AB" w:rsidP="00E24DA5">
      <w:pPr>
        <w:spacing w:line="480" w:lineRule="auto"/>
        <w:jc w:val="both"/>
        <w:rPr>
          <w:rFonts w:ascii="Times New Roman" w:hAnsi="Times New Roman" w:cs="Times New Roman"/>
          <w:sz w:val="24"/>
          <w:szCs w:val="24"/>
          <w:lang w:val="en-US"/>
        </w:rPr>
        <w:sectPr w:rsidR="002D41AB" w:rsidSect="00D51CAE">
          <w:pgSz w:w="16838" w:h="11906" w:orient="landscape"/>
          <w:pgMar w:top="1797" w:right="1440" w:bottom="1797" w:left="1440" w:header="709" w:footer="709" w:gutter="0"/>
          <w:cols w:space="708"/>
          <w:docGrid w:linePitch="360"/>
        </w:sectPr>
      </w:pPr>
    </w:p>
    <w:p w:rsidR="00FD5530" w:rsidRDefault="00FD5530" w:rsidP="00FD5530">
      <w:pPr>
        <w:spacing w:line="240" w:lineRule="auto"/>
        <w:jc w:val="center"/>
        <w:rPr>
          <w:rFonts w:ascii="Times New Roman" w:hAnsi="Times New Roman" w:cs="Times New Roman"/>
          <w:sz w:val="24"/>
          <w:szCs w:val="24"/>
          <w:lang w:val="en-US"/>
        </w:rPr>
      </w:pPr>
      <w:r w:rsidRPr="00DD6420">
        <w:rPr>
          <w:rFonts w:ascii="Times New Roman" w:hAnsi="Times New Roman" w:cs="Times New Roman"/>
          <w:sz w:val="24"/>
          <w:szCs w:val="24"/>
          <w:lang w:val="en-US"/>
        </w:rPr>
        <w:lastRenderedPageBreak/>
        <w:t>T</w:t>
      </w:r>
      <w:r>
        <w:rPr>
          <w:rFonts w:ascii="Times New Roman" w:hAnsi="Times New Roman" w:cs="Times New Roman"/>
          <w:sz w:val="24"/>
          <w:szCs w:val="24"/>
          <w:lang w:val="en-US"/>
        </w:rPr>
        <w:t>ABLE</w:t>
      </w:r>
      <w:r w:rsidRPr="00DD6420">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p>
    <w:p w:rsidR="00FD5530" w:rsidRPr="00F15AC3" w:rsidRDefault="00FD5530" w:rsidP="00FD5530">
      <w:pPr>
        <w:spacing w:line="240" w:lineRule="auto"/>
        <w:jc w:val="center"/>
        <w:rPr>
          <w:rFonts w:ascii="Times New Roman" w:hAnsi="Times New Roman" w:cs="Times New Roman"/>
          <w:sz w:val="24"/>
          <w:szCs w:val="24"/>
          <w:lang w:val="en-US"/>
        </w:rPr>
      </w:pPr>
      <w:r w:rsidRPr="00F15AC3">
        <w:rPr>
          <w:rFonts w:ascii="Times New Roman" w:hAnsi="Times New Roman" w:cs="Times New Roman"/>
          <w:sz w:val="24"/>
          <w:szCs w:val="24"/>
          <w:lang w:val="en-US"/>
        </w:rPr>
        <w:t>D</w:t>
      </w:r>
      <w:r>
        <w:rPr>
          <w:rFonts w:ascii="Times New Roman" w:hAnsi="Times New Roman" w:cs="Times New Roman"/>
          <w:sz w:val="24"/>
          <w:szCs w:val="24"/>
          <w:lang w:val="en-US"/>
        </w:rPr>
        <w:t>YNAMIC</w:t>
      </w:r>
      <w:r w:rsidRPr="00F15AC3">
        <w:rPr>
          <w:rFonts w:ascii="Times New Roman" w:hAnsi="Times New Roman" w:cs="Times New Roman"/>
          <w:sz w:val="24"/>
          <w:szCs w:val="24"/>
          <w:lang w:val="en-US"/>
        </w:rPr>
        <w:t xml:space="preserve"> </w:t>
      </w:r>
      <w:r>
        <w:rPr>
          <w:rFonts w:ascii="Times New Roman" w:hAnsi="Times New Roman" w:cs="Times New Roman"/>
          <w:sz w:val="24"/>
          <w:szCs w:val="24"/>
          <w:lang w:val="en-US"/>
        </w:rPr>
        <w:t>PANEL</w:t>
      </w:r>
      <w:r w:rsidRPr="00F15AC3">
        <w:rPr>
          <w:rFonts w:ascii="Times New Roman" w:hAnsi="Times New Roman" w:cs="Times New Roman"/>
          <w:sz w:val="24"/>
          <w:szCs w:val="24"/>
          <w:lang w:val="en-US"/>
        </w:rPr>
        <w:t xml:space="preserve"> GMM (</w:t>
      </w:r>
      <w:r>
        <w:rPr>
          <w:rFonts w:ascii="Times New Roman" w:hAnsi="Times New Roman" w:cs="Times New Roman"/>
          <w:sz w:val="24"/>
          <w:szCs w:val="24"/>
          <w:lang w:val="en-US"/>
        </w:rPr>
        <w:t>BASELINE</w:t>
      </w:r>
      <w:r w:rsidRPr="00F15AC3">
        <w:rPr>
          <w:rFonts w:ascii="Times New Roman" w:hAnsi="Times New Roman" w:cs="Times New Roman"/>
          <w:sz w:val="24"/>
          <w:szCs w:val="24"/>
          <w:lang w:val="en-US"/>
        </w:rPr>
        <w:t xml:space="preserve">) </w:t>
      </w:r>
      <w:r>
        <w:rPr>
          <w:rFonts w:ascii="Times New Roman" w:hAnsi="Times New Roman" w:cs="Times New Roman"/>
          <w:sz w:val="24"/>
          <w:szCs w:val="24"/>
          <w:lang w:val="en-US"/>
        </w:rPr>
        <w:t>RESULTS: THE ROLE OF THE YEAR 2001</w:t>
      </w:r>
    </w:p>
    <w:p w:rsidR="00FD5530" w:rsidRDefault="00FD5530" w:rsidP="00FD553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FD5530" w:rsidRPr="00AD47B5"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t xml:space="preserve"> </w:t>
      </w:r>
      <w:r>
        <w:rPr>
          <w:rFonts w:ascii="Times New Roman" w:hAnsi="Times New Roman" w:cs="Times New Roman"/>
          <w:lang w:val="en-US"/>
        </w:rPr>
        <w:t xml:space="preserve">  </w:t>
      </w:r>
      <w:r w:rsidRPr="00AD47B5">
        <w:rPr>
          <w:rFonts w:ascii="Times New Roman" w:hAnsi="Times New Roman" w:cs="Times New Roman"/>
          <w:lang w:val="en-US"/>
        </w:rPr>
        <w:t>Model (1)</w:t>
      </w:r>
      <w:r w:rsidRPr="00AD47B5">
        <w:rPr>
          <w:rFonts w:ascii="Times New Roman" w:hAnsi="Times New Roman" w:cs="Times New Roman"/>
          <w:lang w:val="en-US"/>
        </w:rPr>
        <w:tab/>
        <w:t xml:space="preserve">  </w:t>
      </w:r>
      <w:r>
        <w:rPr>
          <w:rFonts w:ascii="Times New Roman" w:hAnsi="Times New Roman" w:cs="Times New Roman"/>
          <w:lang w:val="en-US"/>
        </w:rPr>
        <w:t xml:space="preserve"> </w:t>
      </w:r>
      <w:r w:rsidRPr="00AD47B5">
        <w:rPr>
          <w:rFonts w:ascii="Times New Roman" w:hAnsi="Times New Roman" w:cs="Times New Roman"/>
          <w:lang w:val="en-US"/>
        </w:rPr>
        <w:t>Model (2)</w:t>
      </w:r>
      <w:r w:rsidRPr="00AD47B5">
        <w:rPr>
          <w:rFonts w:ascii="Times New Roman" w:hAnsi="Times New Roman" w:cs="Times New Roman"/>
          <w:lang w:val="en-US"/>
        </w:rPr>
        <w:tab/>
        <w:t xml:space="preserve">      </w:t>
      </w:r>
      <w:r>
        <w:rPr>
          <w:rFonts w:ascii="Times New Roman" w:hAnsi="Times New Roman" w:cs="Times New Roman"/>
          <w:lang w:val="en-US"/>
        </w:rPr>
        <w:t>___________________________________________________________________________</w:t>
      </w:r>
    </w:p>
    <w:p w:rsidR="00FD5530"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Pr>
          <w:rFonts w:ascii="Times New Roman" w:hAnsi="Times New Roman" w:cs="Times New Roman"/>
          <w:lang w:val="en-US"/>
        </w:rPr>
        <w:t>logDebt</w:t>
      </w:r>
      <w:proofErr w:type="spellEnd"/>
      <w:r>
        <w:rPr>
          <w:rFonts w:ascii="Times New Roman" w:hAnsi="Times New Roman" w:cs="Times New Roman"/>
          <w:lang w:val="en-US"/>
        </w:rPr>
        <w:t>-</w:t>
      </w:r>
      <w:r w:rsidRPr="00AD47B5">
        <w:rPr>
          <w:rFonts w:ascii="Times New Roman" w:hAnsi="Times New Roman" w:cs="Times New Roman"/>
          <w:lang w:val="en-US"/>
        </w:rPr>
        <w:t>Serv</w:t>
      </w:r>
      <w:r>
        <w:rPr>
          <w:rFonts w:ascii="Times New Roman" w:hAnsi="Times New Roman" w:cs="Times New Roman"/>
          <w:lang w:val="en-US"/>
        </w:rPr>
        <w:t>ice</w:t>
      </w:r>
      <w:r w:rsidRPr="00AD47B5">
        <w:rPr>
          <w:rFonts w:ascii="Times New Roman" w:hAnsi="Times New Roman" w:cs="Times New Roman"/>
          <w:lang w:val="en-US"/>
        </w:rPr>
        <w:t xml:space="preserve"> </w:t>
      </w:r>
      <w:r>
        <w:rPr>
          <w:rFonts w:ascii="Times New Roman" w:hAnsi="Times New Roman" w:cs="Times New Roman"/>
          <w:lang w:val="en-US"/>
        </w:rPr>
        <w:t>r</w:t>
      </w:r>
      <w:r w:rsidRPr="00AD47B5">
        <w:rPr>
          <w:rFonts w:ascii="Times New Roman" w:hAnsi="Times New Roman" w:cs="Times New Roman"/>
          <w:lang w:val="en-US"/>
        </w:rPr>
        <w:t>atio</w:t>
      </w:r>
      <w:r>
        <w:rPr>
          <w:rFonts w:ascii="Times New Roman" w:hAnsi="Times New Roman" w:cs="Times New Roman"/>
          <w:lang w:val="en-US"/>
        </w:rPr>
        <w:tab/>
      </w:r>
      <w:r>
        <w:rPr>
          <w:rFonts w:ascii="Times New Roman" w:hAnsi="Times New Roman" w:cs="Times New Roman"/>
          <w:lang w:val="en-US"/>
        </w:rPr>
        <w:tab/>
        <w:t xml:space="preserve">     0.5</w:t>
      </w:r>
      <w:r w:rsidR="00F1578B">
        <w:rPr>
          <w:rFonts w:ascii="Times New Roman" w:hAnsi="Times New Roman" w:cs="Times New Roman"/>
          <w:lang w:val="en-US"/>
        </w:rPr>
        <w:t>09</w:t>
      </w:r>
      <w:r>
        <w:rPr>
          <w:rFonts w:ascii="Times New Roman" w:hAnsi="Times New Roman" w:cs="Times New Roman"/>
          <w:lang w:val="en-US"/>
        </w:rPr>
        <w:t>***</w:t>
      </w:r>
      <w:r>
        <w:rPr>
          <w:rFonts w:ascii="Times New Roman" w:hAnsi="Times New Roman" w:cs="Times New Roman"/>
          <w:lang w:val="en-US"/>
        </w:rPr>
        <w:tab/>
        <w:t>0.4</w:t>
      </w:r>
      <w:r w:rsidR="00F1578B">
        <w:rPr>
          <w:rFonts w:ascii="Times New Roman" w:hAnsi="Times New Roman" w:cs="Times New Roman"/>
          <w:lang w:val="en-US"/>
        </w:rPr>
        <w:t>58</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[0.00]</w:t>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logConsumption</w:t>
      </w:r>
      <w:proofErr w:type="spellEnd"/>
      <w:r w:rsidRPr="00AD47B5">
        <w:rPr>
          <w:rFonts w:ascii="Times New Roman" w:hAnsi="Times New Roman" w:cs="Times New Roman"/>
          <w:lang w:val="en-US"/>
        </w:rPr>
        <w:t>(</w:t>
      </w:r>
      <w:r>
        <w:rPr>
          <w:rFonts w:ascii="Times New Roman" w:hAnsi="Times New Roman" w:cs="Times New Roman"/>
          <w:lang w:val="en-US"/>
        </w:rPr>
        <w:t>-</w:t>
      </w:r>
      <w:r w:rsidRPr="00AD47B5">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0.8</w:t>
      </w:r>
      <w:r w:rsidR="00F1578B">
        <w:rPr>
          <w:rFonts w:ascii="Times New Roman" w:hAnsi="Times New Roman" w:cs="Times New Roman"/>
          <w:lang w:val="en-US"/>
        </w:rPr>
        <w:t>16</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FD5530" w:rsidRPr="00AD47B5"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logIncome</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0.12</w:t>
      </w:r>
      <w:r w:rsidR="00F1578B">
        <w:rPr>
          <w:rFonts w:ascii="Times New Roman" w:hAnsi="Times New Roman" w:cs="Times New Roman"/>
          <w:lang w:val="en-US"/>
        </w:rPr>
        <w:t>2</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[0.03]</w:t>
      </w:r>
      <w:r>
        <w:rPr>
          <w:rFonts w:ascii="Times New Roman" w:hAnsi="Times New Roman" w:cs="Times New Roman"/>
          <w:lang w:val="en-US"/>
        </w:rPr>
        <w:tab/>
      </w:r>
    </w:p>
    <w:p w:rsidR="00FD5530" w:rsidRPr="0098736F" w:rsidRDefault="00FD5530" w:rsidP="00FD5530">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logIncome</w:t>
      </w:r>
      <w:proofErr w:type="spellEnd"/>
      <w:r>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0.04</w:t>
      </w:r>
      <w:r w:rsidR="00F1578B">
        <w:rPr>
          <w:rFonts w:ascii="Times New Roman" w:hAnsi="Times New Roman" w:cs="Times New Roman"/>
          <w:lang w:val="en-US"/>
        </w:rPr>
        <w:t>3</w:t>
      </w:r>
      <w:r>
        <w:rPr>
          <w:rFonts w:ascii="Times New Roman" w:hAnsi="Times New Roman" w:cs="Times New Roman"/>
          <w:lang w:val="en-US"/>
        </w:rPr>
        <w:t>**</w:t>
      </w:r>
    </w:p>
    <w:p w:rsidR="00FD5530" w:rsidRPr="00AD47B5"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[0.05]</w:t>
      </w:r>
    </w:p>
    <w:p w:rsidR="00FD5530"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logStock</w:t>
      </w:r>
      <w:proofErr w:type="spellEnd"/>
      <w:r w:rsidRPr="00AD47B5">
        <w:rPr>
          <w:rFonts w:ascii="Times New Roman" w:hAnsi="Times New Roman" w:cs="Times New Roman"/>
          <w:lang w:val="en-US"/>
        </w:rPr>
        <w:t xml:space="preserve"> price</w:t>
      </w:r>
      <w:r>
        <w:rPr>
          <w:rFonts w:ascii="Times New Roman" w:hAnsi="Times New Roman" w:cs="Times New Roman"/>
          <w:lang w:val="en-US"/>
        </w:rPr>
        <w: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w:t>
      </w:r>
      <w:r w:rsidR="00F1578B">
        <w:rPr>
          <w:rFonts w:ascii="Times New Roman" w:hAnsi="Times New Roman" w:cs="Times New Roman"/>
          <w:lang w:val="en-US"/>
        </w:rPr>
        <w:t>51</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FD5530" w:rsidRPr="00AD47B5"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logStock</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F1578B">
        <w:rPr>
          <w:rFonts w:ascii="Times New Roman" w:hAnsi="Times New Roman" w:cs="Times New Roman"/>
          <w:lang w:val="en-US"/>
        </w:rPr>
        <w:t>58</w:t>
      </w:r>
      <w:r>
        <w:rPr>
          <w:rFonts w:ascii="Times New Roman" w:hAnsi="Times New Roman" w:cs="Times New Roman"/>
          <w:lang w:val="en-US"/>
        </w:rPr>
        <w:t>**</w:t>
      </w:r>
    </w:p>
    <w:p w:rsidR="00FD5530" w:rsidRPr="0098736F"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F1578B">
        <w:rPr>
          <w:rFonts w:ascii="Times New Roman" w:hAnsi="Times New Roman" w:cs="Times New Roman"/>
          <w:lang w:val="en-US"/>
        </w:rPr>
        <w:t>3</w:t>
      </w:r>
      <w:r>
        <w:rPr>
          <w:rFonts w:ascii="Times New Roman" w:hAnsi="Times New Roman" w:cs="Times New Roman"/>
          <w:lang w:val="en-US"/>
        </w:rPr>
        <w:t>]</w:t>
      </w:r>
    </w:p>
    <w:p w:rsidR="00FD5530"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logHousing</w:t>
      </w:r>
      <w:proofErr w:type="spellEnd"/>
      <w:r w:rsidRPr="00AD47B5">
        <w:rPr>
          <w:rFonts w:ascii="Times New Roman" w:hAnsi="Times New Roman" w:cs="Times New Roman"/>
          <w:lang w:val="en-US"/>
        </w:rPr>
        <w:t xml:space="preserve"> price</w:t>
      </w:r>
      <w:r>
        <w:rPr>
          <w:rFonts w:ascii="Times New Roman" w:hAnsi="Times New Roman" w:cs="Times New Roman"/>
          <w:lang w:val="en-US"/>
        </w:rPr>
        <w: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w:t>
      </w:r>
      <w:r w:rsidR="00F1578B">
        <w:rPr>
          <w:rFonts w:ascii="Times New Roman" w:hAnsi="Times New Roman" w:cs="Times New Roman"/>
          <w:lang w:val="en-US"/>
        </w:rPr>
        <w:t>29</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w:t>
      </w:r>
      <w:r w:rsidR="00F1578B">
        <w:rPr>
          <w:rFonts w:ascii="Times New Roman" w:hAnsi="Times New Roman" w:cs="Times New Roman"/>
          <w:lang w:val="en-US"/>
        </w:rPr>
        <w:t>35</w:t>
      </w:r>
      <w:r>
        <w:rPr>
          <w:rFonts w:ascii="Times New Roman" w:hAnsi="Times New Roman" w:cs="Times New Roman"/>
          <w:lang w:val="en-US"/>
        </w:rPr>
        <w:t>***</w:t>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0.05</w:t>
      </w:r>
      <w:r w:rsidR="00F1578B">
        <w:rPr>
          <w:rFonts w:ascii="Times New Roman" w:hAnsi="Times New Roman" w:cs="Times New Roman"/>
          <w:lang w:val="en-US"/>
        </w:rPr>
        <w:t>3</w:t>
      </w:r>
      <w:r>
        <w:rPr>
          <w:rFonts w:ascii="Times New Roman" w:hAnsi="Times New Roman" w:cs="Times New Roman"/>
          <w:lang w:val="en-US"/>
        </w:rPr>
        <w:t>**</w:t>
      </w:r>
    </w:p>
    <w:p w:rsidR="00FD5530" w:rsidRPr="0098736F"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F1578B">
        <w:rPr>
          <w:rFonts w:ascii="Times New Roman" w:hAnsi="Times New Roman" w:cs="Times New Roman"/>
          <w:lang w:val="en-US"/>
        </w:rPr>
        <w:t>4</w:t>
      </w:r>
      <w:r>
        <w:rPr>
          <w:rFonts w:ascii="Times New Roman" w:hAnsi="Times New Roman" w:cs="Times New Roman"/>
          <w:lang w:val="en-US"/>
        </w:rPr>
        <w:t>]</w:t>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D2001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C7636">
        <w:rPr>
          <w:rFonts w:ascii="Times New Roman" w:hAnsi="Times New Roman" w:cs="Times New Roman"/>
          <w:lang w:val="en-US"/>
        </w:rPr>
        <w:t>0.194***</w:t>
      </w:r>
      <w:r w:rsidR="00F1578B">
        <w:rPr>
          <w:rFonts w:ascii="Times New Roman" w:hAnsi="Times New Roman" w:cs="Times New Roman"/>
          <w:lang w:val="en-US"/>
        </w:rPr>
        <w:tab/>
      </w:r>
      <w:r>
        <w:rPr>
          <w:rFonts w:ascii="Times New Roman" w:hAnsi="Times New Roman" w:cs="Times New Roman"/>
          <w:lang w:val="en-US"/>
        </w:rPr>
        <w:t>0.1</w:t>
      </w:r>
      <w:r w:rsidR="00F1578B">
        <w:rPr>
          <w:rFonts w:ascii="Times New Roman" w:hAnsi="Times New Roman" w:cs="Times New Roman"/>
          <w:lang w:val="en-US"/>
        </w:rPr>
        <w:t>79</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C7636">
        <w:rPr>
          <w:rFonts w:ascii="Times New Roman" w:hAnsi="Times New Roman" w:cs="Times New Roman"/>
          <w:lang w:val="en-US"/>
        </w:rPr>
        <w:t>[0.00]</w:t>
      </w:r>
      <w:r>
        <w:rPr>
          <w:rFonts w:ascii="Times New Roman" w:hAnsi="Times New Roman" w:cs="Times New Roman"/>
          <w:lang w:val="en-US"/>
        </w:rPr>
        <w:tab/>
      </w:r>
      <w:r>
        <w:rPr>
          <w:rFonts w:ascii="Times New Roman" w:hAnsi="Times New Roman" w:cs="Times New Roman"/>
          <w:lang w:val="en-US"/>
        </w:rPr>
        <w:tab/>
        <w:t>[0.0</w:t>
      </w:r>
      <w:r w:rsidR="00F1578B">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FD5530" w:rsidRPr="00112808" w:rsidRDefault="00FD5530" w:rsidP="00FD5530">
      <w:pPr>
        <w:spacing w:line="240" w:lineRule="auto"/>
        <w:jc w:val="both"/>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DS x develop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0.4</w:t>
      </w:r>
      <w:r w:rsidR="00F1578B">
        <w:rPr>
          <w:rFonts w:ascii="Times New Roman" w:hAnsi="Times New Roman" w:cs="Times New Roman"/>
          <w:lang w:val="en-US"/>
        </w:rPr>
        <w:t>37</w:t>
      </w:r>
      <w:r>
        <w:rPr>
          <w:rFonts w:ascii="Times New Roman" w:hAnsi="Times New Roman" w:cs="Times New Roman"/>
          <w:lang w:val="en-US"/>
        </w:rPr>
        <w:t>***</w:t>
      </w:r>
    </w:p>
    <w:p w:rsidR="00FD5530" w:rsidRPr="00AD47B5"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p>
    <w:p w:rsidR="00FD5530"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lang w:val="en-US"/>
        </w:rPr>
        <w:t>Constant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1.3</w:t>
      </w:r>
      <w:r w:rsidR="00C65FD1">
        <w:rPr>
          <w:rFonts w:ascii="Times New Roman" w:hAnsi="Times New Roman" w:cs="Times New Roman"/>
          <w:lang w:val="en-US"/>
        </w:rPr>
        <w:t>47</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t>1.1</w:t>
      </w:r>
      <w:r w:rsidR="00C65FD1">
        <w:rPr>
          <w:rFonts w:ascii="Times New Roman" w:hAnsi="Times New Roman" w:cs="Times New Roman"/>
          <w:lang w:val="en-US"/>
        </w:rPr>
        <w:t>16</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Pr="00AD47B5"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[0.0</w:t>
      </w:r>
      <w:r w:rsidR="00C65FD1">
        <w:rPr>
          <w:rFonts w:ascii="Times New Roman" w:hAnsi="Times New Roman" w:cs="Times New Roman"/>
          <w:lang w:val="en-US"/>
        </w:rPr>
        <w:t>5</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t>[0.0</w:t>
      </w:r>
      <w:r w:rsidR="00C65FD1">
        <w:rPr>
          <w:rFonts w:ascii="Times New Roman" w:hAnsi="Times New Roman" w:cs="Times New Roman"/>
          <w:lang w:val="en-US"/>
        </w:rPr>
        <w:t>9</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Pr="00AD47B5"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lang w:val="en-US"/>
        </w:rPr>
        <w:t>Observations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2,400</w:t>
      </w:r>
      <w:r>
        <w:rPr>
          <w:rFonts w:ascii="Times New Roman" w:hAnsi="Times New Roman" w:cs="Times New Roman"/>
          <w:lang w:val="en-US"/>
        </w:rPr>
        <w:tab/>
      </w:r>
      <w:r>
        <w:rPr>
          <w:rFonts w:ascii="Times New Roman" w:hAnsi="Times New Roman" w:cs="Times New Roman"/>
          <w:lang w:val="en-US"/>
        </w:rPr>
        <w:tab/>
        <w:t>2,400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lang w:val="en-US"/>
        </w:rPr>
        <w:lastRenderedPageBreak/>
        <w:t>Countries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32</w:t>
      </w:r>
      <w:r>
        <w:rPr>
          <w:rFonts w:ascii="Times New Roman" w:hAnsi="Times New Roman" w:cs="Times New Roman"/>
          <w:lang w:val="en-US"/>
        </w:rPr>
        <w:tab/>
      </w:r>
      <w:r>
        <w:rPr>
          <w:rFonts w:ascii="Times New Roman" w:hAnsi="Times New Roman" w:cs="Times New Roman"/>
          <w:lang w:val="en-US"/>
        </w:rPr>
        <w:tab/>
        <w:t>32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R</w:t>
      </w:r>
      <w:r w:rsidRPr="001A6D89">
        <w:rPr>
          <w:rFonts w:ascii="Times New Roman" w:hAnsi="Times New Roman" w:cs="Times New Roman"/>
          <w:vertAlign w:val="superscript"/>
          <w:lang w:val="en-US"/>
        </w:rPr>
        <w:t>2</w:t>
      </w:r>
      <w:r>
        <w:rPr>
          <w:rFonts w:ascii="Times New Roman" w:hAnsi="Times New Roman" w:cs="Times New Roman"/>
          <w:lang w:val="en-US"/>
        </w:rPr>
        <w:t>-adjusted</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w:t>
      </w:r>
      <w:r w:rsidR="00C65FD1">
        <w:rPr>
          <w:rFonts w:ascii="Times New Roman" w:hAnsi="Times New Roman" w:cs="Times New Roman"/>
          <w:lang w:val="en-US"/>
        </w:rPr>
        <w:t>3</w:t>
      </w:r>
      <w:r>
        <w:rPr>
          <w:rFonts w:ascii="Times New Roman" w:hAnsi="Times New Roman" w:cs="Times New Roman"/>
          <w:lang w:val="en-US"/>
        </w:rPr>
        <w:tab/>
      </w:r>
      <w:r>
        <w:rPr>
          <w:rFonts w:ascii="Times New Roman" w:hAnsi="Times New Roman" w:cs="Times New Roman"/>
          <w:lang w:val="en-US"/>
        </w:rPr>
        <w:tab/>
        <w:t>0.6</w:t>
      </w:r>
      <w:r w:rsidR="00C65FD1">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Pr="00AD47B5" w:rsidRDefault="00FD5530" w:rsidP="00FD5530">
      <w:pPr>
        <w:spacing w:line="240" w:lineRule="auto"/>
        <w:jc w:val="both"/>
        <w:rPr>
          <w:rFonts w:ascii="Times New Roman" w:hAnsi="Times New Roman" w:cs="Times New Roman"/>
          <w:lang w:val="en-US"/>
        </w:rPr>
      </w:pPr>
      <w:r>
        <w:rPr>
          <w:rFonts w:ascii="Times New Roman" w:hAnsi="Times New Roman" w:cs="Times New Roman"/>
          <w:lang w:val="en-US"/>
        </w:rPr>
        <w:t>Instruments used</w:t>
      </w:r>
      <w:r>
        <w:rPr>
          <w:rFonts w:ascii="Times New Roman" w:hAnsi="Times New Roman" w:cs="Times New Roman"/>
          <w:lang w:val="en-US"/>
        </w:rPr>
        <w:tab/>
      </w:r>
      <w:r>
        <w:rPr>
          <w:rFonts w:ascii="Times New Roman" w:hAnsi="Times New Roman" w:cs="Times New Roman"/>
          <w:lang w:val="en-US"/>
        </w:rPr>
        <w:tab/>
      </w:r>
      <w:r w:rsidR="00FE0E8D">
        <w:rPr>
          <w:rFonts w:ascii="Times New Roman" w:hAnsi="Times New Roman" w:cs="Times New Roman"/>
          <w:lang w:val="en-US"/>
        </w:rPr>
        <w:t>7</w:t>
      </w:r>
      <w:r>
        <w:rPr>
          <w:rFonts w:ascii="Times New Roman" w:hAnsi="Times New Roman" w:cs="Times New Roman"/>
          <w:lang w:val="en-US"/>
        </w:rPr>
        <w:tab/>
      </w:r>
      <w:r>
        <w:rPr>
          <w:rFonts w:ascii="Times New Roman" w:hAnsi="Times New Roman" w:cs="Times New Roman"/>
          <w:lang w:val="en-US"/>
        </w:rPr>
        <w:tab/>
        <w:t>2</w:t>
      </w:r>
      <w:r w:rsidR="00FE0E8D">
        <w:rPr>
          <w:rFonts w:ascii="Times New Roman" w:hAnsi="Times New Roman" w:cs="Times New Roman"/>
          <w:lang w:val="en-US"/>
        </w:rPr>
        <w:t>9</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Pr="00AD47B5"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lang w:val="en-US"/>
        </w:rPr>
        <w:t>Hansen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0.9</w:t>
      </w:r>
      <w:r w:rsidR="00C65FD1">
        <w:rPr>
          <w:rFonts w:ascii="Times New Roman" w:hAnsi="Times New Roman" w:cs="Times New Roman"/>
          <w:lang w:val="en-US"/>
        </w:rPr>
        <w:t>9</w:t>
      </w:r>
      <w:r>
        <w:rPr>
          <w:rFonts w:ascii="Times New Roman" w:hAnsi="Times New Roman" w:cs="Times New Roman"/>
          <w:lang w:val="en-US"/>
        </w:rPr>
        <w:tab/>
      </w:r>
      <w:r>
        <w:rPr>
          <w:rFonts w:ascii="Times New Roman" w:hAnsi="Times New Roman" w:cs="Times New Roman"/>
          <w:lang w:val="en-US"/>
        </w:rPr>
        <w:tab/>
        <w:t>0.9</w:t>
      </w:r>
      <w:r w:rsidR="00C65FD1">
        <w:rPr>
          <w:rFonts w:ascii="Times New Roman" w:hAnsi="Times New Roman" w:cs="Times New Roman"/>
          <w:lang w:val="en-US"/>
        </w:rPr>
        <w:t>9</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Pr="00AD47B5" w:rsidRDefault="00FD5530" w:rsidP="00FD5530">
      <w:pPr>
        <w:spacing w:line="240" w:lineRule="auto"/>
        <w:jc w:val="both"/>
        <w:rPr>
          <w:rFonts w:ascii="Times New Roman" w:hAnsi="Times New Roman" w:cs="Times New Roman"/>
          <w:lang w:val="en-US"/>
        </w:rPr>
      </w:pPr>
      <w:r w:rsidRPr="00AD47B5">
        <w:rPr>
          <w:rFonts w:ascii="Times New Roman" w:hAnsi="Times New Roman" w:cs="Times New Roman"/>
          <w:lang w:val="en-US"/>
        </w:rPr>
        <w:t>AR1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0.02</w:t>
      </w:r>
      <w:r>
        <w:rPr>
          <w:rFonts w:ascii="Times New Roman" w:hAnsi="Times New Roman" w:cs="Times New Roman"/>
          <w:lang w:val="en-US"/>
        </w:rPr>
        <w:tab/>
      </w:r>
      <w:r>
        <w:rPr>
          <w:rFonts w:ascii="Times New Roman" w:hAnsi="Times New Roman" w:cs="Times New Roman"/>
          <w:lang w:val="en-US"/>
        </w:rPr>
        <w:tab/>
        <w:t>0.02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Default="00FD5530" w:rsidP="00FD5530">
      <w:pPr>
        <w:spacing w:line="240" w:lineRule="auto"/>
        <w:jc w:val="both"/>
        <w:rPr>
          <w:rFonts w:ascii="Times New Roman" w:hAnsi="Times New Roman" w:cs="Times New Roman"/>
          <w:sz w:val="24"/>
          <w:szCs w:val="24"/>
          <w:lang w:val="en-US"/>
        </w:rPr>
      </w:pPr>
      <w:r w:rsidRPr="00AD47B5">
        <w:rPr>
          <w:rFonts w:ascii="Times New Roman" w:hAnsi="Times New Roman" w:cs="Times New Roman"/>
          <w:lang w:val="en-US"/>
        </w:rPr>
        <w:t>AR2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w:t>
      </w:r>
      <w:r w:rsidR="00C65FD1">
        <w:rPr>
          <w:rFonts w:ascii="Times New Roman" w:hAnsi="Times New Roman" w:cs="Times New Roman"/>
          <w:lang w:val="en-US"/>
        </w:rPr>
        <w:t>44</w:t>
      </w:r>
      <w:r>
        <w:rPr>
          <w:rFonts w:ascii="Times New Roman" w:hAnsi="Times New Roman" w:cs="Times New Roman"/>
          <w:lang w:val="en-US"/>
        </w:rPr>
        <w:tab/>
      </w:r>
      <w:r>
        <w:rPr>
          <w:rFonts w:ascii="Times New Roman" w:hAnsi="Times New Roman" w:cs="Times New Roman"/>
          <w:lang w:val="en-US"/>
        </w:rPr>
        <w:tab/>
        <w:t>0.5</w:t>
      </w:r>
      <w:r w:rsidR="00C65FD1">
        <w:rPr>
          <w:rFonts w:ascii="Times New Roman" w:hAnsi="Times New Roman" w:cs="Times New Roman"/>
          <w:lang w:val="en-US"/>
        </w:rPr>
        <w:t>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5530" w:rsidRPr="00D51CAE" w:rsidRDefault="00FD5530" w:rsidP="00FD553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FD5530" w:rsidRPr="00605848" w:rsidRDefault="00C65FD1" w:rsidP="00FD5530">
      <w:pPr>
        <w:spacing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Similar to those in Table 2.</w:t>
      </w:r>
      <w:proofErr w:type="gramEnd"/>
      <w:r>
        <w:rPr>
          <w:rFonts w:ascii="Times New Roman" w:hAnsi="Times New Roman" w:cs="Times New Roman"/>
          <w:sz w:val="20"/>
          <w:szCs w:val="20"/>
          <w:lang w:val="en-US"/>
        </w:rPr>
        <w:t xml:space="preserve"> </w:t>
      </w: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FD5530" w:rsidRDefault="00FD5530" w:rsidP="00136EE3">
      <w:pPr>
        <w:spacing w:line="240" w:lineRule="auto"/>
        <w:jc w:val="center"/>
        <w:rPr>
          <w:rFonts w:ascii="Times New Roman" w:hAnsi="Times New Roman" w:cs="Times New Roman"/>
          <w:sz w:val="24"/>
          <w:szCs w:val="24"/>
          <w:lang w:val="en-US"/>
        </w:rPr>
      </w:pPr>
    </w:p>
    <w:p w:rsidR="00136EE3" w:rsidRDefault="00136EE3" w:rsidP="00136EE3">
      <w:pPr>
        <w:spacing w:line="240" w:lineRule="auto"/>
        <w:jc w:val="center"/>
        <w:rPr>
          <w:rFonts w:ascii="Times New Roman" w:hAnsi="Times New Roman" w:cs="Times New Roman"/>
          <w:sz w:val="24"/>
          <w:szCs w:val="24"/>
          <w:lang w:val="en-US"/>
        </w:rPr>
      </w:pPr>
      <w:r w:rsidRPr="00DD6420">
        <w:rPr>
          <w:rFonts w:ascii="Times New Roman" w:hAnsi="Times New Roman" w:cs="Times New Roman"/>
          <w:sz w:val="24"/>
          <w:szCs w:val="24"/>
          <w:lang w:val="en-US"/>
        </w:rPr>
        <w:lastRenderedPageBreak/>
        <w:t>T</w:t>
      </w:r>
      <w:r>
        <w:rPr>
          <w:rFonts w:ascii="Times New Roman" w:hAnsi="Times New Roman" w:cs="Times New Roman"/>
          <w:sz w:val="24"/>
          <w:szCs w:val="24"/>
          <w:lang w:val="en-US"/>
        </w:rPr>
        <w:t xml:space="preserve">ABLE </w:t>
      </w:r>
      <w:r w:rsidR="00FD5530">
        <w:rPr>
          <w:rFonts w:ascii="Times New Roman" w:hAnsi="Times New Roman" w:cs="Times New Roman"/>
          <w:sz w:val="24"/>
          <w:szCs w:val="24"/>
          <w:lang w:val="en-US"/>
        </w:rPr>
        <w:t>5</w:t>
      </w:r>
    </w:p>
    <w:p w:rsidR="00136EE3" w:rsidRPr="00F15AC3" w:rsidRDefault="00136EE3" w:rsidP="00136EE3">
      <w:pPr>
        <w:spacing w:line="240" w:lineRule="auto"/>
        <w:jc w:val="center"/>
        <w:rPr>
          <w:rFonts w:ascii="Times New Roman" w:hAnsi="Times New Roman" w:cs="Times New Roman"/>
          <w:sz w:val="24"/>
          <w:szCs w:val="24"/>
          <w:lang w:val="en-US"/>
        </w:rPr>
      </w:pPr>
      <w:r w:rsidRPr="00F15AC3">
        <w:rPr>
          <w:rFonts w:ascii="Times New Roman" w:hAnsi="Times New Roman" w:cs="Times New Roman"/>
          <w:sz w:val="24"/>
          <w:szCs w:val="24"/>
          <w:lang w:val="en-US"/>
        </w:rPr>
        <w:t>D</w:t>
      </w:r>
      <w:r>
        <w:rPr>
          <w:rFonts w:ascii="Times New Roman" w:hAnsi="Times New Roman" w:cs="Times New Roman"/>
          <w:sz w:val="24"/>
          <w:szCs w:val="24"/>
          <w:lang w:val="en-US"/>
        </w:rPr>
        <w:t>YNAMIC PANEL</w:t>
      </w:r>
      <w:r w:rsidRPr="00F15AC3">
        <w:rPr>
          <w:rFonts w:ascii="Times New Roman" w:hAnsi="Times New Roman" w:cs="Times New Roman"/>
          <w:sz w:val="24"/>
          <w:szCs w:val="24"/>
          <w:lang w:val="en-US"/>
        </w:rPr>
        <w:t xml:space="preserve"> GMM </w:t>
      </w:r>
      <w:r>
        <w:rPr>
          <w:rFonts w:ascii="Times New Roman" w:hAnsi="Times New Roman" w:cs="Times New Roman"/>
          <w:sz w:val="24"/>
          <w:szCs w:val="24"/>
          <w:lang w:val="en-US"/>
        </w:rPr>
        <w:t>RESULTS</w:t>
      </w:r>
      <w:r w:rsidRPr="00F15AC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F15AC3">
        <w:rPr>
          <w:rFonts w:ascii="Times New Roman" w:hAnsi="Times New Roman" w:cs="Times New Roman"/>
          <w:sz w:val="24"/>
          <w:szCs w:val="24"/>
          <w:lang w:val="en-US"/>
        </w:rPr>
        <w:t xml:space="preserve"> </w:t>
      </w:r>
      <w:r>
        <w:rPr>
          <w:rFonts w:ascii="Times New Roman" w:hAnsi="Times New Roman" w:cs="Times New Roman"/>
          <w:sz w:val="24"/>
          <w:szCs w:val="24"/>
          <w:lang w:val="en-US"/>
        </w:rPr>
        <w:t>ROLE OF</w:t>
      </w:r>
      <w:r w:rsidRPr="00F15AC3">
        <w:rPr>
          <w:rFonts w:ascii="Times New Roman" w:hAnsi="Times New Roman" w:cs="Times New Roman"/>
          <w:sz w:val="24"/>
          <w:szCs w:val="24"/>
          <w:lang w:val="en-US"/>
        </w:rPr>
        <w:t xml:space="preserve"> </w:t>
      </w:r>
      <w:r>
        <w:rPr>
          <w:rFonts w:ascii="Times New Roman" w:hAnsi="Times New Roman" w:cs="Times New Roman"/>
          <w:sz w:val="24"/>
          <w:szCs w:val="24"/>
          <w:lang w:val="en-US"/>
        </w:rPr>
        <w:t>CONSUMER</w:t>
      </w:r>
      <w:r w:rsidRPr="00F15AC3">
        <w:rPr>
          <w:rFonts w:ascii="Times New Roman" w:hAnsi="Times New Roman" w:cs="Times New Roman"/>
          <w:sz w:val="24"/>
          <w:szCs w:val="24"/>
          <w:lang w:val="en-US"/>
        </w:rPr>
        <w:t xml:space="preserve"> </w:t>
      </w:r>
      <w:r>
        <w:rPr>
          <w:rFonts w:ascii="Times New Roman" w:hAnsi="Times New Roman" w:cs="Times New Roman"/>
          <w:sz w:val="24"/>
          <w:szCs w:val="24"/>
          <w:lang w:val="en-US"/>
        </w:rPr>
        <w:t>CREDIT</w:t>
      </w:r>
      <w:r w:rsidRPr="00F15AC3">
        <w:rPr>
          <w:rFonts w:ascii="Times New Roman" w:hAnsi="Times New Roman" w:cs="Times New Roman"/>
          <w:sz w:val="24"/>
          <w:szCs w:val="24"/>
          <w:lang w:val="en-US"/>
        </w:rPr>
        <w:t xml:space="preserve"> </w:t>
      </w:r>
      <w:r>
        <w:rPr>
          <w:rFonts w:ascii="Times New Roman" w:hAnsi="Times New Roman" w:cs="Times New Roman"/>
          <w:sz w:val="24"/>
          <w:szCs w:val="24"/>
          <w:lang w:val="en-US"/>
        </w:rPr>
        <w:t>AND HOUSING</w:t>
      </w:r>
      <w:r w:rsidRPr="00F15AC3">
        <w:rPr>
          <w:rFonts w:ascii="Times New Roman" w:hAnsi="Times New Roman" w:cs="Times New Roman"/>
          <w:sz w:val="24"/>
          <w:szCs w:val="24"/>
          <w:lang w:val="en-US"/>
        </w:rPr>
        <w:t xml:space="preserve"> </w:t>
      </w:r>
      <w:r>
        <w:rPr>
          <w:rFonts w:ascii="Times New Roman" w:hAnsi="Times New Roman" w:cs="Times New Roman"/>
          <w:sz w:val="24"/>
          <w:szCs w:val="24"/>
          <w:lang w:val="en-US"/>
        </w:rPr>
        <w:t>DEBT</w:t>
      </w:r>
    </w:p>
    <w:p w:rsidR="00136EE3" w:rsidRDefault="00136EE3" w:rsidP="00136EE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136EE3"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t>Model (1)</w:t>
      </w:r>
      <w:r w:rsidRPr="00AD47B5">
        <w:rPr>
          <w:rFonts w:ascii="Times New Roman" w:hAnsi="Times New Roman" w:cs="Times New Roman"/>
          <w:lang w:val="en-US"/>
        </w:rPr>
        <w:tab/>
        <w:t>Model (2)</w:t>
      </w:r>
      <w:r w:rsidRPr="00AD47B5">
        <w:rPr>
          <w:rFonts w:ascii="Times New Roman" w:hAnsi="Times New Roman" w:cs="Times New Roman"/>
          <w:lang w:val="en-US"/>
        </w:rPr>
        <w:tab/>
        <w:t xml:space="preserve">         </w:t>
      </w:r>
    </w:p>
    <w:p w:rsidR="00136EE3" w:rsidRPr="00AD47B5"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w:t>
      </w:r>
    </w:p>
    <w:p w:rsidR="00136EE3"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logDebt</w:t>
      </w:r>
      <w:proofErr w:type="spellEnd"/>
      <w:r>
        <w:rPr>
          <w:rFonts w:ascii="Times New Roman" w:hAnsi="Times New Roman" w:cs="Times New Roman"/>
          <w:lang w:val="en-US"/>
        </w:rPr>
        <w:t>-</w:t>
      </w:r>
      <w:r w:rsidRPr="00AD47B5">
        <w:rPr>
          <w:rFonts w:ascii="Times New Roman" w:hAnsi="Times New Roman" w:cs="Times New Roman"/>
          <w:lang w:val="en-US"/>
        </w:rPr>
        <w:t>Servi</w:t>
      </w:r>
      <w:r>
        <w:rPr>
          <w:rFonts w:ascii="Times New Roman" w:hAnsi="Times New Roman" w:cs="Times New Roman"/>
          <w:lang w:val="en-US"/>
        </w:rPr>
        <w:t>ce</w:t>
      </w:r>
      <w:r w:rsidRPr="00AD47B5">
        <w:rPr>
          <w:rFonts w:ascii="Times New Roman" w:hAnsi="Times New Roman" w:cs="Times New Roman"/>
          <w:lang w:val="en-US"/>
        </w:rPr>
        <w:t xml:space="preserve"> Ratio</w:t>
      </w:r>
      <w:r>
        <w:rPr>
          <w:rFonts w:ascii="Times New Roman" w:hAnsi="Times New Roman" w:cs="Times New Roman"/>
          <w:lang w:val="en-US"/>
        </w:rPr>
        <w:tab/>
      </w:r>
      <w:r>
        <w:rPr>
          <w:rFonts w:ascii="Times New Roman" w:hAnsi="Times New Roman" w:cs="Times New Roman"/>
          <w:lang w:val="en-US"/>
        </w:rPr>
        <w:tab/>
        <w:t>0.594***</w:t>
      </w:r>
      <w:r>
        <w:rPr>
          <w:rFonts w:ascii="Times New Roman" w:hAnsi="Times New Roman" w:cs="Times New Roman"/>
          <w:lang w:val="en-US"/>
        </w:rPr>
        <w:tab/>
        <w:t>0.511***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logConsumption</w:t>
      </w:r>
      <w:proofErr w:type="spellEnd"/>
      <w:r w:rsidRPr="00AD47B5">
        <w:rPr>
          <w:rFonts w:ascii="Times New Roman" w:hAnsi="Times New Roman" w:cs="Times New Roman"/>
          <w:lang w:val="en-US"/>
        </w:rPr>
        <w:t>(</w:t>
      </w:r>
      <w:r>
        <w:rPr>
          <w:rFonts w:ascii="Times New Roman" w:hAnsi="Times New Roman" w:cs="Times New Roman"/>
          <w:lang w:val="en-US"/>
        </w:rPr>
        <w:t>-</w:t>
      </w:r>
      <w:r w:rsidRPr="00AD47B5">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0.759***</w:t>
      </w:r>
      <w:r>
        <w:rPr>
          <w:rFonts w:ascii="Times New Roman" w:hAnsi="Times New Roman" w:cs="Times New Roman"/>
          <w:lang w:val="en-US"/>
        </w:rPr>
        <w:tab/>
      </w:r>
      <w:r>
        <w:rPr>
          <w:rFonts w:ascii="Times New Roman" w:hAnsi="Times New Roman" w:cs="Times New Roman"/>
          <w:lang w:val="en-US"/>
        </w:rPr>
        <w:tab/>
      </w:r>
    </w:p>
    <w:p w:rsidR="00136EE3" w:rsidRPr="00AD47B5"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logIncome</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0.135**</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[0.03]</w:t>
      </w:r>
      <w:r>
        <w:rPr>
          <w:rFonts w:ascii="Times New Roman" w:hAnsi="Times New Roman" w:cs="Times New Roman"/>
          <w:lang w:val="en-US"/>
        </w:rPr>
        <w:tab/>
      </w:r>
    </w:p>
    <w:p w:rsidR="00136EE3" w:rsidRPr="003A6FBD" w:rsidRDefault="00136EE3" w:rsidP="00136EE3">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logIncome</w:t>
      </w:r>
      <w:proofErr w:type="spellEnd"/>
      <w:r>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0.058**</w:t>
      </w:r>
    </w:p>
    <w:p w:rsidR="00136EE3" w:rsidRPr="00AD47B5"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[0.02]</w:t>
      </w:r>
    </w:p>
    <w:p w:rsidR="00136EE3"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logStock</w:t>
      </w:r>
      <w:proofErr w:type="spellEnd"/>
      <w:r w:rsidRPr="00AD47B5">
        <w:rPr>
          <w:rFonts w:ascii="Times New Roman" w:hAnsi="Times New Roman" w:cs="Times New Roman"/>
          <w:lang w:val="en-US"/>
        </w:rPr>
        <w:t xml:space="preserve"> price</w:t>
      </w:r>
      <w:r>
        <w:rPr>
          <w:rFonts w:ascii="Times New Roman" w:hAnsi="Times New Roman" w:cs="Times New Roman"/>
          <w:lang w:val="en-US"/>
        </w:rPr>
        <w: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0.155***</w:t>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logStock</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0.062**</w:t>
      </w:r>
    </w:p>
    <w:p w:rsidR="00136EE3" w:rsidRPr="00AD47B5"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[0.03]</w:t>
      </w:r>
    </w:p>
    <w:p w:rsidR="00136EE3"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logHousing</w:t>
      </w:r>
      <w:proofErr w:type="spellEnd"/>
      <w:r w:rsidRPr="00AD47B5">
        <w:rPr>
          <w:rFonts w:ascii="Times New Roman" w:hAnsi="Times New Roman" w:cs="Times New Roman"/>
          <w:lang w:val="en-US"/>
        </w:rPr>
        <w:t xml:space="preserve"> price</w:t>
      </w:r>
      <w:r>
        <w:rPr>
          <w:rFonts w:ascii="Times New Roman" w:hAnsi="Times New Roman" w:cs="Times New Roman"/>
          <w:lang w:val="en-US"/>
        </w:rPr>
        <w: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0.232***</w:t>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0.139***</w:t>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0.061**</w:t>
      </w:r>
    </w:p>
    <w:p w:rsidR="00136EE3" w:rsidRPr="0098736F"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[0.03]</w:t>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Consumer credit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0.246***</w:t>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Mortgage debt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0.196***</w:t>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p>
    <w:p w:rsidR="00136EE3" w:rsidRPr="0098736F" w:rsidRDefault="00136EE3" w:rsidP="00136EE3">
      <w:pPr>
        <w:spacing w:line="240" w:lineRule="auto"/>
        <w:jc w:val="both"/>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Mortgage debt(-1)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0.084**</w:t>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[0.02]</w:t>
      </w:r>
    </w:p>
    <w:p w:rsidR="00136EE3" w:rsidRDefault="00136EE3" w:rsidP="00136EE3">
      <w:pPr>
        <w:spacing w:line="240" w:lineRule="auto"/>
        <w:jc w:val="both"/>
        <w:rPr>
          <w:rFonts w:ascii="Times New Roman" w:hAnsi="Times New Roman" w:cs="Times New Roman"/>
          <w:lang w:val="en-US"/>
        </w:rPr>
      </w:pP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lastRenderedPageBreak/>
        <w:t>D2008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CD1311">
        <w:rPr>
          <w:rFonts w:ascii="Times New Roman" w:hAnsi="Times New Roman" w:cs="Times New Roman"/>
          <w:lang w:val="en-US"/>
        </w:rPr>
        <w:t>-0.122***</w:t>
      </w:r>
      <w:r>
        <w:rPr>
          <w:rFonts w:ascii="Times New Roman" w:hAnsi="Times New Roman" w:cs="Times New Roman"/>
          <w:lang w:val="en-US"/>
        </w:rPr>
        <w:tab/>
        <w:t>-0.106***</w:t>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CD1311">
        <w:rPr>
          <w:rFonts w:ascii="Times New Roman" w:hAnsi="Times New Roman" w:cs="Times New Roman"/>
          <w:lang w:val="en-US"/>
        </w:rPr>
        <w:t>[0.00]</w:t>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Pr="00112808" w:rsidRDefault="00136EE3" w:rsidP="00136EE3">
      <w:pPr>
        <w:spacing w:line="240" w:lineRule="auto"/>
        <w:jc w:val="both"/>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DS x develop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0.475***</w:t>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p>
    <w:p w:rsidR="00136EE3"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lang w:val="en-US"/>
        </w:rPr>
        <w:t>Constant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1.538**</w:t>
      </w:r>
      <w:r>
        <w:rPr>
          <w:rFonts w:ascii="Times New Roman" w:hAnsi="Times New Roman" w:cs="Times New Roman"/>
          <w:lang w:val="en-US"/>
        </w:rPr>
        <w:tab/>
      </w:r>
      <w:r>
        <w:rPr>
          <w:rFonts w:ascii="Times New Roman" w:hAnsi="Times New Roman" w:cs="Times New Roman"/>
          <w:lang w:val="en-US"/>
        </w:rPr>
        <w:tab/>
        <w:t>1.085*</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Pr="00AD47B5"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[0.04]</w:t>
      </w:r>
      <w:r>
        <w:rPr>
          <w:rFonts w:ascii="Times New Roman" w:hAnsi="Times New Roman" w:cs="Times New Roman"/>
          <w:lang w:val="en-US"/>
        </w:rPr>
        <w:tab/>
      </w:r>
      <w:r>
        <w:rPr>
          <w:rFonts w:ascii="Times New Roman" w:hAnsi="Times New Roman" w:cs="Times New Roman"/>
          <w:lang w:val="en-US"/>
        </w:rPr>
        <w:tab/>
        <w:t>[0.08]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Pr="00AD47B5"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lang w:val="en-US"/>
        </w:rPr>
        <w:t>Observations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2,400</w:t>
      </w:r>
      <w:r>
        <w:rPr>
          <w:rFonts w:ascii="Times New Roman" w:hAnsi="Times New Roman" w:cs="Times New Roman"/>
          <w:lang w:val="en-US"/>
        </w:rPr>
        <w:tab/>
      </w:r>
      <w:r>
        <w:rPr>
          <w:rFonts w:ascii="Times New Roman" w:hAnsi="Times New Roman" w:cs="Times New Roman"/>
          <w:lang w:val="en-US"/>
        </w:rPr>
        <w:tab/>
        <w:t>2,400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lang w:val="en-US"/>
        </w:rPr>
        <w:t>Countries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32</w:t>
      </w:r>
      <w:r>
        <w:rPr>
          <w:rFonts w:ascii="Times New Roman" w:hAnsi="Times New Roman" w:cs="Times New Roman"/>
          <w:lang w:val="en-US"/>
        </w:rPr>
        <w:tab/>
      </w:r>
      <w:r>
        <w:rPr>
          <w:rFonts w:ascii="Times New Roman" w:hAnsi="Times New Roman" w:cs="Times New Roman"/>
          <w:lang w:val="en-US"/>
        </w:rPr>
        <w:tab/>
        <w:t>32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R</w:t>
      </w:r>
      <w:r w:rsidRPr="001A6D89">
        <w:rPr>
          <w:rFonts w:ascii="Times New Roman" w:hAnsi="Times New Roman" w:cs="Times New Roman"/>
          <w:vertAlign w:val="superscript"/>
          <w:lang w:val="en-US"/>
        </w:rPr>
        <w:t>2</w:t>
      </w:r>
      <w:r>
        <w:rPr>
          <w:rFonts w:ascii="Times New Roman" w:hAnsi="Times New Roman" w:cs="Times New Roman"/>
          <w:lang w:val="en-US"/>
        </w:rPr>
        <w:t>-adjusted</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0.29</w:t>
      </w:r>
      <w:r>
        <w:rPr>
          <w:rFonts w:ascii="Times New Roman" w:hAnsi="Times New Roman" w:cs="Times New Roman"/>
          <w:lang w:val="en-US"/>
        </w:rPr>
        <w:tab/>
      </w:r>
      <w:r>
        <w:rPr>
          <w:rFonts w:ascii="Times New Roman" w:hAnsi="Times New Roman" w:cs="Times New Roman"/>
          <w:lang w:val="en-US"/>
        </w:rPr>
        <w:tab/>
        <w:t>0.70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Pr="00AD47B5" w:rsidRDefault="00136EE3" w:rsidP="00136EE3">
      <w:pPr>
        <w:spacing w:line="240" w:lineRule="auto"/>
        <w:jc w:val="both"/>
        <w:rPr>
          <w:rFonts w:ascii="Times New Roman" w:hAnsi="Times New Roman" w:cs="Times New Roman"/>
          <w:lang w:val="en-US"/>
        </w:rPr>
      </w:pPr>
      <w:r>
        <w:rPr>
          <w:rFonts w:ascii="Times New Roman" w:hAnsi="Times New Roman" w:cs="Times New Roman"/>
          <w:lang w:val="en-US"/>
        </w:rPr>
        <w:t>Instruments used</w:t>
      </w:r>
      <w:r>
        <w:rPr>
          <w:rFonts w:ascii="Times New Roman" w:hAnsi="Times New Roman" w:cs="Times New Roman"/>
          <w:lang w:val="en-US"/>
        </w:rPr>
        <w:tab/>
      </w:r>
      <w:r>
        <w:rPr>
          <w:rFonts w:ascii="Times New Roman" w:hAnsi="Times New Roman" w:cs="Times New Roman"/>
          <w:lang w:val="en-US"/>
        </w:rPr>
        <w:tab/>
      </w:r>
      <w:r w:rsidR="00FE0E8D">
        <w:rPr>
          <w:rFonts w:ascii="Times New Roman" w:hAnsi="Times New Roman" w:cs="Times New Roman"/>
          <w:lang w:val="en-US"/>
        </w:rPr>
        <w:t>7</w:t>
      </w:r>
      <w:r>
        <w:rPr>
          <w:rFonts w:ascii="Times New Roman" w:hAnsi="Times New Roman" w:cs="Times New Roman"/>
          <w:lang w:val="en-US"/>
        </w:rPr>
        <w:tab/>
      </w:r>
      <w:r>
        <w:rPr>
          <w:rFonts w:ascii="Times New Roman" w:hAnsi="Times New Roman" w:cs="Times New Roman"/>
          <w:lang w:val="en-US"/>
        </w:rPr>
        <w:tab/>
      </w:r>
      <w:r w:rsidR="00AC4DD1">
        <w:rPr>
          <w:rFonts w:ascii="Times New Roman" w:hAnsi="Times New Roman" w:cs="Times New Roman"/>
          <w:lang w:val="en-US"/>
        </w:rPr>
        <w:t>2</w:t>
      </w:r>
      <w:r w:rsidR="00FE0E8D">
        <w:rPr>
          <w:rFonts w:ascii="Times New Roman" w:hAnsi="Times New Roman" w:cs="Times New Roman"/>
          <w:lang w:val="en-US"/>
        </w:rPr>
        <w:t>7</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Pr="00AD47B5"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lang w:val="en-US"/>
        </w:rPr>
        <w:t>Hansen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0.99</w:t>
      </w:r>
      <w:r>
        <w:rPr>
          <w:rFonts w:ascii="Times New Roman" w:hAnsi="Times New Roman" w:cs="Times New Roman"/>
          <w:lang w:val="en-US"/>
        </w:rPr>
        <w:tab/>
      </w:r>
      <w:r>
        <w:rPr>
          <w:rFonts w:ascii="Times New Roman" w:hAnsi="Times New Roman" w:cs="Times New Roman"/>
          <w:lang w:val="en-US"/>
        </w:rPr>
        <w:tab/>
        <w:t>0.99</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Pr="00AD47B5" w:rsidRDefault="00136EE3" w:rsidP="00136EE3">
      <w:pPr>
        <w:spacing w:line="240" w:lineRule="auto"/>
        <w:jc w:val="both"/>
        <w:rPr>
          <w:rFonts w:ascii="Times New Roman" w:hAnsi="Times New Roman" w:cs="Times New Roman"/>
          <w:lang w:val="en-US"/>
        </w:rPr>
      </w:pPr>
      <w:r w:rsidRPr="00AD47B5">
        <w:rPr>
          <w:rFonts w:ascii="Times New Roman" w:hAnsi="Times New Roman" w:cs="Times New Roman"/>
          <w:lang w:val="en-US"/>
        </w:rPr>
        <w:t>AR1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t>0.01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Default="00136EE3" w:rsidP="00136EE3">
      <w:pPr>
        <w:spacing w:line="240" w:lineRule="auto"/>
        <w:jc w:val="both"/>
        <w:rPr>
          <w:rFonts w:ascii="Times New Roman" w:hAnsi="Times New Roman" w:cs="Times New Roman"/>
          <w:sz w:val="24"/>
          <w:szCs w:val="24"/>
          <w:lang w:val="en-US"/>
        </w:rPr>
      </w:pPr>
      <w:r w:rsidRPr="00AD47B5">
        <w:rPr>
          <w:rFonts w:ascii="Times New Roman" w:hAnsi="Times New Roman" w:cs="Times New Roman"/>
          <w:lang w:val="en-US"/>
        </w:rPr>
        <w:t>AR2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0.54</w:t>
      </w:r>
      <w:r>
        <w:rPr>
          <w:rFonts w:ascii="Times New Roman" w:hAnsi="Times New Roman" w:cs="Times New Roman"/>
          <w:lang w:val="en-US"/>
        </w:rPr>
        <w:tab/>
      </w:r>
      <w:r>
        <w:rPr>
          <w:rFonts w:ascii="Times New Roman" w:hAnsi="Times New Roman" w:cs="Times New Roman"/>
          <w:lang w:val="en-US"/>
        </w:rPr>
        <w:tab/>
        <w:t>0.58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136EE3" w:rsidRPr="00D51CAE" w:rsidRDefault="00136EE3" w:rsidP="00136EE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136EE3" w:rsidRPr="00605848" w:rsidRDefault="00136EE3" w:rsidP="00136EE3">
      <w:pPr>
        <w:spacing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Similar to those in Table 2</w:t>
      </w:r>
      <w:r w:rsidRPr="00605848">
        <w:rPr>
          <w:rFonts w:ascii="Times New Roman" w:hAnsi="Times New Roman" w:cs="Times New Roman"/>
          <w:sz w:val="20"/>
          <w:szCs w:val="20"/>
          <w:lang w:val="en-US"/>
        </w:rPr>
        <w:t>.</w:t>
      </w:r>
      <w:proofErr w:type="gramEnd"/>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136EE3" w:rsidRDefault="00136EE3" w:rsidP="00F15AC3">
      <w:pPr>
        <w:spacing w:line="240" w:lineRule="auto"/>
        <w:jc w:val="center"/>
        <w:rPr>
          <w:rFonts w:ascii="Times New Roman" w:hAnsi="Times New Roman" w:cs="Times New Roman"/>
          <w:sz w:val="24"/>
          <w:szCs w:val="24"/>
          <w:lang w:val="en-US"/>
        </w:rPr>
      </w:pPr>
    </w:p>
    <w:p w:rsidR="00F15AC3" w:rsidRDefault="00A05A73" w:rsidP="00F15AC3">
      <w:pPr>
        <w:spacing w:line="240" w:lineRule="auto"/>
        <w:jc w:val="center"/>
        <w:rPr>
          <w:rFonts w:ascii="Times New Roman" w:hAnsi="Times New Roman" w:cs="Times New Roman"/>
          <w:sz w:val="24"/>
          <w:szCs w:val="24"/>
          <w:lang w:val="en-US"/>
        </w:rPr>
      </w:pPr>
      <w:r w:rsidRPr="00DD6420">
        <w:rPr>
          <w:rFonts w:ascii="Times New Roman" w:hAnsi="Times New Roman" w:cs="Times New Roman"/>
          <w:sz w:val="24"/>
          <w:szCs w:val="24"/>
          <w:lang w:val="en-US"/>
        </w:rPr>
        <w:lastRenderedPageBreak/>
        <w:t>T</w:t>
      </w:r>
      <w:r w:rsidR="00F15AC3">
        <w:rPr>
          <w:rFonts w:ascii="Times New Roman" w:hAnsi="Times New Roman" w:cs="Times New Roman"/>
          <w:sz w:val="24"/>
          <w:szCs w:val="24"/>
          <w:lang w:val="en-US"/>
        </w:rPr>
        <w:t>ABLE</w:t>
      </w:r>
      <w:r w:rsidRPr="00DD6420">
        <w:rPr>
          <w:rFonts w:ascii="Times New Roman" w:hAnsi="Times New Roman" w:cs="Times New Roman"/>
          <w:sz w:val="24"/>
          <w:szCs w:val="24"/>
          <w:lang w:val="en-US"/>
        </w:rPr>
        <w:t xml:space="preserve"> </w:t>
      </w:r>
      <w:r w:rsidR="00FD5530">
        <w:rPr>
          <w:rFonts w:ascii="Times New Roman" w:hAnsi="Times New Roman" w:cs="Times New Roman"/>
          <w:sz w:val="24"/>
          <w:szCs w:val="24"/>
          <w:lang w:val="en-US"/>
        </w:rPr>
        <w:t>6</w:t>
      </w:r>
    </w:p>
    <w:p w:rsidR="00A05A73" w:rsidRPr="00F15AC3" w:rsidRDefault="00A05A73" w:rsidP="00F15AC3">
      <w:pPr>
        <w:spacing w:line="240" w:lineRule="auto"/>
        <w:jc w:val="center"/>
        <w:rPr>
          <w:rFonts w:ascii="Times New Roman" w:hAnsi="Times New Roman" w:cs="Times New Roman"/>
          <w:sz w:val="24"/>
          <w:szCs w:val="24"/>
          <w:lang w:val="en-US"/>
        </w:rPr>
      </w:pPr>
      <w:r w:rsidRPr="00F15AC3">
        <w:rPr>
          <w:rFonts w:ascii="Times New Roman" w:hAnsi="Times New Roman" w:cs="Times New Roman"/>
          <w:sz w:val="24"/>
          <w:szCs w:val="24"/>
          <w:lang w:val="en-US"/>
        </w:rPr>
        <w:t>D</w:t>
      </w:r>
      <w:r w:rsidR="00F15AC3">
        <w:rPr>
          <w:rFonts w:ascii="Times New Roman" w:hAnsi="Times New Roman" w:cs="Times New Roman"/>
          <w:sz w:val="24"/>
          <w:szCs w:val="24"/>
          <w:lang w:val="en-US"/>
        </w:rPr>
        <w:t>YNAMIC PANEL</w:t>
      </w:r>
      <w:r w:rsidRPr="00F15AC3">
        <w:rPr>
          <w:rFonts w:ascii="Times New Roman" w:hAnsi="Times New Roman" w:cs="Times New Roman"/>
          <w:sz w:val="24"/>
          <w:szCs w:val="24"/>
          <w:lang w:val="en-US"/>
        </w:rPr>
        <w:t xml:space="preserve"> GMM </w:t>
      </w:r>
      <w:r w:rsidR="00F15AC3">
        <w:rPr>
          <w:rFonts w:ascii="Times New Roman" w:hAnsi="Times New Roman" w:cs="Times New Roman"/>
          <w:sz w:val="24"/>
          <w:szCs w:val="24"/>
          <w:lang w:val="en-US"/>
        </w:rPr>
        <w:t>RESULTS</w:t>
      </w:r>
      <w:r w:rsidRPr="00F15AC3">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THE TERM SPREAD AS AN</w:t>
      </w:r>
      <w:r w:rsidRPr="00F15AC3">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ALTERNATIVE</w:t>
      </w:r>
      <w:r w:rsidR="00720B80" w:rsidRPr="00F15AC3">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PROXY</w:t>
      </w:r>
      <w:r w:rsidR="00720B80" w:rsidRPr="00F15AC3">
        <w:rPr>
          <w:rFonts w:ascii="Times New Roman" w:hAnsi="Times New Roman" w:cs="Times New Roman"/>
          <w:sz w:val="24"/>
          <w:szCs w:val="24"/>
          <w:lang w:val="en-US"/>
        </w:rPr>
        <w:t xml:space="preserve"> </w:t>
      </w:r>
      <w:r w:rsidR="00F15AC3">
        <w:rPr>
          <w:rFonts w:ascii="Times New Roman" w:hAnsi="Times New Roman" w:cs="Times New Roman"/>
          <w:sz w:val="24"/>
          <w:szCs w:val="24"/>
          <w:lang w:val="en-US"/>
        </w:rPr>
        <w:t>FOR THE WEALTH EFFECT</w:t>
      </w:r>
    </w:p>
    <w:p w:rsidR="00A05A73" w:rsidRDefault="00A05A73" w:rsidP="00A05A7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A05A73" w:rsidRPr="00AD47B5"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lang w:val="en-US"/>
        </w:rPr>
        <w:tab/>
      </w:r>
      <w:r w:rsidRPr="00AD47B5">
        <w:rPr>
          <w:rFonts w:ascii="Times New Roman" w:hAnsi="Times New Roman" w:cs="Times New Roman"/>
          <w:lang w:val="en-US"/>
        </w:rPr>
        <w:tab/>
      </w:r>
      <w:r w:rsidRPr="00AD47B5">
        <w:rPr>
          <w:rFonts w:ascii="Times New Roman" w:hAnsi="Times New Roman" w:cs="Times New Roman"/>
          <w:lang w:val="en-US"/>
        </w:rPr>
        <w:tab/>
      </w:r>
      <w:r w:rsidR="002E7553">
        <w:rPr>
          <w:rFonts w:ascii="Times New Roman" w:hAnsi="Times New Roman" w:cs="Times New Roman"/>
          <w:lang w:val="en-US"/>
        </w:rPr>
        <w:t xml:space="preserve">            </w:t>
      </w:r>
      <w:r w:rsidRPr="00AD47B5">
        <w:rPr>
          <w:rFonts w:ascii="Times New Roman" w:hAnsi="Times New Roman" w:cs="Times New Roman"/>
          <w:lang w:val="en-US"/>
        </w:rPr>
        <w:t>Model (2)</w:t>
      </w:r>
      <w:r w:rsidRPr="00AD47B5">
        <w:rPr>
          <w:rFonts w:ascii="Times New Roman" w:hAnsi="Times New Roman" w:cs="Times New Roman"/>
          <w:lang w:val="en-US"/>
        </w:rPr>
        <w:tab/>
        <w:t xml:space="preserve">      </w:t>
      </w:r>
      <w:r>
        <w:rPr>
          <w:rFonts w:ascii="Times New Roman" w:hAnsi="Times New Roman" w:cs="Times New Roman"/>
          <w:lang w:val="en-US"/>
        </w:rPr>
        <w:t>___________________________________________________________________________</w:t>
      </w:r>
    </w:p>
    <w:p w:rsidR="00A05A73"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Pr>
          <w:rFonts w:ascii="Times New Roman" w:hAnsi="Times New Roman" w:cs="Times New Roman"/>
          <w:lang w:val="en-US"/>
        </w:rPr>
        <w:t>logDebt</w:t>
      </w:r>
      <w:proofErr w:type="spellEnd"/>
      <w:r>
        <w:rPr>
          <w:rFonts w:ascii="Times New Roman" w:hAnsi="Times New Roman" w:cs="Times New Roman"/>
          <w:lang w:val="en-US"/>
        </w:rPr>
        <w:t>-</w:t>
      </w:r>
      <w:r w:rsidRPr="00AD47B5">
        <w:rPr>
          <w:rFonts w:ascii="Times New Roman" w:hAnsi="Times New Roman" w:cs="Times New Roman"/>
          <w:lang w:val="en-US"/>
        </w:rPr>
        <w:t>Serv</w:t>
      </w:r>
      <w:r>
        <w:rPr>
          <w:rFonts w:ascii="Times New Roman" w:hAnsi="Times New Roman" w:cs="Times New Roman"/>
          <w:lang w:val="en-US"/>
        </w:rPr>
        <w:t>ice</w:t>
      </w:r>
      <w:r w:rsidRPr="00AD47B5">
        <w:rPr>
          <w:rFonts w:ascii="Times New Roman" w:hAnsi="Times New Roman" w:cs="Times New Roman"/>
          <w:lang w:val="en-US"/>
        </w:rPr>
        <w:t xml:space="preserve"> Ratio</w:t>
      </w:r>
      <w:r>
        <w:rPr>
          <w:rFonts w:ascii="Times New Roman" w:hAnsi="Times New Roman" w:cs="Times New Roman"/>
          <w:lang w:val="en-US"/>
        </w:rPr>
        <w:tab/>
      </w:r>
      <w:r>
        <w:rPr>
          <w:rFonts w:ascii="Times New Roman" w:hAnsi="Times New Roman" w:cs="Times New Roman"/>
          <w:lang w:val="en-US"/>
        </w:rPr>
        <w:tab/>
        <w:t>0.</w:t>
      </w:r>
      <w:r w:rsidR="002E7553">
        <w:rPr>
          <w:rFonts w:ascii="Times New Roman" w:hAnsi="Times New Roman" w:cs="Times New Roman"/>
          <w:lang w:val="en-US"/>
        </w:rPr>
        <w:t>516</w:t>
      </w:r>
      <w:r>
        <w:rPr>
          <w:rFonts w:ascii="Times New Roman" w:hAnsi="Times New Roman" w:cs="Times New Roman"/>
          <w:lang w:val="en-US"/>
        </w:rPr>
        <w:t>*</w:t>
      </w:r>
      <w:r w:rsidR="002E7553">
        <w:rPr>
          <w:rFonts w:ascii="Times New Roman" w:hAnsi="Times New Roman" w:cs="Times New Roman"/>
          <w:lang w:val="en-US"/>
        </w:rPr>
        <w:t>*</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2E7553">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logConsumption</w:t>
      </w:r>
      <w:proofErr w:type="spellEnd"/>
      <w:r w:rsidRPr="00AD47B5">
        <w:rPr>
          <w:rFonts w:ascii="Times New Roman" w:hAnsi="Times New Roman" w:cs="Times New Roman"/>
          <w:lang w:val="en-US"/>
        </w:rPr>
        <w:t>(</w:t>
      </w:r>
      <w:r>
        <w:rPr>
          <w:rFonts w:ascii="Times New Roman" w:hAnsi="Times New Roman" w:cs="Times New Roman"/>
          <w:lang w:val="en-US"/>
        </w:rPr>
        <w:t>-</w:t>
      </w:r>
      <w:r w:rsidRPr="00AD47B5">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t>0.84</w:t>
      </w:r>
      <w:r w:rsidR="002E7553">
        <w:rPr>
          <w:rFonts w:ascii="Times New Roman" w:hAnsi="Times New Roman" w:cs="Times New Roman"/>
          <w:lang w:val="en-US"/>
        </w:rPr>
        <w:t>5</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A05A73" w:rsidRPr="00AD47B5"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logIncome</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w:t>
      </w:r>
      <w:r w:rsidR="002E7553">
        <w:rPr>
          <w:rFonts w:ascii="Times New Roman" w:hAnsi="Times New Roman" w:cs="Times New Roman"/>
          <w:lang w:val="en-US"/>
        </w:rPr>
        <w:t>36</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[0.03]</w:t>
      </w:r>
      <w:r>
        <w:rPr>
          <w:rFonts w:ascii="Times New Roman" w:hAnsi="Times New Roman" w:cs="Times New Roman"/>
          <w:lang w:val="en-US"/>
        </w:rPr>
        <w:tab/>
      </w:r>
    </w:p>
    <w:p w:rsidR="00A05A73" w:rsidRPr="0098736F" w:rsidRDefault="00A05A73" w:rsidP="00A05A73">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logIncome</w:t>
      </w:r>
      <w:proofErr w:type="spellEnd"/>
      <w:r>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2E7553">
        <w:rPr>
          <w:rFonts w:ascii="Times New Roman" w:hAnsi="Times New Roman" w:cs="Times New Roman"/>
          <w:lang w:val="en-US"/>
        </w:rPr>
        <w:t>58</w:t>
      </w:r>
      <w:r>
        <w:rPr>
          <w:rFonts w:ascii="Times New Roman" w:hAnsi="Times New Roman" w:cs="Times New Roman"/>
          <w:lang w:val="en-US"/>
        </w:rPr>
        <w:t>**</w:t>
      </w:r>
    </w:p>
    <w:p w:rsidR="00A05A73" w:rsidRPr="00AD47B5"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[0.05]</w:t>
      </w:r>
    </w:p>
    <w:p w:rsidR="00A05A73" w:rsidRDefault="002E7553" w:rsidP="00A05A73">
      <w:pPr>
        <w:spacing w:line="240" w:lineRule="auto"/>
        <w:jc w:val="both"/>
        <w:rPr>
          <w:rFonts w:ascii="Times New Roman" w:hAnsi="Times New Roman" w:cs="Times New Roman"/>
          <w:lang w:val="en-US"/>
        </w:rPr>
      </w:pPr>
      <w:r>
        <w:rPr>
          <w:rFonts w:ascii="Times New Roman" w:hAnsi="Times New Roman" w:cs="Times New Roman"/>
          <w:lang w:val="en-US"/>
        </w:rPr>
        <w:t>Term spread</w:t>
      </w:r>
      <w:r w:rsidR="00A05A73">
        <w:rPr>
          <w:rFonts w:ascii="Times New Roman" w:hAnsi="Times New Roman" w:cs="Times New Roman"/>
          <w:lang w:val="en-US"/>
        </w:rPr>
        <w:tab/>
      </w:r>
      <w:r w:rsidR="00A05A73">
        <w:rPr>
          <w:rFonts w:ascii="Times New Roman" w:hAnsi="Times New Roman" w:cs="Times New Roman"/>
          <w:lang w:val="en-US"/>
        </w:rPr>
        <w:tab/>
      </w:r>
      <w:r w:rsidR="00A05A73">
        <w:rPr>
          <w:rFonts w:ascii="Times New Roman" w:hAnsi="Times New Roman" w:cs="Times New Roman"/>
          <w:lang w:val="en-US"/>
        </w:rPr>
        <w:tab/>
        <w:t>0.1</w:t>
      </w:r>
      <w:r>
        <w:rPr>
          <w:rFonts w:ascii="Times New Roman" w:hAnsi="Times New Roman" w:cs="Times New Roman"/>
          <w:lang w:val="en-US"/>
        </w:rPr>
        <w:t>97</w:t>
      </w:r>
      <w:r w:rsidR="00A05A73">
        <w:rPr>
          <w:rFonts w:ascii="Times New Roman" w:hAnsi="Times New Roman" w:cs="Times New Roman"/>
          <w:lang w:val="en-US"/>
        </w:rPr>
        <w:t>***</w:t>
      </w:r>
      <w:r w:rsidR="00A05A73">
        <w:rPr>
          <w:rFonts w:ascii="Times New Roman" w:hAnsi="Times New Roman" w:cs="Times New Roman"/>
          <w:lang w:val="en-US"/>
        </w:rPr>
        <w:tab/>
      </w:r>
      <w:r w:rsidR="00A05A73">
        <w:rPr>
          <w:rFonts w:ascii="Times New Roman" w:hAnsi="Times New Roman" w:cs="Times New Roman"/>
          <w:lang w:val="en-US"/>
        </w:rPr>
        <w:tab/>
      </w:r>
    </w:p>
    <w:p w:rsidR="00A05A73" w:rsidRPr="00AD47B5"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2E7553">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Default="002E7553" w:rsidP="00A05A73">
      <w:pPr>
        <w:spacing w:line="240" w:lineRule="auto"/>
        <w:jc w:val="both"/>
        <w:rPr>
          <w:rFonts w:ascii="Times New Roman" w:hAnsi="Times New Roman" w:cs="Times New Roman"/>
          <w:lang w:val="en-US"/>
        </w:rPr>
      </w:pPr>
      <w:r>
        <w:rPr>
          <w:rFonts w:ascii="Times New Roman" w:hAnsi="Times New Roman" w:cs="Times New Roman"/>
          <w:lang w:val="en-US"/>
        </w:rPr>
        <w:t xml:space="preserve">Term </w:t>
      </w:r>
      <w:proofErr w:type="gramStart"/>
      <w:r>
        <w:rPr>
          <w:rFonts w:ascii="Times New Roman" w:hAnsi="Times New Roman" w:cs="Times New Roman"/>
          <w:lang w:val="en-US"/>
        </w:rPr>
        <w:t>spread</w:t>
      </w:r>
      <w:r w:rsidR="00A05A73">
        <w:rPr>
          <w:rFonts w:ascii="Times New Roman" w:hAnsi="Times New Roman" w:cs="Times New Roman"/>
          <w:lang w:val="en-US"/>
        </w:rPr>
        <w:t>(</w:t>
      </w:r>
      <w:proofErr w:type="gramEnd"/>
      <w:r w:rsidR="00A05A73">
        <w:rPr>
          <w:rFonts w:ascii="Times New Roman" w:hAnsi="Times New Roman" w:cs="Times New Roman"/>
          <w:lang w:val="en-US"/>
        </w:rPr>
        <w:t>-1)</w:t>
      </w:r>
      <w:r w:rsidR="00A05A73">
        <w:rPr>
          <w:rFonts w:ascii="Times New Roman" w:hAnsi="Times New Roman" w:cs="Times New Roman"/>
          <w:lang w:val="en-US"/>
        </w:rPr>
        <w:tab/>
      </w:r>
      <w:r w:rsidR="00A05A73">
        <w:rPr>
          <w:rFonts w:ascii="Times New Roman" w:hAnsi="Times New Roman" w:cs="Times New Roman"/>
          <w:lang w:val="en-US"/>
        </w:rPr>
        <w:tab/>
      </w:r>
      <w:r w:rsidR="00A05A73">
        <w:rPr>
          <w:rFonts w:ascii="Times New Roman" w:hAnsi="Times New Roman" w:cs="Times New Roman"/>
          <w:lang w:val="en-US"/>
        </w:rPr>
        <w:tab/>
        <w:t>0.1</w:t>
      </w:r>
      <w:r>
        <w:rPr>
          <w:rFonts w:ascii="Times New Roman" w:hAnsi="Times New Roman" w:cs="Times New Roman"/>
          <w:lang w:val="en-US"/>
        </w:rPr>
        <w:t>18</w:t>
      </w:r>
      <w:r w:rsidR="00A05A73">
        <w:rPr>
          <w:rFonts w:ascii="Times New Roman" w:hAnsi="Times New Roman" w:cs="Times New Roman"/>
          <w:lang w:val="en-US"/>
        </w:rPr>
        <w:t>*</w:t>
      </w:r>
      <w:r>
        <w:rPr>
          <w:rFonts w:ascii="Times New Roman" w:hAnsi="Times New Roman" w:cs="Times New Roman"/>
          <w:lang w:val="en-US"/>
        </w:rPr>
        <w:t>*</w:t>
      </w:r>
      <w:r w:rsidR="00A05A73">
        <w:rPr>
          <w:rFonts w:ascii="Times New Roman" w:hAnsi="Times New Roman" w:cs="Times New Roman"/>
          <w:lang w:val="en-US"/>
        </w:rPr>
        <w:t>*</w:t>
      </w:r>
    </w:p>
    <w:p w:rsidR="00A05A73" w:rsidRPr="0098736F"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2E7553">
        <w:rPr>
          <w:rFonts w:ascii="Times New Roman" w:hAnsi="Times New Roman" w:cs="Times New Roman"/>
          <w:lang w:val="en-US"/>
        </w:rPr>
        <w:t>1</w:t>
      </w:r>
      <w:r>
        <w:rPr>
          <w:rFonts w:ascii="Times New Roman" w:hAnsi="Times New Roman" w:cs="Times New Roman"/>
          <w:lang w:val="en-US"/>
        </w:rPr>
        <w:t>]</w:t>
      </w:r>
    </w:p>
    <w:p w:rsidR="00A05A73"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rPr>
        <w:t>Δ</w:t>
      </w:r>
      <w:proofErr w:type="spellStart"/>
      <w:r w:rsidRPr="00AD47B5">
        <w:rPr>
          <w:rFonts w:ascii="Times New Roman" w:hAnsi="Times New Roman" w:cs="Times New Roman"/>
          <w:lang w:val="en-US"/>
        </w:rPr>
        <w:t>logHousing</w:t>
      </w:r>
      <w:proofErr w:type="spellEnd"/>
      <w:r w:rsidRPr="00AD47B5">
        <w:rPr>
          <w:rFonts w:ascii="Times New Roman" w:hAnsi="Times New Roman" w:cs="Times New Roman"/>
          <w:lang w:val="en-US"/>
        </w:rPr>
        <w:t xml:space="preserve"> price</w:t>
      </w:r>
      <w:r>
        <w:rPr>
          <w:rFonts w:ascii="Times New Roman" w:hAnsi="Times New Roman" w:cs="Times New Roman"/>
          <w:lang w:val="en-US"/>
        </w:rPr>
        <w:t>s</w:t>
      </w:r>
      <w:r>
        <w:rPr>
          <w:rFonts w:ascii="Times New Roman" w:hAnsi="Times New Roman" w:cs="Times New Roman"/>
          <w:lang w:val="en-US"/>
        </w:rPr>
        <w:tab/>
      </w:r>
      <w:r>
        <w:rPr>
          <w:rFonts w:ascii="Times New Roman" w:hAnsi="Times New Roman" w:cs="Times New Roman"/>
          <w:lang w:val="en-US"/>
        </w:rPr>
        <w:tab/>
        <w:t>0.2</w:t>
      </w:r>
      <w:r w:rsidR="002E7553">
        <w:rPr>
          <w:rFonts w:ascii="Times New Roman" w:hAnsi="Times New Roman" w:cs="Times New Roman"/>
          <w:lang w:val="en-US"/>
        </w:rPr>
        <w:t>28</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prices(-1)</w:t>
      </w:r>
      <w:r>
        <w:rPr>
          <w:rFonts w:ascii="Times New Roman" w:hAnsi="Times New Roman" w:cs="Times New Roman"/>
          <w:lang w:val="en-US"/>
        </w:rPr>
        <w:tab/>
      </w:r>
      <w:r>
        <w:rPr>
          <w:rFonts w:ascii="Times New Roman" w:hAnsi="Times New Roman" w:cs="Times New Roman"/>
          <w:lang w:val="en-US"/>
        </w:rPr>
        <w:tab/>
        <w:t>0.1</w:t>
      </w:r>
      <w:r w:rsidR="002E7553">
        <w:rPr>
          <w:rFonts w:ascii="Times New Roman" w:hAnsi="Times New Roman" w:cs="Times New Roman"/>
          <w:lang w:val="en-US"/>
        </w:rPr>
        <w:t>42</w:t>
      </w:r>
      <w:r>
        <w:rPr>
          <w:rFonts w:ascii="Times New Roman" w:hAnsi="Times New Roman" w:cs="Times New Roman"/>
          <w:lang w:val="en-US"/>
        </w:rPr>
        <w:t>***</w:t>
      </w:r>
    </w:p>
    <w:p w:rsidR="00A05A73"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[0.01]</w:t>
      </w:r>
    </w:p>
    <w:p w:rsidR="00A05A73" w:rsidRDefault="00A05A73" w:rsidP="00A05A73">
      <w:pPr>
        <w:spacing w:line="240" w:lineRule="auto"/>
        <w:jc w:val="both"/>
        <w:rPr>
          <w:rFonts w:ascii="Times New Roman" w:hAnsi="Times New Roman" w:cs="Times New Roman"/>
          <w:lang w:val="en-US"/>
        </w:rPr>
      </w:pPr>
      <w:r>
        <w:rPr>
          <w:rFonts w:ascii="Times New Roman" w:hAnsi="Times New Roman" w:cs="Times New Roman"/>
        </w:rPr>
        <w:t>Δ</w:t>
      </w:r>
      <w:proofErr w:type="spellStart"/>
      <w:r>
        <w:rPr>
          <w:rFonts w:ascii="Times New Roman" w:hAnsi="Times New Roman" w:cs="Times New Roman"/>
          <w:lang w:val="en-US"/>
        </w:rPr>
        <w:t>logHousing</w:t>
      </w:r>
      <w:proofErr w:type="spellEnd"/>
      <w:r>
        <w:rPr>
          <w:rFonts w:ascii="Times New Roman" w:hAnsi="Times New Roman" w:cs="Times New Roman"/>
          <w:lang w:val="en-US"/>
        </w:rPr>
        <w:t xml:space="preserve"> prices(-2)</w:t>
      </w:r>
      <w:r>
        <w:rPr>
          <w:rFonts w:ascii="Times New Roman" w:hAnsi="Times New Roman" w:cs="Times New Roman"/>
          <w:lang w:val="en-US"/>
        </w:rPr>
        <w:tab/>
      </w:r>
      <w:r>
        <w:rPr>
          <w:rFonts w:ascii="Times New Roman" w:hAnsi="Times New Roman" w:cs="Times New Roman"/>
          <w:lang w:val="en-US"/>
        </w:rPr>
        <w:tab/>
        <w:t>0.0</w:t>
      </w:r>
      <w:r w:rsidR="002E7553">
        <w:rPr>
          <w:rFonts w:ascii="Times New Roman" w:hAnsi="Times New Roman" w:cs="Times New Roman"/>
          <w:lang w:val="en-US"/>
        </w:rPr>
        <w:t>64</w:t>
      </w:r>
      <w:r>
        <w:rPr>
          <w:rFonts w:ascii="Times New Roman" w:hAnsi="Times New Roman" w:cs="Times New Roman"/>
          <w:lang w:val="en-US"/>
        </w:rPr>
        <w:t>**</w:t>
      </w:r>
    </w:p>
    <w:p w:rsidR="00A05A73" w:rsidRPr="0098736F"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2E7553">
        <w:rPr>
          <w:rFonts w:ascii="Times New Roman" w:hAnsi="Times New Roman" w:cs="Times New Roman"/>
          <w:lang w:val="en-US"/>
        </w:rPr>
        <w:t>3</w:t>
      </w:r>
      <w:r>
        <w:rPr>
          <w:rFonts w:ascii="Times New Roman" w:hAnsi="Times New Roman" w:cs="Times New Roman"/>
          <w:lang w:val="en-US"/>
        </w:rPr>
        <w:t>]</w:t>
      </w:r>
    </w:p>
    <w:p w:rsidR="00A05A73"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D2008</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-0.1</w:t>
      </w:r>
      <w:r w:rsidR="002E7553">
        <w:rPr>
          <w:rFonts w:ascii="Times New Roman" w:hAnsi="Times New Roman" w:cs="Times New Roman"/>
          <w:lang w:val="en-US"/>
        </w:rPr>
        <w:t>39</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112808"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2E7553">
        <w:rPr>
          <w:rFonts w:ascii="Times New Roman" w:hAnsi="Times New Roman" w:cs="Times New Roman"/>
          <w:lang w:val="en-US"/>
        </w:rPr>
        <w:t>0</w:t>
      </w:r>
      <w:r>
        <w:rPr>
          <w:rFonts w:ascii="Times New Roman" w:hAnsi="Times New Roman" w:cs="Times New Roman"/>
          <w:lang w:val="en-US"/>
        </w:rPr>
        <w:t>]</w:t>
      </w:r>
      <w:r>
        <w:rPr>
          <w:rFonts w:ascii="Times New Roman" w:hAnsi="Times New Roman" w:cs="Times New Roman"/>
          <w:lang w:val="en-US"/>
        </w:rPr>
        <w:tab/>
      </w:r>
    </w:p>
    <w:p w:rsidR="00112808" w:rsidRPr="00112808" w:rsidRDefault="00112808" w:rsidP="00112808">
      <w:pPr>
        <w:spacing w:line="240" w:lineRule="auto"/>
        <w:jc w:val="both"/>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DS x develop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0.529***</w:t>
      </w:r>
    </w:p>
    <w:p w:rsidR="00A05A73" w:rsidRPr="00AD47B5" w:rsidRDefault="00112808"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[0.00]</w:t>
      </w:r>
      <w:r w:rsidR="00A05A73">
        <w:rPr>
          <w:rFonts w:ascii="Times New Roman" w:hAnsi="Times New Roman" w:cs="Times New Roman"/>
          <w:lang w:val="en-US"/>
        </w:rPr>
        <w:tab/>
      </w:r>
      <w:r w:rsidR="00A05A73">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lang w:val="en-US"/>
        </w:rPr>
        <w:t>Constant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w:t>
      </w:r>
      <w:r w:rsidR="002E7553">
        <w:rPr>
          <w:rFonts w:ascii="Times New Roman" w:hAnsi="Times New Roman" w:cs="Times New Roman"/>
          <w:lang w:val="en-US"/>
        </w:rPr>
        <w:t>088</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Pr="00AD47B5"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[0.0</w:t>
      </w:r>
      <w:r w:rsidR="002E7553">
        <w:rPr>
          <w:rFonts w:ascii="Times New Roman" w:hAnsi="Times New Roman" w:cs="Times New Roman"/>
          <w:lang w:val="en-US"/>
        </w:rPr>
        <w:t>7</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Pr="00AD47B5"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lang w:val="en-US"/>
        </w:rPr>
        <w:t>Observations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2,400</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lang w:val="en-US"/>
        </w:rPr>
        <w:lastRenderedPageBreak/>
        <w:t>Countries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32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R</w:t>
      </w:r>
      <w:r w:rsidRPr="001A6D89">
        <w:rPr>
          <w:rFonts w:ascii="Times New Roman" w:hAnsi="Times New Roman" w:cs="Times New Roman"/>
          <w:vertAlign w:val="superscript"/>
          <w:lang w:val="en-US"/>
        </w:rPr>
        <w:t>2</w:t>
      </w:r>
      <w:r>
        <w:rPr>
          <w:rFonts w:ascii="Times New Roman" w:hAnsi="Times New Roman" w:cs="Times New Roman"/>
          <w:lang w:val="en-US"/>
        </w:rPr>
        <w:t>-adjusted</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0.7</w:t>
      </w:r>
      <w:r w:rsidR="002E7553">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Pr="00AD47B5" w:rsidRDefault="00A05A73" w:rsidP="00A05A73">
      <w:pPr>
        <w:spacing w:line="240" w:lineRule="auto"/>
        <w:jc w:val="both"/>
        <w:rPr>
          <w:rFonts w:ascii="Times New Roman" w:hAnsi="Times New Roman" w:cs="Times New Roman"/>
          <w:lang w:val="en-US"/>
        </w:rPr>
      </w:pPr>
      <w:r>
        <w:rPr>
          <w:rFonts w:ascii="Times New Roman" w:hAnsi="Times New Roman" w:cs="Times New Roman"/>
          <w:lang w:val="en-US"/>
        </w:rPr>
        <w:t>Instruments used</w:t>
      </w:r>
      <w:r>
        <w:rPr>
          <w:rFonts w:ascii="Times New Roman" w:hAnsi="Times New Roman" w:cs="Times New Roman"/>
          <w:lang w:val="en-US"/>
        </w:rPr>
        <w:tab/>
      </w:r>
      <w:r>
        <w:rPr>
          <w:rFonts w:ascii="Times New Roman" w:hAnsi="Times New Roman" w:cs="Times New Roman"/>
          <w:lang w:val="en-US"/>
        </w:rPr>
        <w:tab/>
        <w:t>2</w:t>
      </w:r>
      <w:r w:rsidR="00FE0E8D">
        <w:rPr>
          <w:rFonts w:ascii="Times New Roman" w:hAnsi="Times New Roman" w:cs="Times New Roman"/>
          <w:lang w:val="en-US"/>
        </w:rPr>
        <w:t>9</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Pr="00AD47B5"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lang w:val="en-US"/>
        </w:rPr>
        <w:t>Hansen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0.9</w:t>
      </w:r>
      <w:r w:rsidR="002E7553">
        <w:rPr>
          <w:rFonts w:ascii="Times New Roman" w:hAnsi="Times New Roman" w:cs="Times New Roman"/>
          <w:lang w:val="en-US"/>
        </w:rPr>
        <w:t>9</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Pr="00AD47B5" w:rsidRDefault="00A05A73" w:rsidP="00A05A73">
      <w:pPr>
        <w:spacing w:line="240" w:lineRule="auto"/>
        <w:jc w:val="both"/>
        <w:rPr>
          <w:rFonts w:ascii="Times New Roman" w:hAnsi="Times New Roman" w:cs="Times New Roman"/>
          <w:lang w:val="en-US"/>
        </w:rPr>
      </w:pPr>
      <w:r w:rsidRPr="00AD47B5">
        <w:rPr>
          <w:rFonts w:ascii="Times New Roman" w:hAnsi="Times New Roman" w:cs="Times New Roman"/>
          <w:lang w:val="en-US"/>
        </w:rPr>
        <w:t>AR1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0.0</w:t>
      </w:r>
      <w:r w:rsidR="002E7553">
        <w:rPr>
          <w:rFonts w:ascii="Times New Roman" w:hAnsi="Times New Roman" w:cs="Times New Roman"/>
          <w:lang w:val="en-US"/>
        </w:rPr>
        <w:t>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Default="00A05A73" w:rsidP="00A05A73">
      <w:pPr>
        <w:spacing w:line="240" w:lineRule="auto"/>
        <w:jc w:val="both"/>
        <w:rPr>
          <w:rFonts w:ascii="Times New Roman" w:hAnsi="Times New Roman" w:cs="Times New Roman"/>
          <w:sz w:val="24"/>
          <w:szCs w:val="24"/>
          <w:lang w:val="en-US"/>
        </w:rPr>
      </w:pPr>
      <w:r w:rsidRPr="00AD47B5">
        <w:rPr>
          <w:rFonts w:ascii="Times New Roman" w:hAnsi="Times New Roman" w:cs="Times New Roman"/>
          <w:lang w:val="en-US"/>
        </w:rPr>
        <w:t>AR2 p-value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w:t>
      </w:r>
      <w:r w:rsidR="002E7553">
        <w:rPr>
          <w:rFonts w:ascii="Times New Roman" w:hAnsi="Times New Roman" w:cs="Times New Roman"/>
          <w:lang w:val="en-US"/>
        </w:rPr>
        <w:t>49</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A05A73" w:rsidRPr="00D51CAE" w:rsidRDefault="00A05A73" w:rsidP="00A05A7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A05A73" w:rsidRPr="00605848" w:rsidRDefault="002E7553" w:rsidP="00A05A73">
      <w:pPr>
        <w:spacing w:line="240" w:lineRule="auto"/>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Similar to those in Table 2</w:t>
      </w:r>
      <w:r w:rsidR="00A05A73" w:rsidRPr="00605848">
        <w:rPr>
          <w:rFonts w:ascii="Times New Roman" w:hAnsi="Times New Roman" w:cs="Times New Roman"/>
          <w:sz w:val="20"/>
          <w:szCs w:val="20"/>
          <w:lang w:val="en-US"/>
        </w:rPr>
        <w:t>.</w:t>
      </w:r>
      <w:proofErr w:type="gramEnd"/>
    </w:p>
    <w:p w:rsidR="007317D7" w:rsidRDefault="007317D7"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50735B" w:rsidP="00E24DA5">
      <w:pPr>
        <w:spacing w:line="480" w:lineRule="auto"/>
        <w:jc w:val="both"/>
        <w:rPr>
          <w:rFonts w:ascii="Times New Roman" w:hAnsi="Times New Roman" w:cs="Times New Roman"/>
          <w:sz w:val="24"/>
          <w:szCs w:val="24"/>
          <w:lang w:val="en-US"/>
        </w:rPr>
      </w:pPr>
    </w:p>
    <w:p w:rsidR="0050735B" w:rsidRDefault="004426D8" w:rsidP="0050735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7</w:t>
      </w:r>
    </w:p>
    <w:p w:rsidR="0050735B" w:rsidRDefault="0050735B" w:rsidP="0050735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VARIANCE DECOMPOSITIONS (%) FOR HOUSEHOLD CONSUMPTION</w:t>
      </w:r>
    </w:p>
    <w:p w:rsidR="0050735B" w:rsidRDefault="0050735B" w:rsidP="00E24D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50735B" w:rsidRDefault="0050735B" w:rsidP="00E24D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Forecast horizon</w:t>
      </w:r>
    </w:p>
    <w:p w:rsidR="0050735B" w:rsidRDefault="0050735B" w:rsidP="00E24D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(Quarters)</w:t>
      </w:r>
      <w:r>
        <w:rPr>
          <w:rFonts w:ascii="Times New Roman" w:hAnsi="Times New Roman" w:cs="Times New Roman"/>
          <w:sz w:val="24"/>
          <w:szCs w:val="24"/>
          <w:lang w:val="en-US"/>
        </w:rPr>
        <w:tab/>
        <w:t xml:space="preserve">    Consumption</w:t>
      </w:r>
      <w:r>
        <w:rPr>
          <w:rFonts w:ascii="Times New Roman" w:hAnsi="Times New Roman" w:cs="Times New Roman"/>
          <w:sz w:val="24"/>
          <w:szCs w:val="24"/>
          <w:lang w:val="en-US"/>
        </w:rPr>
        <w:tab/>
        <w:t xml:space="preserve">    Interest rates</w:t>
      </w:r>
      <w:r>
        <w:rPr>
          <w:rFonts w:ascii="Times New Roman" w:hAnsi="Times New Roman" w:cs="Times New Roman"/>
          <w:sz w:val="24"/>
          <w:szCs w:val="24"/>
          <w:lang w:val="en-US"/>
        </w:rPr>
        <w:tab/>
        <w:t xml:space="preserve">    Liquidity constraints</w:t>
      </w:r>
    </w:p>
    <w:p w:rsidR="0050735B" w:rsidRDefault="0050735B" w:rsidP="00E24D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w:t>
      </w:r>
    </w:p>
    <w:p w:rsidR="001C375D" w:rsidRDefault="0050735B" w:rsidP="00E24D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4</w:t>
      </w:r>
      <w:r>
        <w:rPr>
          <w:rFonts w:ascii="Times New Roman" w:hAnsi="Times New Roman" w:cs="Times New Roman"/>
          <w:sz w:val="24"/>
          <w:szCs w:val="24"/>
          <w:lang w:val="en-US"/>
        </w:rPr>
        <w:tab/>
      </w:r>
      <w:r>
        <w:rPr>
          <w:rFonts w:ascii="Times New Roman" w:hAnsi="Times New Roman" w:cs="Times New Roman"/>
          <w:sz w:val="24"/>
          <w:szCs w:val="24"/>
          <w:lang w:val="en-US"/>
        </w:rPr>
        <w:tab/>
        <w:t>89</w:t>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t xml:space="preserve"> 5</w:t>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t xml:space="preserve">      6</w:t>
      </w:r>
      <w:r>
        <w:rPr>
          <w:rFonts w:ascii="Times New Roman" w:hAnsi="Times New Roman" w:cs="Times New Roman"/>
          <w:sz w:val="24"/>
          <w:szCs w:val="24"/>
          <w:lang w:val="en-US"/>
        </w:rPr>
        <w:tab/>
      </w:r>
    </w:p>
    <w:p w:rsidR="0050735B" w:rsidRDefault="001C375D" w:rsidP="00E24D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(3.45)</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(3.01)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(3.49)</w:t>
      </w:r>
      <w:r w:rsidR="0050735B">
        <w:rPr>
          <w:rFonts w:ascii="Times New Roman" w:hAnsi="Times New Roman" w:cs="Times New Roman"/>
          <w:sz w:val="24"/>
          <w:szCs w:val="24"/>
          <w:lang w:val="en-US"/>
        </w:rPr>
        <w:tab/>
      </w:r>
    </w:p>
    <w:p w:rsidR="0050735B" w:rsidRDefault="0050735B" w:rsidP="00E24D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8</w:t>
      </w:r>
      <w:r>
        <w:rPr>
          <w:rFonts w:ascii="Times New Roman" w:hAnsi="Times New Roman" w:cs="Times New Roman"/>
          <w:sz w:val="24"/>
          <w:szCs w:val="24"/>
          <w:lang w:val="en-US"/>
        </w:rPr>
        <w:tab/>
      </w:r>
      <w:r>
        <w:rPr>
          <w:rFonts w:ascii="Times New Roman" w:hAnsi="Times New Roman" w:cs="Times New Roman"/>
          <w:sz w:val="24"/>
          <w:szCs w:val="24"/>
          <w:lang w:val="en-US"/>
        </w:rPr>
        <w:tab/>
        <w:t>53</w:t>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t>19</w:t>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t xml:space="preserve">    28</w:t>
      </w:r>
    </w:p>
    <w:p w:rsidR="001C375D" w:rsidRDefault="001C375D" w:rsidP="00E24DA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(3.11)</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(2.68)</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(2.73)</w:t>
      </w:r>
    </w:p>
    <w:p w:rsidR="0050735B" w:rsidRDefault="0050735B" w:rsidP="00E24DA5">
      <w:pPr>
        <w:pBdr>
          <w:bottom w:val="single" w:sz="12" w:space="1" w:color="auto"/>
        </w:pBd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20</w:t>
      </w:r>
      <w:r>
        <w:rPr>
          <w:rFonts w:ascii="Times New Roman" w:hAnsi="Times New Roman" w:cs="Times New Roman"/>
          <w:sz w:val="24"/>
          <w:szCs w:val="24"/>
          <w:lang w:val="en-US"/>
        </w:rPr>
        <w:tab/>
      </w:r>
      <w:r>
        <w:rPr>
          <w:rFonts w:ascii="Times New Roman" w:hAnsi="Times New Roman" w:cs="Times New Roman"/>
          <w:sz w:val="24"/>
          <w:szCs w:val="24"/>
          <w:lang w:val="en-US"/>
        </w:rPr>
        <w:tab/>
        <w:t>24</w:t>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t>30</w:t>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r>
      <w:r w:rsidR="00610AAB">
        <w:rPr>
          <w:rFonts w:ascii="Times New Roman" w:hAnsi="Times New Roman" w:cs="Times New Roman"/>
          <w:sz w:val="24"/>
          <w:szCs w:val="24"/>
          <w:lang w:val="en-US"/>
        </w:rPr>
        <w:tab/>
        <w:t xml:space="preserve">    46</w:t>
      </w:r>
    </w:p>
    <w:p w:rsidR="001C375D" w:rsidRDefault="001C375D" w:rsidP="001C375D">
      <w:pPr>
        <w:pBdr>
          <w:bottom w:val="single" w:sz="12" w:space="1" w:color="auto"/>
        </w:pBd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(1.26)</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(0.86)</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(0.92)</w:t>
      </w:r>
    </w:p>
    <w:p w:rsidR="0050735B" w:rsidRDefault="0050735B" w:rsidP="00E24DA5">
      <w:pPr>
        <w:spacing w:line="480" w:lineRule="auto"/>
        <w:jc w:val="both"/>
        <w:rPr>
          <w:rFonts w:ascii="Times New Roman" w:hAnsi="Times New Roman" w:cs="Times New Roman"/>
          <w:sz w:val="20"/>
          <w:szCs w:val="20"/>
          <w:lang w:val="en-US"/>
        </w:rPr>
      </w:pPr>
      <w:r w:rsidRPr="00C700F9">
        <w:rPr>
          <w:rFonts w:ascii="Times New Roman" w:hAnsi="Times New Roman" w:cs="Times New Roman"/>
          <w:sz w:val="20"/>
          <w:szCs w:val="20"/>
          <w:lang w:val="en-US"/>
        </w:rPr>
        <w:t xml:space="preserve">The figures denote the proportion of </w:t>
      </w:r>
      <w:r w:rsidR="00C700F9" w:rsidRPr="00C700F9">
        <w:rPr>
          <w:rFonts w:ascii="Times New Roman" w:hAnsi="Times New Roman" w:cs="Times New Roman"/>
          <w:sz w:val="20"/>
          <w:szCs w:val="20"/>
          <w:lang w:val="en-US"/>
        </w:rPr>
        <w:t>forecast errors in interest rates and liquidity constraints.</w:t>
      </w:r>
      <w:r w:rsidR="001C375D">
        <w:rPr>
          <w:rFonts w:ascii="Times New Roman" w:hAnsi="Times New Roman" w:cs="Times New Roman"/>
          <w:sz w:val="20"/>
          <w:szCs w:val="20"/>
          <w:lang w:val="en-US"/>
        </w:rPr>
        <w:t xml:space="preserve"> Figures in parentheses denote bootstrapped standard errors.</w:t>
      </w:r>
    </w:p>
    <w:p w:rsidR="001C375D" w:rsidRPr="00C700F9" w:rsidRDefault="001C375D" w:rsidP="00E24DA5">
      <w:pPr>
        <w:spacing w:line="480" w:lineRule="auto"/>
        <w:jc w:val="both"/>
        <w:rPr>
          <w:rFonts w:ascii="Times New Roman" w:hAnsi="Times New Roman" w:cs="Times New Roman"/>
          <w:sz w:val="20"/>
          <w:szCs w:val="20"/>
          <w:lang w:val="en-US"/>
        </w:rPr>
      </w:pPr>
    </w:p>
    <w:sectPr w:rsidR="001C375D" w:rsidRPr="00C700F9" w:rsidSect="00444E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DB" w:rsidRDefault="00737CDB" w:rsidP="004C0F7A">
      <w:pPr>
        <w:spacing w:after="0" w:line="240" w:lineRule="auto"/>
      </w:pPr>
      <w:r>
        <w:separator/>
      </w:r>
    </w:p>
  </w:endnote>
  <w:endnote w:type="continuationSeparator" w:id="0">
    <w:p w:rsidR="00737CDB" w:rsidRDefault="00737CDB" w:rsidP="004C0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DB" w:rsidRDefault="00737CDB" w:rsidP="004C0F7A">
      <w:pPr>
        <w:spacing w:after="0" w:line="240" w:lineRule="auto"/>
      </w:pPr>
      <w:r>
        <w:separator/>
      </w:r>
    </w:p>
  </w:footnote>
  <w:footnote w:type="continuationSeparator" w:id="0">
    <w:p w:rsidR="00737CDB" w:rsidRDefault="00737CDB" w:rsidP="004C0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1233"/>
      <w:docPartObj>
        <w:docPartGallery w:val="Page Numbers (Top of Page)"/>
        <w:docPartUnique/>
      </w:docPartObj>
    </w:sdtPr>
    <w:sdtContent>
      <w:p w:rsidR="00722120" w:rsidRDefault="000426EC">
        <w:pPr>
          <w:pStyle w:val="a5"/>
          <w:jc w:val="right"/>
        </w:pPr>
        <w:fldSimple w:instr=" PAGE   \* MERGEFORMAT ">
          <w:r w:rsidR="00804350">
            <w:rPr>
              <w:noProof/>
            </w:rPr>
            <w:t>2</w:t>
          </w:r>
        </w:fldSimple>
      </w:p>
    </w:sdtContent>
  </w:sdt>
  <w:p w:rsidR="00722120" w:rsidRDefault="007221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886"/>
    <w:multiLevelType w:val="hybridMultilevel"/>
    <w:tmpl w:val="6020320A"/>
    <w:lvl w:ilvl="0" w:tplc="09D81E80">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61935"/>
    <w:rsid w:val="00004196"/>
    <w:rsid w:val="00012262"/>
    <w:rsid w:val="0001463C"/>
    <w:rsid w:val="00014EF8"/>
    <w:rsid w:val="0001504C"/>
    <w:rsid w:val="00015863"/>
    <w:rsid w:val="0003530B"/>
    <w:rsid w:val="00036C9D"/>
    <w:rsid w:val="000426EC"/>
    <w:rsid w:val="00042F8F"/>
    <w:rsid w:val="00052AD1"/>
    <w:rsid w:val="00070506"/>
    <w:rsid w:val="000754BE"/>
    <w:rsid w:val="00075DDF"/>
    <w:rsid w:val="00081F99"/>
    <w:rsid w:val="000867BA"/>
    <w:rsid w:val="000A548A"/>
    <w:rsid w:val="000B34A0"/>
    <w:rsid w:val="000B6338"/>
    <w:rsid w:val="000C166E"/>
    <w:rsid w:val="000C5CE1"/>
    <w:rsid w:val="000C7558"/>
    <w:rsid w:val="000D4563"/>
    <w:rsid w:val="000E7714"/>
    <w:rsid w:val="000F73A6"/>
    <w:rsid w:val="00100448"/>
    <w:rsid w:val="001042CD"/>
    <w:rsid w:val="00110EDD"/>
    <w:rsid w:val="00112808"/>
    <w:rsid w:val="00113245"/>
    <w:rsid w:val="001162CB"/>
    <w:rsid w:val="00121AAF"/>
    <w:rsid w:val="001274A9"/>
    <w:rsid w:val="001359A8"/>
    <w:rsid w:val="00136EE3"/>
    <w:rsid w:val="00151396"/>
    <w:rsid w:val="00152108"/>
    <w:rsid w:val="00160F7C"/>
    <w:rsid w:val="001628C0"/>
    <w:rsid w:val="00167043"/>
    <w:rsid w:val="001735E3"/>
    <w:rsid w:val="00173928"/>
    <w:rsid w:val="00177980"/>
    <w:rsid w:val="00186DD8"/>
    <w:rsid w:val="00193F75"/>
    <w:rsid w:val="00194EC8"/>
    <w:rsid w:val="00195047"/>
    <w:rsid w:val="001A4236"/>
    <w:rsid w:val="001A6D89"/>
    <w:rsid w:val="001B02E1"/>
    <w:rsid w:val="001B076A"/>
    <w:rsid w:val="001C375D"/>
    <w:rsid w:val="001C7C99"/>
    <w:rsid w:val="001D1C05"/>
    <w:rsid w:val="001D5DF5"/>
    <w:rsid w:val="001D696E"/>
    <w:rsid w:val="001E6BFC"/>
    <w:rsid w:val="001F12C8"/>
    <w:rsid w:val="001F31C0"/>
    <w:rsid w:val="001F63DE"/>
    <w:rsid w:val="001F6A38"/>
    <w:rsid w:val="00232E1C"/>
    <w:rsid w:val="00244C9E"/>
    <w:rsid w:val="00246DF2"/>
    <w:rsid w:val="00262F8D"/>
    <w:rsid w:val="00264E20"/>
    <w:rsid w:val="0026566F"/>
    <w:rsid w:val="0027016D"/>
    <w:rsid w:val="00277BBE"/>
    <w:rsid w:val="0028173B"/>
    <w:rsid w:val="00291D99"/>
    <w:rsid w:val="002B1A74"/>
    <w:rsid w:val="002C75AC"/>
    <w:rsid w:val="002D095D"/>
    <w:rsid w:val="002D15DB"/>
    <w:rsid w:val="002D41AB"/>
    <w:rsid w:val="002D70FF"/>
    <w:rsid w:val="002E0CB7"/>
    <w:rsid w:val="002E5934"/>
    <w:rsid w:val="002E7553"/>
    <w:rsid w:val="002F3389"/>
    <w:rsid w:val="002F698C"/>
    <w:rsid w:val="00301409"/>
    <w:rsid w:val="00302283"/>
    <w:rsid w:val="003035AC"/>
    <w:rsid w:val="00303EF0"/>
    <w:rsid w:val="003062A3"/>
    <w:rsid w:val="00313284"/>
    <w:rsid w:val="00321C6C"/>
    <w:rsid w:val="0032301C"/>
    <w:rsid w:val="003274D5"/>
    <w:rsid w:val="003361DB"/>
    <w:rsid w:val="00340BDD"/>
    <w:rsid w:val="003467B6"/>
    <w:rsid w:val="00374800"/>
    <w:rsid w:val="00376DA7"/>
    <w:rsid w:val="00381C07"/>
    <w:rsid w:val="003825A7"/>
    <w:rsid w:val="003831D9"/>
    <w:rsid w:val="00394A34"/>
    <w:rsid w:val="0039671A"/>
    <w:rsid w:val="003A3008"/>
    <w:rsid w:val="003A6FBD"/>
    <w:rsid w:val="003B1DF0"/>
    <w:rsid w:val="003B206D"/>
    <w:rsid w:val="003C7080"/>
    <w:rsid w:val="003D5138"/>
    <w:rsid w:val="003E4C09"/>
    <w:rsid w:val="003E6059"/>
    <w:rsid w:val="00407118"/>
    <w:rsid w:val="004131D2"/>
    <w:rsid w:val="004200B2"/>
    <w:rsid w:val="0043171B"/>
    <w:rsid w:val="00433DF3"/>
    <w:rsid w:val="004426D8"/>
    <w:rsid w:val="00444EE8"/>
    <w:rsid w:val="00452868"/>
    <w:rsid w:val="004638AB"/>
    <w:rsid w:val="0046520E"/>
    <w:rsid w:val="00470110"/>
    <w:rsid w:val="004728CD"/>
    <w:rsid w:val="004762E3"/>
    <w:rsid w:val="00481073"/>
    <w:rsid w:val="00487A7C"/>
    <w:rsid w:val="004952EB"/>
    <w:rsid w:val="004A01AD"/>
    <w:rsid w:val="004B1FB6"/>
    <w:rsid w:val="004C0F7A"/>
    <w:rsid w:val="004C2D7F"/>
    <w:rsid w:val="004C6B06"/>
    <w:rsid w:val="004C7A35"/>
    <w:rsid w:val="004D2B69"/>
    <w:rsid w:val="004D37AA"/>
    <w:rsid w:val="004D6CA7"/>
    <w:rsid w:val="004E4B65"/>
    <w:rsid w:val="004F19B7"/>
    <w:rsid w:val="004F5539"/>
    <w:rsid w:val="0050735B"/>
    <w:rsid w:val="005169B7"/>
    <w:rsid w:val="00522048"/>
    <w:rsid w:val="005303D9"/>
    <w:rsid w:val="005370AA"/>
    <w:rsid w:val="00541BB1"/>
    <w:rsid w:val="00542E6E"/>
    <w:rsid w:val="005635A0"/>
    <w:rsid w:val="00573D32"/>
    <w:rsid w:val="00580BD6"/>
    <w:rsid w:val="005832EB"/>
    <w:rsid w:val="005857ED"/>
    <w:rsid w:val="00587BA8"/>
    <w:rsid w:val="005911A1"/>
    <w:rsid w:val="0059151B"/>
    <w:rsid w:val="005A10AF"/>
    <w:rsid w:val="005B5B8F"/>
    <w:rsid w:val="005B6F52"/>
    <w:rsid w:val="005C2BC1"/>
    <w:rsid w:val="005C5DA6"/>
    <w:rsid w:val="005D370D"/>
    <w:rsid w:val="005D6AE3"/>
    <w:rsid w:val="005F2B19"/>
    <w:rsid w:val="00601DBC"/>
    <w:rsid w:val="00602AF4"/>
    <w:rsid w:val="00605848"/>
    <w:rsid w:val="00606845"/>
    <w:rsid w:val="00606A20"/>
    <w:rsid w:val="00610988"/>
    <w:rsid w:val="00610AAB"/>
    <w:rsid w:val="00615B95"/>
    <w:rsid w:val="00617335"/>
    <w:rsid w:val="006220DD"/>
    <w:rsid w:val="00624F8F"/>
    <w:rsid w:val="00635311"/>
    <w:rsid w:val="00643474"/>
    <w:rsid w:val="006517C0"/>
    <w:rsid w:val="00654F8A"/>
    <w:rsid w:val="0067764B"/>
    <w:rsid w:val="006803E4"/>
    <w:rsid w:val="006808CE"/>
    <w:rsid w:val="00683D71"/>
    <w:rsid w:val="0068610A"/>
    <w:rsid w:val="006A5847"/>
    <w:rsid w:val="006B124A"/>
    <w:rsid w:val="006B4E4A"/>
    <w:rsid w:val="006C3612"/>
    <w:rsid w:val="006C4B26"/>
    <w:rsid w:val="006C5692"/>
    <w:rsid w:val="006D091A"/>
    <w:rsid w:val="006D199A"/>
    <w:rsid w:val="006D5BEB"/>
    <w:rsid w:val="00706410"/>
    <w:rsid w:val="007121A5"/>
    <w:rsid w:val="00712DE0"/>
    <w:rsid w:val="00713925"/>
    <w:rsid w:val="0072067E"/>
    <w:rsid w:val="00720B80"/>
    <w:rsid w:val="00722120"/>
    <w:rsid w:val="00727CD2"/>
    <w:rsid w:val="007317D7"/>
    <w:rsid w:val="00736C20"/>
    <w:rsid w:val="00736C3D"/>
    <w:rsid w:val="00737CDB"/>
    <w:rsid w:val="0075713F"/>
    <w:rsid w:val="00762076"/>
    <w:rsid w:val="0076420D"/>
    <w:rsid w:val="00772ECB"/>
    <w:rsid w:val="00795B03"/>
    <w:rsid w:val="00796421"/>
    <w:rsid w:val="007977F3"/>
    <w:rsid w:val="007A4C74"/>
    <w:rsid w:val="007A615C"/>
    <w:rsid w:val="007A7CA0"/>
    <w:rsid w:val="007B705E"/>
    <w:rsid w:val="007C0B60"/>
    <w:rsid w:val="007C5B87"/>
    <w:rsid w:val="007C68A5"/>
    <w:rsid w:val="007D05BF"/>
    <w:rsid w:val="007D2188"/>
    <w:rsid w:val="007E00CE"/>
    <w:rsid w:val="007E4AB0"/>
    <w:rsid w:val="00804350"/>
    <w:rsid w:val="00810959"/>
    <w:rsid w:val="0081636C"/>
    <w:rsid w:val="0083147F"/>
    <w:rsid w:val="00841E64"/>
    <w:rsid w:val="00842F9C"/>
    <w:rsid w:val="008435D1"/>
    <w:rsid w:val="00847DB1"/>
    <w:rsid w:val="00850563"/>
    <w:rsid w:val="00866BB6"/>
    <w:rsid w:val="008670EA"/>
    <w:rsid w:val="00882A39"/>
    <w:rsid w:val="00883179"/>
    <w:rsid w:val="00890F2D"/>
    <w:rsid w:val="008932CF"/>
    <w:rsid w:val="008B06E8"/>
    <w:rsid w:val="008B402A"/>
    <w:rsid w:val="008E3BEB"/>
    <w:rsid w:val="008F4588"/>
    <w:rsid w:val="00903EA2"/>
    <w:rsid w:val="009112F3"/>
    <w:rsid w:val="009139C6"/>
    <w:rsid w:val="00916F1E"/>
    <w:rsid w:val="00923FDB"/>
    <w:rsid w:val="00924E85"/>
    <w:rsid w:val="00926C7D"/>
    <w:rsid w:val="00951ACF"/>
    <w:rsid w:val="0095438C"/>
    <w:rsid w:val="00956A1F"/>
    <w:rsid w:val="00961935"/>
    <w:rsid w:val="00962F5B"/>
    <w:rsid w:val="009657A0"/>
    <w:rsid w:val="00972013"/>
    <w:rsid w:val="009739AE"/>
    <w:rsid w:val="009756CF"/>
    <w:rsid w:val="00981895"/>
    <w:rsid w:val="009826CE"/>
    <w:rsid w:val="00983508"/>
    <w:rsid w:val="0098653D"/>
    <w:rsid w:val="0098736F"/>
    <w:rsid w:val="009905BE"/>
    <w:rsid w:val="00996E66"/>
    <w:rsid w:val="00997388"/>
    <w:rsid w:val="009B1B49"/>
    <w:rsid w:val="009C329C"/>
    <w:rsid w:val="009C5AC7"/>
    <w:rsid w:val="009C7636"/>
    <w:rsid w:val="009D07A3"/>
    <w:rsid w:val="009D3C12"/>
    <w:rsid w:val="009E7113"/>
    <w:rsid w:val="009E7F24"/>
    <w:rsid w:val="009F40C0"/>
    <w:rsid w:val="009F495D"/>
    <w:rsid w:val="00A024A4"/>
    <w:rsid w:val="00A05A73"/>
    <w:rsid w:val="00A1583F"/>
    <w:rsid w:val="00A174E4"/>
    <w:rsid w:val="00A2766A"/>
    <w:rsid w:val="00A30385"/>
    <w:rsid w:val="00A31FAF"/>
    <w:rsid w:val="00A424A4"/>
    <w:rsid w:val="00A44151"/>
    <w:rsid w:val="00A53171"/>
    <w:rsid w:val="00A564D7"/>
    <w:rsid w:val="00A66787"/>
    <w:rsid w:val="00A67219"/>
    <w:rsid w:val="00A8470F"/>
    <w:rsid w:val="00A93EBD"/>
    <w:rsid w:val="00AB506F"/>
    <w:rsid w:val="00AC0CE3"/>
    <w:rsid w:val="00AC4DD1"/>
    <w:rsid w:val="00AD3B15"/>
    <w:rsid w:val="00AD47B5"/>
    <w:rsid w:val="00AD79FF"/>
    <w:rsid w:val="00AF2C2D"/>
    <w:rsid w:val="00B03CF1"/>
    <w:rsid w:val="00B21AAA"/>
    <w:rsid w:val="00B250A5"/>
    <w:rsid w:val="00B44DF9"/>
    <w:rsid w:val="00B46B09"/>
    <w:rsid w:val="00B50A10"/>
    <w:rsid w:val="00B53693"/>
    <w:rsid w:val="00B62E13"/>
    <w:rsid w:val="00B86CC2"/>
    <w:rsid w:val="00B92B64"/>
    <w:rsid w:val="00B946C5"/>
    <w:rsid w:val="00B9768C"/>
    <w:rsid w:val="00BA365C"/>
    <w:rsid w:val="00BA677A"/>
    <w:rsid w:val="00BB4211"/>
    <w:rsid w:val="00BC51B8"/>
    <w:rsid w:val="00BC7187"/>
    <w:rsid w:val="00BD3C13"/>
    <w:rsid w:val="00BE2024"/>
    <w:rsid w:val="00BF25FC"/>
    <w:rsid w:val="00C0187F"/>
    <w:rsid w:val="00C054A5"/>
    <w:rsid w:val="00C06781"/>
    <w:rsid w:val="00C31A5F"/>
    <w:rsid w:val="00C32468"/>
    <w:rsid w:val="00C3433A"/>
    <w:rsid w:val="00C36308"/>
    <w:rsid w:val="00C36A03"/>
    <w:rsid w:val="00C43F58"/>
    <w:rsid w:val="00C63F26"/>
    <w:rsid w:val="00C64718"/>
    <w:rsid w:val="00C652A3"/>
    <w:rsid w:val="00C65FD1"/>
    <w:rsid w:val="00C700F9"/>
    <w:rsid w:val="00C74D98"/>
    <w:rsid w:val="00C75E04"/>
    <w:rsid w:val="00C81CE8"/>
    <w:rsid w:val="00C96126"/>
    <w:rsid w:val="00C96149"/>
    <w:rsid w:val="00C97D97"/>
    <w:rsid w:val="00CA046F"/>
    <w:rsid w:val="00CB26B5"/>
    <w:rsid w:val="00CB538E"/>
    <w:rsid w:val="00CC14B2"/>
    <w:rsid w:val="00CC165F"/>
    <w:rsid w:val="00CD0860"/>
    <w:rsid w:val="00CD1311"/>
    <w:rsid w:val="00CE3310"/>
    <w:rsid w:val="00CE3EF7"/>
    <w:rsid w:val="00CE43D9"/>
    <w:rsid w:val="00D03BAA"/>
    <w:rsid w:val="00D1735C"/>
    <w:rsid w:val="00D22028"/>
    <w:rsid w:val="00D2492A"/>
    <w:rsid w:val="00D33964"/>
    <w:rsid w:val="00D34743"/>
    <w:rsid w:val="00D43B41"/>
    <w:rsid w:val="00D45D4E"/>
    <w:rsid w:val="00D46FAB"/>
    <w:rsid w:val="00D47387"/>
    <w:rsid w:val="00D51CAE"/>
    <w:rsid w:val="00D64C90"/>
    <w:rsid w:val="00D70432"/>
    <w:rsid w:val="00D7095D"/>
    <w:rsid w:val="00D865B0"/>
    <w:rsid w:val="00D86D13"/>
    <w:rsid w:val="00D871E3"/>
    <w:rsid w:val="00D87908"/>
    <w:rsid w:val="00D926F7"/>
    <w:rsid w:val="00DB525D"/>
    <w:rsid w:val="00DB7315"/>
    <w:rsid w:val="00DC50FE"/>
    <w:rsid w:val="00DC5C23"/>
    <w:rsid w:val="00DC5DA8"/>
    <w:rsid w:val="00DD3717"/>
    <w:rsid w:val="00DD6420"/>
    <w:rsid w:val="00DE4E57"/>
    <w:rsid w:val="00DE5C1E"/>
    <w:rsid w:val="00DF5C1D"/>
    <w:rsid w:val="00E04EED"/>
    <w:rsid w:val="00E14FAD"/>
    <w:rsid w:val="00E20F60"/>
    <w:rsid w:val="00E22BF0"/>
    <w:rsid w:val="00E24DA5"/>
    <w:rsid w:val="00E27544"/>
    <w:rsid w:val="00E44283"/>
    <w:rsid w:val="00E46481"/>
    <w:rsid w:val="00E61E0C"/>
    <w:rsid w:val="00E6655A"/>
    <w:rsid w:val="00E74D0F"/>
    <w:rsid w:val="00E761D6"/>
    <w:rsid w:val="00E808BA"/>
    <w:rsid w:val="00E81648"/>
    <w:rsid w:val="00E849A9"/>
    <w:rsid w:val="00E86677"/>
    <w:rsid w:val="00E92EBC"/>
    <w:rsid w:val="00EA3D7E"/>
    <w:rsid w:val="00EB185E"/>
    <w:rsid w:val="00EB6335"/>
    <w:rsid w:val="00EC0518"/>
    <w:rsid w:val="00ED1F8E"/>
    <w:rsid w:val="00ED53AF"/>
    <w:rsid w:val="00ED5CA5"/>
    <w:rsid w:val="00F1560B"/>
    <w:rsid w:val="00F1578B"/>
    <w:rsid w:val="00F15AC3"/>
    <w:rsid w:val="00F206BC"/>
    <w:rsid w:val="00F36703"/>
    <w:rsid w:val="00F41601"/>
    <w:rsid w:val="00F524DE"/>
    <w:rsid w:val="00F61B6F"/>
    <w:rsid w:val="00F641CA"/>
    <w:rsid w:val="00F70651"/>
    <w:rsid w:val="00F73F87"/>
    <w:rsid w:val="00F82E1C"/>
    <w:rsid w:val="00F83701"/>
    <w:rsid w:val="00F83C13"/>
    <w:rsid w:val="00F85933"/>
    <w:rsid w:val="00F86D08"/>
    <w:rsid w:val="00F92C9B"/>
    <w:rsid w:val="00FB51DB"/>
    <w:rsid w:val="00FD1960"/>
    <w:rsid w:val="00FD1A87"/>
    <w:rsid w:val="00FD1C6E"/>
    <w:rsid w:val="00FD5530"/>
    <w:rsid w:val="00FD6755"/>
    <w:rsid w:val="00FE0E8D"/>
    <w:rsid w:val="00FE2902"/>
    <w:rsid w:val="00FF4393"/>
    <w:rsid w:val="00FF6323"/>
    <w:rsid w:val="00FF72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67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67BA"/>
    <w:rPr>
      <w:rFonts w:ascii="Tahoma" w:hAnsi="Tahoma" w:cs="Tahoma"/>
      <w:sz w:val="16"/>
      <w:szCs w:val="16"/>
    </w:rPr>
  </w:style>
  <w:style w:type="paragraph" w:styleId="a4">
    <w:name w:val="List Paragraph"/>
    <w:basedOn w:val="a"/>
    <w:uiPriority w:val="34"/>
    <w:qFormat/>
    <w:rsid w:val="00796421"/>
    <w:pPr>
      <w:ind w:left="720"/>
      <w:contextualSpacing/>
    </w:pPr>
  </w:style>
  <w:style w:type="character" w:styleId="-">
    <w:name w:val="Hyperlink"/>
    <w:basedOn w:val="a0"/>
    <w:uiPriority w:val="99"/>
    <w:unhideWhenUsed/>
    <w:rsid w:val="0075713F"/>
    <w:rPr>
      <w:color w:val="0000FF" w:themeColor="hyperlink"/>
      <w:u w:val="single"/>
    </w:rPr>
  </w:style>
  <w:style w:type="paragraph" w:styleId="a5">
    <w:name w:val="header"/>
    <w:basedOn w:val="a"/>
    <w:link w:val="Char0"/>
    <w:uiPriority w:val="99"/>
    <w:unhideWhenUsed/>
    <w:rsid w:val="004C0F7A"/>
    <w:pPr>
      <w:tabs>
        <w:tab w:val="center" w:pos="4153"/>
        <w:tab w:val="right" w:pos="8306"/>
      </w:tabs>
      <w:spacing w:after="0" w:line="240" w:lineRule="auto"/>
    </w:pPr>
  </w:style>
  <w:style w:type="character" w:customStyle="1" w:styleId="Char0">
    <w:name w:val="Κεφαλίδα Char"/>
    <w:basedOn w:val="a0"/>
    <w:link w:val="a5"/>
    <w:uiPriority w:val="99"/>
    <w:rsid w:val="004C0F7A"/>
  </w:style>
  <w:style w:type="paragraph" w:styleId="a6">
    <w:name w:val="footer"/>
    <w:basedOn w:val="a"/>
    <w:link w:val="Char1"/>
    <w:uiPriority w:val="99"/>
    <w:semiHidden/>
    <w:unhideWhenUsed/>
    <w:rsid w:val="004C0F7A"/>
    <w:pPr>
      <w:tabs>
        <w:tab w:val="center" w:pos="4153"/>
        <w:tab w:val="right" w:pos="8306"/>
      </w:tabs>
      <w:spacing w:after="0" w:line="240" w:lineRule="auto"/>
    </w:pPr>
  </w:style>
  <w:style w:type="character" w:customStyle="1" w:styleId="Char1">
    <w:name w:val="Υποσέλιδο Char"/>
    <w:basedOn w:val="a0"/>
    <w:link w:val="a6"/>
    <w:uiPriority w:val="99"/>
    <w:semiHidden/>
    <w:rsid w:val="004C0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pergis@unipi.gr"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pergis\Dropbox\Debt%20Service%20Ratios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ergis\Desktop\Debt%20Service%20Ratios_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pergis\Dropbox\Debt%20Service%20Ratios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pergis\Dropbox\Debt%20Service%20Ratios_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pergis\Dropbox\Debt%20Service%20Ratios_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pergis\Dropbox\Debt%20Service%20Ratios_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pergis\Dropbox\Debt%20Service%20Ratios_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pergis\Dropbox\Debt%20Service%20Ratios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lineChart>
        <c:grouping val="standard"/>
        <c:ser>
          <c:idx val="0"/>
          <c:order val="0"/>
          <c:marker>
            <c:symbol val="none"/>
          </c:marker>
          <c:cat>
            <c:numRef>
              <c:f>'Quarterly Series'!$B$82:$AG$82</c:f>
              <c:numCache>
                <c:formatCode>0.0</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numCache>
            </c:numRef>
          </c:cat>
          <c:val>
            <c:numRef>
              <c:f>'Quarterly Series'!$B$81:$AG$81</c:f>
              <c:numCache>
                <c:formatCode>0.0</c:formatCode>
                <c:ptCount val="32"/>
                <c:pt idx="0">
                  <c:v>14.384</c:v>
                </c:pt>
                <c:pt idx="1">
                  <c:v>6.5253333333333314</c:v>
                </c:pt>
                <c:pt idx="2">
                  <c:v>19.260000000000002</c:v>
                </c:pt>
                <c:pt idx="3">
                  <c:v>11.878666666666676</c:v>
                </c:pt>
                <c:pt idx="4">
                  <c:v>15.67866666666667</c:v>
                </c:pt>
                <c:pt idx="5">
                  <c:v>14.878666666666676</c:v>
                </c:pt>
                <c:pt idx="6">
                  <c:v>7.60666666666667</c:v>
                </c:pt>
                <c:pt idx="7">
                  <c:v>9.7186666666666657</c:v>
                </c:pt>
                <c:pt idx="8">
                  <c:v>19.605333333333249</c:v>
                </c:pt>
                <c:pt idx="9">
                  <c:v>8.1946666666666648</c:v>
                </c:pt>
                <c:pt idx="10">
                  <c:v>6.3839999999999995</c:v>
                </c:pt>
                <c:pt idx="11">
                  <c:v>5.5653333333333403</c:v>
                </c:pt>
                <c:pt idx="12">
                  <c:v>10.502666666666698</c:v>
                </c:pt>
                <c:pt idx="13">
                  <c:v>18.637333333333288</c:v>
                </c:pt>
                <c:pt idx="14">
                  <c:v>12.600000000000001</c:v>
                </c:pt>
                <c:pt idx="15">
                  <c:v>4.7999999999999989</c:v>
                </c:pt>
                <c:pt idx="16">
                  <c:v>6.7453333333333463</c:v>
                </c:pt>
                <c:pt idx="17">
                  <c:v>4.4079999999999977</c:v>
                </c:pt>
                <c:pt idx="18">
                  <c:v>7.7080000000000064</c:v>
                </c:pt>
                <c:pt idx="19">
                  <c:v>10.945333333333336</c:v>
                </c:pt>
                <c:pt idx="20">
                  <c:v>4.1506666666666669</c:v>
                </c:pt>
                <c:pt idx="21">
                  <c:v>12.622666666666674</c:v>
                </c:pt>
                <c:pt idx="22">
                  <c:v>17.145333333333244</c:v>
                </c:pt>
                <c:pt idx="23">
                  <c:v>13.590666666666674</c:v>
                </c:pt>
                <c:pt idx="24">
                  <c:v>7.3706666666666694</c:v>
                </c:pt>
                <c:pt idx="25">
                  <c:v>9.0413333333333199</c:v>
                </c:pt>
                <c:pt idx="26">
                  <c:v>7.2266666666666683</c:v>
                </c:pt>
                <c:pt idx="27">
                  <c:v>10.313333333333336</c:v>
                </c:pt>
                <c:pt idx="28">
                  <c:v>10.476000000000004</c:v>
                </c:pt>
                <c:pt idx="29">
                  <c:v>10.230666666666666</c:v>
                </c:pt>
                <c:pt idx="30">
                  <c:v>9.8786666666666747</c:v>
                </c:pt>
                <c:pt idx="31">
                  <c:v>8.8613333333333362</c:v>
                </c:pt>
              </c:numCache>
            </c:numRef>
          </c:val>
        </c:ser>
        <c:marker val="1"/>
        <c:axId val="154596096"/>
        <c:axId val="154597632"/>
      </c:lineChart>
      <c:catAx>
        <c:axId val="154596096"/>
        <c:scaling>
          <c:orientation val="minMax"/>
        </c:scaling>
        <c:axPos val="b"/>
        <c:numFmt formatCode="0.0" sourceLinked="1"/>
        <c:tickLblPos val="nextTo"/>
        <c:crossAx val="154597632"/>
        <c:crosses val="autoZero"/>
        <c:auto val="1"/>
        <c:lblAlgn val="ctr"/>
        <c:lblOffset val="100"/>
      </c:catAx>
      <c:valAx>
        <c:axId val="154597632"/>
        <c:scaling>
          <c:orientation val="minMax"/>
        </c:scaling>
        <c:axPos val="l"/>
        <c:numFmt formatCode="0.0" sourceLinked="1"/>
        <c:tickLblPos val="nextTo"/>
        <c:crossAx val="1545960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style val="1"/>
  <c:chart>
    <c:plotArea>
      <c:layout/>
      <c:lineChart>
        <c:grouping val="standard"/>
        <c:ser>
          <c:idx val="0"/>
          <c:order val="0"/>
          <c:tx>
            <c:v>Low</c:v>
          </c:tx>
          <c:marker>
            <c:symbol val="none"/>
          </c:marker>
          <c:val>
            <c:numRef>
              <c:f>'Quarterly Series'!$B$86:$B$101</c:f>
              <c:numCache>
                <c:formatCode>General</c:formatCode>
                <c:ptCount val="16"/>
                <c:pt idx="0">
                  <c:v>6.5</c:v>
                </c:pt>
                <c:pt idx="1">
                  <c:v>7.6</c:v>
                </c:pt>
                <c:pt idx="2">
                  <c:v>9.7000000000000011</c:v>
                </c:pt>
                <c:pt idx="3">
                  <c:v>8.2000000000000011</c:v>
                </c:pt>
                <c:pt idx="4">
                  <c:v>6.4</c:v>
                </c:pt>
                <c:pt idx="5">
                  <c:v>5.6</c:v>
                </c:pt>
                <c:pt idx="6">
                  <c:v>4.8</c:v>
                </c:pt>
                <c:pt idx="7">
                  <c:v>6.7</c:v>
                </c:pt>
                <c:pt idx="8">
                  <c:v>4.4000000000000004</c:v>
                </c:pt>
                <c:pt idx="9">
                  <c:v>7.7</c:v>
                </c:pt>
                <c:pt idx="10">
                  <c:v>4.2</c:v>
                </c:pt>
                <c:pt idx="11">
                  <c:v>7.4</c:v>
                </c:pt>
                <c:pt idx="12">
                  <c:v>9</c:v>
                </c:pt>
                <c:pt idx="13">
                  <c:v>7.2</c:v>
                </c:pt>
                <c:pt idx="14">
                  <c:v>9.9</c:v>
                </c:pt>
                <c:pt idx="15">
                  <c:v>8.9</c:v>
                </c:pt>
              </c:numCache>
            </c:numRef>
          </c:val>
        </c:ser>
        <c:ser>
          <c:idx val="1"/>
          <c:order val="1"/>
          <c:tx>
            <c:v>High</c:v>
          </c:tx>
          <c:marker>
            <c:symbol val="none"/>
          </c:marker>
          <c:val>
            <c:numRef>
              <c:f>'Quarterly Series'!$C$86:$C$101</c:f>
              <c:numCache>
                <c:formatCode>General</c:formatCode>
                <c:ptCount val="16"/>
                <c:pt idx="0">
                  <c:v>14.4</c:v>
                </c:pt>
                <c:pt idx="1">
                  <c:v>19.3</c:v>
                </c:pt>
                <c:pt idx="2">
                  <c:v>11.9</c:v>
                </c:pt>
                <c:pt idx="3">
                  <c:v>15.7</c:v>
                </c:pt>
                <c:pt idx="4">
                  <c:v>14.9</c:v>
                </c:pt>
                <c:pt idx="5">
                  <c:v>19.600000000000001</c:v>
                </c:pt>
                <c:pt idx="6">
                  <c:v>10.5</c:v>
                </c:pt>
                <c:pt idx="7">
                  <c:v>18.600000000000001</c:v>
                </c:pt>
                <c:pt idx="8">
                  <c:v>12.6</c:v>
                </c:pt>
                <c:pt idx="9">
                  <c:v>10.9</c:v>
                </c:pt>
                <c:pt idx="10">
                  <c:v>12.6</c:v>
                </c:pt>
                <c:pt idx="11">
                  <c:v>17.100000000000001</c:v>
                </c:pt>
                <c:pt idx="12">
                  <c:v>13.6</c:v>
                </c:pt>
                <c:pt idx="13">
                  <c:v>10.3</c:v>
                </c:pt>
                <c:pt idx="14">
                  <c:v>10.5</c:v>
                </c:pt>
                <c:pt idx="15">
                  <c:v>10.200000000000001</c:v>
                </c:pt>
              </c:numCache>
            </c:numRef>
          </c:val>
        </c:ser>
        <c:marker val="1"/>
        <c:axId val="52036736"/>
        <c:axId val="52038272"/>
      </c:lineChart>
      <c:catAx>
        <c:axId val="52036736"/>
        <c:scaling>
          <c:orientation val="minMax"/>
        </c:scaling>
        <c:axPos val="b"/>
        <c:tickLblPos val="nextTo"/>
        <c:crossAx val="52038272"/>
        <c:crosses val="autoZero"/>
        <c:auto val="1"/>
        <c:lblAlgn val="ctr"/>
        <c:lblOffset val="100"/>
      </c:catAx>
      <c:valAx>
        <c:axId val="52038272"/>
        <c:scaling>
          <c:orientation val="minMax"/>
        </c:scaling>
        <c:axPos val="l"/>
        <c:numFmt formatCode="General" sourceLinked="1"/>
        <c:tickLblPos val="nextTo"/>
        <c:crossAx val="520367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plotArea>
      <c:layout/>
      <c:lineChart>
        <c:grouping val="standard"/>
        <c:ser>
          <c:idx val="0"/>
          <c:order val="0"/>
          <c:marker>
            <c:symbol val="none"/>
          </c:marker>
          <c:cat>
            <c:numRef>
              <c:f>'Quarterly Series'!$A$5:$A$79</c:f>
              <c:numCache>
                <c:formatCode>dd\.mm\.yyyy</c:formatCode>
                <c:ptCount val="75"/>
                <c:pt idx="0">
                  <c:v>36250</c:v>
                </c:pt>
                <c:pt idx="1">
                  <c:v>36341</c:v>
                </c:pt>
                <c:pt idx="2">
                  <c:v>36433</c:v>
                </c:pt>
                <c:pt idx="3">
                  <c:v>36525</c:v>
                </c:pt>
                <c:pt idx="4">
                  <c:v>36616</c:v>
                </c:pt>
                <c:pt idx="5">
                  <c:v>36707</c:v>
                </c:pt>
                <c:pt idx="6">
                  <c:v>36799</c:v>
                </c:pt>
                <c:pt idx="7">
                  <c:v>36891</c:v>
                </c:pt>
                <c:pt idx="8">
                  <c:v>36981</c:v>
                </c:pt>
                <c:pt idx="9">
                  <c:v>37072</c:v>
                </c:pt>
                <c:pt idx="10">
                  <c:v>37164</c:v>
                </c:pt>
                <c:pt idx="11">
                  <c:v>37256</c:v>
                </c:pt>
                <c:pt idx="12">
                  <c:v>37346</c:v>
                </c:pt>
                <c:pt idx="13">
                  <c:v>37437</c:v>
                </c:pt>
                <c:pt idx="14">
                  <c:v>37529</c:v>
                </c:pt>
                <c:pt idx="15">
                  <c:v>37621</c:v>
                </c:pt>
                <c:pt idx="16">
                  <c:v>37711</c:v>
                </c:pt>
                <c:pt idx="17">
                  <c:v>37802</c:v>
                </c:pt>
                <c:pt idx="18">
                  <c:v>37894</c:v>
                </c:pt>
                <c:pt idx="19">
                  <c:v>37986</c:v>
                </c:pt>
                <c:pt idx="20">
                  <c:v>38077</c:v>
                </c:pt>
                <c:pt idx="21">
                  <c:v>38168</c:v>
                </c:pt>
                <c:pt idx="22">
                  <c:v>38260</c:v>
                </c:pt>
                <c:pt idx="23">
                  <c:v>38352</c:v>
                </c:pt>
                <c:pt idx="24">
                  <c:v>38442</c:v>
                </c:pt>
                <c:pt idx="25">
                  <c:v>38533</c:v>
                </c:pt>
                <c:pt idx="26">
                  <c:v>38625</c:v>
                </c:pt>
                <c:pt idx="27">
                  <c:v>38717</c:v>
                </c:pt>
                <c:pt idx="28">
                  <c:v>38807</c:v>
                </c:pt>
                <c:pt idx="29">
                  <c:v>38898</c:v>
                </c:pt>
                <c:pt idx="30">
                  <c:v>38990</c:v>
                </c:pt>
                <c:pt idx="31">
                  <c:v>39082</c:v>
                </c:pt>
                <c:pt idx="32">
                  <c:v>39172</c:v>
                </c:pt>
                <c:pt idx="33">
                  <c:v>39263</c:v>
                </c:pt>
                <c:pt idx="34">
                  <c:v>39355</c:v>
                </c:pt>
                <c:pt idx="35">
                  <c:v>39447</c:v>
                </c:pt>
                <c:pt idx="36">
                  <c:v>39538</c:v>
                </c:pt>
                <c:pt idx="37">
                  <c:v>39629</c:v>
                </c:pt>
                <c:pt idx="38">
                  <c:v>39721</c:v>
                </c:pt>
                <c:pt idx="39">
                  <c:v>39813</c:v>
                </c:pt>
                <c:pt idx="40">
                  <c:v>39903</c:v>
                </c:pt>
                <c:pt idx="41">
                  <c:v>39994</c:v>
                </c:pt>
                <c:pt idx="42">
                  <c:v>40086</c:v>
                </c:pt>
                <c:pt idx="43">
                  <c:v>40178</c:v>
                </c:pt>
                <c:pt idx="44">
                  <c:v>40268</c:v>
                </c:pt>
                <c:pt idx="45">
                  <c:v>40359</c:v>
                </c:pt>
                <c:pt idx="46">
                  <c:v>40451</c:v>
                </c:pt>
                <c:pt idx="47">
                  <c:v>40543</c:v>
                </c:pt>
                <c:pt idx="48">
                  <c:v>40633</c:v>
                </c:pt>
                <c:pt idx="49">
                  <c:v>40724</c:v>
                </c:pt>
                <c:pt idx="50">
                  <c:v>40816</c:v>
                </c:pt>
                <c:pt idx="51">
                  <c:v>40908</c:v>
                </c:pt>
                <c:pt idx="52">
                  <c:v>40999</c:v>
                </c:pt>
                <c:pt idx="53">
                  <c:v>41090</c:v>
                </c:pt>
                <c:pt idx="54">
                  <c:v>41182</c:v>
                </c:pt>
                <c:pt idx="55">
                  <c:v>41274</c:v>
                </c:pt>
                <c:pt idx="56">
                  <c:v>41364</c:v>
                </c:pt>
                <c:pt idx="57">
                  <c:v>41455</c:v>
                </c:pt>
                <c:pt idx="58">
                  <c:v>41547</c:v>
                </c:pt>
                <c:pt idx="59">
                  <c:v>41639</c:v>
                </c:pt>
                <c:pt idx="60">
                  <c:v>41729</c:v>
                </c:pt>
                <c:pt idx="61">
                  <c:v>41820</c:v>
                </c:pt>
                <c:pt idx="62">
                  <c:v>41912</c:v>
                </c:pt>
                <c:pt idx="63">
                  <c:v>42004</c:v>
                </c:pt>
                <c:pt idx="64">
                  <c:v>42094</c:v>
                </c:pt>
                <c:pt idx="65">
                  <c:v>42185</c:v>
                </c:pt>
                <c:pt idx="66">
                  <c:v>42277</c:v>
                </c:pt>
                <c:pt idx="67">
                  <c:v>42369</c:v>
                </c:pt>
                <c:pt idx="68">
                  <c:v>42460</c:v>
                </c:pt>
                <c:pt idx="69">
                  <c:v>42551</c:v>
                </c:pt>
                <c:pt idx="70">
                  <c:v>42643</c:v>
                </c:pt>
                <c:pt idx="71">
                  <c:v>42735</c:v>
                </c:pt>
                <c:pt idx="72">
                  <c:v>42825</c:v>
                </c:pt>
                <c:pt idx="73">
                  <c:v>42916</c:v>
                </c:pt>
                <c:pt idx="74">
                  <c:v>43008</c:v>
                </c:pt>
              </c:numCache>
            </c:numRef>
          </c:cat>
          <c:val>
            <c:numRef>
              <c:f>'Quarterly Series'!$C$5:$C$79</c:f>
              <c:numCache>
                <c:formatCode>0.0</c:formatCode>
                <c:ptCount val="75"/>
                <c:pt idx="0">
                  <c:v>6.1</c:v>
                </c:pt>
                <c:pt idx="1">
                  <c:v>6</c:v>
                </c:pt>
                <c:pt idx="2">
                  <c:v>6</c:v>
                </c:pt>
                <c:pt idx="3">
                  <c:v>6</c:v>
                </c:pt>
                <c:pt idx="4">
                  <c:v>6</c:v>
                </c:pt>
                <c:pt idx="5">
                  <c:v>5.9</c:v>
                </c:pt>
                <c:pt idx="6">
                  <c:v>5.8</c:v>
                </c:pt>
                <c:pt idx="7">
                  <c:v>5.7</c:v>
                </c:pt>
                <c:pt idx="8">
                  <c:v>5.6</c:v>
                </c:pt>
                <c:pt idx="9">
                  <c:v>5.6</c:v>
                </c:pt>
                <c:pt idx="10">
                  <c:v>5.4</c:v>
                </c:pt>
                <c:pt idx="11">
                  <c:v>5.4</c:v>
                </c:pt>
                <c:pt idx="12">
                  <c:v>5.4</c:v>
                </c:pt>
                <c:pt idx="13">
                  <c:v>5.4</c:v>
                </c:pt>
                <c:pt idx="14">
                  <c:v>5.5</c:v>
                </c:pt>
                <c:pt idx="15">
                  <c:v>5.5</c:v>
                </c:pt>
                <c:pt idx="16">
                  <c:v>5.5</c:v>
                </c:pt>
                <c:pt idx="17">
                  <c:v>5.5</c:v>
                </c:pt>
                <c:pt idx="18">
                  <c:v>5.5</c:v>
                </c:pt>
                <c:pt idx="19">
                  <c:v>5.5</c:v>
                </c:pt>
                <c:pt idx="20">
                  <c:v>5.5</c:v>
                </c:pt>
                <c:pt idx="21">
                  <c:v>5.5</c:v>
                </c:pt>
                <c:pt idx="22">
                  <c:v>5.5</c:v>
                </c:pt>
                <c:pt idx="23">
                  <c:v>5.6</c:v>
                </c:pt>
                <c:pt idx="24">
                  <c:v>5.6</c:v>
                </c:pt>
                <c:pt idx="25">
                  <c:v>5.7</c:v>
                </c:pt>
                <c:pt idx="26">
                  <c:v>5.8</c:v>
                </c:pt>
                <c:pt idx="27">
                  <c:v>5.9</c:v>
                </c:pt>
                <c:pt idx="28">
                  <c:v>5.9</c:v>
                </c:pt>
                <c:pt idx="29">
                  <c:v>5.9</c:v>
                </c:pt>
                <c:pt idx="30">
                  <c:v>6</c:v>
                </c:pt>
                <c:pt idx="31">
                  <c:v>6</c:v>
                </c:pt>
                <c:pt idx="32">
                  <c:v>6.1</c:v>
                </c:pt>
                <c:pt idx="33">
                  <c:v>6.2</c:v>
                </c:pt>
                <c:pt idx="34">
                  <c:v>6.2</c:v>
                </c:pt>
                <c:pt idx="35">
                  <c:v>6.3</c:v>
                </c:pt>
                <c:pt idx="36">
                  <c:v>6.4</c:v>
                </c:pt>
                <c:pt idx="37">
                  <c:v>6.4</c:v>
                </c:pt>
                <c:pt idx="38">
                  <c:v>6.5</c:v>
                </c:pt>
                <c:pt idx="39">
                  <c:v>6.5</c:v>
                </c:pt>
                <c:pt idx="40">
                  <c:v>6.6</c:v>
                </c:pt>
                <c:pt idx="41">
                  <c:v>6.6</c:v>
                </c:pt>
                <c:pt idx="42">
                  <c:v>6.7</c:v>
                </c:pt>
                <c:pt idx="43">
                  <c:v>6.6</c:v>
                </c:pt>
                <c:pt idx="44">
                  <c:v>6.7</c:v>
                </c:pt>
                <c:pt idx="45">
                  <c:v>6.7</c:v>
                </c:pt>
                <c:pt idx="46">
                  <c:v>6.8</c:v>
                </c:pt>
                <c:pt idx="47">
                  <c:v>6.8</c:v>
                </c:pt>
                <c:pt idx="48">
                  <c:v>6.9</c:v>
                </c:pt>
                <c:pt idx="49">
                  <c:v>7</c:v>
                </c:pt>
                <c:pt idx="50">
                  <c:v>7.1</c:v>
                </c:pt>
                <c:pt idx="51">
                  <c:v>7.2</c:v>
                </c:pt>
                <c:pt idx="52">
                  <c:v>7.2</c:v>
                </c:pt>
                <c:pt idx="53">
                  <c:v>7.2</c:v>
                </c:pt>
                <c:pt idx="54">
                  <c:v>7.2</c:v>
                </c:pt>
                <c:pt idx="55">
                  <c:v>7.3</c:v>
                </c:pt>
                <c:pt idx="56">
                  <c:v>7.3</c:v>
                </c:pt>
                <c:pt idx="57">
                  <c:v>7.4</c:v>
                </c:pt>
                <c:pt idx="58">
                  <c:v>7.4</c:v>
                </c:pt>
                <c:pt idx="59">
                  <c:v>7.4</c:v>
                </c:pt>
                <c:pt idx="60">
                  <c:v>7.4</c:v>
                </c:pt>
                <c:pt idx="61">
                  <c:v>7.5</c:v>
                </c:pt>
                <c:pt idx="62">
                  <c:v>7.5</c:v>
                </c:pt>
                <c:pt idx="63">
                  <c:v>7.6</c:v>
                </c:pt>
                <c:pt idx="64">
                  <c:v>7.7</c:v>
                </c:pt>
                <c:pt idx="65">
                  <c:v>7.8</c:v>
                </c:pt>
                <c:pt idx="66">
                  <c:v>7.8</c:v>
                </c:pt>
                <c:pt idx="67">
                  <c:v>7.9</c:v>
                </c:pt>
                <c:pt idx="68">
                  <c:v>7.9</c:v>
                </c:pt>
                <c:pt idx="69">
                  <c:v>7.9</c:v>
                </c:pt>
                <c:pt idx="70">
                  <c:v>7.9</c:v>
                </c:pt>
                <c:pt idx="71">
                  <c:v>7.9</c:v>
                </c:pt>
                <c:pt idx="72">
                  <c:v>7.9</c:v>
                </c:pt>
                <c:pt idx="73">
                  <c:v>7.9</c:v>
                </c:pt>
                <c:pt idx="74">
                  <c:v>7.9</c:v>
                </c:pt>
              </c:numCache>
            </c:numRef>
          </c:val>
        </c:ser>
        <c:marker val="1"/>
        <c:axId val="52057984"/>
        <c:axId val="52059520"/>
      </c:lineChart>
      <c:dateAx>
        <c:axId val="52057984"/>
        <c:scaling>
          <c:orientation val="minMax"/>
        </c:scaling>
        <c:axPos val="b"/>
        <c:numFmt formatCode="dd\.mm\.yyyy" sourceLinked="1"/>
        <c:tickLblPos val="nextTo"/>
        <c:crossAx val="52059520"/>
        <c:crosses val="autoZero"/>
        <c:auto val="1"/>
        <c:lblOffset val="100"/>
      </c:dateAx>
      <c:valAx>
        <c:axId val="52059520"/>
        <c:scaling>
          <c:orientation val="minMax"/>
        </c:scaling>
        <c:axPos val="l"/>
        <c:numFmt formatCode="0.0" sourceLinked="1"/>
        <c:tickLblPos val="nextTo"/>
        <c:crossAx val="520579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plotArea>
      <c:layout/>
      <c:lineChart>
        <c:grouping val="standard"/>
        <c:ser>
          <c:idx val="0"/>
          <c:order val="0"/>
          <c:marker>
            <c:symbol val="none"/>
          </c:marker>
          <c:cat>
            <c:numRef>
              <c:f>'Quarterly Series'!$A$5:$A$79</c:f>
              <c:numCache>
                <c:formatCode>dd\.mm\.yyyy</c:formatCode>
                <c:ptCount val="75"/>
                <c:pt idx="0">
                  <c:v>36250</c:v>
                </c:pt>
                <c:pt idx="1">
                  <c:v>36341</c:v>
                </c:pt>
                <c:pt idx="2">
                  <c:v>36433</c:v>
                </c:pt>
                <c:pt idx="3">
                  <c:v>36525</c:v>
                </c:pt>
                <c:pt idx="4">
                  <c:v>36616</c:v>
                </c:pt>
                <c:pt idx="5">
                  <c:v>36707</c:v>
                </c:pt>
                <c:pt idx="6">
                  <c:v>36799</c:v>
                </c:pt>
                <c:pt idx="7">
                  <c:v>36891</c:v>
                </c:pt>
                <c:pt idx="8">
                  <c:v>36981</c:v>
                </c:pt>
                <c:pt idx="9">
                  <c:v>37072</c:v>
                </c:pt>
                <c:pt idx="10">
                  <c:v>37164</c:v>
                </c:pt>
                <c:pt idx="11">
                  <c:v>37256</c:v>
                </c:pt>
                <c:pt idx="12">
                  <c:v>37346</c:v>
                </c:pt>
                <c:pt idx="13">
                  <c:v>37437</c:v>
                </c:pt>
                <c:pt idx="14">
                  <c:v>37529</c:v>
                </c:pt>
                <c:pt idx="15">
                  <c:v>37621</c:v>
                </c:pt>
                <c:pt idx="16">
                  <c:v>37711</c:v>
                </c:pt>
                <c:pt idx="17">
                  <c:v>37802</c:v>
                </c:pt>
                <c:pt idx="18">
                  <c:v>37894</c:v>
                </c:pt>
                <c:pt idx="19">
                  <c:v>37986</c:v>
                </c:pt>
                <c:pt idx="20">
                  <c:v>38077</c:v>
                </c:pt>
                <c:pt idx="21">
                  <c:v>38168</c:v>
                </c:pt>
                <c:pt idx="22">
                  <c:v>38260</c:v>
                </c:pt>
                <c:pt idx="23">
                  <c:v>38352</c:v>
                </c:pt>
                <c:pt idx="24">
                  <c:v>38442</c:v>
                </c:pt>
                <c:pt idx="25">
                  <c:v>38533</c:v>
                </c:pt>
                <c:pt idx="26">
                  <c:v>38625</c:v>
                </c:pt>
                <c:pt idx="27">
                  <c:v>38717</c:v>
                </c:pt>
                <c:pt idx="28">
                  <c:v>38807</c:v>
                </c:pt>
                <c:pt idx="29">
                  <c:v>38898</c:v>
                </c:pt>
                <c:pt idx="30">
                  <c:v>38990</c:v>
                </c:pt>
                <c:pt idx="31">
                  <c:v>39082</c:v>
                </c:pt>
                <c:pt idx="32">
                  <c:v>39172</c:v>
                </c:pt>
                <c:pt idx="33">
                  <c:v>39263</c:v>
                </c:pt>
                <c:pt idx="34">
                  <c:v>39355</c:v>
                </c:pt>
                <c:pt idx="35">
                  <c:v>39447</c:v>
                </c:pt>
                <c:pt idx="36">
                  <c:v>39538</c:v>
                </c:pt>
                <c:pt idx="37">
                  <c:v>39629</c:v>
                </c:pt>
                <c:pt idx="38">
                  <c:v>39721</c:v>
                </c:pt>
                <c:pt idx="39">
                  <c:v>39813</c:v>
                </c:pt>
                <c:pt idx="40">
                  <c:v>39903</c:v>
                </c:pt>
                <c:pt idx="41">
                  <c:v>39994</c:v>
                </c:pt>
                <c:pt idx="42">
                  <c:v>40086</c:v>
                </c:pt>
                <c:pt idx="43">
                  <c:v>40178</c:v>
                </c:pt>
                <c:pt idx="44">
                  <c:v>40268</c:v>
                </c:pt>
                <c:pt idx="45">
                  <c:v>40359</c:v>
                </c:pt>
                <c:pt idx="46">
                  <c:v>40451</c:v>
                </c:pt>
                <c:pt idx="47">
                  <c:v>40543</c:v>
                </c:pt>
                <c:pt idx="48">
                  <c:v>40633</c:v>
                </c:pt>
                <c:pt idx="49">
                  <c:v>40724</c:v>
                </c:pt>
                <c:pt idx="50">
                  <c:v>40816</c:v>
                </c:pt>
                <c:pt idx="51">
                  <c:v>40908</c:v>
                </c:pt>
                <c:pt idx="52">
                  <c:v>40999</c:v>
                </c:pt>
                <c:pt idx="53">
                  <c:v>41090</c:v>
                </c:pt>
                <c:pt idx="54">
                  <c:v>41182</c:v>
                </c:pt>
                <c:pt idx="55">
                  <c:v>41274</c:v>
                </c:pt>
                <c:pt idx="56">
                  <c:v>41364</c:v>
                </c:pt>
                <c:pt idx="57">
                  <c:v>41455</c:v>
                </c:pt>
                <c:pt idx="58">
                  <c:v>41547</c:v>
                </c:pt>
                <c:pt idx="59">
                  <c:v>41639</c:v>
                </c:pt>
                <c:pt idx="60">
                  <c:v>41729</c:v>
                </c:pt>
                <c:pt idx="61">
                  <c:v>41820</c:v>
                </c:pt>
                <c:pt idx="62">
                  <c:v>41912</c:v>
                </c:pt>
                <c:pt idx="63">
                  <c:v>42004</c:v>
                </c:pt>
                <c:pt idx="64">
                  <c:v>42094</c:v>
                </c:pt>
                <c:pt idx="65">
                  <c:v>42185</c:v>
                </c:pt>
                <c:pt idx="66">
                  <c:v>42277</c:v>
                </c:pt>
                <c:pt idx="67">
                  <c:v>42369</c:v>
                </c:pt>
                <c:pt idx="68">
                  <c:v>42460</c:v>
                </c:pt>
                <c:pt idx="69">
                  <c:v>42551</c:v>
                </c:pt>
                <c:pt idx="70">
                  <c:v>42643</c:v>
                </c:pt>
                <c:pt idx="71">
                  <c:v>42735</c:v>
                </c:pt>
                <c:pt idx="72">
                  <c:v>42825</c:v>
                </c:pt>
                <c:pt idx="73">
                  <c:v>42916</c:v>
                </c:pt>
                <c:pt idx="74">
                  <c:v>43008</c:v>
                </c:pt>
              </c:numCache>
            </c:numRef>
          </c:cat>
          <c:val>
            <c:numRef>
              <c:f>'Quarterly Series'!$J$5:$J$79</c:f>
              <c:numCache>
                <c:formatCode>0.0</c:formatCode>
                <c:ptCount val="75"/>
                <c:pt idx="0">
                  <c:v>17.8</c:v>
                </c:pt>
                <c:pt idx="1">
                  <c:v>17.2</c:v>
                </c:pt>
                <c:pt idx="2">
                  <c:v>16.7</c:v>
                </c:pt>
                <c:pt idx="3">
                  <c:v>17.7</c:v>
                </c:pt>
                <c:pt idx="4">
                  <c:v>17</c:v>
                </c:pt>
                <c:pt idx="5">
                  <c:v>17.3</c:v>
                </c:pt>
                <c:pt idx="6">
                  <c:v>17.7</c:v>
                </c:pt>
                <c:pt idx="7">
                  <c:v>18.100000000000001</c:v>
                </c:pt>
                <c:pt idx="8">
                  <c:v>18.7</c:v>
                </c:pt>
                <c:pt idx="9">
                  <c:v>18.100000000000001</c:v>
                </c:pt>
                <c:pt idx="10">
                  <c:v>17.8</c:v>
                </c:pt>
                <c:pt idx="11">
                  <c:v>17.399999999999999</c:v>
                </c:pt>
                <c:pt idx="12">
                  <c:v>17.3</c:v>
                </c:pt>
                <c:pt idx="13">
                  <c:v>17.3</c:v>
                </c:pt>
                <c:pt idx="14">
                  <c:v>17.600000000000001</c:v>
                </c:pt>
                <c:pt idx="15">
                  <c:v>17.5</c:v>
                </c:pt>
                <c:pt idx="16">
                  <c:v>17</c:v>
                </c:pt>
                <c:pt idx="17">
                  <c:v>16.899999999999999</c:v>
                </c:pt>
                <c:pt idx="18">
                  <c:v>16.899999999999999</c:v>
                </c:pt>
                <c:pt idx="19">
                  <c:v>17.2</c:v>
                </c:pt>
                <c:pt idx="20">
                  <c:v>17.2</c:v>
                </c:pt>
                <c:pt idx="21">
                  <c:v>17.3</c:v>
                </c:pt>
                <c:pt idx="22">
                  <c:v>17.2</c:v>
                </c:pt>
                <c:pt idx="23">
                  <c:v>17.2</c:v>
                </c:pt>
                <c:pt idx="24">
                  <c:v>17.3</c:v>
                </c:pt>
                <c:pt idx="25">
                  <c:v>17.5</c:v>
                </c:pt>
                <c:pt idx="26">
                  <c:v>17.899999999999999</c:v>
                </c:pt>
                <c:pt idx="27">
                  <c:v>18.100000000000001</c:v>
                </c:pt>
                <c:pt idx="28">
                  <c:v>18.3</c:v>
                </c:pt>
                <c:pt idx="29">
                  <c:v>18.3</c:v>
                </c:pt>
                <c:pt idx="30">
                  <c:v>19.100000000000001</c:v>
                </c:pt>
                <c:pt idx="31">
                  <c:v>19.600000000000001</c:v>
                </c:pt>
                <c:pt idx="32">
                  <c:v>20.399999999999999</c:v>
                </c:pt>
                <c:pt idx="33">
                  <c:v>20.8</c:v>
                </c:pt>
                <c:pt idx="34">
                  <c:v>21.5</c:v>
                </c:pt>
                <c:pt idx="35">
                  <c:v>21.8</c:v>
                </c:pt>
                <c:pt idx="36">
                  <c:v>21.9</c:v>
                </c:pt>
                <c:pt idx="37">
                  <c:v>22.1</c:v>
                </c:pt>
                <c:pt idx="38">
                  <c:v>22.5</c:v>
                </c:pt>
                <c:pt idx="39">
                  <c:v>23.7</c:v>
                </c:pt>
                <c:pt idx="40">
                  <c:v>23.2</c:v>
                </c:pt>
                <c:pt idx="41">
                  <c:v>23.1</c:v>
                </c:pt>
                <c:pt idx="42">
                  <c:v>23.1</c:v>
                </c:pt>
                <c:pt idx="43">
                  <c:v>22.2</c:v>
                </c:pt>
                <c:pt idx="44">
                  <c:v>21.6</c:v>
                </c:pt>
                <c:pt idx="45">
                  <c:v>21.1</c:v>
                </c:pt>
                <c:pt idx="46">
                  <c:v>20.399999999999999</c:v>
                </c:pt>
                <c:pt idx="47">
                  <c:v>20.2</c:v>
                </c:pt>
                <c:pt idx="48">
                  <c:v>19.7</c:v>
                </c:pt>
                <c:pt idx="49">
                  <c:v>19.3</c:v>
                </c:pt>
                <c:pt idx="50">
                  <c:v>19.399999999999999</c:v>
                </c:pt>
                <c:pt idx="51">
                  <c:v>19.8</c:v>
                </c:pt>
                <c:pt idx="52">
                  <c:v>19.5</c:v>
                </c:pt>
                <c:pt idx="53">
                  <c:v>19.5</c:v>
                </c:pt>
                <c:pt idx="54">
                  <c:v>20</c:v>
                </c:pt>
                <c:pt idx="55">
                  <c:v>20.2</c:v>
                </c:pt>
                <c:pt idx="56">
                  <c:v>19.8</c:v>
                </c:pt>
                <c:pt idx="57">
                  <c:v>19.600000000000001</c:v>
                </c:pt>
                <c:pt idx="58">
                  <c:v>20.6</c:v>
                </c:pt>
                <c:pt idx="59">
                  <c:v>20.6</c:v>
                </c:pt>
                <c:pt idx="60">
                  <c:v>20.5</c:v>
                </c:pt>
                <c:pt idx="61">
                  <c:v>20.7</c:v>
                </c:pt>
                <c:pt idx="62">
                  <c:v>20.7</c:v>
                </c:pt>
                <c:pt idx="63">
                  <c:v>19.600000000000001</c:v>
                </c:pt>
                <c:pt idx="64">
                  <c:v>20</c:v>
                </c:pt>
                <c:pt idx="65">
                  <c:v>20.5</c:v>
                </c:pt>
                <c:pt idx="66">
                  <c:v>20.399999999999999</c:v>
                </c:pt>
                <c:pt idx="67">
                  <c:v>20.8</c:v>
                </c:pt>
                <c:pt idx="68">
                  <c:v>21.1</c:v>
                </c:pt>
                <c:pt idx="69">
                  <c:v>21.2</c:v>
                </c:pt>
                <c:pt idx="70">
                  <c:v>21.7</c:v>
                </c:pt>
                <c:pt idx="71">
                  <c:v>21.9</c:v>
                </c:pt>
                <c:pt idx="72">
                  <c:v>22.6</c:v>
                </c:pt>
                <c:pt idx="73">
                  <c:v>23.3</c:v>
                </c:pt>
                <c:pt idx="74">
                  <c:v>23.6</c:v>
                </c:pt>
              </c:numCache>
            </c:numRef>
          </c:val>
        </c:ser>
        <c:marker val="1"/>
        <c:axId val="52074752"/>
        <c:axId val="52076544"/>
      </c:lineChart>
      <c:dateAx>
        <c:axId val="52074752"/>
        <c:scaling>
          <c:orientation val="minMax"/>
        </c:scaling>
        <c:axPos val="b"/>
        <c:numFmt formatCode="dd\.mm\.yyyy" sourceLinked="1"/>
        <c:tickLblPos val="nextTo"/>
        <c:crossAx val="52076544"/>
        <c:crosses val="autoZero"/>
        <c:auto val="1"/>
        <c:lblOffset val="100"/>
      </c:dateAx>
      <c:valAx>
        <c:axId val="52076544"/>
        <c:scaling>
          <c:orientation val="minMax"/>
        </c:scaling>
        <c:axPos val="l"/>
        <c:numFmt formatCode="0.0" sourceLinked="1"/>
        <c:tickLblPos val="nextTo"/>
        <c:crossAx val="5207475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plotArea>
      <c:layout/>
      <c:lineChart>
        <c:grouping val="standard"/>
        <c:ser>
          <c:idx val="0"/>
          <c:order val="0"/>
          <c:marker>
            <c:symbol val="none"/>
          </c:marker>
          <c:cat>
            <c:numRef>
              <c:f>'Quarterly Series'!$A$5:$A$79</c:f>
              <c:numCache>
                <c:formatCode>dd\.mm\.yyyy</c:formatCode>
                <c:ptCount val="75"/>
                <c:pt idx="0">
                  <c:v>36250</c:v>
                </c:pt>
                <c:pt idx="1">
                  <c:v>36341</c:v>
                </c:pt>
                <c:pt idx="2">
                  <c:v>36433</c:v>
                </c:pt>
                <c:pt idx="3">
                  <c:v>36525</c:v>
                </c:pt>
                <c:pt idx="4">
                  <c:v>36616</c:v>
                </c:pt>
                <c:pt idx="5">
                  <c:v>36707</c:v>
                </c:pt>
                <c:pt idx="6">
                  <c:v>36799</c:v>
                </c:pt>
                <c:pt idx="7">
                  <c:v>36891</c:v>
                </c:pt>
                <c:pt idx="8">
                  <c:v>36981</c:v>
                </c:pt>
                <c:pt idx="9">
                  <c:v>37072</c:v>
                </c:pt>
                <c:pt idx="10">
                  <c:v>37164</c:v>
                </c:pt>
                <c:pt idx="11">
                  <c:v>37256</c:v>
                </c:pt>
                <c:pt idx="12">
                  <c:v>37346</c:v>
                </c:pt>
                <c:pt idx="13">
                  <c:v>37437</c:v>
                </c:pt>
                <c:pt idx="14">
                  <c:v>37529</c:v>
                </c:pt>
                <c:pt idx="15">
                  <c:v>37621</c:v>
                </c:pt>
                <c:pt idx="16">
                  <c:v>37711</c:v>
                </c:pt>
                <c:pt idx="17">
                  <c:v>37802</c:v>
                </c:pt>
                <c:pt idx="18">
                  <c:v>37894</c:v>
                </c:pt>
                <c:pt idx="19">
                  <c:v>37986</c:v>
                </c:pt>
                <c:pt idx="20">
                  <c:v>38077</c:v>
                </c:pt>
                <c:pt idx="21">
                  <c:v>38168</c:v>
                </c:pt>
                <c:pt idx="22">
                  <c:v>38260</c:v>
                </c:pt>
                <c:pt idx="23">
                  <c:v>38352</c:v>
                </c:pt>
                <c:pt idx="24">
                  <c:v>38442</c:v>
                </c:pt>
                <c:pt idx="25">
                  <c:v>38533</c:v>
                </c:pt>
                <c:pt idx="26">
                  <c:v>38625</c:v>
                </c:pt>
                <c:pt idx="27">
                  <c:v>38717</c:v>
                </c:pt>
                <c:pt idx="28">
                  <c:v>38807</c:v>
                </c:pt>
                <c:pt idx="29">
                  <c:v>38898</c:v>
                </c:pt>
                <c:pt idx="30">
                  <c:v>38990</c:v>
                </c:pt>
                <c:pt idx="31">
                  <c:v>39082</c:v>
                </c:pt>
                <c:pt idx="32">
                  <c:v>39172</c:v>
                </c:pt>
                <c:pt idx="33">
                  <c:v>39263</c:v>
                </c:pt>
                <c:pt idx="34">
                  <c:v>39355</c:v>
                </c:pt>
                <c:pt idx="35">
                  <c:v>39447</c:v>
                </c:pt>
                <c:pt idx="36">
                  <c:v>39538</c:v>
                </c:pt>
                <c:pt idx="37">
                  <c:v>39629</c:v>
                </c:pt>
                <c:pt idx="38">
                  <c:v>39721</c:v>
                </c:pt>
                <c:pt idx="39">
                  <c:v>39813</c:v>
                </c:pt>
                <c:pt idx="40">
                  <c:v>39903</c:v>
                </c:pt>
                <c:pt idx="41">
                  <c:v>39994</c:v>
                </c:pt>
                <c:pt idx="42">
                  <c:v>40086</c:v>
                </c:pt>
                <c:pt idx="43">
                  <c:v>40178</c:v>
                </c:pt>
                <c:pt idx="44">
                  <c:v>40268</c:v>
                </c:pt>
                <c:pt idx="45">
                  <c:v>40359</c:v>
                </c:pt>
                <c:pt idx="46">
                  <c:v>40451</c:v>
                </c:pt>
                <c:pt idx="47">
                  <c:v>40543</c:v>
                </c:pt>
                <c:pt idx="48">
                  <c:v>40633</c:v>
                </c:pt>
                <c:pt idx="49">
                  <c:v>40724</c:v>
                </c:pt>
                <c:pt idx="50">
                  <c:v>40816</c:v>
                </c:pt>
                <c:pt idx="51">
                  <c:v>40908</c:v>
                </c:pt>
                <c:pt idx="52">
                  <c:v>40999</c:v>
                </c:pt>
                <c:pt idx="53">
                  <c:v>41090</c:v>
                </c:pt>
                <c:pt idx="54">
                  <c:v>41182</c:v>
                </c:pt>
                <c:pt idx="55">
                  <c:v>41274</c:v>
                </c:pt>
                <c:pt idx="56">
                  <c:v>41364</c:v>
                </c:pt>
                <c:pt idx="57">
                  <c:v>41455</c:v>
                </c:pt>
                <c:pt idx="58">
                  <c:v>41547</c:v>
                </c:pt>
                <c:pt idx="59">
                  <c:v>41639</c:v>
                </c:pt>
                <c:pt idx="60">
                  <c:v>41729</c:v>
                </c:pt>
                <c:pt idx="61">
                  <c:v>41820</c:v>
                </c:pt>
                <c:pt idx="62">
                  <c:v>41912</c:v>
                </c:pt>
                <c:pt idx="63">
                  <c:v>42004</c:v>
                </c:pt>
                <c:pt idx="64">
                  <c:v>42094</c:v>
                </c:pt>
                <c:pt idx="65">
                  <c:v>42185</c:v>
                </c:pt>
                <c:pt idx="66">
                  <c:v>42277</c:v>
                </c:pt>
                <c:pt idx="67">
                  <c:v>42369</c:v>
                </c:pt>
                <c:pt idx="68">
                  <c:v>42460</c:v>
                </c:pt>
                <c:pt idx="69">
                  <c:v>42551</c:v>
                </c:pt>
                <c:pt idx="70">
                  <c:v>42643</c:v>
                </c:pt>
                <c:pt idx="71">
                  <c:v>42735</c:v>
                </c:pt>
                <c:pt idx="72">
                  <c:v>42825</c:v>
                </c:pt>
                <c:pt idx="73">
                  <c:v>42916</c:v>
                </c:pt>
                <c:pt idx="74">
                  <c:v>43008</c:v>
                </c:pt>
              </c:numCache>
            </c:numRef>
          </c:cat>
          <c:val>
            <c:numRef>
              <c:f>'Quarterly Series'!$M$5:$M$79</c:f>
              <c:numCache>
                <c:formatCode>0.0</c:formatCode>
                <c:ptCount val="75"/>
                <c:pt idx="0">
                  <c:v>4.7</c:v>
                </c:pt>
                <c:pt idx="1">
                  <c:v>4.7</c:v>
                </c:pt>
                <c:pt idx="2">
                  <c:v>4.8</c:v>
                </c:pt>
                <c:pt idx="3">
                  <c:v>4.8</c:v>
                </c:pt>
                <c:pt idx="4">
                  <c:v>4.8</c:v>
                </c:pt>
                <c:pt idx="5">
                  <c:v>4.7</c:v>
                </c:pt>
                <c:pt idx="6">
                  <c:v>4.7</c:v>
                </c:pt>
                <c:pt idx="7">
                  <c:v>4.7</c:v>
                </c:pt>
                <c:pt idx="8">
                  <c:v>4.7</c:v>
                </c:pt>
                <c:pt idx="9">
                  <c:v>4.7</c:v>
                </c:pt>
                <c:pt idx="10">
                  <c:v>4.7</c:v>
                </c:pt>
                <c:pt idx="11">
                  <c:v>4.7</c:v>
                </c:pt>
                <c:pt idx="12">
                  <c:v>4.7</c:v>
                </c:pt>
                <c:pt idx="13">
                  <c:v>4.7</c:v>
                </c:pt>
                <c:pt idx="14">
                  <c:v>4.7</c:v>
                </c:pt>
                <c:pt idx="15">
                  <c:v>4.7</c:v>
                </c:pt>
                <c:pt idx="16">
                  <c:v>4.5999999999999996</c:v>
                </c:pt>
                <c:pt idx="17">
                  <c:v>4.5999999999999996</c:v>
                </c:pt>
                <c:pt idx="18">
                  <c:v>4.5999999999999996</c:v>
                </c:pt>
                <c:pt idx="19">
                  <c:v>4.7</c:v>
                </c:pt>
                <c:pt idx="20">
                  <c:v>4.7</c:v>
                </c:pt>
                <c:pt idx="21">
                  <c:v>4.7</c:v>
                </c:pt>
                <c:pt idx="22">
                  <c:v>4.8</c:v>
                </c:pt>
                <c:pt idx="23">
                  <c:v>4.8</c:v>
                </c:pt>
                <c:pt idx="24">
                  <c:v>4.8</c:v>
                </c:pt>
                <c:pt idx="25">
                  <c:v>4.9000000000000004</c:v>
                </c:pt>
                <c:pt idx="26">
                  <c:v>5</c:v>
                </c:pt>
                <c:pt idx="27">
                  <c:v>5.0999999999999996</c:v>
                </c:pt>
                <c:pt idx="28">
                  <c:v>5.2</c:v>
                </c:pt>
                <c:pt idx="29">
                  <c:v>5.3</c:v>
                </c:pt>
                <c:pt idx="30">
                  <c:v>5.4</c:v>
                </c:pt>
                <c:pt idx="31">
                  <c:v>5.4</c:v>
                </c:pt>
                <c:pt idx="32">
                  <c:v>5.5</c:v>
                </c:pt>
                <c:pt idx="33">
                  <c:v>5.6</c:v>
                </c:pt>
                <c:pt idx="34">
                  <c:v>5.7</c:v>
                </c:pt>
                <c:pt idx="35">
                  <c:v>5.8</c:v>
                </c:pt>
                <c:pt idx="36">
                  <c:v>5.8</c:v>
                </c:pt>
                <c:pt idx="37">
                  <c:v>5.9</c:v>
                </c:pt>
                <c:pt idx="38">
                  <c:v>6</c:v>
                </c:pt>
                <c:pt idx="39">
                  <c:v>6</c:v>
                </c:pt>
                <c:pt idx="40">
                  <c:v>6</c:v>
                </c:pt>
                <c:pt idx="41">
                  <c:v>6</c:v>
                </c:pt>
                <c:pt idx="42">
                  <c:v>5.9</c:v>
                </c:pt>
                <c:pt idx="43">
                  <c:v>6</c:v>
                </c:pt>
                <c:pt idx="44">
                  <c:v>6.1</c:v>
                </c:pt>
                <c:pt idx="45">
                  <c:v>6.1</c:v>
                </c:pt>
                <c:pt idx="46">
                  <c:v>6.1</c:v>
                </c:pt>
                <c:pt idx="47">
                  <c:v>6.1</c:v>
                </c:pt>
                <c:pt idx="48">
                  <c:v>6.2</c:v>
                </c:pt>
                <c:pt idx="49">
                  <c:v>6.2</c:v>
                </c:pt>
                <c:pt idx="50">
                  <c:v>6.2</c:v>
                </c:pt>
                <c:pt idx="51">
                  <c:v>6.3</c:v>
                </c:pt>
                <c:pt idx="52">
                  <c:v>6.3</c:v>
                </c:pt>
                <c:pt idx="53">
                  <c:v>6.3</c:v>
                </c:pt>
                <c:pt idx="54">
                  <c:v>6.3</c:v>
                </c:pt>
                <c:pt idx="55">
                  <c:v>6.4</c:v>
                </c:pt>
                <c:pt idx="56">
                  <c:v>6.3</c:v>
                </c:pt>
                <c:pt idx="57">
                  <c:v>6.4</c:v>
                </c:pt>
                <c:pt idx="58">
                  <c:v>6.4</c:v>
                </c:pt>
                <c:pt idx="59">
                  <c:v>6.3</c:v>
                </c:pt>
                <c:pt idx="60">
                  <c:v>6.3</c:v>
                </c:pt>
                <c:pt idx="61">
                  <c:v>6.3</c:v>
                </c:pt>
                <c:pt idx="62">
                  <c:v>6.3</c:v>
                </c:pt>
                <c:pt idx="63">
                  <c:v>6.3</c:v>
                </c:pt>
                <c:pt idx="64">
                  <c:v>6.3</c:v>
                </c:pt>
                <c:pt idx="65">
                  <c:v>6.3</c:v>
                </c:pt>
                <c:pt idx="66">
                  <c:v>6.3</c:v>
                </c:pt>
                <c:pt idx="67">
                  <c:v>6.2</c:v>
                </c:pt>
                <c:pt idx="68">
                  <c:v>6.2</c:v>
                </c:pt>
                <c:pt idx="69">
                  <c:v>6.1</c:v>
                </c:pt>
                <c:pt idx="70">
                  <c:v>6.1</c:v>
                </c:pt>
                <c:pt idx="71">
                  <c:v>6.1</c:v>
                </c:pt>
                <c:pt idx="72">
                  <c:v>6.1</c:v>
                </c:pt>
                <c:pt idx="73">
                  <c:v>6.1</c:v>
                </c:pt>
                <c:pt idx="74">
                  <c:v>6.1</c:v>
                </c:pt>
              </c:numCache>
            </c:numRef>
          </c:val>
        </c:ser>
        <c:marker val="1"/>
        <c:axId val="52083328"/>
        <c:axId val="52093312"/>
      </c:lineChart>
      <c:dateAx>
        <c:axId val="52083328"/>
        <c:scaling>
          <c:orientation val="minMax"/>
        </c:scaling>
        <c:axPos val="b"/>
        <c:numFmt formatCode="dd\.mm\.yyyy" sourceLinked="1"/>
        <c:tickLblPos val="nextTo"/>
        <c:crossAx val="52093312"/>
        <c:crosses val="autoZero"/>
        <c:auto val="1"/>
        <c:lblOffset val="100"/>
      </c:dateAx>
      <c:valAx>
        <c:axId val="52093312"/>
        <c:scaling>
          <c:orientation val="minMax"/>
        </c:scaling>
        <c:axPos val="l"/>
        <c:numFmt formatCode="0.0" sourceLinked="1"/>
        <c:tickLblPos val="nextTo"/>
        <c:crossAx val="5208332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l-GR"/>
  <c:chart>
    <c:plotArea>
      <c:layout/>
      <c:lineChart>
        <c:grouping val="standard"/>
        <c:ser>
          <c:idx val="0"/>
          <c:order val="0"/>
          <c:marker>
            <c:symbol val="none"/>
          </c:marker>
          <c:cat>
            <c:numRef>
              <c:f>'Quarterly Series'!$A$5:$A$79</c:f>
              <c:numCache>
                <c:formatCode>dd\.mm\.yyyy</c:formatCode>
                <c:ptCount val="75"/>
                <c:pt idx="0">
                  <c:v>36250</c:v>
                </c:pt>
                <c:pt idx="1">
                  <c:v>36341</c:v>
                </c:pt>
                <c:pt idx="2">
                  <c:v>36433</c:v>
                </c:pt>
                <c:pt idx="3">
                  <c:v>36525</c:v>
                </c:pt>
                <c:pt idx="4">
                  <c:v>36616</c:v>
                </c:pt>
                <c:pt idx="5">
                  <c:v>36707</c:v>
                </c:pt>
                <c:pt idx="6">
                  <c:v>36799</c:v>
                </c:pt>
                <c:pt idx="7">
                  <c:v>36891</c:v>
                </c:pt>
                <c:pt idx="8">
                  <c:v>36981</c:v>
                </c:pt>
                <c:pt idx="9">
                  <c:v>37072</c:v>
                </c:pt>
                <c:pt idx="10">
                  <c:v>37164</c:v>
                </c:pt>
                <c:pt idx="11">
                  <c:v>37256</c:v>
                </c:pt>
                <c:pt idx="12">
                  <c:v>37346</c:v>
                </c:pt>
                <c:pt idx="13">
                  <c:v>37437</c:v>
                </c:pt>
                <c:pt idx="14">
                  <c:v>37529</c:v>
                </c:pt>
                <c:pt idx="15">
                  <c:v>37621</c:v>
                </c:pt>
                <c:pt idx="16">
                  <c:v>37711</c:v>
                </c:pt>
                <c:pt idx="17">
                  <c:v>37802</c:v>
                </c:pt>
                <c:pt idx="18">
                  <c:v>37894</c:v>
                </c:pt>
                <c:pt idx="19">
                  <c:v>37986</c:v>
                </c:pt>
                <c:pt idx="20">
                  <c:v>38077</c:v>
                </c:pt>
                <c:pt idx="21">
                  <c:v>38168</c:v>
                </c:pt>
                <c:pt idx="22">
                  <c:v>38260</c:v>
                </c:pt>
                <c:pt idx="23">
                  <c:v>38352</c:v>
                </c:pt>
                <c:pt idx="24">
                  <c:v>38442</c:v>
                </c:pt>
                <c:pt idx="25">
                  <c:v>38533</c:v>
                </c:pt>
                <c:pt idx="26">
                  <c:v>38625</c:v>
                </c:pt>
                <c:pt idx="27">
                  <c:v>38717</c:v>
                </c:pt>
                <c:pt idx="28">
                  <c:v>38807</c:v>
                </c:pt>
                <c:pt idx="29">
                  <c:v>38898</c:v>
                </c:pt>
                <c:pt idx="30">
                  <c:v>38990</c:v>
                </c:pt>
                <c:pt idx="31">
                  <c:v>39082</c:v>
                </c:pt>
                <c:pt idx="32">
                  <c:v>39172</c:v>
                </c:pt>
                <c:pt idx="33">
                  <c:v>39263</c:v>
                </c:pt>
                <c:pt idx="34">
                  <c:v>39355</c:v>
                </c:pt>
                <c:pt idx="35">
                  <c:v>39447</c:v>
                </c:pt>
                <c:pt idx="36">
                  <c:v>39538</c:v>
                </c:pt>
                <c:pt idx="37">
                  <c:v>39629</c:v>
                </c:pt>
                <c:pt idx="38">
                  <c:v>39721</c:v>
                </c:pt>
                <c:pt idx="39">
                  <c:v>39813</c:v>
                </c:pt>
                <c:pt idx="40">
                  <c:v>39903</c:v>
                </c:pt>
                <c:pt idx="41">
                  <c:v>39994</c:v>
                </c:pt>
                <c:pt idx="42">
                  <c:v>40086</c:v>
                </c:pt>
                <c:pt idx="43">
                  <c:v>40178</c:v>
                </c:pt>
                <c:pt idx="44">
                  <c:v>40268</c:v>
                </c:pt>
                <c:pt idx="45">
                  <c:v>40359</c:v>
                </c:pt>
                <c:pt idx="46">
                  <c:v>40451</c:v>
                </c:pt>
                <c:pt idx="47">
                  <c:v>40543</c:v>
                </c:pt>
                <c:pt idx="48">
                  <c:v>40633</c:v>
                </c:pt>
                <c:pt idx="49">
                  <c:v>40724</c:v>
                </c:pt>
                <c:pt idx="50">
                  <c:v>40816</c:v>
                </c:pt>
                <c:pt idx="51">
                  <c:v>40908</c:v>
                </c:pt>
                <c:pt idx="52">
                  <c:v>40999</c:v>
                </c:pt>
                <c:pt idx="53">
                  <c:v>41090</c:v>
                </c:pt>
                <c:pt idx="54">
                  <c:v>41182</c:v>
                </c:pt>
                <c:pt idx="55">
                  <c:v>41274</c:v>
                </c:pt>
                <c:pt idx="56">
                  <c:v>41364</c:v>
                </c:pt>
                <c:pt idx="57">
                  <c:v>41455</c:v>
                </c:pt>
                <c:pt idx="58">
                  <c:v>41547</c:v>
                </c:pt>
                <c:pt idx="59">
                  <c:v>41639</c:v>
                </c:pt>
                <c:pt idx="60">
                  <c:v>41729</c:v>
                </c:pt>
                <c:pt idx="61">
                  <c:v>41820</c:v>
                </c:pt>
                <c:pt idx="62">
                  <c:v>41912</c:v>
                </c:pt>
                <c:pt idx="63">
                  <c:v>42004</c:v>
                </c:pt>
                <c:pt idx="64">
                  <c:v>42094</c:v>
                </c:pt>
                <c:pt idx="65">
                  <c:v>42185</c:v>
                </c:pt>
                <c:pt idx="66">
                  <c:v>42277</c:v>
                </c:pt>
                <c:pt idx="67">
                  <c:v>42369</c:v>
                </c:pt>
                <c:pt idx="68">
                  <c:v>42460</c:v>
                </c:pt>
                <c:pt idx="69">
                  <c:v>42551</c:v>
                </c:pt>
                <c:pt idx="70">
                  <c:v>42643</c:v>
                </c:pt>
                <c:pt idx="71">
                  <c:v>42735</c:v>
                </c:pt>
                <c:pt idx="72">
                  <c:v>42825</c:v>
                </c:pt>
                <c:pt idx="73">
                  <c:v>42916</c:v>
                </c:pt>
                <c:pt idx="74">
                  <c:v>43008</c:v>
                </c:pt>
              </c:numCache>
            </c:numRef>
          </c:cat>
          <c:val>
            <c:numRef>
              <c:f>'Quarterly Series'!$I$5:$I$79</c:f>
              <c:numCache>
                <c:formatCode>0.0</c:formatCode>
                <c:ptCount val="75"/>
                <c:pt idx="0">
                  <c:v>9.4</c:v>
                </c:pt>
                <c:pt idx="1">
                  <c:v>9.5</c:v>
                </c:pt>
                <c:pt idx="2">
                  <c:v>9.5</c:v>
                </c:pt>
                <c:pt idx="3">
                  <c:v>9.5</c:v>
                </c:pt>
                <c:pt idx="4">
                  <c:v>9.7000000000000011</c:v>
                </c:pt>
                <c:pt idx="5">
                  <c:v>9.6</c:v>
                </c:pt>
                <c:pt idx="6">
                  <c:v>9.6</c:v>
                </c:pt>
                <c:pt idx="7">
                  <c:v>9.6</c:v>
                </c:pt>
                <c:pt idx="8">
                  <c:v>9.7000000000000011</c:v>
                </c:pt>
                <c:pt idx="9">
                  <c:v>9.6</c:v>
                </c:pt>
                <c:pt idx="10">
                  <c:v>9.5</c:v>
                </c:pt>
                <c:pt idx="11">
                  <c:v>9.5</c:v>
                </c:pt>
                <c:pt idx="12">
                  <c:v>9.3000000000000007</c:v>
                </c:pt>
                <c:pt idx="13">
                  <c:v>9.3000000000000007</c:v>
                </c:pt>
                <c:pt idx="14">
                  <c:v>9.3000000000000007</c:v>
                </c:pt>
                <c:pt idx="15">
                  <c:v>9.3000000000000007</c:v>
                </c:pt>
                <c:pt idx="16">
                  <c:v>9.3000000000000007</c:v>
                </c:pt>
                <c:pt idx="17">
                  <c:v>9.3000000000000007</c:v>
                </c:pt>
                <c:pt idx="18">
                  <c:v>9.2000000000000011</c:v>
                </c:pt>
                <c:pt idx="19">
                  <c:v>9.2000000000000011</c:v>
                </c:pt>
                <c:pt idx="20">
                  <c:v>9</c:v>
                </c:pt>
                <c:pt idx="21">
                  <c:v>9</c:v>
                </c:pt>
                <c:pt idx="22">
                  <c:v>9</c:v>
                </c:pt>
                <c:pt idx="23">
                  <c:v>8.9</c:v>
                </c:pt>
                <c:pt idx="24">
                  <c:v>8.8000000000000007</c:v>
                </c:pt>
                <c:pt idx="25">
                  <c:v>8.7000000000000011</c:v>
                </c:pt>
                <c:pt idx="26">
                  <c:v>8.7000000000000011</c:v>
                </c:pt>
                <c:pt idx="27">
                  <c:v>8.6</c:v>
                </c:pt>
                <c:pt idx="28">
                  <c:v>8.5</c:v>
                </c:pt>
                <c:pt idx="29">
                  <c:v>8.5</c:v>
                </c:pt>
                <c:pt idx="30">
                  <c:v>8.4</c:v>
                </c:pt>
                <c:pt idx="31">
                  <c:v>8.4</c:v>
                </c:pt>
                <c:pt idx="32">
                  <c:v>8.2000000000000011</c:v>
                </c:pt>
                <c:pt idx="33">
                  <c:v>8.2000000000000011</c:v>
                </c:pt>
                <c:pt idx="34">
                  <c:v>8.1</c:v>
                </c:pt>
                <c:pt idx="35">
                  <c:v>8.1</c:v>
                </c:pt>
                <c:pt idx="36">
                  <c:v>8</c:v>
                </c:pt>
                <c:pt idx="37">
                  <c:v>8.9</c:v>
                </c:pt>
                <c:pt idx="38">
                  <c:v>8.8000000000000007</c:v>
                </c:pt>
                <c:pt idx="39">
                  <c:v>8.8000000000000007</c:v>
                </c:pt>
                <c:pt idx="40">
                  <c:v>8.8000000000000007</c:v>
                </c:pt>
                <c:pt idx="41">
                  <c:v>8.8000000000000007</c:v>
                </c:pt>
                <c:pt idx="42">
                  <c:v>9</c:v>
                </c:pt>
                <c:pt idx="43">
                  <c:v>9.7000000000000011</c:v>
                </c:pt>
                <c:pt idx="44">
                  <c:v>9.7000000000000011</c:v>
                </c:pt>
                <c:pt idx="45">
                  <c:v>9.6</c:v>
                </c:pt>
                <c:pt idx="46">
                  <c:v>9.9</c:v>
                </c:pt>
                <c:pt idx="47">
                  <c:v>10.5</c:v>
                </c:pt>
                <c:pt idx="48">
                  <c:v>10.4</c:v>
                </c:pt>
                <c:pt idx="49">
                  <c:v>10.3</c:v>
                </c:pt>
                <c:pt idx="50">
                  <c:v>10.3</c:v>
                </c:pt>
                <c:pt idx="51">
                  <c:v>10.3</c:v>
                </c:pt>
                <c:pt idx="52">
                  <c:v>10.200000000000001</c:v>
                </c:pt>
                <c:pt idx="53">
                  <c:v>10.1</c:v>
                </c:pt>
                <c:pt idx="54">
                  <c:v>10.1</c:v>
                </c:pt>
                <c:pt idx="55">
                  <c:v>10</c:v>
                </c:pt>
                <c:pt idx="56">
                  <c:v>10.200000000000001</c:v>
                </c:pt>
                <c:pt idx="57">
                  <c:v>10.9</c:v>
                </c:pt>
                <c:pt idx="58">
                  <c:v>10.9</c:v>
                </c:pt>
                <c:pt idx="59">
                  <c:v>10.8</c:v>
                </c:pt>
                <c:pt idx="60">
                  <c:v>10.8</c:v>
                </c:pt>
                <c:pt idx="61">
                  <c:v>10.7</c:v>
                </c:pt>
                <c:pt idx="62">
                  <c:v>10.7</c:v>
                </c:pt>
                <c:pt idx="63">
                  <c:v>10.9</c:v>
                </c:pt>
                <c:pt idx="64">
                  <c:v>11.6</c:v>
                </c:pt>
                <c:pt idx="65">
                  <c:v>11.5</c:v>
                </c:pt>
                <c:pt idx="66">
                  <c:v>11.3</c:v>
                </c:pt>
                <c:pt idx="67">
                  <c:v>11.4</c:v>
                </c:pt>
                <c:pt idx="68">
                  <c:v>11.4</c:v>
                </c:pt>
                <c:pt idx="69">
                  <c:v>11.3</c:v>
                </c:pt>
                <c:pt idx="70">
                  <c:v>11.3</c:v>
                </c:pt>
                <c:pt idx="71">
                  <c:v>11.3</c:v>
                </c:pt>
                <c:pt idx="72">
                  <c:v>11.2</c:v>
                </c:pt>
                <c:pt idx="73">
                  <c:v>11.4</c:v>
                </c:pt>
                <c:pt idx="74">
                  <c:v>11.1</c:v>
                </c:pt>
              </c:numCache>
            </c:numRef>
          </c:val>
        </c:ser>
        <c:marker val="1"/>
        <c:axId val="52100096"/>
        <c:axId val="106840832"/>
      </c:lineChart>
      <c:dateAx>
        <c:axId val="52100096"/>
        <c:scaling>
          <c:orientation val="minMax"/>
        </c:scaling>
        <c:axPos val="b"/>
        <c:numFmt formatCode="dd\.mm\.yyyy" sourceLinked="1"/>
        <c:tickLblPos val="nextTo"/>
        <c:crossAx val="106840832"/>
        <c:crosses val="autoZero"/>
        <c:auto val="1"/>
        <c:lblOffset val="100"/>
      </c:dateAx>
      <c:valAx>
        <c:axId val="106840832"/>
        <c:scaling>
          <c:orientation val="minMax"/>
        </c:scaling>
        <c:axPos val="l"/>
        <c:numFmt formatCode="0.0" sourceLinked="1"/>
        <c:tickLblPos val="nextTo"/>
        <c:crossAx val="5210009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l-GR"/>
  <c:chart>
    <c:plotArea>
      <c:layout/>
      <c:lineChart>
        <c:grouping val="standard"/>
        <c:ser>
          <c:idx val="0"/>
          <c:order val="0"/>
          <c:marker>
            <c:symbol val="none"/>
          </c:marker>
          <c:cat>
            <c:numRef>
              <c:f>'Quarterly Series'!$A$5:$A$79</c:f>
              <c:numCache>
                <c:formatCode>dd\.mm\.yyyy</c:formatCode>
                <c:ptCount val="75"/>
                <c:pt idx="0">
                  <c:v>36250</c:v>
                </c:pt>
                <c:pt idx="1">
                  <c:v>36341</c:v>
                </c:pt>
                <c:pt idx="2">
                  <c:v>36433</c:v>
                </c:pt>
                <c:pt idx="3">
                  <c:v>36525</c:v>
                </c:pt>
                <c:pt idx="4">
                  <c:v>36616</c:v>
                </c:pt>
                <c:pt idx="5">
                  <c:v>36707</c:v>
                </c:pt>
                <c:pt idx="6">
                  <c:v>36799</c:v>
                </c:pt>
                <c:pt idx="7">
                  <c:v>36891</c:v>
                </c:pt>
                <c:pt idx="8">
                  <c:v>36981</c:v>
                </c:pt>
                <c:pt idx="9">
                  <c:v>37072</c:v>
                </c:pt>
                <c:pt idx="10">
                  <c:v>37164</c:v>
                </c:pt>
                <c:pt idx="11">
                  <c:v>37256</c:v>
                </c:pt>
                <c:pt idx="12">
                  <c:v>37346</c:v>
                </c:pt>
                <c:pt idx="13">
                  <c:v>37437</c:v>
                </c:pt>
                <c:pt idx="14">
                  <c:v>37529</c:v>
                </c:pt>
                <c:pt idx="15">
                  <c:v>37621</c:v>
                </c:pt>
                <c:pt idx="16">
                  <c:v>37711</c:v>
                </c:pt>
                <c:pt idx="17">
                  <c:v>37802</c:v>
                </c:pt>
                <c:pt idx="18">
                  <c:v>37894</c:v>
                </c:pt>
                <c:pt idx="19">
                  <c:v>37986</c:v>
                </c:pt>
                <c:pt idx="20">
                  <c:v>38077</c:v>
                </c:pt>
                <c:pt idx="21">
                  <c:v>38168</c:v>
                </c:pt>
                <c:pt idx="22">
                  <c:v>38260</c:v>
                </c:pt>
                <c:pt idx="23">
                  <c:v>38352</c:v>
                </c:pt>
                <c:pt idx="24">
                  <c:v>38442</c:v>
                </c:pt>
                <c:pt idx="25">
                  <c:v>38533</c:v>
                </c:pt>
                <c:pt idx="26">
                  <c:v>38625</c:v>
                </c:pt>
                <c:pt idx="27">
                  <c:v>38717</c:v>
                </c:pt>
                <c:pt idx="28">
                  <c:v>38807</c:v>
                </c:pt>
                <c:pt idx="29">
                  <c:v>38898</c:v>
                </c:pt>
                <c:pt idx="30">
                  <c:v>38990</c:v>
                </c:pt>
                <c:pt idx="31">
                  <c:v>39082</c:v>
                </c:pt>
                <c:pt idx="32">
                  <c:v>39172</c:v>
                </c:pt>
                <c:pt idx="33">
                  <c:v>39263</c:v>
                </c:pt>
                <c:pt idx="34">
                  <c:v>39355</c:v>
                </c:pt>
                <c:pt idx="35">
                  <c:v>39447</c:v>
                </c:pt>
                <c:pt idx="36">
                  <c:v>39538</c:v>
                </c:pt>
                <c:pt idx="37">
                  <c:v>39629</c:v>
                </c:pt>
                <c:pt idx="38">
                  <c:v>39721</c:v>
                </c:pt>
                <c:pt idx="39">
                  <c:v>39813</c:v>
                </c:pt>
                <c:pt idx="40">
                  <c:v>39903</c:v>
                </c:pt>
                <c:pt idx="41">
                  <c:v>39994</c:v>
                </c:pt>
                <c:pt idx="42">
                  <c:v>40086</c:v>
                </c:pt>
                <c:pt idx="43">
                  <c:v>40178</c:v>
                </c:pt>
                <c:pt idx="44">
                  <c:v>40268</c:v>
                </c:pt>
                <c:pt idx="45">
                  <c:v>40359</c:v>
                </c:pt>
                <c:pt idx="46">
                  <c:v>40451</c:v>
                </c:pt>
                <c:pt idx="47">
                  <c:v>40543</c:v>
                </c:pt>
                <c:pt idx="48">
                  <c:v>40633</c:v>
                </c:pt>
                <c:pt idx="49">
                  <c:v>40724</c:v>
                </c:pt>
                <c:pt idx="50">
                  <c:v>40816</c:v>
                </c:pt>
                <c:pt idx="51">
                  <c:v>40908</c:v>
                </c:pt>
                <c:pt idx="52">
                  <c:v>40999</c:v>
                </c:pt>
                <c:pt idx="53">
                  <c:v>41090</c:v>
                </c:pt>
                <c:pt idx="54">
                  <c:v>41182</c:v>
                </c:pt>
                <c:pt idx="55">
                  <c:v>41274</c:v>
                </c:pt>
                <c:pt idx="56">
                  <c:v>41364</c:v>
                </c:pt>
                <c:pt idx="57">
                  <c:v>41455</c:v>
                </c:pt>
                <c:pt idx="58">
                  <c:v>41547</c:v>
                </c:pt>
                <c:pt idx="59">
                  <c:v>41639</c:v>
                </c:pt>
                <c:pt idx="60">
                  <c:v>41729</c:v>
                </c:pt>
                <c:pt idx="61">
                  <c:v>41820</c:v>
                </c:pt>
                <c:pt idx="62">
                  <c:v>41912</c:v>
                </c:pt>
                <c:pt idx="63">
                  <c:v>42004</c:v>
                </c:pt>
                <c:pt idx="64">
                  <c:v>42094</c:v>
                </c:pt>
                <c:pt idx="65">
                  <c:v>42185</c:v>
                </c:pt>
                <c:pt idx="66">
                  <c:v>42277</c:v>
                </c:pt>
                <c:pt idx="67">
                  <c:v>42369</c:v>
                </c:pt>
                <c:pt idx="68">
                  <c:v>42460</c:v>
                </c:pt>
                <c:pt idx="69">
                  <c:v>42551</c:v>
                </c:pt>
                <c:pt idx="70">
                  <c:v>42643</c:v>
                </c:pt>
                <c:pt idx="71">
                  <c:v>42735</c:v>
                </c:pt>
                <c:pt idx="72">
                  <c:v>42825</c:v>
                </c:pt>
                <c:pt idx="73">
                  <c:v>42916</c:v>
                </c:pt>
                <c:pt idx="74">
                  <c:v>43008</c:v>
                </c:pt>
              </c:numCache>
            </c:numRef>
          </c:cat>
          <c:val>
            <c:numRef>
              <c:f>'Quarterly Series'!$O$5:$O$79</c:f>
              <c:numCache>
                <c:formatCode>0.0</c:formatCode>
                <c:ptCount val="75"/>
                <c:pt idx="0">
                  <c:v>21.8</c:v>
                </c:pt>
                <c:pt idx="1">
                  <c:v>20.5</c:v>
                </c:pt>
                <c:pt idx="2">
                  <c:v>20.100000000000001</c:v>
                </c:pt>
                <c:pt idx="3">
                  <c:v>19.600000000000001</c:v>
                </c:pt>
                <c:pt idx="4">
                  <c:v>19.2</c:v>
                </c:pt>
                <c:pt idx="5">
                  <c:v>18.8</c:v>
                </c:pt>
                <c:pt idx="6">
                  <c:v>19.399999999999999</c:v>
                </c:pt>
                <c:pt idx="7">
                  <c:v>18.8</c:v>
                </c:pt>
                <c:pt idx="8">
                  <c:v>18.600000000000001</c:v>
                </c:pt>
                <c:pt idx="9">
                  <c:v>17.899999999999999</c:v>
                </c:pt>
                <c:pt idx="10">
                  <c:v>17.3</c:v>
                </c:pt>
                <c:pt idx="11">
                  <c:v>16.5</c:v>
                </c:pt>
                <c:pt idx="12">
                  <c:v>15.9</c:v>
                </c:pt>
                <c:pt idx="13">
                  <c:v>15.4</c:v>
                </c:pt>
                <c:pt idx="14">
                  <c:v>14.9</c:v>
                </c:pt>
                <c:pt idx="15">
                  <c:v>14.5</c:v>
                </c:pt>
                <c:pt idx="16">
                  <c:v>14.2</c:v>
                </c:pt>
                <c:pt idx="17">
                  <c:v>14.4</c:v>
                </c:pt>
                <c:pt idx="18">
                  <c:v>14.2</c:v>
                </c:pt>
                <c:pt idx="19">
                  <c:v>14</c:v>
                </c:pt>
                <c:pt idx="20">
                  <c:v>13.9</c:v>
                </c:pt>
                <c:pt idx="21">
                  <c:v>13.5</c:v>
                </c:pt>
                <c:pt idx="22">
                  <c:v>13.5</c:v>
                </c:pt>
                <c:pt idx="23">
                  <c:v>13.7</c:v>
                </c:pt>
                <c:pt idx="24">
                  <c:v>13.9</c:v>
                </c:pt>
                <c:pt idx="25">
                  <c:v>14.7</c:v>
                </c:pt>
                <c:pt idx="26">
                  <c:v>14.9</c:v>
                </c:pt>
                <c:pt idx="27">
                  <c:v>15.4</c:v>
                </c:pt>
                <c:pt idx="28">
                  <c:v>15.7</c:v>
                </c:pt>
                <c:pt idx="29">
                  <c:v>16.399999999999999</c:v>
                </c:pt>
                <c:pt idx="30">
                  <c:v>16.8</c:v>
                </c:pt>
                <c:pt idx="31">
                  <c:v>16.8</c:v>
                </c:pt>
                <c:pt idx="32">
                  <c:v>17.5</c:v>
                </c:pt>
                <c:pt idx="33">
                  <c:v>18.5</c:v>
                </c:pt>
                <c:pt idx="34">
                  <c:v>19.2</c:v>
                </c:pt>
                <c:pt idx="35">
                  <c:v>18.399999999999999</c:v>
                </c:pt>
                <c:pt idx="36">
                  <c:v>18.5</c:v>
                </c:pt>
                <c:pt idx="37">
                  <c:v>18.600000000000001</c:v>
                </c:pt>
                <c:pt idx="38">
                  <c:v>18.7</c:v>
                </c:pt>
                <c:pt idx="39">
                  <c:v>17.8</c:v>
                </c:pt>
                <c:pt idx="40">
                  <c:v>16.8</c:v>
                </c:pt>
                <c:pt idx="41">
                  <c:v>17</c:v>
                </c:pt>
                <c:pt idx="42">
                  <c:v>17</c:v>
                </c:pt>
                <c:pt idx="43">
                  <c:v>16.2</c:v>
                </c:pt>
                <c:pt idx="44">
                  <c:v>16.5</c:v>
                </c:pt>
                <c:pt idx="45">
                  <c:v>17.3</c:v>
                </c:pt>
                <c:pt idx="46">
                  <c:v>18.399999999999999</c:v>
                </c:pt>
                <c:pt idx="47">
                  <c:v>18.100000000000001</c:v>
                </c:pt>
                <c:pt idx="48">
                  <c:v>19.2</c:v>
                </c:pt>
                <c:pt idx="49">
                  <c:v>19.5</c:v>
                </c:pt>
                <c:pt idx="50">
                  <c:v>19.600000000000001</c:v>
                </c:pt>
                <c:pt idx="51">
                  <c:v>18.899999999999999</c:v>
                </c:pt>
                <c:pt idx="52">
                  <c:v>19.2</c:v>
                </c:pt>
                <c:pt idx="53">
                  <c:v>19.2</c:v>
                </c:pt>
                <c:pt idx="54">
                  <c:v>19.2</c:v>
                </c:pt>
                <c:pt idx="55">
                  <c:v>19</c:v>
                </c:pt>
                <c:pt idx="56">
                  <c:v>19.600000000000001</c:v>
                </c:pt>
                <c:pt idx="57">
                  <c:v>20.8</c:v>
                </c:pt>
                <c:pt idx="58">
                  <c:v>21.3</c:v>
                </c:pt>
                <c:pt idx="59">
                  <c:v>21</c:v>
                </c:pt>
                <c:pt idx="60">
                  <c:v>22.3</c:v>
                </c:pt>
                <c:pt idx="61">
                  <c:v>23.2</c:v>
                </c:pt>
                <c:pt idx="62">
                  <c:v>23.2</c:v>
                </c:pt>
                <c:pt idx="63">
                  <c:v>22.8</c:v>
                </c:pt>
                <c:pt idx="64">
                  <c:v>23.8</c:v>
                </c:pt>
                <c:pt idx="65">
                  <c:v>23.4</c:v>
                </c:pt>
                <c:pt idx="66">
                  <c:v>23</c:v>
                </c:pt>
                <c:pt idx="67">
                  <c:v>22.8</c:v>
                </c:pt>
                <c:pt idx="68">
                  <c:v>22.7</c:v>
                </c:pt>
                <c:pt idx="69">
                  <c:v>22.8</c:v>
                </c:pt>
                <c:pt idx="70">
                  <c:v>23</c:v>
                </c:pt>
                <c:pt idx="71">
                  <c:v>23.5</c:v>
                </c:pt>
                <c:pt idx="72">
                  <c:v>24.2</c:v>
                </c:pt>
                <c:pt idx="73">
                  <c:v>25.4</c:v>
                </c:pt>
                <c:pt idx="74">
                  <c:v>25.5</c:v>
                </c:pt>
              </c:numCache>
            </c:numRef>
          </c:val>
        </c:ser>
        <c:marker val="1"/>
        <c:axId val="106851712"/>
        <c:axId val="106857600"/>
      </c:lineChart>
      <c:dateAx>
        <c:axId val="106851712"/>
        <c:scaling>
          <c:orientation val="minMax"/>
        </c:scaling>
        <c:axPos val="b"/>
        <c:numFmt formatCode="dd\.mm\.yyyy" sourceLinked="1"/>
        <c:tickLblPos val="nextTo"/>
        <c:crossAx val="106857600"/>
        <c:crosses val="autoZero"/>
        <c:auto val="1"/>
        <c:lblOffset val="100"/>
      </c:dateAx>
      <c:valAx>
        <c:axId val="106857600"/>
        <c:scaling>
          <c:orientation val="minMax"/>
        </c:scaling>
        <c:axPos val="l"/>
        <c:numFmt formatCode="0.0" sourceLinked="1"/>
        <c:tickLblPos val="nextTo"/>
        <c:crossAx val="10685171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l-GR"/>
  <c:chart>
    <c:plotArea>
      <c:layout/>
      <c:lineChart>
        <c:grouping val="standard"/>
        <c:ser>
          <c:idx val="0"/>
          <c:order val="0"/>
          <c:marker>
            <c:symbol val="none"/>
          </c:marker>
          <c:cat>
            <c:numRef>
              <c:f>'Quarterly Series'!$A$5:$A$79</c:f>
              <c:numCache>
                <c:formatCode>dd\.mm\.yyyy</c:formatCode>
                <c:ptCount val="75"/>
                <c:pt idx="0">
                  <c:v>36250</c:v>
                </c:pt>
                <c:pt idx="1">
                  <c:v>36341</c:v>
                </c:pt>
                <c:pt idx="2">
                  <c:v>36433</c:v>
                </c:pt>
                <c:pt idx="3">
                  <c:v>36525</c:v>
                </c:pt>
                <c:pt idx="4">
                  <c:v>36616</c:v>
                </c:pt>
                <c:pt idx="5">
                  <c:v>36707</c:v>
                </c:pt>
                <c:pt idx="6">
                  <c:v>36799</c:v>
                </c:pt>
                <c:pt idx="7">
                  <c:v>36891</c:v>
                </c:pt>
                <c:pt idx="8">
                  <c:v>36981</c:v>
                </c:pt>
                <c:pt idx="9">
                  <c:v>37072</c:v>
                </c:pt>
                <c:pt idx="10">
                  <c:v>37164</c:v>
                </c:pt>
                <c:pt idx="11">
                  <c:v>37256</c:v>
                </c:pt>
                <c:pt idx="12">
                  <c:v>37346</c:v>
                </c:pt>
                <c:pt idx="13">
                  <c:v>37437</c:v>
                </c:pt>
                <c:pt idx="14">
                  <c:v>37529</c:v>
                </c:pt>
                <c:pt idx="15">
                  <c:v>37621</c:v>
                </c:pt>
                <c:pt idx="16">
                  <c:v>37711</c:v>
                </c:pt>
                <c:pt idx="17">
                  <c:v>37802</c:v>
                </c:pt>
                <c:pt idx="18">
                  <c:v>37894</c:v>
                </c:pt>
                <c:pt idx="19">
                  <c:v>37986</c:v>
                </c:pt>
                <c:pt idx="20">
                  <c:v>38077</c:v>
                </c:pt>
                <c:pt idx="21">
                  <c:v>38168</c:v>
                </c:pt>
                <c:pt idx="22">
                  <c:v>38260</c:v>
                </c:pt>
                <c:pt idx="23">
                  <c:v>38352</c:v>
                </c:pt>
                <c:pt idx="24">
                  <c:v>38442</c:v>
                </c:pt>
                <c:pt idx="25">
                  <c:v>38533</c:v>
                </c:pt>
                <c:pt idx="26">
                  <c:v>38625</c:v>
                </c:pt>
                <c:pt idx="27">
                  <c:v>38717</c:v>
                </c:pt>
                <c:pt idx="28">
                  <c:v>38807</c:v>
                </c:pt>
                <c:pt idx="29">
                  <c:v>38898</c:v>
                </c:pt>
                <c:pt idx="30">
                  <c:v>38990</c:v>
                </c:pt>
                <c:pt idx="31">
                  <c:v>39082</c:v>
                </c:pt>
                <c:pt idx="32">
                  <c:v>39172</c:v>
                </c:pt>
                <c:pt idx="33">
                  <c:v>39263</c:v>
                </c:pt>
                <c:pt idx="34">
                  <c:v>39355</c:v>
                </c:pt>
                <c:pt idx="35">
                  <c:v>39447</c:v>
                </c:pt>
                <c:pt idx="36">
                  <c:v>39538</c:v>
                </c:pt>
                <c:pt idx="37">
                  <c:v>39629</c:v>
                </c:pt>
                <c:pt idx="38">
                  <c:v>39721</c:v>
                </c:pt>
                <c:pt idx="39">
                  <c:v>39813</c:v>
                </c:pt>
                <c:pt idx="40">
                  <c:v>39903</c:v>
                </c:pt>
                <c:pt idx="41">
                  <c:v>39994</c:v>
                </c:pt>
                <c:pt idx="42">
                  <c:v>40086</c:v>
                </c:pt>
                <c:pt idx="43">
                  <c:v>40178</c:v>
                </c:pt>
                <c:pt idx="44">
                  <c:v>40268</c:v>
                </c:pt>
                <c:pt idx="45">
                  <c:v>40359</c:v>
                </c:pt>
                <c:pt idx="46">
                  <c:v>40451</c:v>
                </c:pt>
                <c:pt idx="47">
                  <c:v>40543</c:v>
                </c:pt>
                <c:pt idx="48">
                  <c:v>40633</c:v>
                </c:pt>
                <c:pt idx="49">
                  <c:v>40724</c:v>
                </c:pt>
                <c:pt idx="50">
                  <c:v>40816</c:v>
                </c:pt>
                <c:pt idx="51">
                  <c:v>40908</c:v>
                </c:pt>
                <c:pt idx="52">
                  <c:v>40999</c:v>
                </c:pt>
                <c:pt idx="53">
                  <c:v>41090</c:v>
                </c:pt>
                <c:pt idx="54">
                  <c:v>41182</c:v>
                </c:pt>
                <c:pt idx="55">
                  <c:v>41274</c:v>
                </c:pt>
                <c:pt idx="56">
                  <c:v>41364</c:v>
                </c:pt>
                <c:pt idx="57">
                  <c:v>41455</c:v>
                </c:pt>
                <c:pt idx="58">
                  <c:v>41547</c:v>
                </c:pt>
                <c:pt idx="59">
                  <c:v>41639</c:v>
                </c:pt>
                <c:pt idx="60">
                  <c:v>41729</c:v>
                </c:pt>
                <c:pt idx="61">
                  <c:v>41820</c:v>
                </c:pt>
                <c:pt idx="62">
                  <c:v>41912</c:v>
                </c:pt>
                <c:pt idx="63">
                  <c:v>42004</c:v>
                </c:pt>
                <c:pt idx="64">
                  <c:v>42094</c:v>
                </c:pt>
                <c:pt idx="65">
                  <c:v>42185</c:v>
                </c:pt>
                <c:pt idx="66">
                  <c:v>42277</c:v>
                </c:pt>
                <c:pt idx="67">
                  <c:v>42369</c:v>
                </c:pt>
                <c:pt idx="68">
                  <c:v>42460</c:v>
                </c:pt>
                <c:pt idx="69">
                  <c:v>42551</c:v>
                </c:pt>
                <c:pt idx="70">
                  <c:v>42643</c:v>
                </c:pt>
                <c:pt idx="71">
                  <c:v>42735</c:v>
                </c:pt>
                <c:pt idx="72">
                  <c:v>42825</c:v>
                </c:pt>
                <c:pt idx="73">
                  <c:v>42916</c:v>
                </c:pt>
                <c:pt idx="74">
                  <c:v>43008</c:v>
                </c:pt>
              </c:numCache>
            </c:numRef>
          </c:cat>
          <c:val>
            <c:numRef>
              <c:f>'Quarterly Series'!$AF$5:$AF$79</c:f>
              <c:numCache>
                <c:formatCode>0.0</c:formatCode>
                <c:ptCount val="75"/>
                <c:pt idx="0">
                  <c:v>9.4</c:v>
                </c:pt>
                <c:pt idx="1">
                  <c:v>9.5</c:v>
                </c:pt>
                <c:pt idx="2">
                  <c:v>9.6</c:v>
                </c:pt>
                <c:pt idx="3">
                  <c:v>9.7000000000000011</c:v>
                </c:pt>
                <c:pt idx="4">
                  <c:v>9.8000000000000007</c:v>
                </c:pt>
                <c:pt idx="5">
                  <c:v>9.9</c:v>
                </c:pt>
                <c:pt idx="6">
                  <c:v>9.9</c:v>
                </c:pt>
                <c:pt idx="7">
                  <c:v>9.9</c:v>
                </c:pt>
                <c:pt idx="8">
                  <c:v>9.9</c:v>
                </c:pt>
                <c:pt idx="9">
                  <c:v>9.9</c:v>
                </c:pt>
                <c:pt idx="10">
                  <c:v>10</c:v>
                </c:pt>
                <c:pt idx="11">
                  <c:v>9.9</c:v>
                </c:pt>
                <c:pt idx="12">
                  <c:v>9.9</c:v>
                </c:pt>
                <c:pt idx="13">
                  <c:v>9.8000000000000007</c:v>
                </c:pt>
                <c:pt idx="14">
                  <c:v>9.8000000000000007</c:v>
                </c:pt>
                <c:pt idx="15">
                  <c:v>9.8000000000000007</c:v>
                </c:pt>
                <c:pt idx="16">
                  <c:v>9.8000000000000007</c:v>
                </c:pt>
                <c:pt idx="17">
                  <c:v>9.9</c:v>
                </c:pt>
                <c:pt idx="18">
                  <c:v>9.9</c:v>
                </c:pt>
                <c:pt idx="19">
                  <c:v>9.9</c:v>
                </c:pt>
                <c:pt idx="20">
                  <c:v>9.9</c:v>
                </c:pt>
                <c:pt idx="21">
                  <c:v>9.9</c:v>
                </c:pt>
                <c:pt idx="22">
                  <c:v>10</c:v>
                </c:pt>
                <c:pt idx="23">
                  <c:v>10.200000000000001</c:v>
                </c:pt>
                <c:pt idx="24">
                  <c:v>10.3</c:v>
                </c:pt>
                <c:pt idx="25">
                  <c:v>10.5</c:v>
                </c:pt>
                <c:pt idx="26">
                  <c:v>10.7</c:v>
                </c:pt>
                <c:pt idx="27">
                  <c:v>10.9</c:v>
                </c:pt>
                <c:pt idx="28">
                  <c:v>11</c:v>
                </c:pt>
                <c:pt idx="29">
                  <c:v>11.1</c:v>
                </c:pt>
                <c:pt idx="30">
                  <c:v>11.2</c:v>
                </c:pt>
                <c:pt idx="31">
                  <c:v>11.4</c:v>
                </c:pt>
                <c:pt idx="32">
                  <c:v>11.5</c:v>
                </c:pt>
                <c:pt idx="33">
                  <c:v>11.6</c:v>
                </c:pt>
                <c:pt idx="34">
                  <c:v>11.6</c:v>
                </c:pt>
                <c:pt idx="35">
                  <c:v>11.6</c:v>
                </c:pt>
                <c:pt idx="36">
                  <c:v>11.5</c:v>
                </c:pt>
                <c:pt idx="37">
                  <c:v>11.3</c:v>
                </c:pt>
                <c:pt idx="38">
                  <c:v>11.2</c:v>
                </c:pt>
                <c:pt idx="39">
                  <c:v>10.9</c:v>
                </c:pt>
                <c:pt idx="40">
                  <c:v>10.7</c:v>
                </c:pt>
                <c:pt idx="41">
                  <c:v>10.6</c:v>
                </c:pt>
                <c:pt idx="42">
                  <c:v>10.6</c:v>
                </c:pt>
                <c:pt idx="43">
                  <c:v>10.5</c:v>
                </c:pt>
                <c:pt idx="44">
                  <c:v>10.3</c:v>
                </c:pt>
                <c:pt idx="45">
                  <c:v>10.1</c:v>
                </c:pt>
                <c:pt idx="46">
                  <c:v>10</c:v>
                </c:pt>
                <c:pt idx="47">
                  <c:v>9.8000000000000007</c:v>
                </c:pt>
                <c:pt idx="48">
                  <c:v>9.6</c:v>
                </c:pt>
                <c:pt idx="49">
                  <c:v>9.4</c:v>
                </c:pt>
                <c:pt idx="50">
                  <c:v>9.2000000000000011</c:v>
                </c:pt>
                <c:pt idx="51">
                  <c:v>9.1</c:v>
                </c:pt>
                <c:pt idx="52">
                  <c:v>9</c:v>
                </c:pt>
                <c:pt idx="53">
                  <c:v>8.8000000000000007</c:v>
                </c:pt>
                <c:pt idx="54">
                  <c:v>8.7000000000000011</c:v>
                </c:pt>
                <c:pt idx="55">
                  <c:v>8.6</c:v>
                </c:pt>
                <c:pt idx="56">
                  <c:v>8.5</c:v>
                </c:pt>
                <c:pt idx="57">
                  <c:v>8.5</c:v>
                </c:pt>
                <c:pt idx="58">
                  <c:v>8.5</c:v>
                </c:pt>
                <c:pt idx="59">
                  <c:v>8.6</c:v>
                </c:pt>
                <c:pt idx="60">
                  <c:v>8.5</c:v>
                </c:pt>
                <c:pt idx="61">
                  <c:v>8.5</c:v>
                </c:pt>
                <c:pt idx="62">
                  <c:v>8.8000000000000007</c:v>
                </c:pt>
                <c:pt idx="63">
                  <c:v>8.4</c:v>
                </c:pt>
                <c:pt idx="64">
                  <c:v>9</c:v>
                </c:pt>
                <c:pt idx="65">
                  <c:v>9.3000000000000007</c:v>
                </c:pt>
                <c:pt idx="66">
                  <c:v>9.2000000000000011</c:v>
                </c:pt>
                <c:pt idx="67">
                  <c:v>9.2000000000000011</c:v>
                </c:pt>
                <c:pt idx="68">
                  <c:v>9.5</c:v>
                </c:pt>
                <c:pt idx="69">
                  <c:v>9.1</c:v>
                </c:pt>
                <c:pt idx="70">
                  <c:v>9.2000000000000011</c:v>
                </c:pt>
                <c:pt idx="71">
                  <c:v>9.2000000000000011</c:v>
                </c:pt>
                <c:pt idx="72">
                  <c:v>9.5</c:v>
                </c:pt>
                <c:pt idx="73">
                  <c:v>9.7000000000000011</c:v>
                </c:pt>
                <c:pt idx="74">
                  <c:v>10.200000000000001</c:v>
                </c:pt>
              </c:numCache>
            </c:numRef>
          </c:val>
        </c:ser>
        <c:marker val="1"/>
        <c:axId val="143482880"/>
        <c:axId val="143484416"/>
      </c:lineChart>
      <c:dateAx>
        <c:axId val="143482880"/>
        <c:scaling>
          <c:orientation val="minMax"/>
        </c:scaling>
        <c:axPos val="b"/>
        <c:numFmt formatCode="dd\.mm\.yyyy" sourceLinked="1"/>
        <c:tickLblPos val="nextTo"/>
        <c:crossAx val="143484416"/>
        <c:crosses val="autoZero"/>
        <c:auto val="1"/>
        <c:lblOffset val="100"/>
      </c:dateAx>
      <c:valAx>
        <c:axId val="143484416"/>
        <c:scaling>
          <c:orientation val="minMax"/>
        </c:scaling>
        <c:axPos val="l"/>
        <c:numFmt formatCode="0.0" sourceLinked="1"/>
        <c:tickLblPos val="nextTo"/>
        <c:crossAx val="143482880"/>
        <c:crosses val="autoZero"/>
        <c:crossBetween val="between"/>
      </c:valAx>
    </c:plotArea>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0DC4A-B63B-4108-8097-6D42F771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11229</Words>
  <Characters>60640</Characters>
  <Application>Microsoft Office Word</Application>
  <DocSecurity>0</DocSecurity>
  <Lines>505</Lines>
  <Paragraphs>143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apergis</cp:lastModifiedBy>
  <cp:revision>6</cp:revision>
  <cp:lastPrinted>2018-03-29T06:50:00Z</cp:lastPrinted>
  <dcterms:created xsi:type="dcterms:W3CDTF">2018-08-24T07:20:00Z</dcterms:created>
  <dcterms:modified xsi:type="dcterms:W3CDTF">2018-08-27T05:48:00Z</dcterms:modified>
</cp:coreProperties>
</file>