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D41D8" w14:textId="301CC64F" w:rsidR="00DB3E9A" w:rsidRPr="001C75C8" w:rsidRDefault="001C75C8" w:rsidP="00A1072B">
      <w:pPr>
        <w:spacing w:line="480" w:lineRule="auto"/>
        <w:rPr>
          <w:b/>
          <w:bCs/>
        </w:rPr>
      </w:pPr>
      <w:r w:rsidRPr="001C75C8">
        <w:rPr>
          <w:b/>
          <w:bCs/>
        </w:rPr>
        <w:t xml:space="preserve">Justice </w:t>
      </w:r>
      <w:r w:rsidR="000E1872">
        <w:rPr>
          <w:b/>
          <w:bCs/>
        </w:rPr>
        <w:t>c</w:t>
      </w:r>
      <w:r w:rsidRPr="001C75C8">
        <w:rPr>
          <w:b/>
          <w:bCs/>
        </w:rPr>
        <w:t>apital: A model for reconciling structural and agentic determinants of desistance</w:t>
      </w:r>
    </w:p>
    <w:p w14:paraId="4D61261E" w14:textId="2E401DE6" w:rsidR="001C75C8" w:rsidRPr="001C75C8" w:rsidRDefault="001C75C8" w:rsidP="00A1072B">
      <w:pPr>
        <w:spacing w:line="480" w:lineRule="auto"/>
        <w:rPr>
          <w:b/>
          <w:bCs/>
        </w:rPr>
      </w:pPr>
      <w:r w:rsidRPr="001C75C8">
        <w:rPr>
          <w:b/>
          <w:bCs/>
        </w:rPr>
        <w:t xml:space="preserve">David Best, Sharynne Hamilton, Lauren Hall, </w:t>
      </w:r>
      <w:proofErr w:type="spellStart"/>
      <w:r w:rsidRPr="001C75C8">
        <w:rPr>
          <w:b/>
          <w:bCs/>
        </w:rPr>
        <w:t>Lorana</w:t>
      </w:r>
      <w:proofErr w:type="spellEnd"/>
      <w:r w:rsidRPr="001C75C8">
        <w:rPr>
          <w:b/>
          <w:bCs/>
        </w:rPr>
        <w:t xml:space="preserve"> Bartels</w:t>
      </w:r>
    </w:p>
    <w:p w14:paraId="49B1C010" w14:textId="0B5A7C34" w:rsidR="001C75C8" w:rsidRPr="001C75C8" w:rsidRDefault="001C75C8" w:rsidP="00A1072B">
      <w:pPr>
        <w:spacing w:line="480" w:lineRule="auto"/>
        <w:rPr>
          <w:b/>
          <w:bCs/>
        </w:rPr>
      </w:pPr>
      <w:r w:rsidRPr="001C75C8">
        <w:rPr>
          <w:b/>
          <w:bCs/>
        </w:rPr>
        <w:t>Abstract</w:t>
      </w:r>
    </w:p>
    <w:p w14:paraId="3453E16E" w14:textId="0E2A1A68" w:rsidR="001F4938" w:rsidRDefault="001C75C8" w:rsidP="00A1072B">
      <w:pPr>
        <w:spacing w:line="480" w:lineRule="auto"/>
      </w:pPr>
      <w:r>
        <w:t>The emerging literature on desistance (and recovery from addictions) has largely focused on key life-course transitions that can broadly be characterised as the need for jobs (meaningful activities), friends (transitioning from using and offending to pro-social) and houses (a place to live that is free from threat). The recovery literature has coined the term ‘recovery capital’ to characterise the personal, social and community resources that an individual can draw upon to support their recovery, partly bridging agentic (personal) and structural (community</w:t>
      </w:r>
      <w:r w:rsidR="00F3078C">
        <w:t>)</w:t>
      </w:r>
      <w:r>
        <w:t xml:space="preserve"> factors. The development of the concept of </w:t>
      </w:r>
      <w:r w:rsidR="00F3078C">
        <w:t>‘</w:t>
      </w:r>
      <w:r>
        <w:t>justice capital</w:t>
      </w:r>
      <w:r w:rsidR="00F3078C">
        <w:t>’</w:t>
      </w:r>
      <w:r>
        <w:t xml:space="preserve"> furthers this reconciliation</w:t>
      </w:r>
      <w:r w:rsidR="000A2EF3">
        <w:t>,</w:t>
      </w:r>
      <w:r>
        <w:t xml:space="preserve"> by focusing on both the resources an individual can access and the resources that an institution can provide and support</w:t>
      </w:r>
      <w:r w:rsidR="000A2EF3">
        <w:t>. W</w:t>
      </w:r>
      <w:r w:rsidR="000C2C30">
        <w:t xml:space="preserve">e build on this idea by outlining the concept of </w:t>
      </w:r>
      <w:r w:rsidR="0089774E">
        <w:t>i</w:t>
      </w:r>
      <w:r w:rsidR="000C2C30">
        <w:t xml:space="preserve">nstitutional </w:t>
      </w:r>
      <w:r w:rsidR="0089774E">
        <w:t>j</w:t>
      </w:r>
      <w:r w:rsidR="000C2C30">
        <w:t xml:space="preserve">ustice </w:t>
      </w:r>
      <w:r w:rsidR="0089774E">
        <w:t>c</w:t>
      </w:r>
      <w:r w:rsidR="000C2C30">
        <w:t xml:space="preserve">apital (IJC) to </w:t>
      </w:r>
      <w:r w:rsidR="000A2EF3">
        <w:t>examine</w:t>
      </w:r>
      <w:r w:rsidR="000C2C30">
        <w:t xml:space="preserve"> the role of criminal justice institutions in supporting or suppressing the growth of </w:t>
      </w:r>
      <w:r w:rsidR="00E54AE8">
        <w:t xml:space="preserve">recovery </w:t>
      </w:r>
      <w:r w:rsidR="000C2C30">
        <w:t>capital, particularly in excluded and marginalised groups</w:t>
      </w:r>
      <w:r>
        <w:t xml:space="preserve">. </w:t>
      </w:r>
      <w:r w:rsidR="007A5092">
        <w:t>We use a case study approach, drawing on recent research experience in prisons in Australia and the United Kin</w:t>
      </w:r>
      <w:r w:rsidR="00A26164">
        <w:t>g</w:t>
      </w:r>
      <w:r w:rsidR="007A5092">
        <w:t>dom to develop a model</w:t>
      </w:r>
      <w:r>
        <w:t xml:space="preserve"> of justice capital at an institutional level and </w:t>
      </w:r>
      <w:r w:rsidR="007A5092">
        <w:t xml:space="preserve">discuss </w:t>
      </w:r>
      <w:r>
        <w:t>how this can shape both reform of, for instance, prisons, and how it can be matched to the needs of individual offenders. The paper conclude</w:t>
      </w:r>
      <w:r w:rsidR="000C2C30">
        <w:t>s</w:t>
      </w:r>
      <w:r>
        <w:t xml:space="preserve"> with a discussion of future directions in implementing a</w:t>
      </w:r>
      <w:r w:rsidR="000C2C30">
        <w:t xml:space="preserve">n </w:t>
      </w:r>
      <w:r w:rsidR="00216793">
        <w:t>IJC</w:t>
      </w:r>
      <w:r>
        <w:t xml:space="preserve"> model</w:t>
      </w:r>
      <w:r w:rsidR="007436A0">
        <w:t>,</w:t>
      </w:r>
      <w:r>
        <w:t xml:space="preserve"> to deliver a strengths-based approach to supporting and promoting desistance </w:t>
      </w:r>
      <w:r w:rsidR="00195CC4">
        <w:t>and creat</w:t>
      </w:r>
      <w:r w:rsidR="00E54AE8">
        <w:t>ing</w:t>
      </w:r>
      <w:r w:rsidR="00195CC4">
        <w:t xml:space="preserve"> a metric for assessing the rehabilitati</w:t>
      </w:r>
      <w:r w:rsidR="000C2C30">
        <w:t>ve</w:t>
      </w:r>
      <w:r w:rsidR="00195CC4">
        <w:t xml:space="preserve"> </w:t>
      </w:r>
      <w:r w:rsidR="000C2C30">
        <w:t>and relational activities</w:t>
      </w:r>
      <w:r w:rsidR="00195CC4">
        <w:t xml:space="preserve"> of institutions</w:t>
      </w:r>
      <w:r>
        <w:t xml:space="preserve">. </w:t>
      </w:r>
    </w:p>
    <w:p w14:paraId="3E6174B9" w14:textId="77777777" w:rsidR="00F544DE" w:rsidRDefault="00F544DE" w:rsidP="00F544DE"/>
    <w:p w14:paraId="2D43751C" w14:textId="77777777" w:rsidR="00F544DE" w:rsidRDefault="00F544DE" w:rsidP="00F544DE"/>
    <w:p w14:paraId="0FF06E12" w14:textId="77777777" w:rsidR="00F544DE" w:rsidRDefault="00F544DE" w:rsidP="00F544DE"/>
    <w:p w14:paraId="15BB532D" w14:textId="77777777" w:rsidR="00F544DE" w:rsidRDefault="00F544DE" w:rsidP="00F544DE"/>
    <w:p w14:paraId="4E72A663" w14:textId="77777777" w:rsidR="00F544DE" w:rsidRDefault="00F544DE" w:rsidP="00F544DE"/>
    <w:p w14:paraId="6588378C" w14:textId="77777777" w:rsidR="000C2C30" w:rsidRDefault="000C2C30" w:rsidP="00F544DE"/>
    <w:p w14:paraId="301123AA" w14:textId="7864C3DE" w:rsidR="001F4938" w:rsidRPr="000E67D4" w:rsidRDefault="001F4938" w:rsidP="00A1072B">
      <w:pPr>
        <w:pStyle w:val="ListParagraph"/>
        <w:numPr>
          <w:ilvl w:val="0"/>
          <w:numId w:val="1"/>
        </w:numPr>
        <w:spacing w:line="480" w:lineRule="auto"/>
        <w:rPr>
          <w:b/>
          <w:bCs/>
        </w:rPr>
      </w:pPr>
      <w:r w:rsidRPr="000E67D4">
        <w:rPr>
          <w:b/>
          <w:bCs/>
        </w:rPr>
        <w:lastRenderedPageBreak/>
        <w:t>Introduction and background</w:t>
      </w:r>
    </w:p>
    <w:p w14:paraId="4775EFE3" w14:textId="77777777" w:rsidR="00532BE2" w:rsidRDefault="001F4938" w:rsidP="00E40FA3">
      <w:pPr>
        <w:spacing w:line="480" w:lineRule="auto"/>
        <w:rPr>
          <w:bCs/>
        </w:rPr>
      </w:pPr>
      <w:r>
        <w:t>In recent years</w:t>
      </w:r>
      <w:r w:rsidR="00116D21">
        <w:t>,</w:t>
      </w:r>
      <w:r>
        <w:t xml:space="preserve"> there has been a resurgence of interest, by academics, policy makers and practitioners, in the idea of rehabilitation, </w:t>
      </w:r>
      <w:r w:rsidR="00A2511B">
        <w:t xml:space="preserve">which </w:t>
      </w:r>
      <w:r>
        <w:t>has been embedded in a larger cultural shift in justice theories towards a strengths-based approach.</w:t>
      </w:r>
      <w:r w:rsidR="00AD78E1">
        <w:t xml:space="preserve"> </w:t>
      </w:r>
      <w:r w:rsidR="00AD78E1" w:rsidRPr="006A1A77">
        <w:rPr>
          <w:bCs/>
        </w:rPr>
        <w:t>We are mindful that we are writing this at a time of monumental change to prison regimes across the world, including both the UK and Australia. In the former, the current COVID-19 pandemic has resulted in numerous deaths of those who work and live in prison</w:t>
      </w:r>
      <w:r w:rsidR="00137E94">
        <w:rPr>
          <w:bCs/>
        </w:rPr>
        <w:t xml:space="preserve"> (</w:t>
      </w:r>
      <w:proofErr w:type="spellStart"/>
      <w:r w:rsidR="00137E94">
        <w:rPr>
          <w:bCs/>
        </w:rPr>
        <w:t>Stobbs</w:t>
      </w:r>
      <w:proofErr w:type="spellEnd"/>
      <w:r w:rsidR="00137E94">
        <w:rPr>
          <w:bCs/>
        </w:rPr>
        <w:t>, 2020)</w:t>
      </w:r>
      <w:r w:rsidR="00AD78E1" w:rsidRPr="006A1A77">
        <w:rPr>
          <w:bCs/>
        </w:rPr>
        <w:t xml:space="preserve">. To date, this has not eventuated in Australia, although there has been particular concern about the potential impact of the virus on Aboriginal and Torres Strait Islander people, who are incarcerated at disproportionate rates and are at the same time experience health conditions that make them particularly vulnerable to contracting and suffering severely from the virus.  </w:t>
      </w:r>
      <w:r w:rsidR="006A1A77" w:rsidRPr="006A1A77">
        <w:rPr>
          <w:bCs/>
        </w:rPr>
        <w:t>Against this</w:t>
      </w:r>
      <w:r w:rsidR="006A1A77">
        <w:rPr>
          <w:bCs/>
        </w:rPr>
        <w:t xml:space="preserve"> backdrop,</w:t>
      </w:r>
      <w:r w:rsidR="006A1A77" w:rsidRPr="006A1A77">
        <w:rPr>
          <w:bCs/>
        </w:rPr>
        <w:t xml:space="preserve"> there has been an increasing focus on issues such as the provision of personal protective equipment and the suspension of in-person visits from family and friends</w:t>
      </w:r>
      <w:r w:rsidR="006A1A77">
        <w:rPr>
          <w:bCs/>
        </w:rPr>
        <w:t xml:space="preserve">, increased lockdown periods, </w:t>
      </w:r>
      <w:r w:rsidR="006A1A77" w:rsidRPr="006A1A77">
        <w:t xml:space="preserve">and access to </w:t>
      </w:r>
      <w:r w:rsidR="006A1A77">
        <w:t xml:space="preserve">resources to </w:t>
      </w:r>
      <w:r w:rsidR="006A1A77" w:rsidRPr="006A1A77">
        <w:t>support them.</w:t>
      </w:r>
      <w:r w:rsidR="006A1A77">
        <w:t xml:space="preserve"> </w:t>
      </w:r>
      <w:r w:rsidR="00AD78E1">
        <w:rPr>
          <w:bCs/>
        </w:rPr>
        <w:t>Although COVID-19 is currently posing significant challenges to all aspects of service delivery in the criminal justice system, it also presents an opportunity to increase a focus on recovery and rehabilitation</w:t>
      </w:r>
      <w:r w:rsidR="006A1A77">
        <w:rPr>
          <w:bCs/>
        </w:rPr>
        <w:t xml:space="preserve"> during this time of change</w:t>
      </w:r>
      <w:r w:rsidR="00AD78E1">
        <w:rPr>
          <w:bCs/>
        </w:rPr>
        <w:t xml:space="preserve">. </w:t>
      </w:r>
    </w:p>
    <w:p w14:paraId="67731DC8" w14:textId="0C558257" w:rsidR="007436A0" w:rsidRDefault="00E40FA3" w:rsidP="00E40FA3">
      <w:pPr>
        <w:spacing w:line="480" w:lineRule="auto"/>
      </w:pPr>
      <w:r>
        <w:t xml:space="preserve">This </w:t>
      </w:r>
      <w:r w:rsidR="00AD78E1">
        <w:t xml:space="preserve">aspect of criminal justice scholarship </w:t>
      </w:r>
      <w:r w:rsidR="001F4938">
        <w:t>encompasses therapeutic jurisprudence</w:t>
      </w:r>
      <w:r w:rsidR="00A2511B">
        <w:t>, which involves the study of the law’</w:t>
      </w:r>
      <w:r w:rsidR="00A2511B" w:rsidRPr="00A2511B">
        <w:t>s healing potential</w:t>
      </w:r>
      <w:r w:rsidR="001F4938">
        <w:t xml:space="preserve"> (</w:t>
      </w:r>
      <w:r w:rsidR="00A2511B">
        <w:t xml:space="preserve">see eg </w:t>
      </w:r>
      <w:r w:rsidR="001F4938">
        <w:t xml:space="preserve">Wexler </w:t>
      </w:r>
      <w:r w:rsidR="00AF6BAF">
        <w:t>and Winick, 2009, p. 1519</w:t>
      </w:r>
      <w:r w:rsidR="001F4938">
        <w:t>), the birth of ‘positive criminology’</w:t>
      </w:r>
      <w:r w:rsidR="00B7432F">
        <w:t>, which emphasizes</w:t>
      </w:r>
      <w:r w:rsidR="00B7432F" w:rsidRPr="00B7432F">
        <w:t xml:space="preserve"> </w:t>
      </w:r>
      <w:r w:rsidR="00B7432F">
        <w:t>the</w:t>
      </w:r>
      <w:r w:rsidR="00B7432F" w:rsidRPr="00B7432F">
        <w:t xml:space="preserve"> integration and social inclusion </w:t>
      </w:r>
      <w:r w:rsidR="00B7432F">
        <w:t>which may constitute a positive experience for individuals and groups and</w:t>
      </w:r>
      <w:r w:rsidR="00B7432F" w:rsidRPr="00B7432F">
        <w:t xml:space="preserve"> contribute to a reduction in negative emotions, desistance from crime and overcoming victimization</w:t>
      </w:r>
      <w:r w:rsidR="001F4938">
        <w:t xml:space="preserve"> (Ronel and </w:t>
      </w:r>
      <w:proofErr w:type="spellStart"/>
      <w:r w:rsidR="001F4938">
        <w:t>Segev</w:t>
      </w:r>
      <w:proofErr w:type="spellEnd"/>
      <w:r w:rsidR="001F4938">
        <w:t xml:space="preserve">, </w:t>
      </w:r>
      <w:r w:rsidR="00D975B3">
        <w:t>2015</w:t>
      </w:r>
      <w:r w:rsidR="001F4938">
        <w:t>), the continued commitment to restorative models within and beyond justice settings (</w:t>
      </w:r>
      <w:r w:rsidR="007D45BE">
        <w:t>Sherman et al</w:t>
      </w:r>
      <w:r w:rsidR="006235E3">
        <w:t>.</w:t>
      </w:r>
      <w:r w:rsidR="007D45BE">
        <w:t xml:space="preserve">, 2015; </w:t>
      </w:r>
      <w:r w:rsidR="001F4938">
        <w:t xml:space="preserve">Braithwaite </w:t>
      </w:r>
      <w:r w:rsidR="00F84BD5">
        <w:t>2003)</w:t>
      </w:r>
      <w:r w:rsidR="001F4938">
        <w:t xml:space="preserve"> and the emergence of the desistance paradigm (Maruna</w:t>
      </w:r>
      <w:r w:rsidR="00D975B3">
        <w:t>, 2001; Maruna and</w:t>
      </w:r>
      <w:r w:rsidR="001F4938">
        <w:t xml:space="preserve"> Farrall</w:t>
      </w:r>
      <w:r w:rsidR="00D975B3">
        <w:t>, 2004</w:t>
      </w:r>
      <w:r w:rsidR="001F4938">
        <w:t xml:space="preserve">). </w:t>
      </w:r>
      <w:r w:rsidR="007436A0">
        <w:t xml:space="preserve">All of these have evolved in parallel with a recovery movement that shares many of the same principles (Best, Irving and Albertson, 2017) both for mental health and for addictions. </w:t>
      </w:r>
    </w:p>
    <w:p w14:paraId="46F47D7C" w14:textId="7BB3227D" w:rsidR="00B031FF" w:rsidRDefault="007436A0" w:rsidP="00A1072B">
      <w:pPr>
        <w:spacing w:line="480" w:lineRule="auto"/>
        <w:rPr>
          <w:lang w:val="en-US"/>
        </w:rPr>
      </w:pPr>
      <w:r>
        <w:lastRenderedPageBreak/>
        <w:t xml:space="preserve">Although there are clear connections between </w:t>
      </w:r>
      <w:proofErr w:type="gramStart"/>
      <w:r>
        <w:t>all of</w:t>
      </w:r>
      <w:proofErr w:type="gramEnd"/>
      <w:r>
        <w:t xml:space="preserve"> these models, the present paper is situated within a desistance framewor</w:t>
      </w:r>
      <w:r w:rsidR="00B031FF">
        <w:t>k, noting that</w:t>
      </w:r>
      <w:r>
        <w:t xml:space="preserve"> </w:t>
      </w:r>
      <w:r w:rsidR="00116D21">
        <w:t xml:space="preserve">Maruna and Mann have described desistance </w:t>
      </w:r>
      <w:r w:rsidR="00116D21" w:rsidRPr="00116D21">
        <w:t>as ‘a near ubiquitous buzzword’</w:t>
      </w:r>
      <w:r w:rsidR="00116D21">
        <w:t xml:space="preserve"> (2019. p. 1) in probation</w:t>
      </w:r>
      <w:r w:rsidR="00E8569C">
        <w:t xml:space="preserve"> services</w:t>
      </w:r>
      <w:r w:rsidR="00116D21" w:rsidRPr="00116D21">
        <w:t>.</w:t>
      </w:r>
      <w:r w:rsidR="00116D21">
        <w:t xml:space="preserve"> </w:t>
      </w:r>
      <w:r w:rsidR="00B031FF">
        <w:t xml:space="preserve">Maruna </w:t>
      </w:r>
      <w:r w:rsidR="00B031FF" w:rsidRPr="00B031FF">
        <w:rPr>
          <w:lang w:val="en-US"/>
        </w:rPr>
        <w:t>described desistance as ‘the process by which stigmatized, former offenders are able to “make good” and create new lives for t</w:t>
      </w:r>
      <w:r w:rsidR="00B031FF">
        <w:rPr>
          <w:lang w:val="en-US"/>
        </w:rPr>
        <w:t>hemselves’ (2001, pp.</w:t>
      </w:r>
      <w:r w:rsidR="00B031FF" w:rsidRPr="00B031FF">
        <w:rPr>
          <w:lang w:val="en-US"/>
        </w:rPr>
        <w:t xml:space="preserve"> 6-7). </w:t>
      </w:r>
      <w:r w:rsidR="00B031FF">
        <w:rPr>
          <w:lang w:val="en-US"/>
        </w:rPr>
        <w:t>McNeill et al (2012) have identified eight principles of desistance for criminal justice practice, namely, the need to:</w:t>
      </w:r>
    </w:p>
    <w:p w14:paraId="1437A467" w14:textId="77777777" w:rsidR="00B031FF" w:rsidRDefault="00B031FF" w:rsidP="00B031FF">
      <w:pPr>
        <w:pStyle w:val="ListParagraph"/>
        <w:numPr>
          <w:ilvl w:val="0"/>
          <w:numId w:val="6"/>
        </w:numPr>
        <w:spacing w:line="480" w:lineRule="auto"/>
      </w:pPr>
      <w:r>
        <w:t xml:space="preserve">be </w:t>
      </w:r>
      <w:r w:rsidRPr="00B031FF">
        <w:t>realist</w:t>
      </w:r>
      <w:r>
        <w:t>ic about the complexity and diffi</w:t>
      </w:r>
      <w:r w:rsidRPr="00B031FF">
        <w:t xml:space="preserve">culty of the </w:t>
      </w:r>
      <w:proofErr w:type="gramStart"/>
      <w:r w:rsidRPr="00B031FF">
        <w:t>process</w:t>
      </w:r>
      <w:r>
        <w:t>;</w:t>
      </w:r>
      <w:proofErr w:type="gramEnd"/>
      <w:r w:rsidRPr="00B031FF">
        <w:t xml:space="preserve"> </w:t>
      </w:r>
    </w:p>
    <w:p w14:paraId="7015490F" w14:textId="229DC3F6" w:rsidR="00B031FF" w:rsidRDefault="00B031FF" w:rsidP="00B031FF">
      <w:pPr>
        <w:pStyle w:val="ListParagraph"/>
        <w:numPr>
          <w:ilvl w:val="0"/>
          <w:numId w:val="6"/>
        </w:numPr>
        <w:spacing w:line="480" w:lineRule="auto"/>
      </w:pPr>
      <w:r>
        <w:t xml:space="preserve">individualise support for </w:t>
      </w:r>
      <w:proofErr w:type="gramStart"/>
      <w:r>
        <w:t>change</w:t>
      </w:r>
      <w:r w:rsidR="00101D7B">
        <w:t>;</w:t>
      </w:r>
      <w:proofErr w:type="gramEnd"/>
    </w:p>
    <w:p w14:paraId="08F2F258" w14:textId="34E87B4B" w:rsidR="00B031FF" w:rsidRDefault="00B031FF" w:rsidP="00B031FF">
      <w:pPr>
        <w:pStyle w:val="ListParagraph"/>
        <w:numPr>
          <w:ilvl w:val="0"/>
          <w:numId w:val="6"/>
        </w:numPr>
        <w:spacing w:line="480" w:lineRule="auto"/>
      </w:pPr>
      <w:r>
        <w:t>build and sustain</w:t>
      </w:r>
      <w:r w:rsidRPr="00B031FF">
        <w:t xml:space="preserve"> </w:t>
      </w:r>
      <w:proofErr w:type="gramStart"/>
      <w:r w:rsidRPr="00B031FF">
        <w:t>hope</w:t>
      </w:r>
      <w:r>
        <w:t>;</w:t>
      </w:r>
      <w:proofErr w:type="gramEnd"/>
    </w:p>
    <w:p w14:paraId="1A50143F" w14:textId="24AAE682" w:rsidR="00B031FF" w:rsidRDefault="00B031FF" w:rsidP="00B031FF">
      <w:pPr>
        <w:pStyle w:val="ListParagraph"/>
        <w:numPr>
          <w:ilvl w:val="0"/>
          <w:numId w:val="6"/>
        </w:numPr>
        <w:spacing w:line="480" w:lineRule="auto"/>
      </w:pPr>
      <w:r>
        <w:t>recognise</w:t>
      </w:r>
      <w:r w:rsidR="00F544DE">
        <w:t xml:space="preserve"> and develop</w:t>
      </w:r>
      <w:r w:rsidRPr="00B031FF">
        <w:t xml:space="preserve"> people’s </w:t>
      </w:r>
      <w:proofErr w:type="gramStart"/>
      <w:r w:rsidRPr="00B031FF">
        <w:t>strengths</w:t>
      </w:r>
      <w:r>
        <w:t>;</w:t>
      </w:r>
      <w:proofErr w:type="gramEnd"/>
      <w:r w:rsidRPr="00B031FF">
        <w:t xml:space="preserve"> </w:t>
      </w:r>
    </w:p>
    <w:p w14:paraId="73AEFC44" w14:textId="77777777" w:rsidR="00B031FF" w:rsidRDefault="00B031FF" w:rsidP="00B031FF">
      <w:pPr>
        <w:pStyle w:val="ListParagraph"/>
        <w:numPr>
          <w:ilvl w:val="0"/>
          <w:numId w:val="6"/>
        </w:numPr>
        <w:spacing w:line="480" w:lineRule="auto"/>
      </w:pPr>
      <w:r>
        <w:t xml:space="preserve">respect and foster </w:t>
      </w:r>
      <w:proofErr w:type="gramStart"/>
      <w:r>
        <w:t>agency;</w:t>
      </w:r>
      <w:proofErr w:type="gramEnd"/>
    </w:p>
    <w:p w14:paraId="200E48A5" w14:textId="77777777" w:rsidR="00B031FF" w:rsidRDefault="00B031FF" w:rsidP="00B031FF">
      <w:pPr>
        <w:pStyle w:val="ListParagraph"/>
        <w:numPr>
          <w:ilvl w:val="0"/>
          <w:numId w:val="6"/>
        </w:numPr>
        <w:spacing w:line="480" w:lineRule="auto"/>
      </w:pPr>
      <w:r>
        <w:t xml:space="preserve">work </w:t>
      </w:r>
      <w:r w:rsidRPr="00B031FF">
        <w:t>with and through relationships (both personal and professional</w:t>
      </w:r>
      <w:proofErr w:type="gramStart"/>
      <w:r w:rsidRPr="00B031FF">
        <w:t>)</w:t>
      </w:r>
      <w:r>
        <w:t>;</w:t>
      </w:r>
      <w:proofErr w:type="gramEnd"/>
    </w:p>
    <w:p w14:paraId="70851AF3" w14:textId="6B19FF89" w:rsidR="00B031FF" w:rsidRDefault="00B031FF" w:rsidP="00B031FF">
      <w:pPr>
        <w:pStyle w:val="ListParagraph"/>
        <w:numPr>
          <w:ilvl w:val="0"/>
          <w:numId w:val="6"/>
        </w:numPr>
        <w:spacing w:line="480" w:lineRule="auto"/>
      </w:pPr>
      <w:r>
        <w:t>develop</w:t>
      </w:r>
      <w:r w:rsidRPr="00B031FF">
        <w:t xml:space="preserve"> </w:t>
      </w:r>
      <w:r>
        <w:t>social and human capital; and</w:t>
      </w:r>
    </w:p>
    <w:p w14:paraId="413C8EEF" w14:textId="77777777" w:rsidR="00B031FF" w:rsidRDefault="00B031FF" w:rsidP="00B031FF">
      <w:pPr>
        <w:pStyle w:val="ListParagraph"/>
        <w:numPr>
          <w:ilvl w:val="0"/>
          <w:numId w:val="6"/>
        </w:numPr>
        <w:spacing w:line="480" w:lineRule="auto"/>
      </w:pPr>
      <w:r>
        <w:t>recognise and celebrate progress.</w:t>
      </w:r>
    </w:p>
    <w:p w14:paraId="3AD770E3" w14:textId="2394A10D" w:rsidR="00972F3C" w:rsidRDefault="00972F3C" w:rsidP="00CF720B">
      <w:pPr>
        <w:spacing w:line="480" w:lineRule="auto"/>
      </w:pPr>
      <w:r>
        <w:rPr>
          <w:iCs/>
        </w:rPr>
        <w:t xml:space="preserve">Primary or act desistance involves a period of non- or reduced offending, while </w:t>
      </w:r>
      <w:r w:rsidRPr="00CF720B">
        <w:rPr>
          <w:iCs/>
        </w:rPr>
        <w:t>secondary</w:t>
      </w:r>
      <w:r w:rsidR="00214B42">
        <w:rPr>
          <w:iCs/>
        </w:rPr>
        <w:t xml:space="preserve"> or identity</w:t>
      </w:r>
      <w:r w:rsidRPr="00972F3C">
        <w:rPr>
          <w:i/>
          <w:iCs/>
        </w:rPr>
        <w:t xml:space="preserve"> </w:t>
      </w:r>
      <w:r w:rsidRPr="00CF720B">
        <w:rPr>
          <w:iCs/>
        </w:rPr>
        <w:t>desistance</w:t>
      </w:r>
      <w:r w:rsidR="00ED5443">
        <w:rPr>
          <w:iCs/>
        </w:rPr>
        <w:t xml:space="preserve"> implies a shift in the offender’s identity (</w:t>
      </w:r>
      <w:r w:rsidR="00ED5443">
        <w:t>Maruna and</w:t>
      </w:r>
      <w:r w:rsidR="00ED5443" w:rsidRPr="00972F3C">
        <w:t xml:space="preserve"> Farrall, 2004</w:t>
      </w:r>
      <w:r w:rsidR="00ED5443">
        <w:t>)</w:t>
      </w:r>
      <w:r w:rsidRPr="00972F3C">
        <w:rPr>
          <w:i/>
          <w:iCs/>
        </w:rPr>
        <w:t xml:space="preserve">. </w:t>
      </w:r>
      <w:r w:rsidRPr="00972F3C">
        <w:t xml:space="preserve">More recently, </w:t>
      </w:r>
      <w:r w:rsidR="00ED5443">
        <w:t xml:space="preserve">McNeill has proposed </w:t>
      </w:r>
      <w:r w:rsidRPr="00972F3C">
        <w:t>a third dimension</w:t>
      </w:r>
      <w:r w:rsidR="00ED5443">
        <w:t>,</w:t>
      </w:r>
      <w:r w:rsidRPr="00972F3C">
        <w:t xml:space="preserve"> </w:t>
      </w:r>
      <w:r w:rsidRPr="00CF720B">
        <w:rPr>
          <w:iCs/>
        </w:rPr>
        <w:t xml:space="preserve">tertiary </w:t>
      </w:r>
      <w:r w:rsidRPr="00ED5443">
        <w:t xml:space="preserve">or </w:t>
      </w:r>
      <w:r w:rsidRPr="00CF720B">
        <w:rPr>
          <w:iCs/>
        </w:rPr>
        <w:t>relational desistance</w:t>
      </w:r>
      <w:r w:rsidRPr="00972F3C">
        <w:rPr>
          <w:i/>
          <w:iCs/>
        </w:rPr>
        <w:t xml:space="preserve"> </w:t>
      </w:r>
      <w:r w:rsidR="00A5055D">
        <w:t>(McNeill, 2016</w:t>
      </w:r>
      <w:r w:rsidR="00ED5443">
        <w:t>)</w:t>
      </w:r>
      <w:r w:rsidRPr="00972F3C">
        <w:t>,</w:t>
      </w:r>
      <w:r w:rsidR="00ED5443">
        <w:t xml:space="preserve"> which refers</w:t>
      </w:r>
      <w:r w:rsidRPr="00972F3C">
        <w:t xml:space="preserve"> to </w:t>
      </w:r>
      <w:r w:rsidR="00ED5443">
        <w:t xml:space="preserve">the </w:t>
      </w:r>
      <w:r w:rsidRPr="00972F3C">
        <w:t>support f</w:t>
      </w:r>
      <w:r w:rsidR="00ED5443">
        <w:t>ormer offenders get f</w:t>
      </w:r>
      <w:r w:rsidRPr="00972F3C">
        <w:t xml:space="preserve">rom others in </w:t>
      </w:r>
      <w:r w:rsidR="00ED5443">
        <w:t xml:space="preserve">their efforts to desist </w:t>
      </w:r>
      <w:r w:rsidR="00101D7B">
        <w:t xml:space="preserve">crime </w:t>
      </w:r>
      <w:r w:rsidR="00ED5443">
        <w:t>and</w:t>
      </w:r>
      <w:r w:rsidRPr="00972F3C">
        <w:t xml:space="preserve"> </w:t>
      </w:r>
      <w:r w:rsidR="00ED5443">
        <w:t xml:space="preserve">relates </w:t>
      </w:r>
      <w:r w:rsidRPr="00972F3C">
        <w:t>to a sense of belonging</w:t>
      </w:r>
      <w:r w:rsidR="00214B42">
        <w:t xml:space="preserve"> (see McNeill, 2016; Nugent and Schinkel, 2016)</w:t>
      </w:r>
      <w:r w:rsidRPr="00972F3C">
        <w:t xml:space="preserve">. </w:t>
      </w:r>
    </w:p>
    <w:p w14:paraId="3EE77C5C" w14:textId="19870B11" w:rsidR="001F4938" w:rsidRDefault="00B031FF" w:rsidP="00CF720B">
      <w:pPr>
        <w:spacing w:line="480" w:lineRule="auto"/>
      </w:pPr>
      <w:r>
        <w:t>This paper draws on case studies from the United Kingdom (UK) and Australi</w:t>
      </w:r>
      <w:r w:rsidR="00DE62E7">
        <w:t>a</w:t>
      </w:r>
      <w:bookmarkStart w:id="0" w:name="_Hlk52437818"/>
      <w:r w:rsidR="00DE62E7">
        <w:t xml:space="preserve">. </w:t>
      </w:r>
      <w:bookmarkEnd w:id="0"/>
      <w:r w:rsidR="00A5055D">
        <w:t>Much of the international literature on desistance has emanated from the UK (see eg McNeill, 2016; McNeill et al, 2012; Nugent and Schinkel, 2016)</w:t>
      </w:r>
      <w:r w:rsidR="00700A72">
        <w:t>, but is based on concepts that have much wider international (and therefore universal) application such as social identity models and approaches</w:t>
      </w:r>
      <w:r w:rsidR="00A5055D">
        <w:t xml:space="preserve">. </w:t>
      </w:r>
      <w:r w:rsidR="00DE62E7">
        <w:t xml:space="preserve">In the Australian context, the key desistance research has been undertaken by Halsey, who </w:t>
      </w:r>
      <w:r w:rsidR="00214B42">
        <w:t>observed that ‘[p]</w:t>
      </w:r>
      <w:proofErr w:type="spellStart"/>
      <w:r w:rsidR="00214B42">
        <w:t>utting</w:t>
      </w:r>
      <w:proofErr w:type="spellEnd"/>
      <w:r w:rsidR="00214B42">
        <w:t xml:space="preserve"> young men in prison is sometimes necessary. But it’s typically not going to put them on the path to </w:t>
      </w:r>
      <w:r w:rsidR="00214B42">
        <w:lastRenderedPageBreak/>
        <w:t>primary, less, secondary desistance’ (2016, p. 216).</w:t>
      </w:r>
      <w:r w:rsidR="00FC7C5D">
        <w:t xml:space="preserve"> </w:t>
      </w:r>
      <w:r w:rsidR="00A26164">
        <w:t>The research on the application of desistance theory to Aboriginal and Torres Strait Islander Australians (see eg Sullivan, 2012) should also be noted.</w:t>
      </w:r>
    </w:p>
    <w:p w14:paraId="643669F0" w14:textId="73A2B66A" w:rsidR="007C3280" w:rsidRDefault="007C3280" w:rsidP="00B7432F">
      <w:pPr>
        <w:spacing w:line="480" w:lineRule="auto"/>
      </w:pPr>
      <w:r>
        <w:t xml:space="preserve">The rationale and foundation for this paper </w:t>
      </w:r>
      <w:r w:rsidR="00B031FF">
        <w:t xml:space="preserve">also </w:t>
      </w:r>
      <w:r>
        <w:t xml:space="preserve">derives from the </w:t>
      </w:r>
      <w:r w:rsidR="00B42175">
        <w:t xml:space="preserve">addiction </w:t>
      </w:r>
      <w:r>
        <w:t xml:space="preserve">recovery movement and in particular its importation of the concept of social capital. </w:t>
      </w:r>
      <w:r w:rsidR="00D975B3">
        <w:t xml:space="preserve">Based on a combination of a French sociological tradition (Bourdieu, 1985) and an American model of social epidemiology (Putnam, 2000), Granfield and Cloud (1993) coined the term ‘recovery capital’ to describe the resources that drug addicts who had managed to stop using with no external supports were able to draw upon. </w:t>
      </w:r>
      <w:r w:rsidR="00B7432F">
        <w:t xml:space="preserve">Specifically, they studied </w:t>
      </w:r>
      <w:r w:rsidR="00B7432F" w:rsidRPr="00B7432F">
        <w:t xml:space="preserve">46 </w:t>
      </w:r>
      <w:r w:rsidR="00B7432F">
        <w:t xml:space="preserve">people who had </w:t>
      </w:r>
      <w:r w:rsidR="005A15B5">
        <w:t xml:space="preserve">previously </w:t>
      </w:r>
      <w:r w:rsidR="00B7432F">
        <w:t xml:space="preserve">been </w:t>
      </w:r>
      <w:r w:rsidR="005A15B5">
        <w:t>substance-dependent, but</w:t>
      </w:r>
      <w:r w:rsidR="00B7432F" w:rsidRPr="00B7432F">
        <w:t xml:space="preserve"> who had avoided formal </w:t>
      </w:r>
      <w:r w:rsidR="005A15B5">
        <w:t>treatment, whom Granfield and Cloud</w:t>
      </w:r>
      <w:r w:rsidR="00B7432F" w:rsidRPr="00B7432F">
        <w:t xml:space="preserve"> considered</w:t>
      </w:r>
      <w:r w:rsidR="00B7432F">
        <w:t xml:space="preserve"> ‘</w:t>
      </w:r>
      <w:r w:rsidR="005A15B5">
        <w:t>natural recov</w:t>
      </w:r>
      <w:r w:rsidR="00B7432F">
        <w:t>er</w:t>
      </w:r>
      <w:r w:rsidR="00791F9E">
        <w:t>y</w:t>
      </w:r>
      <w:r w:rsidR="00B7432F">
        <w:t>’</w:t>
      </w:r>
      <w:r w:rsidR="00B7432F" w:rsidRPr="00B7432F">
        <w:t xml:space="preserve"> </w:t>
      </w:r>
      <w:r w:rsidR="00B7432F">
        <w:t xml:space="preserve">(see </w:t>
      </w:r>
      <w:r w:rsidR="005A15B5">
        <w:t>Hennessy, 2017)</w:t>
      </w:r>
      <w:r w:rsidR="00B7432F">
        <w:t xml:space="preserve">. </w:t>
      </w:r>
      <w:r w:rsidR="00D975B3">
        <w:t xml:space="preserve">What was interesting about their concept of ‘natural recovery’ was that many of those who stopped in this way had never lost key resources – partners, jobs and homes – and so were nothing like the ‘hitting rock bottom’ group associated with help-seeking addicts. </w:t>
      </w:r>
    </w:p>
    <w:p w14:paraId="0B27AFBB" w14:textId="77777777" w:rsidR="00700A72" w:rsidRDefault="007B330A" w:rsidP="00A22DC3">
      <w:pPr>
        <w:spacing w:line="480" w:lineRule="auto"/>
      </w:pPr>
      <w:r>
        <w:t>Based on data collected in the</w:t>
      </w:r>
      <w:r w:rsidR="005A15B5">
        <w:t xml:space="preserve"> United Kingdom </w:t>
      </w:r>
      <w:r>
        <w:t>and</w:t>
      </w:r>
      <w:r w:rsidR="005A15B5">
        <w:t xml:space="preserve"> United States</w:t>
      </w:r>
      <w:r>
        <w:t xml:space="preserve">, Best and Laudet </w:t>
      </w:r>
      <w:r w:rsidR="00F64123">
        <w:t xml:space="preserve">(2010) </w:t>
      </w:r>
      <w:r>
        <w:t xml:space="preserve">divided recovery capital into three component parts – personal, social and community (or collective) capital </w:t>
      </w:r>
      <w:r w:rsidR="0033083F">
        <w:t xml:space="preserve">– </w:t>
      </w:r>
      <w:r>
        <w:t xml:space="preserve">to make explicit the evidence that recovery capital is not only about internal qualities or </w:t>
      </w:r>
      <w:r w:rsidR="00853F09">
        <w:t>resources</w:t>
      </w:r>
      <w:r>
        <w:t>, but also involve</w:t>
      </w:r>
      <w:r w:rsidR="0033083F">
        <w:t>s</w:t>
      </w:r>
      <w:r>
        <w:t xml:space="preserve"> a delicate fabric of social support and positive social identity, and the capacity to access a range of resources in the lived community. </w:t>
      </w:r>
      <w:r w:rsidR="00A22DC3">
        <w:t>This division led to a process of operationalisation and quantification</w:t>
      </w:r>
      <w:r w:rsidR="000A2EF3">
        <w:t>,</w:t>
      </w:r>
      <w:r w:rsidR="00A22DC3">
        <w:t xml:space="preserve"> as </w:t>
      </w:r>
      <w:r w:rsidR="0049056C">
        <w:t xml:space="preserve">Groshkova, Best and White (2012) developed the Assessment of Recovery Capital (2012) </w:t>
      </w:r>
      <w:r w:rsidR="00B30E71">
        <w:t>as a statistically robust measure of personal and social recovery capital that has since been widely used in recovery research internationally (Hennessy, 201</w:t>
      </w:r>
      <w:r w:rsidR="00B7432F">
        <w:t>7</w:t>
      </w:r>
      <w:r w:rsidR="00B30E71">
        <w:t xml:space="preserve">). </w:t>
      </w:r>
    </w:p>
    <w:p w14:paraId="0072A425" w14:textId="221B3C71" w:rsidR="00D975B3" w:rsidRDefault="00B30E71" w:rsidP="00A22DC3">
      <w:pPr>
        <w:spacing w:line="480" w:lineRule="auto"/>
      </w:pPr>
      <w:r>
        <w:t>However, more recently, the Assessment of Recovery Capital has been embedded within an applied instrument, the REC-CAP (Cano et al</w:t>
      </w:r>
      <w:r w:rsidR="006235E3">
        <w:t>.</w:t>
      </w:r>
      <w:r>
        <w:t xml:space="preserve">, 2017). The purpose of the REC-CAP was to create an overall metric for recovery strengths and barriers (based on the assumption that recovery is non-linear and </w:t>
      </w:r>
      <w:r>
        <w:lastRenderedPageBreak/>
        <w:t xml:space="preserve">can increase or decrease and that the direction of travel will be linked, at least in part, to the recovery activities undertaken by the individual). </w:t>
      </w:r>
      <w:r w:rsidR="000E67D4">
        <w:t>The REC-CAP involves a recovery care planning component</w:t>
      </w:r>
      <w:r w:rsidR="00D36F7F">
        <w:t>,</w:t>
      </w:r>
      <w:r w:rsidR="000E67D4">
        <w:t xml:space="preserve"> with the intention of allowing a navigator to use strengths to build further. This notion of recovery capital is transferable not only across </w:t>
      </w:r>
      <w:r w:rsidR="000E67D4" w:rsidRPr="008116CC">
        <w:rPr>
          <w:i/>
        </w:rPr>
        <w:t>domains</w:t>
      </w:r>
      <w:r w:rsidR="000E67D4">
        <w:t xml:space="preserve"> (to include desistance capital</w:t>
      </w:r>
      <w:r w:rsidR="00D36F7F">
        <w:t>,</w:t>
      </w:r>
      <w:r w:rsidR="000E67D4">
        <w:t xml:space="preserve"> for instance</w:t>
      </w:r>
      <w:r w:rsidR="00195CC4">
        <w:t>, as a measure of the resources an individual has and the supports they can draw upon to overcome an offending career and lifestyle</w:t>
      </w:r>
      <w:r w:rsidR="000E67D4">
        <w:t>)</w:t>
      </w:r>
      <w:r w:rsidR="00D36F7F">
        <w:t>,</w:t>
      </w:r>
      <w:r w:rsidR="000E67D4">
        <w:t xml:space="preserve"> but also across </w:t>
      </w:r>
      <w:r w:rsidR="000E67D4" w:rsidRPr="008116CC">
        <w:rPr>
          <w:i/>
        </w:rPr>
        <w:t>levels</w:t>
      </w:r>
      <w:r w:rsidR="00D36F7F">
        <w:t>,</w:t>
      </w:r>
      <w:r w:rsidR="000E67D4">
        <w:t xml:space="preserve"> so that recovery capital </w:t>
      </w:r>
      <w:r w:rsidR="00CF7DF7">
        <w:t>potential</w:t>
      </w:r>
      <w:r w:rsidR="000E67D4">
        <w:t xml:space="preserve"> could in principle be measured as a function of</w:t>
      </w:r>
      <w:r w:rsidR="00D36F7F">
        <w:t>, for example,</w:t>
      </w:r>
      <w:r w:rsidR="000E67D4">
        <w:t xml:space="preserve"> a drug </w:t>
      </w:r>
      <w:r w:rsidR="00D36F7F">
        <w:t>and/</w:t>
      </w:r>
      <w:r w:rsidR="000E67D4">
        <w:t>or alcohol worker’s ability to promote and support positive change, or indeed that of a service</w:t>
      </w:r>
      <w:r w:rsidR="00D36F7F">
        <w:t xml:space="preserve"> provider organisation</w:t>
      </w:r>
      <w:r w:rsidR="000E67D4">
        <w:t>. The latter idea will constitute the core of this paper</w:t>
      </w:r>
      <w:r w:rsidR="00D36F7F">
        <w:t>.</w:t>
      </w:r>
      <w:r w:rsidR="000E67D4">
        <w:t xml:space="preserve"> </w:t>
      </w:r>
      <w:r w:rsidR="00D36F7F">
        <w:t>F</w:t>
      </w:r>
      <w:r w:rsidR="000E67D4">
        <w:t>irst</w:t>
      </w:r>
      <w:r w:rsidR="00D36F7F">
        <w:t>, however, we will outline</w:t>
      </w:r>
      <w:r w:rsidR="000E67D4">
        <w:t xml:space="preserve"> the initial iteration of </w:t>
      </w:r>
      <w:r w:rsidR="001D72ED">
        <w:t>what we term ‘</w:t>
      </w:r>
      <w:r w:rsidR="00195CC4">
        <w:t>j</w:t>
      </w:r>
      <w:r w:rsidR="000E67D4">
        <w:t xml:space="preserve">ustice </w:t>
      </w:r>
      <w:r w:rsidR="00195CC4">
        <w:t>c</w:t>
      </w:r>
      <w:r w:rsidR="000E67D4">
        <w:t>apital</w:t>
      </w:r>
      <w:r w:rsidR="00700A72">
        <w:t>’.</w:t>
      </w:r>
    </w:p>
    <w:p w14:paraId="57836196" w14:textId="1F12703B" w:rsidR="00A22DC3" w:rsidRDefault="00700A72" w:rsidP="00A22DC3">
      <w:pPr>
        <w:spacing w:line="480" w:lineRule="auto"/>
      </w:pPr>
      <w:r>
        <w:t xml:space="preserve">Our aim here </w:t>
      </w:r>
      <w:r w:rsidR="00A22DC3">
        <w:t xml:space="preserve">is </w:t>
      </w:r>
      <w:r>
        <w:t xml:space="preserve">to assess </w:t>
      </w:r>
      <w:r w:rsidR="00A22DC3">
        <w:t>the application of this concept in a justice setting and the transition from focusing on the individual offender to the institutional context</w:t>
      </w:r>
      <w:r w:rsidR="000A2EF3">
        <w:t>,</w:t>
      </w:r>
      <w:r w:rsidR="00A22DC3">
        <w:t xml:space="preserve"> in which personal and social </w:t>
      </w:r>
      <w:r w:rsidR="000A2EF3">
        <w:t xml:space="preserve">capital </w:t>
      </w:r>
      <w:r w:rsidR="00A22DC3">
        <w:t>can</w:t>
      </w:r>
      <w:r w:rsidR="000A2EF3">
        <w:t xml:space="preserve"> be</w:t>
      </w:r>
      <w:r w:rsidR="00A22DC3">
        <w:t xml:space="preserve"> buil</w:t>
      </w:r>
      <w:r w:rsidR="000A2EF3">
        <w:t>t</w:t>
      </w:r>
      <w:r w:rsidR="00A22DC3">
        <w:t xml:space="preserve"> or </w:t>
      </w:r>
      <w:r w:rsidR="000A2EF3">
        <w:t>are</w:t>
      </w:r>
      <w:r w:rsidR="00A22DC3">
        <w:t xml:space="preserve"> stymied. </w:t>
      </w:r>
      <w:r w:rsidR="00AB5A0F">
        <w:t xml:space="preserve">Institutional </w:t>
      </w:r>
      <w:r w:rsidR="0089774E">
        <w:t>j</w:t>
      </w:r>
      <w:r w:rsidR="00AB5A0F">
        <w:t xml:space="preserve">ustice </w:t>
      </w:r>
      <w:r w:rsidR="0089774E">
        <w:t>c</w:t>
      </w:r>
      <w:r w:rsidR="00AB5A0F">
        <w:t>apital (IJC) refers to the structures, systems, processes and relationships within institution</w:t>
      </w:r>
      <w:r w:rsidR="00963EFA">
        <w:t>s</w:t>
      </w:r>
      <w:r w:rsidR="00AB5A0F">
        <w:t xml:space="preserve"> that create the conditions for access to social and community capital</w:t>
      </w:r>
      <w:r w:rsidR="000A2EF3">
        <w:t>,</w:t>
      </w:r>
      <w:r w:rsidR="00AB5A0F">
        <w:t xml:space="preserve"> which in turn can nurture or hinder the development of personal skills and resources. The paper uses a case study approach</w:t>
      </w:r>
      <w:r w:rsidR="001E4761">
        <w:t xml:space="preserve"> (see eg Heckenberg, 2011)</w:t>
      </w:r>
      <w:r w:rsidR="00E04FCC">
        <w:t>, based on recent research by the authors in Australia and the UK</w:t>
      </w:r>
      <w:r w:rsidR="00AB5A0F">
        <w:t xml:space="preserve"> to clarify the concept and to explain how it can be operationalised to assist justice institutions in working with vulnerable and marginalised populations. </w:t>
      </w:r>
    </w:p>
    <w:p w14:paraId="30F706F0" w14:textId="690A7ED9" w:rsidR="000E67D4" w:rsidRPr="000E67D4" w:rsidRDefault="000E67D4" w:rsidP="00A1072B">
      <w:pPr>
        <w:spacing w:line="480" w:lineRule="auto"/>
        <w:rPr>
          <w:b/>
          <w:bCs/>
        </w:rPr>
      </w:pPr>
      <w:r w:rsidRPr="000E67D4">
        <w:rPr>
          <w:b/>
          <w:bCs/>
        </w:rPr>
        <w:t xml:space="preserve">2. The evolution of </w:t>
      </w:r>
      <w:r w:rsidR="00AB5A0F">
        <w:rPr>
          <w:b/>
          <w:bCs/>
        </w:rPr>
        <w:t xml:space="preserve">the concept of </w:t>
      </w:r>
      <w:r w:rsidR="00A34AB4">
        <w:rPr>
          <w:b/>
          <w:bCs/>
        </w:rPr>
        <w:t>j</w:t>
      </w:r>
      <w:r w:rsidRPr="000E67D4">
        <w:rPr>
          <w:b/>
          <w:bCs/>
        </w:rPr>
        <w:t xml:space="preserve">ustice </w:t>
      </w:r>
      <w:r w:rsidR="00A34AB4">
        <w:rPr>
          <w:b/>
          <w:bCs/>
        </w:rPr>
        <w:t>c</w:t>
      </w:r>
      <w:r w:rsidRPr="000E67D4">
        <w:rPr>
          <w:b/>
          <w:bCs/>
        </w:rPr>
        <w:t>apital</w:t>
      </w:r>
    </w:p>
    <w:p w14:paraId="44A04589" w14:textId="2484BE6B" w:rsidR="00E57DA6" w:rsidRPr="00E40FA3" w:rsidRDefault="00420E29" w:rsidP="00A1072B">
      <w:pPr>
        <w:spacing w:line="480" w:lineRule="auto"/>
        <w:rPr>
          <w:bCs/>
        </w:rPr>
      </w:pPr>
      <w:r>
        <w:t xml:space="preserve">Like other colonised global Indigenous cultures, Australian </w:t>
      </w:r>
      <w:r w:rsidR="00E87DBA">
        <w:t>Indigenous (</w:t>
      </w:r>
      <w:r>
        <w:t>Aboriginal and</w:t>
      </w:r>
      <w:r w:rsidR="00E87DBA">
        <w:t>/or</w:t>
      </w:r>
      <w:r>
        <w:t xml:space="preserve"> Torres Strait Islander</w:t>
      </w:r>
      <w:r w:rsidR="00E87DBA">
        <w:t>)</w:t>
      </w:r>
      <w:r>
        <w:t xml:space="preserve"> children and youth have </w:t>
      </w:r>
      <w:r>
        <w:t xml:space="preserve">inherited trauma and harm from </w:t>
      </w:r>
      <w:r w:rsidR="00DF7F0C">
        <w:t>W</w:t>
      </w:r>
      <w:r>
        <w:t>estern practices and systems (Blagg, Tulich and Bush, 2015</w:t>
      </w:r>
      <w:r w:rsidR="00E87DBA">
        <w:t>; Blagg and Anthony, 2019</w:t>
      </w:r>
      <w:r>
        <w:t xml:space="preserve">). </w:t>
      </w:r>
      <w:r w:rsidR="00465ACF">
        <w:t xml:space="preserve">Aboriginal and Torres Strait Islander </w:t>
      </w:r>
      <w:r>
        <w:t xml:space="preserve">youth make up more than </w:t>
      </w:r>
      <w:r w:rsidR="00E87DBA">
        <w:t>56 per cent</w:t>
      </w:r>
      <w:r>
        <w:t xml:space="preserve"> youth justice detention population in Australia, despite comprising only </w:t>
      </w:r>
      <w:r w:rsidR="00E87DBA">
        <w:t>5 per cent</w:t>
      </w:r>
      <w:r>
        <w:t xml:space="preserve"> of the </w:t>
      </w:r>
      <w:r w:rsidR="00E87DBA">
        <w:t xml:space="preserve">youth </w:t>
      </w:r>
      <w:r>
        <w:t>population (</w:t>
      </w:r>
      <w:r w:rsidR="00DF7F0C">
        <w:t xml:space="preserve">Australian Institute of Health and </w:t>
      </w:r>
      <w:r w:rsidR="00DF7F0C">
        <w:lastRenderedPageBreak/>
        <w:t>Welfare</w:t>
      </w:r>
      <w:r>
        <w:t xml:space="preserve">, 2019). </w:t>
      </w:r>
      <w:r w:rsidR="00E87DBA">
        <w:t xml:space="preserve">In </w:t>
      </w:r>
      <w:r w:rsidR="005834F5">
        <w:t>t</w:t>
      </w:r>
      <w:r w:rsidR="00E87DBA">
        <w:t>he</w:t>
      </w:r>
      <w:r w:rsidR="005834F5">
        <w:t>i</w:t>
      </w:r>
      <w:r w:rsidR="00E87DBA">
        <w:t xml:space="preserve">r work with </w:t>
      </w:r>
      <w:r w:rsidR="00A32D48">
        <w:t xml:space="preserve">young </w:t>
      </w:r>
      <w:r w:rsidR="00A32D48">
        <w:t>people</w:t>
      </w:r>
      <w:r w:rsidR="00E87DBA">
        <w:t xml:space="preserve"> in the Banksia </w:t>
      </w:r>
      <w:r w:rsidR="00A26164">
        <w:t xml:space="preserve">Hill Juvenile </w:t>
      </w:r>
      <w:r w:rsidR="00E87DBA">
        <w:t>Detention Centre in Western Australia, Hamilton et a</w:t>
      </w:r>
      <w:r w:rsidR="00A32D48">
        <w:t>l</w:t>
      </w:r>
      <w:r w:rsidR="005834F5">
        <w:t>.</w:t>
      </w:r>
      <w:r w:rsidR="00A32D48">
        <w:t xml:space="preserve"> (2020</w:t>
      </w:r>
      <w:r w:rsidR="00FA058E">
        <w:t>b</w:t>
      </w:r>
      <w:r w:rsidR="00A32D48">
        <w:t>) described</w:t>
      </w:r>
      <w:r w:rsidR="00E87DBA">
        <w:t xml:space="preserve"> the multiple challenges </w:t>
      </w:r>
      <w:r w:rsidR="00A32D48">
        <w:t>experienced by a cohort of primarily</w:t>
      </w:r>
      <w:r w:rsidR="00E87DBA">
        <w:t xml:space="preserve"> </w:t>
      </w:r>
      <w:r w:rsidR="00E87DBA" w:rsidRPr="00834C0D">
        <w:t>Aboriginal young offenders</w:t>
      </w:r>
      <w:r w:rsidR="00E87DBA">
        <w:t xml:space="preserve">. </w:t>
      </w:r>
      <w:r>
        <w:t>The Banksia</w:t>
      </w:r>
      <w:r w:rsidR="00A26164">
        <w:t xml:space="preserve"> Hill</w:t>
      </w:r>
      <w:r>
        <w:t xml:space="preserve"> F</w:t>
      </w:r>
      <w:r w:rsidR="005834F5">
        <w:t>o</w:t>
      </w:r>
      <w:r>
        <w:t xml:space="preserve">etal Alcohol Syndrome Disorder (FASD) prevalence study, </w:t>
      </w:r>
      <w:r w:rsidR="005834F5">
        <w:t>the</w:t>
      </w:r>
      <w:r>
        <w:t xml:space="preserve"> first of its kind in an Australian youth detention centre, found high rates of FASD (36%</w:t>
      </w:r>
      <w:r w:rsidR="005834F5">
        <w:t xml:space="preserve"> of all participants</w:t>
      </w:r>
      <w:r w:rsidR="006C5586">
        <w:t>/47% among Aboriginal participants</w:t>
      </w:r>
      <w:r>
        <w:t xml:space="preserve">) and </w:t>
      </w:r>
      <w:r w:rsidRPr="00834C0D">
        <w:t xml:space="preserve">neurodevelopment </w:t>
      </w:r>
      <w:r>
        <w:t xml:space="preserve">impairments (89% </w:t>
      </w:r>
      <w:r w:rsidR="005834F5">
        <w:t>of all participants exhibited three</w:t>
      </w:r>
      <w:r>
        <w:t xml:space="preserve"> or more domains of severe brain impairment) (</w:t>
      </w:r>
      <w:r w:rsidRPr="00834C0D">
        <w:t>Bower et al</w:t>
      </w:r>
      <w:r>
        <w:t xml:space="preserve">., </w:t>
      </w:r>
      <w:r w:rsidRPr="00834C0D">
        <w:t>2018)</w:t>
      </w:r>
      <w:r w:rsidRPr="00BA32BF">
        <w:t>.</w:t>
      </w:r>
      <w:r>
        <w:t xml:space="preserve"> In addition to understanding more about the benefits and challenges of</w:t>
      </w:r>
      <w:r w:rsidR="00F812B3">
        <w:t xml:space="preserve"> undergoing assessments and diagnosis for</w:t>
      </w:r>
      <w:r>
        <w:t xml:space="preserve"> neurodevelopmental disability</w:t>
      </w:r>
      <w:r w:rsidR="00F812B3">
        <w:t xml:space="preserve"> in a justice setting</w:t>
      </w:r>
      <w:r>
        <w:t xml:space="preserve"> the qualitative study focused on understanding more about the </w:t>
      </w:r>
      <w:r w:rsidR="005834F5">
        <w:t xml:space="preserve">participants’ </w:t>
      </w:r>
      <w:r>
        <w:t>strengths, hopes and positive relationships</w:t>
      </w:r>
      <w:r w:rsidR="005834F5">
        <w:t xml:space="preserve"> (</w:t>
      </w:r>
      <w:r>
        <w:t>including peers, family, cultural background and relationships with country</w:t>
      </w:r>
      <w:r w:rsidR="005834F5">
        <w:t>),</w:t>
      </w:r>
      <w:r>
        <w:t xml:space="preserve"> the future, their aspirations and the things that mattered to them</w:t>
      </w:r>
      <w:r w:rsidR="00FA058E">
        <w:t xml:space="preserve"> (Hamilton et al., 2020a)</w:t>
      </w:r>
      <w:r>
        <w:t xml:space="preserve">. </w:t>
      </w:r>
    </w:p>
    <w:p w14:paraId="5D96C5F9" w14:textId="5FA3A21B" w:rsidR="0009397C" w:rsidRDefault="00420E29" w:rsidP="00A1072B">
      <w:pPr>
        <w:spacing w:line="480" w:lineRule="auto"/>
      </w:pPr>
      <w:r>
        <w:t xml:space="preserve">In the context of the Australian youth detention population, Hamilton and colleagues </w:t>
      </w:r>
      <w:r w:rsidR="00963EFA">
        <w:t>(2020</w:t>
      </w:r>
      <w:r w:rsidR="00FA058E">
        <w:t>a</w:t>
      </w:r>
      <w:r w:rsidR="00963EFA">
        <w:t xml:space="preserve">) </w:t>
      </w:r>
      <w:r>
        <w:t>argue</w:t>
      </w:r>
      <w:r w:rsidR="005834F5">
        <w:t>d</w:t>
      </w:r>
      <w:r>
        <w:t xml:space="preserve"> that institutions can have the best education, training and rehabilitation strategies, but </w:t>
      </w:r>
      <w:r w:rsidR="005834F5">
        <w:t xml:space="preserve">any rehabilitative efforts will be ineffective </w:t>
      </w:r>
      <w:r>
        <w:t xml:space="preserve">if the very profound effects of having a neurodevelopmental disability are not considered, and appropriate </w:t>
      </w:r>
      <w:r w:rsidR="005834F5">
        <w:t xml:space="preserve">neurodevelopmental and cultural </w:t>
      </w:r>
      <w:r>
        <w:t>resources to support the young people</w:t>
      </w:r>
      <w:r w:rsidR="005834F5">
        <w:t xml:space="preserve"> are</w:t>
      </w:r>
      <w:r>
        <w:t xml:space="preserve"> not made available. </w:t>
      </w:r>
      <w:r w:rsidR="007C2261">
        <w:t xml:space="preserve">It is the availability of these resources and the meaningful pathways, supported by inter-personal relationships, that are at the heart of the concept of </w:t>
      </w:r>
      <w:r w:rsidR="00216793">
        <w:t>IJC</w:t>
      </w:r>
      <w:r w:rsidR="007C2261">
        <w:t xml:space="preserve">. </w:t>
      </w:r>
      <w:r w:rsidR="006E7D0A">
        <w:t>In this context,</w:t>
      </w:r>
      <w:r w:rsidR="008A75C8" w:rsidRPr="000A2EF3">
        <w:t xml:space="preserve"> </w:t>
      </w:r>
      <w:r w:rsidR="003743DE">
        <w:t>IJC</w:t>
      </w:r>
      <w:r w:rsidR="008A75C8">
        <w:t xml:space="preserve"> refers to access that </w:t>
      </w:r>
      <w:r w:rsidR="008A75C8" w:rsidRPr="000A2EF3">
        <w:t xml:space="preserve">children and young people involved with the criminal justice system have </w:t>
      </w:r>
      <w:r w:rsidR="008A75C8">
        <w:t>to</w:t>
      </w:r>
      <w:r w:rsidR="008A75C8" w:rsidRPr="000A2EF3">
        <w:t xml:space="preserve"> basic resources</w:t>
      </w:r>
      <w:r w:rsidR="006E7D0A">
        <w:t>,</w:t>
      </w:r>
      <w:r w:rsidR="008A75C8" w:rsidRPr="000A2EF3">
        <w:t xml:space="preserve"> </w:t>
      </w:r>
      <w:r w:rsidR="008A75C8">
        <w:t xml:space="preserve">such as </w:t>
      </w:r>
      <w:r w:rsidR="008A75C8" w:rsidRPr="000A2EF3">
        <w:t>strength</w:t>
      </w:r>
      <w:r w:rsidR="006E7D0A">
        <w:t>s-</w:t>
      </w:r>
      <w:r w:rsidR="008A75C8" w:rsidRPr="000A2EF3">
        <w:t>based assessments</w:t>
      </w:r>
      <w:r w:rsidR="003743DE">
        <w:t xml:space="preserve"> that are</w:t>
      </w:r>
      <w:r w:rsidR="00F812B3">
        <w:t xml:space="preserve"> </w:t>
      </w:r>
      <w:r w:rsidR="003743DE" w:rsidRPr="000A2EF3">
        <w:t>recovery</w:t>
      </w:r>
      <w:r w:rsidR="003743DE">
        <w:t>-</w:t>
      </w:r>
      <w:r w:rsidR="003743DE" w:rsidRPr="000A2EF3">
        <w:t xml:space="preserve">focussed </w:t>
      </w:r>
      <w:r w:rsidR="00F812B3">
        <w:t>and</w:t>
      </w:r>
      <w:r w:rsidR="008A75C8" w:rsidRPr="000A2EF3">
        <w:t xml:space="preserve"> access to information which is neuro</w:t>
      </w:r>
      <w:r w:rsidR="006E7D0A">
        <w:t>-</w:t>
      </w:r>
      <w:r w:rsidR="008A75C8" w:rsidRPr="000A2EF3">
        <w:t xml:space="preserve">developmentally </w:t>
      </w:r>
      <w:r w:rsidR="00F812B3">
        <w:t xml:space="preserve">and culturally </w:t>
      </w:r>
      <w:r w:rsidR="008A75C8" w:rsidRPr="000A2EF3">
        <w:t>responsive to need</w:t>
      </w:r>
      <w:r w:rsidR="00F812B3">
        <w:t>.</w:t>
      </w:r>
      <w:r w:rsidR="003743DE">
        <w:t xml:space="preserve"> From this perspective,</w:t>
      </w:r>
      <w:r>
        <w:t xml:space="preserve"> </w:t>
      </w:r>
      <w:r w:rsidR="00216793">
        <w:t>IJC</w:t>
      </w:r>
      <w:r>
        <w:t xml:space="preserve"> proposes equitable access to</w:t>
      </w:r>
      <w:r w:rsidR="003743DE">
        <w:t xml:space="preserve"> services</w:t>
      </w:r>
      <w:r>
        <w:t xml:space="preserve"> and resources in institutions like courts and prisons, </w:t>
      </w:r>
      <w:r w:rsidRPr="00D45046">
        <w:t>including</w:t>
      </w:r>
      <w:r>
        <w:t xml:space="preserve"> access to the </w:t>
      </w:r>
      <w:r w:rsidRPr="00D45046">
        <w:t>benefits</w:t>
      </w:r>
      <w:r w:rsidRPr="00D45046">
        <w:rPr>
          <w:b/>
          <w:bCs/>
          <w:i/>
          <w:iCs/>
        </w:rPr>
        <w:t xml:space="preserve"> </w:t>
      </w:r>
      <w:r>
        <w:t>which a recovery</w:t>
      </w:r>
      <w:r w:rsidR="005834F5">
        <w:t>-</w:t>
      </w:r>
      <w:r>
        <w:t xml:space="preserve"> and rehabilitation</w:t>
      </w:r>
      <w:r w:rsidR="005834F5">
        <w:t>-</w:t>
      </w:r>
      <w:r>
        <w:t>focussed institution affords.</w:t>
      </w:r>
      <w:r w:rsidR="0009397C">
        <w:t xml:space="preserve"> </w:t>
      </w:r>
      <w:r w:rsidR="00E44F7E">
        <w:t xml:space="preserve">On this basis, Hamilton and colleagues </w:t>
      </w:r>
      <w:r w:rsidR="00E44F7E" w:rsidRPr="00261892">
        <w:t>de</w:t>
      </w:r>
      <w:r w:rsidR="00BA32BF">
        <w:t>scribed the need for a model of</w:t>
      </w:r>
      <w:r w:rsidR="00E44F7E">
        <w:t xml:space="preserve"> justice capital as </w:t>
      </w:r>
      <w:r w:rsidR="0009397C">
        <w:t>‘</w:t>
      </w:r>
      <w:r w:rsidR="00E44F7E" w:rsidRPr="00E44F7E">
        <w:t>improved understanding of recovery capital in the justice context and to consider strength-based, future-focused assessment models for recover</w:t>
      </w:r>
      <w:r w:rsidR="00CF7DF7">
        <w:t>y</w:t>
      </w:r>
      <w:r w:rsidR="0009397C">
        <w:t>’</w:t>
      </w:r>
      <w:r w:rsidR="00E44F7E">
        <w:t xml:space="preserve"> (2020</w:t>
      </w:r>
      <w:r w:rsidR="00FA058E">
        <w:t>a</w:t>
      </w:r>
      <w:r w:rsidR="00E90549">
        <w:t xml:space="preserve">, p12). </w:t>
      </w:r>
    </w:p>
    <w:p w14:paraId="4F85C44D" w14:textId="58818E4B" w:rsidR="008359C3" w:rsidRDefault="00D0275C" w:rsidP="008359C3">
      <w:pPr>
        <w:spacing w:line="480" w:lineRule="auto"/>
      </w:pPr>
      <w:r>
        <w:lastRenderedPageBreak/>
        <w:t>We</w:t>
      </w:r>
      <w:r w:rsidR="008359C3" w:rsidRPr="00406A60">
        <w:t xml:space="preserve"> </w:t>
      </w:r>
      <w:r w:rsidR="008359C3">
        <w:t xml:space="preserve">build on this by </w:t>
      </w:r>
      <w:r w:rsidR="008359C3" w:rsidRPr="00406A60">
        <w:t>introduc</w:t>
      </w:r>
      <w:r w:rsidR="008359C3">
        <w:t>ing</w:t>
      </w:r>
      <w:r w:rsidR="008359C3" w:rsidRPr="00406A60">
        <w:t xml:space="preserve"> the concept of positive and negative </w:t>
      </w:r>
      <w:r w:rsidR="008359C3">
        <w:t xml:space="preserve">components of </w:t>
      </w:r>
      <w:r w:rsidR="008359C3" w:rsidRPr="00406A60">
        <w:t>justice capital</w:t>
      </w:r>
      <w:r w:rsidR="008359C3">
        <w:t>,</w:t>
      </w:r>
      <w:r w:rsidR="008359C3" w:rsidRPr="00406A60">
        <w:t xml:space="preserve"> includ</w:t>
      </w:r>
      <w:r w:rsidR="008359C3">
        <w:t>ing</w:t>
      </w:r>
      <w:r w:rsidR="008359C3" w:rsidRPr="00406A60">
        <w:t xml:space="preserve"> facets about the individual offender, the relationships they</w:t>
      </w:r>
      <w:r w:rsidR="008359C3">
        <w:t xml:space="preserve"> have</w:t>
      </w:r>
      <w:r w:rsidR="008359C3" w:rsidRPr="00406A60">
        <w:t xml:space="preserve"> and the </w:t>
      </w:r>
      <w:r w:rsidR="008359C3">
        <w:t xml:space="preserve">social </w:t>
      </w:r>
      <w:r w:rsidR="008359C3" w:rsidRPr="00406A60">
        <w:t>context and environment</w:t>
      </w:r>
      <w:r w:rsidR="008359C3">
        <w:t xml:space="preserve"> of their offending and</w:t>
      </w:r>
      <w:r w:rsidR="008359C3" w:rsidRPr="00406A60">
        <w:t xml:space="preserve"> detention.</w:t>
      </w:r>
      <w:r w:rsidR="008359C3">
        <w:t xml:space="preserve"> Accordingly, positive justice capital would include such factors as resilience skills (</w:t>
      </w:r>
      <w:r w:rsidR="00AD1CE2">
        <w:t xml:space="preserve">enduring </w:t>
      </w:r>
      <w:r w:rsidR="008359C3">
        <w:t>personal</w:t>
      </w:r>
      <w:r w:rsidR="00AD1CE2">
        <w:t xml:space="preserve"> resources that will apply across a range of settings and social networks</w:t>
      </w:r>
      <w:r w:rsidR="008359C3">
        <w:t>), a strong and supportive family (social</w:t>
      </w:r>
      <w:r w:rsidR="00AD1CE2">
        <w:t xml:space="preserve"> capital</w:t>
      </w:r>
      <w:r w:rsidR="008359C3">
        <w:t>), access to training and education in the prison (community</w:t>
      </w:r>
      <w:r w:rsidR="00AD1CE2">
        <w:t xml:space="preserve"> capital</w:t>
      </w:r>
      <w:r w:rsidR="008359C3">
        <w:t>), as well as access to culturally and neurodevelopmentally appropriate information, support and therapeutic care (</w:t>
      </w:r>
      <w:r w:rsidR="00AD1CE2">
        <w:t xml:space="preserve">also </w:t>
      </w:r>
      <w:r w:rsidR="008359C3">
        <w:t>community</w:t>
      </w:r>
      <w:r w:rsidR="00AD1CE2">
        <w:t xml:space="preserve"> capital</w:t>
      </w:r>
      <w:r w:rsidR="008359C3">
        <w:t>). The notion of negative recovery capital is derived from the work of Cloud and Granfield (2009), who argued that there are core barriers to recovery that need to be considered in mapping and measuring the likelihood of positive change</w:t>
      </w:r>
      <w:r w:rsidR="00977F25">
        <w:t>, such as extensive engagement with justice services and severe  and enduring mental health problems</w:t>
      </w:r>
      <w:r w:rsidR="008359C3">
        <w:t xml:space="preserve">. Negative IJC refers to a failure to recognise and address the </w:t>
      </w:r>
      <w:r w:rsidR="00977F25">
        <w:t xml:space="preserve">needs and </w:t>
      </w:r>
      <w:r w:rsidR="008359C3">
        <w:t xml:space="preserve">challenges </w:t>
      </w:r>
      <w:r w:rsidR="00977F25">
        <w:t xml:space="preserve">faced by those in justice institutions </w:t>
      </w:r>
      <w:r w:rsidR="008359C3">
        <w:t>and the corrosive effect this can have on the rehabilitative potential of vulnerable and excluded populations. Examples of negative IJC would include internalised stigma (personal capital), social isolation or the lack of friendships other than with fellow offenders (</w:t>
      </w:r>
      <w:r w:rsidR="00977F25">
        <w:t xml:space="preserve">negative </w:t>
      </w:r>
      <w:r w:rsidR="008359C3">
        <w:t>social capital) and lack of resources in the prison to support rehabilitation</w:t>
      </w:r>
      <w:r w:rsidR="00977F25">
        <w:t xml:space="preserve">, such as college courses, privacy and places to exercise and </w:t>
      </w:r>
      <w:r w:rsidR="00D50F5E">
        <w:t>engage</w:t>
      </w:r>
      <w:r w:rsidR="008359C3">
        <w:t xml:space="preserve"> (</w:t>
      </w:r>
      <w:r w:rsidR="00977F25">
        <w:t xml:space="preserve">negative </w:t>
      </w:r>
      <w:r w:rsidR="008359C3">
        <w:t xml:space="preserve">community capital). </w:t>
      </w:r>
    </w:p>
    <w:p w14:paraId="2C198D51" w14:textId="5806C63D" w:rsidR="00E90549" w:rsidRDefault="008359C3" w:rsidP="00A1072B">
      <w:pPr>
        <w:spacing w:line="480" w:lineRule="auto"/>
      </w:pPr>
      <w:r>
        <w:t xml:space="preserve">In the Banksia Hill case study, youth were found to have </w:t>
      </w:r>
      <w:r w:rsidRPr="00456D02">
        <w:t>high levels of</w:t>
      </w:r>
      <w:r>
        <w:t xml:space="preserve"> previously undetected FASD, neurodevelopmental impairments and</w:t>
      </w:r>
      <w:r w:rsidRPr="00456D02">
        <w:t xml:space="preserve"> </w:t>
      </w:r>
      <w:r>
        <w:t>trauma which can impact affected individuals across the spectrum of justice involvement (Bower et al., 2020; Reid et al., 2020). IJC</w:t>
      </w:r>
      <w:r w:rsidRPr="00456D02">
        <w:t xml:space="preserve"> </w:t>
      </w:r>
      <w:r>
        <w:t xml:space="preserve">also </w:t>
      </w:r>
      <w:r w:rsidRPr="00456D02">
        <w:t xml:space="preserve">extends to support </w:t>
      </w:r>
      <w:r>
        <w:t xml:space="preserve">that can assist youth to </w:t>
      </w:r>
      <w:r w:rsidRPr="00456D02">
        <w:t xml:space="preserve">navigate their way through </w:t>
      </w:r>
      <w:r>
        <w:t xml:space="preserve">broader support systems, such as </w:t>
      </w:r>
      <w:r w:rsidRPr="00456D02">
        <w:t xml:space="preserve">social security departments for </w:t>
      </w:r>
      <w:r>
        <w:t>financial support, when accessing</w:t>
      </w:r>
      <w:r w:rsidRPr="00456D02">
        <w:t xml:space="preserve"> housing, </w:t>
      </w:r>
      <w:r>
        <w:t xml:space="preserve">interaction with </w:t>
      </w:r>
      <w:r w:rsidRPr="00456D02">
        <w:t>employment agencies</w:t>
      </w:r>
      <w:r>
        <w:t>. Ultimately, Hamilton and colleagues (2020</w:t>
      </w:r>
      <w:r w:rsidR="00FA058E">
        <w:t>a</w:t>
      </w:r>
      <w:r>
        <w:t>) argue that in order</w:t>
      </w:r>
      <w:r w:rsidRPr="00456D02">
        <w:t xml:space="preserve"> to make the most out of the other areas of capital (personal, social and collective), which can </w:t>
      </w:r>
      <w:r>
        <w:t xml:space="preserve">mitigate barriers to recovery and assist with </w:t>
      </w:r>
      <w:r w:rsidRPr="00456D02">
        <w:t>creating better future</w:t>
      </w:r>
      <w:r>
        <w:t>s, IJC is a critical component.</w:t>
      </w:r>
    </w:p>
    <w:p w14:paraId="61D0AA7D" w14:textId="4F3F5B64" w:rsidR="0089774E" w:rsidRDefault="0007161F" w:rsidP="0007161F">
      <w:pPr>
        <w:spacing w:line="480" w:lineRule="auto"/>
        <w:rPr>
          <w:b/>
          <w:bCs/>
        </w:rPr>
      </w:pPr>
      <w:r>
        <w:rPr>
          <w:b/>
          <w:bCs/>
        </w:rPr>
        <w:lastRenderedPageBreak/>
        <w:t xml:space="preserve">3. Institutional </w:t>
      </w:r>
      <w:r w:rsidR="0089774E">
        <w:rPr>
          <w:b/>
          <w:bCs/>
        </w:rPr>
        <w:t>j</w:t>
      </w:r>
      <w:r w:rsidR="00E90549" w:rsidRPr="0007161F">
        <w:rPr>
          <w:b/>
          <w:bCs/>
        </w:rPr>
        <w:t xml:space="preserve">ustice </w:t>
      </w:r>
      <w:r w:rsidR="0089774E">
        <w:rPr>
          <w:b/>
          <w:bCs/>
        </w:rPr>
        <w:t>c</w:t>
      </w:r>
      <w:r w:rsidR="00E90549" w:rsidRPr="0007161F">
        <w:rPr>
          <w:b/>
          <w:bCs/>
        </w:rPr>
        <w:t>apital</w:t>
      </w:r>
      <w:r w:rsidR="00216793">
        <w:rPr>
          <w:b/>
          <w:bCs/>
        </w:rPr>
        <w:t xml:space="preserve"> </w:t>
      </w:r>
    </w:p>
    <w:p w14:paraId="184A8D44" w14:textId="4D62490E" w:rsidR="00E44F7E" w:rsidRDefault="0007161F" w:rsidP="0007161F">
      <w:pPr>
        <w:spacing w:line="480" w:lineRule="auto"/>
      </w:pPr>
      <w:r>
        <w:t xml:space="preserve">IJC </w:t>
      </w:r>
      <w:r w:rsidRPr="0089774E">
        <w:t xml:space="preserve">describes the capital that institutions provide (including institutional actors) which either builds on or undermines the personal justice capital </w:t>
      </w:r>
      <w:r w:rsidR="0089774E">
        <w:t>of</w:t>
      </w:r>
      <w:r w:rsidRPr="0089774E">
        <w:t xml:space="preserve"> justice-involved </w:t>
      </w:r>
      <w:r w:rsidR="0089774E">
        <w:t>people</w:t>
      </w:r>
      <w:r w:rsidRPr="0089774E">
        <w:t xml:space="preserve">. </w:t>
      </w:r>
      <w:r>
        <w:t xml:space="preserve">IJC is </w:t>
      </w:r>
      <w:r w:rsidRPr="0089774E">
        <w:t xml:space="preserve">sustained by the norms, rules, and practices present in the </w:t>
      </w:r>
      <w:r>
        <w:t>justice institution</w:t>
      </w:r>
      <w:r w:rsidR="0089774E">
        <w:t>(s)</w:t>
      </w:r>
      <w:r>
        <w:t xml:space="preserve"> and creates the conditions and context for growth and for building personal and social capital. </w:t>
      </w:r>
      <w:r w:rsidR="00963EFA">
        <w:t xml:space="preserve">We </w:t>
      </w:r>
      <w:r w:rsidR="00150570">
        <w:t>use the concept of positive and negative justice capital and define these as features of institution</w:t>
      </w:r>
      <w:r w:rsidR="0009397C">
        <w:t>s</w:t>
      </w:r>
      <w:r w:rsidR="00150570">
        <w:t xml:space="preserve"> that </w:t>
      </w:r>
      <w:r w:rsidR="001D72ED">
        <w:t xml:space="preserve">respectively </w:t>
      </w:r>
      <w:r w:rsidR="00150570">
        <w:t>promote or diminish wellbeing and the capacity for personal growth and fulfilment</w:t>
      </w:r>
      <w:r>
        <w:t xml:space="preserve">, building on the case study approach already outlined in the context of the initial work on Justice Capital </w:t>
      </w:r>
      <w:r w:rsidR="00963EFA">
        <w:t xml:space="preserve">in the </w:t>
      </w:r>
      <w:r>
        <w:t>Banksia</w:t>
      </w:r>
      <w:r w:rsidR="0089774E">
        <w:t xml:space="preserve"> Hill</w:t>
      </w:r>
      <w:r w:rsidR="00963EFA">
        <w:t xml:space="preserve"> study</w:t>
      </w:r>
      <w:r w:rsidR="009E4CE4">
        <w:t>.</w:t>
      </w:r>
    </w:p>
    <w:p w14:paraId="531BC9B0" w14:textId="476490FA" w:rsidR="00296592" w:rsidRDefault="0007161F" w:rsidP="00C54866">
      <w:pPr>
        <w:spacing w:line="480" w:lineRule="auto"/>
      </w:pPr>
      <w:r>
        <w:t>To illustrate how IJC represents both positive and negative aspects of rehabilitative potential</w:t>
      </w:r>
      <w:r w:rsidR="0009397C">
        <w:t>,</w:t>
      </w:r>
      <w:r w:rsidR="009E4CE4">
        <w:t xml:space="preserve"> we will consider four levels </w:t>
      </w:r>
      <w:r w:rsidR="0009397C">
        <w:t>of</w:t>
      </w:r>
      <w:r w:rsidR="009E4CE4">
        <w:t xml:space="preserve"> a pyramid of justice capital – structural, institutional, relational, and individual, and </w:t>
      </w:r>
      <w:r w:rsidR="009E4CE4">
        <w:t>assume that there are a number of factors (all dynamic to varying degrees) that will create the conditions that promote or diminish wellbeing and growth potential</w:t>
      </w:r>
      <w:r>
        <w:t>, with the role of the institution largely focused at Levels 2 and 3</w:t>
      </w:r>
      <w:r w:rsidR="009E4CE4">
        <w:t xml:space="preserve">. </w:t>
      </w:r>
      <w:r w:rsidR="00BC614B">
        <w:t>What Figure 1 below illustrates is the complex interaction of levels that create and shape the likelihood of rehabilitation and reintegration, with all of these factors dynamic and interactive, although the interaction between levels will primarily be top-down. In making sense of the concept of justice capital, it is important that we recognise that macro factors (outlined below</w:t>
      </w:r>
      <w:r w:rsidR="00933BD8">
        <w:t xml:space="preserve"> including laws and cultural norms</w:t>
      </w:r>
      <w:r w:rsidR="00BC614B">
        <w:t>) set the context for the institution and will frequently impinge upon its role and processes</w:t>
      </w:r>
      <w:r w:rsidR="00FD164F">
        <w:t>, and which are represented as Level 1 in the diagram</w:t>
      </w:r>
      <w:r w:rsidR="00BC614B">
        <w:t xml:space="preserve">. </w:t>
      </w:r>
      <w:r w:rsidR="00BC614B">
        <w:t>Yet, as Liebling (2004) has argued, there are still marked differences in the cultures of individual prisons operating within the same structural parameter</w:t>
      </w:r>
      <w:r w:rsidR="00B36A12">
        <w:t>s</w:t>
      </w:r>
      <w:r w:rsidR="007A3F4D">
        <w:t xml:space="preserve">, </w:t>
      </w:r>
      <w:r w:rsidR="007A3F4D">
        <w:t>and</w:t>
      </w:r>
      <w:r w:rsidR="00B36A12">
        <w:t xml:space="preserve"> those parameters will vary across nations, over time and as a consequence of changes in policy, resourcing and leadership. </w:t>
      </w:r>
      <w:r w:rsidR="007A3F4D">
        <w:t>S</w:t>
      </w:r>
      <w:r w:rsidR="00B36A12">
        <w:t>tructural factors will also include aspects of the society to which people will return</w:t>
      </w:r>
      <w:r w:rsidR="0009397C">
        <w:t>,</w:t>
      </w:r>
      <w:r w:rsidR="00B36A12">
        <w:t xml:space="preserve"> including the availability of jobs, </w:t>
      </w:r>
      <w:r w:rsidR="006C5586">
        <w:t xml:space="preserve">safe and secure </w:t>
      </w:r>
      <w:r w:rsidR="00B36A12">
        <w:t>accommodation</w:t>
      </w:r>
      <w:r w:rsidR="006C5586">
        <w:t>, supportive families and</w:t>
      </w:r>
      <w:r w:rsidR="00B36A12">
        <w:t xml:space="preserve"> ongoing justice requirements and supports (including</w:t>
      </w:r>
      <w:r w:rsidR="0009397C">
        <w:t>,</w:t>
      </w:r>
      <w:r w:rsidR="00B36A12">
        <w:t xml:space="preserve"> but not limited to probation</w:t>
      </w:r>
      <w:r w:rsidR="0009397C">
        <w:t xml:space="preserve"> and parole</w:t>
      </w:r>
      <w:r w:rsidR="00B36A12">
        <w:t xml:space="preserve">). </w:t>
      </w:r>
    </w:p>
    <w:p w14:paraId="514B3C41" w14:textId="65CA27D0" w:rsidR="00731D3B" w:rsidRDefault="00731D3B" w:rsidP="00A1072B">
      <w:pPr>
        <w:rPr>
          <w:b/>
          <w:bCs/>
        </w:rPr>
      </w:pPr>
      <w:r w:rsidRPr="00731D3B">
        <w:rPr>
          <w:b/>
          <w:bCs/>
        </w:rPr>
        <w:lastRenderedPageBreak/>
        <w:t>Figure 1: Levels of justice capital</w:t>
      </w:r>
    </w:p>
    <w:p w14:paraId="176630EE" w14:textId="77777777" w:rsidR="00686AC6" w:rsidRPr="00731D3B" w:rsidRDefault="00686AC6" w:rsidP="00A1072B">
      <w:pPr>
        <w:rPr>
          <w:b/>
          <w:bCs/>
        </w:rPr>
      </w:pPr>
    </w:p>
    <w:p w14:paraId="53F8BC47" w14:textId="77777777" w:rsidR="00AE424D" w:rsidRDefault="00731D3B" w:rsidP="00115510">
      <w:r>
        <w:rPr>
          <w:noProof/>
          <w:lang w:eastAsia="en-GB"/>
        </w:rPr>
        <mc:AlternateContent>
          <mc:Choice Requires="wps">
            <w:drawing>
              <wp:anchor distT="0" distB="0" distL="114300" distR="114300" simplePos="0" relativeHeight="251672576" behindDoc="0" locked="0" layoutInCell="1" allowOverlap="1" wp14:anchorId="0230FC29" wp14:editId="2555C097">
                <wp:simplePos x="0" y="0"/>
                <wp:positionH relativeFrom="column">
                  <wp:posOffset>2806700</wp:posOffset>
                </wp:positionH>
                <wp:positionV relativeFrom="paragraph">
                  <wp:posOffset>1733550</wp:posOffset>
                </wp:positionV>
                <wp:extent cx="2228850" cy="3619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28850" cy="361950"/>
                        </a:xfrm>
                        <a:prstGeom prst="rect">
                          <a:avLst/>
                        </a:prstGeom>
                        <a:solidFill>
                          <a:srgbClr val="4472C4"/>
                        </a:solidFill>
                        <a:ln w="12700" cap="flat" cmpd="sng" algn="ctr">
                          <a:solidFill>
                            <a:srgbClr val="4472C4">
                              <a:shade val="50000"/>
                            </a:srgbClr>
                          </a:solidFill>
                          <a:prstDash val="solid"/>
                          <a:miter lim="800000"/>
                        </a:ln>
                        <a:effectLst/>
                      </wps:spPr>
                      <wps:txbx>
                        <w:txbxContent>
                          <w:p w14:paraId="431CDF63" w14:textId="03AF01DB" w:rsidR="00214B42" w:rsidRDefault="00214B42" w:rsidP="00731D3B">
                            <w:pPr>
                              <w:jc w:val="center"/>
                            </w:pPr>
                            <w:r>
                              <w:t>LEVEL 4 - STRUCTURAL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0FC29" id="Rectangle 10" o:spid="_x0000_s1026" style="position:absolute;margin-left:221pt;margin-top:136.5pt;width:175.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" fillcolor="#4472c4" strokecolor="#2f528f" strokeweight="1pt">
                <v:textbox>
                  <w:txbxContent>
                    <w:p w14:paraId="431CDF63" w14:textId="03AF01DB" w:rsidR="00214B42" w:rsidRDefault="00214B42" w:rsidP="00731D3B">
                      <w:pPr>
                        <w:jc w:val="center"/>
                      </w:pPr>
                      <w:r>
                        <w:t>LEVEL 4 - STRUCTURAL</w:t>
                      </w:r>
                    </w:p>
                  </w:txbxContent>
                </v:textbox>
              </v:rect>
            </w:pict>
          </mc:Fallback>
        </mc:AlternateContent>
      </w:r>
      <w:r>
        <w:rPr>
          <w:noProof/>
          <w:lang w:eastAsia="en-GB"/>
        </w:rPr>
        <mc:AlternateContent>
          <mc:Choice Requires="wps">
            <w:drawing>
              <wp:anchor distT="0" distB="0" distL="114300" distR="114300" simplePos="0" relativeHeight="251670528" behindDoc="0" locked="0" layoutInCell="1" allowOverlap="1" wp14:anchorId="038B16C2" wp14:editId="59491AB9">
                <wp:simplePos x="0" y="0"/>
                <wp:positionH relativeFrom="column">
                  <wp:posOffset>2501900</wp:posOffset>
                </wp:positionH>
                <wp:positionV relativeFrom="paragraph">
                  <wp:posOffset>1106170</wp:posOffset>
                </wp:positionV>
                <wp:extent cx="2228850" cy="3619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28850" cy="361950"/>
                        </a:xfrm>
                        <a:prstGeom prst="rect">
                          <a:avLst/>
                        </a:prstGeom>
                        <a:solidFill>
                          <a:srgbClr val="4472C4"/>
                        </a:solidFill>
                        <a:ln w="12700" cap="flat" cmpd="sng" algn="ctr">
                          <a:solidFill>
                            <a:srgbClr val="4472C4">
                              <a:shade val="50000"/>
                            </a:srgbClr>
                          </a:solidFill>
                          <a:prstDash val="solid"/>
                          <a:miter lim="800000"/>
                        </a:ln>
                        <a:effectLst/>
                      </wps:spPr>
                      <wps:txbx>
                        <w:txbxContent>
                          <w:p w14:paraId="22CEBB2A" w14:textId="7C3833EE" w:rsidR="00214B42" w:rsidRDefault="00214B42" w:rsidP="00731D3B">
                            <w:pPr>
                              <w:jc w:val="center"/>
                            </w:pPr>
                            <w:r>
                              <w:t>LEVEL 3 - CULTURAL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B16C2" id="Rectangle 9" o:spid="_x0000_s1027" style="position:absolute;margin-left:197pt;margin-top:87.1pt;width:175.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" fillcolor="#4472c4" strokecolor="#2f528f" strokeweight="1pt">
                <v:textbox>
                  <w:txbxContent>
                    <w:p w14:paraId="22CEBB2A" w14:textId="7C3833EE" w:rsidR="00214B42" w:rsidRDefault="00214B42" w:rsidP="00731D3B">
                      <w:pPr>
                        <w:jc w:val="center"/>
                      </w:pPr>
                      <w:r>
                        <w:t>LEVEL 3 - CULTURAL</w:t>
                      </w:r>
                    </w:p>
                  </w:txbxContent>
                </v:textbox>
              </v:rect>
            </w:pict>
          </mc:Fallback>
        </mc:AlternateContent>
      </w:r>
      <w:r>
        <w:rPr>
          <w:noProof/>
          <w:lang w:eastAsia="en-GB"/>
        </w:rPr>
        <mc:AlternateContent>
          <mc:Choice Requires="wps">
            <w:drawing>
              <wp:anchor distT="0" distB="0" distL="114300" distR="114300" simplePos="0" relativeHeight="251668480" behindDoc="0" locked="0" layoutInCell="1" allowOverlap="1" wp14:anchorId="365E6746" wp14:editId="6F6BD3D6">
                <wp:simplePos x="0" y="0"/>
                <wp:positionH relativeFrom="column">
                  <wp:posOffset>2152650</wp:posOffset>
                </wp:positionH>
                <wp:positionV relativeFrom="paragraph">
                  <wp:posOffset>602615</wp:posOffset>
                </wp:positionV>
                <wp:extent cx="2228850" cy="3619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28850" cy="361950"/>
                        </a:xfrm>
                        <a:prstGeom prst="rect">
                          <a:avLst/>
                        </a:prstGeom>
                        <a:solidFill>
                          <a:srgbClr val="4472C4"/>
                        </a:solidFill>
                        <a:ln w="12700" cap="flat" cmpd="sng" algn="ctr">
                          <a:solidFill>
                            <a:srgbClr val="4472C4">
                              <a:shade val="50000"/>
                            </a:srgbClr>
                          </a:solidFill>
                          <a:prstDash val="solid"/>
                          <a:miter lim="800000"/>
                        </a:ln>
                        <a:effectLst/>
                      </wps:spPr>
                      <wps:txbx>
                        <w:txbxContent>
                          <w:p w14:paraId="5D7D218F" w14:textId="1AA174EA" w:rsidR="00214B42" w:rsidRDefault="00214B42" w:rsidP="00731D3B">
                            <w:pPr>
                              <w:jc w:val="center"/>
                            </w:pPr>
                            <w:r>
                              <w:t>LEVEL 2 - RELATIONAL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E6746" id="Rectangle 8" o:spid="_x0000_s1028" style="position:absolute;margin-left:169.5pt;margin-top:47.45pt;width:175.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" fillcolor="#4472c4" strokecolor="#2f528f" strokeweight="1pt">
                <v:textbox>
                  <w:txbxContent>
                    <w:p w14:paraId="5D7D218F" w14:textId="1AA174EA" w:rsidR="00214B42" w:rsidRDefault="00214B42" w:rsidP="00731D3B">
                      <w:pPr>
                        <w:jc w:val="center"/>
                      </w:pPr>
                      <w:r>
                        <w:t>LEVEL 2 - RELATIONAL</w:t>
                      </w: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14:anchorId="55809A9E" wp14:editId="3770C77A">
                <wp:simplePos x="0" y="0"/>
                <wp:positionH relativeFrom="column">
                  <wp:posOffset>1892300</wp:posOffset>
                </wp:positionH>
                <wp:positionV relativeFrom="paragraph">
                  <wp:posOffset>69215</wp:posOffset>
                </wp:positionV>
                <wp:extent cx="2228850" cy="3619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2885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010597" w14:textId="75E595C1" w:rsidR="00214B42" w:rsidRDefault="00214B42" w:rsidP="00731D3B">
                            <w:pPr>
                              <w:jc w:val="center"/>
                            </w:pPr>
                            <w:r>
                              <w:t>LEVEL 1 - INDIVIDUAL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09A9E" id="Rectangle 7" o:spid="_x0000_s1029" style="position:absolute;margin-left:149pt;margin-top:5.45pt;width:175.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" fillcolor="#4472c4 [3204]" strokecolor="#1f3763 [1604]" strokeweight="1pt">
                <v:textbox>
                  <w:txbxContent>
                    <w:p w14:paraId="32010597" w14:textId="75E595C1" w:rsidR="00214B42" w:rsidRDefault="00214B42" w:rsidP="00731D3B">
                      <w:pPr>
                        <w:jc w:val="center"/>
                      </w:pPr>
                      <w:r>
                        <w:t>LEVEL 1 - INDIVIDUAL</w:t>
                      </w:r>
                    </w:p>
                  </w:txbxContent>
                </v:textbox>
              </v:rect>
            </w:pict>
          </mc:Fallback>
        </mc:AlternateContent>
      </w:r>
      <w:r>
        <w:rPr>
          <w:noProof/>
          <w:lang w:eastAsia="en-GB"/>
        </w:rPr>
        <mc:AlternateContent>
          <mc:Choice Requires="wps">
            <w:drawing>
              <wp:anchor distT="0" distB="0" distL="114300" distR="114300" simplePos="0" relativeHeight="251665408" behindDoc="0" locked="0" layoutInCell="1" allowOverlap="1" wp14:anchorId="13E7030D" wp14:editId="71105B68">
                <wp:simplePos x="0" y="0"/>
                <wp:positionH relativeFrom="margin">
                  <wp:posOffset>869950</wp:posOffset>
                </wp:positionH>
                <wp:positionV relativeFrom="paragraph">
                  <wp:posOffset>1542415</wp:posOffset>
                </wp:positionV>
                <wp:extent cx="1854200" cy="1905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1854200" cy="19050"/>
                        </a:xfrm>
                        <a:prstGeom prst="line">
                          <a:avLst/>
                        </a:prstGeom>
                        <a:noFill/>
                        <a:ln w="1905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D86762"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121.45pt" to="214.5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" strokecolor="#ffc000" strokeweight="1.5pt">
                <v:stroke joinstyle="miter"/>
                <w10:wrap anchorx="margin"/>
              </v:line>
            </w:pict>
          </mc:Fallback>
        </mc:AlternateContent>
      </w:r>
      <w:r>
        <w:rPr>
          <w:noProof/>
          <w:lang w:eastAsia="en-GB"/>
        </w:rPr>
        <mc:AlternateContent>
          <mc:Choice Requires="wps">
            <w:drawing>
              <wp:anchor distT="0" distB="0" distL="114300" distR="114300" simplePos="0" relativeHeight="251663360" behindDoc="0" locked="0" layoutInCell="1" allowOverlap="1" wp14:anchorId="028BA2AC" wp14:editId="1933968B">
                <wp:simplePos x="0" y="0"/>
                <wp:positionH relativeFrom="column">
                  <wp:posOffset>1219200</wp:posOffset>
                </wp:positionH>
                <wp:positionV relativeFrom="paragraph">
                  <wp:posOffset>996315</wp:posOffset>
                </wp:positionV>
                <wp:extent cx="11239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123950" cy="0"/>
                        </a:xfrm>
                        <a:prstGeom prst="line">
                          <a:avLst/>
                        </a:prstGeom>
                        <a:noFill/>
                        <a:ln w="1905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9CEA1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78.45pt" to="184.5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" strokecolor="#ffc000" strokeweight="1.5pt">
                <v:stroke joinstyle="miter"/>
              </v:line>
            </w:pict>
          </mc:Fallback>
        </mc:AlternateContent>
      </w:r>
      <w:r>
        <w:rPr>
          <w:noProof/>
          <w:lang w:eastAsia="en-GB"/>
        </w:rPr>
        <mc:AlternateContent>
          <mc:Choice Requires="wps">
            <w:drawing>
              <wp:anchor distT="0" distB="0" distL="114300" distR="114300" simplePos="0" relativeHeight="251660288" behindDoc="0" locked="0" layoutInCell="1" allowOverlap="1" wp14:anchorId="1D0F56A5" wp14:editId="381AE640">
                <wp:simplePos x="0" y="0"/>
                <wp:positionH relativeFrom="column">
                  <wp:posOffset>1397000</wp:posOffset>
                </wp:positionH>
                <wp:positionV relativeFrom="paragraph">
                  <wp:posOffset>570865</wp:posOffset>
                </wp:positionV>
                <wp:extent cx="711200" cy="6350"/>
                <wp:effectExtent l="0" t="0" r="31750" b="31750"/>
                <wp:wrapNone/>
                <wp:docPr id="3" name="Straight Connector 3"/>
                <wp:cNvGraphicFramePr/>
                <a:graphic xmlns:a="http://schemas.openxmlformats.org/drawingml/2006/main">
                  <a:graphicData uri="http://schemas.microsoft.com/office/word/2010/wordprocessingShape">
                    <wps:wsp>
                      <wps:cNvCnPr/>
                      <wps:spPr>
                        <a:xfrm>
                          <a:off x="0" y="0"/>
                          <a:ext cx="711200" cy="63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D3A342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0pt,44.95pt" to="166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" strokecolor="#ffc000 [3207]" strokeweight="1.5pt">
                <v:stroke joinstyle="miter"/>
              </v:line>
            </w:pict>
          </mc:Fallback>
        </mc:AlternateContent>
      </w:r>
      <w:r>
        <w:rPr>
          <w:noProof/>
          <w:lang w:eastAsia="en-GB"/>
        </w:rPr>
        <mc:AlternateContent>
          <mc:Choice Requires="wps">
            <w:drawing>
              <wp:anchor distT="0" distB="0" distL="114300" distR="114300" simplePos="0" relativeHeight="251659264" behindDoc="0" locked="0" layoutInCell="1" allowOverlap="1" wp14:anchorId="132DDA68" wp14:editId="15BDC2D5">
                <wp:simplePos x="0" y="0"/>
                <wp:positionH relativeFrom="column">
                  <wp:posOffset>425450</wp:posOffset>
                </wp:positionH>
                <wp:positionV relativeFrom="paragraph">
                  <wp:posOffset>43815</wp:posOffset>
                </wp:positionV>
                <wp:extent cx="2686050" cy="2184400"/>
                <wp:effectExtent l="19050" t="19050" r="38100" b="25400"/>
                <wp:wrapNone/>
                <wp:docPr id="2" name="Isosceles Triangle 2"/>
                <wp:cNvGraphicFramePr/>
                <a:graphic xmlns:a="http://schemas.openxmlformats.org/drawingml/2006/main">
                  <a:graphicData uri="http://schemas.microsoft.com/office/word/2010/wordprocessingShape">
                    <wps:wsp>
                      <wps:cNvSpPr/>
                      <wps:spPr>
                        <a:xfrm>
                          <a:off x="0" y="0"/>
                          <a:ext cx="2686050" cy="2184400"/>
                        </a:xfrm>
                        <a:prstGeom prst="triangl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6F95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3.5pt;margin-top:3.45pt;width:211.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" fillcolor="#ed7d31 [3205]" strokecolor="#1f3763 [1604]" strokeweight="1pt"/>
            </w:pict>
          </mc:Fallback>
        </mc:AlternateContent>
      </w:r>
    </w:p>
    <w:p w14:paraId="461C28F6" w14:textId="77777777" w:rsidR="00AE424D" w:rsidRDefault="00AE424D" w:rsidP="00115510"/>
    <w:p w14:paraId="7DA1F85D" w14:textId="6CC04A0A" w:rsidR="00AE424D" w:rsidRDefault="00AE424D" w:rsidP="00AE424D">
      <w:pPr>
        <w:spacing w:line="480" w:lineRule="auto"/>
      </w:pPr>
    </w:p>
    <w:p w14:paraId="27E54AAF" w14:textId="77777777" w:rsidR="00AD78E1" w:rsidRDefault="00AD78E1" w:rsidP="00AE424D">
      <w:pPr>
        <w:spacing w:line="480" w:lineRule="auto"/>
      </w:pPr>
    </w:p>
    <w:p w14:paraId="2F5BD309" w14:textId="77777777" w:rsidR="00933BD8" w:rsidRDefault="00933BD8" w:rsidP="00AE424D">
      <w:pPr>
        <w:spacing w:line="480" w:lineRule="auto"/>
      </w:pPr>
    </w:p>
    <w:p w14:paraId="6F5550BE" w14:textId="77777777" w:rsidR="00933BD8" w:rsidRDefault="00933BD8" w:rsidP="00AE424D">
      <w:pPr>
        <w:spacing w:line="480" w:lineRule="auto"/>
      </w:pPr>
    </w:p>
    <w:p w14:paraId="3356F3CA" w14:textId="77777777" w:rsidR="00933BD8" w:rsidRDefault="00933BD8" w:rsidP="00AE424D">
      <w:pPr>
        <w:spacing w:line="480" w:lineRule="auto"/>
      </w:pPr>
    </w:p>
    <w:p w14:paraId="25F7872B" w14:textId="28755F04" w:rsidR="00B36A12" w:rsidRDefault="00AE424D" w:rsidP="00AE424D">
      <w:pPr>
        <w:spacing w:line="480" w:lineRule="auto"/>
      </w:pPr>
      <w:r>
        <w:t>In this model</w:t>
      </w:r>
      <w:r w:rsidR="00033E18">
        <w:t>,</w:t>
      </w:r>
      <w:r w:rsidR="00B36A12">
        <w:t xml:space="preserve"> the prison is shaped by macro-cultural factors and structural influences and determinants</w:t>
      </w:r>
      <w:r w:rsidR="00686AC6">
        <w:t xml:space="preserve"> (at Level </w:t>
      </w:r>
      <w:r w:rsidR="00FD164F">
        <w:t>4</w:t>
      </w:r>
      <w:r w:rsidR="00686AC6">
        <w:t>)</w:t>
      </w:r>
      <w:r w:rsidR="00B36A12">
        <w:t xml:space="preserve">, as will be the individuals who are incarcerated </w:t>
      </w:r>
      <w:r w:rsidR="00E57DA6">
        <w:t>(</w:t>
      </w:r>
      <w:r w:rsidR="00B36A12">
        <w:t xml:space="preserve">at </w:t>
      </w:r>
      <w:r w:rsidR="00033E18">
        <w:t>L</w:t>
      </w:r>
      <w:r w:rsidR="00B36A12">
        <w:t xml:space="preserve">evel </w:t>
      </w:r>
      <w:r w:rsidR="00FD164F">
        <w:t>1</w:t>
      </w:r>
      <w:r w:rsidR="00E57DA6">
        <w:t>)</w:t>
      </w:r>
      <w:r w:rsidR="00B36A12">
        <w:t xml:space="preserve">, varying </w:t>
      </w:r>
      <w:r w:rsidR="00933BD8">
        <w:t xml:space="preserve">considerably </w:t>
      </w:r>
      <w:r w:rsidR="00B36A12">
        <w:t>in terms of their health and wellbeing (mental</w:t>
      </w:r>
      <w:r w:rsidR="00EF69BB">
        <w:t>,</w:t>
      </w:r>
      <w:r w:rsidR="00B36A12">
        <w:t xml:space="preserve"> physical</w:t>
      </w:r>
      <w:r w:rsidR="00EF69BB">
        <w:t xml:space="preserve"> and neurodevelopmental</w:t>
      </w:r>
      <w:r w:rsidR="00B36A12">
        <w:t xml:space="preserve">), their commitments to substance using and offending networks and families, and the skills, beliefs, resources, attitudes and expectations they bring into the establishment. The institution is shaped from </w:t>
      </w:r>
      <w:r>
        <w:t>below</w:t>
      </w:r>
      <w:r w:rsidR="0089774E">
        <w:t>,</w:t>
      </w:r>
      <w:r w:rsidR="00B36A12">
        <w:t xml:space="preserve"> by Level </w:t>
      </w:r>
      <w:r w:rsidR="00FD164F">
        <w:t>4</w:t>
      </w:r>
      <w:r w:rsidR="00B36A12">
        <w:t xml:space="preserve"> structures</w:t>
      </w:r>
      <w:r w:rsidR="0089774E">
        <w:t>,</w:t>
      </w:r>
      <w:r w:rsidR="00B36A12">
        <w:t xml:space="preserve"> and from </w:t>
      </w:r>
      <w:r>
        <w:t>above</w:t>
      </w:r>
      <w:r w:rsidR="0089774E">
        <w:t>,</w:t>
      </w:r>
      <w:r w:rsidR="00B36A12">
        <w:t xml:space="preserve"> by the flow of Level </w:t>
      </w:r>
      <w:r w:rsidR="00FD164F">
        <w:t>1</w:t>
      </w:r>
      <w:r w:rsidR="00B36A12">
        <w:t xml:space="preserve"> individual prisoners, both of which </w:t>
      </w:r>
      <w:r w:rsidR="0089774E">
        <w:t>are</w:t>
      </w:r>
      <w:r w:rsidR="00B36A12">
        <w:t xml:space="preserve"> </w:t>
      </w:r>
      <w:r w:rsidR="00933BD8">
        <w:t xml:space="preserve">influenced </w:t>
      </w:r>
      <w:r w:rsidR="00B36A12">
        <w:t xml:space="preserve">by </w:t>
      </w:r>
      <w:r w:rsidR="0089774E">
        <w:t>our</w:t>
      </w:r>
      <w:r w:rsidR="00B36A12">
        <w:t xml:space="preserve"> focus </w:t>
      </w:r>
      <w:r w:rsidR="0089774E">
        <w:t>in this paper</w:t>
      </w:r>
      <w:r w:rsidR="00B36A12">
        <w:t>,</w:t>
      </w:r>
      <w:r w:rsidR="0089774E">
        <w:t xml:space="preserve"> namely,</w:t>
      </w:r>
      <w:r w:rsidR="00B36A12">
        <w:t xml:space="preserve"> the </w:t>
      </w:r>
      <w:r w:rsidR="0089774E">
        <w:t xml:space="preserve">relational and </w:t>
      </w:r>
      <w:r w:rsidR="00B36A12">
        <w:t>cultural</w:t>
      </w:r>
      <w:r w:rsidR="00E6555C">
        <w:t xml:space="preserve"> </w:t>
      </w:r>
      <w:r w:rsidR="00B36A12">
        <w:t xml:space="preserve">levels </w:t>
      </w:r>
      <w:r w:rsidR="0089774E">
        <w:t xml:space="preserve">(at Level 2 and 3 respectively) </w:t>
      </w:r>
      <w:r w:rsidR="00B36A12">
        <w:t xml:space="preserve">that complete the pyramid of rehabilitative opportunities and barriers. </w:t>
      </w:r>
      <w:r w:rsidR="0089774E">
        <w:t>Broadly speaking, o</w:t>
      </w:r>
      <w:r w:rsidR="00FD164F">
        <w:t xml:space="preserve">ffenders will arrive in </w:t>
      </w:r>
      <w:r w:rsidR="00FD164F">
        <w:t>any justice institution with varying skills</w:t>
      </w:r>
      <w:r w:rsidR="0089774E">
        <w:t>,</w:t>
      </w:r>
      <w:r w:rsidR="00FD164F">
        <w:t xml:space="preserve"> personal resources and social networks, but these capabilities will flower or wither in the context of the institution</w:t>
      </w:r>
      <w:r w:rsidR="00572322">
        <w:t xml:space="preserve">. This is </w:t>
      </w:r>
      <w:r w:rsidR="00FD164F">
        <w:t>why our attention is primarily focused on Levels 2 and 3</w:t>
      </w:r>
      <w:r w:rsidR="00572322">
        <w:t>:</w:t>
      </w:r>
      <w:r w:rsidR="00FD164F">
        <w:t xml:space="preserve"> the relationships within the justice  system, </w:t>
      </w:r>
      <w:r w:rsidR="00572322">
        <w:t xml:space="preserve">and the </w:t>
      </w:r>
      <w:r w:rsidR="00FD164F">
        <w:t>processes and activities that are available or withheld</w:t>
      </w:r>
      <w:r w:rsidR="00572322">
        <w:t xml:space="preserve"> which can either provide</w:t>
      </w:r>
      <w:r w:rsidR="00E6555C">
        <w:t xml:space="preserve"> nurturance to grow and develop</w:t>
      </w:r>
      <w:r w:rsidR="00572322">
        <w:t>,</w:t>
      </w:r>
      <w:r w:rsidR="00E6555C">
        <w:t xml:space="preserve"> or privation that stunts and prevents growth. </w:t>
      </w:r>
      <w:r w:rsidR="00FD164F">
        <w:t xml:space="preserve"> </w:t>
      </w:r>
    </w:p>
    <w:p w14:paraId="146031BC" w14:textId="7ED5D9AB" w:rsidR="005E48DC" w:rsidRDefault="00FD164F" w:rsidP="00386129">
      <w:pPr>
        <w:spacing w:line="480" w:lineRule="auto"/>
        <w:rPr>
          <w:b/>
          <w:bCs/>
        </w:rPr>
      </w:pPr>
      <w:r>
        <w:t xml:space="preserve">There has already been considerable work on both agentic and structural factors in the desistance literature (eg Farrall, 2019), but relatively little about the more local and complex issues of how change processes are influenced by justice organisations and institutions. </w:t>
      </w:r>
      <w:r w:rsidR="007A4FD2">
        <w:t xml:space="preserve">The </w:t>
      </w:r>
      <w:r w:rsidRPr="00E6555C">
        <w:t>remainder of the</w:t>
      </w:r>
      <w:r>
        <w:t xml:space="preserve"> </w:t>
      </w:r>
      <w:r w:rsidR="007A4FD2">
        <w:lastRenderedPageBreak/>
        <w:t xml:space="preserve">paper will attempt to describe what is </w:t>
      </w:r>
      <w:r w:rsidR="007A4FD2">
        <w:t xml:space="preserve">relevant primarily in the middle two tiers of the pyramid and will go on to consider how they may be mapped and measured as a way of assessing the capacity for rehabilitation at a particular time. </w:t>
      </w:r>
      <w:r w:rsidR="005E48DC">
        <w:t xml:space="preserve">Although aspects of </w:t>
      </w:r>
      <w:r w:rsidR="00572322">
        <w:t>Level 4</w:t>
      </w:r>
      <w:r w:rsidR="00AE424D">
        <w:t xml:space="preserve"> (structural)</w:t>
      </w:r>
      <w:r w:rsidR="005E48DC">
        <w:t xml:space="preserve"> tier of the pyramid are also subject to change, this will happen over longer periods of time, and will be broadly similar for institutions within the same region or country. </w:t>
      </w:r>
      <w:r w:rsidR="005E48DC">
        <w:t xml:space="preserve">The final section will consider the level of the individual prisoner and what aspects of ‘fit’ will </w:t>
      </w:r>
      <w:r w:rsidR="005E48DC">
        <w:t>influence their ability to benefit from the justice capital available within an institution. Thus</w:t>
      </w:r>
      <w:r w:rsidR="00033E18">
        <w:t>,</w:t>
      </w:r>
      <w:r w:rsidR="005E48DC">
        <w:t xml:space="preserve"> effectively</w:t>
      </w:r>
      <w:r w:rsidR="00033E18">
        <w:t>,</w:t>
      </w:r>
      <w:r w:rsidR="005E48DC">
        <w:t xml:space="preserve"> the body of this paper will consider</w:t>
      </w:r>
      <w:r w:rsidR="00572322">
        <w:t xml:space="preserve"> </w:t>
      </w:r>
      <w:r w:rsidR="005E48DC">
        <w:t>IJC as the inter-play between</w:t>
      </w:r>
      <w:r w:rsidR="00386129">
        <w:t xml:space="preserve"> both and negative component facets of relational and cultural capital</w:t>
      </w:r>
      <w:r w:rsidR="00AE424D">
        <w:t>.</w:t>
      </w:r>
      <w:r w:rsidR="007A74E9">
        <w:t xml:space="preserve"> </w:t>
      </w:r>
      <w:r w:rsidR="007A74E9">
        <w:t>Each of these c</w:t>
      </w:r>
      <w:r w:rsidR="00386129">
        <w:t>omponents</w:t>
      </w:r>
      <w:r w:rsidR="007A74E9">
        <w:t xml:space="preserve"> is potentially quantifiable </w:t>
      </w:r>
      <w:r w:rsidR="00B7467D">
        <w:t>(th</w:t>
      </w:r>
      <w:r w:rsidR="007A74E9">
        <w:t xml:space="preserve">is </w:t>
      </w:r>
      <w:r w:rsidR="00B7467D">
        <w:t xml:space="preserve">represents </w:t>
      </w:r>
      <w:r w:rsidR="007A74E9">
        <w:t>a long-term objective of the research team</w:t>
      </w:r>
      <w:r w:rsidR="00B7467D">
        <w:t>; see also Best et al, in press).</w:t>
      </w:r>
      <w:r w:rsidR="007A74E9">
        <w:t xml:space="preserve"> </w:t>
      </w:r>
      <w:r w:rsidR="00B7467D">
        <w:t>F</w:t>
      </w:r>
      <w:r w:rsidR="007A74E9">
        <w:t>or the moment</w:t>
      </w:r>
      <w:r w:rsidR="00B7467D">
        <w:t>, we argue that</w:t>
      </w:r>
      <w:r w:rsidR="007A74E9">
        <w:t xml:space="preserve"> it is useful to consider how offenders (in prisons and other justice institutions) would characterise and classify the contents of each </w:t>
      </w:r>
      <w:r w:rsidR="008C452D">
        <w:t>of these components</w:t>
      </w:r>
      <w:r w:rsidR="008E1E97">
        <w:t>, and how this differs for different cultural backgrounds</w:t>
      </w:r>
      <w:r w:rsidR="007A74E9">
        <w:t xml:space="preserve">. </w:t>
      </w:r>
    </w:p>
    <w:p w14:paraId="35D152D3" w14:textId="7B026660" w:rsidR="007A74E9" w:rsidRDefault="007A74E9" w:rsidP="00A1072B">
      <w:pPr>
        <w:spacing w:line="480" w:lineRule="auto"/>
      </w:pPr>
      <w:r>
        <w:t>The case studies used below will largely focus on the prison context for two reasons. The first is that this is a closed institution and so it is more straightforward to conceptualise and monitor how processes and systems can influence personal and social capital directly</w:t>
      </w:r>
      <w:r w:rsidR="00B7467D">
        <w:t>,</w:t>
      </w:r>
      <w:r>
        <w:t xml:space="preserve"> separated from </w:t>
      </w:r>
      <w:r w:rsidR="00B7467D">
        <w:t xml:space="preserve">supervening factors such as </w:t>
      </w:r>
      <w:r>
        <w:t xml:space="preserve">housing, family, community services and so on. Secondly, the sites described below have been at the heart of the development of our thinking in this area and have contributed significantly to the development of the ideas outlined in this paper. </w:t>
      </w:r>
      <w:r w:rsidR="00B7467D">
        <w:t>However, we believe that the concepts outlined in this paper are also applicable in a community justice setting, for example, probation and parole.</w:t>
      </w:r>
    </w:p>
    <w:p w14:paraId="0CCC764B" w14:textId="3CBBE5D3" w:rsidR="00734D71" w:rsidRPr="009244A7" w:rsidRDefault="00734D71" w:rsidP="00A1072B">
      <w:pPr>
        <w:spacing w:line="480" w:lineRule="auto"/>
      </w:pPr>
      <w:r w:rsidRPr="009244A7">
        <w:t>Cultural capital refers to the systems and processes that exist within prisons</w:t>
      </w:r>
      <w:r w:rsidR="00033E18">
        <w:t>,</w:t>
      </w:r>
      <w:r w:rsidRPr="009244A7">
        <w:t xml:space="preserve"> including </w:t>
      </w:r>
      <w:r w:rsidR="00033E18">
        <w:t>(</w:t>
      </w:r>
      <w:r w:rsidRPr="009244A7">
        <w:t>but not restricted to</w:t>
      </w:r>
      <w:r w:rsidR="00033E18">
        <w:t>)</w:t>
      </w:r>
      <w:r w:rsidRPr="009244A7">
        <w:t xml:space="preserve"> rules and regulations, but also </w:t>
      </w:r>
      <w:r w:rsidR="008A572B">
        <w:t xml:space="preserve">– </w:t>
      </w:r>
      <w:r w:rsidRPr="009244A7">
        <w:t xml:space="preserve">on the positive side </w:t>
      </w:r>
      <w:r w:rsidR="008A572B">
        <w:t xml:space="preserve">– </w:t>
      </w:r>
      <w:r w:rsidRPr="009244A7">
        <w:t>access to materials, resources and information that open a ‘window of opportunity’ for positive change.</w:t>
      </w:r>
      <w:r>
        <w:t xml:space="preserve"> </w:t>
      </w:r>
      <w:r w:rsidR="00CD3225">
        <w:t xml:space="preserve">It also includes shared values, shared ideas and shared visions and the ways these things shape systems and processes, which will be inclusive </w:t>
      </w:r>
      <w:r w:rsidR="00572322">
        <w:t>of</w:t>
      </w:r>
      <w:r w:rsidR="00CD3225">
        <w:t xml:space="preserve"> some prisoners and exclusive </w:t>
      </w:r>
      <w:r w:rsidR="00572322">
        <w:t>of</w:t>
      </w:r>
      <w:r w:rsidR="00CD3225">
        <w:t xml:space="preserve"> others, based on religion, ethnicity, </w:t>
      </w:r>
      <w:r w:rsidR="00CD3225">
        <w:t xml:space="preserve">sexual </w:t>
      </w:r>
      <w:r w:rsidR="00CD3225">
        <w:lastRenderedPageBreak/>
        <w:t xml:space="preserve">orientation, and other related factors. </w:t>
      </w:r>
      <w:r>
        <w:t>Thus, a well-stocked library in a prison is not positive cultural capital if prisoners are locked up all the time or they do not have the</w:t>
      </w:r>
      <w:r w:rsidR="00CD3225">
        <w:t xml:space="preserve"> reading skills, access</w:t>
      </w:r>
      <w:r>
        <w:t xml:space="preserve"> or supports to make the most of it</w:t>
      </w:r>
      <w:r w:rsidR="00CD3225">
        <w:t>, or if the library materials address the cultural needs of only one population, such as white and Christian</w:t>
      </w:r>
      <w:r>
        <w:t xml:space="preserve">. In contrast, if it is accessible, attractive and </w:t>
      </w:r>
      <w:r w:rsidR="000A50A6">
        <w:t>able to</w:t>
      </w:r>
      <w:r>
        <w:t xml:space="preserve"> address the informational needs of all prisoners quickly and efficiently, this would be a key source of positive cultural capital. </w:t>
      </w:r>
    </w:p>
    <w:p w14:paraId="6CC349DE" w14:textId="383A680C" w:rsidR="0054085D" w:rsidRDefault="0054085D" w:rsidP="00A1072B">
      <w:pPr>
        <w:spacing w:line="480" w:lineRule="auto"/>
      </w:pPr>
      <w:r>
        <w:rPr>
          <w:b/>
          <w:bCs/>
        </w:rPr>
        <w:t xml:space="preserve">Positive cultural capital: </w:t>
      </w:r>
      <w:r w:rsidR="008A572B">
        <w:t>This r</w:t>
      </w:r>
      <w:r>
        <w:t>elates to those resources and opportunities that are available to support effective rehabilitation</w:t>
      </w:r>
      <w:r w:rsidR="008A572B">
        <w:t>,</w:t>
      </w:r>
      <w:r>
        <w:t xml:space="preserve"> reintegration</w:t>
      </w:r>
      <w:r w:rsidR="008A572B">
        <w:t xml:space="preserve"> and desistance</w:t>
      </w:r>
      <w:r w:rsidR="00914EA7">
        <w:t>. This will include access to:</w:t>
      </w:r>
    </w:p>
    <w:p w14:paraId="202B4A65" w14:textId="4F2FAF04" w:rsidR="00914EA7" w:rsidRDefault="00914EA7" w:rsidP="00A1072B">
      <w:pPr>
        <w:pStyle w:val="ListParagraph"/>
        <w:numPr>
          <w:ilvl w:val="0"/>
          <w:numId w:val="4"/>
        </w:numPr>
        <w:spacing w:line="480" w:lineRule="auto"/>
      </w:pPr>
      <w:r>
        <w:t xml:space="preserve">Educational resources </w:t>
      </w:r>
    </w:p>
    <w:p w14:paraId="735A0863" w14:textId="03D860BA" w:rsidR="00734D71" w:rsidRDefault="00E3491C" w:rsidP="00A1072B">
      <w:pPr>
        <w:pStyle w:val="ListParagraph"/>
        <w:numPr>
          <w:ilvl w:val="0"/>
          <w:numId w:val="4"/>
        </w:numPr>
        <w:spacing w:line="480" w:lineRule="auto"/>
      </w:pPr>
      <w:r>
        <w:t>I</w:t>
      </w:r>
      <w:r w:rsidR="00734D71">
        <w:t>nformation</w:t>
      </w:r>
      <w:r w:rsidR="00A71BA2">
        <w:t>al</w:t>
      </w:r>
      <w:r w:rsidR="00734D71">
        <w:t xml:space="preserve"> resources </w:t>
      </w:r>
    </w:p>
    <w:p w14:paraId="2040FC31" w14:textId="14AABFEC" w:rsidR="00914EA7" w:rsidRDefault="00914EA7" w:rsidP="00A1072B">
      <w:pPr>
        <w:pStyle w:val="ListParagraph"/>
        <w:numPr>
          <w:ilvl w:val="0"/>
          <w:numId w:val="4"/>
        </w:numPr>
        <w:spacing w:line="480" w:lineRule="auto"/>
      </w:pPr>
      <w:r>
        <w:t xml:space="preserve">Employment opportunities </w:t>
      </w:r>
    </w:p>
    <w:p w14:paraId="7591739C" w14:textId="2249B77C" w:rsidR="00914EA7" w:rsidRDefault="00914EA7" w:rsidP="00A1072B">
      <w:pPr>
        <w:pStyle w:val="ListParagraph"/>
        <w:numPr>
          <w:ilvl w:val="0"/>
          <w:numId w:val="4"/>
        </w:numPr>
        <w:spacing w:line="480" w:lineRule="auto"/>
      </w:pPr>
      <w:r>
        <w:t>Spiritual</w:t>
      </w:r>
      <w:r w:rsidR="00702AD8">
        <w:t>, religious</w:t>
      </w:r>
      <w:r>
        <w:t xml:space="preserve"> </w:t>
      </w:r>
      <w:r w:rsidR="00F928E1">
        <w:t>and</w:t>
      </w:r>
      <w:r w:rsidR="00E3491C">
        <w:t>/or</w:t>
      </w:r>
      <w:r w:rsidR="00F928E1">
        <w:t xml:space="preserve"> cultural </w:t>
      </w:r>
      <w:r>
        <w:t xml:space="preserve">activities </w:t>
      </w:r>
    </w:p>
    <w:p w14:paraId="1F5F265E" w14:textId="3C12000F" w:rsidR="00914EA7" w:rsidRDefault="00914EA7" w:rsidP="00A1072B">
      <w:pPr>
        <w:pStyle w:val="ListParagraph"/>
        <w:numPr>
          <w:ilvl w:val="0"/>
          <w:numId w:val="4"/>
        </w:numPr>
        <w:spacing w:line="480" w:lineRule="auto"/>
      </w:pPr>
      <w:r>
        <w:t xml:space="preserve">Sport, art and recreation </w:t>
      </w:r>
    </w:p>
    <w:p w14:paraId="19991000" w14:textId="36C6E3D1" w:rsidR="00914EA7" w:rsidRDefault="00914EA7" w:rsidP="00A1072B">
      <w:pPr>
        <w:pStyle w:val="ListParagraph"/>
        <w:numPr>
          <w:ilvl w:val="0"/>
          <w:numId w:val="4"/>
        </w:numPr>
        <w:spacing w:line="480" w:lineRule="auto"/>
      </w:pPr>
      <w:r>
        <w:t>Green space</w:t>
      </w:r>
    </w:p>
    <w:p w14:paraId="1E05497C" w14:textId="52E9E8C9" w:rsidR="00702AD8" w:rsidRDefault="00914EA7" w:rsidP="00702AD8">
      <w:pPr>
        <w:pStyle w:val="ListParagraph"/>
        <w:numPr>
          <w:ilvl w:val="0"/>
          <w:numId w:val="4"/>
        </w:numPr>
        <w:spacing w:line="480" w:lineRule="auto"/>
      </w:pPr>
      <w:r>
        <w:t>Community resources</w:t>
      </w:r>
    </w:p>
    <w:p w14:paraId="72944AAC" w14:textId="4E68965A" w:rsidR="00702AD8" w:rsidRDefault="00535C42" w:rsidP="00702AD8">
      <w:pPr>
        <w:spacing w:line="480" w:lineRule="auto"/>
      </w:pPr>
      <w:r>
        <w:t>However, it is important to emphasi</w:t>
      </w:r>
      <w:r w:rsidR="00E3491C">
        <w:t>z</w:t>
      </w:r>
      <w:r>
        <w:t>e that this is not an audit of machines or meetings. The importance of cultural capital is about the uptake, retention and benefit gained from each of these resources and the extent to which this disseminates or spreads throughout the establishment</w:t>
      </w:r>
      <w:r w:rsidR="00E3491C">
        <w:t xml:space="preserve">. Relatedly, </w:t>
      </w:r>
      <w:r>
        <w:t>one of the key questions here is around equity of access and benefit across a diverse range of populations. It should also be the case that there is a ‘social contagion’ not only within the prisoner population</w:t>
      </w:r>
      <w:r w:rsidR="00E3491C">
        <w:t>,</w:t>
      </w:r>
      <w:r>
        <w:t xml:space="preserve"> but </w:t>
      </w:r>
      <w:r w:rsidR="00527115">
        <w:t xml:space="preserve">that </w:t>
      </w:r>
      <w:r>
        <w:t xml:space="preserve">positive cultural capital should increase the wellbeing of prison and civilian staff and, based on the principles of contagion, visitors, contractors, families and the local community (Christakis and Fowler, 2009). </w:t>
      </w:r>
    </w:p>
    <w:p w14:paraId="79C68871" w14:textId="28A60BB8" w:rsidR="00227DF0" w:rsidRDefault="00387E7E" w:rsidP="00227DF0">
      <w:pPr>
        <w:pStyle w:val="NormalWeb"/>
        <w:shd w:val="clear" w:color="auto" w:fill="FFFFFF"/>
        <w:spacing w:before="0" w:beforeAutospacing="0" w:after="160" w:afterAutospacing="0" w:line="480" w:lineRule="auto"/>
        <w:rPr>
          <w:rFonts w:ascii="Calibri" w:hAnsi="Calibri" w:cs="Calibri"/>
          <w:color w:val="000000"/>
          <w:sz w:val="22"/>
          <w:szCs w:val="22"/>
        </w:rPr>
      </w:pPr>
      <w:r>
        <w:rPr>
          <w:rFonts w:ascii="Calibri" w:hAnsi="Calibri" w:cs="Calibri"/>
          <w:color w:val="000000"/>
          <w:sz w:val="22"/>
          <w:szCs w:val="22"/>
        </w:rPr>
        <w:t xml:space="preserve">An example of this cultural social contagion is epitomised by </w:t>
      </w:r>
      <w:r w:rsidR="00E3491C">
        <w:rPr>
          <w:rFonts w:ascii="Calibri" w:hAnsi="Calibri" w:cs="Calibri"/>
          <w:color w:val="000000"/>
          <w:sz w:val="22"/>
          <w:szCs w:val="22"/>
        </w:rPr>
        <w:t>t</w:t>
      </w:r>
      <w:r>
        <w:rPr>
          <w:rFonts w:ascii="Calibri" w:hAnsi="Calibri" w:cs="Calibri"/>
          <w:color w:val="000000"/>
          <w:sz w:val="22"/>
          <w:szCs w:val="22"/>
        </w:rPr>
        <w:t xml:space="preserve">he Kirkham Family Connectors training programme, which was designed to help to mobilise the strengths of prisoners in HMP Kirkham, a </w:t>
      </w:r>
      <w:r w:rsidR="00E3491C">
        <w:rPr>
          <w:rFonts w:ascii="Calibri" w:hAnsi="Calibri" w:cs="Calibri"/>
          <w:color w:val="000000"/>
          <w:sz w:val="22"/>
          <w:szCs w:val="22"/>
        </w:rPr>
        <w:lastRenderedPageBreak/>
        <w:t>C</w:t>
      </w:r>
      <w:r>
        <w:rPr>
          <w:rFonts w:ascii="Calibri" w:hAnsi="Calibri" w:cs="Calibri"/>
          <w:color w:val="000000"/>
          <w:sz w:val="22"/>
          <w:szCs w:val="22"/>
        </w:rPr>
        <w:t xml:space="preserve">ategory D prison, with the </w:t>
      </w:r>
      <w:r w:rsidR="00227DF0">
        <w:rPr>
          <w:rFonts w:ascii="Calibri" w:hAnsi="Calibri" w:cs="Calibri"/>
          <w:color w:val="000000"/>
          <w:sz w:val="22"/>
          <w:szCs w:val="22"/>
        </w:rPr>
        <w:t>aim</w:t>
      </w:r>
      <w:r>
        <w:rPr>
          <w:rFonts w:ascii="Calibri" w:hAnsi="Calibri" w:cs="Calibri"/>
          <w:color w:val="000000"/>
          <w:sz w:val="22"/>
          <w:szCs w:val="22"/>
        </w:rPr>
        <w:t xml:space="preserve"> of creating individualised resettlement pathways facilitated by families and friends (Hall et al., 2018; Best, Musgrove and Hall, 2018). Across three workshops, prisoners and their families worked together to plan engagement in positive social groups and activities post-release, with family members engaging with identified assets </w:t>
      </w:r>
      <w:r>
        <w:rPr>
          <w:rFonts w:ascii="Calibri" w:hAnsi="Calibri" w:cs="Calibri"/>
          <w:color w:val="000000"/>
          <w:sz w:val="22"/>
          <w:szCs w:val="22"/>
        </w:rPr>
        <w:t>and making initial contact with them</w:t>
      </w:r>
      <w:r w:rsidR="00227DF0">
        <w:rPr>
          <w:rFonts w:ascii="Calibri" w:hAnsi="Calibri" w:cs="Calibri"/>
          <w:color w:val="000000"/>
          <w:sz w:val="22"/>
          <w:szCs w:val="22"/>
        </w:rPr>
        <w:t>. This include</w:t>
      </w:r>
      <w:r w:rsidR="00AE424D">
        <w:rPr>
          <w:rFonts w:ascii="Calibri" w:hAnsi="Calibri" w:cs="Calibri"/>
          <w:color w:val="000000"/>
          <w:sz w:val="22"/>
          <w:szCs w:val="22"/>
        </w:rPr>
        <w:t>d</w:t>
      </w:r>
      <w:r w:rsidR="00227DF0">
        <w:rPr>
          <w:rFonts w:ascii="Calibri" w:hAnsi="Calibri" w:cs="Calibri"/>
          <w:color w:val="000000"/>
          <w:sz w:val="22"/>
          <w:szCs w:val="22"/>
        </w:rPr>
        <w:t xml:space="preserve"> pursuing recreational interests</w:t>
      </w:r>
      <w:r w:rsidR="00AE424D">
        <w:rPr>
          <w:rFonts w:ascii="Calibri" w:hAnsi="Calibri" w:cs="Calibri"/>
          <w:color w:val="000000"/>
          <w:sz w:val="22"/>
          <w:szCs w:val="22"/>
        </w:rPr>
        <w:t>,</w:t>
      </w:r>
      <w:r w:rsidR="00227DF0">
        <w:rPr>
          <w:rFonts w:ascii="Calibri" w:hAnsi="Calibri" w:cs="Calibri"/>
          <w:color w:val="000000"/>
          <w:sz w:val="22"/>
          <w:szCs w:val="22"/>
        </w:rPr>
        <w:t xml:space="preserve"> </w:t>
      </w:r>
      <w:r w:rsidR="00AE424D">
        <w:rPr>
          <w:rFonts w:ascii="Calibri" w:hAnsi="Calibri" w:cs="Calibri"/>
          <w:color w:val="000000"/>
          <w:sz w:val="22"/>
          <w:szCs w:val="22"/>
        </w:rPr>
        <w:t>such as</w:t>
      </w:r>
      <w:r w:rsidR="00227DF0">
        <w:rPr>
          <w:rFonts w:ascii="Calibri" w:hAnsi="Calibri" w:cs="Calibri"/>
          <w:color w:val="000000"/>
          <w:sz w:val="22"/>
          <w:szCs w:val="22"/>
        </w:rPr>
        <w:t xml:space="preserve"> sport and creative arts, training and education opportunities,</w:t>
      </w:r>
      <w:r w:rsidR="00A32AF9">
        <w:rPr>
          <w:rFonts w:ascii="Calibri" w:hAnsi="Calibri" w:cs="Calibri"/>
          <w:color w:val="000000"/>
          <w:sz w:val="22"/>
          <w:szCs w:val="22"/>
        </w:rPr>
        <w:t xml:space="preserve"> </w:t>
      </w:r>
      <w:r w:rsidR="00227DF0">
        <w:rPr>
          <w:rFonts w:ascii="Calibri" w:hAnsi="Calibri" w:cs="Calibri"/>
          <w:color w:val="000000"/>
          <w:sz w:val="22"/>
          <w:szCs w:val="22"/>
        </w:rPr>
        <w:t xml:space="preserve">volunteering and links to recovery support groups for those with addiction histories. The family members then </w:t>
      </w:r>
      <w:r>
        <w:rPr>
          <w:rFonts w:ascii="Calibri" w:hAnsi="Calibri" w:cs="Calibri"/>
          <w:color w:val="000000"/>
          <w:sz w:val="22"/>
          <w:szCs w:val="22"/>
        </w:rPr>
        <w:t>scop</w:t>
      </w:r>
      <w:r w:rsidR="00227DF0">
        <w:rPr>
          <w:rFonts w:ascii="Calibri" w:hAnsi="Calibri" w:cs="Calibri"/>
          <w:color w:val="000000"/>
          <w:sz w:val="22"/>
          <w:szCs w:val="22"/>
        </w:rPr>
        <w:t>e</w:t>
      </w:r>
      <w:r w:rsidR="00AE424D">
        <w:rPr>
          <w:rFonts w:ascii="Calibri" w:hAnsi="Calibri" w:cs="Calibri"/>
          <w:color w:val="000000"/>
          <w:sz w:val="22"/>
          <w:szCs w:val="22"/>
        </w:rPr>
        <w:t>d</w:t>
      </w:r>
      <w:r>
        <w:rPr>
          <w:rFonts w:ascii="Calibri" w:hAnsi="Calibri" w:cs="Calibri"/>
          <w:color w:val="000000"/>
          <w:sz w:val="22"/>
          <w:szCs w:val="22"/>
        </w:rPr>
        <w:t xml:space="preserve"> out the possibility of </w:t>
      </w:r>
      <w:r w:rsidR="00E3491C">
        <w:rPr>
          <w:rFonts w:ascii="Calibri" w:hAnsi="Calibri" w:cs="Calibri"/>
          <w:color w:val="000000"/>
          <w:sz w:val="22"/>
          <w:szCs w:val="22"/>
        </w:rPr>
        <w:t xml:space="preserve">whether </w:t>
      </w:r>
      <w:r>
        <w:rPr>
          <w:rFonts w:ascii="Calibri" w:hAnsi="Calibri" w:cs="Calibri"/>
          <w:color w:val="000000"/>
          <w:sz w:val="22"/>
          <w:szCs w:val="22"/>
        </w:rPr>
        <w:t xml:space="preserve">their loved one </w:t>
      </w:r>
      <w:r w:rsidR="00E3491C">
        <w:rPr>
          <w:rFonts w:ascii="Calibri" w:hAnsi="Calibri" w:cs="Calibri"/>
          <w:color w:val="000000"/>
          <w:sz w:val="22"/>
          <w:szCs w:val="22"/>
        </w:rPr>
        <w:t xml:space="preserve">could </w:t>
      </w:r>
      <w:r>
        <w:rPr>
          <w:rFonts w:ascii="Calibri" w:hAnsi="Calibri" w:cs="Calibri"/>
          <w:color w:val="000000"/>
          <w:sz w:val="22"/>
          <w:szCs w:val="22"/>
        </w:rPr>
        <w:t>attend once released</w:t>
      </w:r>
      <w:r w:rsidR="00227DF0">
        <w:rPr>
          <w:rFonts w:ascii="Calibri" w:hAnsi="Calibri" w:cs="Calibri"/>
          <w:color w:val="000000"/>
          <w:sz w:val="22"/>
          <w:szCs w:val="22"/>
        </w:rPr>
        <w:t xml:space="preserve"> and facilitate access where possible</w:t>
      </w:r>
      <w:r>
        <w:rPr>
          <w:rFonts w:ascii="Calibri" w:hAnsi="Calibri" w:cs="Calibri"/>
          <w:color w:val="000000"/>
          <w:sz w:val="22"/>
          <w:szCs w:val="22"/>
        </w:rPr>
        <w:t xml:space="preserve">. </w:t>
      </w:r>
      <w:r w:rsidR="00227DF0">
        <w:rPr>
          <w:rFonts w:ascii="Calibri" w:hAnsi="Calibri" w:cs="Calibri"/>
          <w:color w:val="000000"/>
          <w:sz w:val="22"/>
          <w:szCs w:val="22"/>
        </w:rPr>
        <w:t>In the initial cohort, this included a volunteering opportunity with disabled children at a local mosque, access to a Football Association training course and a job opportunity in the building trade</w:t>
      </w:r>
      <w:r w:rsidR="00A32AF9">
        <w:rPr>
          <w:rFonts w:ascii="Calibri" w:hAnsi="Calibri" w:cs="Calibri"/>
          <w:color w:val="000000"/>
          <w:sz w:val="22"/>
          <w:szCs w:val="22"/>
        </w:rPr>
        <w:t xml:space="preserve"> (Hall et al., 2018; Best, Musgrove and Hall, 2018)</w:t>
      </w:r>
      <w:r w:rsidR="00227DF0">
        <w:rPr>
          <w:rFonts w:ascii="Calibri" w:hAnsi="Calibri" w:cs="Calibri"/>
          <w:color w:val="000000"/>
          <w:sz w:val="22"/>
          <w:szCs w:val="22"/>
        </w:rPr>
        <w:t xml:space="preserve">. </w:t>
      </w:r>
    </w:p>
    <w:p w14:paraId="696EF979" w14:textId="66A92620" w:rsidR="00387E7E" w:rsidRDefault="00387E7E" w:rsidP="00227DF0">
      <w:pPr>
        <w:pStyle w:val="NormalWeb"/>
        <w:shd w:val="clear" w:color="auto" w:fill="FFFFFF"/>
        <w:spacing w:before="0" w:beforeAutospacing="0" w:after="160" w:afterAutospacing="0" w:line="480" w:lineRule="auto"/>
        <w:rPr>
          <w:rFonts w:ascii="Calibri" w:hAnsi="Calibri" w:cs="Calibri"/>
          <w:color w:val="000000"/>
          <w:sz w:val="22"/>
          <w:szCs w:val="22"/>
        </w:rPr>
      </w:pPr>
      <w:r>
        <w:rPr>
          <w:rFonts w:ascii="Calibri" w:hAnsi="Calibri" w:cs="Calibri"/>
          <w:color w:val="000000"/>
          <w:sz w:val="22"/>
          <w:szCs w:val="22"/>
        </w:rPr>
        <w:t>In both the design and implementation of the programme, staff commitment and enthusiasm played a pivotal role in the</w:t>
      </w:r>
      <w:r w:rsidR="00457355">
        <w:rPr>
          <w:rFonts w:ascii="Calibri" w:hAnsi="Calibri" w:cs="Calibri"/>
          <w:color w:val="000000"/>
          <w:sz w:val="22"/>
          <w:szCs w:val="22"/>
        </w:rPr>
        <w:t xml:space="preserve"> programme’s</w:t>
      </w:r>
      <w:r>
        <w:rPr>
          <w:rFonts w:ascii="Calibri" w:hAnsi="Calibri" w:cs="Calibri"/>
          <w:color w:val="000000"/>
          <w:sz w:val="22"/>
          <w:szCs w:val="22"/>
        </w:rPr>
        <w:t xml:space="preserve"> success. Probation staff (n=3) were understandably reluctant to engage</w:t>
      </w:r>
      <w:r w:rsidR="00457355">
        <w:rPr>
          <w:rFonts w:ascii="Calibri" w:hAnsi="Calibri" w:cs="Calibri"/>
          <w:color w:val="000000"/>
          <w:sz w:val="22"/>
          <w:szCs w:val="22"/>
        </w:rPr>
        <w:t>,</w:t>
      </w:r>
      <w:r>
        <w:rPr>
          <w:rFonts w:ascii="Calibri" w:hAnsi="Calibri" w:cs="Calibri"/>
          <w:color w:val="000000"/>
          <w:sz w:val="22"/>
          <w:szCs w:val="22"/>
        </w:rPr>
        <w:t xml:space="preserve"> primarily due to workload</w:t>
      </w:r>
      <w:r w:rsidR="009E5D6C">
        <w:rPr>
          <w:rFonts w:ascii="Calibri" w:hAnsi="Calibri" w:cs="Calibri"/>
          <w:color w:val="000000"/>
          <w:sz w:val="22"/>
          <w:szCs w:val="22"/>
        </w:rPr>
        <w:t xml:space="preserve"> is</w:t>
      </w:r>
      <w:r>
        <w:rPr>
          <w:rFonts w:ascii="Calibri" w:hAnsi="Calibri" w:cs="Calibri"/>
          <w:color w:val="000000"/>
          <w:sz w:val="22"/>
          <w:szCs w:val="22"/>
        </w:rPr>
        <w:t>s</w:t>
      </w:r>
      <w:r w:rsidR="009E5D6C">
        <w:rPr>
          <w:rFonts w:ascii="Calibri" w:hAnsi="Calibri" w:cs="Calibri"/>
          <w:color w:val="000000"/>
          <w:sz w:val="22"/>
          <w:szCs w:val="22"/>
        </w:rPr>
        <w:t>ues</w:t>
      </w:r>
      <w:r>
        <w:rPr>
          <w:rFonts w:ascii="Calibri" w:hAnsi="Calibri" w:cs="Calibri"/>
          <w:color w:val="000000"/>
          <w:sz w:val="22"/>
          <w:szCs w:val="22"/>
        </w:rPr>
        <w:t xml:space="preserve"> and concerns </w:t>
      </w:r>
      <w:r w:rsidR="00457355">
        <w:rPr>
          <w:rFonts w:ascii="Calibri" w:hAnsi="Calibri" w:cs="Calibri"/>
          <w:color w:val="000000"/>
          <w:sz w:val="22"/>
          <w:szCs w:val="22"/>
        </w:rPr>
        <w:t>about</w:t>
      </w:r>
      <w:r>
        <w:rPr>
          <w:rFonts w:ascii="Calibri" w:hAnsi="Calibri" w:cs="Calibri"/>
          <w:color w:val="000000"/>
          <w:sz w:val="22"/>
          <w:szCs w:val="22"/>
        </w:rPr>
        <w:t xml:space="preserve"> </w:t>
      </w:r>
      <w:r w:rsidR="009E5D6C">
        <w:rPr>
          <w:rFonts w:ascii="Calibri" w:hAnsi="Calibri" w:cs="Calibri"/>
          <w:color w:val="000000"/>
          <w:sz w:val="22"/>
          <w:szCs w:val="22"/>
        </w:rPr>
        <w:t xml:space="preserve">risk by </w:t>
      </w:r>
      <w:r>
        <w:rPr>
          <w:rFonts w:ascii="Calibri" w:hAnsi="Calibri" w:cs="Calibri"/>
          <w:color w:val="000000"/>
          <w:sz w:val="22"/>
          <w:szCs w:val="22"/>
        </w:rPr>
        <w:t>implementing a programme which involved external visitors</w:t>
      </w:r>
      <w:r w:rsidR="009060E3">
        <w:rPr>
          <w:rFonts w:ascii="Calibri" w:hAnsi="Calibri" w:cs="Calibri"/>
          <w:color w:val="000000"/>
          <w:sz w:val="22"/>
          <w:szCs w:val="22"/>
        </w:rPr>
        <w:t xml:space="preserve"> accessing back areas of the prison</w:t>
      </w:r>
      <w:r>
        <w:rPr>
          <w:rFonts w:ascii="Calibri" w:hAnsi="Calibri" w:cs="Calibri"/>
          <w:color w:val="000000"/>
          <w:sz w:val="22"/>
          <w:szCs w:val="22"/>
        </w:rPr>
        <w:t>. The role that the prison governor played in challenging this culture of risk management and championing the programme arguably facilitated the building of a ‘radius of trust’ (Fukuyama, 2001, p.8)</w:t>
      </w:r>
      <w:r w:rsidR="00457355">
        <w:rPr>
          <w:rFonts w:ascii="Calibri" w:hAnsi="Calibri" w:cs="Calibri"/>
          <w:color w:val="000000"/>
          <w:sz w:val="22"/>
          <w:szCs w:val="22"/>
        </w:rPr>
        <w:t>,</w:t>
      </w:r>
      <w:r>
        <w:rPr>
          <w:rFonts w:ascii="Calibri" w:hAnsi="Calibri" w:cs="Calibri"/>
          <w:color w:val="000000"/>
          <w:sz w:val="22"/>
          <w:szCs w:val="22"/>
        </w:rPr>
        <w:t xml:space="preserve"> which catalysed and underpinned the success of the programme, and helped to build a sense of hope and positive cultural capital between staff and programme participants. Despite the emotional labour required from probation staff (</w:t>
      </w:r>
      <w:r w:rsidRPr="00716DA6">
        <w:rPr>
          <w:rFonts w:ascii="Calibri" w:hAnsi="Calibri" w:cs="Calibri"/>
          <w:color w:val="000000"/>
          <w:sz w:val="22"/>
          <w:szCs w:val="22"/>
        </w:rPr>
        <w:t xml:space="preserve">Fowler, Phillips and </w:t>
      </w:r>
      <w:proofErr w:type="spellStart"/>
      <w:r w:rsidRPr="00716DA6">
        <w:rPr>
          <w:rFonts w:ascii="Calibri" w:hAnsi="Calibri" w:cs="Calibri"/>
          <w:color w:val="000000"/>
          <w:sz w:val="22"/>
          <w:szCs w:val="22"/>
        </w:rPr>
        <w:t>Westaby</w:t>
      </w:r>
      <w:proofErr w:type="spellEnd"/>
      <w:r w:rsidRPr="00716DA6">
        <w:rPr>
          <w:rFonts w:ascii="Calibri" w:hAnsi="Calibri" w:cs="Calibri"/>
          <w:color w:val="000000"/>
          <w:sz w:val="22"/>
          <w:szCs w:val="22"/>
        </w:rPr>
        <w:t>, 2017</w:t>
      </w:r>
      <w:r>
        <w:rPr>
          <w:rFonts w:ascii="Calibri" w:hAnsi="Calibri" w:cs="Calibri"/>
          <w:color w:val="000000"/>
          <w:sz w:val="22"/>
          <w:szCs w:val="22"/>
        </w:rPr>
        <w:t>) to organise and facilitate the programme, the sense of hope that emerged as a result of the first iteration of the programme for all who took part, including probation staff and 13 programme participants (Hall et al., 2018) qualified and legitimised this investment of labour</w:t>
      </w:r>
      <w:r w:rsidR="00457355">
        <w:rPr>
          <w:rFonts w:ascii="Calibri" w:hAnsi="Calibri" w:cs="Calibri"/>
          <w:color w:val="000000"/>
          <w:sz w:val="22"/>
          <w:szCs w:val="22"/>
        </w:rPr>
        <w:t>,</w:t>
      </w:r>
      <w:r>
        <w:rPr>
          <w:rFonts w:ascii="Calibri" w:hAnsi="Calibri" w:cs="Calibri"/>
          <w:color w:val="000000"/>
          <w:sz w:val="22"/>
          <w:szCs w:val="22"/>
        </w:rPr>
        <w:t xml:space="preserve"> enhancing the cultural capital of the prison as a result. </w:t>
      </w:r>
    </w:p>
    <w:p w14:paraId="1D99F5D8" w14:textId="75BA427B" w:rsidR="00387E7E" w:rsidRDefault="00387E7E" w:rsidP="00227DF0">
      <w:pPr>
        <w:pStyle w:val="NormalWeb"/>
        <w:shd w:val="clear" w:color="auto" w:fill="FFFFFF"/>
        <w:spacing w:line="480" w:lineRule="auto"/>
        <w:rPr>
          <w:rFonts w:ascii="Calibri" w:hAnsi="Calibri" w:cs="Calibri"/>
          <w:color w:val="000000"/>
          <w:sz w:val="22"/>
          <w:szCs w:val="22"/>
        </w:rPr>
      </w:pPr>
      <w:r>
        <w:rPr>
          <w:rFonts w:ascii="Calibri" w:hAnsi="Calibri" w:cs="Calibri"/>
          <w:color w:val="000000"/>
          <w:sz w:val="22"/>
          <w:szCs w:val="22"/>
        </w:rPr>
        <w:t xml:space="preserve">At </w:t>
      </w:r>
      <w:r w:rsidR="00457355">
        <w:rPr>
          <w:rFonts w:ascii="Calibri" w:hAnsi="Calibri" w:cs="Calibri"/>
          <w:color w:val="000000"/>
          <w:sz w:val="22"/>
          <w:szCs w:val="22"/>
        </w:rPr>
        <w:t xml:space="preserve">the </w:t>
      </w:r>
      <w:r>
        <w:rPr>
          <w:rFonts w:ascii="Calibri" w:hAnsi="Calibri" w:cs="Calibri"/>
          <w:color w:val="000000"/>
          <w:sz w:val="22"/>
          <w:szCs w:val="22"/>
        </w:rPr>
        <w:t xml:space="preserve">programme level, although families and friends who took part represented and provided positive relational resources they, like their incarcerated loved ones, were also found to experience </w:t>
      </w:r>
      <w:r>
        <w:rPr>
          <w:rFonts w:ascii="Calibri" w:hAnsi="Calibri" w:cs="Calibri"/>
          <w:color w:val="000000"/>
          <w:sz w:val="22"/>
          <w:szCs w:val="22"/>
        </w:rPr>
        <w:lastRenderedPageBreak/>
        <w:t>barriers to social capital access</w:t>
      </w:r>
      <w:r w:rsidR="00457355">
        <w:rPr>
          <w:rFonts w:ascii="Calibri" w:hAnsi="Calibri" w:cs="Calibri"/>
          <w:color w:val="000000"/>
          <w:sz w:val="22"/>
          <w:szCs w:val="22"/>
        </w:rPr>
        <w:t>,</w:t>
      </w:r>
      <w:r>
        <w:rPr>
          <w:rFonts w:ascii="Calibri" w:hAnsi="Calibri" w:cs="Calibri"/>
          <w:color w:val="000000"/>
          <w:sz w:val="22"/>
          <w:szCs w:val="22"/>
        </w:rPr>
        <w:t xml:space="preserve"> as a result of internalised stigma associated with incarceration (Best, Musgrove and Hall, 2018; Wolff and Draine, 2004). </w:t>
      </w:r>
      <w:r w:rsidR="005004C5">
        <w:rPr>
          <w:rFonts w:ascii="Calibri" w:hAnsi="Calibri" w:cs="Calibri"/>
          <w:color w:val="000000"/>
          <w:sz w:val="22"/>
          <w:szCs w:val="22"/>
        </w:rPr>
        <w:t>T</w:t>
      </w:r>
      <w:r>
        <w:rPr>
          <w:rFonts w:ascii="Calibri" w:hAnsi="Calibri" w:cs="Calibri"/>
          <w:color w:val="000000"/>
          <w:sz w:val="22"/>
          <w:szCs w:val="22"/>
        </w:rPr>
        <w:t xml:space="preserve">he process of engaging with external organisations </w:t>
      </w:r>
      <w:r w:rsidR="00457355">
        <w:rPr>
          <w:rFonts w:ascii="Calibri" w:hAnsi="Calibri" w:cs="Calibri"/>
          <w:color w:val="000000"/>
          <w:sz w:val="22"/>
          <w:szCs w:val="22"/>
        </w:rPr>
        <w:t>helped</w:t>
      </w:r>
      <w:r>
        <w:rPr>
          <w:rFonts w:ascii="Calibri" w:hAnsi="Calibri" w:cs="Calibri"/>
          <w:color w:val="000000"/>
          <w:sz w:val="22"/>
          <w:szCs w:val="22"/>
        </w:rPr>
        <w:t xml:space="preserve"> to build the families’ and friends’ confidence to approach </w:t>
      </w:r>
      <w:r w:rsidR="005004C5">
        <w:rPr>
          <w:rFonts w:ascii="Calibri" w:hAnsi="Calibri" w:cs="Calibri"/>
          <w:color w:val="000000"/>
          <w:sz w:val="22"/>
          <w:szCs w:val="22"/>
        </w:rPr>
        <w:t xml:space="preserve">local community </w:t>
      </w:r>
      <w:r>
        <w:rPr>
          <w:rFonts w:ascii="Calibri" w:hAnsi="Calibri" w:cs="Calibri"/>
          <w:color w:val="000000"/>
          <w:sz w:val="22"/>
          <w:szCs w:val="22"/>
        </w:rPr>
        <w:t xml:space="preserve">groups </w:t>
      </w:r>
      <w:r w:rsidR="00D83440">
        <w:rPr>
          <w:rFonts w:ascii="Calibri" w:hAnsi="Calibri" w:cs="Calibri"/>
          <w:color w:val="000000"/>
          <w:sz w:val="22"/>
          <w:szCs w:val="22"/>
        </w:rPr>
        <w:t xml:space="preserve">and </w:t>
      </w:r>
      <w:r>
        <w:rPr>
          <w:rFonts w:ascii="Calibri" w:hAnsi="Calibri" w:cs="Calibri"/>
          <w:color w:val="000000"/>
          <w:sz w:val="22"/>
          <w:szCs w:val="22"/>
        </w:rPr>
        <w:t xml:space="preserve">demonstrated the importance of reciprocity and linking capital </w:t>
      </w:r>
      <w:r w:rsidR="00527115">
        <w:rPr>
          <w:rFonts w:ascii="Calibri" w:hAnsi="Calibri" w:cs="Calibri"/>
          <w:color w:val="000000"/>
          <w:sz w:val="22"/>
          <w:szCs w:val="22"/>
        </w:rPr>
        <w:t>for</w:t>
      </w:r>
      <w:r>
        <w:rPr>
          <w:rFonts w:ascii="Calibri" w:hAnsi="Calibri" w:cs="Calibri"/>
          <w:color w:val="000000"/>
          <w:sz w:val="22"/>
          <w:szCs w:val="22"/>
        </w:rPr>
        <w:t xml:space="preserve"> strengthening positive cultural capital in an otherwise bound institution. One</w:t>
      </w:r>
      <w:r w:rsidRPr="00DD2D30">
        <w:rPr>
          <w:rFonts w:ascii="Calibri" w:hAnsi="Calibri" w:cs="Calibri"/>
          <w:color w:val="000000"/>
          <w:sz w:val="22"/>
          <w:szCs w:val="22"/>
        </w:rPr>
        <w:t xml:space="preserve"> </w:t>
      </w:r>
      <w:r>
        <w:rPr>
          <w:rFonts w:ascii="Calibri" w:hAnsi="Calibri" w:cs="Calibri"/>
          <w:color w:val="000000"/>
          <w:sz w:val="22"/>
          <w:szCs w:val="22"/>
        </w:rPr>
        <w:t>family member participant</w:t>
      </w:r>
      <w:r w:rsidRPr="00DD2D30">
        <w:rPr>
          <w:rFonts w:ascii="Calibri" w:hAnsi="Calibri" w:cs="Calibri"/>
          <w:color w:val="000000"/>
          <w:sz w:val="22"/>
          <w:szCs w:val="22"/>
        </w:rPr>
        <w:t xml:space="preserve"> described</w:t>
      </w:r>
      <w:r w:rsidR="00457355">
        <w:rPr>
          <w:rFonts w:ascii="Calibri" w:hAnsi="Calibri" w:cs="Calibri"/>
          <w:color w:val="000000"/>
          <w:sz w:val="22"/>
          <w:szCs w:val="22"/>
        </w:rPr>
        <w:t>,</w:t>
      </w:r>
      <w:r>
        <w:rPr>
          <w:rFonts w:ascii="Calibri" w:hAnsi="Calibri" w:cs="Calibri"/>
          <w:color w:val="000000"/>
          <w:sz w:val="22"/>
          <w:szCs w:val="22"/>
        </w:rPr>
        <w:t xml:space="preserve"> for example</w:t>
      </w:r>
      <w:r w:rsidR="00457355">
        <w:rPr>
          <w:rFonts w:ascii="Calibri" w:hAnsi="Calibri" w:cs="Calibri"/>
          <w:color w:val="000000"/>
          <w:sz w:val="22"/>
          <w:szCs w:val="22"/>
        </w:rPr>
        <w:t>,</w:t>
      </w:r>
      <w:r w:rsidRPr="00DD2D30">
        <w:rPr>
          <w:rFonts w:ascii="Calibri" w:hAnsi="Calibri" w:cs="Calibri"/>
          <w:color w:val="000000"/>
          <w:sz w:val="22"/>
          <w:szCs w:val="22"/>
        </w:rPr>
        <w:t xml:space="preserve"> how their honesty with potential groups</w:t>
      </w:r>
      <w:r>
        <w:rPr>
          <w:rFonts w:ascii="Calibri" w:hAnsi="Calibri" w:cs="Calibri"/>
          <w:color w:val="000000"/>
          <w:sz w:val="22"/>
          <w:szCs w:val="22"/>
        </w:rPr>
        <w:t xml:space="preserve"> </w:t>
      </w:r>
      <w:r w:rsidRPr="00DD2D30">
        <w:rPr>
          <w:rFonts w:ascii="Calibri" w:hAnsi="Calibri" w:cs="Calibri"/>
          <w:color w:val="000000"/>
          <w:sz w:val="22"/>
          <w:szCs w:val="22"/>
        </w:rPr>
        <w:t>and organisations</w:t>
      </w:r>
      <w:r>
        <w:rPr>
          <w:rFonts w:ascii="Calibri" w:hAnsi="Calibri" w:cs="Calibri"/>
          <w:color w:val="000000"/>
          <w:sz w:val="22"/>
          <w:szCs w:val="22"/>
        </w:rPr>
        <w:t xml:space="preserve"> (such as running clubs</w:t>
      </w:r>
      <w:r w:rsidR="00457355">
        <w:rPr>
          <w:rFonts w:ascii="Calibri" w:hAnsi="Calibri" w:cs="Calibri"/>
          <w:color w:val="000000"/>
          <w:sz w:val="22"/>
          <w:szCs w:val="22"/>
        </w:rPr>
        <w:t>,</w:t>
      </w:r>
      <w:r>
        <w:rPr>
          <w:rFonts w:ascii="Calibri" w:hAnsi="Calibri" w:cs="Calibri"/>
          <w:color w:val="000000"/>
          <w:sz w:val="22"/>
          <w:szCs w:val="22"/>
        </w:rPr>
        <w:t xml:space="preserve"> hospice volunteer work and food banks)</w:t>
      </w:r>
      <w:r w:rsidRPr="00DD2D30">
        <w:rPr>
          <w:rFonts w:ascii="Calibri" w:hAnsi="Calibri" w:cs="Calibri"/>
          <w:color w:val="000000"/>
          <w:sz w:val="22"/>
          <w:szCs w:val="22"/>
        </w:rPr>
        <w:t xml:space="preserve"> about the prisoner </w:t>
      </w:r>
      <w:r>
        <w:rPr>
          <w:rFonts w:ascii="Calibri" w:hAnsi="Calibri" w:cs="Calibri"/>
          <w:color w:val="000000"/>
          <w:sz w:val="22"/>
          <w:szCs w:val="22"/>
        </w:rPr>
        <w:t xml:space="preserve">they wished to link to the group </w:t>
      </w:r>
      <w:r w:rsidRPr="00DD2D30">
        <w:rPr>
          <w:rFonts w:ascii="Calibri" w:hAnsi="Calibri" w:cs="Calibri"/>
          <w:color w:val="000000"/>
          <w:sz w:val="22"/>
          <w:szCs w:val="22"/>
        </w:rPr>
        <w:t>was met supportively</w:t>
      </w:r>
      <w:r>
        <w:rPr>
          <w:rFonts w:ascii="Calibri" w:hAnsi="Calibri" w:cs="Calibri"/>
          <w:color w:val="000000"/>
          <w:sz w:val="22"/>
          <w:szCs w:val="22"/>
        </w:rPr>
        <w:t>,</w:t>
      </w:r>
      <w:r w:rsidRPr="00DD2D30">
        <w:rPr>
          <w:rFonts w:ascii="Calibri" w:hAnsi="Calibri" w:cs="Calibri"/>
          <w:color w:val="000000"/>
          <w:sz w:val="22"/>
          <w:szCs w:val="22"/>
        </w:rPr>
        <w:t xml:space="preserve"> which </w:t>
      </w:r>
      <w:r>
        <w:rPr>
          <w:rFonts w:ascii="Calibri" w:hAnsi="Calibri" w:cs="Calibri"/>
          <w:color w:val="000000"/>
          <w:sz w:val="22"/>
          <w:szCs w:val="22"/>
        </w:rPr>
        <w:t xml:space="preserve">was unexpected </w:t>
      </w:r>
      <w:r w:rsidRPr="00DD2D30">
        <w:rPr>
          <w:rFonts w:ascii="Calibri" w:hAnsi="Calibri" w:cs="Calibri"/>
          <w:color w:val="000000"/>
          <w:sz w:val="22"/>
          <w:szCs w:val="22"/>
        </w:rPr>
        <w:t>due to the stigma they ha</w:t>
      </w:r>
      <w:r>
        <w:rPr>
          <w:rFonts w:ascii="Calibri" w:hAnsi="Calibri" w:cs="Calibri"/>
          <w:color w:val="000000"/>
          <w:sz w:val="22"/>
          <w:szCs w:val="22"/>
        </w:rPr>
        <w:t>d previously</w:t>
      </w:r>
      <w:r w:rsidRPr="00DD2D30">
        <w:rPr>
          <w:rFonts w:ascii="Calibri" w:hAnsi="Calibri" w:cs="Calibri"/>
          <w:color w:val="000000"/>
          <w:sz w:val="22"/>
          <w:szCs w:val="22"/>
        </w:rPr>
        <w:t xml:space="preserve"> e</w:t>
      </w:r>
      <w:r>
        <w:rPr>
          <w:rFonts w:ascii="Calibri" w:hAnsi="Calibri" w:cs="Calibri"/>
          <w:color w:val="000000"/>
          <w:sz w:val="22"/>
          <w:szCs w:val="22"/>
        </w:rPr>
        <w:t>ncountered (Hall et al., 2018)</w:t>
      </w:r>
      <w:r w:rsidRPr="00DD2D30">
        <w:rPr>
          <w:rFonts w:ascii="Calibri" w:hAnsi="Calibri" w:cs="Calibri"/>
          <w:color w:val="000000"/>
          <w:sz w:val="22"/>
          <w:szCs w:val="22"/>
        </w:rPr>
        <w:t>.</w:t>
      </w:r>
      <w:r>
        <w:rPr>
          <w:rFonts w:ascii="Calibri" w:hAnsi="Calibri" w:cs="Calibri"/>
          <w:color w:val="000000"/>
          <w:sz w:val="22"/>
          <w:szCs w:val="22"/>
        </w:rPr>
        <w:t xml:space="preserve"> This evidences how relational capital can be protective against the stigma</w:t>
      </w:r>
      <w:r w:rsidR="005004C5">
        <w:rPr>
          <w:rFonts w:ascii="Calibri" w:hAnsi="Calibri" w:cs="Calibri"/>
          <w:color w:val="000000"/>
          <w:sz w:val="22"/>
          <w:szCs w:val="22"/>
        </w:rPr>
        <w:t xml:space="preserve"> of</w:t>
      </w:r>
      <w:r>
        <w:rPr>
          <w:rFonts w:ascii="Calibri" w:hAnsi="Calibri" w:cs="Calibri"/>
          <w:color w:val="000000"/>
          <w:sz w:val="22"/>
          <w:szCs w:val="22"/>
        </w:rPr>
        <w:t xml:space="preserve"> association</w:t>
      </w:r>
      <w:r w:rsidR="005004C5">
        <w:rPr>
          <w:rFonts w:ascii="Calibri" w:hAnsi="Calibri" w:cs="Calibri"/>
          <w:color w:val="000000"/>
          <w:sz w:val="22"/>
          <w:szCs w:val="22"/>
        </w:rPr>
        <w:t xml:space="preserve"> with prisoners which is a significant problem for family members</w:t>
      </w:r>
      <w:r>
        <w:rPr>
          <w:rFonts w:ascii="Calibri" w:hAnsi="Calibri" w:cs="Calibri"/>
          <w:color w:val="000000"/>
          <w:sz w:val="22"/>
          <w:szCs w:val="22"/>
        </w:rPr>
        <w:t xml:space="preserve"> (Codd, 2008).</w:t>
      </w:r>
      <w:r w:rsidRPr="00DD2D30">
        <w:rPr>
          <w:rFonts w:ascii="Calibri" w:hAnsi="Calibri" w:cs="Calibri"/>
          <w:color w:val="000000"/>
          <w:sz w:val="22"/>
          <w:szCs w:val="22"/>
        </w:rPr>
        <w:t xml:space="preserve"> </w:t>
      </w:r>
      <w:r>
        <w:rPr>
          <w:rFonts w:ascii="Calibri" w:hAnsi="Calibri" w:cs="Calibri"/>
          <w:color w:val="000000"/>
          <w:sz w:val="22"/>
          <w:szCs w:val="22"/>
        </w:rPr>
        <w:t xml:space="preserve">Feedback from another family member also exemplifies the empowerment they experienced </w:t>
      </w:r>
      <w:r w:rsidR="005004C5">
        <w:rPr>
          <w:rFonts w:ascii="Calibri" w:hAnsi="Calibri" w:cs="Calibri"/>
          <w:color w:val="000000"/>
          <w:sz w:val="22"/>
          <w:szCs w:val="22"/>
        </w:rPr>
        <w:t xml:space="preserve">feeling </w:t>
      </w:r>
      <w:r w:rsidRPr="00337D2A">
        <w:rPr>
          <w:rFonts w:ascii="Calibri" w:hAnsi="Calibri" w:cs="Calibri"/>
          <w:color w:val="000000"/>
          <w:sz w:val="22"/>
          <w:szCs w:val="22"/>
        </w:rPr>
        <w:t>‘like a small cog in the big picture</w:t>
      </w:r>
      <w:r>
        <w:rPr>
          <w:rFonts w:ascii="Calibri" w:hAnsi="Calibri" w:cs="Calibri"/>
          <w:color w:val="000000"/>
          <w:sz w:val="22"/>
          <w:szCs w:val="22"/>
        </w:rPr>
        <w:t xml:space="preserve"> </w:t>
      </w:r>
      <w:r w:rsidRPr="00337D2A">
        <w:rPr>
          <w:rFonts w:ascii="Calibri" w:hAnsi="Calibri" w:cs="Calibri"/>
          <w:color w:val="000000"/>
          <w:sz w:val="22"/>
          <w:szCs w:val="22"/>
        </w:rPr>
        <w:t>of someone else’s life. Every person counts and has a value’</w:t>
      </w:r>
      <w:r>
        <w:rPr>
          <w:rFonts w:ascii="Calibri" w:hAnsi="Calibri" w:cs="Calibri"/>
          <w:color w:val="000000"/>
          <w:sz w:val="22"/>
          <w:szCs w:val="22"/>
        </w:rPr>
        <w:t xml:space="preserve"> (Hall et al., 2018, p.11)</w:t>
      </w:r>
      <w:r w:rsidRPr="00337D2A">
        <w:rPr>
          <w:rFonts w:ascii="Calibri" w:hAnsi="Calibri" w:cs="Calibri"/>
          <w:color w:val="000000"/>
          <w:sz w:val="22"/>
          <w:szCs w:val="22"/>
        </w:rPr>
        <w:t>.</w:t>
      </w:r>
      <w:r>
        <w:rPr>
          <w:rFonts w:ascii="Calibri" w:hAnsi="Calibri" w:cs="Calibri"/>
          <w:color w:val="000000"/>
          <w:sz w:val="22"/>
          <w:szCs w:val="22"/>
        </w:rPr>
        <w:t xml:space="preserve"> </w:t>
      </w:r>
    </w:p>
    <w:p w14:paraId="69148637" w14:textId="6DA4D3F6" w:rsidR="00B82F88" w:rsidRPr="00B82F88" w:rsidRDefault="00B82F88" w:rsidP="00227DF0">
      <w:pPr>
        <w:pStyle w:val="NormalWeb"/>
        <w:shd w:val="clear" w:color="auto" w:fill="FFFFFF"/>
        <w:spacing w:line="480" w:lineRule="auto"/>
        <w:rPr>
          <w:rFonts w:ascii="Calibri" w:hAnsi="Calibri" w:cs="Calibri"/>
          <w:color w:val="000000"/>
          <w:sz w:val="22"/>
          <w:szCs w:val="22"/>
        </w:rPr>
      </w:pPr>
      <w:r>
        <w:rPr>
          <w:rFonts w:ascii="Calibri" w:hAnsi="Calibri" w:cs="Calibri"/>
          <w:color w:val="000000"/>
          <w:sz w:val="22"/>
          <w:szCs w:val="22"/>
        </w:rPr>
        <w:t xml:space="preserve">The importance of </w:t>
      </w:r>
      <w:r w:rsidR="005004C5">
        <w:rPr>
          <w:rFonts w:ascii="Calibri" w:hAnsi="Calibri" w:cs="Calibri"/>
          <w:color w:val="000000"/>
          <w:sz w:val="22"/>
          <w:szCs w:val="22"/>
        </w:rPr>
        <w:t xml:space="preserve">lack of barriers to </w:t>
      </w:r>
      <w:r>
        <w:rPr>
          <w:rFonts w:ascii="Calibri" w:hAnsi="Calibri" w:cs="Calibri"/>
          <w:color w:val="000000"/>
          <w:sz w:val="22"/>
          <w:szCs w:val="22"/>
        </w:rPr>
        <w:t xml:space="preserve">cultural and relational capital within an organisation was </w:t>
      </w:r>
      <w:r w:rsidR="005004C5">
        <w:rPr>
          <w:rFonts w:ascii="Calibri" w:hAnsi="Calibri" w:cs="Calibri"/>
          <w:color w:val="000000"/>
          <w:sz w:val="22"/>
          <w:szCs w:val="22"/>
        </w:rPr>
        <w:t xml:space="preserve">evident </w:t>
      </w:r>
      <w:r>
        <w:rPr>
          <w:rFonts w:ascii="Calibri" w:hAnsi="Calibri" w:cs="Calibri"/>
          <w:color w:val="000000"/>
          <w:sz w:val="22"/>
          <w:szCs w:val="22"/>
        </w:rPr>
        <w:t xml:space="preserve">in Hall’s (2019) </w:t>
      </w:r>
      <w:r w:rsidR="00457355">
        <w:rPr>
          <w:rFonts w:ascii="Calibri" w:hAnsi="Calibri" w:cs="Calibri"/>
          <w:color w:val="000000"/>
          <w:sz w:val="22"/>
          <w:szCs w:val="22"/>
        </w:rPr>
        <w:t>doctoral</w:t>
      </w:r>
      <w:r>
        <w:rPr>
          <w:rFonts w:ascii="Calibri" w:hAnsi="Calibri" w:cs="Calibri"/>
          <w:color w:val="000000"/>
          <w:sz w:val="22"/>
          <w:szCs w:val="22"/>
        </w:rPr>
        <w:t xml:space="preserve"> research with Jobs, Friends and Houses (JFH), a social enterprise </w:t>
      </w:r>
      <w:r w:rsidR="005004C5">
        <w:rPr>
          <w:rFonts w:ascii="Calibri" w:hAnsi="Calibri" w:cs="Calibri"/>
          <w:color w:val="000000"/>
          <w:sz w:val="22"/>
          <w:szCs w:val="22"/>
        </w:rPr>
        <w:t>that</w:t>
      </w:r>
      <w:r>
        <w:rPr>
          <w:rFonts w:ascii="Calibri" w:hAnsi="Calibri" w:cs="Calibri"/>
          <w:color w:val="000000"/>
          <w:sz w:val="22"/>
          <w:szCs w:val="22"/>
        </w:rPr>
        <w:t xml:space="preserve"> enrolled </w:t>
      </w:r>
      <w:r w:rsidR="005004C5">
        <w:rPr>
          <w:rFonts w:ascii="Calibri" w:hAnsi="Calibri" w:cs="Calibri"/>
          <w:color w:val="000000"/>
          <w:sz w:val="22"/>
          <w:szCs w:val="22"/>
        </w:rPr>
        <w:t xml:space="preserve">released prisoners with addiction histories </w:t>
      </w:r>
      <w:r>
        <w:rPr>
          <w:rFonts w:ascii="Calibri" w:hAnsi="Calibri" w:cs="Calibri"/>
          <w:color w:val="000000"/>
          <w:sz w:val="22"/>
          <w:szCs w:val="22"/>
        </w:rPr>
        <w:t xml:space="preserve">as apprentices, upskilled and </w:t>
      </w:r>
      <w:r w:rsidR="00261BE7">
        <w:rPr>
          <w:rFonts w:ascii="Calibri" w:hAnsi="Calibri" w:cs="Calibri"/>
          <w:color w:val="000000"/>
          <w:sz w:val="22"/>
          <w:szCs w:val="22"/>
        </w:rPr>
        <w:t xml:space="preserve">provided full-time </w:t>
      </w:r>
      <w:r>
        <w:rPr>
          <w:rFonts w:ascii="Calibri" w:hAnsi="Calibri" w:cs="Calibri"/>
          <w:color w:val="000000"/>
          <w:sz w:val="22"/>
          <w:szCs w:val="22"/>
        </w:rPr>
        <w:t>employ</w:t>
      </w:r>
      <w:r w:rsidR="00261BE7">
        <w:rPr>
          <w:rFonts w:ascii="Calibri" w:hAnsi="Calibri" w:cs="Calibri"/>
          <w:color w:val="000000"/>
          <w:sz w:val="22"/>
          <w:szCs w:val="22"/>
        </w:rPr>
        <w:t>ment.</w:t>
      </w:r>
      <w:r>
        <w:rPr>
          <w:rFonts w:ascii="Calibri" w:hAnsi="Calibri" w:cs="Calibri"/>
          <w:color w:val="000000"/>
          <w:sz w:val="22"/>
          <w:szCs w:val="22"/>
        </w:rPr>
        <w:t xml:space="preserve">. The organisation developed a strong social identity, which helped employees </w:t>
      </w:r>
      <w:r w:rsidR="005004C5">
        <w:rPr>
          <w:rFonts w:ascii="Calibri" w:hAnsi="Calibri" w:cs="Calibri"/>
          <w:color w:val="000000"/>
          <w:sz w:val="22"/>
          <w:szCs w:val="22"/>
        </w:rPr>
        <w:t>achieve</w:t>
      </w:r>
      <w:r>
        <w:rPr>
          <w:rFonts w:ascii="Calibri" w:hAnsi="Calibri" w:cs="Calibri"/>
          <w:color w:val="000000"/>
          <w:sz w:val="22"/>
          <w:szCs w:val="22"/>
        </w:rPr>
        <w:t xml:space="preserve"> tertiary </w:t>
      </w:r>
      <w:r w:rsidR="00261BE7">
        <w:rPr>
          <w:rFonts w:ascii="Calibri" w:hAnsi="Calibri" w:cs="Calibri"/>
          <w:color w:val="000000"/>
          <w:sz w:val="22"/>
          <w:szCs w:val="22"/>
        </w:rPr>
        <w:t xml:space="preserve">(relational) </w:t>
      </w:r>
      <w:r>
        <w:rPr>
          <w:rFonts w:ascii="Calibri" w:hAnsi="Calibri" w:cs="Calibri"/>
          <w:color w:val="000000"/>
          <w:sz w:val="22"/>
          <w:szCs w:val="22"/>
        </w:rPr>
        <w:t>desistance by creating a positive visible presence</w:t>
      </w:r>
      <w:r w:rsidR="00457355">
        <w:rPr>
          <w:rFonts w:ascii="Calibri" w:hAnsi="Calibri" w:cs="Calibri"/>
          <w:color w:val="000000"/>
          <w:sz w:val="22"/>
          <w:szCs w:val="22"/>
        </w:rPr>
        <w:t>,</w:t>
      </w:r>
      <w:r>
        <w:rPr>
          <w:rFonts w:ascii="Calibri" w:hAnsi="Calibri" w:cs="Calibri"/>
          <w:color w:val="000000"/>
          <w:sz w:val="22"/>
          <w:szCs w:val="22"/>
        </w:rPr>
        <w:t xml:space="preserve"> through working to a high standard in the local community</w:t>
      </w:r>
      <w:r w:rsidR="00DE0559">
        <w:rPr>
          <w:rFonts w:ascii="Calibri" w:hAnsi="Calibri" w:cs="Calibri"/>
          <w:color w:val="000000"/>
          <w:sz w:val="22"/>
          <w:szCs w:val="22"/>
        </w:rPr>
        <w:t>,</w:t>
      </w:r>
      <w:r>
        <w:rPr>
          <w:rFonts w:ascii="Calibri" w:hAnsi="Calibri" w:cs="Calibri"/>
          <w:color w:val="000000"/>
          <w:sz w:val="22"/>
          <w:szCs w:val="22"/>
        </w:rPr>
        <w:t xml:space="preserve"> wearing uniforms and using work equipment with visible logos (Best, 2016). JFH participants who were interviewed (n=5) and completed social identity maps (n=13) described JFH as </w:t>
      </w:r>
      <w:r w:rsidR="005004C5">
        <w:rPr>
          <w:rFonts w:ascii="Calibri" w:hAnsi="Calibri" w:cs="Calibri"/>
          <w:color w:val="000000"/>
          <w:sz w:val="22"/>
          <w:szCs w:val="22"/>
        </w:rPr>
        <w:t>‘</w:t>
      </w:r>
      <w:r>
        <w:rPr>
          <w:rFonts w:ascii="Calibri" w:hAnsi="Calibri" w:cs="Calibri"/>
          <w:color w:val="000000"/>
          <w:sz w:val="22"/>
          <w:szCs w:val="22"/>
        </w:rPr>
        <w:t>like a family</w:t>
      </w:r>
      <w:r w:rsidR="005004C5">
        <w:rPr>
          <w:rFonts w:ascii="Calibri" w:hAnsi="Calibri" w:cs="Calibri"/>
          <w:color w:val="000000"/>
          <w:sz w:val="22"/>
          <w:szCs w:val="22"/>
        </w:rPr>
        <w:t>’</w:t>
      </w:r>
      <w:r>
        <w:rPr>
          <w:rFonts w:ascii="Calibri" w:hAnsi="Calibri" w:cs="Calibri"/>
          <w:color w:val="000000"/>
          <w:sz w:val="22"/>
          <w:szCs w:val="22"/>
        </w:rPr>
        <w:t xml:space="preserve">, providing relational supports beyond what is usually experienced in and outside a workplace, and fostering an identity that was understanding and supporting of </w:t>
      </w:r>
      <w:r w:rsidR="00DE0559">
        <w:rPr>
          <w:rFonts w:ascii="Calibri" w:hAnsi="Calibri" w:cs="Calibri"/>
          <w:color w:val="000000"/>
          <w:sz w:val="22"/>
          <w:szCs w:val="22"/>
        </w:rPr>
        <w:t xml:space="preserve">the </w:t>
      </w:r>
      <w:r>
        <w:rPr>
          <w:rFonts w:ascii="Calibri" w:hAnsi="Calibri" w:cs="Calibri"/>
          <w:color w:val="000000"/>
          <w:sz w:val="22"/>
          <w:szCs w:val="22"/>
        </w:rPr>
        <w:t xml:space="preserve">recovery and desistance processes (Hall, 2019). </w:t>
      </w:r>
      <w:r w:rsidR="00DE0559">
        <w:rPr>
          <w:rFonts w:ascii="Calibri" w:hAnsi="Calibri" w:cs="Calibri"/>
          <w:color w:val="000000"/>
          <w:sz w:val="22"/>
          <w:szCs w:val="22"/>
        </w:rPr>
        <w:t>Unfortunately, s</w:t>
      </w:r>
      <w:r>
        <w:rPr>
          <w:rFonts w:ascii="Calibri" w:hAnsi="Calibri" w:cs="Calibri"/>
          <w:color w:val="000000"/>
          <w:sz w:val="22"/>
          <w:szCs w:val="22"/>
        </w:rPr>
        <w:t>tructural changes within the enterprise</w:t>
      </w:r>
      <w:r w:rsidR="005004C5">
        <w:rPr>
          <w:rFonts w:ascii="Calibri" w:hAnsi="Calibri" w:cs="Calibri"/>
          <w:color w:val="000000"/>
          <w:sz w:val="22"/>
          <w:szCs w:val="22"/>
        </w:rPr>
        <w:t xml:space="preserve"> caused</w:t>
      </w:r>
      <w:r>
        <w:rPr>
          <w:rFonts w:ascii="Calibri" w:hAnsi="Calibri" w:cs="Calibri"/>
          <w:color w:val="000000"/>
          <w:sz w:val="22"/>
          <w:szCs w:val="22"/>
        </w:rPr>
        <w:t xml:space="preserve"> manage</w:t>
      </w:r>
      <w:r w:rsidR="005004C5">
        <w:rPr>
          <w:rFonts w:ascii="Calibri" w:hAnsi="Calibri" w:cs="Calibri"/>
          <w:color w:val="000000"/>
          <w:sz w:val="22"/>
          <w:szCs w:val="22"/>
        </w:rPr>
        <w:t>ment</w:t>
      </w:r>
      <w:r>
        <w:rPr>
          <w:rFonts w:ascii="Calibri" w:hAnsi="Calibri" w:cs="Calibri"/>
          <w:color w:val="000000"/>
          <w:sz w:val="22"/>
          <w:szCs w:val="22"/>
        </w:rPr>
        <w:t xml:space="preserve"> problems resulting in staff member redundancies and </w:t>
      </w:r>
      <w:r w:rsidR="005004C5">
        <w:rPr>
          <w:rFonts w:ascii="Calibri" w:hAnsi="Calibri" w:cs="Calibri"/>
          <w:color w:val="000000"/>
          <w:sz w:val="22"/>
          <w:szCs w:val="22"/>
        </w:rPr>
        <w:t>scaling back</w:t>
      </w:r>
      <w:r>
        <w:rPr>
          <w:rFonts w:ascii="Calibri" w:hAnsi="Calibri" w:cs="Calibri"/>
          <w:color w:val="000000"/>
          <w:sz w:val="22"/>
          <w:szCs w:val="22"/>
        </w:rPr>
        <w:t xml:space="preserve"> of the social enterprise. During this time, a participant described how </w:t>
      </w:r>
      <w:r w:rsidR="00DE0559">
        <w:rPr>
          <w:rFonts w:ascii="Calibri" w:hAnsi="Calibri" w:cs="Calibri"/>
          <w:color w:val="000000"/>
          <w:sz w:val="22"/>
          <w:szCs w:val="22"/>
        </w:rPr>
        <w:t>JFH ‘</w:t>
      </w:r>
      <w:r w:rsidRPr="00D2264D">
        <w:rPr>
          <w:rFonts w:ascii="Calibri" w:hAnsi="Calibri" w:cs="Calibri"/>
          <w:color w:val="000000"/>
          <w:sz w:val="22"/>
          <w:szCs w:val="22"/>
        </w:rPr>
        <w:t>was more of a family unit then, but now it</w:t>
      </w:r>
      <w:r w:rsidR="00DE0559">
        <w:rPr>
          <w:rFonts w:ascii="Calibri" w:hAnsi="Calibri" w:cs="Calibri"/>
          <w:color w:val="000000"/>
          <w:sz w:val="22"/>
          <w:szCs w:val="22"/>
        </w:rPr>
        <w:t>’</w:t>
      </w:r>
      <w:r w:rsidRPr="00D2264D">
        <w:rPr>
          <w:rFonts w:ascii="Calibri" w:hAnsi="Calibri" w:cs="Calibri"/>
          <w:color w:val="000000"/>
          <w:sz w:val="22"/>
          <w:szCs w:val="22"/>
        </w:rPr>
        <w:t>s more of, like, a corporation</w:t>
      </w:r>
      <w:r w:rsidR="00DE0559">
        <w:rPr>
          <w:rFonts w:ascii="Calibri" w:hAnsi="Calibri" w:cs="Calibri"/>
          <w:color w:val="000000"/>
          <w:sz w:val="22"/>
          <w:szCs w:val="22"/>
        </w:rPr>
        <w:t>’</w:t>
      </w:r>
      <w:r>
        <w:rPr>
          <w:rFonts w:ascii="Calibri" w:hAnsi="Calibri" w:cs="Calibri"/>
          <w:color w:val="000000"/>
          <w:sz w:val="22"/>
          <w:szCs w:val="22"/>
        </w:rPr>
        <w:t xml:space="preserve"> (Hall, 2019, p. 129)</w:t>
      </w:r>
      <w:r w:rsidR="00DE0559">
        <w:rPr>
          <w:rFonts w:ascii="Calibri" w:hAnsi="Calibri" w:cs="Calibri"/>
          <w:color w:val="000000"/>
          <w:sz w:val="22"/>
          <w:szCs w:val="22"/>
        </w:rPr>
        <w:t xml:space="preserve">. The same participant also </w:t>
      </w:r>
      <w:r w:rsidR="00DE0559">
        <w:rPr>
          <w:rFonts w:ascii="Calibri" w:hAnsi="Calibri" w:cs="Calibri"/>
          <w:color w:val="000000"/>
          <w:sz w:val="22"/>
          <w:szCs w:val="22"/>
        </w:rPr>
        <w:lastRenderedPageBreak/>
        <w:t>described the</w:t>
      </w:r>
      <w:r w:rsidRPr="00424445">
        <w:rPr>
          <w:rFonts w:ascii="Calibri" w:hAnsi="Calibri" w:cs="Calibri"/>
          <w:color w:val="000000"/>
          <w:sz w:val="22"/>
          <w:szCs w:val="22"/>
        </w:rPr>
        <w:t xml:space="preserve"> lack of communication a</w:t>
      </w:r>
      <w:r w:rsidR="00DE0559">
        <w:rPr>
          <w:rFonts w:ascii="Calibri" w:hAnsi="Calibri" w:cs="Calibri"/>
          <w:color w:val="000000"/>
          <w:sz w:val="22"/>
          <w:szCs w:val="22"/>
        </w:rPr>
        <w:t>s</w:t>
      </w:r>
      <w:r w:rsidRPr="00424445">
        <w:rPr>
          <w:rFonts w:ascii="Calibri" w:hAnsi="Calibri" w:cs="Calibri"/>
          <w:color w:val="000000"/>
          <w:sz w:val="22"/>
          <w:szCs w:val="22"/>
        </w:rPr>
        <w:t xml:space="preserve"> foster</w:t>
      </w:r>
      <w:r w:rsidR="00DE0559">
        <w:rPr>
          <w:rFonts w:ascii="Calibri" w:hAnsi="Calibri" w:cs="Calibri"/>
          <w:color w:val="000000"/>
          <w:sz w:val="22"/>
          <w:szCs w:val="22"/>
        </w:rPr>
        <w:t>ing</w:t>
      </w:r>
      <w:r w:rsidRPr="00424445">
        <w:rPr>
          <w:rFonts w:ascii="Calibri" w:hAnsi="Calibri" w:cs="Calibri"/>
          <w:color w:val="000000"/>
          <w:sz w:val="22"/>
          <w:szCs w:val="22"/>
        </w:rPr>
        <w:t xml:space="preserve"> mistrust, </w:t>
      </w:r>
      <w:r>
        <w:rPr>
          <w:rFonts w:ascii="Calibri" w:hAnsi="Calibri" w:cs="Calibri"/>
          <w:color w:val="000000"/>
          <w:sz w:val="22"/>
          <w:szCs w:val="22"/>
        </w:rPr>
        <w:t>as a result of</w:t>
      </w:r>
      <w:r w:rsidRPr="00424445">
        <w:rPr>
          <w:rFonts w:ascii="Calibri" w:hAnsi="Calibri" w:cs="Calibri"/>
          <w:color w:val="000000"/>
          <w:sz w:val="22"/>
          <w:szCs w:val="22"/>
        </w:rPr>
        <w:t xml:space="preserve"> witnessing perceived injustice: </w:t>
      </w:r>
      <w:r w:rsidR="00DE0559">
        <w:rPr>
          <w:rFonts w:ascii="Calibri" w:hAnsi="Calibri" w:cs="Calibri"/>
          <w:color w:val="000000"/>
          <w:sz w:val="22"/>
          <w:szCs w:val="22"/>
        </w:rPr>
        <w:t>‘</w:t>
      </w:r>
      <w:r w:rsidRPr="00424445">
        <w:rPr>
          <w:rFonts w:ascii="Calibri" w:hAnsi="Calibri" w:cs="Calibri"/>
          <w:color w:val="000000"/>
          <w:sz w:val="22"/>
          <w:szCs w:val="22"/>
        </w:rPr>
        <w:t>Getting all those volunteers manipulated for like months and then never got paid or got sacked</w:t>
      </w:r>
      <w:r w:rsidR="00DE0559">
        <w:rPr>
          <w:rFonts w:ascii="Calibri" w:hAnsi="Calibri" w:cs="Calibri"/>
          <w:color w:val="000000"/>
          <w:sz w:val="22"/>
          <w:szCs w:val="22"/>
        </w:rPr>
        <w:t>’</w:t>
      </w:r>
      <w:r>
        <w:rPr>
          <w:rFonts w:ascii="Calibri" w:hAnsi="Calibri" w:cs="Calibri"/>
          <w:color w:val="000000"/>
          <w:sz w:val="22"/>
          <w:szCs w:val="22"/>
        </w:rPr>
        <w:t xml:space="preserve"> (Hall, 2019, p. 141</w:t>
      </w:r>
      <w:r>
        <w:rPr>
          <w:rFonts w:ascii="Calibri" w:hAnsi="Calibri" w:cs="Calibri"/>
          <w:color w:val="000000"/>
          <w:sz w:val="22"/>
          <w:szCs w:val="22"/>
        </w:rPr>
        <w:t xml:space="preserve">). The experience of the JFH participants suggests that such structural changes and the </w:t>
      </w:r>
      <w:r w:rsidR="00BD6D4D">
        <w:rPr>
          <w:rFonts w:ascii="Calibri" w:hAnsi="Calibri" w:cs="Calibri"/>
          <w:color w:val="000000"/>
          <w:sz w:val="22"/>
          <w:szCs w:val="22"/>
        </w:rPr>
        <w:t>accumulation</w:t>
      </w:r>
      <w:r>
        <w:rPr>
          <w:rFonts w:ascii="Calibri" w:hAnsi="Calibri" w:cs="Calibri"/>
          <w:color w:val="000000"/>
          <w:sz w:val="22"/>
          <w:szCs w:val="22"/>
        </w:rPr>
        <w:t xml:space="preserve"> of negative cultural capital within the organisation can have severe implications for the health of the relational capital of the group, and vice versa. </w:t>
      </w:r>
      <w:r w:rsidR="00E8569C">
        <w:rPr>
          <w:rFonts w:ascii="Calibri" w:hAnsi="Calibri" w:cs="Calibri"/>
          <w:color w:val="000000"/>
          <w:sz w:val="22"/>
          <w:szCs w:val="22"/>
        </w:rPr>
        <w:t>This shows how justice capital</w:t>
      </w:r>
      <w:r w:rsidR="00261BE7">
        <w:rPr>
          <w:rFonts w:ascii="Calibri" w:hAnsi="Calibri" w:cs="Calibri"/>
          <w:color w:val="000000"/>
          <w:sz w:val="22"/>
          <w:szCs w:val="22"/>
        </w:rPr>
        <w:t>, both personal and institutional,</w:t>
      </w:r>
      <w:r w:rsidR="00F85EC5">
        <w:rPr>
          <w:rFonts w:ascii="Calibri" w:hAnsi="Calibri" w:cs="Calibri"/>
          <w:color w:val="000000"/>
          <w:sz w:val="22"/>
          <w:szCs w:val="22"/>
        </w:rPr>
        <w:t xml:space="preserve"> </w:t>
      </w:r>
      <w:r w:rsidR="00E8569C">
        <w:rPr>
          <w:rFonts w:ascii="Calibri" w:hAnsi="Calibri" w:cs="Calibri"/>
          <w:color w:val="000000"/>
          <w:sz w:val="22"/>
          <w:szCs w:val="22"/>
        </w:rPr>
        <w:t xml:space="preserve">can be reduced </w:t>
      </w:r>
      <w:r w:rsidR="00261BE7">
        <w:rPr>
          <w:rFonts w:ascii="Calibri" w:hAnsi="Calibri" w:cs="Calibri"/>
          <w:color w:val="000000"/>
          <w:sz w:val="22"/>
          <w:szCs w:val="22"/>
        </w:rPr>
        <w:t xml:space="preserve">when there is a </w:t>
      </w:r>
      <w:r w:rsidR="00E8569C">
        <w:rPr>
          <w:rFonts w:ascii="Calibri" w:hAnsi="Calibri" w:cs="Calibri"/>
          <w:color w:val="000000"/>
          <w:sz w:val="22"/>
          <w:szCs w:val="22"/>
        </w:rPr>
        <w:t xml:space="preserve">diversion from shared goals and objectives. </w:t>
      </w:r>
    </w:p>
    <w:p w14:paraId="5ACA1A5C" w14:textId="67646FAA" w:rsidR="00FD3A8E" w:rsidRDefault="0054085D" w:rsidP="00A1072B">
      <w:pPr>
        <w:spacing w:line="480" w:lineRule="auto"/>
      </w:pPr>
      <w:r w:rsidRPr="0054085D">
        <w:rPr>
          <w:b/>
          <w:bCs/>
        </w:rPr>
        <w:t>Negative cultural capital:</w:t>
      </w:r>
      <w:r w:rsidR="00914EA7">
        <w:rPr>
          <w:b/>
          <w:bCs/>
        </w:rPr>
        <w:t xml:space="preserve"> </w:t>
      </w:r>
      <w:r w:rsidR="00914EA7">
        <w:t>This is not simply the absence of positive opportunity</w:t>
      </w:r>
      <w:r w:rsidR="00DE0559">
        <w:t>,</w:t>
      </w:r>
      <w:r w:rsidR="00914EA7">
        <w:t xml:space="preserve"> but a culture of hostility and mistrust</w:t>
      </w:r>
      <w:r w:rsidR="00625338">
        <w:t xml:space="preserve">, </w:t>
      </w:r>
      <w:r w:rsidR="006235E3">
        <w:t>which</w:t>
      </w:r>
      <w:r w:rsidR="00625338">
        <w:t xml:space="preserve"> can act as a barrier to trust and wellbeing</w:t>
      </w:r>
      <w:r w:rsidR="00DE0559">
        <w:t xml:space="preserve">. This is particularly pertinent in the context of Aboriginal and Torres Strait Islanders in the </w:t>
      </w:r>
      <w:r w:rsidR="00DE0559">
        <w:t xml:space="preserve">Australian prison context with which two of the authors are familiar. </w:t>
      </w:r>
      <w:r w:rsidR="00A034AB">
        <w:t xml:space="preserve">In its </w:t>
      </w:r>
      <w:r w:rsidR="00A034AB">
        <w:rPr>
          <w:i/>
        </w:rPr>
        <w:t>Pathways to Justice</w:t>
      </w:r>
      <w:r w:rsidR="00A034AB" w:rsidRPr="00A034AB">
        <w:rPr>
          <w:bCs/>
          <w:i/>
        </w:rPr>
        <w:t xml:space="preserve">—An Inquiry into the Incarceration Rate of Aboriginal and Torres Strait Islander Peoples </w:t>
      </w:r>
      <w:r w:rsidR="00A034AB">
        <w:t xml:space="preserve">report, the Australian Law Reform Commission </w:t>
      </w:r>
      <w:r w:rsidR="00FD3A8E">
        <w:t xml:space="preserve">(2017) </w:t>
      </w:r>
      <w:r w:rsidR="00A034AB">
        <w:t xml:space="preserve">referred to numerous submissions that articulated the </w:t>
      </w:r>
      <w:r w:rsidR="00261BE7">
        <w:t xml:space="preserve">lack of trust </w:t>
      </w:r>
      <w:r w:rsidR="00A034AB">
        <w:t>many Aboriginal and Torres Strait Islander people have towards Australian justice systems.</w:t>
      </w:r>
      <w:r w:rsidR="00A034AB" w:rsidRPr="00A034AB">
        <w:t xml:space="preserve"> </w:t>
      </w:r>
      <w:r w:rsidR="00FD3A8E">
        <w:t>As Blag</w:t>
      </w:r>
      <w:r w:rsidR="00FD3A8E">
        <w:t>g and Anthony have noted, ‘</w:t>
      </w:r>
      <w:r w:rsidR="00FD3A8E" w:rsidRPr="00FD3A8E">
        <w:t xml:space="preserve">Mistrust of mainstream organisations runs deep. From an Indigenous perspective, they maintain the colonial </w:t>
      </w:r>
      <w:r w:rsidR="00FD3A8E">
        <w:t>matrix of power and have devas</w:t>
      </w:r>
      <w:r w:rsidR="00FD3A8E" w:rsidRPr="00FD3A8E">
        <w:t>tated Aboriginal families and communities, removed children and destroyed family life</w:t>
      </w:r>
      <w:r w:rsidR="00FD3A8E">
        <w:t>’ (2019, p. 228</w:t>
      </w:r>
      <w:r w:rsidR="00261BE7">
        <w:t xml:space="preserve">; </w:t>
      </w:r>
      <w:r w:rsidR="004E1B77">
        <w:t>see also</w:t>
      </w:r>
      <w:r w:rsidR="00261BE7">
        <w:t xml:space="preserve"> Hamilton</w:t>
      </w:r>
      <w:r w:rsidR="00FA058E">
        <w:t xml:space="preserve"> et al., 2020c</w:t>
      </w:r>
      <w:r w:rsidR="00FD3A8E">
        <w:t>)</w:t>
      </w:r>
      <w:r w:rsidR="00FD3A8E" w:rsidRPr="00FD3A8E">
        <w:t>.</w:t>
      </w:r>
    </w:p>
    <w:p w14:paraId="68952783" w14:textId="201EEC97" w:rsidR="0054085D" w:rsidRPr="00914EA7" w:rsidRDefault="00FD3A8E" w:rsidP="00A1072B">
      <w:pPr>
        <w:spacing w:line="480" w:lineRule="auto"/>
      </w:pPr>
      <w:r>
        <w:t xml:space="preserve">Other examples of negative cultural capital </w:t>
      </w:r>
      <w:r w:rsidR="00625338">
        <w:t>may involve physical factors such as</w:t>
      </w:r>
      <w:r w:rsidR="00914EA7">
        <w:t xml:space="preserve"> inadequate nutrition, space, </w:t>
      </w:r>
      <w:r w:rsidR="00DE0559">
        <w:t xml:space="preserve">and </w:t>
      </w:r>
      <w:r w:rsidR="00914EA7">
        <w:t xml:space="preserve">healthcare; a regime that emphasises security over rehabilitation and safety; </w:t>
      </w:r>
      <w:r w:rsidR="00DE0559">
        <w:t>and staff</w:t>
      </w:r>
      <w:r w:rsidR="00914EA7">
        <w:t xml:space="preserve"> who are adversarial and hostile to detainees</w:t>
      </w:r>
      <w:r w:rsidR="00D15EEF">
        <w:t>. Liebling (2014) wr</w:t>
      </w:r>
      <w:r>
        <w:t>o</w:t>
      </w:r>
      <w:r w:rsidR="00D15EEF">
        <w:t>t</w:t>
      </w:r>
      <w:r>
        <w:t>e</w:t>
      </w:r>
      <w:r w:rsidR="00DE0559">
        <w:t>,</w:t>
      </w:r>
      <w:r w:rsidR="00D15EEF">
        <w:t xml:space="preserve"> in her comparison of five prisons in England, about differences between prisons in ‘regime dimensions’</w:t>
      </w:r>
      <w:r>
        <w:t>,</w:t>
      </w:r>
      <w:r w:rsidR="00D15EEF">
        <w:t xml:space="preserve"> including perceptions of fairness and distributive justice, the use of punishments and rewards</w:t>
      </w:r>
      <w:r w:rsidR="002C3533">
        <w:t xml:space="preserve">, order and fairness and safety. </w:t>
      </w:r>
      <w:r w:rsidR="00916304">
        <w:t>In the Banksia</w:t>
      </w:r>
      <w:r w:rsidR="00B7467D">
        <w:t xml:space="preserve"> Hill</w:t>
      </w:r>
      <w:r w:rsidR="00916304">
        <w:t xml:space="preserve"> example, cited in Hamilton et al (20</w:t>
      </w:r>
      <w:r w:rsidR="008E1E97">
        <w:t>20</w:t>
      </w:r>
      <w:r w:rsidR="00FA058E">
        <w:t>a</w:t>
      </w:r>
      <w:r w:rsidR="00916304">
        <w:t xml:space="preserve">), negative cultural capital </w:t>
      </w:r>
      <w:r w:rsidR="00B7467D">
        <w:t>relates to</w:t>
      </w:r>
      <w:r w:rsidR="00916304">
        <w:t xml:space="preserve"> the failure to adequately assess and address neurocognitive issues and the impact </w:t>
      </w:r>
      <w:r w:rsidR="00916304">
        <w:lastRenderedPageBreak/>
        <w:t>that th</w:t>
      </w:r>
      <w:r w:rsidR="00B7467D">
        <w:t>ese</w:t>
      </w:r>
      <w:r w:rsidR="00916304">
        <w:t xml:space="preserve"> ha</w:t>
      </w:r>
      <w:r w:rsidR="00B7467D">
        <w:t>ve</w:t>
      </w:r>
      <w:r w:rsidR="00916304">
        <w:t xml:space="preserve"> on the effective engagement of young people (particularly Aboriginal young people) in education and rehabilitative programmes. </w:t>
      </w:r>
    </w:p>
    <w:p w14:paraId="61609A3D" w14:textId="3F970A01" w:rsidR="00625338" w:rsidRDefault="0054085D" w:rsidP="00A1072B">
      <w:pPr>
        <w:spacing w:line="480" w:lineRule="auto"/>
        <w:rPr>
          <w:lang w:eastAsia="en-AU"/>
        </w:rPr>
      </w:pPr>
      <w:r w:rsidRPr="0054085D">
        <w:rPr>
          <w:b/>
          <w:bCs/>
        </w:rPr>
        <w:t>Positive relational capital:</w:t>
      </w:r>
      <w:r>
        <w:t xml:space="preserve"> </w:t>
      </w:r>
      <w:r w:rsidR="002C3533">
        <w:t>As this is a pyramid</w:t>
      </w:r>
      <w:r w:rsidR="00FD3A8E">
        <w:t>,</w:t>
      </w:r>
      <w:r w:rsidR="002C3533">
        <w:t xml:space="preserve"> and not a circle, the relational potential is shaped in part by structural and in part by cultural factors</w:t>
      </w:r>
      <w:r w:rsidR="00B7467D">
        <w:t>. It is</w:t>
      </w:r>
      <w:r w:rsidR="0017563D">
        <w:t xml:space="preserve"> these aspects of organisational structure</w:t>
      </w:r>
      <w:r w:rsidR="00B7467D">
        <w:t>,</w:t>
      </w:r>
      <w:r w:rsidR="0017563D">
        <w:t xml:space="preserve"> as embedded in processes and practices within the institution, </w:t>
      </w:r>
      <w:r w:rsidR="00B7467D">
        <w:t xml:space="preserve">that </w:t>
      </w:r>
      <w:r w:rsidR="0017563D">
        <w:t>will create the conditions for positive social interactions and relationships</w:t>
      </w:r>
      <w:r w:rsidR="002C3533">
        <w:t xml:space="preserve">. </w:t>
      </w:r>
      <w:r w:rsidR="0017563D">
        <w:t xml:space="preserve">Nonetheless, </w:t>
      </w:r>
      <w:r w:rsidR="00B7467D">
        <w:t>i</w:t>
      </w:r>
      <w:r>
        <w:t>n the youth detention study in Western Australia, Hamilton et al</w:t>
      </w:r>
      <w:r w:rsidR="00FD3A8E">
        <w:t>.</w:t>
      </w:r>
      <w:r>
        <w:t xml:space="preserve"> (2020</w:t>
      </w:r>
      <w:r w:rsidR="00FA058E">
        <w:t>a</w:t>
      </w:r>
      <w:r>
        <w:t xml:space="preserve">) described </w:t>
      </w:r>
      <w:r w:rsidR="00FD3A8E">
        <w:t>participants’</w:t>
      </w:r>
      <w:r>
        <w:t xml:space="preserve"> strong </w:t>
      </w:r>
      <w:r w:rsidR="00427A77">
        <w:t xml:space="preserve">commitment to peers, family and </w:t>
      </w:r>
      <w:r w:rsidR="00F812B3">
        <w:t xml:space="preserve">Aboriginal </w:t>
      </w:r>
      <w:r w:rsidR="00427A77">
        <w:t xml:space="preserve">culture. </w:t>
      </w:r>
      <w:r w:rsidR="008E1E97">
        <w:t xml:space="preserve">Yet in another aspect of the study with non-custodial </w:t>
      </w:r>
      <w:r w:rsidR="008E1E97">
        <w:t>rehabilitative staff, w</w:t>
      </w:r>
      <w:r w:rsidR="00427A77">
        <w:t>hat was lacking from their accounts</w:t>
      </w:r>
      <w:r w:rsidR="00FD3A8E">
        <w:t xml:space="preserve">, </w:t>
      </w:r>
      <w:r w:rsidR="00427A77">
        <w:t xml:space="preserve">was any equivalent example of positive relationships with </w:t>
      </w:r>
      <w:r w:rsidR="00427A77" w:rsidRPr="00A1072B">
        <w:t>staff in the youth detention centres</w:t>
      </w:r>
      <w:r w:rsidR="002C3533">
        <w:t xml:space="preserve"> (and indeed with professionals in the community)</w:t>
      </w:r>
      <w:r w:rsidR="00427A77" w:rsidRPr="00A1072B">
        <w:t>.</w:t>
      </w:r>
      <w:r w:rsidR="00427A77">
        <w:t xml:space="preserve"> </w:t>
      </w:r>
      <w:r w:rsidR="00EF69BB" w:rsidRPr="00EF69BB">
        <w:t xml:space="preserve"> </w:t>
      </w:r>
      <w:r w:rsidR="00EF69BB">
        <w:t>Focus groups with non-custodial staff in the detention centre (Hamilton et al., 2019) found that these staff were attempting to work</w:t>
      </w:r>
      <w:r w:rsidR="00EF69BB" w:rsidRPr="00243D1B">
        <w:t xml:space="preserve"> with youth with </w:t>
      </w:r>
      <w:r w:rsidR="00EF69BB">
        <w:t xml:space="preserve">unrecognised </w:t>
      </w:r>
      <w:r w:rsidR="00EF69BB" w:rsidRPr="00243D1B">
        <w:t>neurodevelopmental</w:t>
      </w:r>
      <w:r w:rsidR="00EF69BB">
        <w:t xml:space="preserve"> disabilitie</w:t>
      </w:r>
      <w:r w:rsidR="00EF69BB" w:rsidRPr="00243D1B">
        <w:t>s</w:t>
      </w:r>
      <w:r w:rsidR="00EF69BB">
        <w:t xml:space="preserve"> </w:t>
      </w:r>
      <w:r w:rsidR="00EF69BB" w:rsidRPr="00243D1B">
        <w:t>and</w:t>
      </w:r>
      <w:r w:rsidR="004E1B77">
        <w:t xml:space="preserve"> a</w:t>
      </w:r>
      <w:r w:rsidR="00EF69BB" w:rsidRPr="00243D1B">
        <w:t xml:space="preserve"> </w:t>
      </w:r>
      <w:r w:rsidR="00EF69BB">
        <w:t xml:space="preserve">range of </w:t>
      </w:r>
      <w:r w:rsidR="00EF69BB" w:rsidRPr="00243D1B">
        <w:t>diverse</w:t>
      </w:r>
      <w:r w:rsidR="00EF69BB">
        <w:t xml:space="preserve"> health, mental health, cultural</w:t>
      </w:r>
      <w:r w:rsidR="00EF69BB" w:rsidRPr="00243D1B">
        <w:t xml:space="preserve"> </w:t>
      </w:r>
      <w:r w:rsidR="00EF69BB">
        <w:t xml:space="preserve">and educational </w:t>
      </w:r>
      <w:r w:rsidR="00EF69BB" w:rsidRPr="00243D1B">
        <w:t>needs.</w:t>
      </w:r>
      <w:r w:rsidR="00EF69BB" w:rsidRPr="00243D1B">
        <w:t xml:space="preserve"> They were understaffe</w:t>
      </w:r>
      <w:r w:rsidR="00EF69BB">
        <w:t xml:space="preserve">d and </w:t>
      </w:r>
      <w:r w:rsidR="00EF69BB" w:rsidRPr="00243D1B">
        <w:t>working with minimal resources</w:t>
      </w:r>
      <w:r w:rsidR="007E63D4">
        <w:t>.</w:t>
      </w:r>
      <w:r w:rsidR="00DF3FF1">
        <w:t xml:space="preserve"> </w:t>
      </w:r>
      <w:r w:rsidR="00EF69BB">
        <w:t xml:space="preserve"> </w:t>
      </w:r>
      <w:r w:rsidR="00EF69BB" w:rsidRPr="00243D1B">
        <w:t xml:space="preserve">They </w:t>
      </w:r>
      <w:r w:rsidR="00EF69BB" w:rsidRPr="00243D1B">
        <w:rPr>
          <w:lang w:eastAsia="en-AU"/>
        </w:rPr>
        <w:t xml:space="preserve">raised concerns about their ability to provide </w:t>
      </w:r>
      <w:r w:rsidR="00FD3A8E">
        <w:rPr>
          <w:lang w:eastAsia="en-AU"/>
        </w:rPr>
        <w:t>high-</w:t>
      </w:r>
      <w:r w:rsidR="00EF69BB" w:rsidRPr="00243D1B">
        <w:rPr>
          <w:lang w:eastAsia="en-AU"/>
        </w:rPr>
        <w:t>quality education for the young people in their care</w:t>
      </w:r>
      <w:r w:rsidR="00EF69BB">
        <w:rPr>
          <w:lang w:eastAsia="en-AU"/>
        </w:rPr>
        <w:t>, describing</w:t>
      </w:r>
      <w:r w:rsidR="00EF69BB" w:rsidRPr="00243D1B">
        <w:rPr>
          <w:lang w:eastAsia="en-AU"/>
        </w:rPr>
        <w:t xml:space="preserve"> poor information</w:t>
      </w:r>
      <w:r w:rsidR="00FD3A8E">
        <w:rPr>
          <w:lang w:eastAsia="en-AU"/>
        </w:rPr>
        <w:t>-</w:t>
      </w:r>
      <w:r w:rsidR="00EF69BB" w:rsidRPr="00243D1B">
        <w:rPr>
          <w:lang w:eastAsia="en-AU"/>
        </w:rPr>
        <w:t xml:space="preserve">sharing and a lack of access to comprehensive information about </w:t>
      </w:r>
      <w:r w:rsidR="00EF69BB">
        <w:rPr>
          <w:lang w:eastAsia="en-AU"/>
        </w:rPr>
        <w:t xml:space="preserve">the life circumstances of the young people. </w:t>
      </w:r>
      <w:r w:rsidR="0017563D">
        <w:rPr>
          <w:lang w:eastAsia="en-AU"/>
        </w:rPr>
        <w:t xml:space="preserve">In our ongoing work in HMP </w:t>
      </w:r>
      <w:proofErr w:type="spellStart"/>
      <w:r w:rsidR="0017563D">
        <w:rPr>
          <w:lang w:eastAsia="en-AU"/>
        </w:rPr>
        <w:t>Wymott</w:t>
      </w:r>
      <w:proofErr w:type="spellEnd"/>
      <w:r w:rsidR="0017563D">
        <w:rPr>
          <w:lang w:eastAsia="en-AU"/>
        </w:rPr>
        <w:t xml:space="preserve"> in the UK (Musgrove </w:t>
      </w:r>
      <w:r w:rsidR="003742F8">
        <w:rPr>
          <w:lang w:eastAsia="en-AU"/>
        </w:rPr>
        <w:t>and Best</w:t>
      </w:r>
      <w:r w:rsidR="0017563D">
        <w:rPr>
          <w:lang w:eastAsia="en-AU"/>
        </w:rPr>
        <w:t>, in preparation), the prison has initiated a series of peer-led education initiatives which ha</w:t>
      </w:r>
      <w:r w:rsidR="00B7467D">
        <w:rPr>
          <w:lang w:eastAsia="en-AU"/>
        </w:rPr>
        <w:t xml:space="preserve">ve </w:t>
      </w:r>
      <w:r w:rsidR="0017563D">
        <w:rPr>
          <w:lang w:eastAsia="en-AU"/>
        </w:rPr>
        <w:t xml:space="preserve">not only improved the range of activities available in the prison, </w:t>
      </w:r>
      <w:r w:rsidR="00B7467D">
        <w:rPr>
          <w:lang w:eastAsia="en-AU"/>
        </w:rPr>
        <w:t>but</w:t>
      </w:r>
      <w:r w:rsidR="0017563D">
        <w:rPr>
          <w:lang w:eastAsia="en-AU"/>
        </w:rPr>
        <w:t xml:space="preserve"> ha</w:t>
      </w:r>
      <w:r w:rsidR="00B7467D">
        <w:rPr>
          <w:lang w:eastAsia="en-AU"/>
        </w:rPr>
        <w:t>ve</w:t>
      </w:r>
      <w:r w:rsidR="0017563D">
        <w:rPr>
          <w:lang w:eastAsia="en-AU"/>
        </w:rPr>
        <w:t xml:space="preserve"> also empowered a group of prisoners and created positive social capital</w:t>
      </w:r>
      <w:r w:rsidR="00B7467D">
        <w:rPr>
          <w:lang w:eastAsia="en-AU"/>
        </w:rPr>
        <w:t>,</w:t>
      </w:r>
      <w:r w:rsidR="0017563D">
        <w:rPr>
          <w:lang w:eastAsia="en-AU"/>
        </w:rPr>
        <w:t xml:space="preserve"> through pro-social and meaningful peer engagement, generating hope and a form of collective efficacy. </w:t>
      </w:r>
    </w:p>
    <w:p w14:paraId="01FECF79" w14:textId="00ABC56E" w:rsidR="00EF69BB" w:rsidRDefault="006235E3" w:rsidP="00A1072B">
      <w:pPr>
        <w:spacing w:line="480" w:lineRule="auto"/>
      </w:pPr>
      <w:r>
        <w:rPr>
          <w:lang w:eastAsia="en-AU"/>
        </w:rPr>
        <w:t>Hamilton et al. (2019)</w:t>
      </w:r>
      <w:r w:rsidR="00EF69BB">
        <w:rPr>
          <w:lang w:eastAsia="en-AU"/>
        </w:rPr>
        <w:t xml:space="preserve"> concluded that these (and other) factors, combined with a high focus on security</w:t>
      </w:r>
      <w:r w:rsidR="008E1E97">
        <w:rPr>
          <w:lang w:eastAsia="en-AU"/>
        </w:rPr>
        <w:t xml:space="preserve"> </w:t>
      </w:r>
      <w:r w:rsidR="00EF69BB">
        <w:rPr>
          <w:lang w:eastAsia="en-AU"/>
        </w:rPr>
        <w:t>impeded the ability of rehabilitative staff to provide effective thr</w:t>
      </w:r>
      <w:r w:rsidR="00FD3A8E">
        <w:rPr>
          <w:lang w:eastAsia="en-AU"/>
        </w:rPr>
        <w:t>o</w:t>
      </w:r>
      <w:r w:rsidR="00EF69BB">
        <w:rPr>
          <w:lang w:eastAsia="en-AU"/>
        </w:rPr>
        <w:t>u</w:t>
      </w:r>
      <w:r w:rsidR="00FD3A8E">
        <w:rPr>
          <w:lang w:eastAsia="en-AU"/>
        </w:rPr>
        <w:t>gh</w:t>
      </w:r>
      <w:r w:rsidR="00EF69BB">
        <w:rPr>
          <w:lang w:eastAsia="en-AU"/>
        </w:rPr>
        <w:t xml:space="preserve">-care services between the detention centre and the community (Hamilton et al., 2019). We can also </w:t>
      </w:r>
      <w:r w:rsidR="009244A7">
        <w:rPr>
          <w:lang w:eastAsia="en-AU"/>
        </w:rPr>
        <w:t>surmise</w:t>
      </w:r>
      <w:r w:rsidR="00FD3A8E">
        <w:rPr>
          <w:lang w:eastAsia="en-AU"/>
        </w:rPr>
        <w:t>,</w:t>
      </w:r>
      <w:r w:rsidR="009244A7">
        <w:rPr>
          <w:lang w:eastAsia="en-AU"/>
        </w:rPr>
        <w:t xml:space="preserve"> then</w:t>
      </w:r>
      <w:r w:rsidR="00EF69BB">
        <w:rPr>
          <w:lang w:eastAsia="en-AU"/>
        </w:rPr>
        <w:t xml:space="preserve">, that it was </w:t>
      </w:r>
      <w:r w:rsidR="00227E26">
        <w:rPr>
          <w:lang w:eastAsia="en-AU"/>
        </w:rPr>
        <w:t>equally difficult</w:t>
      </w:r>
      <w:r w:rsidR="00EF69BB">
        <w:rPr>
          <w:lang w:eastAsia="en-AU"/>
        </w:rPr>
        <w:t xml:space="preserve"> for the staff to build trusting relationships with the young people</w:t>
      </w:r>
      <w:r w:rsidR="009375B4">
        <w:rPr>
          <w:lang w:eastAsia="en-AU"/>
        </w:rPr>
        <w:t xml:space="preserve"> in Banksia</w:t>
      </w:r>
      <w:r w:rsidR="007A5092">
        <w:rPr>
          <w:lang w:eastAsia="en-AU"/>
        </w:rPr>
        <w:t xml:space="preserve"> Hill</w:t>
      </w:r>
      <w:r w:rsidR="00FD3A8E">
        <w:rPr>
          <w:lang w:eastAsia="en-AU"/>
        </w:rPr>
        <w:t xml:space="preserve">, demonstrating the challenges that even well-motivated staff may face if they are </w:t>
      </w:r>
      <w:r w:rsidR="00FD3A8E">
        <w:rPr>
          <w:lang w:eastAsia="en-AU"/>
        </w:rPr>
        <w:lastRenderedPageBreak/>
        <w:t>operating in a broader context of negative structural and cultural factors</w:t>
      </w:r>
      <w:r w:rsidR="00EF69BB">
        <w:rPr>
          <w:lang w:eastAsia="en-AU"/>
        </w:rPr>
        <w:t>.</w:t>
      </w:r>
      <w:r w:rsidR="003B4059">
        <w:rPr>
          <w:lang w:eastAsia="en-AU"/>
        </w:rPr>
        <w:t xml:space="preserve"> Thus, not only will individual positive dyadic relationships be less likely to take place within a negative culture, those that do are likely to be eroded by corrosive cultural influences. </w:t>
      </w:r>
      <w:r w:rsidR="007A5092">
        <w:rPr>
          <w:lang w:eastAsia="en-AU"/>
        </w:rPr>
        <w:t>T</w:t>
      </w:r>
      <w:r w:rsidR="003B4059">
        <w:rPr>
          <w:lang w:eastAsia="en-AU"/>
        </w:rPr>
        <w:t xml:space="preserve">his may also foster resistant </w:t>
      </w:r>
      <w:r w:rsidR="003B4059">
        <w:rPr>
          <w:lang w:eastAsia="en-AU"/>
        </w:rPr>
        <w:t xml:space="preserve">relationships within both prisoner and prison officer cohorts. </w:t>
      </w:r>
    </w:p>
    <w:p w14:paraId="7D21B121" w14:textId="5BADB36C" w:rsidR="0054085D" w:rsidRDefault="00FD3A8E" w:rsidP="00A1072B">
      <w:pPr>
        <w:spacing w:line="480" w:lineRule="auto"/>
      </w:pPr>
      <w:r>
        <w:t>Nevertheless, it is</w:t>
      </w:r>
      <w:r w:rsidR="00427A77">
        <w:t xml:space="preserve"> central to ideas of both recovery and desistance (B</w:t>
      </w:r>
      <w:r w:rsidR="00285B88">
        <w:t>est, Irving, and Albertson, 2017</w:t>
      </w:r>
      <w:r w:rsidR="00427A77">
        <w:t xml:space="preserve">) </w:t>
      </w:r>
      <w:r>
        <w:t xml:space="preserve">that </w:t>
      </w:r>
      <w:r w:rsidR="00427A77">
        <w:t>a professional can make a difference and can, through compassion, commitment, openness and honesty, create the belief and motivation that change is possible</w:t>
      </w:r>
      <w:r w:rsidR="007A5092">
        <w:t>. Against this backdrop,</w:t>
      </w:r>
      <w:r w:rsidR="009375B4">
        <w:t xml:space="preserve"> both the positive peer relations described at </w:t>
      </w:r>
      <w:proofErr w:type="spellStart"/>
      <w:r w:rsidR="009375B4">
        <w:t>Wymott</w:t>
      </w:r>
      <w:proofErr w:type="spellEnd"/>
      <w:r w:rsidR="009375B4">
        <w:t xml:space="preserve"> (Musgrove </w:t>
      </w:r>
      <w:r w:rsidR="003742F8">
        <w:t>and Best</w:t>
      </w:r>
      <w:r w:rsidR="009375B4">
        <w:t>, in preparation) and the potentially therapeutic and trusting relationships between prisoners and staff can be a protective factor against negative cultures</w:t>
      </w:r>
      <w:r w:rsidR="00427A77">
        <w:t xml:space="preserve">. There are </w:t>
      </w:r>
      <w:r w:rsidR="004E1B77">
        <w:t>potentially numerous</w:t>
      </w:r>
      <w:r w:rsidR="00427A77">
        <w:t xml:space="preserve"> positive change</w:t>
      </w:r>
      <w:r w:rsidR="004E1B77">
        <w:t xml:space="preserve"> agents</w:t>
      </w:r>
      <w:r w:rsidR="00427A77">
        <w:t xml:space="preserve"> in criminal justice institutions who can create the conditions to support change:</w:t>
      </w:r>
    </w:p>
    <w:p w14:paraId="0B2473CF" w14:textId="5FDCA044" w:rsidR="00427A77" w:rsidRDefault="00427A77" w:rsidP="00A1072B">
      <w:pPr>
        <w:pStyle w:val="ListParagraph"/>
        <w:numPr>
          <w:ilvl w:val="0"/>
          <w:numId w:val="3"/>
        </w:numPr>
        <w:spacing w:line="480" w:lineRule="auto"/>
      </w:pPr>
      <w:r>
        <w:t xml:space="preserve">Governors and leaders </w:t>
      </w:r>
    </w:p>
    <w:p w14:paraId="2DFD3DE0" w14:textId="650EED3E" w:rsidR="00427A77" w:rsidRDefault="00FD3A8E" w:rsidP="00A1072B">
      <w:pPr>
        <w:pStyle w:val="ListParagraph"/>
        <w:numPr>
          <w:ilvl w:val="0"/>
          <w:numId w:val="3"/>
        </w:numPr>
        <w:spacing w:line="480" w:lineRule="auto"/>
      </w:pPr>
      <w:r>
        <w:t>Correctional o</w:t>
      </w:r>
      <w:r w:rsidR="00427A77">
        <w:t xml:space="preserve">fficers </w:t>
      </w:r>
    </w:p>
    <w:p w14:paraId="1B713393" w14:textId="30E8DD76" w:rsidR="00427A77" w:rsidRDefault="00427A77" w:rsidP="00A1072B">
      <w:pPr>
        <w:pStyle w:val="ListParagraph"/>
        <w:numPr>
          <w:ilvl w:val="0"/>
          <w:numId w:val="3"/>
        </w:numPr>
        <w:spacing w:line="480" w:lineRule="auto"/>
      </w:pPr>
      <w:r>
        <w:t xml:space="preserve">Healthcare and education </w:t>
      </w:r>
      <w:r w:rsidR="008E1E97">
        <w:t xml:space="preserve">and welfare </w:t>
      </w:r>
      <w:r>
        <w:t xml:space="preserve">staff </w:t>
      </w:r>
      <w:r w:rsidR="003B4059">
        <w:t>(including ‘outsiders’ who come in to deliver programmes)</w:t>
      </w:r>
    </w:p>
    <w:p w14:paraId="1C66FF0C" w14:textId="19B756A8" w:rsidR="00427A77" w:rsidRDefault="00427A77" w:rsidP="00A1072B">
      <w:pPr>
        <w:pStyle w:val="ListParagraph"/>
        <w:numPr>
          <w:ilvl w:val="0"/>
          <w:numId w:val="3"/>
        </w:numPr>
        <w:spacing w:line="480" w:lineRule="auto"/>
      </w:pPr>
      <w:r>
        <w:t>Chaplain</w:t>
      </w:r>
      <w:r w:rsidR="00FD3A8E">
        <w:t>s and other religious and spiritual leaders</w:t>
      </w:r>
    </w:p>
    <w:p w14:paraId="5E38AB13" w14:textId="71C225C8" w:rsidR="00FD3A8E" w:rsidRDefault="00FD3A8E" w:rsidP="00FD3A8E">
      <w:pPr>
        <w:pStyle w:val="ListParagraph"/>
        <w:numPr>
          <w:ilvl w:val="0"/>
          <w:numId w:val="3"/>
        </w:numPr>
        <w:spacing w:line="480" w:lineRule="auto"/>
      </w:pPr>
      <w:r>
        <w:t>Community organisations</w:t>
      </w:r>
      <w:r w:rsidR="003B4059">
        <w:t xml:space="preserve"> (and one of the key questions of positive and negative capital will be the extent to which the prison is open to external agencies and partners who are able to create linking and bridging capital)</w:t>
      </w:r>
    </w:p>
    <w:p w14:paraId="18BDC70A" w14:textId="633F37AD" w:rsidR="00427A77" w:rsidRDefault="00427A77" w:rsidP="00A1072B">
      <w:pPr>
        <w:pStyle w:val="ListParagraph"/>
        <w:numPr>
          <w:ilvl w:val="0"/>
          <w:numId w:val="3"/>
        </w:numPr>
        <w:spacing w:line="480" w:lineRule="auto"/>
      </w:pPr>
      <w:r>
        <w:t xml:space="preserve">Peer mentors </w:t>
      </w:r>
    </w:p>
    <w:p w14:paraId="0B47DCD0" w14:textId="102B6F79" w:rsidR="00427A77" w:rsidRDefault="00427A77" w:rsidP="00A1072B">
      <w:pPr>
        <w:pStyle w:val="ListParagraph"/>
        <w:numPr>
          <w:ilvl w:val="0"/>
          <w:numId w:val="3"/>
        </w:numPr>
        <w:spacing w:line="480" w:lineRule="auto"/>
      </w:pPr>
      <w:r>
        <w:t>Friends</w:t>
      </w:r>
      <w:r w:rsidR="002736A5">
        <w:t xml:space="preserve"> (both within and outside the prison)</w:t>
      </w:r>
    </w:p>
    <w:p w14:paraId="468D4B74" w14:textId="025A94CF" w:rsidR="00427A77" w:rsidRDefault="00FD3A8E" w:rsidP="00A1072B">
      <w:pPr>
        <w:spacing w:line="480" w:lineRule="auto"/>
      </w:pPr>
      <w:r>
        <w:t>T</w:t>
      </w:r>
      <w:r w:rsidR="00427A77">
        <w:t xml:space="preserve">here are </w:t>
      </w:r>
      <w:r>
        <w:t xml:space="preserve">also </w:t>
      </w:r>
      <w:r w:rsidR="00427A77">
        <w:t>a core group of people not in the prison</w:t>
      </w:r>
      <w:r>
        <w:t>,</w:t>
      </w:r>
      <w:r w:rsidR="00427A77">
        <w:t xml:space="preserve"> but</w:t>
      </w:r>
      <w:r w:rsidR="00342ED0">
        <w:t xml:space="preserve"> with whom</w:t>
      </w:r>
      <w:r w:rsidR="00427A77">
        <w:t xml:space="preserve"> ongoing relationships are critical for positive relational capital – this will primarily involve </w:t>
      </w:r>
      <w:r w:rsidR="004E1B77">
        <w:t xml:space="preserve">close and extended </w:t>
      </w:r>
      <w:r w:rsidR="00427A77">
        <w:t xml:space="preserve">family but may also include close personal friends. In the social capital language of Putnam (2000), these individuals are not only important for the positive dyadic relationships, but also for their capacity to act as </w:t>
      </w:r>
      <w:r w:rsidR="00427A77">
        <w:lastRenderedPageBreak/>
        <w:t xml:space="preserve">linking capital to other groups and resources. </w:t>
      </w:r>
      <w:r w:rsidR="00B043AB">
        <w:t>One of the key concepts in social capital language is the notion of ‘brokerage’</w:t>
      </w:r>
      <w:r>
        <w:t>,</w:t>
      </w:r>
      <w:r w:rsidR="00B043AB">
        <w:t xml:space="preserve"> referred to by McKnight and Block (2010) as ‘community connectors’ who are the human bridges that not only link people to resources in the community</w:t>
      </w:r>
      <w:r>
        <w:t>,</w:t>
      </w:r>
      <w:r w:rsidR="00B043AB">
        <w:t xml:space="preserve"> but provide the guidance, support, hope and trust to make those connections viable and sustainable. </w:t>
      </w:r>
      <w:r w:rsidR="005032DA">
        <w:t xml:space="preserve">If we adopt a network perspective (see eg Christakis and Fowler, 2009) to positive capital, </w:t>
      </w:r>
      <w:r w:rsidR="00B043AB">
        <w:t xml:space="preserve">the relational </w:t>
      </w:r>
      <w:r w:rsidR="00B043AB">
        <w:t>component</w:t>
      </w:r>
      <w:r w:rsidR="007F2EA7">
        <w:t>s</w:t>
      </w:r>
      <w:r w:rsidR="00B043AB">
        <w:t xml:space="preserve"> are in part the links that connect prisoners to the resources (</w:t>
      </w:r>
      <w:r w:rsidR="005032DA">
        <w:t>ie,</w:t>
      </w:r>
      <w:r w:rsidR="00B043AB">
        <w:t xml:space="preserve"> the nodes). </w:t>
      </w:r>
      <w:r w:rsidR="00D14DC1">
        <w:t>Importantly, a</w:t>
      </w:r>
      <w:r w:rsidR="00375198">
        <w:t>lthough belonging to groups can create positive support systems (Best et al 2015) some groups such as families can be a negative influence recovery (Hamilton, et al, 2020</w:t>
      </w:r>
      <w:r w:rsidR="0049310B">
        <w:t xml:space="preserve">a,c) </w:t>
      </w:r>
      <w:r w:rsidR="00375198" w:rsidRPr="00C54866">
        <w:t>and there is a continuous (and shifting) tension between positive and negative connections both within and outside the prison</w:t>
      </w:r>
      <w:r w:rsidR="00375198">
        <w:t>.</w:t>
      </w:r>
    </w:p>
    <w:p w14:paraId="1C1F16E9" w14:textId="77777777" w:rsidR="006235E3" w:rsidRDefault="00427A77" w:rsidP="00AF1434">
      <w:pPr>
        <w:pStyle w:val="NormalWeb"/>
        <w:shd w:val="clear" w:color="auto" w:fill="FFFFFF"/>
        <w:spacing w:before="0" w:beforeAutospacing="0" w:after="160" w:afterAutospacing="0" w:line="480" w:lineRule="auto"/>
        <w:rPr>
          <w:rFonts w:asciiTheme="minorHAnsi" w:hAnsiTheme="minorHAnsi"/>
          <w:sz w:val="22"/>
          <w:szCs w:val="22"/>
        </w:rPr>
      </w:pPr>
      <w:r w:rsidRPr="00C54866">
        <w:rPr>
          <w:rFonts w:asciiTheme="minorHAnsi" w:hAnsiTheme="minorHAnsi"/>
          <w:sz w:val="22"/>
          <w:szCs w:val="22"/>
        </w:rPr>
        <w:t xml:space="preserve">There is another core aspect of relationships that involves group membership and the resulting social identities that come from </w:t>
      </w:r>
      <w:r w:rsidR="003F112A" w:rsidRPr="00C54866">
        <w:rPr>
          <w:rFonts w:asciiTheme="minorHAnsi" w:hAnsiTheme="minorHAnsi"/>
          <w:sz w:val="22"/>
          <w:szCs w:val="22"/>
        </w:rPr>
        <w:t xml:space="preserve">belonging to </w:t>
      </w:r>
      <w:proofErr w:type="gramStart"/>
      <w:r w:rsidR="003F112A" w:rsidRPr="00C54866">
        <w:rPr>
          <w:rFonts w:asciiTheme="minorHAnsi" w:hAnsiTheme="minorHAnsi"/>
          <w:sz w:val="22"/>
          <w:szCs w:val="22"/>
        </w:rPr>
        <w:t>particular groups</w:t>
      </w:r>
      <w:proofErr w:type="gramEnd"/>
      <w:r w:rsidR="003F112A" w:rsidRPr="00C54866">
        <w:rPr>
          <w:rFonts w:asciiTheme="minorHAnsi" w:hAnsiTheme="minorHAnsi"/>
          <w:sz w:val="22"/>
          <w:szCs w:val="22"/>
        </w:rPr>
        <w:t>. As Best et al</w:t>
      </w:r>
      <w:r w:rsidR="00B76D09" w:rsidRPr="00C54866">
        <w:rPr>
          <w:rFonts w:asciiTheme="minorHAnsi" w:hAnsiTheme="minorHAnsi"/>
          <w:sz w:val="22"/>
          <w:szCs w:val="22"/>
        </w:rPr>
        <w:t>.</w:t>
      </w:r>
      <w:r w:rsidR="003F112A" w:rsidRPr="00C54866">
        <w:rPr>
          <w:rFonts w:asciiTheme="minorHAnsi" w:hAnsiTheme="minorHAnsi"/>
          <w:sz w:val="22"/>
          <w:szCs w:val="22"/>
        </w:rPr>
        <w:t xml:space="preserve"> (2015) have argued in the context of addiction recovery, belonging to groups creates not only a support system</w:t>
      </w:r>
      <w:r w:rsidR="00B76D09" w:rsidRPr="00C54866">
        <w:rPr>
          <w:rFonts w:asciiTheme="minorHAnsi" w:hAnsiTheme="minorHAnsi"/>
          <w:sz w:val="22"/>
          <w:szCs w:val="22"/>
        </w:rPr>
        <w:t>,</w:t>
      </w:r>
      <w:r w:rsidR="003F112A" w:rsidRPr="00C54866">
        <w:rPr>
          <w:rFonts w:asciiTheme="minorHAnsi" w:hAnsiTheme="minorHAnsi"/>
          <w:sz w:val="22"/>
          <w:szCs w:val="22"/>
        </w:rPr>
        <w:t xml:space="preserve"> but access and presumed commitment to the norms, values and beliefs of the group, and the perception by outsiders of adherence to their perceived roles of members of that particular group (</w:t>
      </w:r>
      <w:r w:rsidR="00B76D09" w:rsidRPr="00C54866">
        <w:rPr>
          <w:rFonts w:asciiTheme="minorHAnsi" w:hAnsiTheme="minorHAnsi"/>
          <w:sz w:val="22"/>
          <w:szCs w:val="22"/>
        </w:rPr>
        <w:t xml:space="preserve">in this context, we could, for example, </w:t>
      </w:r>
      <w:r w:rsidR="003F112A" w:rsidRPr="00C54866">
        <w:rPr>
          <w:rFonts w:asciiTheme="minorHAnsi" w:hAnsiTheme="minorHAnsi"/>
          <w:sz w:val="22"/>
          <w:szCs w:val="22"/>
        </w:rPr>
        <w:t>contrast the assumptions made about membership of the Salvation Army</w:t>
      </w:r>
      <w:r w:rsidR="00B76D09" w:rsidRPr="00C54866">
        <w:rPr>
          <w:rFonts w:asciiTheme="minorHAnsi" w:hAnsiTheme="minorHAnsi"/>
          <w:sz w:val="22"/>
          <w:szCs w:val="22"/>
        </w:rPr>
        <w:t>,</w:t>
      </w:r>
      <w:r w:rsidR="003F112A" w:rsidRPr="00C54866">
        <w:rPr>
          <w:rFonts w:asciiTheme="minorHAnsi" w:hAnsiTheme="minorHAnsi"/>
          <w:sz w:val="22"/>
          <w:szCs w:val="22"/>
        </w:rPr>
        <w:t xml:space="preserve"> compared to a Hells Angels Chapter). </w:t>
      </w:r>
      <w:r w:rsidR="00AF1434" w:rsidRPr="00C54866">
        <w:rPr>
          <w:rFonts w:asciiTheme="minorHAnsi" w:hAnsiTheme="minorHAnsi"/>
          <w:sz w:val="22"/>
          <w:szCs w:val="22"/>
        </w:rPr>
        <w:t>In the example of the Kirkham Family Connectors outlined above, family relationships are important</w:t>
      </w:r>
      <w:r w:rsidR="006235E3">
        <w:rPr>
          <w:rFonts w:asciiTheme="minorHAnsi" w:hAnsiTheme="minorHAnsi"/>
          <w:sz w:val="22"/>
          <w:szCs w:val="22"/>
        </w:rPr>
        <w:t>,</w:t>
      </w:r>
      <w:r w:rsidR="00AF1434" w:rsidRPr="00C54866">
        <w:rPr>
          <w:rFonts w:asciiTheme="minorHAnsi" w:hAnsiTheme="minorHAnsi"/>
          <w:sz w:val="22"/>
          <w:szCs w:val="22"/>
        </w:rPr>
        <w:t xml:space="preserve"> but not always positive, and there is a continuous (and shifting) tension between positive and negative connections both within and outside the prison. </w:t>
      </w:r>
    </w:p>
    <w:p w14:paraId="3C25EF5E" w14:textId="1E7166E7" w:rsidR="00AF1434" w:rsidRDefault="00AF1434" w:rsidP="00AF1434">
      <w:pPr>
        <w:pStyle w:val="NormalWeb"/>
        <w:shd w:val="clear" w:color="auto" w:fill="FFFFFF"/>
        <w:spacing w:before="0" w:beforeAutospacing="0" w:after="160" w:afterAutospacing="0" w:line="480" w:lineRule="auto"/>
        <w:rPr>
          <w:rFonts w:ascii="Calibri" w:hAnsi="Calibri" w:cs="Calibri"/>
          <w:color w:val="000000"/>
          <w:sz w:val="22"/>
          <w:szCs w:val="22"/>
        </w:rPr>
      </w:pPr>
      <w:r>
        <w:rPr>
          <w:rFonts w:ascii="Calibri" w:hAnsi="Calibri" w:cs="Calibri"/>
          <w:color w:val="000000"/>
          <w:sz w:val="22"/>
          <w:szCs w:val="22"/>
        </w:rPr>
        <w:t xml:space="preserve">Positive relational capital can work to build up the positive cultural capital of the group when centred on trust, and when free-flowing from the top of the pyramid to the bottom, as well as from the bottom-up. The social contagion of relational and cultural capital can benefit the wider community, through the development of a wider radius of trust, which essentially increases access to capital for both group members and reciprocally for the wider community as well. Strongly bonded, supportive relationships are paramount, but so is linking capital, should the group fail. </w:t>
      </w:r>
      <w:r>
        <w:rPr>
          <w:rFonts w:ascii="Calibri" w:hAnsi="Calibri" w:cs="Calibri"/>
          <w:color w:val="000000"/>
          <w:sz w:val="22"/>
          <w:szCs w:val="22"/>
        </w:rPr>
        <w:lastRenderedPageBreak/>
        <w:t xml:space="preserve">These are important lessons to draw from both the KFC programme and experience with JFH. The stability of the radius of trust and cultural capital cannot depend entirely on the institution, as it means it can quickly become destabilised, as witnessed at JFH over a 12-month period. Hence, the dynamic nature of justice capital across the individual and the institution must be acknowledged. Without this dynamism, we see potential for a similar phenomenon to occur that can sometimes happen with gangs </w:t>
      </w:r>
      <w:r w:rsidRPr="00172C76">
        <w:rPr>
          <w:rFonts w:ascii="Calibri" w:hAnsi="Calibri" w:cs="Calibri"/>
          <w:color w:val="000000"/>
          <w:sz w:val="22"/>
          <w:szCs w:val="22"/>
        </w:rPr>
        <w:t>(</w:t>
      </w:r>
      <w:proofErr w:type="spellStart"/>
      <w:r w:rsidRPr="00172C76">
        <w:rPr>
          <w:rFonts w:ascii="Calibri" w:hAnsi="Calibri" w:cs="Calibri"/>
          <w:color w:val="000000"/>
          <w:sz w:val="22"/>
          <w:szCs w:val="22"/>
        </w:rPr>
        <w:t>Kawachi</w:t>
      </w:r>
      <w:proofErr w:type="spellEnd"/>
      <w:r w:rsidRPr="00172C76">
        <w:rPr>
          <w:rFonts w:ascii="Calibri" w:hAnsi="Calibri" w:cs="Calibri"/>
          <w:color w:val="000000"/>
          <w:sz w:val="22"/>
          <w:szCs w:val="22"/>
        </w:rPr>
        <w:t>, Kennedy and Wilkinson, 1999; Lantz and Hutchison, 2015)</w:t>
      </w:r>
      <w:r>
        <w:rPr>
          <w:rFonts w:ascii="Calibri" w:hAnsi="Calibri" w:cs="Calibri"/>
          <w:color w:val="000000"/>
          <w:sz w:val="22"/>
          <w:szCs w:val="22"/>
        </w:rPr>
        <w:t xml:space="preserve">, where the group has essentially amassed a form of bound negative cultural capital, which places barriers in the way of desistance and can damage the local community. The group’s cultural capital is therefore fundamental to the success of both the process and the wider community’s social cohesion. </w:t>
      </w:r>
    </w:p>
    <w:p w14:paraId="315190C4" w14:textId="73022ACE" w:rsidR="00731D3B" w:rsidRDefault="00914EA7" w:rsidP="00A1072B">
      <w:pPr>
        <w:spacing w:line="480" w:lineRule="auto"/>
      </w:pPr>
      <w:r>
        <w:rPr>
          <w:b/>
          <w:bCs/>
        </w:rPr>
        <w:t xml:space="preserve">Negative relational capital: </w:t>
      </w:r>
      <w:r w:rsidR="00B76D09">
        <w:t>This w</w:t>
      </w:r>
      <w:r>
        <w:t xml:space="preserve">ill reflect two </w:t>
      </w:r>
      <w:r w:rsidR="00B76D09">
        <w:t xml:space="preserve">aspects </w:t>
      </w:r>
      <w:r>
        <w:t>– first</w:t>
      </w:r>
      <w:r w:rsidR="008C6C44">
        <w:t>,</w:t>
      </w:r>
      <w:r>
        <w:t xml:space="preserve"> the risks associated with isolation and exclusion and secondly the adverse consequences </w:t>
      </w:r>
      <w:r w:rsidR="00D14DC1">
        <w:t>incurred by individuals who belong</w:t>
      </w:r>
      <w:r>
        <w:t xml:space="preserve"> to groups that are themselves negatively judged o</w:t>
      </w:r>
      <w:r>
        <w:t xml:space="preserve">r excluded (such as gangs). </w:t>
      </w:r>
      <w:r w:rsidR="00AF1434">
        <w:t>In the Hamilton et al</w:t>
      </w:r>
      <w:r w:rsidR="006235E3">
        <w:t>.</w:t>
      </w:r>
      <w:r w:rsidR="00AF1434">
        <w:t xml:space="preserve"> study (2020</w:t>
      </w:r>
      <w:r w:rsidR="0049310B">
        <w:t>a</w:t>
      </w:r>
      <w:r w:rsidR="00AF1434">
        <w:t xml:space="preserve">) cited above, the lack of positive relationships between the prisoners and the staff exemplifies this absence of trust and the failure of prisoners to see staff as a resource is likely to be highly damaging. </w:t>
      </w:r>
      <w:r w:rsidR="00D76164">
        <w:t xml:space="preserve">Adversarial relationships within and across groups not only reduce the likelihood of trust and cooperation, they are also likely to prove fertile territory for pockets of resistance and divisiveness. </w:t>
      </w:r>
    </w:p>
    <w:p w14:paraId="27C6D8A8" w14:textId="1CBD22E7" w:rsidR="005C31DC" w:rsidRDefault="005C31DC" w:rsidP="00A1072B">
      <w:pPr>
        <w:spacing w:line="480" w:lineRule="auto"/>
      </w:pPr>
      <w:r>
        <w:t xml:space="preserve">The cultural level is the soil in which relationships will develop – and the direction and governance of the prison, the training and history of the staff, and the processes, systems and practices (both formal and informal) create the conditions for relationships. Yet this does not mean that these relationships are </w:t>
      </w:r>
      <w:proofErr w:type="gramStart"/>
      <w:r>
        <w:t>immutable</w:t>
      </w:r>
      <w:proofErr w:type="gramEnd"/>
      <w:r>
        <w:t xml:space="preserve"> and individuals will make choices about whether and with whom to develop a relationship of trust. The example of Banksia</w:t>
      </w:r>
      <w:r w:rsidR="00A26164">
        <w:t xml:space="preserve"> Hill</w:t>
      </w:r>
      <w:r>
        <w:t xml:space="preserve"> (Hamilton et al</w:t>
      </w:r>
      <w:r w:rsidR="006235E3">
        <w:t>.</w:t>
      </w:r>
      <w:r>
        <w:t>, 2020</w:t>
      </w:r>
      <w:r w:rsidR="0049310B">
        <w:t>a</w:t>
      </w:r>
      <w:r>
        <w:t>) is interesting</w:t>
      </w:r>
      <w:r w:rsidR="008C6C44">
        <w:t>,</w:t>
      </w:r>
      <w:r>
        <w:t xml:space="preserve"> in that there is only negative relational capital with staff but strong and committed relationships between peers, and from this individual hope and positive aspiration arise. Negative relational capital will, however, be much more likely in adversarial and mistrusting regimes, and this in turn is </w:t>
      </w:r>
      <w:r>
        <w:lastRenderedPageBreak/>
        <w:t>likely to result in individual level harms, including bullying, self-harm, substance use and suicides</w:t>
      </w:r>
      <w:r w:rsidR="00FA1D01">
        <w:t xml:space="preserve">, as evidenced in a report </w:t>
      </w:r>
      <w:r w:rsidR="00D14DC1">
        <w:t xml:space="preserve">into Banksia Hill </w:t>
      </w:r>
      <w:r w:rsidR="00FA1D01">
        <w:t>by the Office of the Inspector of Custodial Services in Western Australia (2017)</w:t>
      </w:r>
      <w:r>
        <w:t xml:space="preserve">. </w:t>
      </w:r>
    </w:p>
    <w:p w14:paraId="66D58EB8" w14:textId="35310CA9" w:rsidR="005C31DC" w:rsidRPr="00914EA7" w:rsidRDefault="005C31DC" w:rsidP="00A1072B">
      <w:pPr>
        <w:spacing w:line="480" w:lineRule="auto"/>
      </w:pPr>
      <w:r>
        <w:t>Within this model, one final key component of positive and negative relational capital is worth mentioning and that is flux. In prisons with high turnover of prisoners, prison staff and external contractors, there are likely to be fewer opportunities for the development of relationships and a growing radius of trust, whereas stability is more likely to provide the conditions for trust</w:t>
      </w:r>
      <w:r w:rsidR="00D14DC1">
        <w:t>ing</w:t>
      </w:r>
      <w:r>
        <w:t xml:space="preserve"> relationships and positive relational (and through this, cultural) capital. </w:t>
      </w:r>
    </w:p>
    <w:p w14:paraId="41BE4BF1" w14:textId="77777777" w:rsidR="007B6FD3" w:rsidRDefault="000E1872" w:rsidP="00A1072B">
      <w:pPr>
        <w:rPr>
          <w:b/>
          <w:bCs/>
        </w:rPr>
      </w:pPr>
      <w:r>
        <w:rPr>
          <w:b/>
          <w:bCs/>
        </w:rPr>
        <w:t>Conclusion</w:t>
      </w:r>
    </w:p>
    <w:p w14:paraId="342439B5" w14:textId="2F22651B" w:rsidR="007B6FD3" w:rsidRDefault="007B6FD3" w:rsidP="005C31DC">
      <w:pPr>
        <w:spacing w:line="480" w:lineRule="auto"/>
        <w:rPr>
          <w:bCs/>
        </w:rPr>
      </w:pPr>
      <w:r>
        <w:rPr>
          <w:bCs/>
        </w:rPr>
        <w:t xml:space="preserve">In this paper, we have begun to sketch out the importance and relative contributions of four levels of justice capital, namely, structural, cultural, relational and individual dimensions. </w:t>
      </w:r>
      <w:r w:rsidR="009375B4">
        <w:rPr>
          <w:bCs/>
        </w:rPr>
        <w:t>As much of the extant literature has focused on the structural and personal</w:t>
      </w:r>
      <w:r w:rsidR="007A5092">
        <w:rPr>
          <w:bCs/>
        </w:rPr>
        <w:t xml:space="preserve"> levels</w:t>
      </w:r>
      <w:r w:rsidR="009375B4">
        <w:rPr>
          <w:bCs/>
        </w:rPr>
        <w:t xml:space="preserve">, we have attempted to redress this by focusing on institutional aspects of justice settings that can shape rehabilitative potential – in other words, how criminal justice institutions can build or disrupt pathways to desistance and recovery. </w:t>
      </w:r>
      <w:r w:rsidR="00A54140">
        <w:rPr>
          <w:bCs/>
        </w:rPr>
        <w:t xml:space="preserve">Conceptualised through McNeill et al’s (2012) eight principles, we have sketched some examples of institutional practices that can help or hinder desistance, especially through individualising support for change, building hope, developing offenders’ strengths, identifying and enhancing the role of personal and professional relationships, </w:t>
      </w:r>
      <w:r w:rsidR="00A5055D">
        <w:rPr>
          <w:bCs/>
        </w:rPr>
        <w:t xml:space="preserve">and </w:t>
      </w:r>
      <w:r w:rsidR="00A54140">
        <w:rPr>
          <w:bCs/>
        </w:rPr>
        <w:t xml:space="preserve">developing </w:t>
      </w:r>
      <w:r w:rsidR="00A5055D">
        <w:rPr>
          <w:bCs/>
        </w:rPr>
        <w:t>not only social and human capital, but also institutions’ justice capital. Specifically, w</w:t>
      </w:r>
      <w:r>
        <w:rPr>
          <w:bCs/>
        </w:rPr>
        <w:t>e focused on the cultural and relational aspects and highlighted examples of negative and positive capital in these contexts which can respectively impede or promote desistance</w:t>
      </w:r>
      <w:r w:rsidR="005C31DC">
        <w:rPr>
          <w:bCs/>
        </w:rPr>
        <w:t>, and which will vary between prisons, even within the same jurisdictions</w:t>
      </w:r>
      <w:r>
        <w:rPr>
          <w:bCs/>
        </w:rPr>
        <w:t xml:space="preserve">. </w:t>
      </w:r>
    </w:p>
    <w:p w14:paraId="38A1FFFE" w14:textId="77777777" w:rsidR="006A1A77" w:rsidRDefault="006A1A77" w:rsidP="006A1A77">
      <w:pPr>
        <w:spacing w:line="480" w:lineRule="auto"/>
        <w:rPr>
          <w:bCs/>
        </w:rPr>
      </w:pPr>
      <w:r w:rsidRPr="006A1A77">
        <w:rPr>
          <w:bCs/>
        </w:rPr>
        <w:t xml:space="preserve">At a time where COVID-19 has created uncertainty and fear, it may be tempting to seek to reduce discussion of prison to issues around risk, including the risk of virus transmission and the risks associated with releasing prisoners early. Although such an approach makes intuitive sense in the </w:t>
      </w:r>
      <w:r w:rsidRPr="006A1A77">
        <w:rPr>
          <w:bCs/>
        </w:rPr>
        <w:lastRenderedPageBreak/>
        <w:t>short-term, it may contribute to the circumstances that have resulted in prison riots in some countries (most notably, Italy, the first major democracy affected by the pandemic). In the longer term, doing so will erode trust and undermine the positive capital that is, we suggest, integral to promoting desistance. Long after the pandemic has ended, there will be a need to promote human flourishing in a prison setting and our justice capital model sets out a framework to support this.</w:t>
      </w:r>
      <w:r>
        <w:rPr>
          <w:bCs/>
        </w:rPr>
        <w:t xml:space="preserve"> </w:t>
      </w:r>
    </w:p>
    <w:p w14:paraId="4E5C5EEF" w14:textId="329E4BA2" w:rsidR="005C31DC" w:rsidRDefault="005C31DC" w:rsidP="005C31DC">
      <w:pPr>
        <w:spacing w:line="480" w:lineRule="auto"/>
        <w:rPr>
          <w:bCs/>
        </w:rPr>
      </w:pPr>
      <w:r>
        <w:rPr>
          <w:bCs/>
        </w:rPr>
        <w:t xml:space="preserve">What we have outlined is a framework for the assessment </w:t>
      </w:r>
      <w:r w:rsidR="00A639F2">
        <w:rPr>
          <w:bCs/>
        </w:rPr>
        <w:t>of resources and strengths within a prison context, with four levels that are separate</w:t>
      </w:r>
      <w:r w:rsidR="008C6C44">
        <w:rPr>
          <w:bCs/>
        </w:rPr>
        <w:t xml:space="preserve"> –</w:t>
      </w:r>
      <w:r w:rsidR="00A639F2">
        <w:rPr>
          <w:bCs/>
        </w:rPr>
        <w:t xml:space="preserve"> but mutually influential </w:t>
      </w:r>
      <w:r w:rsidR="008C6C44">
        <w:rPr>
          <w:bCs/>
        </w:rPr>
        <w:t xml:space="preserve">– </w:t>
      </w:r>
      <w:r w:rsidR="00A639F2">
        <w:rPr>
          <w:bCs/>
        </w:rPr>
        <w:t xml:space="preserve">in measurable and predictable ways. This model has started to gain traction in some of the prisons </w:t>
      </w:r>
      <w:r w:rsidR="008C6C44">
        <w:rPr>
          <w:bCs/>
        </w:rPr>
        <w:t>we</w:t>
      </w:r>
      <w:r w:rsidR="00A639F2">
        <w:rPr>
          <w:bCs/>
        </w:rPr>
        <w:t xml:space="preserve"> work with and we will continue to test its utility as a conceptual framework for making sense of the functioning and performance of prisons. The model also speaks to the question of how we make sense of and quantify the benefits of strengths-based work, an issue that two of the authors of the current paper have recently addressed (Best et al</w:t>
      </w:r>
      <w:r w:rsidR="006235E3">
        <w:rPr>
          <w:bCs/>
        </w:rPr>
        <w:t>.</w:t>
      </w:r>
      <w:r w:rsidR="00A639F2">
        <w:rPr>
          <w:bCs/>
        </w:rPr>
        <w:t>, in press). The next step, and the ultimate goal of this work</w:t>
      </w:r>
      <w:r w:rsidR="008C6C44">
        <w:rPr>
          <w:bCs/>
        </w:rPr>
        <w:t>,</w:t>
      </w:r>
      <w:r w:rsidR="00A639F2">
        <w:rPr>
          <w:bCs/>
        </w:rPr>
        <w:t xml:space="preserve"> will be to move towards a translation of the model into a metric, an approach where we can quantify the balance of positive and negative justice capital within a prison and relate this to the wellbeing and opportunity for personal development</w:t>
      </w:r>
      <w:r w:rsidR="00E14DB1">
        <w:rPr>
          <w:bCs/>
        </w:rPr>
        <w:t xml:space="preserve"> and desistance</w:t>
      </w:r>
      <w:r w:rsidR="00A639F2">
        <w:rPr>
          <w:bCs/>
        </w:rPr>
        <w:t xml:space="preserve"> among individual prisoners. </w:t>
      </w:r>
    </w:p>
    <w:p w14:paraId="781F2A0C" w14:textId="32C94925" w:rsidR="0003108D" w:rsidRDefault="0003108D" w:rsidP="00A1072B">
      <w:pPr>
        <w:rPr>
          <w:b/>
          <w:bCs/>
        </w:rPr>
      </w:pPr>
      <w:r>
        <w:rPr>
          <w:b/>
          <w:bCs/>
        </w:rPr>
        <w:br w:type="page"/>
      </w:r>
    </w:p>
    <w:p w14:paraId="1AA689E3" w14:textId="66DAEB64" w:rsidR="008C6C44" w:rsidRPr="000269FD" w:rsidRDefault="00D975B3" w:rsidP="000269FD">
      <w:pPr>
        <w:spacing w:line="480" w:lineRule="auto"/>
        <w:rPr>
          <w:sz w:val="24"/>
          <w:szCs w:val="24"/>
        </w:rPr>
      </w:pPr>
      <w:r w:rsidRPr="00D975B3">
        <w:rPr>
          <w:b/>
          <w:bCs/>
        </w:rPr>
        <w:lastRenderedPageBreak/>
        <w:t xml:space="preserve">References </w:t>
      </w:r>
    </w:p>
    <w:p w14:paraId="02047A79" w14:textId="7D2897EA" w:rsidR="008C6C44" w:rsidRPr="00517415" w:rsidRDefault="008C6C44" w:rsidP="001E4761">
      <w:pPr>
        <w:pStyle w:val="APAReferenceList"/>
        <w:spacing w:after="120"/>
        <w:ind w:left="0" w:firstLine="0"/>
        <w:rPr>
          <w:rFonts w:asciiTheme="minorHAnsi" w:hAnsiTheme="minorHAnsi"/>
          <w:sz w:val="22"/>
          <w:lang w:val="en-AU"/>
        </w:rPr>
      </w:pPr>
      <w:r w:rsidRPr="00517415">
        <w:rPr>
          <w:rFonts w:asciiTheme="minorHAnsi" w:hAnsiTheme="minorHAnsi"/>
          <w:sz w:val="22"/>
          <w:lang w:val="en-AU"/>
        </w:rPr>
        <w:t xml:space="preserve">Australian Institute of Health and Welfare 2018, </w:t>
      </w:r>
      <w:r w:rsidRPr="00517415">
        <w:rPr>
          <w:rFonts w:asciiTheme="minorHAnsi" w:hAnsiTheme="minorHAnsi"/>
          <w:i/>
          <w:sz w:val="22"/>
          <w:lang w:val="en-AU"/>
        </w:rPr>
        <w:t>Youth justice in Australia 2017–2018</w:t>
      </w:r>
      <w:r w:rsidRPr="00517415">
        <w:rPr>
          <w:rFonts w:asciiTheme="minorHAnsi" w:hAnsiTheme="minorHAnsi"/>
          <w:sz w:val="22"/>
          <w:lang w:val="en-AU"/>
        </w:rPr>
        <w:t xml:space="preserve">, </w:t>
      </w:r>
      <w:r w:rsidR="00517415" w:rsidRPr="00517415">
        <w:rPr>
          <w:rFonts w:asciiTheme="minorHAnsi" w:hAnsiTheme="minorHAnsi"/>
          <w:sz w:val="22"/>
          <w:lang w:val="en-AU"/>
        </w:rPr>
        <w:t>Canberra</w:t>
      </w:r>
      <w:r w:rsidRPr="00517415">
        <w:rPr>
          <w:rFonts w:asciiTheme="minorHAnsi" w:hAnsiTheme="minorHAnsi"/>
          <w:sz w:val="22"/>
          <w:lang w:val="en-AU"/>
        </w:rPr>
        <w:t>.</w:t>
      </w:r>
    </w:p>
    <w:p w14:paraId="00DB1F7F" w14:textId="77777777" w:rsidR="008C6C44" w:rsidRPr="00517415" w:rsidRDefault="008C6C44" w:rsidP="001E4761">
      <w:pPr>
        <w:pStyle w:val="APAReferenceList"/>
        <w:spacing w:after="120"/>
        <w:ind w:left="0" w:firstLine="0"/>
        <w:rPr>
          <w:rFonts w:asciiTheme="minorHAnsi" w:hAnsiTheme="minorHAnsi"/>
          <w:sz w:val="22"/>
          <w:lang w:val="en-AU"/>
        </w:rPr>
      </w:pPr>
      <w:r w:rsidRPr="00517415">
        <w:rPr>
          <w:rFonts w:asciiTheme="minorHAnsi" w:hAnsiTheme="minorHAnsi"/>
          <w:sz w:val="22"/>
          <w:lang w:val="en-AU"/>
        </w:rPr>
        <w:t xml:space="preserve">Australian Law Reform Commission 2017, </w:t>
      </w:r>
      <w:r w:rsidRPr="00517415">
        <w:rPr>
          <w:rFonts w:asciiTheme="minorHAnsi" w:hAnsiTheme="minorHAnsi"/>
          <w:i/>
          <w:sz w:val="22"/>
          <w:lang w:val="en-AU"/>
        </w:rPr>
        <w:t>Pathways to justice</w:t>
      </w:r>
      <w:r w:rsidRPr="00517415">
        <w:rPr>
          <w:rFonts w:asciiTheme="minorHAnsi" w:hAnsiTheme="minorHAnsi"/>
          <w:bCs/>
          <w:i/>
          <w:sz w:val="22"/>
          <w:lang w:val="en-GB"/>
        </w:rPr>
        <w:t>—An inquiry into the incarceration rate of Aboriginal and Torres Strait Islander people</w:t>
      </w:r>
      <w:r w:rsidRPr="00517415">
        <w:rPr>
          <w:rFonts w:asciiTheme="minorHAnsi" w:hAnsiTheme="minorHAnsi"/>
          <w:bCs/>
          <w:sz w:val="22"/>
          <w:lang w:val="en-GB"/>
        </w:rPr>
        <w:t>, Report 133, Sydney.</w:t>
      </w:r>
    </w:p>
    <w:p w14:paraId="7153ECB4" w14:textId="19A8AE98" w:rsidR="008C6C44" w:rsidRPr="00517415" w:rsidRDefault="008C6C44" w:rsidP="001E4761">
      <w:pPr>
        <w:spacing w:after="120" w:line="480" w:lineRule="auto"/>
      </w:pPr>
      <w:r w:rsidRPr="00517415">
        <w:t xml:space="preserve">Best, D &amp; Laudet, A 2010, </w:t>
      </w:r>
      <w:r w:rsidRPr="00517415">
        <w:rPr>
          <w:i/>
        </w:rPr>
        <w:t>The potential of recovery capital</w:t>
      </w:r>
      <w:r w:rsidR="00285B88" w:rsidRPr="00517415">
        <w:t xml:space="preserve">, </w:t>
      </w:r>
      <w:r w:rsidRPr="00517415">
        <w:t>RSA</w:t>
      </w:r>
      <w:r w:rsidR="00285B88" w:rsidRPr="00517415">
        <w:t>, London</w:t>
      </w:r>
      <w:r w:rsidRPr="00517415">
        <w:t>.</w:t>
      </w:r>
    </w:p>
    <w:p w14:paraId="3BACB49D" w14:textId="1314089E" w:rsidR="008C6C44" w:rsidRPr="00517415" w:rsidRDefault="00285B88" w:rsidP="001E4761">
      <w:pPr>
        <w:spacing w:after="120" w:line="480" w:lineRule="auto"/>
      </w:pPr>
      <w:r w:rsidRPr="00517415">
        <w:t>Best, D 2016,</w:t>
      </w:r>
      <w:r w:rsidR="008C6C44" w:rsidRPr="00517415">
        <w:t xml:space="preserve"> </w:t>
      </w:r>
      <w:r w:rsidRPr="00517415">
        <w:t>‘</w:t>
      </w:r>
      <w:r w:rsidR="008C6C44" w:rsidRPr="00517415">
        <w:t>An unlikely hero? Challenging stig</w:t>
      </w:r>
      <w:r w:rsidRPr="00517415">
        <w:t xml:space="preserve">ma through community engagement’, </w:t>
      </w:r>
      <w:r w:rsidR="008C6C44" w:rsidRPr="00517415">
        <w:t xml:space="preserve">Drugs </w:t>
      </w:r>
      <w:r w:rsidR="008C6C44" w:rsidRPr="00517415">
        <w:rPr>
          <w:i/>
        </w:rPr>
        <w:t>and Alcohol Today</w:t>
      </w:r>
      <w:r w:rsidRPr="00517415">
        <w:t>, vol. 16, no. 1, pp.</w:t>
      </w:r>
      <w:r w:rsidR="008C6C44" w:rsidRPr="00517415">
        <w:t xml:space="preserve"> 106-116</w:t>
      </w:r>
    </w:p>
    <w:p w14:paraId="6B99C22D" w14:textId="0D094C35" w:rsidR="008C6C44" w:rsidRPr="00517415" w:rsidRDefault="00285B88" w:rsidP="001E4761">
      <w:pPr>
        <w:spacing w:after="120" w:line="480" w:lineRule="auto"/>
      </w:pPr>
      <w:r w:rsidRPr="00517415">
        <w:t>Best, D 2019,</w:t>
      </w:r>
      <w:r w:rsidR="008C6C44" w:rsidRPr="00517415">
        <w:t xml:space="preserve"> </w:t>
      </w:r>
      <w:r w:rsidR="008C6C44" w:rsidRPr="00517415">
        <w:rPr>
          <w:i/>
          <w:iCs/>
        </w:rPr>
        <w:t>Pathways to desistance and recovery: The role of the social contagion of hope</w:t>
      </w:r>
      <w:r w:rsidRPr="00517415">
        <w:t xml:space="preserve">, </w:t>
      </w:r>
      <w:r w:rsidR="008C6C44" w:rsidRPr="00517415">
        <w:t>Policy Press</w:t>
      </w:r>
      <w:r w:rsidRPr="00517415">
        <w:t>, Bristol</w:t>
      </w:r>
      <w:r w:rsidR="008C6C44" w:rsidRPr="00517415">
        <w:t xml:space="preserve">. </w:t>
      </w:r>
    </w:p>
    <w:p w14:paraId="04BB1BB5" w14:textId="086BCA7C" w:rsidR="008C6C44" w:rsidRPr="00517415" w:rsidRDefault="00285B88" w:rsidP="001E4761">
      <w:pPr>
        <w:spacing w:after="120" w:line="480" w:lineRule="auto"/>
      </w:pPr>
      <w:r w:rsidRPr="00517415">
        <w:t>Best, D, Bartels, L, Beck, G &amp; Musgrove, A in press, ‘Avoiding “starburst”</w:t>
      </w:r>
      <w:r w:rsidR="008C6C44" w:rsidRPr="00517415">
        <w:t>: The need to identify common metrics of evaluating strengths-based programmes in prison</w:t>
      </w:r>
      <w:r w:rsidRPr="00517415">
        <w:t>’,</w:t>
      </w:r>
      <w:r w:rsidR="008C6C44" w:rsidRPr="00517415">
        <w:t xml:space="preserve"> </w:t>
      </w:r>
      <w:r w:rsidR="008C6C44" w:rsidRPr="00517415">
        <w:rPr>
          <w:i/>
          <w:iCs/>
        </w:rPr>
        <w:t>Prison Journal</w:t>
      </w:r>
      <w:r w:rsidR="008C6C44" w:rsidRPr="00517415">
        <w:t xml:space="preserve">. </w:t>
      </w:r>
    </w:p>
    <w:p w14:paraId="19229CD6" w14:textId="55D90E4B" w:rsidR="008C6C44" w:rsidRPr="00517415" w:rsidRDefault="00285B88" w:rsidP="001E4761">
      <w:pPr>
        <w:spacing w:after="120" w:line="480" w:lineRule="auto"/>
      </w:pPr>
      <w:r w:rsidRPr="00517415">
        <w:t>Best, D, Beckwith, M, Haslam, C, Haslam, S, Jetten, J, Mawson, E &amp; Lubman, D 2015,</w:t>
      </w:r>
      <w:r w:rsidR="008C6C44" w:rsidRPr="00517415">
        <w:t xml:space="preserve"> ‘Overcoming alcohol and other drug addiction as a process of social identity transition: The Social Identity Model of Recovery (SIMOR)’, </w:t>
      </w:r>
      <w:r w:rsidR="008C6C44" w:rsidRPr="00517415">
        <w:rPr>
          <w:i/>
        </w:rPr>
        <w:t>Addiction Research &amp; Theory</w:t>
      </w:r>
      <w:r w:rsidRPr="00517415">
        <w:t>, vol. 24, pp. 1–13.</w:t>
      </w:r>
    </w:p>
    <w:p w14:paraId="5FE78C6A" w14:textId="6CE5AF7F" w:rsidR="008C6C44" w:rsidRPr="00517415" w:rsidRDefault="00285B88" w:rsidP="001E4761">
      <w:pPr>
        <w:spacing w:after="120" w:line="480" w:lineRule="auto"/>
      </w:pPr>
      <w:r w:rsidRPr="00517415">
        <w:t>Best, D, Irving, J &amp; Albertson, K 2017,</w:t>
      </w:r>
      <w:r w:rsidR="008C6C44" w:rsidRPr="00517415">
        <w:t xml:space="preserve"> </w:t>
      </w:r>
      <w:r w:rsidRPr="00517415">
        <w:t>‘Recovery and desistance: W</w:t>
      </w:r>
      <w:r w:rsidR="008C6C44" w:rsidRPr="00517415">
        <w:t>hat the emerging recovery movement in the alcohol and drug area can learn from models of desistance from offending</w:t>
      </w:r>
      <w:r w:rsidRPr="00517415">
        <w:t>’</w:t>
      </w:r>
      <w:r w:rsidR="008C6C44" w:rsidRPr="00517415">
        <w:t xml:space="preserve">, </w:t>
      </w:r>
      <w:r w:rsidR="008C6C44" w:rsidRPr="00517415">
        <w:rPr>
          <w:i/>
          <w:iCs/>
        </w:rPr>
        <w:t>Addiction Research &amp; Theory</w:t>
      </w:r>
      <w:r w:rsidR="008C6C44" w:rsidRPr="00517415">
        <w:t xml:space="preserve">, </w:t>
      </w:r>
      <w:r w:rsidRPr="00517415">
        <w:t xml:space="preserve">vol. 25, pp. 1-10. </w:t>
      </w:r>
    </w:p>
    <w:p w14:paraId="5102B412" w14:textId="456A14A5" w:rsidR="008C6C44" w:rsidRPr="00517415" w:rsidRDefault="00285B88" w:rsidP="001E4761">
      <w:pPr>
        <w:spacing w:after="120" w:line="480" w:lineRule="auto"/>
      </w:pPr>
      <w:r w:rsidRPr="00517415">
        <w:t xml:space="preserve">Best, D, Musgrove, A &amp; Hall, L </w:t>
      </w:r>
      <w:r w:rsidR="008C6C44" w:rsidRPr="00517415">
        <w:t>2018</w:t>
      </w:r>
      <w:r w:rsidRPr="00517415">
        <w:t>,</w:t>
      </w:r>
      <w:r w:rsidR="008C6C44" w:rsidRPr="00517415">
        <w:t xml:space="preserve"> ‘The bridge between social identity and community capital on the path to recovery and desistance’, </w:t>
      </w:r>
      <w:r w:rsidR="008C6C44" w:rsidRPr="00517415">
        <w:rPr>
          <w:i/>
        </w:rPr>
        <w:t>Probation Journal</w:t>
      </w:r>
      <w:r w:rsidR="008C6C44" w:rsidRPr="00517415">
        <w:t xml:space="preserve">, </w:t>
      </w:r>
      <w:r w:rsidRPr="00517415">
        <w:t xml:space="preserve">vol. </w:t>
      </w:r>
      <w:r w:rsidR="008C6C44" w:rsidRPr="00517415">
        <w:t>65</w:t>
      </w:r>
      <w:r w:rsidRPr="00517415">
        <w:t xml:space="preserve"> no. 4</w:t>
      </w:r>
      <w:r w:rsidR="008C6C44" w:rsidRPr="00517415">
        <w:t xml:space="preserve">, </w:t>
      </w:r>
      <w:r w:rsidRPr="00517415">
        <w:t>p</w:t>
      </w:r>
      <w:r w:rsidR="008C6C44" w:rsidRPr="00517415">
        <w:t>p. 394</w:t>
      </w:r>
      <w:r w:rsidRPr="00517415">
        <w:t>-406</w:t>
      </w:r>
      <w:r w:rsidR="008C6C44" w:rsidRPr="00517415">
        <w:t xml:space="preserve">. </w:t>
      </w:r>
    </w:p>
    <w:p w14:paraId="6FC2F027" w14:textId="39C03CA9" w:rsidR="008C6C44" w:rsidRPr="00517415" w:rsidRDefault="008C6C44" w:rsidP="001E4761">
      <w:pPr>
        <w:spacing w:after="120" w:line="480" w:lineRule="auto"/>
      </w:pPr>
      <w:r w:rsidRPr="00517415">
        <w:t>Blagg, A</w:t>
      </w:r>
      <w:r w:rsidR="00285B88" w:rsidRPr="00517415">
        <w:t xml:space="preserve"> &amp;</w:t>
      </w:r>
      <w:r w:rsidRPr="00517415">
        <w:t xml:space="preserve"> Anthony, T</w:t>
      </w:r>
      <w:r w:rsidR="00285B88" w:rsidRPr="00517415">
        <w:t xml:space="preserve"> </w:t>
      </w:r>
      <w:r w:rsidRPr="00517415">
        <w:t>2019</w:t>
      </w:r>
      <w:r w:rsidR="00285B88" w:rsidRPr="00517415">
        <w:t>,</w:t>
      </w:r>
      <w:r w:rsidRPr="00517415">
        <w:t xml:space="preserve"> </w:t>
      </w:r>
      <w:r w:rsidRPr="00517415">
        <w:rPr>
          <w:i/>
        </w:rPr>
        <w:t xml:space="preserve">Decolonising </w:t>
      </w:r>
      <w:r w:rsidR="00285B88" w:rsidRPr="00517415">
        <w:rPr>
          <w:i/>
        </w:rPr>
        <w:t>c</w:t>
      </w:r>
      <w:r w:rsidRPr="00517415">
        <w:rPr>
          <w:i/>
        </w:rPr>
        <w:t>riminology: Imagining justice in a post-colonial world</w:t>
      </w:r>
      <w:r w:rsidR="00285B88" w:rsidRPr="00517415">
        <w:t xml:space="preserve">, </w:t>
      </w:r>
      <w:r w:rsidRPr="00517415">
        <w:t>Palgrave Macmillan</w:t>
      </w:r>
      <w:r w:rsidR="00285B88" w:rsidRPr="00517415">
        <w:t>, London</w:t>
      </w:r>
      <w:r w:rsidRPr="00517415">
        <w:t>.</w:t>
      </w:r>
    </w:p>
    <w:p w14:paraId="2483EB4D" w14:textId="37592AD6" w:rsidR="008C6C44" w:rsidRPr="00517415" w:rsidRDefault="008C6C44" w:rsidP="001E4761">
      <w:pPr>
        <w:spacing w:after="120" w:line="480" w:lineRule="auto"/>
        <w:rPr>
          <w:bCs/>
        </w:rPr>
      </w:pPr>
      <w:r w:rsidRPr="00517415">
        <w:lastRenderedPageBreak/>
        <w:t>Blagg, H, Tulich, T</w:t>
      </w:r>
      <w:r w:rsidR="00285B88" w:rsidRPr="00517415">
        <w:t xml:space="preserve"> &amp;</w:t>
      </w:r>
      <w:r w:rsidRPr="00517415">
        <w:t xml:space="preserve"> Bush, Z</w:t>
      </w:r>
      <w:r w:rsidR="00285B88" w:rsidRPr="00517415">
        <w:t xml:space="preserve"> </w:t>
      </w:r>
      <w:r w:rsidRPr="00517415">
        <w:t>2016</w:t>
      </w:r>
      <w:r w:rsidR="00285B88" w:rsidRPr="00517415">
        <w:t>,</w:t>
      </w:r>
      <w:r w:rsidRPr="00517415">
        <w:t xml:space="preserve"> </w:t>
      </w:r>
      <w:r w:rsidR="00285B88" w:rsidRPr="00517415">
        <w:t>‘</w:t>
      </w:r>
      <w:r w:rsidRPr="00517415">
        <w:rPr>
          <w:bCs/>
        </w:rPr>
        <w:t>Placing country at the centre: Decolonising justice for indigenous young people with Foetal Alcohol Spectrum Disorders (FASD</w:t>
      </w:r>
      <w:r w:rsidR="00285B88" w:rsidRPr="00517415">
        <w:rPr>
          <w:bCs/>
        </w:rPr>
        <w:t>)’,</w:t>
      </w:r>
      <w:r w:rsidRPr="00517415">
        <w:rPr>
          <w:bCs/>
          <w:i/>
        </w:rPr>
        <w:t xml:space="preserve"> </w:t>
      </w:r>
      <w:r w:rsidR="00135B84" w:rsidRPr="00517415">
        <w:rPr>
          <w:bCs/>
          <w:i/>
        </w:rPr>
        <w:t>Australian Indigenous Law Review</w:t>
      </w:r>
      <w:r w:rsidR="00135B84" w:rsidRPr="00517415">
        <w:rPr>
          <w:bCs/>
        </w:rPr>
        <w:t xml:space="preserve">, </w:t>
      </w:r>
      <w:r w:rsidR="00285B88" w:rsidRPr="00517415">
        <w:rPr>
          <w:bCs/>
        </w:rPr>
        <w:t xml:space="preserve">vol. </w:t>
      </w:r>
      <w:r w:rsidRPr="00517415">
        <w:rPr>
          <w:bCs/>
        </w:rPr>
        <w:t>9</w:t>
      </w:r>
      <w:r w:rsidR="00285B88" w:rsidRPr="00517415">
        <w:rPr>
          <w:bCs/>
        </w:rPr>
        <w:t xml:space="preserve"> no. </w:t>
      </w:r>
      <w:r w:rsidRPr="00517415">
        <w:rPr>
          <w:bCs/>
        </w:rPr>
        <w:t xml:space="preserve">2, </w:t>
      </w:r>
      <w:r w:rsidR="00285B88" w:rsidRPr="00517415">
        <w:rPr>
          <w:bCs/>
        </w:rPr>
        <w:t xml:space="preserve">pp. </w:t>
      </w:r>
      <w:r w:rsidRPr="00517415">
        <w:rPr>
          <w:bCs/>
        </w:rPr>
        <w:t>4-16.</w:t>
      </w:r>
    </w:p>
    <w:p w14:paraId="73E6A86F" w14:textId="0A3D5588" w:rsidR="008C6C44" w:rsidRPr="00517415" w:rsidRDefault="00285B88" w:rsidP="001E4761">
      <w:pPr>
        <w:spacing w:after="120" w:line="480" w:lineRule="auto"/>
      </w:pPr>
      <w:r w:rsidRPr="00517415">
        <w:t xml:space="preserve">Bourdieu, P </w:t>
      </w:r>
      <w:r w:rsidR="008C6C44" w:rsidRPr="00517415">
        <w:t>1985)</w:t>
      </w:r>
      <w:r w:rsidRPr="00517415">
        <w:t>,</w:t>
      </w:r>
      <w:r w:rsidR="008C6C44" w:rsidRPr="00517415">
        <w:t xml:space="preserve"> ‘The forms of capital’, in J.G. Richardson (ed), </w:t>
      </w:r>
      <w:r w:rsidRPr="00517415">
        <w:rPr>
          <w:i/>
        </w:rPr>
        <w:t>Handbook of theory and research for the sociology of e</w:t>
      </w:r>
      <w:r w:rsidR="008C6C44" w:rsidRPr="00517415">
        <w:rPr>
          <w:i/>
        </w:rPr>
        <w:t>ducation</w:t>
      </w:r>
      <w:r w:rsidRPr="00517415">
        <w:t>, New York,</w:t>
      </w:r>
      <w:r w:rsidR="008C6C44" w:rsidRPr="00517415">
        <w:t xml:space="preserve"> Greenwood.</w:t>
      </w:r>
    </w:p>
    <w:p w14:paraId="72D8A4C1" w14:textId="38E28411" w:rsidR="008C6C44" w:rsidRPr="00517415" w:rsidRDefault="008C6C44" w:rsidP="001E4761">
      <w:pPr>
        <w:spacing w:after="120" w:line="480" w:lineRule="auto"/>
      </w:pPr>
      <w:r w:rsidRPr="00517415">
        <w:t>Bower</w:t>
      </w:r>
      <w:r w:rsidR="00285B88" w:rsidRPr="00517415">
        <w:t>,</w:t>
      </w:r>
      <w:r w:rsidRPr="00517415">
        <w:t xml:space="preserve"> C, Watkins</w:t>
      </w:r>
      <w:r w:rsidR="00285B88" w:rsidRPr="00517415">
        <w:t>,</w:t>
      </w:r>
      <w:r w:rsidRPr="00517415">
        <w:t xml:space="preserve"> R, Mutch</w:t>
      </w:r>
      <w:r w:rsidR="00285B88" w:rsidRPr="00517415">
        <w:t>,</w:t>
      </w:r>
      <w:r w:rsidRPr="00517415">
        <w:t xml:space="preserve"> R, Marriott</w:t>
      </w:r>
      <w:r w:rsidR="00285B88" w:rsidRPr="00517415">
        <w:t>,</w:t>
      </w:r>
      <w:r w:rsidRPr="00517415">
        <w:t xml:space="preserve"> R, Freeman</w:t>
      </w:r>
      <w:r w:rsidR="00285B88" w:rsidRPr="00517415">
        <w:t>,</w:t>
      </w:r>
      <w:r w:rsidRPr="00517415">
        <w:t xml:space="preserve"> J, Kippin</w:t>
      </w:r>
      <w:r w:rsidR="00285B88" w:rsidRPr="00517415">
        <w:t>,</w:t>
      </w:r>
      <w:r w:rsidRPr="00517415">
        <w:t xml:space="preserve"> N, Safe</w:t>
      </w:r>
      <w:r w:rsidR="00285B88" w:rsidRPr="00517415">
        <w:t>,</w:t>
      </w:r>
      <w:r w:rsidRPr="00517415">
        <w:t xml:space="preserve"> B et al. 2018</w:t>
      </w:r>
      <w:r w:rsidR="00285B88" w:rsidRPr="00517415">
        <w:t>,</w:t>
      </w:r>
      <w:r w:rsidRPr="00517415">
        <w:t xml:space="preserve"> </w:t>
      </w:r>
      <w:r w:rsidR="00135B84" w:rsidRPr="00517415">
        <w:t>‘</w:t>
      </w:r>
      <w:r w:rsidRPr="00517415">
        <w:t>Fetal alcohol spectrum disorder and youth justice: a prevalence study among young people sentenced to detention in Western Australia</w:t>
      </w:r>
      <w:r w:rsidR="00135B84" w:rsidRPr="00517415">
        <w:t>’,</w:t>
      </w:r>
      <w:r w:rsidRPr="00517415">
        <w:t xml:space="preserve"> </w:t>
      </w:r>
      <w:r w:rsidRPr="00517415">
        <w:rPr>
          <w:i/>
        </w:rPr>
        <w:t>BMJ Open</w:t>
      </w:r>
      <w:r w:rsidRPr="00517415">
        <w:t xml:space="preserve"> 8 e019605. </w:t>
      </w:r>
      <w:hyperlink r:id="rId8" w:history="1">
        <w:r w:rsidRPr="00517415">
          <w:rPr>
            <w:rStyle w:val="Hyperlink"/>
          </w:rPr>
          <w:t>http://dx.doi.org/10.1136/bmjopen-2017-019605</w:t>
        </w:r>
      </w:hyperlink>
    </w:p>
    <w:p w14:paraId="7C3578D2" w14:textId="383CF727" w:rsidR="008C6C44" w:rsidRPr="00517415" w:rsidRDefault="00135B84" w:rsidP="001E4761">
      <w:pPr>
        <w:spacing w:after="120" w:line="480" w:lineRule="auto"/>
      </w:pPr>
      <w:r w:rsidRPr="00517415">
        <w:t>Braithwaite, J 2003,</w:t>
      </w:r>
      <w:r w:rsidR="008C6C44" w:rsidRPr="00517415">
        <w:t xml:space="preserve"> </w:t>
      </w:r>
      <w:r w:rsidRPr="00517415">
        <w:rPr>
          <w:i/>
          <w:iCs/>
        </w:rPr>
        <w:t>Restorative justice and responsive r</w:t>
      </w:r>
      <w:r w:rsidR="008C6C44" w:rsidRPr="00517415">
        <w:rPr>
          <w:i/>
          <w:iCs/>
        </w:rPr>
        <w:t>egulation</w:t>
      </w:r>
      <w:r w:rsidR="008C6C44" w:rsidRPr="00517415">
        <w:t xml:space="preserve">, </w:t>
      </w:r>
      <w:r w:rsidRPr="00517415">
        <w:t>Oxford, Oxford University Press</w:t>
      </w:r>
      <w:r w:rsidR="008C6C44" w:rsidRPr="00517415">
        <w:t xml:space="preserve">. </w:t>
      </w:r>
    </w:p>
    <w:p w14:paraId="2A69021B" w14:textId="048E969A" w:rsidR="008C6C44" w:rsidRPr="00517415" w:rsidRDefault="00517415" w:rsidP="001E4761">
      <w:pPr>
        <w:spacing w:after="120" w:line="480" w:lineRule="auto"/>
      </w:pPr>
      <w:r w:rsidRPr="00517415">
        <w:t>Cano, I, Best, D, Edwards, M &amp; Lehman, J 2017,</w:t>
      </w:r>
      <w:r w:rsidR="008C6C44" w:rsidRPr="00517415">
        <w:t xml:space="preserve"> ‘Recovery capital pathways: Mapping the components of recovery wellbeing’, </w:t>
      </w:r>
      <w:r w:rsidR="008C6C44" w:rsidRPr="00517415">
        <w:rPr>
          <w:i/>
        </w:rPr>
        <w:t>Drug and Alcohol Dependence</w:t>
      </w:r>
      <w:r w:rsidR="008C6C44" w:rsidRPr="00517415">
        <w:t xml:space="preserve">, </w:t>
      </w:r>
      <w:r w:rsidRPr="00517415">
        <w:t xml:space="preserve">vol. 181, pp. </w:t>
      </w:r>
      <w:r w:rsidR="008C6C44" w:rsidRPr="00517415">
        <w:t>11–19.</w:t>
      </w:r>
    </w:p>
    <w:p w14:paraId="19829C5A" w14:textId="146117C0" w:rsidR="008C6C44" w:rsidRPr="00517415" w:rsidRDefault="00517415" w:rsidP="001E4761">
      <w:pPr>
        <w:spacing w:after="120" w:line="480" w:lineRule="auto"/>
      </w:pPr>
      <w:r>
        <w:t xml:space="preserve">Christakis, N &amp; Fowler, J 2009, </w:t>
      </w:r>
      <w:r>
        <w:rPr>
          <w:i/>
        </w:rPr>
        <w:t>Connected: The amazing power of social networks and how they shape our l</w:t>
      </w:r>
      <w:r w:rsidR="008C6C44" w:rsidRPr="00517415">
        <w:rPr>
          <w:i/>
        </w:rPr>
        <w:t>ives</w:t>
      </w:r>
      <w:r>
        <w:t>, New York,</w:t>
      </w:r>
      <w:r w:rsidR="008C6C44" w:rsidRPr="00517415">
        <w:t xml:space="preserve"> Little Brown. </w:t>
      </w:r>
    </w:p>
    <w:p w14:paraId="42B4FAAB" w14:textId="6C3AB9CE" w:rsidR="008C6C44" w:rsidRPr="00517415" w:rsidRDefault="00517415" w:rsidP="001E4761">
      <w:pPr>
        <w:spacing w:after="120" w:line="480" w:lineRule="auto"/>
      </w:pPr>
      <w:r>
        <w:t>Cloud, W &amp; Granfield, R 2009,</w:t>
      </w:r>
      <w:r w:rsidR="008C6C44" w:rsidRPr="00517415">
        <w:t xml:space="preserve"> ‘Conceptualising recovery capital: Expansion of a theoretical construct’, </w:t>
      </w:r>
      <w:r w:rsidR="008C6C44" w:rsidRPr="00517415">
        <w:rPr>
          <w:i/>
        </w:rPr>
        <w:t>Substance Use and Misuse</w:t>
      </w:r>
      <w:r w:rsidR="008C6C44" w:rsidRPr="00517415">
        <w:t xml:space="preserve">, </w:t>
      </w:r>
      <w:r>
        <w:t>vol. 43, no. 12–13, pp.</w:t>
      </w:r>
      <w:r w:rsidR="008C6C44" w:rsidRPr="00517415">
        <w:t xml:space="preserve"> 1971–</w:t>
      </w:r>
      <w:r>
        <w:t>19</w:t>
      </w:r>
      <w:r w:rsidR="008C6C44" w:rsidRPr="00517415">
        <w:t>86.</w:t>
      </w:r>
    </w:p>
    <w:p w14:paraId="34014106" w14:textId="5707476A" w:rsidR="008C6C44" w:rsidRPr="00517415" w:rsidRDefault="00517415" w:rsidP="001E4761">
      <w:pPr>
        <w:spacing w:after="120" w:line="480" w:lineRule="auto"/>
      </w:pPr>
      <w:r>
        <w:t>Codd, H 2008),</w:t>
      </w:r>
      <w:r w:rsidR="008C6C44" w:rsidRPr="00517415">
        <w:t xml:space="preserve"> </w:t>
      </w:r>
      <w:r>
        <w:rPr>
          <w:i/>
        </w:rPr>
        <w:t>In the shadow of prison: Families, imprisonment, and criminal j</w:t>
      </w:r>
      <w:r w:rsidR="008C6C44" w:rsidRPr="00517415">
        <w:rPr>
          <w:i/>
        </w:rPr>
        <w:t>ustice</w:t>
      </w:r>
      <w:r>
        <w:t xml:space="preserve">. Portland, </w:t>
      </w:r>
      <w:r w:rsidR="008C6C44" w:rsidRPr="00517415">
        <w:t>Willan Publishing.</w:t>
      </w:r>
    </w:p>
    <w:p w14:paraId="2F2840EC" w14:textId="0B1ED812" w:rsidR="008C6C44" w:rsidRPr="00517415" w:rsidRDefault="00517415" w:rsidP="001E4761">
      <w:pPr>
        <w:spacing w:after="120" w:line="480" w:lineRule="auto"/>
      </w:pPr>
      <w:r>
        <w:t>Fukuyama, F 2001,</w:t>
      </w:r>
      <w:r w:rsidR="008C6C44" w:rsidRPr="00517415">
        <w:t xml:space="preserve"> </w:t>
      </w:r>
      <w:r>
        <w:t>‘</w:t>
      </w:r>
      <w:r w:rsidR="008C6C44" w:rsidRPr="00517415">
        <w:t>Social capital,</w:t>
      </w:r>
      <w:r>
        <w:t xml:space="preserve"> civil society and development’, </w:t>
      </w:r>
      <w:r w:rsidR="008C6C44" w:rsidRPr="00517415">
        <w:rPr>
          <w:i/>
        </w:rPr>
        <w:t>Third World Quarterly</w:t>
      </w:r>
      <w:r>
        <w:t>, vol. 22, no. 1, pp. 7-20.</w:t>
      </w:r>
      <w:r w:rsidR="008C6C44" w:rsidRPr="00517415">
        <w:t xml:space="preserve"> </w:t>
      </w:r>
    </w:p>
    <w:p w14:paraId="364F6AFD" w14:textId="36B502A1" w:rsidR="008C6C44" w:rsidRPr="00517415" w:rsidRDefault="00517415" w:rsidP="001E4761">
      <w:pPr>
        <w:spacing w:after="120" w:line="480" w:lineRule="auto"/>
      </w:pPr>
      <w:r>
        <w:t>Granfield, R &amp; Cloud, W 1999,</w:t>
      </w:r>
      <w:r w:rsidR="008C6C44" w:rsidRPr="00517415">
        <w:t xml:space="preserve"> </w:t>
      </w:r>
      <w:r w:rsidR="008C6C44" w:rsidRPr="00517415">
        <w:rPr>
          <w:i/>
        </w:rPr>
        <w:t>Coming clean: Overcoming addiction without treatment</w:t>
      </w:r>
      <w:r>
        <w:t>, New York,</w:t>
      </w:r>
      <w:r w:rsidR="008C6C44" w:rsidRPr="00517415">
        <w:t xml:space="preserve"> New York University Press.</w:t>
      </w:r>
    </w:p>
    <w:p w14:paraId="161E7099" w14:textId="77777777" w:rsidR="00EF1821" w:rsidRPr="00517415" w:rsidRDefault="00EF1821" w:rsidP="001E4761">
      <w:pPr>
        <w:spacing w:after="120" w:line="480" w:lineRule="auto"/>
      </w:pPr>
      <w:r>
        <w:lastRenderedPageBreak/>
        <w:t>Groshkova, T, Best, D &amp;</w:t>
      </w:r>
      <w:r w:rsidRPr="00517415">
        <w:t xml:space="preserve"> </w:t>
      </w:r>
      <w:r>
        <w:t xml:space="preserve">White, W 2012, </w:t>
      </w:r>
      <w:r w:rsidRPr="00517415">
        <w:t xml:space="preserve">‘The assessment of recovery capital: properties and psychometrics of a measure of addiction recovery strengths’, </w:t>
      </w:r>
      <w:r w:rsidRPr="00517415">
        <w:rPr>
          <w:i/>
          <w:iCs/>
        </w:rPr>
        <w:t>Drug and Alcohol Review</w:t>
      </w:r>
      <w:r w:rsidRPr="00517415">
        <w:t xml:space="preserve">, </w:t>
      </w:r>
      <w:r>
        <w:t xml:space="preserve">vol. 32, no. 2, pp. </w:t>
      </w:r>
      <w:r w:rsidRPr="00517415">
        <w:t>187-94.</w:t>
      </w:r>
      <w:r w:rsidRPr="00517415" w:rsidDel="006F398F">
        <w:t xml:space="preserve"> </w:t>
      </w:r>
    </w:p>
    <w:p w14:paraId="28D26AC3" w14:textId="73A1FE12" w:rsidR="00EF1821" w:rsidRPr="00517415" w:rsidRDefault="00EF1821" w:rsidP="001E4761">
      <w:pPr>
        <w:spacing w:after="120" w:line="480" w:lineRule="auto"/>
      </w:pPr>
      <w:r w:rsidRPr="00517415">
        <w:t>H</w:t>
      </w:r>
      <w:r>
        <w:t xml:space="preserve">all, L </w:t>
      </w:r>
      <w:r w:rsidRPr="00517415">
        <w:t>20</w:t>
      </w:r>
      <w:r>
        <w:t xml:space="preserve">19, </w:t>
      </w:r>
      <w:r w:rsidRPr="00EF1821">
        <w:rPr>
          <w:i/>
        </w:rPr>
        <w:t>The s</w:t>
      </w:r>
      <w:r>
        <w:rPr>
          <w:i/>
        </w:rPr>
        <w:t>ocial c</w:t>
      </w:r>
      <w:r w:rsidRPr="00EF1821">
        <w:rPr>
          <w:i/>
        </w:rPr>
        <w:t>omponents model of recovery from addiction and desistance from crime</w:t>
      </w:r>
      <w:r>
        <w:t>. Unpublished PhD t</w:t>
      </w:r>
      <w:r w:rsidRPr="00517415">
        <w:t>hesis</w:t>
      </w:r>
      <w:r>
        <w:t>, Sheffield Hallam University. A</w:t>
      </w:r>
      <w:r w:rsidRPr="00517415">
        <w:t xml:space="preserve">vailable from: </w:t>
      </w:r>
      <w:hyperlink r:id="rId9" w:history="1">
        <w:r w:rsidRPr="00843C4F">
          <w:rPr>
            <w:rStyle w:val="Hyperlink"/>
          </w:rPr>
          <w:t>http://shura.shu.ac.uk/25581/</w:t>
        </w:r>
      </w:hyperlink>
      <w:r>
        <w:t xml:space="preserve"> </w:t>
      </w:r>
    </w:p>
    <w:p w14:paraId="2B5671C4" w14:textId="4B66352E" w:rsidR="00EF1821" w:rsidRDefault="00EF1821" w:rsidP="001E4761">
      <w:pPr>
        <w:spacing w:after="120" w:line="480" w:lineRule="auto"/>
      </w:pPr>
      <w:r>
        <w:t>Hall, L</w:t>
      </w:r>
      <w:r w:rsidRPr="00517415">
        <w:t>, Best, D</w:t>
      </w:r>
      <w:r>
        <w:t>, Ogdon-Webb, C, Dixon, J &amp; Heslop, R 2018, ‘Building bridges to the community: T</w:t>
      </w:r>
      <w:r w:rsidRPr="00517415">
        <w:t>he K</w:t>
      </w:r>
      <w:r>
        <w:t>irkham Family Connectors (KFC) prison programme’, </w:t>
      </w:r>
      <w:r w:rsidRPr="00EF1821">
        <w:rPr>
          <w:i/>
        </w:rPr>
        <w:t>Howard Journal of Crime and Justice</w:t>
      </w:r>
      <w:r>
        <w:t>, vol. 4</w:t>
      </w:r>
      <w:r w:rsidRPr="00517415">
        <w:t>,</w:t>
      </w:r>
      <w:r w:rsidR="00F446A5">
        <w:t xml:space="preserve"> no. 4,</w:t>
      </w:r>
      <w:r w:rsidRPr="00517415">
        <w:t xml:space="preserve"> p</w:t>
      </w:r>
      <w:r w:rsidR="00F446A5">
        <w:t>p</w:t>
      </w:r>
      <w:r w:rsidRPr="00517415">
        <w:t>. 518</w:t>
      </w:r>
      <w:r w:rsidR="00F446A5">
        <w:t>-536</w:t>
      </w:r>
      <w:r w:rsidRPr="00517415">
        <w:t xml:space="preserve">. </w:t>
      </w:r>
    </w:p>
    <w:p w14:paraId="49A0F4EE" w14:textId="7082354B" w:rsidR="00214B42" w:rsidRPr="00C54702" w:rsidRDefault="00214B42" w:rsidP="001E4761">
      <w:pPr>
        <w:spacing w:after="120" w:line="480" w:lineRule="auto"/>
      </w:pPr>
      <w:r>
        <w:t xml:space="preserve">Halsey, M 2016, </w:t>
      </w:r>
      <w:r w:rsidR="00C54702">
        <w:t xml:space="preserve">‘In search of desistance: Notes from an Australian study’. In J Shapland, S. Farrell &amp; A, Bottoms (eds.), </w:t>
      </w:r>
      <w:r w:rsidR="00C54702">
        <w:rPr>
          <w:i/>
        </w:rPr>
        <w:t>Global perspectives on desistance</w:t>
      </w:r>
      <w:r w:rsidR="00C54702">
        <w:t xml:space="preserve">. Routledge, </w:t>
      </w:r>
    </w:p>
    <w:p w14:paraId="2E572526" w14:textId="128979E8" w:rsidR="00EF1821" w:rsidRPr="00517415" w:rsidRDefault="00EF1821" w:rsidP="001E4761">
      <w:pPr>
        <w:pStyle w:val="APAReferenceList"/>
        <w:spacing w:after="120"/>
        <w:ind w:left="0" w:firstLine="0"/>
        <w:rPr>
          <w:rFonts w:asciiTheme="minorHAnsi" w:hAnsiTheme="minorHAnsi" w:cstheme="minorHAnsi"/>
          <w:sz w:val="22"/>
          <w:lang w:val="en-AU"/>
        </w:rPr>
      </w:pPr>
      <w:r w:rsidRPr="00F446A5">
        <w:rPr>
          <w:rFonts w:asciiTheme="minorHAnsi" w:hAnsiTheme="minorHAnsi" w:cstheme="minorHAnsi"/>
          <w:sz w:val="22"/>
          <w:lang w:val="en-AU"/>
        </w:rPr>
        <w:t xml:space="preserve">Hamilton, S, Reibel, T, Mutch, Kippin, N, Freeman, J, Passmore, H, Safe, B. O’Donnell, M &amp; Bower, C 2019, ‘“He has problems; he is not the problem …” A qualitative study of noncustodial staff providing services for young offenders assessed for Foetal Alcohol Spectrum Disorder in an Australian youth detention centre’, </w:t>
      </w:r>
      <w:r w:rsidRPr="00F446A5">
        <w:rPr>
          <w:rFonts w:asciiTheme="minorHAnsi" w:hAnsiTheme="minorHAnsi" w:cstheme="minorHAnsi"/>
          <w:i/>
          <w:iCs/>
          <w:sz w:val="22"/>
          <w:lang w:val="en-AU"/>
        </w:rPr>
        <w:t>Youth Justice</w:t>
      </w:r>
      <w:r w:rsidRPr="00F446A5">
        <w:rPr>
          <w:rFonts w:asciiTheme="minorHAnsi" w:hAnsiTheme="minorHAnsi" w:cstheme="minorHAnsi"/>
          <w:sz w:val="22"/>
          <w:lang w:val="en-AU"/>
        </w:rPr>
        <w:t xml:space="preserve">, vol. </w:t>
      </w:r>
      <w:r w:rsidRPr="00F446A5">
        <w:rPr>
          <w:rFonts w:asciiTheme="minorHAnsi" w:hAnsiTheme="minorHAnsi" w:cstheme="minorHAnsi"/>
          <w:iCs/>
          <w:sz w:val="22"/>
          <w:lang w:val="en-AU"/>
        </w:rPr>
        <w:t>19</w:t>
      </w:r>
      <w:r w:rsidRPr="00F446A5">
        <w:rPr>
          <w:rFonts w:asciiTheme="minorHAnsi" w:hAnsiTheme="minorHAnsi" w:cstheme="minorHAnsi"/>
          <w:sz w:val="22"/>
          <w:lang w:val="en-AU"/>
        </w:rPr>
        <w:t>, no. 2, pp.</w:t>
      </w:r>
      <w:r w:rsidR="00F446A5" w:rsidRPr="00F446A5">
        <w:rPr>
          <w:rFonts w:asciiTheme="minorHAnsi" w:hAnsiTheme="minorHAnsi" w:cstheme="minorHAnsi"/>
          <w:sz w:val="22"/>
          <w:lang w:val="en-AU"/>
        </w:rPr>
        <w:t xml:space="preserve"> 137-</w:t>
      </w:r>
      <w:r w:rsidRPr="00F446A5">
        <w:rPr>
          <w:rFonts w:asciiTheme="minorHAnsi" w:hAnsiTheme="minorHAnsi" w:cstheme="minorHAnsi"/>
          <w:sz w:val="22"/>
          <w:lang w:val="en-AU"/>
        </w:rPr>
        <w:t xml:space="preserve">157. </w:t>
      </w:r>
    </w:p>
    <w:p w14:paraId="05861483" w14:textId="35C386C4" w:rsidR="00EF1821" w:rsidRPr="007365B7" w:rsidRDefault="00D2570E" w:rsidP="001E4761">
      <w:pPr>
        <w:pStyle w:val="APAReferenceList"/>
        <w:spacing w:after="120"/>
        <w:ind w:left="0" w:firstLine="0"/>
        <w:rPr>
          <w:rFonts w:asciiTheme="minorHAnsi" w:hAnsiTheme="minorHAnsi"/>
          <w:sz w:val="22"/>
        </w:rPr>
      </w:pPr>
      <w:r w:rsidRPr="007365B7">
        <w:rPr>
          <w:rFonts w:asciiTheme="minorHAnsi" w:hAnsiTheme="minorHAnsi" w:cstheme="minorHAnsi"/>
          <w:sz w:val="22"/>
          <w:lang w:val="en-AU"/>
        </w:rPr>
        <w:t xml:space="preserve">Hamilton, S, </w:t>
      </w:r>
      <w:r w:rsidR="007365B7" w:rsidRPr="007365B7">
        <w:rPr>
          <w:rFonts w:asciiTheme="minorHAnsi" w:hAnsiTheme="minorHAnsi"/>
          <w:sz w:val="22"/>
        </w:rPr>
        <w:t>Maslen, S, Best, D</w:t>
      </w:r>
      <w:r w:rsidR="00EF1821" w:rsidRPr="007365B7">
        <w:rPr>
          <w:rFonts w:asciiTheme="minorHAnsi" w:hAnsiTheme="minorHAnsi"/>
          <w:sz w:val="22"/>
        </w:rPr>
        <w:t>, Freeman, J</w:t>
      </w:r>
      <w:r w:rsidR="007365B7" w:rsidRPr="007365B7">
        <w:rPr>
          <w:rFonts w:asciiTheme="minorHAnsi" w:hAnsiTheme="minorHAnsi"/>
          <w:sz w:val="22"/>
        </w:rPr>
        <w:t>., O’Donnell, M, Reibel, T, Mutch, R &amp; Watkins, R 2020</w:t>
      </w:r>
      <w:r w:rsidR="00FA058E">
        <w:rPr>
          <w:rFonts w:asciiTheme="minorHAnsi" w:hAnsiTheme="minorHAnsi"/>
          <w:sz w:val="22"/>
        </w:rPr>
        <w:t>(a)</w:t>
      </w:r>
      <w:r w:rsidR="007365B7" w:rsidRPr="007365B7">
        <w:rPr>
          <w:rFonts w:asciiTheme="minorHAnsi" w:hAnsiTheme="minorHAnsi"/>
          <w:sz w:val="22"/>
        </w:rPr>
        <w:t>,</w:t>
      </w:r>
      <w:r w:rsidR="00EF1821" w:rsidRPr="007365B7">
        <w:rPr>
          <w:rFonts w:asciiTheme="minorHAnsi" w:hAnsiTheme="minorHAnsi"/>
          <w:sz w:val="22"/>
        </w:rPr>
        <w:t xml:space="preserve"> </w:t>
      </w:r>
      <w:r w:rsidR="007365B7" w:rsidRPr="007365B7">
        <w:rPr>
          <w:rFonts w:asciiTheme="minorHAnsi" w:hAnsiTheme="minorHAnsi"/>
          <w:sz w:val="22"/>
        </w:rPr>
        <w:t>‘Putting “justice”</w:t>
      </w:r>
      <w:r w:rsidR="00EF1821" w:rsidRPr="007365B7">
        <w:rPr>
          <w:rFonts w:asciiTheme="minorHAnsi" w:hAnsiTheme="minorHAnsi"/>
          <w:sz w:val="22"/>
        </w:rPr>
        <w:t xml:space="preserve"> in recovery capital: Yarning about hopes and futures with young people in detention</w:t>
      </w:r>
      <w:r w:rsidR="00495834">
        <w:rPr>
          <w:rFonts w:asciiTheme="minorHAnsi" w:hAnsiTheme="minorHAnsi"/>
          <w:sz w:val="22"/>
        </w:rPr>
        <w:t>’</w:t>
      </w:r>
      <w:r w:rsidR="00EF1821" w:rsidRPr="007365B7">
        <w:rPr>
          <w:rFonts w:asciiTheme="minorHAnsi" w:hAnsiTheme="minorHAnsi"/>
          <w:sz w:val="22"/>
        </w:rPr>
        <w:t xml:space="preserve">, </w:t>
      </w:r>
      <w:r w:rsidR="00EF1821" w:rsidRPr="007365B7">
        <w:rPr>
          <w:rFonts w:asciiTheme="minorHAnsi" w:hAnsiTheme="minorHAnsi"/>
          <w:i/>
          <w:sz w:val="22"/>
        </w:rPr>
        <w:t>International Journal for Crime, Justice and Social Democracy</w:t>
      </w:r>
      <w:r w:rsidR="00EF1821" w:rsidRPr="007365B7">
        <w:rPr>
          <w:rFonts w:asciiTheme="minorHAnsi" w:hAnsiTheme="minorHAnsi"/>
          <w:sz w:val="22"/>
        </w:rPr>
        <w:t xml:space="preserve">, </w:t>
      </w:r>
      <w:hyperlink r:id="rId10" w:history="1">
        <w:r w:rsidR="00EF1821" w:rsidRPr="007365B7">
          <w:rPr>
            <w:rFonts w:asciiTheme="minorHAnsi" w:hAnsiTheme="minorHAnsi"/>
            <w:sz w:val="22"/>
          </w:rPr>
          <w:t>https://doi.org/10.5204/ijcjsd.v9i2.1256</w:t>
        </w:r>
      </w:hyperlink>
      <w:r w:rsidR="00EF1821" w:rsidRPr="007365B7">
        <w:rPr>
          <w:rFonts w:asciiTheme="minorHAnsi" w:hAnsiTheme="minorHAnsi"/>
          <w:sz w:val="22"/>
        </w:rPr>
        <w:t xml:space="preserve"> (early online)</w:t>
      </w:r>
      <w:r w:rsidR="00495834">
        <w:rPr>
          <w:rFonts w:asciiTheme="minorHAnsi" w:hAnsiTheme="minorHAnsi"/>
          <w:sz w:val="22"/>
        </w:rPr>
        <w:t>.</w:t>
      </w:r>
      <w:r w:rsidR="00EF1821" w:rsidRPr="007365B7">
        <w:rPr>
          <w:rFonts w:asciiTheme="minorHAnsi" w:hAnsiTheme="minorHAnsi"/>
          <w:sz w:val="22"/>
        </w:rPr>
        <w:t xml:space="preserve"> </w:t>
      </w:r>
    </w:p>
    <w:p w14:paraId="31891F24" w14:textId="1AFABE97" w:rsidR="00FF56D9" w:rsidRDefault="00FF56D9" w:rsidP="00FF56D9">
      <w:pPr>
        <w:pStyle w:val="APAReferenceList"/>
        <w:spacing w:after="120"/>
        <w:ind w:left="0" w:firstLine="0"/>
        <w:rPr>
          <w:rFonts w:asciiTheme="minorHAnsi" w:hAnsiTheme="minorHAnsi" w:cstheme="minorHAnsi"/>
          <w:sz w:val="22"/>
          <w:lang w:val="en-AU"/>
        </w:rPr>
      </w:pPr>
      <w:r w:rsidRPr="00FF56D9">
        <w:rPr>
          <w:rFonts w:asciiTheme="minorHAnsi" w:hAnsiTheme="minorHAnsi" w:cstheme="minorHAnsi"/>
          <w:sz w:val="22"/>
          <w:lang w:val="en-AU"/>
        </w:rPr>
        <w:t>Hamilton, S, Reibel, T, Maslen, S, Watkins, R, Freeman, J, Passmore, H, Mutch, R,</w:t>
      </w:r>
      <w:r>
        <w:rPr>
          <w:rFonts w:asciiTheme="minorHAnsi" w:hAnsiTheme="minorHAnsi" w:cstheme="minorHAnsi"/>
          <w:sz w:val="22"/>
          <w:lang w:val="en-AU"/>
        </w:rPr>
        <w:t xml:space="preserve"> O’Donnell, M, Braithwaite, V &amp; Bower, C. 2020</w:t>
      </w:r>
      <w:r w:rsidR="00FA058E">
        <w:rPr>
          <w:rFonts w:asciiTheme="minorHAnsi" w:hAnsiTheme="minorHAnsi" w:cstheme="minorHAnsi"/>
          <w:sz w:val="22"/>
          <w:lang w:val="en-AU"/>
        </w:rPr>
        <w:t>(b)</w:t>
      </w:r>
      <w:r>
        <w:rPr>
          <w:rFonts w:asciiTheme="minorHAnsi" w:hAnsiTheme="minorHAnsi" w:cstheme="minorHAnsi"/>
          <w:sz w:val="22"/>
          <w:lang w:val="en-AU"/>
        </w:rPr>
        <w:t>,</w:t>
      </w:r>
      <w:r w:rsidRPr="00517415">
        <w:rPr>
          <w:rFonts w:asciiTheme="minorHAnsi" w:hAnsiTheme="minorHAnsi" w:cstheme="minorHAnsi"/>
          <w:sz w:val="22"/>
          <w:lang w:val="en-AU"/>
        </w:rPr>
        <w:t xml:space="preserve"> </w:t>
      </w:r>
      <w:r>
        <w:rPr>
          <w:rFonts w:asciiTheme="minorHAnsi" w:hAnsiTheme="minorHAnsi" w:cstheme="minorHAnsi"/>
          <w:sz w:val="22"/>
          <w:lang w:val="en-AU"/>
        </w:rPr>
        <w:t>‘Disability “in-justice”</w:t>
      </w:r>
      <w:r w:rsidRPr="00517415">
        <w:rPr>
          <w:rFonts w:asciiTheme="minorHAnsi" w:hAnsiTheme="minorHAnsi" w:cstheme="minorHAnsi"/>
          <w:sz w:val="22"/>
          <w:lang w:val="en-AU"/>
        </w:rPr>
        <w:t xml:space="preserve">: </w:t>
      </w:r>
      <w:r>
        <w:rPr>
          <w:rFonts w:asciiTheme="minorHAnsi" w:hAnsiTheme="minorHAnsi" w:cstheme="minorHAnsi"/>
          <w:sz w:val="22"/>
          <w:lang w:val="en-AU"/>
        </w:rPr>
        <w:t>The benefits and challenges of “yarning”</w:t>
      </w:r>
      <w:r w:rsidRPr="00517415">
        <w:rPr>
          <w:rFonts w:asciiTheme="minorHAnsi" w:hAnsiTheme="minorHAnsi" w:cstheme="minorHAnsi"/>
          <w:sz w:val="22"/>
          <w:lang w:val="en-AU"/>
        </w:rPr>
        <w:t xml:space="preserve"> with young people undergoing diagnostic assessment for Fetal Alcohol Spectrum Disor</w:t>
      </w:r>
      <w:r>
        <w:rPr>
          <w:rFonts w:asciiTheme="minorHAnsi" w:hAnsiTheme="minorHAnsi" w:cstheme="minorHAnsi"/>
          <w:sz w:val="22"/>
          <w:lang w:val="en-AU"/>
        </w:rPr>
        <w:t>der in a youth detention centre’,</w:t>
      </w:r>
      <w:r w:rsidRPr="00517415">
        <w:rPr>
          <w:rFonts w:asciiTheme="minorHAnsi" w:hAnsiTheme="minorHAnsi" w:cstheme="minorHAnsi"/>
          <w:sz w:val="22"/>
          <w:lang w:val="en-AU"/>
        </w:rPr>
        <w:t xml:space="preserve"> </w:t>
      </w:r>
      <w:r w:rsidRPr="00517415">
        <w:rPr>
          <w:rFonts w:asciiTheme="minorHAnsi" w:hAnsiTheme="minorHAnsi" w:cstheme="minorHAnsi"/>
          <w:i/>
          <w:iCs/>
          <w:sz w:val="22"/>
          <w:lang w:val="en-AU"/>
        </w:rPr>
        <w:t>Qualitative Health Research</w:t>
      </w:r>
      <w:r w:rsidRPr="00952FDD">
        <w:rPr>
          <w:rFonts w:asciiTheme="minorHAnsi" w:hAnsiTheme="minorHAnsi" w:cstheme="minorHAnsi"/>
          <w:sz w:val="22"/>
          <w:lang w:val="en-AU"/>
        </w:rPr>
        <w:t>,</w:t>
      </w:r>
      <w:r>
        <w:rPr>
          <w:rFonts w:asciiTheme="minorHAnsi" w:hAnsiTheme="minorHAnsi" w:cstheme="minorHAnsi"/>
          <w:sz w:val="22"/>
          <w:lang w:val="en-AU"/>
        </w:rPr>
        <w:t xml:space="preserve"> vol.</w:t>
      </w:r>
      <w:r w:rsidRPr="00952FDD">
        <w:rPr>
          <w:rFonts w:asciiTheme="minorHAnsi" w:hAnsiTheme="minorHAnsi" w:cstheme="minorHAnsi"/>
          <w:sz w:val="22"/>
          <w:lang w:val="en-AU"/>
        </w:rPr>
        <w:t xml:space="preserve"> </w:t>
      </w:r>
      <w:r w:rsidRPr="00952FDD">
        <w:rPr>
          <w:rFonts w:asciiTheme="minorHAnsi" w:hAnsiTheme="minorHAnsi" w:cstheme="minorHAnsi"/>
          <w:iCs/>
          <w:sz w:val="22"/>
          <w:lang w:val="en-AU"/>
        </w:rPr>
        <w:t>30</w:t>
      </w:r>
      <w:r>
        <w:rPr>
          <w:rFonts w:asciiTheme="minorHAnsi" w:hAnsiTheme="minorHAnsi" w:cstheme="minorHAnsi"/>
          <w:sz w:val="22"/>
          <w:lang w:val="en-AU"/>
        </w:rPr>
        <w:t xml:space="preserve"> no. 2</w:t>
      </w:r>
      <w:r w:rsidRPr="00517415">
        <w:rPr>
          <w:rFonts w:asciiTheme="minorHAnsi" w:hAnsiTheme="minorHAnsi" w:cstheme="minorHAnsi"/>
          <w:sz w:val="22"/>
          <w:lang w:val="en-AU"/>
        </w:rPr>
        <w:t xml:space="preserve">, </w:t>
      </w:r>
      <w:r>
        <w:rPr>
          <w:rFonts w:asciiTheme="minorHAnsi" w:hAnsiTheme="minorHAnsi" w:cstheme="minorHAnsi"/>
          <w:sz w:val="22"/>
          <w:lang w:val="en-AU"/>
        </w:rPr>
        <w:t>pp. 314-</w:t>
      </w:r>
      <w:r w:rsidRPr="00517415">
        <w:rPr>
          <w:rFonts w:asciiTheme="minorHAnsi" w:hAnsiTheme="minorHAnsi" w:cstheme="minorHAnsi"/>
          <w:sz w:val="22"/>
          <w:lang w:val="en-AU"/>
        </w:rPr>
        <w:t xml:space="preserve">327. </w:t>
      </w:r>
    </w:p>
    <w:p w14:paraId="0307222C" w14:textId="082C413D" w:rsidR="00560D66" w:rsidRPr="00560D66" w:rsidRDefault="00560D66" w:rsidP="00560D66">
      <w:pPr>
        <w:pStyle w:val="APAReferenceList"/>
        <w:rPr>
          <w:rFonts w:asciiTheme="minorHAnsi" w:hAnsiTheme="minorHAnsi" w:cstheme="minorHAnsi"/>
          <w:sz w:val="22"/>
          <w:lang w:val="en-AU"/>
        </w:rPr>
      </w:pPr>
      <w:r w:rsidRPr="00560D66">
        <w:rPr>
          <w:rFonts w:asciiTheme="minorHAnsi" w:hAnsiTheme="minorHAnsi" w:cstheme="minorHAnsi"/>
          <w:sz w:val="22"/>
          <w:lang w:val="en-AU"/>
        </w:rPr>
        <w:t>Hamilton, S, Maslen, S, Conigrave, K, Mutch, R, Watkins, R, O’Donnell, M, Freeman, J,</w:t>
      </w:r>
    </w:p>
    <w:p w14:paraId="4DF41433" w14:textId="71BBE438" w:rsidR="00560D66" w:rsidRPr="00560D66" w:rsidRDefault="00560D66" w:rsidP="00560D66">
      <w:pPr>
        <w:pStyle w:val="APAReferenceList"/>
        <w:rPr>
          <w:rFonts w:asciiTheme="minorHAnsi" w:hAnsiTheme="minorHAnsi" w:cstheme="minorHAnsi"/>
          <w:sz w:val="22"/>
          <w:lang w:val="en-AU"/>
        </w:rPr>
      </w:pPr>
      <w:r w:rsidRPr="00560D66">
        <w:rPr>
          <w:rFonts w:asciiTheme="minorHAnsi" w:hAnsiTheme="minorHAnsi" w:cstheme="minorHAnsi"/>
          <w:sz w:val="22"/>
          <w:lang w:val="en-AU"/>
        </w:rPr>
        <w:t>&amp; Bower, C. 2020</w:t>
      </w:r>
      <w:r w:rsidR="00FA058E">
        <w:rPr>
          <w:rFonts w:asciiTheme="minorHAnsi" w:hAnsiTheme="minorHAnsi" w:cstheme="minorHAnsi"/>
          <w:sz w:val="22"/>
          <w:lang w:val="en-AU"/>
        </w:rPr>
        <w:t>(c),</w:t>
      </w:r>
      <w:r w:rsidRPr="00560D66">
        <w:rPr>
          <w:rFonts w:asciiTheme="minorHAnsi" w:hAnsiTheme="minorHAnsi" w:cstheme="minorHAnsi"/>
          <w:sz w:val="22"/>
          <w:lang w:val="en-AU"/>
        </w:rPr>
        <w:t xml:space="preserve"> ‘‘That thing in his head’: Aboriginal and non-Aboriginal caregiver </w:t>
      </w:r>
    </w:p>
    <w:p w14:paraId="45B14CF0" w14:textId="6A9685F8" w:rsidR="00560D66" w:rsidRDefault="00560D66" w:rsidP="00560D66">
      <w:pPr>
        <w:pStyle w:val="APAReferenceList"/>
        <w:spacing w:after="240"/>
        <w:ind w:left="0" w:firstLine="0"/>
        <w:rPr>
          <w:rFonts w:asciiTheme="minorHAnsi" w:hAnsiTheme="minorHAnsi" w:cstheme="minorHAnsi"/>
          <w:sz w:val="22"/>
          <w:lang w:val="en-AU"/>
        </w:rPr>
      </w:pPr>
      <w:r w:rsidRPr="00560D66">
        <w:rPr>
          <w:rFonts w:asciiTheme="minorHAnsi" w:hAnsiTheme="minorHAnsi" w:cstheme="minorHAnsi"/>
          <w:sz w:val="22"/>
          <w:lang w:val="en-AU"/>
        </w:rPr>
        <w:lastRenderedPageBreak/>
        <w:t xml:space="preserve">responses to Fetal Alcohol Spectrum Disorder diagnosis’. </w:t>
      </w:r>
      <w:r w:rsidRPr="00560D66">
        <w:rPr>
          <w:rFonts w:asciiTheme="minorHAnsi" w:hAnsiTheme="minorHAnsi" w:cstheme="minorHAnsi"/>
          <w:i/>
          <w:iCs/>
          <w:sz w:val="22"/>
          <w:lang w:val="en-AU"/>
        </w:rPr>
        <w:t>Sociology of Health and Illness</w:t>
      </w:r>
      <w:r w:rsidRPr="00560D66">
        <w:rPr>
          <w:rFonts w:asciiTheme="minorHAnsi" w:hAnsiTheme="minorHAnsi" w:cstheme="minorHAnsi"/>
          <w:sz w:val="22"/>
          <w:lang w:val="en-AU"/>
        </w:rPr>
        <w:t>. Early view. doi: 10.1111/1467-9566.13146</w:t>
      </w:r>
    </w:p>
    <w:p w14:paraId="046A9D23" w14:textId="77777777" w:rsidR="003742F8" w:rsidRPr="001E4761" w:rsidRDefault="003742F8" w:rsidP="003742F8">
      <w:pPr>
        <w:spacing w:after="120" w:line="480" w:lineRule="auto"/>
      </w:pPr>
      <w:r>
        <w:t xml:space="preserve">Heckenberg, D 2011, </w:t>
      </w:r>
      <w:r w:rsidRPr="001E4761">
        <w:t>What makes a good case study and what is a case study and what is it good for?</w:t>
      </w:r>
      <w:r>
        <w:t xml:space="preserve"> In L. Bartels &amp; K. Richards (eds.), </w:t>
      </w:r>
      <w:r w:rsidRPr="003742F8">
        <w:rPr>
          <w:i/>
        </w:rPr>
        <w:t>Qualitative criminology: Stories from the field</w:t>
      </w:r>
      <w:r>
        <w:t>,</w:t>
      </w:r>
      <w:r w:rsidRPr="00B744E3">
        <w:t xml:space="preserve"> </w:t>
      </w:r>
      <w:r>
        <w:t>Sydney,</w:t>
      </w:r>
      <w:r w:rsidRPr="00B744E3">
        <w:t xml:space="preserve"> Hawkins Press</w:t>
      </w:r>
      <w:r>
        <w:t>.</w:t>
      </w:r>
      <w:r w:rsidRPr="00B744E3">
        <w:t xml:space="preserve"> </w:t>
      </w:r>
    </w:p>
    <w:p w14:paraId="03CDA8CE" w14:textId="49BB4502" w:rsidR="00EF1821" w:rsidRDefault="001E4761" w:rsidP="001E4761">
      <w:pPr>
        <w:spacing w:after="120" w:line="480" w:lineRule="auto"/>
      </w:pPr>
      <w:r>
        <w:t>Hennessy, E 2017,</w:t>
      </w:r>
      <w:r w:rsidRPr="00517415">
        <w:t xml:space="preserve"> </w:t>
      </w:r>
      <w:r>
        <w:t>‘</w:t>
      </w:r>
      <w:r w:rsidRPr="00517415">
        <w:t>Recovery capital: A systematic review of the literature</w:t>
      </w:r>
      <w:r>
        <w:t>’</w:t>
      </w:r>
      <w:r w:rsidRPr="00517415">
        <w:t xml:space="preserve">, </w:t>
      </w:r>
      <w:r w:rsidRPr="00517415">
        <w:rPr>
          <w:i/>
          <w:iCs/>
        </w:rPr>
        <w:t>Addiction Research and Theory</w:t>
      </w:r>
      <w:r w:rsidRPr="00517415">
        <w:t xml:space="preserve">, </w:t>
      </w:r>
      <w:r>
        <w:t>vol. 25, no. 5</w:t>
      </w:r>
      <w:r w:rsidRPr="00517415">
        <w:t xml:space="preserve">, </w:t>
      </w:r>
      <w:r>
        <w:t xml:space="preserve">pp. </w:t>
      </w:r>
      <w:r w:rsidRPr="00517415">
        <w:t>349-360.</w:t>
      </w:r>
    </w:p>
    <w:p w14:paraId="00B1AD5C" w14:textId="18D9DF9D" w:rsidR="001E4761" w:rsidRPr="001E4761" w:rsidRDefault="001E4761" w:rsidP="001E4761">
      <w:pPr>
        <w:spacing w:after="120" w:line="480" w:lineRule="auto"/>
      </w:pPr>
    </w:p>
    <w:p w14:paraId="663DCF95" w14:textId="7CD73286" w:rsidR="008C6C44" w:rsidRPr="00517415" w:rsidRDefault="00495834" w:rsidP="001E4761">
      <w:pPr>
        <w:spacing w:after="120" w:line="480" w:lineRule="auto"/>
      </w:pPr>
      <w:proofErr w:type="spellStart"/>
      <w:r>
        <w:t>Kawachi</w:t>
      </w:r>
      <w:proofErr w:type="spellEnd"/>
      <w:r>
        <w:t>, I, Kennedy, B &amp; Wilkinson, R 1999, ‘Crime: S</w:t>
      </w:r>
      <w:r w:rsidR="008C6C44" w:rsidRPr="00517415">
        <w:t>ocial disorgani</w:t>
      </w:r>
      <w:r>
        <w:t>zation and relative deprivation’,</w:t>
      </w:r>
      <w:r w:rsidR="008C6C44" w:rsidRPr="00517415">
        <w:t xml:space="preserve"> </w:t>
      </w:r>
      <w:r w:rsidR="008C6C44" w:rsidRPr="00495834">
        <w:rPr>
          <w:i/>
        </w:rPr>
        <w:t>Social Science &amp; Medicine</w:t>
      </w:r>
      <w:r>
        <w:t>,</w:t>
      </w:r>
      <w:r w:rsidR="008C6C44" w:rsidRPr="00517415">
        <w:t xml:space="preserve"> </w:t>
      </w:r>
      <w:r>
        <w:t>vol. 48, pp.</w:t>
      </w:r>
      <w:r w:rsidR="008C6C44" w:rsidRPr="00517415">
        <w:t xml:space="preserve"> 719-731</w:t>
      </w:r>
      <w:r>
        <w:t>.</w:t>
      </w:r>
    </w:p>
    <w:p w14:paraId="6C517618" w14:textId="141D174D" w:rsidR="008C6C44" w:rsidRPr="00517415" w:rsidRDefault="00495834" w:rsidP="001E4761">
      <w:pPr>
        <w:spacing w:after="120" w:line="480" w:lineRule="auto"/>
      </w:pPr>
      <w:r>
        <w:t>Lantz, B &amp; Hutchison, R 2015,</w:t>
      </w:r>
      <w:r w:rsidR="008C6C44" w:rsidRPr="00517415">
        <w:t xml:space="preserve"> ‘Co-offender ties and the criminal career: The relationship between co-offender group structure and the individual offender’, </w:t>
      </w:r>
      <w:r w:rsidR="008C6C44" w:rsidRPr="00495834">
        <w:rPr>
          <w:i/>
        </w:rPr>
        <w:t>Journal of Research in Crime and Delinquency</w:t>
      </w:r>
      <w:r w:rsidR="008C6C44" w:rsidRPr="00517415">
        <w:t xml:space="preserve">, </w:t>
      </w:r>
      <w:r w:rsidR="00952FDD">
        <w:t>vol. 52 no. 5, pp. 658-</w:t>
      </w:r>
      <w:r w:rsidR="008C6C44" w:rsidRPr="00517415">
        <w:t xml:space="preserve">690. </w:t>
      </w:r>
    </w:p>
    <w:p w14:paraId="0C2C774D" w14:textId="091AE816" w:rsidR="008C6C44" w:rsidRPr="00517415" w:rsidRDefault="00952FDD" w:rsidP="001E4761">
      <w:pPr>
        <w:spacing w:after="120" w:line="480" w:lineRule="auto"/>
      </w:pPr>
      <w:r>
        <w:t>Liebling, A 2004,</w:t>
      </w:r>
      <w:r w:rsidR="008C6C44" w:rsidRPr="00517415">
        <w:t xml:space="preserve"> </w:t>
      </w:r>
      <w:r w:rsidR="008C6C44" w:rsidRPr="00952FDD">
        <w:rPr>
          <w:i/>
        </w:rPr>
        <w:t>Prisons and their moral performance: A study of values, quality and prison life</w:t>
      </w:r>
      <w:r>
        <w:t>,</w:t>
      </w:r>
      <w:r w:rsidR="008C6C44" w:rsidRPr="00517415">
        <w:t xml:space="preserve"> </w:t>
      </w:r>
      <w:r>
        <w:t xml:space="preserve">Oxford, </w:t>
      </w:r>
      <w:r w:rsidR="008C6C44" w:rsidRPr="00517415">
        <w:t xml:space="preserve">Oxford University Press. </w:t>
      </w:r>
    </w:p>
    <w:p w14:paraId="20E96CC3" w14:textId="471D042A" w:rsidR="008C6C44" w:rsidRPr="00517415" w:rsidRDefault="00952FDD" w:rsidP="001E4761">
      <w:pPr>
        <w:spacing w:after="120" w:line="480" w:lineRule="auto"/>
      </w:pPr>
      <w:r>
        <w:t>Maruna, S 2001,</w:t>
      </w:r>
      <w:r w:rsidR="008C6C44" w:rsidRPr="00517415">
        <w:t xml:space="preserve"> </w:t>
      </w:r>
      <w:r>
        <w:rPr>
          <w:i/>
        </w:rPr>
        <w:t>Making good: How ex-convicts reform and rebuild their l</w:t>
      </w:r>
      <w:r w:rsidR="008C6C44" w:rsidRPr="00517415">
        <w:rPr>
          <w:i/>
        </w:rPr>
        <w:t>ives</w:t>
      </w:r>
      <w:r>
        <w:t>, Washington, DC,</w:t>
      </w:r>
      <w:r w:rsidR="008C6C44" w:rsidRPr="00517415">
        <w:t xml:space="preserve"> American Psychological Association.</w:t>
      </w:r>
    </w:p>
    <w:p w14:paraId="35FE39A0" w14:textId="5D945896" w:rsidR="008C6C44" w:rsidRPr="00517415" w:rsidRDefault="00952FDD" w:rsidP="001E4761">
      <w:pPr>
        <w:spacing w:after="120" w:line="480" w:lineRule="auto"/>
      </w:pPr>
      <w:r>
        <w:t>Maruna, S 2012,</w:t>
      </w:r>
      <w:r w:rsidR="00C54702">
        <w:t xml:space="preserve"> </w:t>
      </w:r>
      <w:r w:rsidR="008C6C44" w:rsidRPr="00517415">
        <w:t xml:space="preserve">‘Elements of successful desistance signalling’, </w:t>
      </w:r>
      <w:r w:rsidR="008C6C44" w:rsidRPr="00517415">
        <w:rPr>
          <w:i/>
        </w:rPr>
        <w:t>Criminology and Public Policy</w:t>
      </w:r>
      <w:r w:rsidR="008C6C44" w:rsidRPr="00517415">
        <w:t xml:space="preserve">, </w:t>
      </w:r>
      <w:r>
        <w:t>vol. 11, no. 1, pp. 73-</w:t>
      </w:r>
      <w:r w:rsidR="008C6C44" w:rsidRPr="00517415">
        <w:t>86.</w:t>
      </w:r>
    </w:p>
    <w:p w14:paraId="74F57F38" w14:textId="5BD8CBF6" w:rsidR="008C6C44" w:rsidRPr="00517415" w:rsidRDefault="00952FDD" w:rsidP="001E4761">
      <w:pPr>
        <w:spacing w:after="120" w:line="480" w:lineRule="auto"/>
      </w:pPr>
      <w:r>
        <w:rPr>
          <w:lang w:val="de-DE"/>
        </w:rPr>
        <w:t>Maruna, S &amp; Farrall, S 2004,</w:t>
      </w:r>
      <w:r w:rsidR="008C6C44" w:rsidRPr="00517415">
        <w:rPr>
          <w:lang w:val="de-DE"/>
        </w:rPr>
        <w:t xml:space="preserve"> ‘Desistance from crime: A theoretical reformulation’, </w:t>
      </w:r>
      <w:r w:rsidR="008C6C44" w:rsidRPr="00517415">
        <w:rPr>
          <w:i/>
          <w:lang w:val="de-DE"/>
        </w:rPr>
        <w:t>Kolner Zeitschrift fur Sozologie und Sozialpsychologie</w:t>
      </w:r>
      <w:r w:rsidR="008C6C44" w:rsidRPr="00517415">
        <w:rPr>
          <w:lang w:val="de-DE"/>
        </w:rPr>
        <w:t xml:space="preserve">, </w:t>
      </w:r>
      <w:r>
        <w:rPr>
          <w:lang w:val="de-DE"/>
        </w:rPr>
        <w:t>vol. 43, pp. 171-1</w:t>
      </w:r>
      <w:r w:rsidR="008C6C44" w:rsidRPr="00517415">
        <w:rPr>
          <w:lang w:val="de-DE"/>
        </w:rPr>
        <w:t>94.</w:t>
      </w:r>
      <w:r w:rsidR="008C6C44" w:rsidRPr="00517415">
        <w:t xml:space="preserve"> </w:t>
      </w:r>
    </w:p>
    <w:p w14:paraId="091E8E38" w14:textId="22A0C760" w:rsidR="008C6C44" w:rsidRPr="00517415" w:rsidRDefault="00952FDD" w:rsidP="001E4761">
      <w:pPr>
        <w:spacing w:after="120" w:line="480" w:lineRule="auto"/>
      </w:pPr>
      <w:r>
        <w:t>Maruna, S &amp; Mann, R 2019,</w:t>
      </w:r>
      <w:r w:rsidR="008C6C44" w:rsidRPr="00517415">
        <w:t xml:space="preserve"> </w:t>
      </w:r>
      <w:r>
        <w:rPr>
          <w:i/>
          <w:iCs/>
        </w:rPr>
        <w:t>Reconciling ‘desistance’ and ‘what works’</w:t>
      </w:r>
      <w:r>
        <w:rPr>
          <w:iCs/>
        </w:rPr>
        <w:t>,</w:t>
      </w:r>
      <w:r w:rsidR="008C6C44" w:rsidRPr="00517415">
        <w:rPr>
          <w:i/>
          <w:iCs/>
        </w:rPr>
        <w:t xml:space="preserve"> </w:t>
      </w:r>
      <w:r w:rsidR="008C6C44" w:rsidRPr="00952FDD">
        <w:rPr>
          <w:iCs/>
        </w:rPr>
        <w:t>Her Majesty’s Inspectorate of Prisons (</w:t>
      </w:r>
      <w:r>
        <w:rPr>
          <w:iCs/>
        </w:rPr>
        <w:t xml:space="preserve">HMIP) Academic Insights 2019/1, </w:t>
      </w:r>
      <w:r>
        <w:t>Manchester,</w:t>
      </w:r>
      <w:r w:rsidR="008C6C44" w:rsidRPr="00517415">
        <w:t xml:space="preserve"> HMIP. </w:t>
      </w:r>
    </w:p>
    <w:p w14:paraId="7442AC05" w14:textId="1553900C" w:rsidR="008C6C44" w:rsidRDefault="00952FDD" w:rsidP="001E4761">
      <w:pPr>
        <w:spacing w:after="120" w:line="480" w:lineRule="auto"/>
      </w:pPr>
      <w:r>
        <w:lastRenderedPageBreak/>
        <w:t>McKnight, J &amp; Block, P 2010,</w:t>
      </w:r>
      <w:r w:rsidR="008C6C44" w:rsidRPr="00517415">
        <w:t xml:space="preserve"> </w:t>
      </w:r>
      <w:r>
        <w:rPr>
          <w:i/>
        </w:rPr>
        <w:t>The abundant c</w:t>
      </w:r>
      <w:r w:rsidR="008C6C44" w:rsidRPr="00517415">
        <w:rPr>
          <w:i/>
        </w:rPr>
        <w:t xml:space="preserve">ommunity: </w:t>
      </w:r>
      <w:r>
        <w:rPr>
          <w:i/>
        </w:rPr>
        <w:t>Awakening the power of families and n</w:t>
      </w:r>
      <w:r w:rsidR="008C6C44" w:rsidRPr="00517415">
        <w:rPr>
          <w:i/>
        </w:rPr>
        <w:t>eighbourhoods</w:t>
      </w:r>
      <w:r>
        <w:t xml:space="preserve">, San Francisco, </w:t>
      </w:r>
      <w:r w:rsidR="008C6C44" w:rsidRPr="00517415">
        <w:t>Berrett-Koehler Publishers Inc.</w:t>
      </w:r>
    </w:p>
    <w:p w14:paraId="71261289" w14:textId="5E578377" w:rsidR="00214B42" w:rsidRDefault="00214B42" w:rsidP="001E4761">
      <w:pPr>
        <w:spacing w:after="120" w:line="480" w:lineRule="auto"/>
      </w:pPr>
      <w:r w:rsidRPr="00214B42">
        <w:t>McNeill</w:t>
      </w:r>
      <w:r>
        <w:t>, F 2016,</w:t>
      </w:r>
      <w:r w:rsidRPr="00214B42">
        <w:t xml:space="preserve"> </w:t>
      </w:r>
      <w:r>
        <w:t>‘</w:t>
      </w:r>
      <w:r w:rsidRPr="00214B42">
        <w:t>Desistance and criminal justice in Scotland</w:t>
      </w:r>
      <w:r>
        <w:t xml:space="preserve">’. In H </w:t>
      </w:r>
      <w:proofErr w:type="spellStart"/>
      <w:r>
        <w:t>Croall</w:t>
      </w:r>
      <w:proofErr w:type="spellEnd"/>
      <w:r w:rsidRPr="00214B42">
        <w:t xml:space="preserve">, </w:t>
      </w:r>
      <w:r>
        <w:t xml:space="preserve">G Mooney &amp; R Munro </w:t>
      </w:r>
      <w:r w:rsidRPr="00214B42">
        <w:t>(eds)</w:t>
      </w:r>
      <w:r w:rsidR="00F82E19">
        <w:t>,</w:t>
      </w:r>
      <w:r w:rsidRPr="00214B42">
        <w:t xml:space="preserve"> </w:t>
      </w:r>
      <w:r w:rsidRPr="00214B42">
        <w:rPr>
          <w:i/>
          <w:iCs/>
        </w:rPr>
        <w:t>Crime, Justice and Society in Scotland</w:t>
      </w:r>
      <w:r w:rsidRPr="00214B42">
        <w:t xml:space="preserve">. </w:t>
      </w:r>
      <w:r>
        <w:t>London</w:t>
      </w:r>
      <w:r w:rsidR="00C54702">
        <w:t>, Routledge</w:t>
      </w:r>
      <w:r w:rsidRPr="00214B42">
        <w:t xml:space="preserve">. </w:t>
      </w:r>
    </w:p>
    <w:p w14:paraId="6C7BA5E0" w14:textId="2B6D03CD" w:rsidR="00B031FF" w:rsidRDefault="00B031FF" w:rsidP="001E4761">
      <w:pPr>
        <w:spacing w:after="120" w:line="480" w:lineRule="auto"/>
      </w:pPr>
      <w:r>
        <w:t xml:space="preserve">McNeill, F, </w:t>
      </w:r>
      <w:proofErr w:type="spellStart"/>
      <w:r>
        <w:t>Farrall</w:t>
      </w:r>
      <w:proofErr w:type="spellEnd"/>
      <w:r>
        <w:t xml:space="preserve">, S, </w:t>
      </w:r>
      <w:proofErr w:type="spellStart"/>
      <w:r>
        <w:t>Lightowler</w:t>
      </w:r>
      <w:proofErr w:type="spellEnd"/>
      <w:r>
        <w:t xml:space="preserve">, C &amp; </w:t>
      </w:r>
      <w:proofErr w:type="spellStart"/>
      <w:r>
        <w:t>Maruna</w:t>
      </w:r>
      <w:proofErr w:type="spellEnd"/>
      <w:r>
        <w:t xml:space="preserve">, S 2012, </w:t>
      </w:r>
      <w:r w:rsidRPr="00B031FF">
        <w:rPr>
          <w:i/>
          <w:iCs/>
        </w:rPr>
        <w:t xml:space="preserve">How and why people stop offending: discovering desistance. </w:t>
      </w:r>
      <w:r w:rsidR="00C54702">
        <w:rPr>
          <w:iCs/>
        </w:rPr>
        <w:t xml:space="preserve">Glasgow, </w:t>
      </w:r>
      <w:r w:rsidRPr="00B031FF">
        <w:t xml:space="preserve">Institute for Research and Innovation in Social Services. </w:t>
      </w:r>
    </w:p>
    <w:p w14:paraId="1B04AB14" w14:textId="78A2C3E9" w:rsidR="003742F8" w:rsidRPr="003742F8" w:rsidRDefault="0017563D" w:rsidP="003742F8">
      <w:pPr>
        <w:spacing w:after="120" w:line="480" w:lineRule="auto"/>
      </w:pPr>
      <w:r w:rsidRPr="003742F8">
        <w:t>Musgrov</w:t>
      </w:r>
      <w:r w:rsidR="003742F8">
        <w:t xml:space="preserve">e, A. &amp; Best, D. </w:t>
      </w:r>
      <w:r w:rsidR="003742F8" w:rsidRPr="003742F8">
        <w:t>Promoting rehabilitation and meaningful activities through peer-professional partnerships in prison</w:t>
      </w:r>
      <w:r w:rsidR="003742F8">
        <w:t xml:space="preserve">, Criminology and Criminal Justice, in preparation. </w:t>
      </w:r>
      <w:r w:rsidR="003742F8" w:rsidRPr="003742F8">
        <w:t xml:space="preserve"> </w:t>
      </w:r>
    </w:p>
    <w:p w14:paraId="4B972388" w14:textId="0C6378EA" w:rsidR="008C6C44" w:rsidRDefault="0017563D" w:rsidP="001E4761">
      <w:pPr>
        <w:spacing w:after="120" w:line="480" w:lineRule="auto"/>
      </w:pPr>
      <w:r>
        <w:t xml:space="preserve"> </w:t>
      </w:r>
      <w:r w:rsidR="00214B42" w:rsidRPr="00214B42">
        <w:t>Nugent, B &amp; Schinkel, M 2016, ‘</w:t>
      </w:r>
      <w:r w:rsidR="00214B42" w:rsidRPr="00214B42">
        <w:rPr>
          <w:bCs/>
        </w:rPr>
        <w:t xml:space="preserve">The pains of desistance’, </w:t>
      </w:r>
      <w:r w:rsidR="00214B42" w:rsidRPr="00214B42">
        <w:rPr>
          <w:bCs/>
          <w:i/>
        </w:rPr>
        <w:t xml:space="preserve">Criminology &amp; Criminal Justice, </w:t>
      </w:r>
      <w:r w:rsidR="00214B42" w:rsidRPr="00214B42">
        <w:rPr>
          <w:bCs/>
        </w:rPr>
        <w:t>vol. 16 no. 5, pp.</w:t>
      </w:r>
      <w:r w:rsidR="00214B42">
        <w:rPr>
          <w:bCs/>
        </w:rPr>
        <w:t xml:space="preserve"> 568-</w:t>
      </w:r>
      <w:r w:rsidR="00214B42" w:rsidRPr="00214B42">
        <w:rPr>
          <w:bCs/>
        </w:rPr>
        <w:t xml:space="preserve">584. </w:t>
      </w:r>
      <w:r w:rsidR="00952FDD">
        <w:t>Putnam, R 2000,</w:t>
      </w:r>
      <w:r w:rsidR="008C6C44" w:rsidRPr="00517415">
        <w:t xml:space="preserve"> </w:t>
      </w:r>
      <w:r w:rsidR="00952FDD">
        <w:rPr>
          <w:i/>
        </w:rPr>
        <w:t>Bowling alone: The collapse and revival of American c</w:t>
      </w:r>
      <w:r w:rsidR="008C6C44" w:rsidRPr="00517415">
        <w:rPr>
          <w:i/>
        </w:rPr>
        <w:t>ommunity</w:t>
      </w:r>
      <w:r w:rsidR="00952FDD">
        <w:t>, London,</w:t>
      </w:r>
      <w:r w:rsidR="008C6C44" w:rsidRPr="00517415">
        <w:t xml:space="preserve"> Simon &amp; Schuster.</w:t>
      </w:r>
    </w:p>
    <w:p w14:paraId="03191A85" w14:textId="2AA3A10A" w:rsidR="00FA1D01" w:rsidRPr="00517415" w:rsidRDefault="00FA1D01" w:rsidP="001E4761">
      <w:pPr>
        <w:spacing w:after="120" w:line="480" w:lineRule="auto"/>
      </w:pPr>
      <w:r>
        <w:t xml:space="preserve">Office of the Inspector of Custodial Services (2017) Behaviour Management practices at Banksia Hill Detention Centre. Office of the Inspector of Custodial Services, Government of Western Australia: Perth, WA. </w:t>
      </w:r>
      <w:hyperlink r:id="rId11" w:history="1">
        <w:r w:rsidRPr="00D57DAB">
          <w:rPr>
            <w:rStyle w:val="Hyperlink"/>
          </w:rPr>
          <w:t>https://www.oics.wa.gov.au/wp-content/uploads/2017/07/Full-report.pdf</w:t>
        </w:r>
      </w:hyperlink>
    </w:p>
    <w:p w14:paraId="4C4A7989" w14:textId="72E1F2AC" w:rsidR="00FF56D9" w:rsidRPr="00FF56D9" w:rsidRDefault="00FF56D9" w:rsidP="001E4761">
      <w:pPr>
        <w:spacing w:after="120" w:line="480" w:lineRule="auto"/>
        <w:rPr>
          <w:rFonts w:ascii="Calibri" w:eastAsia="Times New Roman" w:hAnsi="Calibri" w:cs="Calibri"/>
          <w:color w:val="000000"/>
          <w:lang w:val="en-AU" w:eastAsia="en-AU"/>
        </w:rPr>
      </w:pPr>
      <w:r w:rsidRPr="00FF56D9">
        <w:rPr>
          <w:rFonts w:ascii="Calibri" w:eastAsia="Times New Roman" w:hAnsi="Calibri" w:cs="Calibri"/>
          <w:color w:val="000000"/>
          <w:lang w:val="en-AU" w:eastAsia="en-AU"/>
        </w:rPr>
        <w:t>Reid, N., Kippin, N., Passmore, H., &amp; Finlay-Jones, A., (2020) Fetal alcohol spectrum disorder: the importance of assessment, diagnosis and support in the Australian justice context</w:t>
      </w:r>
      <w:r w:rsidRPr="00FF56D9">
        <w:t xml:space="preserve"> </w:t>
      </w:r>
      <w:r w:rsidRPr="00FF56D9">
        <w:rPr>
          <w:rFonts w:ascii="Calibri" w:eastAsia="Times New Roman" w:hAnsi="Calibri" w:cs="Calibri"/>
          <w:i/>
          <w:iCs/>
          <w:color w:val="000000"/>
          <w:lang w:val="en-AU" w:eastAsia="en-AU"/>
        </w:rPr>
        <w:t>Psychiatry, Psychology and Law</w:t>
      </w:r>
      <w:r>
        <w:rPr>
          <w:rFonts w:ascii="Calibri" w:eastAsia="Times New Roman" w:hAnsi="Calibri" w:cs="Calibri"/>
          <w:color w:val="000000"/>
          <w:lang w:val="en-AU" w:eastAsia="en-AU"/>
        </w:rPr>
        <w:t xml:space="preserve">. Online: </w:t>
      </w:r>
      <w:hyperlink r:id="rId12" w:history="1">
        <w:r w:rsidRPr="00FF56D9">
          <w:rPr>
            <w:rStyle w:val="Hyperlink"/>
            <w:rFonts w:ascii="Calibri" w:eastAsia="Times New Roman" w:hAnsi="Calibri" w:cs="Calibri"/>
            <w:lang w:val="en-AU" w:eastAsia="en-AU"/>
          </w:rPr>
          <w:t>https://www.tandfonline.com/doi/abs/10.1080/13218719.2020.1719375</w:t>
        </w:r>
      </w:hyperlink>
    </w:p>
    <w:p w14:paraId="003AEB95" w14:textId="2C0EBBE1" w:rsidR="008C6C44" w:rsidRPr="00517415" w:rsidRDefault="00952FDD" w:rsidP="001E4761">
      <w:pPr>
        <w:spacing w:after="120" w:line="480" w:lineRule="auto"/>
      </w:pPr>
      <w:r>
        <w:t xml:space="preserve">Ronel, N &amp; </w:t>
      </w:r>
      <w:proofErr w:type="spellStart"/>
      <w:r>
        <w:t>Segev</w:t>
      </w:r>
      <w:proofErr w:type="spellEnd"/>
      <w:r>
        <w:t>, D (eds.) 2015,</w:t>
      </w:r>
      <w:r w:rsidR="008C6C44" w:rsidRPr="00517415">
        <w:t xml:space="preserve"> </w:t>
      </w:r>
      <w:r>
        <w:rPr>
          <w:i/>
        </w:rPr>
        <w:t>Positive c</w:t>
      </w:r>
      <w:r w:rsidR="008C6C44" w:rsidRPr="00517415">
        <w:rPr>
          <w:i/>
        </w:rPr>
        <w:t>riminology</w:t>
      </w:r>
      <w:r w:rsidR="008C6C44" w:rsidRPr="00517415">
        <w:t>, Abingdon, Routledge.</w:t>
      </w:r>
    </w:p>
    <w:p w14:paraId="6F6C5811" w14:textId="2823EDA5" w:rsidR="008C6C44" w:rsidRDefault="00952FDD" w:rsidP="001E4761">
      <w:pPr>
        <w:spacing w:after="120" w:line="480" w:lineRule="auto"/>
      </w:pPr>
      <w:r>
        <w:t>Sherman, L, Strang, H, Mayo-Wilson, E, Woods, D &amp; Ariel, B 2015, ‘Are restorative justice conferences effective in reducing repeat o</w:t>
      </w:r>
      <w:r w:rsidR="008C6C44" w:rsidRPr="00517415">
        <w:t>ffending? Findings from a Camp</w:t>
      </w:r>
      <w:r>
        <w:t>bell Systematic Review’,</w:t>
      </w:r>
      <w:r w:rsidR="008C6C44" w:rsidRPr="00517415">
        <w:t xml:space="preserve"> </w:t>
      </w:r>
      <w:r w:rsidR="008C6C44" w:rsidRPr="00952FDD">
        <w:rPr>
          <w:i/>
        </w:rPr>
        <w:t>J</w:t>
      </w:r>
      <w:r w:rsidRPr="00952FDD">
        <w:rPr>
          <w:i/>
        </w:rPr>
        <w:t>ournal of</w:t>
      </w:r>
      <w:r w:rsidR="008C6C44" w:rsidRPr="00952FDD">
        <w:rPr>
          <w:i/>
        </w:rPr>
        <w:t xml:space="preserve"> Quantitative Criminology</w:t>
      </w:r>
      <w:r w:rsidR="008C6C44" w:rsidRPr="00517415">
        <w:t xml:space="preserve">, </w:t>
      </w:r>
      <w:r>
        <w:t xml:space="preserve">vol. </w:t>
      </w:r>
      <w:r w:rsidR="008C6C44" w:rsidRPr="00517415">
        <w:t xml:space="preserve">31, </w:t>
      </w:r>
      <w:r>
        <w:t>pp. 1-</w:t>
      </w:r>
      <w:r w:rsidR="008C6C44" w:rsidRPr="00517415">
        <w:t>24</w:t>
      </w:r>
      <w:r>
        <w:t>.</w:t>
      </w:r>
      <w:r w:rsidR="008C6C44" w:rsidRPr="00517415">
        <w:t xml:space="preserve"> </w:t>
      </w:r>
    </w:p>
    <w:p w14:paraId="0560A943" w14:textId="629E1460" w:rsidR="00DC0BD4" w:rsidRDefault="00DC0BD4" w:rsidP="001E4761">
      <w:pPr>
        <w:spacing w:after="120" w:line="480" w:lineRule="auto"/>
      </w:pPr>
      <w:proofErr w:type="spellStart"/>
      <w:r>
        <w:rPr>
          <w:rFonts w:ascii="Source Sans Pro" w:hAnsi="Source Sans Pro"/>
          <w:color w:val="3A3A3A"/>
          <w:sz w:val="23"/>
          <w:szCs w:val="23"/>
          <w:bdr w:val="none" w:sz="0" w:space="0" w:color="auto" w:frame="1"/>
          <w:shd w:val="clear" w:color="auto" w:fill="FFFFFF"/>
        </w:rPr>
        <w:t>Stobbs</w:t>
      </w:r>
      <w:proofErr w:type="spellEnd"/>
      <w:r>
        <w:rPr>
          <w:rFonts w:ascii="Source Sans Pro" w:hAnsi="Source Sans Pro"/>
          <w:color w:val="3A3A3A"/>
          <w:sz w:val="23"/>
          <w:szCs w:val="23"/>
          <w:bdr w:val="none" w:sz="0" w:space="0" w:color="auto" w:frame="1"/>
          <w:shd w:val="clear" w:color="auto" w:fill="FFFFFF"/>
        </w:rPr>
        <w:t>, N. ‘Compassion, the Vulnerable and COVID-19’ (2020) </w:t>
      </w:r>
      <w:r>
        <w:rPr>
          <w:rFonts w:ascii="Source Sans Pro" w:hAnsi="Source Sans Pro"/>
          <w:i/>
          <w:iCs/>
          <w:color w:val="3A3A3A"/>
          <w:sz w:val="23"/>
          <w:szCs w:val="23"/>
          <w:shd w:val="clear" w:color="auto" w:fill="FFFFFF"/>
        </w:rPr>
        <w:t>Alternative Law Journal,</w:t>
      </w:r>
      <w:r>
        <w:rPr>
          <w:rFonts w:ascii="Source Sans Pro" w:hAnsi="Source Sans Pro"/>
          <w:color w:val="3A3A3A"/>
          <w:sz w:val="23"/>
          <w:szCs w:val="23"/>
          <w:bdr w:val="none" w:sz="0" w:space="0" w:color="auto" w:frame="1"/>
          <w:shd w:val="clear" w:color="auto" w:fill="FFFFFF"/>
        </w:rPr>
        <w:t> 45(2), </w:t>
      </w:r>
      <w:hyperlink r:id="rId13" w:tgtFrame="_blank" w:history="1">
        <w:r>
          <w:rPr>
            <w:rStyle w:val="Hyperlink"/>
            <w:rFonts w:ascii="Arial" w:hAnsi="Arial" w:cs="Arial"/>
            <w:color w:val="006ACC"/>
            <w:sz w:val="21"/>
            <w:szCs w:val="21"/>
            <w:bdr w:val="none" w:sz="0" w:space="0" w:color="auto" w:frame="1"/>
            <w:shd w:val="clear" w:color="auto" w:fill="FFFFFF"/>
          </w:rPr>
          <w:t>https://doi.org/10.1177/1037969X20927806</w:t>
        </w:r>
      </w:hyperlink>
    </w:p>
    <w:p w14:paraId="179D3F86" w14:textId="6340FB36" w:rsidR="00A26164" w:rsidRPr="00A26164" w:rsidRDefault="00A26164" w:rsidP="001E4761">
      <w:pPr>
        <w:spacing w:after="120" w:line="480" w:lineRule="auto"/>
      </w:pPr>
      <w:r>
        <w:lastRenderedPageBreak/>
        <w:t xml:space="preserve">Sullivan, K 2012, </w:t>
      </w:r>
      <w:r>
        <w:rPr>
          <w:i/>
        </w:rPr>
        <w:t>Motivating and maintaining desistance from crime: Male Aboriginal serial offenders’ experience of ‘going good’</w:t>
      </w:r>
      <w:r>
        <w:t>. Unpublished PhD thesis, Australian National University, Canberra.</w:t>
      </w:r>
    </w:p>
    <w:p w14:paraId="2A7B7313" w14:textId="3ADCA472" w:rsidR="008C6C44" w:rsidRPr="00517415" w:rsidRDefault="00952FDD" w:rsidP="001E4761">
      <w:pPr>
        <w:spacing w:after="120" w:line="480" w:lineRule="auto"/>
      </w:pPr>
      <w:r>
        <w:t>Wexler, D &amp; Winick, B 2009,</w:t>
      </w:r>
      <w:r w:rsidR="008C6C44" w:rsidRPr="00517415">
        <w:t xml:space="preserve"> </w:t>
      </w:r>
      <w:r w:rsidR="008C6C44" w:rsidRPr="00517415">
        <w:rPr>
          <w:i/>
        </w:rPr>
        <w:t>Therapeutic jurisprudence</w:t>
      </w:r>
      <w:r w:rsidR="008C6C44" w:rsidRPr="00517415">
        <w:t xml:space="preserve">. In R. </w:t>
      </w:r>
      <w:proofErr w:type="spellStart"/>
      <w:r>
        <w:t>Ries</w:t>
      </w:r>
      <w:proofErr w:type="spellEnd"/>
      <w:r>
        <w:t xml:space="preserve">, S. Miller, D. </w:t>
      </w:r>
      <w:proofErr w:type="spellStart"/>
      <w:r>
        <w:t>Fiellin</w:t>
      </w:r>
      <w:proofErr w:type="spellEnd"/>
      <w:r>
        <w:t xml:space="preserve"> &amp;</w:t>
      </w:r>
      <w:r w:rsidR="008C6C44" w:rsidRPr="00517415">
        <w:t xml:space="preserve"> R. </w:t>
      </w:r>
      <w:proofErr w:type="spellStart"/>
      <w:r w:rsidR="008C6C44" w:rsidRPr="00517415">
        <w:t>Saitz</w:t>
      </w:r>
      <w:proofErr w:type="spellEnd"/>
      <w:r w:rsidR="008C6C44" w:rsidRPr="00517415">
        <w:t xml:space="preserve"> (eds.), </w:t>
      </w:r>
      <w:r>
        <w:rPr>
          <w:i/>
        </w:rPr>
        <w:t>Principles of addiction m</w:t>
      </w:r>
      <w:r w:rsidR="008C6C44" w:rsidRPr="00517415">
        <w:rPr>
          <w:i/>
        </w:rPr>
        <w:t>edicine</w:t>
      </w:r>
      <w:r>
        <w:t>, 4th ed, Baltimore,</w:t>
      </w:r>
      <w:r w:rsidR="008C6C44" w:rsidRPr="00517415">
        <w:t xml:space="preserve"> Lippincott, Williams &amp; Wilkins, p. 1519.</w:t>
      </w:r>
    </w:p>
    <w:p w14:paraId="5CFA5B2B" w14:textId="70AA01F5" w:rsidR="008C6C44" w:rsidRPr="00517415" w:rsidRDefault="00952FDD" w:rsidP="001E4761">
      <w:pPr>
        <w:spacing w:after="120" w:line="480" w:lineRule="auto"/>
      </w:pPr>
      <w:r>
        <w:rPr>
          <w:rFonts w:ascii="Calibri" w:hAnsi="Calibri" w:cs="Calibri"/>
          <w:color w:val="000000"/>
          <w:shd w:val="clear" w:color="auto" w:fill="FFFFFF"/>
        </w:rPr>
        <w:t>Wolff, N. &amp; Draine, J 2004,</w:t>
      </w:r>
      <w:r w:rsidR="008C6C44" w:rsidRPr="00517415">
        <w:rPr>
          <w:rFonts w:ascii="Calibri" w:hAnsi="Calibri" w:cs="Calibri"/>
          <w:color w:val="000000"/>
          <w:shd w:val="clear" w:color="auto" w:fill="FFFFFF"/>
        </w:rPr>
        <w:t xml:space="preserve"> </w:t>
      </w:r>
      <w:r>
        <w:rPr>
          <w:rFonts w:ascii="Calibri" w:hAnsi="Calibri" w:cs="Calibri"/>
          <w:color w:val="000000"/>
          <w:shd w:val="clear" w:color="auto" w:fill="FFFFFF"/>
        </w:rPr>
        <w:t xml:space="preserve">‘Dynamics of social capital of prisoners and community </w:t>
      </w:r>
      <w:proofErr w:type="spellStart"/>
      <w:r>
        <w:rPr>
          <w:rFonts w:ascii="Calibri" w:hAnsi="Calibri" w:cs="Calibri"/>
          <w:color w:val="000000"/>
          <w:shd w:val="clear" w:color="auto" w:fill="FFFFFF"/>
        </w:rPr>
        <w:t>reentry</w:t>
      </w:r>
      <w:proofErr w:type="spellEnd"/>
      <w:r>
        <w:rPr>
          <w:rFonts w:ascii="Calibri" w:hAnsi="Calibri" w:cs="Calibri"/>
          <w:color w:val="000000"/>
          <w:shd w:val="clear" w:color="auto" w:fill="FFFFFF"/>
        </w:rPr>
        <w:t>: Ties that bind’,</w:t>
      </w:r>
      <w:r w:rsidR="008C6C44" w:rsidRPr="00517415">
        <w:rPr>
          <w:rFonts w:ascii="Calibri" w:hAnsi="Calibri" w:cs="Calibri"/>
          <w:color w:val="000000"/>
          <w:shd w:val="clear" w:color="auto" w:fill="FFFFFF"/>
        </w:rPr>
        <w:t xml:space="preserve"> </w:t>
      </w:r>
      <w:r w:rsidR="008C6C44" w:rsidRPr="00517415">
        <w:rPr>
          <w:rFonts w:ascii="Calibri" w:hAnsi="Calibri" w:cs="Calibri"/>
          <w:i/>
          <w:iCs/>
          <w:color w:val="000000"/>
        </w:rPr>
        <w:t>Journal of Correctional Health Care</w:t>
      </w:r>
      <w:r w:rsidR="008C6C44" w:rsidRPr="00517415">
        <w:rPr>
          <w:rFonts w:ascii="Calibri" w:hAnsi="Calibri" w:cs="Calibri"/>
          <w:color w:val="000000"/>
          <w:shd w:val="clear" w:color="auto" w:fill="FFFFFF"/>
        </w:rPr>
        <w:t xml:space="preserve">, </w:t>
      </w:r>
      <w:r>
        <w:rPr>
          <w:rFonts w:ascii="Calibri" w:hAnsi="Calibri" w:cs="Calibri"/>
          <w:color w:val="000000"/>
          <w:shd w:val="clear" w:color="auto" w:fill="FFFFFF"/>
        </w:rPr>
        <w:t>vol. 10, no. 3. pp.</w:t>
      </w:r>
      <w:r w:rsidR="008C6C44" w:rsidRPr="00517415">
        <w:rPr>
          <w:rFonts w:ascii="Calibri" w:hAnsi="Calibri" w:cs="Calibri"/>
          <w:color w:val="000000"/>
          <w:shd w:val="clear" w:color="auto" w:fill="FFFFFF"/>
        </w:rPr>
        <w:t xml:space="preserve"> 457-490.</w:t>
      </w:r>
    </w:p>
    <w:p w14:paraId="1334B61C" w14:textId="77777777" w:rsidR="001F4938" w:rsidRPr="00517415" w:rsidRDefault="001F4938" w:rsidP="00A1072B"/>
    <w:sectPr w:rsidR="001F4938" w:rsidRPr="00517415" w:rsidSect="000A2EF3">
      <w:footerReference w:type="even"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467F3" w14:textId="77777777" w:rsidR="00327756" w:rsidRDefault="00327756" w:rsidP="002E4C00">
      <w:pPr>
        <w:spacing w:after="0" w:line="240" w:lineRule="auto"/>
      </w:pPr>
      <w:r>
        <w:separator/>
      </w:r>
    </w:p>
  </w:endnote>
  <w:endnote w:type="continuationSeparator" w:id="0">
    <w:p w14:paraId="1989A036" w14:textId="77777777" w:rsidR="00327756" w:rsidRDefault="00327756" w:rsidP="002E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868E2" w14:textId="77777777" w:rsidR="00214B42" w:rsidRDefault="00214B42" w:rsidP="00214B42">
    <w:pPr>
      <w:pStyle w:val="Footer"/>
      <w:framePr w:wrap="none" w:vAnchor="text" w:hAnchor="margin" w:xAlign="center" w:y="1"/>
      <w:rPr>
        <w:rStyle w:val="PageNumber"/>
      </w:rPr>
    </w:pPr>
  </w:p>
  <w:p w14:paraId="3CE3A73E" w14:textId="77777777" w:rsidR="00214B42" w:rsidRDefault="00214B42" w:rsidP="00457355">
    <w:pPr>
      <w:pStyle w:val="Footer"/>
      <w:framePr w:wrap="none" w:vAnchor="text" w:hAnchor="margin" w:xAlign="center" w:y="1"/>
      <w:rPr>
        <w:rStyle w:val="PageNumber"/>
      </w:rPr>
    </w:pPr>
  </w:p>
  <w:p w14:paraId="0209613A" w14:textId="77777777" w:rsidR="00214B42" w:rsidRDefault="00214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218708"/>
      <w:docPartObj>
        <w:docPartGallery w:val="Page Numbers (Bottom of Page)"/>
        <w:docPartUnique/>
      </w:docPartObj>
    </w:sdtPr>
    <w:sdtEndPr>
      <w:rPr>
        <w:noProof/>
      </w:rPr>
    </w:sdtEndPr>
    <w:sdtContent>
      <w:p w14:paraId="396313F3" w14:textId="2CC610BC" w:rsidR="00572322" w:rsidRDefault="005723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E467D" w14:textId="77777777" w:rsidR="00214B42" w:rsidRDefault="00214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2809D" w14:textId="77777777" w:rsidR="00327756" w:rsidRDefault="00327756" w:rsidP="002E4C00">
      <w:pPr>
        <w:spacing w:after="0" w:line="240" w:lineRule="auto"/>
      </w:pPr>
      <w:r>
        <w:separator/>
      </w:r>
    </w:p>
  </w:footnote>
  <w:footnote w:type="continuationSeparator" w:id="0">
    <w:p w14:paraId="3B31871D" w14:textId="77777777" w:rsidR="00327756" w:rsidRDefault="00327756" w:rsidP="002E4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62BF"/>
    <w:multiLevelType w:val="hybridMultilevel"/>
    <w:tmpl w:val="5F664E2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4709F"/>
    <w:multiLevelType w:val="hybridMultilevel"/>
    <w:tmpl w:val="BBE6174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9E960CC"/>
    <w:multiLevelType w:val="hybridMultilevel"/>
    <w:tmpl w:val="41DA9412"/>
    <w:lvl w:ilvl="0" w:tplc="45F40F2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CB2396"/>
    <w:multiLevelType w:val="hybridMultilevel"/>
    <w:tmpl w:val="C26C2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0824B2"/>
    <w:multiLevelType w:val="hybridMultilevel"/>
    <w:tmpl w:val="58845822"/>
    <w:lvl w:ilvl="0" w:tplc="3F48266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CBA3D4A"/>
    <w:multiLevelType w:val="hybridMultilevel"/>
    <w:tmpl w:val="016AA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5C8"/>
    <w:rsid w:val="000025AD"/>
    <w:rsid w:val="00006FD9"/>
    <w:rsid w:val="000269FD"/>
    <w:rsid w:val="0003108D"/>
    <w:rsid w:val="00033E18"/>
    <w:rsid w:val="0007161F"/>
    <w:rsid w:val="0008470A"/>
    <w:rsid w:val="000871FB"/>
    <w:rsid w:val="0009397C"/>
    <w:rsid w:val="000A2EF3"/>
    <w:rsid w:val="000A50A6"/>
    <w:rsid w:val="000B7499"/>
    <w:rsid w:val="000C2C30"/>
    <w:rsid w:val="000C72A4"/>
    <w:rsid w:val="000C76F5"/>
    <w:rsid w:val="000D475A"/>
    <w:rsid w:val="000D5A4C"/>
    <w:rsid w:val="000E1872"/>
    <w:rsid w:val="000E67D4"/>
    <w:rsid w:val="00101D7B"/>
    <w:rsid w:val="00105D1A"/>
    <w:rsid w:val="00114B7A"/>
    <w:rsid w:val="00115510"/>
    <w:rsid w:val="00116D21"/>
    <w:rsid w:val="00120880"/>
    <w:rsid w:val="00127A1E"/>
    <w:rsid w:val="00135B84"/>
    <w:rsid w:val="00137E94"/>
    <w:rsid w:val="001408F8"/>
    <w:rsid w:val="00145A17"/>
    <w:rsid w:val="00150570"/>
    <w:rsid w:val="00162E12"/>
    <w:rsid w:val="0017563D"/>
    <w:rsid w:val="00195CC4"/>
    <w:rsid w:val="001C75C8"/>
    <w:rsid w:val="001D4C79"/>
    <w:rsid w:val="001D72ED"/>
    <w:rsid w:val="001E4761"/>
    <w:rsid w:val="001F4938"/>
    <w:rsid w:val="001F65B1"/>
    <w:rsid w:val="00207225"/>
    <w:rsid w:val="00214B42"/>
    <w:rsid w:val="002159B9"/>
    <w:rsid w:val="00216793"/>
    <w:rsid w:val="00220162"/>
    <w:rsid w:val="00227DF0"/>
    <w:rsid w:val="00227E26"/>
    <w:rsid w:val="002566D5"/>
    <w:rsid w:val="00261892"/>
    <w:rsid w:val="00261BE7"/>
    <w:rsid w:val="002736A5"/>
    <w:rsid w:val="00285B88"/>
    <w:rsid w:val="00286328"/>
    <w:rsid w:val="00296592"/>
    <w:rsid w:val="002C2B98"/>
    <w:rsid w:val="002C3533"/>
    <w:rsid w:val="002D0683"/>
    <w:rsid w:val="002E4C00"/>
    <w:rsid w:val="002F4574"/>
    <w:rsid w:val="00327756"/>
    <w:rsid w:val="0033083F"/>
    <w:rsid w:val="00342B7D"/>
    <w:rsid w:val="00342ED0"/>
    <w:rsid w:val="003742F8"/>
    <w:rsid w:val="003743DE"/>
    <w:rsid w:val="00375198"/>
    <w:rsid w:val="00386129"/>
    <w:rsid w:val="00387E7E"/>
    <w:rsid w:val="003A23AB"/>
    <w:rsid w:val="003A7D68"/>
    <w:rsid w:val="003B4059"/>
    <w:rsid w:val="003B7DFB"/>
    <w:rsid w:val="003C0301"/>
    <w:rsid w:val="003F112A"/>
    <w:rsid w:val="003F1A08"/>
    <w:rsid w:val="003F711B"/>
    <w:rsid w:val="0040386B"/>
    <w:rsid w:val="00406A60"/>
    <w:rsid w:val="004151D2"/>
    <w:rsid w:val="00420E29"/>
    <w:rsid w:val="00427A77"/>
    <w:rsid w:val="004408D5"/>
    <w:rsid w:val="0044244E"/>
    <w:rsid w:val="00457355"/>
    <w:rsid w:val="00465ACF"/>
    <w:rsid w:val="00474F07"/>
    <w:rsid w:val="00487BFB"/>
    <w:rsid w:val="0049056C"/>
    <w:rsid w:val="0049310B"/>
    <w:rsid w:val="00495834"/>
    <w:rsid w:val="004C46E2"/>
    <w:rsid w:val="004C6B66"/>
    <w:rsid w:val="004D2057"/>
    <w:rsid w:val="004E1B77"/>
    <w:rsid w:val="005004C5"/>
    <w:rsid w:val="005032DA"/>
    <w:rsid w:val="00517415"/>
    <w:rsid w:val="00527115"/>
    <w:rsid w:val="00532BE2"/>
    <w:rsid w:val="00535C42"/>
    <w:rsid w:val="0054085D"/>
    <w:rsid w:val="00547011"/>
    <w:rsid w:val="00560881"/>
    <w:rsid w:val="00560D66"/>
    <w:rsid w:val="005640F4"/>
    <w:rsid w:val="00566A97"/>
    <w:rsid w:val="00572322"/>
    <w:rsid w:val="005834F5"/>
    <w:rsid w:val="00592534"/>
    <w:rsid w:val="005A0095"/>
    <w:rsid w:val="005A15B5"/>
    <w:rsid w:val="005A75D5"/>
    <w:rsid w:val="005C31DC"/>
    <w:rsid w:val="005D5481"/>
    <w:rsid w:val="005E1353"/>
    <w:rsid w:val="005E48DC"/>
    <w:rsid w:val="00611D17"/>
    <w:rsid w:val="006121AE"/>
    <w:rsid w:val="006235E3"/>
    <w:rsid w:val="00625338"/>
    <w:rsid w:val="006347C4"/>
    <w:rsid w:val="00646030"/>
    <w:rsid w:val="006536D3"/>
    <w:rsid w:val="0066079C"/>
    <w:rsid w:val="006742C4"/>
    <w:rsid w:val="006847D3"/>
    <w:rsid w:val="00686AC6"/>
    <w:rsid w:val="00687C9F"/>
    <w:rsid w:val="0069159D"/>
    <w:rsid w:val="006A1A77"/>
    <w:rsid w:val="006C12A7"/>
    <w:rsid w:val="006C5586"/>
    <w:rsid w:val="006E7D0A"/>
    <w:rsid w:val="00700A72"/>
    <w:rsid w:val="00702AD8"/>
    <w:rsid w:val="0071188B"/>
    <w:rsid w:val="00715C11"/>
    <w:rsid w:val="007262A7"/>
    <w:rsid w:val="00727188"/>
    <w:rsid w:val="00731D3B"/>
    <w:rsid w:val="00734D71"/>
    <w:rsid w:val="007365B7"/>
    <w:rsid w:val="00736CAF"/>
    <w:rsid w:val="007436A0"/>
    <w:rsid w:val="0075707D"/>
    <w:rsid w:val="007708BD"/>
    <w:rsid w:val="00791F9E"/>
    <w:rsid w:val="007A3F4D"/>
    <w:rsid w:val="007A4FD2"/>
    <w:rsid w:val="007A5092"/>
    <w:rsid w:val="007A5F18"/>
    <w:rsid w:val="007A74E9"/>
    <w:rsid w:val="007B0F74"/>
    <w:rsid w:val="007B330A"/>
    <w:rsid w:val="007B6DF4"/>
    <w:rsid w:val="007B6FD3"/>
    <w:rsid w:val="007C2261"/>
    <w:rsid w:val="007C3280"/>
    <w:rsid w:val="007D45BE"/>
    <w:rsid w:val="007D67F4"/>
    <w:rsid w:val="007E63D4"/>
    <w:rsid w:val="007F2EA7"/>
    <w:rsid w:val="00800A0F"/>
    <w:rsid w:val="00800E6D"/>
    <w:rsid w:val="00806C3A"/>
    <w:rsid w:val="00810901"/>
    <w:rsid w:val="008116CC"/>
    <w:rsid w:val="00815730"/>
    <w:rsid w:val="008359C3"/>
    <w:rsid w:val="00841F9D"/>
    <w:rsid w:val="00853F09"/>
    <w:rsid w:val="00896239"/>
    <w:rsid w:val="0089774E"/>
    <w:rsid w:val="008A572B"/>
    <w:rsid w:val="008A75C8"/>
    <w:rsid w:val="008C123B"/>
    <w:rsid w:val="008C452D"/>
    <w:rsid w:val="008C6C44"/>
    <w:rsid w:val="008E1E97"/>
    <w:rsid w:val="008F29EE"/>
    <w:rsid w:val="009060E3"/>
    <w:rsid w:val="00914EA7"/>
    <w:rsid w:val="00916304"/>
    <w:rsid w:val="009244A7"/>
    <w:rsid w:val="00933BD8"/>
    <w:rsid w:val="009375B4"/>
    <w:rsid w:val="0094684F"/>
    <w:rsid w:val="00952FDD"/>
    <w:rsid w:val="00954E00"/>
    <w:rsid w:val="0095619E"/>
    <w:rsid w:val="00963EFA"/>
    <w:rsid w:val="00972F3C"/>
    <w:rsid w:val="00977F25"/>
    <w:rsid w:val="009951A6"/>
    <w:rsid w:val="009A4CCD"/>
    <w:rsid w:val="009A5FEC"/>
    <w:rsid w:val="009A6747"/>
    <w:rsid w:val="009D1CFD"/>
    <w:rsid w:val="009E4CE4"/>
    <w:rsid w:val="009E5D6C"/>
    <w:rsid w:val="00A034AB"/>
    <w:rsid w:val="00A1072B"/>
    <w:rsid w:val="00A20E84"/>
    <w:rsid w:val="00A22DC3"/>
    <w:rsid w:val="00A2511B"/>
    <w:rsid w:val="00A26164"/>
    <w:rsid w:val="00A32AF9"/>
    <w:rsid w:val="00A32D48"/>
    <w:rsid w:val="00A34AB4"/>
    <w:rsid w:val="00A5055D"/>
    <w:rsid w:val="00A54140"/>
    <w:rsid w:val="00A639F2"/>
    <w:rsid w:val="00A65C06"/>
    <w:rsid w:val="00A71BA2"/>
    <w:rsid w:val="00A91C91"/>
    <w:rsid w:val="00AA65FF"/>
    <w:rsid w:val="00AB0446"/>
    <w:rsid w:val="00AB5A0F"/>
    <w:rsid w:val="00AD1CE2"/>
    <w:rsid w:val="00AD78E1"/>
    <w:rsid w:val="00AE424D"/>
    <w:rsid w:val="00AF1434"/>
    <w:rsid w:val="00AF6BAF"/>
    <w:rsid w:val="00B031FF"/>
    <w:rsid w:val="00B043AB"/>
    <w:rsid w:val="00B16D03"/>
    <w:rsid w:val="00B30E71"/>
    <w:rsid w:val="00B367FE"/>
    <w:rsid w:val="00B36A12"/>
    <w:rsid w:val="00B37003"/>
    <w:rsid w:val="00B42175"/>
    <w:rsid w:val="00B54FF0"/>
    <w:rsid w:val="00B63C6C"/>
    <w:rsid w:val="00B71C3D"/>
    <w:rsid w:val="00B7432F"/>
    <w:rsid w:val="00B744E3"/>
    <w:rsid w:val="00B7467D"/>
    <w:rsid w:val="00B75E3A"/>
    <w:rsid w:val="00B761F9"/>
    <w:rsid w:val="00B76D09"/>
    <w:rsid w:val="00B82F88"/>
    <w:rsid w:val="00B91688"/>
    <w:rsid w:val="00BA32BF"/>
    <w:rsid w:val="00BC02D4"/>
    <w:rsid w:val="00BC614B"/>
    <w:rsid w:val="00BD6D4D"/>
    <w:rsid w:val="00BF41BA"/>
    <w:rsid w:val="00C47818"/>
    <w:rsid w:val="00C54702"/>
    <w:rsid w:val="00C54866"/>
    <w:rsid w:val="00C76AE5"/>
    <w:rsid w:val="00CB5C91"/>
    <w:rsid w:val="00CC0214"/>
    <w:rsid w:val="00CC7B2F"/>
    <w:rsid w:val="00CD3225"/>
    <w:rsid w:val="00CF62AD"/>
    <w:rsid w:val="00CF720B"/>
    <w:rsid w:val="00CF7DF7"/>
    <w:rsid w:val="00D0275C"/>
    <w:rsid w:val="00D14DC1"/>
    <w:rsid w:val="00D15EEF"/>
    <w:rsid w:val="00D2570E"/>
    <w:rsid w:val="00D36F7F"/>
    <w:rsid w:val="00D455EF"/>
    <w:rsid w:val="00D50F5E"/>
    <w:rsid w:val="00D57D8C"/>
    <w:rsid w:val="00D76164"/>
    <w:rsid w:val="00D83440"/>
    <w:rsid w:val="00D975B3"/>
    <w:rsid w:val="00DB3E9A"/>
    <w:rsid w:val="00DC0BD4"/>
    <w:rsid w:val="00DD73A3"/>
    <w:rsid w:val="00DE0559"/>
    <w:rsid w:val="00DE62E7"/>
    <w:rsid w:val="00DF3FF1"/>
    <w:rsid w:val="00DF4A60"/>
    <w:rsid w:val="00DF7F0C"/>
    <w:rsid w:val="00E01CA9"/>
    <w:rsid w:val="00E04FCC"/>
    <w:rsid w:val="00E0785E"/>
    <w:rsid w:val="00E14DB1"/>
    <w:rsid w:val="00E3491C"/>
    <w:rsid w:val="00E40FA3"/>
    <w:rsid w:val="00E44F7E"/>
    <w:rsid w:val="00E54AE8"/>
    <w:rsid w:val="00E55044"/>
    <w:rsid w:val="00E57DA6"/>
    <w:rsid w:val="00E61204"/>
    <w:rsid w:val="00E63CF8"/>
    <w:rsid w:val="00E6555C"/>
    <w:rsid w:val="00E80B54"/>
    <w:rsid w:val="00E8569C"/>
    <w:rsid w:val="00E87DBA"/>
    <w:rsid w:val="00E90549"/>
    <w:rsid w:val="00ED5443"/>
    <w:rsid w:val="00EE363E"/>
    <w:rsid w:val="00EF1821"/>
    <w:rsid w:val="00EF69BB"/>
    <w:rsid w:val="00F00C87"/>
    <w:rsid w:val="00F12496"/>
    <w:rsid w:val="00F3078C"/>
    <w:rsid w:val="00F4007F"/>
    <w:rsid w:val="00F446A5"/>
    <w:rsid w:val="00F544DE"/>
    <w:rsid w:val="00F64123"/>
    <w:rsid w:val="00F738BD"/>
    <w:rsid w:val="00F812B3"/>
    <w:rsid w:val="00F82E19"/>
    <w:rsid w:val="00F84BD5"/>
    <w:rsid w:val="00F85EC5"/>
    <w:rsid w:val="00F928E1"/>
    <w:rsid w:val="00FA058E"/>
    <w:rsid w:val="00FA1D01"/>
    <w:rsid w:val="00FB02AA"/>
    <w:rsid w:val="00FC7C5D"/>
    <w:rsid w:val="00FD164F"/>
    <w:rsid w:val="00FD3A8E"/>
    <w:rsid w:val="00FF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A3C1"/>
  <w15:chartTrackingRefBased/>
  <w15:docId w15:val="{CFBC19D1-BAF9-401E-9CA2-E675C0DB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2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5B3"/>
    <w:rPr>
      <w:rFonts w:ascii="Segoe UI" w:hAnsi="Segoe UI" w:cs="Segoe UI"/>
      <w:sz w:val="18"/>
      <w:szCs w:val="18"/>
    </w:rPr>
  </w:style>
  <w:style w:type="character" w:customStyle="1" w:styleId="st1">
    <w:name w:val="st1"/>
    <w:basedOn w:val="DefaultParagraphFont"/>
    <w:rsid w:val="0049056C"/>
  </w:style>
  <w:style w:type="paragraph" w:styleId="ListParagraph">
    <w:name w:val="List Paragraph"/>
    <w:basedOn w:val="Normal"/>
    <w:uiPriority w:val="34"/>
    <w:qFormat/>
    <w:rsid w:val="000E67D4"/>
    <w:pPr>
      <w:ind w:left="720"/>
      <w:contextualSpacing/>
    </w:pPr>
  </w:style>
  <w:style w:type="table" w:styleId="TableGrid">
    <w:name w:val="Table Grid"/>
    <w:basedOn w:val="TableNormal"/>
    <w:uiPriority w:val="39"/>
    <w:rsid w:val="005E4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29EE"/>
    <w:rPr>
      <w:sz w:val="16"/>
      <w:szCs w:val="16"/>
    </w:rPr>
  </w:style>
  <w:style w:type="paragraph" w:styleId="CommentText">
    <w:name w:val="annotation text"/>
    <w:basedOn w:val="Normal"/>
    <w:link w:val="CommentTextChar"/>
    <w:uiPriority w:val="99"/>
    <w:semiHidden/>
    <w:unhideWhenUsed/>
    <w:rsid w:val="008F29EE"/>
    <w:pPr>
      <w:spacing w:line="240" w:lineRule="auto"/>
    </w:pPr>
    <w:rPr>
      <w:sz w:val="20"/>
      <w:szCs w:val="20"/>
    </w:rPr>
  </w:style>
  <w:style w:type="character" w:customStyle="1" w:styleId="CommentTextChar">
    <w:name w:val="Comment Text Char"/>
    <w:basedOn w:val="DefaultParagraphFont"/>
    <w:link w:val="CommentText"/>
    <w:uiPriority w:val="99"/>
    <w:semiHidden/>
    <w:rsid w:val="008F29EE"/>
    <w:rPr>
      <w:sz w:val="20"/>
      <w:szCs w:val="20"/>
    </w:rPr>
  </w:style>
  <w:style w:type="paragraph" w:styleId="CommentSubject">
    <w:name w:val="annotation subject"/>
    <w:basedOn w:val="CommentText"/>
    <w:next w:val="CommentText"/>
    <w:link w:val="CommentSubjectChar"/>
    <w:uiPriority w:val="99"/>
    <w:semiHidden/>
    <w:unhideWhenUsed/>
    <w:rsid w:val="008F29EE"/>
    <w:rPr>
      <w:b/>
      <w:bCs/>
    </w:rPr>
  </w:style>
  <w:style w:type="character" w:customStyle="1" w:styleId="CommentSubjectChar">
    <w:name w:val="Comment Subject Char"/>
    <w:basedOn w:val="CommentTextChar"/>
    <w:link w:val="CommentSubject"/>
    <w:uiPriority w:val="99"/>
    <w:semiHidden/>
    <w:rsid w:val="008F29EE"/>
    <w:rPr>
      <w:b/>
      <w:bCs/>
      <w:sz w:val="20"/>
      <w:szCs w:val="20"/>
    </w:rPr>
  </w:style>
  <w:style w:type="paragraph" w:styleId="Header">
    <w:name w:val="header"/>
    <w:basedOn w:val="Normal"/>
    <w:link w:val="HeaderChar"/>
    <w:uiPriority w:val="99"/>
    <w:unhideWhenUsed/>
    <w:rsid w:val="002E4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C00"/>
  </w:style>
  <w:style w:type="paragraph" w:styleId="Footer">
    <w:name w:val="footer"/>
    <w:basedOn w:val="Normal"/>
    <w:link w:val="FooterChar"/>
    <w:uiPriority w:val="99"/>
    <w:unhideWhenUsed/>
    <w:rsid w:val="002E4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C00"/>
  </w:style>
  <w:style w:type="paragraph" w:customStyle="1" w:styleId="APAReferenceList">
    <w:name w:val="APA Reference List"/>
    <w:qFormat/>
    <w:rsid w:val="00715C11"/>
    <w:pPr>
      <w:spacing w:after="0" w:line="480" w:lineRule="auto"/>
      <w:ind w:left="720" w:hanging="720"/>
    </w:pPr>
    <w:rPr>
      <w:rFonts w:ascii="Times New Roman" w:hAnsi="Times New Roman"/>
      <w:sz w:val="24"/>
      <w:lang w:val="en-US" w:eastAsia="ja-JP"/>
    </w:rPr>
  </w:style>
  <w:style w:type="paragraph" w:styleId="NormalWeb">
    <w:name w:val="Normal (Web)"/>
    <w:basedOn w:val="Normal"/>
    <w:uiPriority w:val="99"/>
    <w:unhideWhenUsed/>
    <w:rsid w:val="00387E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0446"/>
    <w:rPr>
      <w:b/>
      <w:bCs/>
    </w:rPr>
  </w:style>
  <w:style w:type="character" w:customStyle="1" w:styleId="apple-converted-space">
    <w:name w:val="apple-converted-space"/>
    <w:basedOn w:val="DefaultParagraphFont"/>
    <w:rsid w:val="00AB0446"/>
  </w:style>
  <w:style w:type="character" w:styleId="Emphasis">
    <w:name w:val="Emphasis"/>
    <w:basedOn w:val="DefaultParagraphFont"/>
    <w:uiPriority w:val="20"/>
    <w:qFormat/>
    <w:rsid w:val="00AB0446"/>
    <w:rPr>
      <w:i/>
      <w:iCs/>
    </w:rPr>
  </w:style>
  <w:style w:type="character" w:styleId="Hyperlink">
    <w:name w:val="Hyperlink"/>
    <w:basedOn w:val="DefaultParagraphFont"/>
    <w:uiPriority w:val="99"/>
    <w:unhideWhenUsed/>
    <w:rsid w:val="00A2511B"/>
    <w:rPr>
      <w:color w:val="0563C1" w:themeColor="hyperlink"/>
      <w:u w:val="single"/>
    </w:rPr>
  </w:style>
  <w:style w:type="character" w:styleId="PageNumber">
    <w:name w:val="page number"/>
    <w:basedOn w:val="DefaultParagraphFont"/>
    <w:uiPriority w:val="99"/>
    <w:semiHidden/>
    <w:unhideWhenUsed/>
    <w:rsid w:val="000269FD"/>
  </w:style>
  <w:style w:type="paragraph" w:styleId="Revision">
    <w:name w:val="Revision"/>
    <w:hidden/>
    <w:uiPriority w:val="99"/>
    <w:semiHidden/>
    <w:rsid w:val="00162E12"/>
    <w:pPr>
      <w:spacing w:after="0" w:line="240" w:lineRule="auto"/>
    </w:pPr>
  </w:style>
  <w:style w:type="character" w:customStyle="1" w:styleId="UnresolvedMention1">
    <w:name w:val="Unresolved Mention1"/>
    <w:basedOn w:val="DefaultParagraphFont"/>
    <w:uiPriority w:val="99"/>
    <w:rsid w:val="00F84BD5"/>
    <w:rPr>
      <w:color w:val="605E5C"/>
      <w:shd w:val="clear" w:color="auto" w:fill="E1DFDD"/>
    </w:rPr>
  </w:style>
  <w:style w:type="character" w:styleId="UnresolvedMention">
    <w:name w:val="Unresolved Mention"/>
    <w:basedOn w:val="DefaultParagraphFont"/>
    <w:uiPriority w:val="99"/>
    <w:rsid w:val="00FF5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8639">
      <w:bodyDiv w:val="1"/>
      <w:marLeft w:val="0"/>
      <w:marRight w:val="0"/>
      <w:marTop w:val="0"/>
      <w:marBottom w:val="0"/>
      <w:divBdr>
        <w:top w:val="none" w:sz="0" w:space="0" w:color="auto"/>
        <w:left w:val="none" w:sz="0" w:space="0" w:color="auto"/>
        <w:bottom w:val="none" w:sz="0" w:space="0" w:color="auto"/>
        <w:right w:val="none" w:sz="0" w:space="0" w:color="auto"/>
      </w:divBdr>
    </w:div>
    <w:div w:id="86507578">
      <w:bodyDiv w:val="1"/>
      <w:marLeft w:val="0"/>
      <w:marRight w:val="0"/>
      <w:marTop w:val="0"/>
      <w:marBottom w:val="0"/>
      <w:divBdr>
        <w:top w:val="none" w:sz="0" w:space="0" w:color="auto"/>
        <w:left w:val="none" w:sz="0" w:space="0" w:color="auto"/>
        <w:bottom w:val="none" w:sz="0" w:space="0" w:color="auto"/>
        <w:right w:val="none" w:sz="0" w:space="0" w:color="auto"/>
      </w:divBdr>
    </w:div>
    <w:div w:id="152376028">
      <w:bodyDiv w:val="1"/>
      <w:marLeft w:val="0"/>
      <w:marRight w:val="0"/>
      <w:marTop w:val="0"/>
      <w:marBottom w:val="0"/>
      <w:divBdr>
        <w:top w:val="none" w:sz="0" w:space="0" w:color="auto"/>
        <w:left w:val="none" w:sz="0" w:space="0" w:color="auto"/>
        <w:bottom w:val="none" w:sz="0" w:space="0" w:color="auto"/>
        <w:right w:val="none" w:sz="0" w:space="0" w:color="auto"/>
      </w:divBdr>
      <w:divsChild>
        <w:div w:id="427897543">
          <w:marLeft w:val="0"/>
          <w:marRight w:val="0"/>
          <w:marTop w:val="0"/>
          <w:marBottom w:val="0"/>
          <w:divBdr>
            <w:top w:val="none" w:sz="0" w:space="0" w:color="auto"/>
            <w:left w:val="none" w:sz="0" w:space="0" w:color="auto"/>
            <w:bottom w:val="none" w:sz="0" w:space="0" w:color="auto"/>
            <w:right w:val="none" w:sz="0" w:space="0" w:color="auto"/>
          </w:divBdr>
          <w:divsChild>
            <w:div w:id="441463385">
              <w:marLeft w:val="0"/>
              <w:marRight w:val="0"/>
              <w:marTop w:val="0"/>
              <w:marBottom w:val="0"/>
              <w:divBdr>
                <w:top w:val="none" w:sz="0" w:space="0" w:color="auto"/>
                <w:left w:val="none" w:sz="0" w:space="0" w:color="auto"/>
                <w:bottom w:val="none" w:sz="0" w:space="0" w:color="auto"/>
                <w:right w:val="none" w:sz="0" w:space="0" w:color="auto"/>
              </w:divBdr>
              <w:divsChild>
                <w:div w:id="754742911">
                  <w:marLeft w:val="0"/>
                  <w:marRight w:val="0"/>
                  <w:marTop w:val="0"/>
                  <w:marBottom w:val="0"/>
                  <w:divBdr>
                    <w:top w:val="none" w:sz="0" w:space="0" w:color="auto"/>
                    <w:left w:val="none" w:sz="0" w:space="0" w:color="auto"/>
                    <w:bottom w:val="none" w:sz="0" w:space="0" w:color="auto"/>
                    <w:right w:val="none" w:sz="0" w:space="0" w:color="auto"/>
                  </w:divBdr>
                  <w:divsChild>
                    <w:div w:id="1378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0310">
      <w:bodyDiv w:val="1"/>
      <w:marLeft w:val="0"/>
      <w:marRight w:val="0"/>
      <w:marTop w:val="0"/>
      <w:marBottom w:val="0"/>
      <w:divBdr>
        <w:top w:val="none" w:sz="0" w:space="0" w:color="auto"/>
        <w:left w:val="none" w:sz="0" w:space="0" w:color="auto"/>
        <w:bottom w:val="none" w:sz="0" w:space="0" w:color="auto"/>
        <w:right w:val="none" w:sz="0" w:space="0" w:color="auto"/>
      </w:divBdr>
      <w:divsChild>
        <w:div w:id="749936085">
          <w:marLeft w:val="0"/>
          <w:marRight w:val="0"/>
          <w:marTop w:val="0"/>
          <w:marBottom w:val="0"/>
          <w:divBdr>
            <w:top w:val="none" w:sz="0" w:space="0" w:color="auto"/>
            <w:left w:val="none" w:sz="0" w:space="0" w:color="auto"/>
            <w:bottom w:val="none" w:sz="0" w:space="0" w:color="auto"/>
            <w:right w:val="none" w:sz="0" w:space="0" w:color="auto"/>
          </w:divBdr>
          <w:divsChild>
            <w:div w:id="1797019178">
              <w:marLeft w:val="0"/>
              <w:marRight w:val="0"/>
              <w:marTop w:val="0"/>
              <w:marBottom w:val="0"/>
              <w:divBdr>
                <w:top w:val="none" w:sz="0" w:space="0" w:color="auto"/>
                <w:left w:val="none" w:sz="0" w:space="0" w:color="auto"/>
                <w:bottom w:val="none" w:sz="0" w:space="0" w:color="auto"/>
                <w:right w:val="none" w:sz="0" w:space="0" w:color="auto"/>
              </w:divBdr>
              <w:divsChild>
                <w:div w:id="1410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2192">
      <w:bodyDiv w:val="1"/>
      <w:marLeft w:val="0"/>
      <w:marRight w:val="0"/>
      <w:marTop w:val="0"/>
      <w:marBottom w:val="0"/>
      <w:divBdr>
        <w:top w:val="none" w:sz="0" w:space="0" w:color="auto"/>
        <w:left w:val="none" w:sz="0" w:space="0" w:color="auto"/>
        <w:bottom w:val="none" w:sz="0" w:space="0" w:color="auto"/>
        <w:right w:val="none" w:sz="0" w:space="0" w:color="auto"/>
      </w:divBdr>
    </w:div>
    <w:div w:id="281225979">
      <w:bodyDiv w:val="1"/>
      <w:marLeft w:val="0"/>
      <w:marRight w:val="0"/>
      <w:marTop w:val="0"/>
      <w:marBottom w:val="0"/>
      <w:divBdr>
        <w:top w:val="none" w:sz="0" w:space="0" w:color="auto"/>
        <w:left w:val="none" w:sz="0" w:space="0" w:color="auto"/>
        <w:bottom w:val="none" w:sz="0" w:space="0" w:color="auto"/>
        <w:right w:val="none" w:sz="0" w:space="0" w:color="auto"/>
      </w:divBdr>
    </w:div>
    <w:div w:id="4458550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875">
          <w:marLeft w:val="0"/>
          <w:marRight w:val="0"/>
          <w:marTop w:val="0"/>
          <w:marBottom w:val="0"/>
          <w:divBdr>
            <w:top w:val="none" w:sz="0" w:space="0" w:color="auto"/>
            <w:left w:val="none" w:sz="0" w:space="0" w:color="auto"/>
            <w:bottom w:val="none" w:sz="0" w:space="0" w:color="auto"/>
            <w:right w:val="none" w:sz="0" w:space="0" w:color="auto"/>
          </w:divBdr>
          <w:divsChild>
            <w:div w:id="921909065">
              <w:marLeft w:val="0"/>
              <w:marRight w:val="0"/>
              <w:marTop w:val="0"/>
              <w:marBottom w:val="0"/>
              <w:divBdr>
                <w:top w:val="none" w:sz="0" w:space="0" w:color="auto"/>
                <w:left w:val="none" w:sz="0" w:space="0" w:color="auto"/>
                <w:bottom w:val="none" w:sz="0" w:space="0" w:color="auto"/>
                <w:right w:val="none" w:sz="0" w:space="0" w:color="auto"/>
              </w:divBdr>
              <w:divsChild>
                <w:div w:id="6615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67503">
      <w:bodyDiv w:val="1"/>
      <w:marLeft w:val="0"/>
      <w:marRight w:val="0"/>
      <w:marTop w:val="0"/>
      <w:marBottom w:val="0"/>
      <w:divBdr>
        <w:top w:val="none" w:sz="0" w:space="0" w:color="auto"/>
        <w:left w:val="none" w:sz="0" w:space="0" w:color="auto"/>
        <w:bottom w:val="none" w:sz="0" w:space="0" w:color="auto"/>
        <w:right w:val="none" w:sz="0" w:space="0" w:color="auto"/>
      </w:divBdr>
      <w:divsChild>
        <w:div w:id="2082631201">
          <w:marLeft w:val="0"/>
          <w:marRight w:val="0"/>
          <w:marTop w:val="0"/>
          <w:marBottom w:val="0"/>
          <w:divBdr>
            <w:top w:val="none" w:sz="0" w:space="0" w:color="auto"/>
            <w:left w:val="none" w:sz="0" w:space="0" w:color="auto"/>
            <w:bottom w:val="none" w:sz="0" w:space="0" w:color="auto"/>
            <w:right w:val="none" w:sz="0" w:space="0" w:color="auto"/>
          </w:divBdr>
          <w:divsChild>
            <w:div w:id="316030877">
              <w:marLeft w:val="0"/>
              <w:marRight w:val="0"/>
              <w:marTop w:val="0"/>
              <w:marBottom w:val="0"/>
              <w:divBdr>
                <w:top w:val="none" w:sz="0" w:space="0" w:color="auto"/>
                <w:left w:val="none" w:sz="0" w:space="0" w:color="auto"/>
                <w:bottom w:val="none" w:sz="0" w:space="0" w:color="auto"/>
                <w:right w:val="none" w:sz="0" w:space="0" w:color="auto"/>
              </w:divBdr>
              <w:divsChild>
                <w:div w:id="850995437">
                  <w:marLeft w:val="0"/>
                  <w:marRight w:val="0"/>
                  <w:marTop w:val="0"/>
                  <w:marBottom w:val="0"/>
                  <w:divBdr>
                    <w:top w:val="none" w:sz="0" w:space="0" w:color="auto"/>
                    <w:left w:val="none" w:sz="0" w:space="0" w:color="auto"/>
                    <w:bottom w:val="none" w:sz="0" w:space="0" w:color="auto"/>
                    <w:right w:val="none" w:sz="0" w:space="0" w:color="auto"/>
                  </w:divBdr>
                  <w:divsChild>
                    <w:div w:id="15116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540970">
      <w:bodyDiv w:val="1"/>
      <w:marLeft w:val="0"/>
      <w:marRight w:val="0"/>
      <w:marTop w:val="0"/>
      <w:marBottom w:val="0"/>
      <w:divBdr>
        <w:top w:val="none" w:sz="0" w:space="0" w:color="auto"/>
        <w:left w:val="none" w:sz="0" w:space="0" w:color="auto"/>
        <w:bottom w:val="none" w:sz="0" w:space="0" w:color="auto"/>
        <w:right w:val="none" w:sz="0" w:space="0" w:color="auto"/>
      </w:divBdr>
      <w:divsChild>
        <w:div w:id="2102293479">
          <w:marLeft w:val="0"/>
          <w:marRight w:val="0"/>
          <w:marTop w:val="0"/>
          <w:marBottom w:val="0"/>
          <w:divBdr>
            <w:top w:val="none" w:sz="0" w:space="0" w:color="auto"/>
            <w:left w:val="none" w:sz="0" w:space="0" w:color="auto"/>
            <w:bottom w:val="none" w:sz="0" w:space="0" w:color="auto"/>
            <w:right w:val="none" w:sz="0" w:space="0" w:color="auto"/>
          </w:divBdr>
          <w:divsChild>
            <w:div w:id="993993266">
              <w:marLeft w:val="0"/>
              <w:marRight w:val="0"/>
              <w:marTop w:val="0"/>
              <w:marBottom w:val="0"/>
              <w:divBdr>
                <w:top w:val="none" w:sz="0" w:space="0" w:color="auto"/>
                <w:left w:val="none" w:sz="0" w:space="0" w:color="auto"/>
                <w:bottom w:val="none" w:sz="0" w:space="0" w:color="auto"/>
                <w:right w:val="none" w:sz="0" w:space="0" w:color="auto"/>
              </w:divBdr>
              <w:divsChild>
                <w:div w:id="6937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4082">
      <w:bodyDiv w:val="1"/>
      <w:marLeft w:val="0"/>
      <w:marRight w:val="0"/>
      <w:marTop w:val="0"/>
      <w:marBottom w:val="0"/>
      <w:divBdr>
        <w:top w:val="none" w:sz="0" w:space="0" w:color="auto"/>
        <w:left w:val="none" w:sz="0" w:space="0" w:color="auto"/>
        <w:bottom w:val="none" w:sz="0" w:space="0" w:color="auto"/>
        <w:right w:val="none" w:sz="0" w:space="0" w:color="auto"/>
      </w:divBdr>
      <w:divsChild>
        <w:div w:id="1165323850">
          <w:marLeft w:val="0"/>
          <w:marRight w:val="0"/>
          <w:marTop w:val="0"/>
          <w:marBottom w:val="0"/>
          <w:divBdr>
            <w:top w:val="none" w:sz="0" w:space="0" w:color="auto"/>
            <w:left w:val="none" w:sz="0" w:space="0" w:color="auto"/>
            <w:bottom w:val="none" w:sz="0" w:space="0" w:color="auto"/>
            <w:right w:val="none" w:sz="0" w:space="0" w:color="auto"/>
          </w:divBdr>
          <w:divsChild>
            <w:div w:id="1640767038">
              <w:marLeft w:val="0"/>
              <w:marRight w:val="0"/>
              <w:marTop w:val="0"/>
              <w:marBottom w:val="0"/>
              <w:divBdr>
                <w:top w:val="none" w:sz="0" w:space="0" w:color="auto"/>
                <w:left w:val="none" w:sz="0" w:space="0" w:color="auto"/>
                <w:bottom w:val="none" w:sz="0" w:space="0" w:color="auto"/>
                <w:right w:val="none" w:sz="0" w:space="0" w:color="auto"/>
              </w:divBdr>
              <w:divsChild>
                <w:div w:id="72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48934">
      <w:bodyDiv w:val="1"/>
      <w:marLeft w:val="0"/>
      <w:marRight w:val="0"/>
      <w:marTop w:val="0"/>
      <w:marBottom w:val="0"/>
      <w:divBdr>
        <w:top w:val="none" w:sz="0" w:space="0" w:color="auto"/>
        <w:left w:val="none" w:sz="0" w:space="0" w:color="auto"/>
        <w:bottom w:val="none" w:sz="0" w:space="0" w:color="auto"/>
        <w:right w:val="none" w:sz="0" w:space="0" w:color="auto"/>
      </w:divBdr>
      <w:divsChild>
        <w:div w:id="729773275">
          <w:marLeft w:val="0"/>
          <w:marRight w:val="0"/>
          <w:marTop w:val="0"/>
          <w:marBottom w:val="0"/>
          <w:divBdr>
            <w:top w:val="none" w:sz="0" w:space="0" w:color="auto"/>
            <w:left w:val="none" w:sz="0" w:space="0" w:color="auto"/>
            <w:bottom w:val="none" w:sz="0" w:space="0" w:color="auto"/>
            <w:right w:val="none" w:sz="0" w:space="0" w:color="auto"/>
          </w:divBdr>
        </w:div>
      </w:divsChild>
    </w:div>
    <w:div w:id="805316841">
      <w:bodyDiv w:val="1"/>
      <w:marLeft w:val="0"/>
      <w:marRight w:val="0"/>
      <w:marTop w:val="0"/>
      <w:marBottom w:val="0"/>
      <w:divBdr>
        <w:top w:val="none" w:sz="0" w:space="0" w:color="auto"/>
        <w:left w:val="none" w:sz="0" w:space="0" w:color="auto"/>
        <w:bottom w:val="none" w:sz="0" w:space="0" w:color="auto"/>
        <w:right w:val="none" w:sz="0" w:space="0" w:color="auto"/>
      </w:divBdr>
      <w:divsChild>
        <w:div w:id="1672099381">
          <w:marLeft w:val="0"/>
          <w:marRight w:val="0"/>
          <w:marTop w:val="0"/>
          <w:marBottom w:val="0"/>
          <w:divBdr>
            <w:top w:val="none" w:sz="0" w:space="0" w:color="auto"/>
            <w:left w:val="none" w:sz="0" w:space="0" w:color="auto"/>
            <w:bottom w:val="none" w:sz="0" w:space="0" w:color="auto"/>
            <w:right w:val="none" w:sz="0" w:space="0" w:color="auto"/>
          </w:divBdr>
          <w:divsChild>
            <w:div w:id="1973174292">
              <w:marLeft w:val="0"/>
              <w:marRight w:val="0"/>
              <w:marTop w:val="0"/>
              <w:marBottom w:val="0"/>
              <w:divBdr>
                <w:top w:val="none" w:sz="0" w:space="0" w:color="auto"/>
                <w:left w:val="none" w:sz="0" w:space="0" w:color="auto"/>
                <w:bottom w:val="none" w:sz="0" w:space="0" w:color="auto"/>
                <w:right w:val="none" w:sz="0" w:space="0" w:color="auto"/>
              </w:divBdr>
              <w:divsChild>
                <w:div w:id="16209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317">
      <w:bodyDiv w:val="1"/>
      <w:marLeft w:val="0"/>
      <w:marRight w:val="0"/>
      <w:marTop w:val="0"/>
      <w:marBottom w:val="0"/>
      <w:divBdr>
        <w:top w:val="none" w:sz="0" w:space="0" w:color="auto"/>
        <w:left w:val="none" w:sz="0" w:space="0" w:color="auto"/>
        <w:bottom w:val="none" w:sz="0" w:space="0" w:color="auto"/>
        <w:right w:val="none" w:sz="0" w:space="0" w:color="auto"/>
      </w:divBdr>
      <w:divsChild>
        <w:div w:id="1194803429">
          <w:marLeft w:val="0"/>
          <w:marRight w:val="0"/>
          <w:marTop w:val="0"/>
          <w:marBottom w:val="0"/>
          <w:divBdr>
            <w:top w:val="none" w:sz="0" w:space="0" w:color="auto"/>
            <w:left w:val="none" w:sz="0" w:space="0" w:color="auto"/>
            <w:bottom w:val="none" w:sz="0" w:space="0" w:color="auto"/>
            <w:right w:val="none" w:sz="0" w:space="0" w:color="auto"/>
          </w:divBdr>
          <w:divsChild>
            <w:div w:id="1076442398">
              <w:marLeft w:val="0"/>
              <w:marRight w:val="0"/>
              <w:marTop w:val="0"/>
              <w:marBottom w:val="0"/>
              <w:divBdr>
                <w:top w:val="none" w:sz="0" w:space="0" w:color="auto"/>
                <w:left w:val="none" w:sz="0" w:space="0" w:color="auto"/>
                <w:bottom w:val="none" w:sz="0" w:space="0" w:color="auto"/>
                <w:right w:val="none" w:sz="0" w:space="0" w:color="auto"/>
              </w:divBdr>
              <w:divsChild>
                <w:div w:id="15509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30558">
      <w:bodyDiv w:val="1"/>
      <w:marLeft w:val="0"/>
      <w:marRight w:val="0"/>
      <w:marTop w:val="0"/>
      <w:marBottom w:val="0"/>
      <w:divBdr>
        <w:top w:val="none" w:sz="0" w:space="0" w:color="auto"/>
        <w:left w:val="none" w:sz="0" w:space="0" w:color="auto"/>
        <w:bottom w:val="none" w:sz="0" w:space="0" w:color="auto"/>
        <w:right w:val="none" w:sz="0" w:space="0" w:color="auto"/>
      </w:divBdr>
      <w:divsChild>
        <w:div w:id="1366373798">
          <w:marLeft w:val="0"/>
          <w:marRight w:val="0"/>
          <w:marTop w:val="0"/>
          <w:marBottom w:val="0"/>
          <w:divBdr>
            <w:top w:val="none" w:sz="0" w:space="0" w:color="auto"/>
            <w:left w:val="none" w:sz="0" w:space="0" w:color="auto"/>
            <w:bottom w:val="none" w:sz="0" w:space="0" w:color="auto"/>
            <w:right w:val="none" w:sz="0" w:space="0" w:color="auto"/>
          </w:divBdr>
          <w:divsChild>
            <w:div w:id="1523855225">
              <w:marLeft w:val="0"/>
              <w:marRight w:val="0"/>
              <w:marTop w:val="0"/>
              <w:marBottom w:val="0"/>
              <w:divBdr>
                <w:top w:val="none" w:sz="0" w:space="0" w:color="auto"/>
                <w:left w:val="none" w:sz="0" w:space="0" w:color="auto"/>
                <w:bottom w:val="none" w:sz="0" w:space="0" w:color="auto"/>
                <w:right w:val="none" w:sz="0" w:space="0" w:color="auto"/>
              </w:divBdr>
              <w:divsChild>
                <w:div w:id="1698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89121">
      <w:bodyDiv w:val="1"/>
      <w:marLeft w:val="0"/>
      <w:marRight w:val="0"/>
      <w:marTop w:val="0"/>
      <w:marBottom w:val="0"/>
      <w:divBdr>
        <w:top w:val="none" w:sz="0" w:space="0" w:color="auto"/>
        <w:left w:val="none" w:sz="0" w:space="0" w:color="auto"/>
        <w:bottom w:val="none" w:sz="0" w:space="0" w:color="auto"/>
        <w:right w:val="none" w:sz="0" w:space="0" w:color="auto"/>
      </w:divBdr>
    </w:div>
    <w:div w:id="1024360298">
      <w:bodyDiv w:val="1"/>
      <w:marLeft w:val="0"/>
      <w:marRight w:val="0"/>
      <w:marTop w:val="0"/>
      <w:marBottom w:val="0"/>
      <w:divBdr>
        <w:top w:val="none" w:sz="0" w:space="0" w:color="auto"/>
        <w:left w:val="none" w:sz="0" w:space="0" w:color="auto"/>
        <w:bottom w:val="none" w:sz="0" w:space="0" w:color="auto"/>
        <w:right w:val="none" w:sz="0" w:space="0" w:color="auto"/>
      </w:divBdr>
    </w:div>
    <w:div w:id="1204439698">
      <w:bodyDiv w:val="1"/>
      <w:marLeft w:val="0"/>
      <w:marRight w:val="0"/>
      <w:marTop w:val="0"/>
      <w:marBottom w:val="0"/>
      <w:divBdr>
        <w:top w:val="none" w:sz="0" w:space="0" w:color="auto"/>
        <w:left w:val="none" w:sz="0" w:space="0" w:color="auto"/>
        <w:bottom w:val="none" w:sz="0" w:space="0" w:color="auto"/>
        <w:right w:val="none" w:sz="0" w:space="0" w:color="auto"/>
      </w:divBdr>
      <w:divsChild>
        <w:div w:id="214045159">
          <w:marLeft w:val="0"/>
          <w:marRight w:val="0"/>
          <w:marTop w:val="0"/>
          <w:marBottom w:val="0"/>
          <w:divBdr>
            <w:top w:val="none" w:sz="0" w:space="0" w:color="auto"/>
            <w:left w:val="none" w:sz="0" w:space="0" w:color="auto"/>
            <w:bottom w:val="none" w:sz="0" w:space="0" w:color="auto"/>
            <w:right w:val="none" w:sz="0" w:space="0" w:color="auto"/>
          </w:divBdr>
          <w:divsChild>
            <w:div w:id="860894589">
              <w:marLeft w:val="0"/>
              <w:marRight w:val="0"/>
              <w:marTop w:val="0"/>
              <w:marBottom w:val="0"/>
              <w:divBdr>
                <w:top w:val="none" w:sz="0" w:space="0" w:color="auto"/>
                <w:left w:val="none" w:sz="0" w:space="0" w:color="auto"/>
                <w:bottom w:val="none" w:sz="0" w:space="0" w:color="auto"/>
                <w:right w:val="none" w:sz="0" w:space="0" w:color="auto"/>
              </w:divBdr>
              <w:divsChild>
                <w:div w:id="9135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3709">
      <w:bodyDiv w:val="1"/>
      <w:marLeft w:val="0"/>
      <w:marRight w:val="0"/>
      <w:marTop w:val="0"/>
      <w:marBottom w:val="0"/>
      <w:divBdr>
        <w:top w:val="none" w:sz="0" w:space="0" w:color="auto"/>
        <w:left w:val="none" w:sz="0" w:space="0" w:color="auto"/>
        <w:bottom w:val="none" w:sz="0" w:space="0" w:color="auto"/>
        <w:right w:val="none" w:sz="0" w:space="0" w:color="auto"/>
      </w:divBdr>
      <w:divsChild>
        <w:div w:id="2002738108">
          <w:marLeft w:val="0"/>
          <w:marRight w:val="0"/>
          <w:marTop w:val="0"/>
          <w:marBottom w:val="0"/>
          <w:divBdr>
            <w:top w:val="none" w:sz="0" w:space="0" w:color="auto"/>
            <w:left w:val="none" w:sz="0" w:space="0" w:color="auto"/>
            <w:bottom w:val="none" w:sz="0" w:space="0" w:color="auto"/>
            <w:right w:val="none" w:sz="0" w:space="0" w:color="auto"/>
          </w:divBdr>
          <w:divsChild>
            <w:div w:id="549995621">
              <w:marLeft w:val="0"/>
              <w:marRight w:val="0"/>
              <w:marTop w:val="0"/>
              <w:marBottom w:val="0"/>
              <w:divBdr>
                <w:top w:val="none" w:sz="0" w:space="0" w:color="auto"/>
                <w:left w:val="none" w:sz="0" w:space="0" w:color="auto"/>
                <w:bottom w:val="none" w:sz="0" w:space="0" w:color="auto"/>
                <w:right w:val="none" w:sz="0" w:space="0" w:color="auto"/>
              </w:divBdr>
              <w:divsChild>
                <w:div w:id="5486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67416">
      <w:bodyDiv w:val="1"/>
      <w:marLeft w:val="0"/>
      <w:marRight w:val="0"/>
      <w:marTop w:val="0"/>
      <w:marBottom w:val="0"/>
      <w:divBdr>
        <w:top w:val="none" w:sz="0" w:space="0" w:color="auto"/>
        <w:left w:val="none" w:sz="0" w:space="0" w:color="auto"/>
        <w:bottom w:val="none" w:sz="0" w:space="0" w:color="auto"/>
        <w:right w:val="none" w:sz="0" w:space="0" w:color="auto"/>
      </w:divBdr>
    </w:div>
    <w:div w:id="1461026640">
      <w:bodyDiv w:val="1"/>
      <w:marLeft w:val="0"/>
      <w:marRight w:val="0"/>
      <w:marTop w:val="0"/>
      <w:marBottom w:val="0"/>
      <w:divBdr>
        <w:top w:val="none" w:sz="0" w:space="0" w:color="auto"/>
        <w:left w:val="none" w:sz="0" w:space="0" w:color="auto"/>
        <w:bottom w:val="none" w:sz="0" w:space="0" w:color="auto"/>
        <w:right w:val="none" w:sz="0" w:space="0" w:color="auto"/>
      </w:divBdr>
    </w:div>
    <w:div w:id="1475178666">
      <w:bodyDiv w:val="1"/>
      <w:marLeft w:val="0"/>
      <w:marRight w:val="0"/>
      <w:marTop w:val="0"/>
      <w:marBottom w:val="0"/>
      <w:divBdr>
        <w:top w:val="none" w:sz="0" w:space="0" w:color="auto"/>
        <w:left w:val="none" w:sz="0" w:space="0" w:color="auto"/>
        <w:bottom w:val="none" w:sz="0" w:space="0" w:color="auto"/>
        <w:right w:val="none" w:sz="0" w:space="0" w:color="auto"/>
      </w:divBdr>
      <w:divsChild>
        <w:div w:id="636954088">
          <w:marLeft w:val="0"/>
          <w:marRight w:val="0"/>
          <w:marTop w:val="0"/>
          <w:marBottom w:val="0"/>
          <w:divBdr>
            <w:top w:val="none" w:sz="0" w:space="0" w:color="auto"/>
            <w:left w:val="none" w:sz="0" w:space="0" w:color="auto"/>
            <w:bottom w:val="none" w:sz="0" w:space="0" w:color="auto"/>
            <w:right w:val="none" w:sz="0" w:space="0" w:color="auto"/>
          </w:divBdr>
          <w:divsChild>
            <w:div w:id="543174593">
              <w:marLeft w:val="0"/>
              <w:marRight w:val="0"/>
              <w:marTop w:val="0"/>
              <w:marBottom w:val="0"/>
              <w:divBdr>
                <w:top w:val="none" w:sz="0" w:space="0" w:color="auto"/>
                <w:left w:val="none" w:sz="0" w:space="0" w:color="auto"/>
                <w:bottom w:val="none" w:sz="0" w:space="0" w:color="auto"/>
                <w:right w:val="none" w:sz="0" w:space="0" w:color="auto"/>
              </w:divBdr>
              <w:divsChild>
                <w:div w:id="1928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7544">
      <w:bodyDiv w:val="1"/>
      <w:marLeft w:val="0"/>
      <w:marRight w:val="0"/>
      <w:marTop w:val="0"/>
      <w:marBottom w:val="0"/>
      <w:divBdr>
        <w:top w:val="none" w:sz="0" w:space="0" w:color="auto"/>
        <w:left w:val="none" w:sz="0" w:space="0" w:color="auto"/>
        <w:bottom w:val="none" w:sz="0" w:space="0" w:color="auto"/>
        <w:right w:val="none" w:sz="0" w:space="0" w:color="auto"/>
      </w:divBdr>
    </w:div>
    <w:div w:id="1549100473">
      <w:bodyDiv w:val="1"/>
      <w:marLeft w:val="0"/>
      <w:marRight w:val="0"/>
      <w:marTop w:val="0"/>
      <w:marBottom w:val="0"/>
      <w:divBdr>
        <w:top w:val="none" w:sz="0" w:space="0" w:color="auto"/>
        <w:left w:val="none" w:sz="0" w:space="0" w:color="auto"/>
        <w:bottom w:val="none" w:sz="0" w:space="0" w:color="auto"/>
        <w:right w:val="none" w:sz="0" w:space="0" w:color="auto"/>
      </w:divBdr>
    </w:div>
    <w:div w:id="1566795565">
      <w:bodyDiv w:val="1"/>
      <w:marLeft w:val="0"/>
      <w:marRight w:val="0"/>
      <w:marTop w:val="0"/>
      <w:marBottom w:val="0"/>
      <w:divBdr>
        <w:top w:val="none" w:sz="0" w:space="0" w:color="auto"/>
        <w:left w:val="none" w:sz="0" w:space="0" w:color="auto"/>
        <w:bottom w:val="none" w:sz="0" w:space="0" w:color="auto"/>
        <w:right w:val="none" w:sz="0" w:space="0" w:color="auto"/>
      </w:divBdr>
      <w:divsChild>
        <w:div w:id="273634175">
          <w:marLeft w:val="0"/>
          <w:marRight w:val="0"/>
          <w:marTop w:val="0"/>
          <w:marBottom w:val="0"/>
          <w:divBdr>
            <w:top w:val="none" w:sz="0" w:space="0" w:color="auto"/>
            <w:left w:val="none" w:sz="0" w:space="0" w:color="auto"/>
            <w:bottom w:val="none" w:sz="0" w:space="0" w:color="auto"/>
            <w:right w:val="none" w:sz="0" w:space="0" w:color="auto"/>
          </w:divBdr>
          <w:divsChild>
            <w:div w:id="1717387379">
              <w:marLeft w:val="0"/>
              <w:marRight w:val="0"/>
              <w:marTop w:val="0"/>
              <w:marBottom w:val="0"/>
              <w:divBdr>
                <w:top w:val="none" w:sz="0" w:space="0" w:color="auto"/>
                <w:left w:val="none" w:sz="0" w:space="0" w:color="auto"/>
                <w:bottom w:val="none" w:sz="0" w:space="0" w:color="auto"/>
                <w:right w:val="none" w:sz="0" w:space="0" w:color="auto"/>
              </w:divBdr>
              <w:divsChild>
                <w:div w:id="1698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7467">
      <w:bodyDiv w:val="1"/>
      <w:marLeft w:val="0"/>
      <w:marRight w:val="0"/>
      <w:marTop w:val="0"/>
      <w:marBottom w:val="0"/>
      <w:divBdr>
        <w:top w:val="none" w:sz="0" w:space="0" w:color="auto"/>
        <w:left w:val="none" w:sz="0" w:space="0" w:color="auto"/>
        <w:bottom w:val="none" w:sz="0" w:space="0" w:color="auto"/>
        <w:right w:val="none" w:sz="0" w:space="0" w:color="auto"/>
      </w:divBdr>
      <w:divsChild>
        <w:div w:id="1152870640">
          <w:marLeft w:val="0"/>
          <w:marRight w:val="0"/>
          <w:marTop w:val="0"/>
          <w:marBottom w:val="0"/>
          <w:divBdr>
            <w:top w:val="none" w:sz="0" w:space="0" w:color="auto"/>
            <w:left w:val="none" w:sz="0" w:space="0" w:color="auto"/>
            <w:bottom w:val="none" w:sz="0" w:space="0" w:color="auto"/>
            <w:right w:val="none" w:sz="0" w:space="0" w:color="auto"/>
          </w:divBdr>
          <w:divsChild>
            <w:div w:id="163253127">
              <w:marLeft w:val="0"/>
              <w:marRight w:val="0"/>
              <w:marTop w:val="0"/>
              <w:marBottom w:val="0"/>
              <w:divBdr>
                <w:top w:val="none" w:sz="0" w:space="0" w:color="auto"/>
                <w:left w:val="none" w:sz="0" w:space="0" w:color="auto"/>
                <w:bottom w:val="none" w:sz="0" w:space="0" w:color="auto"/>
                <w:right w:val="none" w:sz="0" w:space="0" w:color="auto"/>
              </w:divBdr>
              <w:divsChild>
                <w:div w:id="4864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99132">
      <w:bodyDiv w:val="1"/>
      <w:marLeft w:val="0"/>
      <w:marRight w:val="0"/>
      <w:marTop w:val="0"/>
      <w:marBottom w:val="0"/>
      <w:divBdr>
        <w:top w:val="none" w:sz="0" w:space="0" w:color="auto"/>
        <w:left w:val="none" w:sz="0" w:space="0" w:color="auto"/>
        <w:bottom w:val="none" w:sz="0" w:space="0" w:color="auto"/>
        <w:right w:val="none" w:sz="0" w:space="0" w:color="auto"/>
      </w:divBdr>
      <w:divsChild>
        <w:div w:id="390345978">
          <w:marLeft w:val="0"/>
          <w:marRight w:val="0"/>
          <w:marTop w:val="0"/>
          <w:marBottom w:val="0"/>
          <w:divBdr>
            <w:top w:val="none" w:sz="0" w:space="0" w:color="auto"/>
            <w:left w:val="none" w:sz="0" w:space="0" w:color="auto"/>
            <w:bottom w:val="none" w:sz="0" w:space="0" w:color="auto"/>
            <w:right w:val="none" w:sz="0" w:space="0" w:color="auto"/>
          </w:divBdr>
          <w:divsChild>
            <w:div w:id="2060666075">
              <w:marLeft w:val="0"/>
              <w:marRight w:val="0"/>
              <w:marTop w:val="0"/>
              <w:marBottom w:val="0"/>
              <w:divBdr>
                <w:top w:val="none" w:sz="0" w:space="0" w:color="auto"/>
                <w:left w:val="none" w:sz="0" w:space="0" w:color="auto"/>
                <w:bottom w:val="none" w:sz="0" w:space="0" w:color="auto"/>
                <w:right w:val="none" w:sz="0" w:space="0" w:color="auto"/>
              </w:divBdr>
              <w:divsChild>
                <w:div w:id="6880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doi.org/10.1177%2F1037969X209278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2615C8-B9DD-C941-8111-976160C6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7856</Words>
  <Characters>44783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best</dc:creator>
  <cp:keywords/>
  <dc:description/>
  <cp:lastModifiedBy>david best</cp:lastModifiedBy>
  <cp:revision>2</cp:revision>
  <cp:lastPrinted>2020-09-27T09:22:00Z</cp:lastPrinted>
  <dcterms:created xsi:type="dcterms:W3CDTF">2020-10-03T06:38:00Z</dcterms:created>
  <dcterms:modified xsi:type="dcterms:W3CDTF">2020-10-03T06:38:00Z</dcterms:modified>
</cp:coreProperties>
</file>