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27D1" w14:textId="6B0F7E05" w:rsidR="008F724C" w:rsidRPr="002F4E96" w:rsidRDefault="00000F06" w:rsidP="008C2BF4">
      <w:pPr>
        <w:pStyle w:val="TTPAuthors"/>
        <w:ind w:right="-335"/>
        <w:rPr>
          <w:rFonts w:ascii="Times New Roman" w:hAnsi="Times New Roman" w:cs="Times New Roman"/>
          <w:b/>
          <w:lang w:val="en-GB"/>
        </w:rPr>
      </w:pPr>
      <w:bookmarkStart w:id="0" w:name="_Toc511400635"/>
      <w:bookmarkStart w:id="1" w:name="OLE_LINK1"/>
      <w:bookmarkStart w:id="2" w:name="OLE_LINK2"/>
      <w:r w:rsidRPr="002F4E96">
        <w:rPr>
          <w:rFonts w:ascii="Times New Roman" w:hAnsi="Times New Roman" w:cs="Times New Roman"/>
          <w:b/>
          <w:lang w:val="en-GB"/>
        </w:rPr>
        <w:t xml:space="preserve">Thermal </w:t>
      </w:r>
      <w:r w:rsidR="008F3167" w:rsidRPr="002F4E96">
        <w:rPr>
          <w:rFonts w:ascii="Times New Roman" w:hAnsi="Times New Roman" w:cs="Times New Roman"/>
          <w:b/>
          <w:lang w:val="en-GB"/>
        </w:rPr>
        <w:t>Fatigue Life of Ball Grid Array (</w:t>
      </w:r>
      <w:r w:rsidR="008F724C" w:rsidRPr="002F4E96">
        <w:rPr>
          <w:rFonts w:ascii="Times New Roman" w:hAnsi="Times New Roman" w:cs="Times New Roman"/>
          <w:b/>
          <w:lang w:val="en-GB"/>
        </w:rPr>
        <w:t>BGA</w:t>
      </w:r>
      <w:r w:rsidR="008F3167" w:rsidRPr="002F4E96">
        <w:rPr>
          <w:rFonts w:ascii="Times New Roman" w:hAnsi="Times New Roman" w:cs="Times New Roman"/>
          <w:b/>
          <w:lang w:val="en-GB"/>
        </w:rPr>
        <w:t>) Solder Joints Made From Different Alloy Compositions</w:t>
      </w:r>
      <w:r w:rsidR="008C2BF4" w:rsidRPr="002F4E96">
        <w:rPr>
          <w:rFonts w:ascii="Times New Roman" w:hAnsi="Times New Roman" w:cs="Times New Roman"/>
          <w:lang w:val="en-GB"/>
        </w:rPr>
        <w:tab/>
      </w:r>
    </w:p>
    <w:bookmarkEnd w:id="0"/>
    <w:p w14:paraId="6E1489E6" w14:textId="7AAD907E" w:rsidR="00317B67" w:rsidRPr="002F4E96" w:rsidRDefault="00317B67" w:rsidP="00317B67">
      <w:pPr>
        <w:pStyle w:val="TTPAddress"/>
        <w:rPr>
          <w:rFonts w:ascii="Times New Roman" w:hAnsi="Times New Roman" w:cs="Times New Roman"/>
          <w:lang w:val="en-GB"/>
        </w:rPr>
      </w:pPr>
      <w:r w:rsidRPr="002F4E96">
        <w:rPr>
          <w:rFonts w:ascii="Times New Roman" w:hAnsi="Times New Roman" w:cs="Times New Roman"/>
          <w:lang w:val="en-GB"/>
        </w:rPr>
        <w:t>Joshua A. Depiver</w:t>
      </w:r>
      <w:r w:rsidRPr="002F4E96">
        <w:rPr>
          <w:rFonts w:ascii="Times New Roman" w:hAnsi="Times New Roman" w:cs="Times New Roman"/>
          <w:vertAlign w:val="superscript"/>
          <w:lang w:val="en-GB"/>
        </w:rPr>
        <w:t>1, a</w:t>
      </w:r>
      <w:r w:rsidRPr="002F4E96">
        <w:rPr>
          <w:rFonts w:ascii="Times New Roman" w:hAnsi="Times New Roman" w:cs="Times New Roman"/>
          <w:bCs/>
          <w:lang w:val="en-GB"/>
        </w:rPr>
        <w:t>,</w:t>
      </w:r>
      <w:r w:rsidRPr="002F4E96">
        <w:rPr>
          <w:rFonts w:ascii="Times New Roman" w:hAnsi="Times New Roman" w:cs="Times New Roman"/>
          <w:lang w:val="en-GB"/>
        </w:rPr>
        <w:t xml:space="preserve"> Sabuj Mallik</w:t>
      </w:r>
      <w:r w:rsidRPr="002F4E96">
        <w:rPr>
          <w:rFonts w:ascii="Times New Roman" w:hAnsi="Times New Roman" w:cs="Times New Roman"/>
          <w:vertAlign w:val="superscript"/>
          <w:lang w:val="en-GB"/>
        </w:rPr>
        <w:t xml:space="preserve">1, b </w:t>
      </w:r>
      <w:r w:rsidRPr="002F4E96">
        <w:rPr>
          <w:rFonts w:ascii="Times New Roman" w:hAnsi="Times New Roman" w:cs="Times New Roman"/>
          <w:lang w:val="en-GB"/>
        </w:rPr>
        <w:t>and</w:t>
      </w:r>
      <w:r w:rsidRPr="002F4E96">
        <w:rPr>
          <w:rFonts w:ascii="Times New Roman" w:hAnsi="Times New Roman" w:cs="Times New Roman"/>
          <w:vertAlign w:val="superscript"/>
          <w:lang w:val="en-GB"/>
        </w:rPr>
        <w:t xml:space="preserve"> </w:t>
      </w:r>
      <w:r w:rsidRPr="002F4E96">
        <w:rPr>
          <w:rFonts w:ascii="Times New Roman" w:hAnsi="Times New Roman" w:cs="Times New Roman"/>
          <w:lang w:val="en-GB"/>
        </w:rPr>
        <w:t>Emeka H. Amalu</w:t>
      </w:r>
      <w:r w:rsidRPr="002F4E96">
        <w:rPr>
          <w:rFonts w:ascii="Times New Roman" w:hAnsi="Times New Roman" w:cs="Times New Roman"/>
          <w:vertAlign w:val="superscript"/>
          <w:lang w:val="en-GB"/>
        </w:rPr>
        <w:t>2, c</w:t>
      </w:r>
    </w:p>
    <w:p w14:paraId="24FB1C77" w14:textId="77777777" w:rsidR="00317B67" w:rsidRPr="002F4E96" w:rsidRDefault="00317B67" w:rsidP="00317B67">
      <w:pPr>
        <w:pStyle w:val="TTPAddress"/>
        <w:rPr>
          <w:rFonts w:ascii="Times New Roman" w:hAnsi="Times New Roman" w:cs="Times New Roman"/>
          <w:lang w:val="en-GB"/>
        </w:rPr>
      </w:pPr>
      <w:r w:rsidRPr="002F4E96">
        <w:rPr>
          <w:rFonts w:ascii="Times New Roman" w:hAnsi="Times New Roman" w:cs="Times New Roman"/>
          <w:vertAlign w:val="superscript"/>
          <w:lang w:val="en-GB"/>
        </w:rPr>
        <w:t>1</w:t>
      </w:r>
      <w:r w:rsidRPr="002F4E96">
        <w:rPr>
          <w:rFonts w:ascii="Times New Roman" w:hAnsi="Times New Roman" w:cs="Times New Roman"/>
          <w:lang w:val="en-GB"/>
        </w:rPr>
        <w:t>School of Mechanical Engineering &amp; the Built Environment, College of Engineering &amp; Technology</w:t>
      </w:r>
    </w:p>
    <w:p w14:paraId="507FC7E3" w14:textId="77777777" w:rsidR="00317B67" w:rsidRPr="002F4E96" w:rsidRDefault="00317B67" w:rsidP="00317B67">
      <w:pPr>
        <w:pStyle w:val="TTPAddress"/>
        <w:rPr>
          <w:rFonts w:ascii="Times New Roman" w:hAnsi="Times New Roman" w:cs="Times New Roman"/>
          <w:lang w:val="en-GB"/>
        </w:rPr>
      </w:pPr>
      <w:r w:rsidRPr="002F4E96">
        <w:rPr>
          <w:rFonts w:ascii="Times New Roman" w:hAnsi="Times New Roman" w:cs="Times New Roman"/>
          <w:lang w:val="en-GB"/>
        </w:rPr>
        <w:t>University of Derby, Markeaton Street, Derby, DE22 3AW, United Kingdom</w:t>
      </w:r>
    </w:p>
    <w:p w14:paraId="51243451" w14:textId="6CEE373C" w:rsidR="00317B67" w:rsidRPr="002F4E96" w:rsidRDefault="00317B67" w:rsidP="00B517F3">
      <w:pPr>
        <w:pStyle w:val="TTPAddress"/>
        <w:spacing w:line="360" w:lineRule="auto"/>
        <w:rPr>
          <w:rFonts w:ascii="Times New Roman" w:hAnsi="Times New Roman" w:cs="Times New Roman"/>
          <w:lang w:val="en-GB"/>
        </w:rPr>
      </w:pPr>
      <w:r w:rsidRPr="002F4E96">
        <w:rPr>
          <w:rFonts w:ascii="Times New Roman" w:hAnsi="Times New Roman" w:cs="Times New Roman"/>
          <w:vertAlign w:val="superscript"/>
          <w:lang w:val="en-GB"/>
        </w:rPr>
        <w:t>2</w:t>
      </w:r>
      <w:r w:rsidRPr="002F4E96">
        <w:rPr>
          <w:rFonts w:ascii="Times New Roman" w:hAnsi="Times New Roman" w:cs="Times New Roman"/>
          <w:lang w:val="en-GB"/>
        </w:rPr>
        <w:t xml:space="preserve">Department of Engineering, School of </w:t>
      </w:r>
      <w:r w:rsidR="00E721C0" w:rsidRPr="002F4E96">
        <w:rPr>
          <w:rFonts w:ascii="Times New Roman" w:hAnsi="Times New Roman" w:cs="Times New Roman"/>
          <w:lang w:val="en-GB"/>
        </w:rPr>
        <w:t>Computing</w:t>
      </w:r>
      <w:r w:rsidRPr="002F4E96">
        <w:rPr>
          <w:rFonts w:ascii="Times New Roman" w:hAnsi="Times New Roman" w:cs="Times New Roman"/>
          <w:lang w:val="en-GB"/>
        </w:rPr>
        <w:t>, Engineering and Digital Technologies, Teesside University, Middlesbrough, Tees Valley, TS1 3BA, United Kingdom</w:t>
      </w:r>
    </w:p>
    <w:p w14:paraId="6160F56B" w14:textId="3E7E90FD" w:rsidR="0091459E" w:rsidRPr="002F4E96" w:rsidRDefault="00B205D3" w:rsidP="004207C7">
      <w:pPr>
        <w:pStyle w:val="TTPAddress"/>
        <w:rPr>
          <w:rFonts w:ascii="Times New Roman" w:hAnsi="Times New Roman" w:cs="Times New Roman"/>
          <w:u w:val="single"/>
          <w:lang w:val="en-GB"/>
        </w:rPr>
      </w:pPr>
      <w:hyperlink r:id="rId8" w:history="1">
        <w:r w:rsidR="00317B67" w:rsidRPr="002F4E96">
          <w:rPr>
            <w:rStyle w:val="Hyperlink"/>
            <w:rFonts w:ascii="Times New Roman" w:hAnsi="Times New Roman" w:cs="Times New Roman"/>
            <w:color w:val="auto"/>
            <w:vertAlign w:val="superscript"/>
            <w:lang w:val="en-GB"/>
          </w:rPr>
          <w:t>a</w:t>
        </w:r>
        <w:r w:rsidR="00317B67" w:rsidRPr="002F4E96">
          <w:rPr>
            <w:rStyle w:val="Hyperlink"/>
            <w:rFonts w:ascii="Times New Roman" w:hAnsi="Times New Roman" w:cs="Times New Roman"/>
            <w:color w:val="auto"/>
            <w:lang w:val="en-GB"/>
          </w:rPr>
          <w:t>j.depiver@derby.ac.uk</w:t>
        </w:r>
      </w:hyperlink>
      <w:r w:rsidR="00317B67" w:rsidRPr="002F4E96">
        <w:rPr>
          <w:rFonts w:ascii="Times New Roman" w:hAnsi="Times New Roman" w:cs="Times New Roman"/>
          <w:vertAlign w:val="superscript"/>
          <w:lang w:val="en-GB"/>
        </w:rPr>
        <w:t>*</w:t>
      </w:r>
      <w:r w:rsidR="00317B67" w:rsidRPr="002F4E96">
        <w:rPr>
          <w:rFonts w:ascii="Times New Roman" w:hAnsi="Times New Roman" w:cs="Times New Roman"/>
          <w:lang w:val="en-GB"/>
        </w:rPr>
        <w:t xml:space="preserve">, </w:t>
      </w:r>
      <w:hyperlink r:id="rId9" w:history="1">
        <w:r w:rsidR="00317B67" w:rsidRPr="002F4E96">
          <w:rPr>
            <w:rStyle w:val="Hyperlink"/>
            <w:rFonts w:ascii="Times New Roman" w:hAnsi="Times New Roman" w:cs="Times New Roman"/>
            <w:color w:val="auto"/>
            <w:vertAlign w:val="superscript"/>
            <w:lang w:val="en-GB"/>
          </w:rPr>
          <w:t>b</w:t>
        </w:r>
        <w:r w:rsidR="00317B67" w:rsidRPr="002F4E96">
          <w:rPr>
            <w:rStyle w:val="Hyperlink"/>
            <w:rFonts w:ascii="Times New Roman" w:hAnsi="Times New Roman" w:cs="Times New Roman"/>
            <w:color w:val="auto"/>
            <w:lang w:val="en-GB"/>
          </w:rPr>
          <w:t>s.mallik@derby.ac.uk</w:t>
        </w:r>
      </w:hyperlink>
      <w:r w:rsidR="00317B67" w:rsidRPr="002F4E96">
        <w:rPr>
          <w:rFonts w:ascii="Times New Roman" w:hAnsi="Times New Roman" w:cs="Times New Roman"/>
          <w:lang w:val="en-GB"/>
        </w:rPr>
        <w:t xml:space="preserve">, </w:t>
      </w:r>
      <w:r w:rsidR="00317B67" w:rsidRPr="002F4E96">
        <w:rPr>
          <w:rFonts w:ascii="Times New Roman" w:hAnsi="Times New Roman" w:cs="Times New Roman"/>
          <w:vertAlign w:val="superscript"/>
          <w:lang w:val="en-GB"/>
        </w:rPr>
        <w:t>c</w:t>
      </w:r>
      <w:hyperlink r:id="rId10" w:history="1">
        <w:r w:rsidR="00317B67" w:rsidRPr="002F4E96">
          <w:rPr>
            <w:rStyle w:val="Hyperlink"/>
            <w:rFonts w:ascii="Times New Roman" w:hAnsi="Times New Roman" w:cs="Times New Roman"/>
            <w:color w:val="auto"/>
            <w:lang w:val="en-GB"/>
          </w:rPr>
          <w:t>E.Amalu@tees.ac.uk</w:t>
        </w:r>
      </w:hyperlink>
    </w:p>
    <w:bookmarkEnd w:id="1"/>
    <w:bookmarkEnd w:id="2"/>
    <w:p w14:paraId="20827D56" w14:textId="77777777" w:rsidR="004207C7" w:rsidRPr="002F4E96" w:rsidRDefault="004207C7" w:rsidP="004207C7">
      <w:pPr>
        <w:pStyle w:val="TTPAddress"/>
        <w:rPr>
          <w:rFonts w:ascii="Times New Roman" w:hAnsi="Times New Roman" w:cs="Times New Roman"/>
          <w:u w:val="single"/>
          <w:lang w:val="en-GB"/>
        </w:rPr>
      </w:pPr>
    </w:p>
    <w:p w14:paraId="620D3A8D" w14:textId="13742A9A" w:rsidR="0091459E" w:rsidRPr="002F4E96" w:rsidRDefault="0091459E" w:rsidP="009F3023">
      <w:pPr>
        <w:pStyle w:val="Heading2"/>
      </w:pPr>
      <w:r w:rsidRPr="002F4E96">
        <w:t>Abstract</w:t>
      </w:r>
    </w:p>
    <w:p w14:paraId="72DE2E53" w14:textId="1941585F" w:rsidR="00156F73" w:rsidRPr="002F4E96" w:rsidRDefault="00156F73" w:rsidP="00156F73">
      <w:pPr>
        <w:spacing w:line="360" w:lineRule="auto"/>
        <w:jc w:val="both"/>
        <w:rPr>
          <w:rFonts w:ascii="Times New Roman" w:hAnsi="Times New Roman" w:cs="Times New Roman"/>
        </w:rPr>
      </w:pPr>
      <w:r w:rsidRPr="002F4E96">
        <w:rPr>
          <w:rFonts w:ascii="Times New Roman" w:hAnsi="Times New Roman" w:cs="Times New Roman"/>
        </w:rPr>
        <w:t xml:space="preserve">As temperature cycling drives fatigue failure of solder joints in electronic modules, </w:t>
      </w:r>
      <w:r w:rsidR="00F54AE7" w:rsidRPr="002F4E96">
        <w:rPr>
          <w:rFonts w:ascii="Times New Roman" w:hAnsi="Times New Roman" w:cs="Times New Roman"/>
        </w:rPr>
        <w:t>characterisation</w:t>
      </w:r>
      <w:r w:rsidRPr="002F4E96">
        <w:rPr>
          <w:rFonts w:ascii="Times New Roman" w:hAnsi="Times New Roman" w:cs="Times New Roman"/>
        </w:rPr>
        <w:t xml:space="preserve"> of the thermal fatigue response of different solder alloy formulations in BGA solder joints functioning in mission-critical systems has become crucial. Four different lead-free and one eutectic lead-based solder alloys in BGA solder joints are </w:t>
      </w:r>
      <w:r w:rsidR="00F54AE7" w:rsidRPr="002F4E96">
        <w:rPr>
          <w:rFonts w:ascii="Times New Roman" w:hAnsi="Times New Roman" w:cs="Times New Roman"/>
        </w:rPr>
        <w:t>characterised</w:t>
      </w:r>
      <w:r w:rsidRPr="002F4E96">
        <w:rPr>
          <w:rFonts w:ascii="Times New Roman" w:hAnsi="Times New Roman" w:cs="Times New Roman"/>
        </w:rPr>
        <w:t xml:space="preserve"> against their thermal fatigue lives (</w:t>
      </w:r>
      <w:r w:rsidR="00F54AE7" w:rsidRPr="002F4E96">
        <w:rPr>
          <w:rFonts w:ascii="Times New Roman" w:hAnsi="Times New Roman" w:cs="Times New Roman"/>
        </w:rPr>
        <w:t>TFLs</w:t>
      </w:r>
      <w:r w:rsidRPr="002F4E96">
        <w:rPr>
          <w:rFonts w:ascii="Times New Roman" w:hAnsi="Times New Roman" w:cs="Times New Roman"/>
        </w:rPr>
        <w:t>) to predict their mean-time-to-failure for preventive maintenance advice. Five finite elements (</w:t>
      </w:r>
      <w:r w:rsidR="00F54AE7" w:rsidRPr="002F4E96">
        <w:rPr>
          <w:rFonts w:ascii="Times New Roman" w:hAnsi="Times New Roman" w:cs="Times New Roman"/>
        </w:rPr>
        <w:t>FE</w:t>
      </w:r>
      <w:r w:rsidRPr="002F4E96">
        <w:rPr>
          <w:rFonts w:ascii="Times New Roman" w:hAnsi="Times New Roman" w:cs="Times New Roman"/>
        </w:rPr>
        <w:t>) models of the assemblies of the BGAs with the different solder alloy compositions are created with SolidWorks. The models are subjected to standard IEC 60749-25 temperature cycling in ANSYS mechanical package environment. Plastic strain, shear strain, plastic shear strain</w:t>
      </w:r>
      <w:r w:rsidR="00F54AE7" w:rsidRPr="002F4E96">
        <w:rPr>
          <w:rFonts w:ascii="Times New Roman" w:hAnsi="Times New Roman" w:cs="Times New Roman"/>
        </w:rPr>
        <w:t>,</w:t>
      </w:r>
      <w:r w:rsidRPr="002F4E96">
        <w:rPr>
          <w:rFonts w:ascii="Times New Roman" w:hAnsi="Times New Roman" w:cs="Times New Roman"/>
        </w:rPr>
        <w:t xml:space="preserve"> and accumulated creep energy density responses of the solder joints are obtained and inputted into established life prediction models – Coffin Manson, Engelmaier, Solomon and Syed – to determine the lives of the models.</w:t>
      </w:r>
      <w:r w:rsidR="00A951A4" w:rsidRPr="002F4E96">
        <w:rPr>
          <w:rFonts w:ascii="Times New Roman" w:hAnsi="Times New Roman" w:cs="Times New Roman"/>
        </w:rPr>
        <w:t xml:space="preserve"> </w:t>
      </w:r>
      <w:r w:rsidRPr="002F4E96">
        <w:rPr>
          <w:rFonts w:ascii="Times New Roman" w:hAnsi="Times New Roman" w:cs="Times New Roman"/>
        </w:rPr>
        <w:t xml:space="preserve">SAC405 joints have the highest predicted </w:t>
      </w:r>
      <w:r w:rsidR="00F54AE7" w:rsidRPr="002F4E96">
        <w:rPr>
          <w:rFonts w:ascii="Times New Roman" w:hAnsi="Times New Roman" w:cs="Times New Roman"/>
        </w:rPr>
        <w:t>TFL</w:t>
      </w:r>
      <w:r w:rsidRPr="002F4E96">
        <w:rPr>
          <w:rFonts w:ascii="Times New Roman" w:hAnsi="Times New Roman" w:cs="Times New Roman"/>
        </w:rPr>
        <w:t xml:space="preserve"> of circa 1</w:t>
      </w:r>
      <w:r w:rsidR="002D43E3" w:rsidRPr="002F4E96">
        <w:rPr>
          <w:rFonts w:ascii="Times New Roman" w:hAnsi="Times New Roman" w:cs="Times New Roman"/>
        </w:rPr>
        <w:t>3.2</w:t>
      </w:r>
      <w:r w:rsidRPr="002F4E96">
        <w:rPr>
          <w:rFonts w:ascii="Times New Roman" w:hAnsi="Times New Roman" w:cs="Times New Roman"/>
        </w:rPr>
        <w:t xml:space="preserve"> years</w:t>
      </w:r>
      <w:r w:rsidR="009230F9" w:rsidRPr="002F4E96">
        <w:rPr>
          <w:rFonts w:ascii="Times New Roman" w:hAnsi="Times New Roman" w:cs="Times New Roman"/>
        </w:rPr>
        <w:t>,</w:t>
      </w:r>
      <w:r w:rsidRPr="002F4E96">
        <w:rPr>
          <w:rFonts w:ascii="Times New Roman" w:hAnsi="Times New Roman" w:cs="Times New Roman"/>
        </w:rPr>
        <w:t xml:space="preserve"> while SAC387 joints have the least life of circa 1.</w:t>
      </w:r>
      <w:r w:rsidR="002D43E3" w:rsidRPr="002F4E96">
        <w:rPr>
          <w:rFonts w:ascii="Times New Roman" w:hAnsi="Times New Roman" w:cs="Times New Roman"/>
        </w:rPr>
        <w:t>4</w:t>
      </w:r>
      <w:r w:rsidRPr="002F4E96">
        <w:rPr>
          <w:rFonts w:ascii="Times New Roman" w:hAnsi="Times New Roman" w:cs="Times New Roman"/>
        </w:rPr>
        <w:t xml:space="preserve"> years.  The predicted lives are inversely proportional to the magnitude of the areas of stress-strain hysteresis loops of the </w:t>
      </w:r>
      <w:r w:rsidR="00150D78" w:rsidRPr="002F4E96">
        <w:rPr>
          <w:rFonts w:ascii="Times New Roman" w:hAnsi="Times New Roman" w:cs="Times New Roman"/>
        </w:rPr>
        <w:t xml:space="preserve">BGA </w:t>
      </w:r>
      <w:r w:rsidRPr="002F4E96">
        <w:rPr>
          <w:rFonts w:ascii="Times New Roman" w:hAnsi="Times New Roman" w:cs="Times New Roman"/>
        </w:rPr>
        <w:t xml:space="preserve">solder joints. The prediction models are significantly </w:t>
      </w:r>
      <w:r w:rsidR="00667517" w:rsidRPr="002F4E96">
        <w:rPr>
          <w:rFonts w:ascii="Times New Roman" w:hAnsi="Times New Roman" w:cs="Times New Roman"/>
        </w:rPr>
        <w:t xml:space="preserve">not </w:t>
      </w:r>
      <w:r w:rsidRPr="002F4E96">
        <w:rPr>
          <w:rFonts w:ascii="Times New Roman" w:hAnsi="Times New Roman" w:cs="Times New Roman"/>
        </w:rPr>
        <w:t xml:space="preserve">consistent in predicted magnitudes </w:t>
      </w:r>
      <w:r w:rsidR="00667517" w:rsidRPr="002F4E96">
        <w:rPr>
          <w:rFonts w:ascii="Times New Roman" w:hAnsi="Times New Roman" w:cs="Times New Roman"/>
        </w:rPr>
        <w:t xml:space="preserve">of </w:t>
      </w:r>
      <w:r w:rsidR="00F54AE7" w:rsidRPr="002F4E96">
        <w:rPr>
          <w:rFonts w:ascii="Times New Roman" w:hAnsi="Times New Roman" w:cs="Times New Roman"/>
        </w:rPr>
        <w:t>TFLs</w:t>
      </w:r>
      <w:r w:rsidR="00667517" w:rsidRPr="002F4E96">
        <w:rPr>
          <w:rFonts w:ascii="Times New Roman" w:hAnsi="Times New Roman" w:cs="Times New Roman"/>
        </w:rPr>
        <w:t xml:space="preserve"> </w:t>
      </w:r>
      <w:r w:rsidRPr="002F4E96">
        <w:rPr>
          <w:rFonts w:ascii="Times New Roman" w:hAnsi="Times New Roman" w:cs="Times New Roman"/>
        </w:rPr>
        <w:t>across the solder joints</w:t>
      </w:r>
      <w:r w:rsidR="00667517" w:rsidRPr="002F4E96">
        <w:rPr>
          <w:rFonts w:ascii="Times New Roman" w:hAnsi="Times New Roman" w:cs="Times New Roman"/>
        </w:rPr>
        <w:t xml:space="preserve">. With circa </w:t>
      </w:r>
      <w:r w:rsidR="006619FE" w:rsidRPr="002F4E96">
        <w:rPr>
          <w:rFonts w:ascii="Times New Roman" w:hAnsi="Times New Roman" w:cs="Times New Roman"/>
        </w:rPr>
        <w:t>838</w:t>
      </w:r>
      <w:r w:rsidR="00667517" w:rsidRPr="002F4E96">
        <w:rPr>
          <w:rFonts w:ascii="Times New Roman" w:hAnsi="Times New Roman" w:cs="Times New Roman"/>
        </w:rPr>
        <w:t xml:space="preserve">% variation </w:t>
      </w:r>
      <w:r w:rsidR="00150D78" w:rsidRPr="002F4E96">
        <w:rPr>
          <w:rFonts w:ascii="Times New Roman" w:hAnsi="Times New Roman" w:cs="Times New Roman"/>
        </w:rPr>
        <w:t>i</w:t>
      </w:r>
      <w:r w:rsidR="00667517" w:rsidRPr="002F4E96">
        <w:rPr>
          <w:rFonts w:ascii="Times New Roman" w:hAnsi="Times New Roman" w:cs="Times New Roman"/>
        </w:rPr>
        <w:t xml:space="preserve">n </w:t>
      </w:r>
      <w:r w:rsidR="00150D78" w:rsidRPr="002F4E96">
        <w:rPr>
          <w:rFonts w:ascii="Times New Roman" w:hAnsi="Times New Roman" w:cs="Times New Roman"/>
        </w:rPr>
        <w:t xml:space="preserve">the magnitudes of </w:t>
      </w:r>
      <w:r w:rsidR="00F54AE7" w:rsidRPr="002F4E96">
        <w:rPr>
          <w:rFonts w:ascii="Times New Roman" w:hAnsi="Times New Roman" w:cs="Times New Roman"/>
        </w:rPr>
        <w:t>TFL</w:t>
      </w:r>
      <w:r w:rsidR="00667517" w:rsidRPr="002F4E96">
        <w:rPr>
          <w:rFonts w:ascii="Times New Roman" w:hAnsi="Times New Roman" w:cs="Times New Roman"/>
        </w:rPr>
        <w:t xml:space="preserve"> predicted </w:t>
      </w:r>
      <w:r w:rsidR="00150D78" w:rsidRPr="002F4E96">
        <w:rPr>
          <w:rFonts w:ascii="Times New Roman" w:hAnsi="Times New Roman" w:cs="Times New Roman"/>
        </w:rPr>
        <w:t xml:space="preserve">for </w:t>
      </w:r>
      <w:r w:rsidR="00667517" w:rsidRPr="002F4E96">
        <w:rPr>
          <w:rFonts w:ascii="Times New Roman" w:hAnsi="Times New Roman" w:cs="Times New Roman"/>
        </w:rPr>
        <w:t xml:space="preserve">Sn63Pb37, </w:t>
      </w:r>
      <w:r w:rsidRPr="002F4E96">
        <w:rPr>
          <w:rFonts w:ascii="Times New Roman" w:hAnsi="Times New Roman" w:cs="Times New Roman"/>
        </w:rPr>
        <w:t>the damage parameters used</w:t>
      </w:r>
      <w:r w:rsidR="00667517" w:rsidRPr="002F4E96">
        <w:rPr>
          <w:rFonts w:ascii="Times New Roman" w:hAnsi="Times New Roman" w:cs="Times New Roman"/>
        </w:rPr>
        <w:t xml:space="preserve"> in </w:t>
      </w:r>
      <w:r w:rsidR="00150D78" w:rsidRPr="002F4E96">
        <w:rPr>
          <w:rFonts w:ascii="Times New Roman" w:hAnsi="Times New Roman" w:cs="Times New Roman"/>
        </w:rPr>
        <w:t xml:space="preserve">the models </w:t>
      </w:r>
      <w:r w:rsidR="00667517" w:rsidRPr="002F4E96">
        <w:rPr>
          <w:rFonts w:ascii="Times New Roman" w:hAnsi="Times New Roman" w:cs="Times New Roman"/>
        </w:rPr>
        <w:t xml:space="preserve">played </w:t>
      </w:r>
      <w:r w:rsidR="009230F9" w:rsidRPr="002F4E96">
        <w:rPr>
          <w:rFonts w:ascii="Times New Roman" w:hAnsi="Times New Roman" w:cs="Times New Roman"/>
        </w:rPr>
        <w:t xml:space="preserve">a </w:t>
      </w:r>
      <w:r w:rsidR="00667517" w:rsidRPr="002F4E96">
        <w:rPr>
          <w:rFonts w:ascii="Times New Roman" w:hAnsi="Times New Roman" w:cs="Times New Roman"/>
        </w:rPr>
        <w:t xml:space="preserve">critical role and </w:t>
      </w:r>
      <w:r w:rsidRPr="002F4E96">
        <w:rPr>
          <w:rFonts w:ascii="Times New Roman" w:hAnsi="Times New Roman" w:cs="Times New Roman"/>
        </w:rPr>
        <w:t xml:space="preserve">justifies that </w:t>
      </w:r>
      <w:r w:rsidR="00150D78" w:rsidRPr="002F4E96">
        <w:rPr>
          <w:rFonts w:ascii="Times New Roman" w:hAnsi="Times New Roman" w:cs="Times New Roman"/>
        </w:rPr>
        <w:t xml:space="preserve">a combination of </w:t>
      </w:r>
      <w:r w:rsidRPr="002F4E96">
        <w:rPr>
          <w:rFonts w:ascii="Times New Roman" w:hAnsi="Times New Roman" w:cs="Times New Roman"/>
        </w:rPr>
        <w:t>several failure modes drive</w:t>
      </w:r>
      <w:r w:rsidR="00150D78" w:rsidRPr="002F4E96">
        <w:rPr>
          <w:rFonts w:ascii="Times New Roman" w:hAnsi="Times New Roman" w:cs="Times New Roman"/>
        </w:rPr>
        <w:t>s</w:t>
      </w:r>
      <w:r w:rsidRPr="002F4E96">
        <w:rPr>
          <w:rFonts w:ascii="Times New Roman" w:hAnsi="Times New Roman" w:cs="Times New Roman"/>
        </w:rPr>
        <w:t xml:space="preserve"> solder joints damage.</w:t>
      </w:r>
      <w:r w:rsidR="00A951A4" w:rsidRPr="002F4E96">
        <w:rPr>
          <w:rFonts w:ascii="Times New Roman" w:hAnsi="Times New Roman" w:cs="Times New Roman"/>
        </w:rPr>
        <w:t xml:space="preserve"> </w:t>
      </w:r>
      <w:r w:rsidRPr="002F4E96">
        <w:rPr>
          <w:rFonts w:ascii="Times New Roman" w:hAnsi="Times New Roman" w:cs="Times New Roman"/>
        </w:rPr>
        <w:t xml:space="preserve">This research provides a technique </w:t>
      </w:r>
      <w:r w:rsidR="009230F9" w:rsidRPr="002F4E96">
        <w:rPr>
          <w:rFonts w:ascii="Times New Roman" w:hAnsi="Times New Roman" w:cs="Times New Roman"/>
        </w:rPr>
        <w:t>for</w:t>
      </w:r>
      <w:r w:rsidRPr="002F4E96">
        <w:rPr>
          <w:rFonts w:ascii="Times New Roman" w:hAnsi="Times New Roman" w:cs="Times New Roman"/>
        </w:rPr>
        <w:t xml:space="preserve"> determining </w:t>
      </w:r>
      <w:r w:rsidR="009230F9" w:rsidRPr="002F4E96">
        <w:rPr>
          <w:rFonts w:ascii="Times New Roman" w:hAnsi="Times New Roman" w:cs="Times New Roman"/>
        </w:rPr>
        <w:t xml:space="preserve">the </w:t>
      </w:r>
      <w:r w:rsidRPr="002F4E96">
        <w:rPr>
          <w:rFonts w:ascii="Times New Roman" w:hAnsi="Times New Roman" w:cs="Times New Roman"/>
        </w:rPr>
        <w:t xml:space="preserve">preventive maintenance time of BGA components in mission-critical systems. It proposes </w:t>
      </w:r>
      <w:r w:rsidR="009230F9" w:rsidRPr="002F4E96">
        <w:rPr>
          <w:rFonts w:ascii="Times New Roman" w:hAnsi="Times New Roman" w:cs="Times New Roman"/>
        </w:rPr>
        <w:t>developing a</w:t>
      </w:r>
      <w:r w:rsidRPr="002F4E96">
        <w:rPr>
          <w:rFonts w:ascii="Times New Roman" w:hAnsi="Times New Roman" w:cs="Times New Roman"/>
        </w:rPr>
        <w:t xml:space="preserve"> new life prediction model based on a combination of the damage parameters for improved prediction</w:t>
      </w:r>
      <w:r w:rsidR="00C635EF" w:rsidRPr="002F4E96">
        <w:rPr>
          <w:rFonts w:ascii="Times New Roman" w:hAnsi="Times New Roman" w:cs="Times New Roman"/>
        </w:rPr>
        <w:t>.</w:t>
      </w:r>
    </w:p>
    <w:p w14:paraId="7EFB7A73" w14:textId="1EED2291" w:rsidR="001B159E" w:rsidRPr="002F4E96" w:rsidRDefault="001B159E" w:rsidP="00156F73">
      <w:pPr>
        <w:spacing w:line="360" w:lineRule="auto"/>
        <w:jc w:val="both"/>
        <w:rPr>
          <w:rFonts w:ascii="Times New Roman" w:hAnsi="Times New Roman" w:cs="Times New Roman"/>
          <w:bCs/>
        </w:rPr>
      </w:pPr>
      <w:r w:rsidRPr="002F4E96">
        <w:rPr>
          <w:rFonts w:ascii="Times New Roman" w:hAnsi="Times New Roman" w:cs="Times New Roman"/>
          <w:b/>
          <w:bCs/>
        </w:rPr>
        <w:t>Keywords:</w:t>
      </w:r>
      <w:r w:rsidRPr="002F4E96">
        <w:rPr>
          <w:rFonts w:ascii="Times New Roman" w:hAnsi="Times New Roman" w:cs="Times New Roman"/>
        </w:rPr>
        <w:t xml:space="preserve"> </w:t>
      </w:r>
      <w:r w:rsidR="00B529E0" w:rsidRPr="002F4E96">
        <w:rPr>
          <w:rFonts w:ascii="Times New Roman" w:hAnsi="Times New Roman" w:cs="Times New Roman"/>
        </w:rPr>
        <w:t>Thermal f</w:t>
      </w:r>
      <w:r w:rsidRPr="002F4E96">
        <w:rPr>
          <w:rFonts w:ascii="Times New Roman" w:hAnsi="Times New Roman" w:cs="Times New Roman"/>
        </w:rPr>
        <w:t>atigue</w:t>
      </w:r>
      <w:r w:rsidR="007C6DFC" w:rsidRPr="002F4E96">
        <w:rPr>
          <w:rFonts w:ascii="Times New Roman" w:hAnsi="Times New Roman" w:cs="Times New Roman"/>
        </w:rPr>
        <w:t xml:space="preserve"> life,</w:t>
      </w:r>
      <w:r w:rsidR="00B529E0" w:rsidRPr="002F4E96">
        <w:rPr>
          <w:rFonts w:ascii="Times New Roman" w:hAnsi="Times New Roman" w:cs="Times New Roman"/>
        </w:rPr>
        <w:t xml:space="preserve"> C</w:t>
      </w:r>
      <w:r w:rsidRPr="002F4E96">
        <w:rPr>
          <w:rFonts w:ascii="Times New Roman" w:hAnsi="Times New Roman" w:cs="Times New Roman"/>
        </w:rPr>
        <w:t>reep,</w:t>
      </w:r>
      <w:r w:rsidR="00B529E0" w:rsidRPr="002F4E96">
        <w:rPr>
          <w:rFonts w:ascii="Times New Roman" w:hAnsi="Times New Roman" w:cs="Times New Roman"/>
        </w:rPr>
        <w:t xml:space="preserve"> Anand model, life prediction</w:t>
      </w:r>
      <w:r w:rsidR="00E67C50">
        <w:rPr>
          <w:rFonts w:ascii="Times New Roman" w:hAnsi="Times New Roman" w:cs="Times New Roman"/>
        </w:rPr>
        <w:t xml:space="preserve"> </w:t>
      </w:r>
      <w:r w:rsidR="00B529E0" w:rsidRPr="002F4E96">
        <w:rPr>
          <w:rFonts w:ascii="Times New Roman" w:hAnsi="Times New Roman" w:cs="Times New Roman"/>
        </w:rPr>
        <w:t xml:space="preserve">models, solder damage parameters, hysteresis loop, </w:t>
      </w:r>
      <w:r w:rsidR="007C6DFC" w:rsidRPr="002F4E96">
        <w:rPr>
          <w:rFonts w:ascii="Times New Roman" w:hAnsi="Times New Roman" w:cs="Times New Roman"/>
          <w:bCs/>
        </w:rPr>
        <w:t>shear strain, fatigue ductility, plastic shear strain.</w:t>
      </w:r>
    </w:p>
    <w:p w14:paraId="63E69C5B" w14:textId="77777777" w:rsidR="003F4FD8" w:rsidRPr="002F4E96" w:rsidRDefault="003F4FD8" w:rsidP="00156F73">
      <w:pPr>
        <w:spacing w:line="360" w:lineRule="auto"/>
        <w:jc w:val="both"/>
        <w:rPr>
          <w:rFonts w:ascii="Times New Roman" w:hAnsi="Times New Roman" w:cs="Times New Roman"/>
        </w:rPr>
      </w:pPr>
    </w:p>
    <w:p w14:paraId="14638855" w14:textId="4971F01B" w:rsidR="00231430" w:rsidRPr="002F4E96" w:rsidRDefault="00231430" w:rsidP="00945A3F">
      <w:pPr>
        <w:spacing w:line="360" w:lineRule="auto"/>
        <w:jc w:val="both"/>
        <w:rPr>
          <w:rFonts w:ascii="Times New Roman" w:hAnsi="Times New Roman" w:cs="Times New Roman"/>
        </w:rPr>
      </w:pPr>
    </w:p>
    <w:p w14:paraId="3F59FF19" w14:textId="21A79368" w:rsidR="00A33CE9" w:rsidRPr="002F4E96" w:rsidRDefault="00354D92" w:rsidP="009F3023">
      <w:pPr>
        <w:pStyle w:val="Heading2"/>
      </w:pPr>
      <w:bookmarkStart w:id="3" w:name="_Toc33286853"/>
      <w:r w:rsidRPr="002F4E96">
        <w:lastRenderedPageBreak/>
        <w:t xml:space="preserve">1.0 </w:t>
      </w:r>
      <w:r w:rsidR="00B901B3" w:rsidRPr="002F4E96">
        <w:t>Introduction</w:t>
      </w:r>
      <w:bookmarkEnd w:id="3"/>
    </w:p>
    <w:p w14:paraId="5D83D54F" w14:textId="36B74721" w:rsidR="00A33CE9" w:rsidRPr="002F4E96" w:rsidRDefault="00A33CE9" w:rsidP="009F3023">
      <w:pPr>
        <w:pStyle w:val="Heading2"/>
      </w:pPr>
      <w:r w:rsidRPr="002F4E96">
        <w:t>1.1</w:t>
      </w:r>
      <w:r w:rsidR="0022171F" w:rsidRPr="002F4E96">
        <w:t xml:space="preserve"> </w:t>
      </w:r>
      <w:r w:rsidRPr="002F4E96">
        <w:t>Ball Grid Array (BGA)</w:t>
      </w:r>
    </w:p>
    <w:p w14:paraId="12A35A59" w14:textId="5ECADFCA" w:rsidR="009D0FB4" w:rsidRPr="002F4E96" w:rsidRDefault="00A00527" w:rsidP="009D0FB4">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The ball grid array (BGA) components are </w:t>
      </w:r>
      <w:r w:rsidR="008A688A" w:rsidRPr="002F4E96">
        <w:rPr>
          <w:rFonts w:ascii="Times New Roman" w:hAnsi="Times New Roman" w:cs="Times New Roman"/>
        </w:rPr>
        <w:t xml:space="preserve">an </w:t>
      </w:r>
      <w:r w:rsidRPr="002F4E96">
        <w:rPr>
          <w:rFonts w:ascii="Times New Roman" w:hAnsi="Times New Roman" w:cs="Times New Roman"/>
        </w:rPr>
        <w:t xml:space="preserve">integral part of many electronic modules functioning in mission-critical systems. </w:t>
      </w:r>
      <w:r w:rsidR="008A688A" w:rsidRPr="002F4E96">
        <w:rPr>
          <w:rFonts w:ascii="Times New Roman" w:hAnsi="Times New Roman" w:cs="Times New Roman"/>
        </w:rPr>
        <w:t>There are several of them available in the market</w:t>
      </w:r>
      <w:r w:rsidR="009230F9" w:rsidRPr="002F4E96">
        <w:rPr>
          <w:rFonts w:ascii="Times New Roman" w:hAnsi="Times New Roman" w:cs="Times New Roman"/>
        </w:rPr>
        <w:t>,</w:t>
      </w:r>
      <w:r w:rsidR="008A688A" w:rsidRPr="002F4E96">
        <w:rPr>
          <w:rFonts w:ascii="Times New Roman" w:hAnsi="Times New Roman" w:cs="Times New Roman"/>
        </w:rPr>
        <w:t xml:space="preserve"> which </w:t>
      </w:r>
      <w:r w:rsidR="009230F9" w:rsidRPr="002F4E96">
        <w:rPr>
          <w:rFonts w:ascii="Times New Roman" w:hAnsi="Times New Roman" w:cs="Times New Roman"/>
        </w:rPr>
        <w:t>includes</w:t>
      </w:r>
      <w:r w:rsidR="008A688A" w:rsidRPr="002F4E96">
        <w:rPr>
          <w:rFonts w:ascii="Times New Roman" w:hAnsi="Times New Roman" w:cs="Times New Roman"/>
        </w:rPr>
        <w:t xml:space="preserve"> MicroBGA, package on package (PoP), tape ball grid array (TBGA), thermally enhanced plastic ball grid array (TEPBGA), plastic ball grid array (PBGA) and moulded array process ball grid array (MAPBGA). </w:t>
      </w:r>
      <w:r w:rsidR="00175006" w:rsidRPr="002F4E96">
        <w:rPr>
          <w:rFonts w:ascii="Times New Roman" w:hAnsi="Times New Roman" w:cs="Times New Roman"/>
        </w:rPr>
        <w:t>Th</w:t>
      </w:r>
      <w:r w:rsidR="008A688A" w:rsidRPr="002F4E96">
        <w:rPr>
          <w:rFonts w:ascii="Times New Roman" w:hAnsi="Times New Roman" w:cs="Times New Roman"/>
        </w:rPr>
        <w:t xml:space="preserve">e BGA packages are widely used in modules </w:t>
      </w:r>
      <w:r w:rsidR="00175006" w:rsidRPr="002F4E96">
        <w:rPr>
          <w:rFonts w:ascii="Times New Roman" w:hAnsi="Times New Roman" w:cs="Times New Roman"/>
        </w:rPr>
        <w:t xml:space="preserve">because </w:t>
      </w:r>
      <w:r w:rsidR="008A688A" w:rsidRPr="002F4E96">
        <w:rPr>
          <w:rFonts w:ascii="Times New Roman" w:hAnsi="Times New Roman" w:cs="Times New Roman"/>
        </w:rPr>
        <w:t xml:space="preserve">they </w:t>
      </w:r>
      <w:r w:rsidR="00175006" w:rsidRPr="002F4E96">
        <w:rPr>
          <w:rFonts w:ascii="Times New Roman" w:hAnsi="Times New Roman" w:cs="Times New Roman"/>
        </w:rPr>
        <w:t>ha</w:t>
      </w:r>
      <w:r w:rsidR="008A688A" w:rsidRPr="002F4E96">
        <w:rPr>
          <w:rFonts w:ascii="Times New Roman" w:hAnsi="Times New Roman" w:cs="Times New Roman"/>
        </w:rPr>
        <w:t>ve</w:t>
      </w:r>
      <w:r w:rsidR="00175006" w:rsidRPr="002F4E96">
        <w:rPr>
          <w:rFonts w:ascii="Times New Roman" w:hAnsi="Times New Roman" w:cs="Times New Roman"/>
        </w:rPr>
        <w:t xml:space="preserve"> many advantaged over other electronic packages. </w:t>
      </w:r>
      <w:r w:rsidR="008A688A" w:rsidRPr="002F4E96">
        <w:rPr>
          <w:rFonts w:ascii="Times New Roman" w:hAnsi="Times New Roman" w:cs="Times New Roman"/>
        </w:rPr>
        <w:t>They hav</w:t>
      </w:r>
      <w:r w:rsidR="009D0FB4" w:rsidRPr="002F4E96">
        <w:rPr>
          <w:rFonts w:ascii="Times New Roman" w:hAnsi="Times New Roman" w:cs="Times New Roman"/>
        </w:rPr>
        <w:t>e</w:t>
      </w:r>
      <w:r w:rsidR="00175006" w:rsidRPr="002F4E96">
        <w:rPr>
          <w:rFonts w:ascii="Times New Roman" w:hAnsi="Times New Roman" w:cs="Times New Roman"/>
        </w:rPr>
        <w:t xml:space="preserve"> improved re-workability while supporting </w:t>
      </w:r>
      <w:r w:rsidR="00A55C74" w:rsidRPr="002F4E96">
        <w:rPr>
          <w:rFonts w:ascii="Times New Roman" w:hAnsi="Times New Roman" w:cs="Times New Roman"/>
        </w:rPr>
        <w:t xml:space="preserve">the </w:t>
      </w:r>
      <w:r w:rsidR="00F54AE7" w:rsidRPr="002F4E96">
        <w:rPr>
          <w:rFonts w:ascii="Times New Roman" w:hAnsi="Times New Roman" w:cs="Times New Roman"/>
        </w:rPr>
        <w:t>miniaturisation</w:t>
      </w:r>
      <w:r w:rsidR="00175006" w:rsidRPr="002F4E96">
        <w:rPr>
          <w:rFonts w:ascii="Times New Roman" w:hAnsi="Times New Roman" w:cs="Times New Roman"/>
        </w:rPr>
        <w:t xml:space="preserve"> manufacturing trend. </w:t>
      </w:r>
      <w:r w:rsidR="008A688A" w:rsidRPr="002F4E96">
        <w:rPr>
          <w:rFonts w:ascii="Times New Roman" w:hAnsi="Times New Roman" w:cs="Times New Roman"/>
        </w:rPr>
        <w:t xml:space="preserve">They </w:t>
      </w:r>
      <w:r w:rsidR="00C717F4" w:rsidRPr="002F4E96">
        <w:rPr>
          <w:rFonts w:ascii="Times New Roman" w:hAnsi="Times New Roman" w:cs="Times New Roman"/>
        </w:rPr>
        <w:t xml:space="preserve">enjoy </w:t>
      </w:r>
      <w:r w:rsidR="009230F9" w:rsidRPr="002F4E96">
        <w:rPr>
          <w:rFonts w:ascii="Times New Roman" w:hAnsi="Times New Roman" w:cs="Times New Roman"/>
        </w:rPr>
        <w:t xml:space="preserve">a </w:t>
      </w:r>
      <w:r w:rsidR="00C717F4" w:rsidRPr="002F4E96">
        <w:rPr>
          <w:rFonts w:ascii="Times New Roman" w:hAnsi="Times New Roman" w:cs="Times New Roman"/>
        </w:rPr>
        <w:t>higher level of solderability while enabling efficient use of printed circuit board</w:t>
      </w:r>
      <w:r w:rsidR="008A688A" w:rsidRPr="002F4E96">
        <w:rPr>
          <w:rFonts w:ascii="Times New Roman" w:hAnsi="Times New Roman" w:cs="Times New Roman"/>
        </w:rPr>
        <w:t xml:space="preserve"> (</w:t>
      </w:r>
      <w:r w:rsidR="00F54AE7" w:rsidRPr="002F4E96">
        <w:rPr>
          <w:rFonts w:ascii="Times New Roman" w:hAnsi="Times New Roman" w:cs="Times New Roman"/>
        </w:rPr>
        <w:t>PCB</w:t>
      </w:r>
      <w:r w:rsidR="008A688A" w:rsidRPr="002F4E96">
        <w:rPr>
          <w:rFonts w:ascii="Times New Roman" w:hAnsi="Times New Roman" w:cs="Times New Roman"/>
        </w:rPr>
        <w:t>)</w:t>
      </w:r>
      <w:r w:rsidR="00C717F4" w:rsidRPr="002F4E96">
        <w:rPr>
          <w:rFonts w:ascii="Times New Roman" w:hAnsi="Times New Roman" w:cs="Times New Roman"/>
        </w:rPr>
        <w:t xml:space="preserve"> in addition to supporting surface mount technology</w:t>
      </w:r>
      <w:r w:rsidR="008A688A" w:rsidRPr="002F4E96">
        <w:rPr>
          <w:rFonts w:ascii="Times New Roman" w:hAnsi="Times New Roman" w:cs="Times New Roman"/>
        </w:rPr>
        <w:t xml:space="preserve"> (</w:t>
      </w:r>
      <w:r w:rsidR="00F54AE7" w:rsidRPr="002F4E96">
        <w:rPr>
          <w:rFonts w:ascii="Times New Roman" w:hAnsi="Times New Roman" w:cs="Times New Roman"/>
        </w:rPr>
        <w:t>SMT</w:t>
      </w:r>
      <w:r w:rsidR="008A688A" w:rsidRPr="002F4E96">
        <w:rPr>
          <w:rFonts w:ascii="Times New Roman" w:hAnsi="Times New Roman" w:cs="Times New Roman"/>
        </w:rPr>
        <w:t>)</w:t>
      </w:r>
      <w:r w:rsidR="00C717F4" w:rsidRPr="002F4E96">
        <w:rPr>
          <w:rFonts w:ascii="Times New Roman" w:hAnsi="Times New Roman" w:cs="Times New Roman"/>
        </w:rPr>
        <w:t>. A vital advantage of the package</w:t>
      </w:r>
      <w:r w:rsidR="008A688A" w:rsidRPr="002F4E96">
        <w:rPr>
          <w:rFonts w:ascii="Times New Roman" w:hAnsi="Times New Roman" w:cs="Times New Roman"/>
        </w:rPr>
        <w:t>s</w:t>
      </w:r>
      <w:r w:rsidR="00C717F4" w:rsidRPr="002F4E96">
        <w:rPr>
          <w:rFonts w:ascii="Times New Roman" w:hAnsi="Times New Roman" w:cs="Times New Roman"/>
        </w:rPr>
        <w:t xml:space="preserve"> is that </w:t>
      </w:r>
      <w:r w:rsidR="008A688A" w:rsidRPr="002F4E96">
        <w:rPr>
          <w:rFonts w:ascii="Times New Roman" w:hAnsi="Times New Roman" w:cs="Times New Roman"/>
        </w:rPr>
        <w:t>they</w:t>
      </w:r>
      <w:r w:rsidR="00C717F4" w:rsidRPr="002F4E96">
        <w:rPr>
          <w:rFonts w:ascii="Times New Roman" w:hAnsi="Times New Roman" w:cs="Times New Roman"/>
        </w:rPr>
        <w:t xml:space="preserve"> ha</w:t>
      </w:r>
      <w:r w:rsidR="008A688A" w:rsidRPr="002F4E96">
        <w:rPr>
          <w:rFonts w:ascii="Times New Roman" w:hAnsi="Times New Roman" w:cs="Times New Roman"/>
        </w:rPr>
        <w:t>ve</w:t>
      </w:r>
      <w:r w:rsidR="00C717F4" w:rsidRPr="002F4E96">
        <w:rPr>
          <w:rFonts w:ascii="Times New Roman" w:hAnsi="Times New Roman" w:cs="Times New Roman"/>
        </w:rPr>
        <w:t xml:space="preserve"> improved </w:t>
      </w:r>
      <w:r w:rsidR="00175006" w:rsidRPr="002F4E96">
        <w:rPr>
          <w:rFonts w:ascii="Times New Roman" w:hAnsi="Times New Roman" w:cs="Times New Roman"/>
        </w:rPr>
        <w:t xml:space="preserve">thermal and electrical performance </w:t>
      </w:r>
      <w:r w:rsidR="00C717F4" w:rsidRPr="002F4E96">
        <w:rPr>
          <w:rFonts w:ascii="Times New Roman" w:hAnsi="Times New Roman" w:cs="Times New Roman"/>
        </w:rPr>
        <w:t xml:space="preserve">and reduced </w:t>
      </w:r>
      <w:r w:rsidR="00175006" w:rsidRPr="002F4E96">
        <w:rPr>
          <w:rFonts w:ascii="Times New Roman" w:hAnsi="Times New Roman" w:cs="Times New Roman"/>
        </w:rPr>
        <w:t xml:space="preserve">inductance </w:t>
      </w:r>
      <w:r w:rsidR="00C717F4" w:rsidRPr="002F4E96">
        <w:rPr>
          <w:rFonts w:ascii="Times New Roman" w:hAnsi="Times New Roman" w:cs="Times New Roman"/>
        </w:rPr>
        <w:t xml:space="preserve">compared to other packages. The </w:t>
      </w:r>
      <w:r w:rsidR="00802C73" w:rsidRPr="002F4E96">
        <w:rPr>
          <w:rFonts w:ascii="Times New Roman" w:hAnsi="Times New Roman" w:cs="Times New Roman"/>
        </w:rPr>
        <w:t>packages' structure</w:t>
      </w:r>
      <w:r w:rsidR="00C717F4" w:rsidRPr="002F4E96">
        <w:rPr>
          <w:rFonts w:ascii="Times New Roman" w:hAnsi="Times New Roman" w:cs="Times New Roman"/>
        </w:rPr>
        <w:t xml:space="preserve"> </w:t>
      </w:r>
      <w:r w:rsidR="008A688A" w:rsidRPr="002F4E96">
        <w:rPr>
          <w:rFonts w:ascii="Times New Roman" w:hAnsi="Times New Roman" w:cs="Times New Roman"/>
        </w:rPr>
        <w:t xml:space="preserve">supports </w:t>
      </w:r>
      <w:r w:rsidR="00C717F4" w:rsidRPr="002F4E96">
        <w:rPr>
          <w:rFonts w:ascii="Times New Roman" w:hAnsi="Times New Roman" w:cs="Times New Roman"/>
        </w:rPr>
        <w:t>increased connectivity</w:t>
      </w:r>
      <w:r w:rsidR="009D0FB4" w:rsidRPr="002F4E96">
        <w:rPr>
          <w:rFonts w:ascii="Times New Roman" w:hAnsi="Times New Roman" w:cs="Times New Roman"/>
        </w:rPr>
        <w:t xml:space="preserve">; the </w:t>
      </w:r>
      <w:r w:rsidR="00802C73" w:rsidRPr="002F4E96">
        <w:rPr>
          <w:rFonts w:ascii="Times New Roman" w:hAnsi="Times New Roman" w:cs="Times New Roman"/>
        </w:rPr>
        <w:t>BGA design</w:t>
      </w:r>
      <w:r w:rsidR="009D0FB4" w:rsidRPr="002F4E96">
        <w:rPr>
          <w:rFonts w:ascii="Times New Roman" w:hAnsi="Times New Roman" w:cs="Times New Roman"/>
        </w:rPr>
        <w:t xml:space="preserve"> used in this work is explained in section 2.0.</w:t>
      </w:r>
    </w:p>
    <w:p w14:paraId="29680CC8" w14:textId="64EEF0E0" w:rsidR="00175006" w:rsidRPr="002F4E96" w:rsidRDefault="008A688A" w:rsidP="00A00527">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The numerous advantages </w:t>
      </w:r>
      <w:r w:rsidR="009D0FB4" w:rsidRPr="002F4E96">
        <w:rPr>
          <w:rFonts w:ascii="Times New Roman" w:hAnsi="Times New Roman" w:cs="Times New Roman"/>
        </w:rPr>
        <w:t>of the BGAs and their vast application</w:t>
      </w:r>
      <w:r w:rsidR="00802C73" w:rsidRPr="002F4E96">
        <w:rPr>
          <w:rFonts w:ascii="Times New Roman" w:hAnsi="Times New Roman" w:cs="Times New Roman"/>
        </w:rPr>
        <w:t>,</w:t>
      </w:r>
      <w:r w:rsidR="009D0FB4" w:rsidRPr="002F4E96">
        <w:rPr>
          <w:rFonts w:ascii="Times New Roman" w:hAnsi="Times New Roman" w:cs="Times New Roman"/>
        </w:rPr>
        <w:t xml:space="preserve"> notwithstanding t</w:t>
      </w:r>
      <w:r w:rsidR="00A00527" w:rsidRPr="002F4E96">
        <w:rPr>
          <w:rFonts w:ascii="Times New Roman" w:hAnsi="Times New Roman" w:cs="Times New Roman"/>
        </w:rPr>
        <w:t xml:space="preserve">he </w:t>
      </w:r>
      <w:r w:rsidR="00802C73" w:rsidRPr="002F4E96">
        <w:rPr>
          <w:rFonts w:ascii="Times New Roman" w:hAnsi="Times New Roman" w:cs="Times New Roman"/>
        </w:rPr>
        <w:t>modules' reliable operation</w:t>
      </w:r>
      <w:r w:rsidR="00A00527" w:rsidRPr="002F4E96">
        <w:rPr>
          <w:rFonts w:ascii="Times New Roman" w:hAnsi="Times New Roman" w:cs="Times New Roman"/>
        </w:rPr>
        <w:t xml:space="preserve"> </w:t>
      </w:r>
      <w:r w:rsidR="009D0FB4" w:rsidRPr="002F4E96">
        <w:rPr>
          <w:rFonts w:ascii="Times New Roman" w:hAnsi="Times New Roman" w:cs="Times New Roman"/>
        </w:rPr>
        <w:t>with BGA components</w:t>
      </w:r>
      <w:r w:rsidR="00802C73" w:rsidRPr="002F4E96">
        <w:rPr>
          <w:rFonts w:ascii="Times New Roman" w:hAnsi="Times New Roman" w:cs="Times New Roman"/>
        </w:rPr>
        <w:t>,</w:t>
      </w:r>
      <w:r w:rsidR="009D0FB4" w:rsidRPr="002F4E96">
        <w:rPr>
          <w:rFonts w:ascii="Times New Roman" w:hAnsi="Times New Roman" w:cs="Times New Roman"/>
        </w:rPr>
        <w:t xml:space="preserve"> </w:t>
      </w:r>
      <w:r w:rsidR="00802C73" w:rsidRPr="002F4E96">
        <w:rPr>
          <w:rFonts w:ascii="Times New Roman" w:hAnsi="Times New Roman" w:cs="Times New Roman"/>
        </w:rPr>
        <w:t>depending</w:t>
      </w:r>
      <w:r w:rsidR="00A00527" w:rsidRPr="002F4E96">
        <w:rPr>
          <w:rFonts w:ascii="Times New Roman" w:hAnsi="Times New Roman" w:cs="Times New Roman"/>
        </w:rPr>
        <w:t xml:space="preserve"> on the thermal fatigue life of solder joints in the BGA. </w:t>
      </w:r>
    </w:p>
    <w:p w14:paraId="152938A8" w14:textId="59604129" w:rsidR="00BA286E" w:rsidRPr="002F4E96" w:rsidRDefault="00BA286E" w:rsidP="009F3023">
      <w:pPr>
        <w:pStyle w:val="Heading2"/>
      </w:pPr>
      <w:r w:rsidRPr="002F4E96">
        <w:t>1.2</w:t>
      </w:r>
      <w:r w:rsidR="008F3167" w:rsidRPr="002F4E96">
        <w:t xml:space="preserve"> </w:t>
      </w:r>
      <w:r w:rsidR="00DF1303" w:rsidRPr="002F4E96">
        <w:t>Solder joints</w:t>
      </w:r>
      <w:r w:rsidRPr="002F4E96">
        <w:t xml:space="preserve"> and Failure of solder joint in BGA</w:t>
      </w:r>
    </w:p>
    <w:p w14:paraId="47804B23" w14:textId="219D43AF" w:rsidR="007F7F57" w:rsidRPr="002F4E96" w:rsidRDefault="009D0FB4" w:rsidP="007F7F57">
      <w:pPr>
        <w:spacing w:before="125" w:line="360" w:lineRule="auto"/>
        <w:ind w:right="38"/>
        <w:jc w:val="both"/>
        <w:rPr>
          <w:rFonts w:ascii="Times New Roman" w:hAnsi="Times New Roman" w:cs="Times New Roman"/>
        </w:rPr>
      </w:pPr>
      <w:r w:rsidRPr="002F4E96">
        <w:rPr>
          <w:rFonts w:ascii="Times New Roman" w:hAnsi="Times New Roman" w:cs="Times New Roman"/>
        </w:rPr>
        <w:t>E</w:t>
      </w:r>
      <w:r w:rsidR="00A00527" w:rsidRPr="002F4E96">
        <w:rPr>
          <w:rFonts w:ascii="Times New Roman" w:hAnsi="Times New Roman" w:cs="Times New Roman"/>
        </w:rPr>
        <w:t>lectronic assemblies</w:t>
      </w:r>
      <w:r w:rsidRPr="002F4E96">
        <w:rPr>
          <w:rFonts w:ascii="Times New Roman" w:hAnsi="Times New Roman" w:cs="Times New Roman"/>
        </w:rPr>
        <w:t xml:space="preserve"> function</w:t>
      </w:r>
      <w:r w:rsidR="00EE4339" w:rsidRPr="002F4E96">
        <w:rPr>
          <w:rFonts w:ascii="Times New Roman" w:hAnsi="Times New Roman" w:cs="Times New Roman"/>
        </w:rPr>
        <w:t xml:space="preserve">ing in systems have </w:t>
      </w:r>
      <w:r w:rsidR="00A00527" w:rsidRPr="002F4E96">
        <w:rPr>
          <w:rFonts w:ascii="Times New Roman" w:hAnsi="Times New Roman" w:cs="Times New Roman"/>
        </w:rPr>
        <w:t xml:space="preserve">solder joints </w:t>
      </w:r>
      <w:r w:rsidR="00EE4339" w:rsidRPr="002F4E96">
        <w:rPr>
          <w:rFonts w:ascii="Times New Roman" w:hAnsi="Times New Roman" w:cs="Times New Roman"/>
        </w:rPr>
        <w:t>of the component</w:t>
      </w:r>
      <w:r w:rsidR="00BA286E" w:rsidRPr="002F4E96">
        <w:rPr>
          <w:rFonts w:ascii="Times New Roman" w:hAnsi="Times New Roman" w:cs="Times New Roman"/>
        </w:rPr>
        <w:t>s</w:t>
      </w:r>
      <w:r w:rsidR="00EE4339" w:rsidRPr="002F4E96">
        <w:rPr>
          <w:rFonts w:ascii="Times New Roman" w:hAnsi="Times New Roman" w:cs="Times New Roman"/>
        </w:rPr>
        <w:t xml:space="preserve"> </w:t>
      </w:r>
      <w:r w:rsidR="00A00527" w:rsidRPr="002F4E96">
        <w:rPr>
          <w:rFonts w:ascii="Times New Roman" w:hAnsi="Times New Roman" w:cs="Times New Roman"/>
        </w:rPr>
        <w:t xml:space="preserve">subjected to thermal, </w:t>
      </w:r>
      <w:r w:rsidR="00B860D6" w:rsidRPr="002F4E96">
        <w:rPr>
          <w:rFonts w:ascii="Times New Roman" w:hAnsi="Times New Roman" w:cs="Times New Roman"/>
        </w:rPr>
        <w:t>electrical,</w:t>
      </w:r>
      <w:r w:rsidR="00A00527" w:rsidRPr="002F4E96">
        <w:rPr>
          <w:rFonts w:ascii="Times New Roman" w:hAnsi="Times New Roman" w:cs="Times New Roman"/>
        </w:rPr>
        <w:t xml:space="preserve"> and mechanical cycling</w:t>
      </w:r>
      <w:r w:rsidR="00EE4339" w:rsidRPr="002F4E96">
        <w:rPr>
          <w:rFonts w:ascii="Times New Roman" w:hAnsi="Times New Roman" w:cs="Times New Roman"/>
        </w:rPr>
        <w:t xml:space="preserve">. The exposure </w:t>
      </w:r>
      <w:r w:rsidR="00B860D6" w:rsidRPr="002F4E96">
        <w:rPr>
          <w:rFonts w:ascii="Times New Roman" w:hAnsi="Times New Roman" w:cs="Times New Roman"/>
        </w:rPr>
        <w:t xml:space="preserve">induces </w:t>
      </w:r>
      <w:r w:rsidR="00A00527" w:rsidRPr="002F4E96">
        <w:rPr>
          <w:rFonts w:ascii="Times New Roman" w:hAnsi="Times New Roman" w:cs="Times New Roman"/>
        </w:rPr>
        <w:t xml:space="preserve">fatigue </w:t>
      </w:r>
      <w:r w:rsidR="00B860D6" w:rsidRPr="002F4E96">
        <w:rPr>
          <w:rFonts w:ascii="Times New Roman" w:hAnsi="Times New Roman" w:cs="Times New Roman"/>
        </w:rPr>
        <w:t>loading in</w:t>
      </w:r>
      <w:r w:rsidR="00A00527" w:rsidRPr="002F4E96">
        <w:rPr>
          <w:rFonts w:ascii="Times New Roman" w:hAnsi="Times New Roman" w:cs="Times New Roman"/>
        </w:rPr>
        <w:t xml:space="preserve"> the joints</w:t>
      </w:r>
      <w:r w:rsidR="00EE4339" w:rsidRPr="002F4E96">
        <w:rPr>
          <w:rFonts w:ascii="Times New Roman" w:hAnsi="Times New Roman" w:cs="Times New Roman"/>
        </w:rPr>
        <w:t xml:space="preserve"> of the components</w:t>
      </w:r>
      <w:r w:rsidR="00A00527" w:rsidRPr="002F4E96">
        <w:rPr>
          <w:rFonts w:ascii="Times New Roman" w:hAnsi="Times New Roman" w:cs="Times New Roman"/>
        </w:rPr>
        <w:t xml:space="preserve">. </w:t>
      </w:r>
      <w:r w:rsidR="007B520F" w:rsidRPr="002F4E96">
        <w:rPr>
          <w:rFonts w:ascii="Times New Roman" w:hAnsi="Times New Roman" w:cs="Times New Roman"/>
        </w:rPr>
        <w:t>The loading degrades the mechanical strength of the solder joint</w:t>
      </w:r>
      <w:r w:rsidR="00EE4339" w:rsidRPr="002F4E96">
        <w:rPr>
          <w:rFonts w:ascii="Times New Roman" w:hAnsi="Times New Roman" w:cs="Times New Roman"/>
        </w:rPr>
        <w:t>s</w:t>
      </w:r>
      <w:r w:rsidR="00C56ABE" w:rsidRPr="002F4E96">
        <w:rPr>
          <w:rFonts w:ascii="Times New Roman" w:hAnsi="Times New Roman" w:cs="Times New Roman"/>
        </w:rPr>
        <w:t>,</w:t>
      </w:r>
      <w:r w:rsidR="007B520F" w:rsidRPr="002F4E96">
        <w:rPr>
          <w:rFonts w:ascii="Times New Roman" w:hAnsi="Times New Roman" w:cs="Times New Roman"/>
        </w:rPr>
        <w:t xml:space="preserve"> which at </w:t>
      </w:r>
      <w:r w:rsidR="00C56ABE" w:rsidRPr="002F4E96">
        <w:rPr>
          <w:rFonts w:ascii="Times New Roman" w:hAnsi="Times New Roman" w:cs="Times New Roman"/>
        </w:rPr>
        <w:t xml:space="preserve">a </w:t>
      </w:r>
      <w:r w:rsidR="007B520F" w:rsidRPr="002F4E96">
        <w:rPr>
          <w:rFonts w:ascii="Times New Roman" w:hAnsi="Times New Roman" w:cs="Times New Roman"/>
        </w:rPr>
        <w:t>critical level leads to failure of the joint</w:t>
      </w:r>
      <w:r w:rsidR="00EE4339" w:rsidRPr="002F4E96">
        <w:rPr>
          <w:rFonts w:ascii="Times New Roman" w:hAnsi="Times New Roman" w:cs="Times New Roman"/>
        </w:rPr>
        <w:t>s</w:t>
      </w:r>
      <w:r w:rsidR="007B520F" w:rsidRPr="002F4E96">
        <w:rPr>
          <w:rFonts w:ascii="Times New Roman" w:hAnsi="Times New Roman" w:cs="Times New Roman"/>
        </w:rPr>
        <w:t xml:space="preserve">. The </w:t>
      </w:r>
      <w:r w:rsidR="00A00527" w:rsidRPr="002F4E96">
        <w:rPr>
          <w:rFonts w:ascii="Times New Roman" w:hAnsi="Times New Roman" w:cs="Times New Roman"/>
        </w:rPr>
        <w:t xml:space="preserve">mode </w:t>
      </w:r>
      <w:r w:rsidR="007B520F" w:rsidRPr="002F4E96">
        <w:rPr>
          <w:rFonts w:ascii="Times New Roman" w:hAnsi="Times New Roman" w:cs="Times New Roman"/>
        </w:rPr>
        <w:t xml:space="preserve">of failure </w:t>
      </w:r>
      <w:r w:rsidR="00A00527" w:rsidRPr="002F4E96">
        <w:rPr>
          <w:rFonts w:ascii="Times New Roman" w:hAnsi="Times New Roman" w:cs="Times New Roman"/>
        </w:rPr>
        <w:t>is usually damage accumulation, crack initiation, crack propagation, and failure.</w:t>
      </w:r>
      <w:r w:rsidR="007B520F" w:rsidRPr="002F4E96">
        <w:rPr>
          <w:rFonts w:ascii="Times New Roman" w:hAnsi="Times New Roman" w:cs="Times New Roman"/>
        </w:rPr>
        <w:t xml:space="preserve"> Improving </w:t>
      </w:r>
      <w:r w:rsidR="00C56ABE" w:rsidRPr="002F4E96">
        <w:rPr>
          <w:rFonts w:ascii="Times New Roman" w:hAnsi="Times New Roman" w:cs="Times New Roman"/>
        </w:rPr>
        <w:t xml:space="preserve">the </w:t>
      </w:r>
      <w:r w:rsidR="00A00527" w:rsidRPr="002F4E96">
        <w:rPr>
          <w:rFonts w:ascii="Times New Roman" w:hAnsi="Times New Roman" w:cs="Times New Roman"/>
        </w:rPr>
        <w:t xml:space="preserve">long-term reliability of electronic devices </w:t>
      </w:r>
      <w:r w:rsidR="00DF1303" w:rsidRPr="002F4E96">
        <w:rPr>
          <w:rFonts w:ascii="Times New Roman" w:hAnsi="Times New Roman" w:cs="Times New Roman"/>
        </w:rPr>
        <w:t xml:space="preserve">demands </w:t>
      </w:r>
      <w:r w:rsidR="00C56ABE" w:rsidRPr="002F4E96">
        <w:rPr>
          <w:rFonts w:ascii="Times New Roman" w:hAnsi="Times New Roman" w:cs="Times New Roman"/>
        </w:rPr>
        <w:t xml:space="preserve">a </w:t>
      </w:r>
      <w:r w:rsidR="00DF1303" w:rsidRPr="002F4E96">
        <w:rPr>
          <w:rFonts w:ascii="Times New Roman" w:hAnsi="Times New Roman" w:cs="Times New Roman"/>
        </w:rPr>
        <w:t xml:space="preserve">better understanding of </w:t>
      </w:r>
      <w:r w:rsidR="00A00527" w:rsidRPr="002F4E96">
        <w:rPr>
          <w:rFonts w:ascii="Times New Roman" w:hAnsi="Times New Roman" w:cs="Times New Roman"/>
        </w:rPr>
        <w:t xml:space="preserve">fatigue failure of solder interconnects </w:t>
      </w:r>
      <w:r w:rsidR="00DF1303" w:rsidRPr="002F4E96">
        <w:rPr>
          <w:rFonts w:ascii="Times New Roman" w:hAnsi="Times New Roman" w:cs="Times New Roman"/>
        </w:rPr>
        <w:t>in the assemblies.</w:t>
      </w:r>
      <w:r w:rsidR="00AB0914" w:rsidRPr="002F4E96">
        <w:rPr>
          <w:rFonts w:ascii="Times New Roman" w:hAnsi="Times New Roman" w:cs="Times New Roman"/>
        </w:rPr>
        <w:t xml:space="preserve"> </w:t>
      </w:r>
      <w:r w:rsidR="00FD0102" w:rsidRPr="002F4E96">
        <w:rPr>
          <w:rFonts w:ascii="Times New Roman" w:hAnsi="Times New Roman" w:cs="Times New Roman"/>
        </w:rPr>
        <w:t xml:space="preserve">Reliability of solder joints </w:t>
      </w:r>
      <w:r w:rsidR="00902B58" w:rsidRPr="002F4E96">
        <w:rPr>
          <w:rFonts w:ascii="Times New Roman" w:hAnsi="Times New Roman" w:cs="Times New Roman"/>
        </w:rPr>
        <w:t xml:space="preserve">is </w:t>
      </w:r>
      <w:r w:rsidR="00FD0102" w:rsidRPr="002F4E96">
        <w:rPr>
          <w:rFonts w:ascii="Times New Roman" w:hAnsi="Times New Roman" w:cs="Times New Roman"/>
        </w:rPr>
        <w:t xml:space="preserve">measured by the </w:t>
      </w:r>
      <w:r w:rsidR="00C56ABE" w:rsidRPr="002F4E96">
        <w:rPr>
          <w:rFonts w:ascii="Times New Roman" w:hAnsi="Times New Roman" w:cs="Times New Roman"/>
        </w:rPr>
        <w:t>joints' ability</w:t>
      </w:r>
      <w:r w:rsidR="00FD0102" w:rsidRPr="002F4E96">
        <w:rPr>
          <w:rFonts w:ascii="Times New Roman" w:hAnsi="Times New Roman" w:cs="Times New Roman"/>
        </w:rPr>
        <w:t xml:space="preserve"> </w:t>
      </w:r>
      <w:r w:rsidR="00902B58" w:rsidRPr="002F4E96">
        <w:rPr>
          <w:rFonts w:ascii="Times New Roman" w:hAnsi="Times New Roman" w:cs="Times New Roman"/>
        </w:rPr>
        <w:t xml:space="preserve">to </w:t>
      </w:r>
      <w:r w:rsidR="00FD0102" w:rsidRPr="002F4E96">
        <w:rPr>
          <w:rFonts w:ascii="Times New Roman" w:hAnsi="Times New Roman" w:cs="Times New Roman"/>
        </w:rPr>
        <w:t xml:space="preserve">remain in conformance with mechanical, </w:t>
      </w:r>
      <w:r w:rsidR="003E6F4F" w:rsidRPr="002F4E96">
        <w:rPr>
          <w:rFonts w:ascii="Times New Roman" w:hAnsi="Times New Roman" w:cs="Times New Roman"/>
        </w:rPr>
        <w:t>electrical,</w:t>
      </w:r>
      <w:r w:rsidR="00FD0102" w:rsidRPr="002F4E96">
        <w:rPr>
          <w:rFonts w:ascii="Times New Roman" w:hAnsi="Times New Roman" w:cs="Times New Roman"/>
        </w:rPr>
        <w:t xml:space="preserve"> and visual specifications over a specified duration, under a specific set of operational provisions. </w:t>
      </w:r>
      <w:r w:rsidR="00FD56D9" w:rsidRPr="002F4E96">
        <w:rPr>
          <w:rFonts w:ascii="Times New Roman" w:hAnsi="Times New Roman" w:cs="Times New Roman"/>
        </w:rPr>
        <w:t>Therefore, thermal fatigue</w:t>
      </w:r>
      <w:r w:rsidR="003E6F4F" w:rsidRPr="002F4E96">
        <w:rPr>
          <w:rFonts w:ascii="Times New Roman" w:hAnsi="Times New Roman" w:cs="Times New Roman"/>
        </w:rPr>
        <w:t xml:space="preserve"> occasioned by the difference in the coefficient of thermal ex</w:t>
      </w:r>
      <w:r w:rsidR="00902B58" w:rsidRPr="002F4E96">
        <w:rPr>
          <w:rFonts w:ascii="Times New Roman" w:hAnsi="Times New Roman" w:cs="Times New Roman"/>
        </w:rPr>
        <w:t xml:space="preserve">pansion </w:t>
      </w:r>
      <w:r w:rsidR="003E6F4F" w:rsidRPr="002F4E96">
        <w:rPr>
          <w:rFonts w:ascii="Times New Roman" w:hAnsi="Times New Roman" w:cs="Times New Roman"/>
        </w:rPr>
        <w:t>(</w:t>
      </w:r>
      <w:r w:rsidR="00F54AE7" w:rsidRPr="002F4E96">
        <w:rPr>
          <w:rFonts w:ascii="Times New Roman" w:hAnsi="Times New Roman" w:cs="Times New Roman"/>
        </w:rPr>
        <w:t>CTE</w:t>
      </w:r>
      <w:r w:rsidR="003E6F4F" w:rsidRPr="002F4E96">
        <w:rPr>
          <w:rFonts w:ascii="Times New Roman" w:hAnsi="Times New Roman" w:cs="Times New Roman"/>
        </w:rPr>
        <w:t xml:space="preserve">) between the BGA package and </w:t>
      </w:r>
      <w:r w:rsidR="00F54AE7" w:rsidRPr="002F4E96">
        <w:rPr>
          <w:rFonts w:ascii="Times New Roman" w:hAnsi="Times New Roman" w:cs="Times New Roman"/>
        </w:rPr>
        <w:t>PCB</w:t>
      </w:r>
      <w:r w:rsidR="003E6F4F" w:rsidRPr="002F4E96">
        <w:rPr>
          <w:rFonts w:ascii="Times New Roman" w:hAnsi="Times New Roman" w:cs="Times New Roman"/>
        </w:rPr>
        <w:t xml:space="preserve"> and </w:t>
      </w:r>
      <w:r w:rsidR="00FD56D9" w:rsidRPr="002F4E96">
        <w:rPr>
          <w:rFonts w:ascii="Times New Roman" w:hAnsi="Times New Roman" w:cs="Times New Roman"/>
        </w:rPr>
        <w:t xml:space="preserve">driven by thermal cycling </w:t>
      </w:r>
      <w:r w:rsidR="00FD56D9"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{"citationItems":[{"id":"ITEM-1","itemData":{"abstract":"This new volume by interconnection expert on solder joints, Johns H. Lau, deals with BGA, CSP, Flip Chips, and other new technologies that underlie the electronics industry's need for smaller, faster products. Naturally, as ever-smaller products are created, the reliability of the solder joints that bind them becomes increasingly crucial. Balancing concepts and practical applications, the authors explain the fundamentals of solder joint reliability and present creative, robust packaging techniques for cost-effective interconnection.","author":[{"dropping-particle":"","family":"Lau","given":"J. H","non-dropping-particle":"","parse-names":false,"suffix":""},{"dropping-particle":"","family":"Pao","given":"Y","non-dropping-particle":"","parse-names":false,"suffix":""}],"container-title":"McGraw-Hill, New York,","id":"ITEM-1","issued":{"date-parts":[["1997"]]},"title":"Solder joint reliability of BGA, CSP, Flip Cip, and fine pitch SMT assemblies","type":"book"},"uris":["http://www.mendeley.com/documents/?uuid=4a85b0f8-9af1-46f4-9be5-fb3d575f3404"]},{"id":"ITEM-2","itemData":{"author":[{"dropping-particle":"","family":"Lau John; Wong C P; Lee Ning-Cheng","given":"","non-dropping-particle":"","parse-names":false,"suffix":""}],"id":"ITEM-2","issued":{"date-parts":[["2003"]]},"publisher":"The McGraw-Hill Companies, Inc.","title":"Electronics Manufacturing: With Lead-Free, Halogen-Free, and Conductive-Adhesive Materials","type":"book"},"uris":["http://www.mendeley.com/documents/?uuid=10b3bf30-0a88-4bcc-821d-945cd9c002e9"]},{"id":"ITEM-3","itemData":{"DOI":"10.1109/ECTC.2018.00373","ISBN":"9781538649985","ISSN":"05695503","abstract":"The objective of this research is to investigate the design factors that contribute to the thermal deformation and stress development of lidless 2.5D package, and to provide design guidelines for building thermo-mechanically reliable lidless 2.5D packages. A three-dimensional finite element model of a lidless 2.5D package was analyzed under different design parameters. Finite element analyses were performed to compare the package warpage and die stress among different material selections with the consideration of substrate core CTE and modulus, stiffener CTE, C4 bump underfill modulus and CTE, microbump underfill modulus and CTE as well as adhesive modulus. Geometric effects such as interposer thickness, stiffener thickness, stiffener foot width, adhesive thickness and adhesive coverage were also explored. Moreover, the solder joint reliability were analyzed on the board level model considering important design factors obtained from package level analysis. Optimal design factors were achieved through both package level analysis and board level analysis. It was found that several design factors show totally different trends in affecting package level and board level reliability. Simulation results show that, lower substrate core CTE, higher substrate core modulus, higher stiffener CTE, lower adhesive modulus, a thicker and wider stiffener, and a thinner adhesive with higher coverage will help to minimize the package warpage. Using a substrate core with higher CTE and lower modulus, a stiffener with lower CTE, and adhesive with lower modulus and higher thickness, will help to improve the board level solder joint reliability for the lidless 2.5D package PCB assembly.","author":[{"dropping-particle":"","family":"Wang","given":"Jing","non-dropping-particle":"","parse-names":false,"suffix":""},{"dropping-particle":"","family":"Niu","given":"Yuling","non-dropping-particle":"","parse-names":false,"suffix":""},{"dropping-particle":"","family":"Park","given":"Seungbae","non-dropping-particle":"","parse-names":false,"suffix":""},{"dropping-particle":"","family":"Yatskov","given":"Alexander","non-dropping-particle":"","parse-names":false,"suffix":""}],"container-title":"Proceedings - Electronic Components and Technology Conference","id":"ITEM-3","issued":{"date-parts":[["2018"]]},"title":"Modeling and design of 2.5D package with mitigated warpage and enhanced thermo-mechanical reliability","type":"paper-conference"},"uris":["http://www.mendeley.com/documents/?uuid=d903b017-a83a-46e6-b2b3-a6a5e96ceb39"]},{"id":"ITEM-4","itemData":{"DOI":"10.1109/ECTC.2018.00251","ISBN":"9781538649985","ISSN":"05695503","abstract":"2.5D packages have been widely used in electronics industry for high performance and product miniaturization. As Through-Silicon-Via (TSV) fabrication methods and multi-level assembly technologies get mature, 2.5D packaging becomes reliable and affordable. In this work, board-level life prediction was performed for a 2.5D Field-Programmable Gate Array (FPGA) assembly in both accelerated thermal cycling and power cycling. Finite element models were built and validated by warpage measurement. Solder fatigue life in power cycling was investigated by computational fluid dynamics (CFD) simulation and finite element analysis. Improved life prediction for power cycling was achieved by mapping temperature results from CFD model to finite element model. Parametric studies regarding geometry and material factors were performed including PCB, substrate, thermal interface material (TIM) and lid adhesive, to give design suggestions to improve board-level thermal reliability. Maximum junction temperature of a 2.5D FPGA package is dependent on application scenarios and working environment. It is found that the designed maximum junction temperature and applied heatsink clamping force have considerable influences on board-level reliability.","author":[{"dropping-particle":"","family":"Shao","given":"Shuai","non-dropping-particle":"","parse-names":false,"suffix":""},{"dropping-particle":"","family":"Niu","given":"Yuling","non-dropping-particle":"","parse-names":false,"suffix":""},{"dropping-particle":"","family":"Wang","given":"Jing","non-dropping-particle":"","parse-names":false,"suffix":""},{"dropping-particle":"","family":"Liu","given":"Ruiyang","non-dropping-particle":"","parse-names":false,"suffix":""},{"dropping-particle":"","family":"Park","given":"Seungbae","non-dropping-particle":"","parse-names":false,"suffix":""},{"dropping-particle":"","family":"Lee","given":"Hohyung","non-dropping-particle":"","parse-names":false,"suffix":""},{"dropping-particle":"","family":"Refai-Ahmed","given":"Gamal","non-dropping-particle":"","parse-names":false,"suffix":""},{"dropping-particle":"","family":"Yip","given":"Laurene","non-dropping-particle":"","parse-names":false,"suffix":""}],"container-title":"Proceedings - Electronic Components and Technology Conference","id":"ITEM-4","issued":{"date-parts":[["2018"]]},"title":"Comprehensive study on 2.5D package design for board-level reliability in thermal cycling and power cycling","type":"paper-conference"},"uris":["http://www.mendeley.com/documents/?uuid=66be3042-675f-4366-8649-eb693bf33244"]},{"id":"ITEM-5","itemData":{"DOI":"10.1007/978-1-4419-7759-5_1","abstract":"The materials selection for thermal management of electronic packaging is influenced by thermal, electrical, physical and thermomechanical requirements of the device and its surrounding electrical system and by the environment to which the device will be exposed. The reliability of the finished device and electric system will depend not only on the characteristics of the individual materials but also on the interaction of package and thermal management materials at interfaces during exposure to such stresses as thermal gradients, temperature cycling, moisture, and contamination. This chapter will introduce general characterization methodologies of thermal management materials for assessing performance and reliability of electronic packaging, including thermal properties, electrical properties, thermo- mechanical analysis, as well as material microstructure and interface characteriza- tion, surface finish and contact interface compatibility, and reliability analysis and environmental evaluation.","author":[{"dropping-particle":"","family":"Tong","given":"Xingcun Colin","non-dropping-particle":"","parse-names":false,"suffix":""}],"id":"ITEM-5","issued":{"date-parts":[["2011"]]},"title":"Thermal Management Fundamentals and Design Guides in Electronic Packaging","type":"chapter"},"uris":["http://www.mendeley.com/documents/?uuid=9f853641-a460-4a07-acef-ddbfb12e976a"]},{"id":"ITEM-6","itemData":{"DOI":"10.1109/ESTC48849.2020.9229699","ISBN":"9781728162928","abstract":"While the fatigue behaviours (including fatigue life predictions) of lead-free solder joints have been extensively researched in the last 15 years, these are not adequately compared and benchmarked for different lead-free solders that are being used. As more and more fatigue properties of lead-free solders are becoming available, it is also critical to know how fatigue behaviours differ under different mathematical models. This paper addresses the challenges and presents a comparative study of fatigue behaviours of various mainstream lead-free Sn-Ag-Cu (SAC) solders and benchmarked those with lead-based eutectic solder. Creep-induced fatigue and fatigue life of lead-based eutectic Sn63Pb37 and four lead-free SAC solder alloys: SAC305, SAC387, SAC396 and SAC405 are analysed through simulation studies. The Anand model is used to simulate the inelastic deformation behaviour of the solder joints under accelerated thermal cycling (ATC). It unifies the creep and rate-independent plastic behaviour and it is used to predict the complex stress-strain relationship of solders under different temperatures and strain rates, which are required in the prediction of fatigue life using the fatigue life models such as Engelmaier, Coffin-Mason and Solomon as the basis of our comparison. The ATC was carried out using temperature range from -40°C to 150°C. The fatigue damage propagation is determined with finite element (FE) simulation, which allows virtual prototyping in the design process of electronics devices. The simulation was carried out on a BGA (36 balls, 6 × 6 matrix) mounted onto Cu padded substrate. Results are analysed for plastic strain, Von mises stress, strain energy density, and stress-strain hysteresis loop. The simulation results show that the fatigue behaviours of lead-based eutectic Sn63Pb37 solder is comparable to those of lead-free SAC solders. Among the four SAC solders, SAC387 consistently produced higher plastic strain, strain energy and stress than the other solders. The fatigue life's estimation of the solder joint was investigated using Engelmaier, Coffin-Manson, and Solomon models. Results obtained show that SAC405 has the highest fatigue life (25.7, 21.1 and 19.2 years) followed by SAC396 (18.7, 20.3 and 17.9 years) and SAC305 (15.2, 13.6 and 16.2 years) solder alloys respectively. Predicting the fatigue life of these solder joints averts problems in electronics design for reliability and quality, which if not taken care of, may result in lost…","author":[{"dropping-particle":"","family":"Adeniyi Depiver","given":"Joshua","non-dropping-particle":"","parse-names":false,"suffix":""},{"dropping-particle":"","family":"Mallik","given":"Sabuj","non-dropping-particle":"","parse-names":false,"suffix":""},{"dropping-particle":"","family":"Amalu","given":"Emeka H.","non-dropping-particle":"","parse-names":false,"suffix":""}],"container-title":"Proceedings - 2020 IEEE 8th Electronics System-Integration Technology Conference, ESTC 2020","id":"ITEM-6","issued":{"date-parts":[["2020"]]},"title":"Comparing and benchmarking fatigue behaviours of various SAC solders under thermo-mechanical loading","type":"paper-conference"},"uris":["http://www.mendeley.com/documents/?uuid=89f731e0-7c40-4a5e-a572-626f56e6a6fa"]}],"mendeley":{"formattedCitation":"[1]–[6]","plainTextFormattedCitation":"[1]–[6]","previouslyFormattedCitation":"[1]–[6]"},"properties":{"noteIndex":0},"schema":"https://github.com/citation-style-language/schema/raw/master/csl-citation.json"}</w:instrText>
      </w:r>
      <w:r w:rsidR="00FD56D9" w:rsidRPr="002F4E96">
        <w:rPr>
          <w:rFonts w:ascii="Times New Roman" w:hAnsi="Times New Roman" w:cs="Times New Roman"/>
        </w:rPr>
        <w:fldChar w:fldCharType="separate"/>
      </w:r>
      <w:r w:rsidR="00601167" w:rsidRPr="002F4E96">
        <w:rPr>
          <w:rFonts w:ascii="Times New Roman" w:hAnsi="Times New Roman" w:cs="Times New Roman"/>
          <w:noProof/>
        </w:rPr>
        <w:t>[1]–[6]</w:t>
      </w:r>
      <w:r w:rsidR="00FD56D9" w:rsidRPr="002F4E96">
        <w:rPr>
          <w:rFonts w:ascii="Times New Roman" w:hAnsi="Times New Roman" w:cs="Times New Roman"/>
        </w:rPr>
        <w:fldChar w:fldCharType="end"/>
      </w:r>
      <w:r w:rsidR="003E6F4F" w:rsidRPr="002F4E96">
        <w:rPr>
          <w:rFonts w:ascii="Times New Roman" w:hAnsi="Times New Roman" w:cs="Times New Roman"/>
        </w:rPr>
        <w:t xml:space="preserve"> </w:t>
      </w:r>
      <w:r w:rsidR="003E6F4F"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{"citationItems":[{"id":"ITEM-1","itemData":{"DOI":"10.1109/TCPMT.2015.2453989","ISSN":"21563950","abstract":"The fatigue behavior of solder joints in realistic service applications is still not well understood. Service life prediction based on conducting accelerated tests and extrapolating test results therefore involves a high potential for error. Understanding both the evolution of solder joint properties and the damage accumulation has proved to be critical to reliability modeling. Damage accumulation in isothermal cycling is shown to scale with the accumulated inelastic work even in complex cycling scenarios, so that the life of a solder joint ends upon accumulation of a given amount of work. Individual ball grid array solder joints were cycled in shear fatigue experiments with different load amplitudes and strain rates. The effects of load amplitudes and strain rates on the work accumulation and fatigue life were systematically addressed. The correlation between different loading scenarios and the accumulated work to failure was also discussed. The results showed that the accumulated work until the development of a major crack is constant regardless of the load amplitude. After that the accumulated work to failure is lower for larger load amplitudes. For some reason, a larger fraction of the work appears to be dissipating as heat at lower load amplitude, but only during crack growth. On the other hand, the strain rate affects the fraction of the work going to heat even before the development of a major crack.","author":[{"dropping-particle":"","family":"Hamasha","given":"Sa'd","non-dropping-particle":"","parse-names":false,"suffix":""},{"dropping-particle":"","family":"Qasaimeh","given":"Awni","non-dropping-particle":"","parse-names":false,"suffix":""},{"dropping-particle":"","family":"Jaradat","given":"Younis","non-dropping-particle":"","parse-names":false,"suffix":""},{"dropping-particle":"","family":"Borgesen","given":"Peter","non-dropping-particle":"","parse-names":false,"suffix":""}],"container-title":"IEEE Transactions on Components, Packaging and Manufacturing Technology","id":"ITEM-1","issued":{"date-parts":[["2015"]]},"title":"Correlation Between Solder Joint Fatigue Life and Accumulated Work in Isothermal Cycling","type":"article-journal"},"uris":["http://www.mendeley.com/documents/?uuid=ae68dcdb-17b3-49c4-a7ce-70298ddd9176"]},{"id":"ITEM-2","itemData":{"DOI":"10.1115/1.4029441","ISSN":"15289044","abstract":"The extrapolation and generalization of accelerated test results for lead free solder joints require the identification of a damage function that can be counted on to apply beyond the region of the test. Individual ball grid array (BGA) scale Sn3Ag0.5Cu (SAC305) solder joints were subjected to isothermal shear fatigue testing at room temperature and 65 °C. The resulting mechanical response degradation and crack behavior, including strain hardening, crack initiation, and propagation, were correlated with the inelastic work and effective stiffness derived from load-displacement hysteresis loops. Crack initiation was found to scale with the accumulated work, independently of cycling amplitude and strain rate. The subsequent damage rate varied slightly with amplitude.","author":[{"dropping-particle":"","family":"Qasaimeh","given":"Awni","non-dropping-particle":"","parse-names":false,"suffix":""},{"dropping-particle":"","family":"Hamasha","given":"Sa'd","non-dropping-particle":"","parse-names":false,"suffix":""},{"dropping-particle":"","family":"Jaradat","given":"Younis","non-dropping-particle":"","parse-names":false,"suffix":""},{"dropping-particle":"","family":"Borgesen","given":"Peter","non-dropping-particle":"","parse-names":false,"suffix":""}],"container-title":"Journal of Electronic Packaging, Transactions of the ASME","id":"ITEM-2","issued":{"date-parts":[["2015"]]},"title":"Damage evolution in lead free solder joints in isothermal fatigue","type":"article-journal"},"uris":["http://www.mendeley.com/documents/?uuid=efd8c582-2dca-492a-bfa8-f7bf190fe842"]},{"id":"ITEM-3","itemData":{"DOI":"10.1109/ECTC.2013.6575741","ISBN":"9781479902330","ISSN":"05695503","abstract":"Realistic manufacturing, test, handling and service conditions tend to involve significant variations in loading of microelectronics assemblies. However, assessments of reliability are commonly based on accelerated cycling tests with fixed amplitudes and effects of variations are estimated assuming a damage accumulation rule such as Miner's rule. These rules may overestimate the life of lead free solder joints under realistic conditions by orders of magnitude. The severity of such errors is not likely to be captured in accelerated testing with combinations of amplitudes selected at random or based on convenience. Brief exposure to one or more high strain rate loading cycles may significantly reduce the effective stiffness of typical lead free solder joints in subsequent cycling at lower amplitudes and strain rates. This may greatly complicate modeling and generalization of test results whether failure occurs through the solder or the intermetallic bond to the contact pad, or by pad cratering. Systematic studies of individual SAC305 joints inisothermal fatigue led to an approach to the determination of 'worst case' scenarios and the prediction of effects of amplitude variations on solder failure. Preliminary results on lower-Ag alloys and the MaxRel™ alloy are presented as well. © 2013 IEEE.","author":[{"dropping-particle":"","family":"Obaidat","given":"M.","non-dropping-particle":"","parse-names":false,"suffix":""},{"dropping-particle":"","family":"Hamasha","given":"S.","non-dropping-particle":"","parse-names":false,"suffix":""},{"dropping-particle":"","family":"Jaradat","given":"Y.","non-dropping-particle":"","parse-names":false,"suffix":""},{"dropping-particle":"","family":"Qasaimeh","given":"A.","non-dropping-particle":"","parse-names":false,"suffix":""},{"dropping-particle":"","family":"Arfaei","given":"B.","non-dropping-particle":"","parse-names":false,"suffix":""},{"dropping-particle":"","family":"Anselm","given":"M.","non-dropping-particle":"","parse-names":false,"suffix":""},{"dropping-particle":"","family":"Borgesen","given":"P.","non-dropping-particle":"","parse-names":false,"suffix":""}],"container-title":"Proceedings - Electronic Components and Technology Conference","id":"ITEM-3","issued":{"date-parts":[["2013"]]},"title":"Effects of varying amplitudes on the fatigue life of lead free solder joints","type":"paper-conference"},"uris":["http://www.mendeley.com/documents/?uuid=9c6fc785-5f80-4723-8500-08a634e291cf"]},{"id":"ITEM-4","itemData":{"DOI":"10.1109/ECTC.2015.7159804","ISBN":"9781479986095","ISSN":"05695503","abstract":"In the absence of manufacturing defects the ultimate life of a microelectronics assembly in long-term vibration is likely to be limited by solder joint fatigue. So far relatively limited efforts have been dedicated to the quantitative prediction of this life. However, even day to day 'engineering tests' may not be very useful if they do not offer at least a ranking of alternative materials, designs or processes in terms of performance in service. The assessment of solder joint life in long term vibration under realistic service conditions is complicated by effects of cyclic loading on the solder and, in accelerated testing, the PCB deformation properties. Cycling induced damage to the PCB often goes unnoticed but may have profound consequences for the solder fatigue. Also, preliminary isothermal cycling results suggest that variations in cycling amplitude may lead to a change in creep properties. This would invalidate attempts at Finite Element Modeling and is believed to be the reason for the dramatic break-down of Miner's Rule of linear damage accumulation. A preliminary test was conducted to show that this applies to vibration to millions of cycles, at least. These issues are of major concern for the ESS testing commonly required in military and aerospace electronics manufacturing, and they may have consequences for the interpretation of random vibration test results.","author":[{"dropping-particle":"","family":"Batieha","given":"F.","non-dropping-particle":"","parse-names":false,"suffix":""},{"dropping-particle":"","family":"Hamasha","given":"S.","non-dropping-particle":"","parse-names":false,"suffix":""},{"dropping-particle":"","family":"Jaradat","given":"Y.","non-dropping-particle":"","parse-names":false,"suffix":""},{"dropping-particle":"","family":"Wentlent","given":"L.","non-dropping-particle":"","parse-names":false,"suffix":""},{"dropping-particle":"","family":"Qasaimeh","given":"A.","non-dropping-particle":"","parse-names":false,"suffix":""},{"dropping-particle":"","family":"Borgesen","given":"P.","non-dropping-particle":"","parse-names":false,"suffix":""}],"container-title":"Proceedings - Electronic Components and Technology Conference","id":"ITEM-4","issued":{"date-parts":[["2015"]]},"title":"Challenges for the prediction of solder joint life in long term vibration","type":"paper-conference"},"uris":["http://www.mendeley.com/documents/?uuid=8ab11657-8cc0-4a48-8df3-f9fd1209c1fe"]},{"id":"ITEM-5","itemData":{"DOI":"10.1007/s11664-018-6121-0","ISSN":"03615235","abstract":"The present work offers both a complete, quantitative model and a conservative acceleration factor expression for the life span of SnAgCu solder joints in thermal cycling. A broad range of thermal cycling experiments, conducted over many years, has revealed a series of systematic trends that are not compatible with common damage functions or constitutive relations. Complementary mechanical testing and systematic studies of the evolution of the microstructure and damage have led to a fundamental understanding of the progression of thermal fatigue and failure. A special experiment was developed to allow the effective deconstruction of conventional thermal cycling experiments and the finalization of our model. According to this model, the evolution of damage and failure in thermal cycling is controlled by a continuous recrystallization process which is dominated by the coalescence and rotation of dislocation cell structures continuously added to during the high-temperature dwell. The dominance of this dynamic recrystallization contribution is not consistent with the common assumption of a correlation between the number of cycles to failure and the total work done on the solder joint in question in each cycle. It is, however, consistent with an apparent dependence on the work done during the high-temperature dwell. Importantly, the onset of this recrystallization is delayed by pinning on the Ag3Sn precipitates until these have coarsened sufficiently, leading to a model with two terms where one tends to dominate in service and the other in accelerated thermal cycling tests. Accumulation of damage under realistic service conditions with varying dwell temperatures and times is also addressed.","author":[{"dropping-particle":"","family":"Borgesen","given":"Peter","non-dropping-particle":"","parse-names":false,"suffix":""},{"dropping-particle":"","family":"Wentlent","given":"Luke","non-dropping-particle":"","parse-names":false,"suffix":""},{"dropping-particle":"","family":"Hamasha","given":"Sa’d","non-dropping-particle":"","parse-names":false,"suffix":""},{"dropping-particle":"","family":"Khasawneh","given":"Saif","non-dropping-particle":"","parse-names":false,"suffix":""},{"dropping-particle":"","family":"Shirazi","given":"Sam","non-dropping-particle":"","parse-names":false,"suffix":""},{"dropping-particle":"","family":"Schmitz","given":"Debora","non-dropping-particle":"","parse-names":false,"suffix":""},{"dropping-particle":"","family":"Alghoul","given":"Thaer","non-dropping-particle":"","parse-names":false,"suffix":""},{"dropping-particle":"","family":"Greene","given":"Chris","non-dropping-particle":"","parse-names":false,"suffix":""},{"dropping-particle":"","family":"Yin","given":"Liang","non-dropping-particle":"","parse-names":false,"suffix":""}],"container-title":"Journal of Electronic Materials","id":"ITEM-5","issue":"5","issued":{"date-parts":[["2018"]]},"page":"2526-2544","publisher":"Springer US","title":"A Mechanistic Thermal Fatigue Model for SnAgCu Solder Joints","type":"article-journal","volume":"47"},"uris":["http://www.mendeley.com/documents/?uuid=ecee8f28-a72f-4160-a922-5fff0d2f00c3"]},{"id":"ITEM-6","itemData":{"DOI":"10.1115/1.4032881","ISSN":"15289044","abstract":"The behavior of lead-free solder alloys under realistic service conditions is still not well understood. Life prediction of solder joints relies on conducting accelerated tests and extrapolating results to service conditions. This can be very misleading without proper constitutive relations and without understanding the effects of cycling parameter variations common under realistic service conditions. It has been shown that the fatigue life depends on the inelastic work accumulation, independently of cycling-induced material property variations, which explains the breakdown of damage accumulation rules and allows the development of a modified Miner's rule. This paper discusses the interacting effects of strain rate and amplitude variations on solder joint fatigue life. Individual SnAgCu solder joints with two different Ag contents (SAC305 and SAC105) were tested in low cycling shear fatigue under single and varying amplitudes with different strain rates. Such a shear fatigue experiment allows the measurement of work accumulation and the evolution of solder deformation properties during cycling. The results showed that cycling with a lower strain rate at fixed amplitude causes more damage per cycle. Alternating between mild amplitude at a high strain rate and harsh amplitude at a low strain rate leads to ongoing increases in the rate of damage at the mild amplitude and thus relatively rapid failure. In comparing SAC305 with SAC105, the effect of strain rate on both alloys is almost the same, and SAC305 is still more fatigue resistant than SAC105 in varying amplitude cycling with any strain rate.","author":[{"dropping-particle":"","family":"Hamasha","given":"Sa'd","non-dropping-particle":"","parse-names":false,"suffix":""},{"dropping-particle":"","family":"Borgesen","given":"Peter","non-dropping-particle":"","parse-names":false,"suffix":""}],"container-title":"Journal of Electronic Packaging, Transactions of the ASME","id":"ITEM-6","issued":{"date-parts":[["2016"]]},"title":"Effects of strain rate and amplitude variations on solder joint fatigue life in isothermal cycling","type":"article-journal"},"uris":["http://www.mendeley.com/documents/?uuid=cc548a94-f2a8-40e8-8ed1-c227db4066a6"]},{"id":"ITEM-7","itemData":{"DOI":"10.1109/ITHERM.2017.7992636","ISBN":"9781509029945","abstract":"Realistic service conditions of electronic assemblies tend to involve significant variations in loading. However, reliability prediction of solder joints relies on conducting accelerated tests with fixed amplitudes and extrapolating results to service conditions. This can be very misleading without proper constitutive relations and without understanding the interacting effects of cycling parameters under realistic service conditions. In this work, the effects of amplitude variations and strain rate on solder joint fatigue life are studied. Individual SnAgCu solder joints with two different Ag contents (SAC305 and SAC105) were tested in low cycling shear fatigue under single and varying stress amplitudes with different strain rates. Work accumulation and the evolution of solder deformation properties during cycling were measured. The results showed that cycling with a higher strain rate at fixed stress causes less damage per cycle and thus longer fatigue life. Alternating between high and low stress at a fixed strain rate leads to damage acceleration and rapid failure. In addition, alternating between low stress at a high strain rate and high stress at a low strain rate leads to ongoing increases in the rate of damage at the mild amplitude and thus relatively rapid failure. In comparing SAC305 with SAC105, SAC305 is more fatigue resistant than SAC105 in single and varying amplitude cycling. However, the effect of strain rate on both alloys is almost the same.","author":[{"dropping-particle":"","family":"Hamasha","given":"Sa'D","non-dropping-particle":"","parse-names":false,"suffix":""},{"dropping-particle":"","family":"Su","given":"Sinan","non-dropping-particle":"","parse-names":false,"suffix":""},{"dropping-particle":"","family":"Akkara","given":"Francy","non-dropping-particle":"","parse-names":false,"suffix":""},{"dropping-particle":"","family":"Dawahdeh","given":"Ahmad","non-dropping-particle":"","parse-names":false,"suffix":""},{"dropping-particle":"","family":"Borgesen","given":"Peter","non-dropping-particle":"","parse-names":false,"suffix":""},{"dropping-particle":"","family":"Qasaimeh","given":"Awni","non-dropping-particle":"","parse-names":false,"suffix":""}],"container-title":"Proceedings of the 16th InterSociety Conference on Thermal and Thermomechanical Phenomena in Electronic Systems, ITherm 2017","id":"ITEM-7","issued":{"date-parts":[["2017"]]},"page":"1331-1336","title":"Solder joint reliability in isothermal varying load cycling","type":"paper-conference"},"uris":["http://www.mendeley.com/documents/?uuid=de09b48a-88bd-4606-ab90-ea45398c0b4e"]},{"id":"ITEM-8","itemData":{"author":[{"dropping-particle":"","family":"Su","given":"Sinan","non-dropping-particle":"","parse-names":false,"suffix":""},{"dropping-particle":"","family":"Jian","given":"Minghong","non-dropping-particle":"","parse-names":false,"suffix":""},{"dropping-particle":"","family":"Akkara","given":"Francy John","non-dropping-particle":"","parse-names":false,"suffix":""},{"dropping-particle":"","family":"Hamasha","given":"Sa","non-dropping-particle":"","parse-names":false,"suffix":""},{"dropping-particle":"","family":"Suhling","given":"Jeff","non-dropping-particle":"","parse-names":false,"suffix":""},{"dropping-particle":"","family":"Lall","given":"Pradeep","non-dropping-particle":"","parse-names":false,"suffix":""}],"id":"ITEM-8","issued":{"date-parts":[["2018"]]},"title":"FATIGUE AND SHEAR PROPERTIES OF HIGH RELIABLE SOLDER JOINTS FOR HARSH APPLICATIONS Department of Industrial and Systems Engineering Department of Mechanical Engineering","type":"article-journal"},"uris":["http://www.mendeley.com/documents/?uuid=ab5cb74f-9100-4de2-a9ee-9c6ca79a5e9d"]}],"mendeley":{"formattedCitation":"[7]–[14]","plainTextFormattedCitation":"[7]–[14]","previouslyFormattedCitation":"[7]–[14]"},"properties":{"noteIndex":0},"schema":"https://github.com/citation-style-language/schema/raw/master/csl-citation.json"}</w:instrText>
      </w:r>
      <w:r w:rsidR="003E6F4F" w:rsidRPr="002F4E96">
        <w:rPr>
          <w:rFonts w:ascii="Times New Roman" w:hAnsi="Times New Roman" w:cs="Times New Roman"/>
        </w:rPr>
        <w:fldChar w:fldCharType="separate"/>
      </w:r>
      <w:r w:rsidR="00601167" w:rsidRPr="002F4E96">
        <w:rPr>
          <w:rFonts w:ascii="Times New Roman" w:hAnsi="Times New Roman" w:cs="Times New Roman"/>
          <w:noProof/>
        </w:rPr>
        <w:t>[7]–[14]</w:t>
      </w:r>
      <w:r w:rsidR="003E6F4F" w:rsidRPr="002F4E96">
        <w:rPr>
          <w:rFonts w:ascii="Times New Roman" w:hAnsi="Times New Roman" w:cs="Times New Roman"/>
        </w:rPr>
        <w:fldChar w:fldCharType="end"/>
      </w:r>
      <w:r w:rsidR="00FD56D9" w:rsidRPr="002F4E96">
        <w:rPr>
          <w:rFonts w:ascii="Times New Roman" w:hAnsi="Times New Roman" w:cs="Times New Roman"/>
        </w:rPr>
        <w:t xml:space="preserve">, is a </w:t>
      </w:r>
      <w:r w:rsidR="00C56ABE" w:rsidRPr="002F4E96">
        <w:rPr>
          <w:rFonts w:ascii="Times New Roman" w:hAnsi="Times New Roman" w:cs="Times New Roman"/>
        </w:rPr>
        <w:t>crucial</w:t>
      </w:r>
      <w:r w:rsidR="00FD56D9" w:rsidRPr="002F4E96">
        <w:rPr>
          <w:rFonts w:ascii="Times New Roman" w:hAnsi="Times New Roman" w:cs="Times New Roman"/>
        </w:rPr>
        <w:t xml:space="preserve"> factor </w:t>
      </w:r>
      <w:r w:rsidR="00791A3D" w:rsidRPr="002F4E96">
        <w:rPr>
          <w:rFonts w:ascii="Times New Roman" w:hAnsi="Times New Roman" w:cs="Times New Roman"/>
        </w:rPr>
        <w:t>that</w:t>
      </w:r>
      <w:r w:rsidR="00FD56D9" w:rsidRPr="002F4E96">
        <w:rPr>
          <w:rFonts w:ascii="Times New Roman" w:hAnsi="Times New Roman" w:cs="Times New Roman"/>
        </w:rPr>
        <w:t xml:space="preserve"> determines the reliability of solder joints.</w:t>
      </w:r>
      <w:r w:rsidR="00902B58" w:rsidRPr="002F4E96">
        <w:rPr>
          <w:rFonts w:ascii="Times New Roman" w:hAnsi="Times New Roman" w:cs="Times New Roman"/>
        </w:rPr>
        <w:t xml:space="preserve"> The fatigue loading of solder joints resulting from </w:t>
      </w:r>
      <w:r w:rsidR="00F54AE7" w:rsidRPr="002F4E96">
        <w:rPr>
          <w:rFonts w:ascii="Times New Roman" w:hAnsi="Times New Roman" w:cs="Times New Roman"/>
        </w:rPr>
        <w:t>CTE</w:t>
      </w:r>
      <w:r w:rsidR="00902B58" w:rsidRPr="002F4E96">
        <w:rPr>
          <w:rFonts w:ascii="Times New Roman" w:hAnsi="Times New Roman" w:cs="Times New Roman"/>
        </w:rPr>
        <w:t xml:space="preserve"> mismatch of joined materials is an issue in electronics performance </w:t>
      </w:r>
      <w:r w:rsidR="00902B58"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{"citationItems":[{"id":"ITEM-1","itemData":{"DOI":"10.1109/tce.1961.6373099","ISSN":"0097-2452","author":[{"dropping-particle":"","family":"Green","given":"W. B.","non-dropping-particle":"","parse-names":false,"suffix":""}],"container-title":"Transactions of the American Institute of Electrical Engineers, Part I: Communication and Electronics","id":"ITEM-1","issue":"2","issued":{"date-parts":[["2013"]]},"page":"186-192","publisher":"American Institute of Electrical Engineers","title":"A fatigue-free silicon device structure","type":"article-journal","volume":"80"},"uris":["http://www.mendeley.com/documents/?uuid=fb1c0c3e-fb3e-4123-a922-f936cac2c06d"]}],"mendeley":{"formattedCitation":"[15]","plainTextFormattedCitation":"[15]","previouslyFormattedCitation":"[15]"},"properties":{"noteIndex":0},"schema":"https://github.com/citation-style-language/schema/raw/master/csl-citation.json"}</w:instrText>
      </w:r>
      <w:r w:rsidR="00902B58" w:rsidRPr="002F4E96">
        <w:rPr>
          <w:rFonts w:ascii="Times New Roman" w:hAnsi="Times New Roman" w:cs="Times New Roman"/>
        </w:rPr>
        <w:fldChar w:fldCharType="separate"/>
      </w:r>
      <w:r w:rsidR="00601167" w:rsidRPr="002F4E96">
        <w:rPr>
          <w:rFonts w:ascii="Times New Roman" w:hAnsi="Times New Roman" w:cs="Times New Roman"/>
          <w:noProof/>
        </w:rPr>
        <w:t>[15]</w:t>
      </w:r>
      <w:r w:rsidR="00902B58" w:rsidRPr="002F4E96">
        <w:rPr>
          <w:rFonts w:ascii="Times New Roman" w:hAnsi="Times New Roman" w:cs="Times New Roman"/>
        </w:rPr>
        <w:fldChar w:fldCharType="end"/>
      </w:r>
      <w:r w:rsidR="00902B58" w:rsidRPr="002F4E96">
        <w:rPr>
          <w:rFonts w:ascii="Times New Roman" w:hAnsi="Times New Roman" w:cs="Times New Roman"/>
        </w:rPr>
        <w:t>[23].</w:t>
      </w:r>
      <w:r w:rsidR="00AB0914" w:rsidRPr="002F4E96">
        <w:rPr>
          <w:rFonts w:ascii="Times New Roman" w:hAnsi="Times New Roman" w:cs="Times New Roman"/>
        </w:rPr>
        <w:t xml:space="preserve"> </w:t>
      </w:r>
      <w:r w:rsidR="00B0129A" w:rsidRPr="002F4E96">
        <w:rPr>
          <w:rFonts w:ascii="Times New Roman" w:hAnsi="Times New Roman" w:cs="Times New Roman"/>
        </w:rPr>
        <w:t xml:space="preserve">The </w:t>
      </w:r>
      <w:r w:rsidR="00FD0102" w:rsidRPr="002F4E96">
        <w:rPr>
          <w:rFonts w:ascii="Times New Roman" w:hAnsi="Times New Roman" w:cs="Times New Roman"/>
        </w:rPr>
        <w:t xml:space="preserve">qualification of thermal fatigue life of solder joints </w:t>
      </w:r>
      <w:r w:rsidR="00FD56D9" w:rsidRPr="002F4E96">
        <w:rPr>
          <w:rFonts w:ascii="Times New Roman" w:hAnsi="Times New Roman" w:cs="Times New Roman"/>
        </w:rPr>
        <w:t>is</w:t>
      </w:r>
      <w:r w:rsidR="00FD0102" w:rsidRPr="002F4E96">
        <w:rPr>
          <w:rFonts w:ascii="Times New Roman" w:hAnsi="Times New Roman" w:cs="Times New Roman"/>
        </w:rPr>
        <w:t xml:space="preserve"> carried out by conducting</w:t>
      </w:r>
      <w:r w:rsidR="007F7F57" w:rsidRPr="002F4E96">
        <w:rPr>
          <w:rFonts w:ascii="Times New Roman" w:hAnsi="Times New Roman" w:cs="Times New Roman"/>
        </w:rPr>
        <w:t xml:space="preserve"> an accelerated thermal test</w:t>
      </w:r>
      <w:r w:rsidR="00FD0102" w:rsidRPr="002F4E96">
        <w:rPr>
          <w:rFonts w:ascii="Times New Roman" w:hAnsi="Times New Roman" w:cs="Times New Roman"/>
        </w:rPr>
        <w:t xml:space="preserve"> based on standard </w:t>
      </w:r>
      <w:r w:rsidR="00FD56D9" w:rsidRPr="002F4E96">
        <w:rPr>
          <w:rFonts w:ascii="Times New Roman" w:hAnsi="Times New Roman" w:cs="Times New Roman"/>
        </w:rPr>
        <w:t>professional bodie</w:t>
      </w:r>
      <w:r w:rsidR="00902B58" w:rsidRPr="002F4E96">
        <w:rPr>
          <w:rFonts w:ascii="Times New Roman" w:hAnsi="Times New Roman" w:cs="Times New Roman"/>
        </w:rPr>
        <w:t>s</w:t>
      </w:r>
      <w:r w:rsidR="00FD56D9" w:rsidRPr="002F4E96">
        <w:rPr>
          <w:rFonts w:ascii="Times New Roman" w:hAnsi="Times New Roman" w:cs="Times New Roman"/>
        </w:rPr>
        <w:t xml:space="preserve"> </w:t>
      </w:r>
      <w:r w:rsidR="00B0129A" w:rsidRPr="002F4E96">
        <w:rPr>
          <w:rFonts w:ascii="Times New Roman" w:hAnsi="Times New Roman" w:cs="Times New Roman"/>
        </w:rPr>
        <w:t xml:space="preserve">specified </w:t>
      </w:r>
      <w:r w:rsidR="00FD0102" w:rsidRPr="002F4E96">
        <w:rPr>
          <w:rFonts w:ascii="Times New Roman" w:hAnsi="Times New Roman" w:cs="Times New Roman"/>
        </w:rPr>
        <w:t xml:space="preserve">thermal cycling profile. </w:t>
      </w:r>
      <w:r w:rsidR="00AB0914" w:rsidRPr="002F4E96">
        <w:rPr>
          <w:rFonts w:ascii="Times New Roman" w:hAnsi="Times New Roman" w:cs="Times New Roman"/>
        </w:rPr>
        <w:t xml:space="preserve"> </w:t>
      </w:r>
      <w:r w:rsidR="00791A3D" w:rsidRPr="002F4E96">
        <w:rPr>
          <w:rFonts w:ascii="Times New Roman" w:hAnsi="Times New Roman" w:cs="Times New Roman"/>
        </w:rPr>
        <w:t>Also</w:t>
      </w:r>
      <w:r w:rsidR="00B0129A" w:rsidRPr="002F4E96">
        <w:rPr>
          <w:rFonts w:ascii="Times New Roman" w:hAnsi="Times New Roman" w:cs="Times New Roman"/>
        </w:rPr>
        <w:t>, t</w:t>
      </w:r>
      <w:r w:rsidR="00FD56D9" w:rsidRPr="002F4E96">
        <w:rPr>
          <w:rFonts w:ascii="Times New Roman" w:hAnsi="Times New Roman" w:cs="Times New Roman"/>
        </w:rPr>
        <w:t>he reliability of solder joint</w:t>
      </w:r>
      <w:r w:rsidR="00B0129A" w:rsidRPr="002F4E96">
        <w:rPr>
          <w:rFonts w:ascii="Times New Roman" w:hAnsi="Times New Roman" w:cs="Times New Roman"/>
        </w:rPr>
        <w:t>s</w:t>
      </w:r>
      <w:r w:rsidR="00FD56D9" w:rsidRPr="002F4E96">
        <w:rPr>
          <w:rFonts w:ascii="Times New Roman" w:hAnsi="Times New Roman" w:cs="Times New Roman"/>
        </w:rPr>
        <w:t xml:space="preserve"> significantly depends on the </w:t>
      </w:r>
      <w:r w:rsidR="00791A3D" w:rsidRPr="002F4E96">
        <w:rPr>
          <w:rFonts w:ascii="Times New Roman" w:hAnsi="Times New Roman" w:cs="Times New Roman"/>
        </w:rPr>
        <w:t>alloys' composition</w:t>
      </w:r>
      <w:r w:rsidR="00FD56D9" w:rsidRPr="002F4E96">
        <w:rPr>
          <w:rFonts w:ascii="Times New Roman" w:hAnsi="Times New Roman" w:cs="Times New Roman"/>
        </w:rPr>
        <w:t xml:space="preserve"> in the solder matrix. T</w:t>
      </w:r>
      <w:r w:rsidR="007F7F57" w:rsidRPr="002F4E96">
        <w:rPr>
          <w:rFonts w:ascii="Times New Roman" w:hAnsi="Times New Roman" w:cs="Times New Roman"/>
        </w:rPr>
        <w:t xml:space="preserve">here </w:t>
      </w:r>
      <w:r w:rsidR="00791A3D" w:rsidRPr="002F4E96">
        <w:rPr>
          <w:rFonts w:ascii="Times New Roman" w:hAnsi="Times New Roman" w:cs="Times New Roman"/>
        </w:rPr>
        <w:t>is</w:t>
      </w:r>
      <w:r w:rsidR="00B0129A" w:rsidRPr="002F4E96">
        <w:rPr>
          <w:rFonts w:ascii="Times New Roman" w:hAnsi="Times New Roman" w:cs="Times New Roman"/>
        </w:rPr>
        <w:t xml:space="preserve"> </w:t>
      </w:r>
      <w:r w:rsidR="007F7F57" w:rsidRPr="002F4E96">
        <w:rPr>
          <w:rFonts w:ascii="Times New Roman" w:hAnsi="Times New Roman" w:cs="Times New Roman"/>
        </w:rPr>
        <w:t xml:space="preserve">significant </w:t>
      </w:r>
      <w:r w:rsidR="00791A3D" w:rsidRPr="002F4E96">
        <w:rPr>
          <w:rFonts w:ascii="Times New Roman" w:hAnsi="Times New Roman" w:cs="Times New Roman"/>
        </w:rPr>
        <w:t>progress</w:t>
      </w:r>
      <w:r w:rsidR="007F7F57" w:rsidRPr="002F4E96">
        <w:rPr>
          <w:rFonts w:ascii="Times New Roman" w:hAnsi="Times New Roman" w:cs="Times New Roman"/>
        </w:rPr>
        <w:t xml:space="preserve"> in </w:t>
      </w:r>
      <w:r w:rsidR="00791A3D" w:rsidRPr="002F4E96">
        <w:rPr>
          <w:rFonts w:ascii="Times New Roman" w:hAnsi="Times New Roman" w:cs="Times New Roman"/>
        </w:rPr>
        <w:t>developing</w:t>
      </w:r>
      <w:r w:rsidR="007F7F57" w:rsidRPr="002F4E96">
        <w:rPr>
          <w:rFonts w:ascii="Times New Roman" w:hAnsi="Times New Roman" w:cs="Times New Roman"/>
        </w:rPr>
        <w:t xml:space="preserve"> lead-free solders as a replacement for the conventional lead-based solders for application in the electronics industries </w:t>
      </w:r>
      <w:r w:rsidR="007F7F57"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{"citationItems":[{"id":"ITEM-1","itemData":{"DOI":"10.1016/j.mser.2014.06.001","ISSN":"0927796X","abstract":"Composite lead-free solders, containing micro and nano particles, have been widely studied. Due to grain boundary drag or Zener drag, these particles can refrain the solder microstructure from coarsening in services, especially for Cu6Sn5, Ag3Sn intermetallic compounds and the β-Sn phases. Due to dispersion hardening or dislocation drag, the mechanical properties of the composite solder alloys were enhanced significantly. Moreover, these particles can influence the rate of interfacial reactions, and some particles can transform into a layer of intermetallic compound. Wettability, creep resistance, and hardness properties were affected by these particles. A systematic review of the development of these lead-free composite solders is given here, which hopefully may find applications in microbumps to be used in the future 3D IC technology.","author":[{"dropping-particle":"","family":"Zhang","given":"Liang","non-dropping-particle":"","parse-names":false,"suffix":""},{"dropping-particle":"","family":"Tu","given":"K. N.","non-dropping-particle":"","parse-names":false,"suffix":""}],"container-title":"Materials Science and Engineering R: Reports","id":"ITEM-1","issued":{"date-parts":[["2014"]]},"title":"Structure and properties of lead-free solders bearing micro and nano particles","type":"article"},"uris":["http://www.mendeley.com/documents/?uuid=869cd0ba-c214-4ee6-8cd0-7c14ba79b91f"]},{"id":"ITEM-2","itemData":{"DOI":"10.1016/j.jallcom.2016.01.231","ISSN":"09258388","abstract":"This research has investigated the effects of indium on the intermetallic layer formation attributable to the reaction between low-Ag SAC0307-xIn lead-free solder and a Cu substrate, where x = 0, 0.5, 1.0, 1.5, 2.0, 2.5 and 3.0 wt%. This study has also examined the post-soldering and post-thermal aging interfacial layers. Morphology parameters were utilized to represent the shape of total intermetallic layer at the interface. The findings indicated that indium had no effect on the pre- and post-aging intermetallic layer overall thicknesses but lowered the Cu3Sn/Cu6Sn5 thickness ratio; and that the concentrations of indium exhibited no influence over the post-soldering and post-thermal aging morphology parameter values. In the experiments, the morphology parameter value decreased with increase in the aging time. In addition, the suppression effect of indium on the growth of Cu3Sn layer was evident in the post-thermal aging stage with the growth inversely correlated to the indium content. Discussion on the suppression mechanism of indium on the Cu3Sn formation is also provided herein.","author":[{"dropping-particle":"","family":"Kanlayasiri","given":"Kannachai","non-dropping-particle":"","parse-names":false,"suffix":""},{"dropping-particle":"","family":"Sukpimai","given":"Kamtorn","non-dropping-particle":"","parse-names":false,"suffix":""}],"container-title":"Journal of Alloys and Compounds","id":"ITEM-2","issued":{"date-parts":[["2016"]]},"title":"Effects of indium on the intermetallic layer between low-Ag SAC0307-xIn lead-free solders and Cu substrate","type":"article-journal"},"uris":["http://www.mendeley.com/documents/?uuid=b4866853-7a92-47f8-b4b6-84d4cca0378f"]},{"id":"ITEM-3","itemData":{"DOI":"10.1007/s11837-015-1595-1","ISBN":"1047-4838, 1543-1851","ISSN":"15431851","abstract":"Thermal fatigue is a major source of failure of solder joints in surface mount electronic components and it is critically important in high reliability applications such as telecommunication, military, and aeronautics. The electronic packaging industry has seen an increase in the number of Pb-free solder alloy choices beyond the common near-eutectic Sn-Ag-Cu alloys first established as replacements for eutectic SnPb. This paper discusses the results from Pb-free solder joint reliability programs sponsored by two industry consortia. The characteristic life in accelerated thermal cycling is reported for 12 different Pb-free solder alloys and a SnPb control in 9 different accelerated thermal cycling test profiles in terms of the effects of component type, accelerated thermal cycling profile and dwell time. Microstructural analysis on assembled and failed samples was performed to investigate the effect of initial microstructure and its evolution during accelerated thermal cycling test. A significant finding from the study is that the beneficial effect of Ag on accelerated thermal cycling reliability (measured by characteristic lifetime) diminishes as the severity of the accelerated thermal cycling, defined by greater ΔT, higher peak temperature, and longer dwell time increases. The results also indicate that all the Pb-free solders are more reliable in accelerated thermal cycling than the SnPb alloy they have replaced. Suggestions are made for future work, particularly with respect to the continued evolution of alloy development for emerging application requirements and the value of using advanced analytical methods to provide a better understanding of the effect of microstructure and its evolution on accelerated thermal cycling performance.","author":[{"dropping-particle":"","family":"Coyle","given":"Richard J.","non-dropping-particle":"","parse-names":false,"suffix":""},{"dropping-particle":"","family":"Sweatman","given":"Keith","non-dropping-particle":"","parse-names":false,"suffix":""},{"dropping-particle":"","family":"Arfaei","given":"Babak","non-dropping-particle":"","parse-names":false,"suffix":""}],"container-title":"JOM","id":"ITEM-3","issue":"10","issued":{"date-parts":[["2015"]]},"page":"2394-2415","title":"Thermal Fatigue Evaluation of Pb-Free Solder Joints: Results, Lessons Learned, and Future Trends","type":"article-journal","volume":"67"},"uris":["http://www.mendeley.com/documents/?uuid=05483a49-a0eb-4da5-9f46-2f332369b6ff"]},{"id":"ITEM-4","itemData":{"author":[{"dropping-particle":"","family":"Schueller","given":"Randy","non-dropping-particle":"","parse-names":false,"suffix":""},{"dropping-particle":"","family":"Ph","given":"D","non-dropping-particle":"","parse-names":false,"suffix":""},{"dropping-particle":"","family":"Blattau","given":"Nathan","non-dropping-particle":"","parse-names":false,"suffix":""},{"dropping-particle":"","family":"Ph","given":"D","non-dropping-particle":"","parse-names":false,"suffix":""},{"dropping-particle":"","family":"Arnold","given":"Joelle","non-dropping-particle":"","parse-names":false,"suffix":""},{"dropping-particle":"","family":"Hillman","given":"Craig","non-dropping-particle":"","parse-names":false,"suffix":""},{"dropping-particle":"","family":"Ph","given":"D","non-dropping-particle":"","parse-names":false,"suffix":""},{"dropping-particle":"","family":"Park","given":"College","non-dropping-particle":"","parse-names":false,"suffix":""}],"id":"ITEM-4","issued":{"date-parts":[["2003"]]},"title":"SECOND GENERATION Pb-FREE ALLOYS","type":"article-journal"},"uris":["http://www.mendeley.com/documents/?uuid=72a2437b-e6d4-4cb6-8cde-04b8dedd72f7"]},{"id":"ITEM-5","itemData":{"DOI":"10.1007/s00706-005-0377-9","ISSN":"00269247","abstract":"For environmental reasons, lead has to be removed from solder alloys used for interconnection purposes in electronics equipment. A new series of alloys, mainly based upon tin, and often containing copper and silver, has been evolved by empirical reasoning. A more theoretical approach is now being pursued, using thermodynamic principles, to produce the second generation of solder alloys. The paper outlines the soldering process, the requirements of solder alloys, and the various mechanisms (such as overload, fatigue, creep, and thermomechanical fatigue) that are potential causes of failure in service. It also describes from the manufacturing and the performance perspectives, the physical and mechanical properties necessary for reliable solder joints. These include conductivity, melting point, strength, ductility, and thermal stability of microstructure. The challenging question is posed as to how can thermodynamics contribute to prescribing and developing an improved series of alloys? © Springer-Verlag 2005.","author":[{"dropping-particle":"","family":"Plumbridge","given":"William J.","non-dropping-particle":"","parse-names":false,"suffix":""}],"container-title":"Monatshefte fur Chemie","id":"ITEM-5","issued":{"date-parts":[["2005"]]},"title":"Second generation lead-free solder alloys - A challenge to thermodynamics","type":"paper-conference"},"uris":["http://www.mendeley.com/documents/?uuid=e9ef9ef4-ead6-4469-b025-35766168cb28"]}],"mendeley":{"formattedCitation":"[16]–[20]","plainTextFormattedCitation":"[16]–[20]","previouslyFormattedCitation":"[16]–[20]"},"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[16]–[20]</w:t>
      </w:r>
      <w:r w:rsidR="007F7F57" w:rsidRPr="002F4E96">
        <w:rPr>
          <w:rFonts w:ascii="Times New Roman" w:hAnsi="Times New Roman" w:cs="Times New Roman"/>
        </w:rPr>
        <w:fldChar w:fldCharType="end"/>
      </w:r>
      <w:r w:rsidR="00FD56D9" w:rsidRPr="002F4E96">
        <w:rPr>
          <w:rFonts w:ascii="Times New Roman" w:hAnsi="Times New Roman" w:cs="Times New Roman"/>
        </w:rPr>
        <w:t xml:space="preserve">. </w:t>
      </w:r>
      <w:r w:rsidR="007F7F57" w:rsidRPr="002F4E96">
        <w:rPr>
          <w:rFonts w:ascii="Times New Roman" w:hAnsi="Times New Roman" w:cs="Times New Roman"/>
        </w:rPr>
        <w:t xml:space="preserve"> Amongst the lead-free solders </w:t>
      </w:r>
      <w:r w:rsidR="00B0129A" w:rsidRPr="002F4E96">
        <w:rPr>
          <w:rFonts w:ascii="Times New Roman" w:hAnsi="Times New Roman" w:cs="Times New Roman"/>
        </w:rPr>
        <w:t xml:space="preserve">available are </w:t>
      </w:r>
      <w:r w:rsidR="007F7F57" w:rsidRPr="002F4E96">
        <w:rPr>
          <w:rFonts w:ascii="Times New Roman" w:hAnsi="Times New Roman" w:cs="Times New Roman"/>
        </w:rPr>
        <w:t>Sn-Ag and Sn-Ag-Cu (</w:t>
      </w:r>
      <w:r w:rsidR="00F54AE7" w:rsidRPr="002F4E96">
        <w:rPr>
          <w:rFonts w:ascii="Times New Roman" w:hAnsi="Times New Roman" w:cs="Times New Roman"/>
        </w:rPr>
        <w:t>SAC</w:t>
      </w:r>
      <w:r w:rsidR="007F7F57" w:rsidRPr="002F4E96">
        <w:rPr>
          <w:rFonts w:ascii="Times New Roman" w:hAnsi="Times New Roman" w:cs="Times New Roman"/>
        </w:rPr>
        <w:t>) based solders</w:t>
      </w:r>
      <w:r w:rsidR="00B0129A" w:rsidRPr="002F4E96">
        <w:rPr>
          <w:rFonts w:ascii="Times New Roman" w:hAnsi="Times New Roman" w:cs="Times New Roman"/>
        </w:rPr>
        <w:t xml:space="preserve">. These </w:t>
      </w:r>
      <w:r w:rsidR="007F7F57" w:rsidRPr="002F4E96">
        <w:rPr>
          <w:rFonts w:ascii="Times New Roman" w:hAnsi="Times New Roman" w:cs="Times New Roman"/>
        </w:rPr>
        <w:t xml:space="preserve">offer promising characteristics as replacement of lead-based eutectic solder </w:t>
      </w:r>
      <w:r w:rsidR="007F7F57"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{"citationItems":[{"id":"ITEM-1","itemData":{"DOI":"10.3901/CJME.2011.03.428","ISSN":"10009345","abstract":"The solder joint reliability of quad flat non-lead (QFN) package, which has become very popular over the past few years, has received intense interest. The finite element method (FEM) is essential to evaluate the reliability of QFN device. In this paper, Garofalo-Arrheninus model was implemented to simulate the deformation of QFN soldered joints. Equivalent creep strain of the soldered joints was calculated by means of finite element analyses, and was used to evaluate the reliability of QFN packages. It is found that the critical soldered joint of QFN is located the package corner while the maximum creep strain is obtained at the top interface of peripheral soldered joint. The creep strain is provided with periodicity and additivity as the thermal cycling. Nonlinear analysis of QFN package with different lead counts was presented as well, in which the phenomenon that the value of induced creep strain arise as the package size decreasing is noted. Moreover, SnPb and two lead-free solders, namely, Sn3.5Ag/Sn3.8Ag0.7Cu, were both taken into consideration. Simulated results indicate that the creep strain value of lead-free soldered joints is lower than that of SnPb soldered joints, which can be attributed to the difference of stiffness and coefficient of thermal expansion among three solders. Garofalo-Arrheninus model is used to calculate the creep strain of the QFN device for the first time in this study. The results provide an important basis for evaluating the reliability of QFN package. Copyright © 2011 Chinese Journal of Mechanical Engineering.","author":[{"dropping-particle":"","family":"Ji","given":"Feng","non-dropping-particle":"","parse-names":false,"suffix":""},{"dropping-particle":"","family":"Xue","given":"Songbai","non-dropping-particle":"","parse-names":false,"suffix":""},{"dropping-particle":"","family":"Zhang","given":"Liang","non-dropping-particle":"","parse-names":false,"suffix":""},{"dropping-particle":"","family":"Gao","given":"Lili","non-dropping-particle":"","parse-names":false,"suffix":""},{"dropping-particle":"","family":"Sheng","given":"Zhong","non-dropping-particle":"","parse-names":false,"suffix":""},{"dropping-particle":"","family":"Dai","given":"Wei","non-dropping-particle":"","parse-names":false,"suffix":""}],"container-title":"Chinese Journal of Mechanical Engineering (English Edition)","id":"ITEM-1","issued":{"date-parts":[["2011"]]},"title":"Reliability evaluation of QFN devices soldered joints with creep model","type":"article-journal"},"uris":["http://www.mendeley.com/documents/?uuid=0234999d-d52a-406a-98f1-08be5cdb8806"]},{"id":"ITEM-2","itemData":{"DOI":"10.1007/s10854-015-3606-y","ISSN":"1573482X","abstract":"The wettability of Sn3.0Ag0.5Cu on copper substrate with different reflow temperature was studied. The growth mechanism of intermetallic compound (IMC) and mechanical properties were also investigated under isothermal aging condition at 125, 150 and 175 °C with different aging time. The results showed that, with the reflow temperature increasing, the spreading area of Sn3.0Ag0.5Cu lead-free solder increased. The morphology of IMC formed at Sn3.0Ag0.5Cu/Cu interface was gradually changed from scallop-type to planar-type, and the thickness of IMC was increased with the aging temperature and aging time. Meanwhile, the IMC growth rate increased with aging temperature but decreased with aging time. In addition, the mechanical properties of solder joints with different isothermal aging decreased with increasing aging time. In the initial stage of isothermal aging, the mechanical properties of solder joints decreased rapidly, then the rate of decline became stabilized.","author":[{"dropping-particle":"","family":"Sun","given":"Lei","non-dropping-particle":"","parse-names":false,"suffix":""},{"dropping-particle":"","family":"Zhang","given":"Liang","non-dropping-particle":"","parse-names":false,"suffix":""},{"dropping-particle":"","family":"Zhong","given":"Su juan","non-dropping-particle":"","parse-names":false,"suffix":""},{"dropping-particle":"","family":"Ma","given":"Jia","non-dropping-particle":"","parse-names":false,"suffix":""},{"dropping-particle":"","family":"Bao","given":"Li","non-dropping-particle":"","parse-names":false,"suffix":""}],"container-title":"Journal of Materials Science: Materials in Electronics","id":"ITEM-2","issue":"11","issued":{"date-parts":[["2015"]]},"page":"9164-9170","publisher":"Springer US","title":"Reliability study of industry Sn3.0Ag0.5Cu/Cu lead-free soldered joints in electronic packaging","type":"article-journal","volume":"26"},"uris":["http://www.mendeley.com/documents/?uuid=f05584ec-4781-4055-901d-3c86990e3e85"]}],"mendeley":{"formattedCitation":"[21], [22]","plainTextFormattedCitation":"[21], [22]","previouslyFormattedCitation":"[21], [22]"},"properties":{"noteIndex":0},"schema":"https://github.com/citation-style-language/schema/raw/master/csl-citation.json"}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[21], [22]</w:t>
      </w:r>
      <w:r w:rsidR="007F7F57" w:rsidRPr="002F4E96">
        <w:rPr>
          <w:rFonts w:ascii="Times New Roman" w:hAnsi="Times New Roman" w:cs="Times New Roman"/>
        </w:rPr>
        <w:fldChar w:fldCharType="end"/>
      </w:r>
      <w:r w:rsidR="007F7F57" w:rsidRPr="002F4E96">
        <w:rPr>
          <w:rFonts w:ascii="Times New Roman" w:hAnsi="Times New Roman" w:cs="Times New Roman"/>
        </w:rPr>
        <w:t xml:space="preserve">. </w:t>
      </w:r>
    </w:p>
    <w:p w14:paraId="24C1539D" w14:textId="77BE19ED" w:rsidR="00BF68D7" w:rsidRPr="002F4E96" w:rsidRDefault="007F7F57" w:rsidP="007F7F57">
      <w:pPr>
        <w:spacing w:before="125" w:line="360" w:lineRule="auto"/>
        <w:ind w:right="38"/>
        <w:jc w:val="both"/>
        <w:rPr>
          <w:rFonts w:ascii="Times New Roman" w:hAnsi="Times New Roman" w:cs="Times New Roman"/>
        </w:rPr>
      </w:pPr>
      <w:r w:rsidRPr="002F4E96">
        <w:rPr>
          <w:rFonts w:ascii="Times New Roman" w:hAnsi="Times New Roman" w:cs="Times New Roman"/>
        </w:rPr>
        <w:lastRenderedPageBreak/>
        <w:t xml:space="preserve">An extensive understanding of the </w:t>
      </w:r>
      <w:r w:rsidR="00791A3D" w:rsidRPr="002F4E96">
        <w:rPr>
          <w:rFonts w:ascii="Times New Roman" w:hAnsi="Times New Roman" w:cs="Times New Roman"/>
        </w:rPr>
        <w:t>critical</w:t>
      </w:r>
      <w:r w:rsidR="002E453A" w:rsidRPr="002F4E96">
        <w:rPr>
          <w:rFonts w:ascii="Times New Roman" w:hAnsi="Times New Roman" w:cs="Times New Roman"/>
        </w:rPr>
        <w:t xml:space="preserve"> damage drivers of </w:t>
      </w:r>
      <w:r w:rsidR="00791A3D" w:rsidRPr="002F4E96">
        <w:rPr>
          <w:rFonts w:ascii="Times New Roman" w:hAnsi="Times New Roman" w:cs="Times New Roman"/>
        </w:rPr>
        <w:t>a BGA package's thermal fatigue failure</w:t>
      </w:r>
      <w:r w:rsidR="002E453A" w:rsidRPr="002F4E96">
        <w:rPr>
          <w:rFonts w:ascii="Times New Roman" w:hAnsi="Times New Roman" w:cs="Times New Roman"/>
        </w:rPr>
        <w:t xml:space="preserve"> is </w:t>
      </w:r>
      <w:r w:rsidR="00B0129A" w:rsidRPr="002F4E96">
        <w:rPr>
          <w:rFonts w:ascii="Times New Roman" w:hAnsi="Times New Roman" w:cs="Times New Roman"/>
        </w:rPr>
        <w:t xml:space="preserve">crucial in </w:t>
      </w:r>
      <w:r w:rsidR="002E453A" w:rsidRPr="002F4E96">
        <w:rPr>
          <w:rFonts w:ascii="Times New Roman" w:hAnsi="Times New Roman" w:cs="Times New Roman"/>
        </w:rPr>
        <w:t xml:space="preserve">accurately predicting the </w:t>
      </w:r>
      <w:r w:rsidR="00A55C74" w:rsidRPr="002F4E96">
        <w:rPr>
          <w:rFonts w:ascii="Times New Roman" w:hAnsi="Times New Roman" w:cs="Times New Roman"/>
        </w:rPr>
        <w:t>package's life</w:t>
      </w:r>
      <w:r w:rsidR="002E453A" w:rsidRPr="002F4E96">
        <w:rPr>
          <w:rFonts w:ascii="Times New Roman" w:hAnsi="Times New Roman" w:cs="Times New Roman"/>
        </w:rPr>
        <w:t xml:space="preserve"> and preventing </w:t>
      </w:r>
      <w:r w:rsidR="00B0129A" w:rsidRPr="002F4E96">
        <w:rPr>
          <w:rFonts w:ascii="Times New Roman" w:hAnsi="Times New Roman" w:cs="Times New Roman"/>
        </w:rPr>
        <w:t>catastrophe</w:t>
      </w:r>
      <w:r w:rsidRPr="002F4E96">
        <w:rPr>
          <w:rFonts w:ascii="Times New Roman" w:hAnsi="Times New Roman" w:cs="Times New Roman"/>
        </w:rPr>
        <w:t xml:space="preserve"> </w:t>
      </w:r>
      <w:r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{"citationItems":[{"id":"ITEM-1","itemData":{"DOI":"10.1108/eb037718","ISSN":"09540911","abstract":"Solder joint long-term reliability is an ultimate requirement for electronics packaging. Solder joint failure, however, can involve complex mechanisms. One of many basic failure processes in metals/alloys is the creep phenomenon. Creep is defined as a time-dependent deformation when a material is subjected to a stress for a prolonged period of time. This time-dependent deformation can theoretically occur at any temperature above absolute zero. However, creep-dominant failure normally occurs under high temperature in relation to the melting point of the material. Common solders are low temperature alloys with melting point or tiquidus/solidus temperature in the range of 120-320°C. Therefore a detectable creep process under low level of mechanical load is expected even at ambient temperature. This paper presents the preliminary data on the comparative creep rate of twenty-two common solder alloys and attempts to correlate the creep rate to the tensile strength, modulus, melting point and microstructure of alloys. The alloys under study include Sn/Pb, Sn/Pb/Ag, Sn/Ag, Sn/Sb, Sn/Pb/Bi, Sn/Pb/Sb, Sn/Bi, Sn/ln, and Pb/ln systems. This paper also discusses the proposed mechanisms for solder creep phenomena. It is hoped that the data in this work will provide additional fundamental mechanical properties of various solder alloys, which are much needed to facilitate the design of reliable solder joint structure. © 1990, MCB UP Limited","author":[{"dropping-particle":"","family":"Hwang","given":"J. S.","non-dropping-particle":"","parse-names":false,"suffix":""},{"dropping-particle":"","family":"Vargas","given":"R. M.","non-dropping-particle":"","parse-names":false,"suffix":""}],"container-title":"Soldering &amp; Surface Mount Technology","id":"ITEM-1","issue":"2","issued":{"date-parts":[["1990"]]},"page":"38-45","title":"Solder joint reliability—can solder creep?","type":"article-journal","volume":"2"},"uris":["http://www.mendeley.com/documents/?uuid=8d3c2985-a806-444e-9a63-2f4933b53651"]}],"mendeley":{"formattedCitation":"[23]","plainTextFormattedCitation":"[23]","previouslyFormattedCitation":"[23]"},"properties":{"noteIndex":0},"schema":"https://github.com/citation-style-language/schema/raw/master/csl-citation.json"}</w:instrText>
      </w:r>
      <w:r w:rsidRPr="002F4E96">
        <w:rPr>
          <w:rFonts w:ascii="Times New Roman" w:hAnsi="Times New Roman" w:cs="Times New Roman"/>
        </w:rPr>
        <w:fldChar w:fldCharType="separate"/>
      </w:r>
      <w:r w:rsidR="00601167" w:rsidRPr="002F4E96">
        <w:rPr>
          <w:rFonts w:ascii="Times New Roman" w:hAnsi="Times New Roman" w:cs="Times New Roman"/>
          <w:noProof/>
        </w:rPr>
        <w:t>[23]</w:t>
      </w:r>
      <w:r w:rsidRPr="002F4E96">
        <w:rPr>
          <w:rFonts w:ascii="Times New Roman" w:hAnsi="Times New Roman" w:cs="Times New Roman"/>
        </w:rPr>
        <w:fldChar w:fldCharType="end"/>
      </w:r>
      <w:r w:rsidR="00B0129A" w:rsidRPr="002F4E96">
        <w:rPr>
          <w:rFonts w:ascii="Times New Roman" w:hAnsi="Times New Roman" w:cs="Times New Roman"/>
        </w:rPr>
        <w:t xml:space="preserve"> in systems where they are used. </w:t>
      </w:r>
    </w:p>
    <w:p w14:paraId="439E3A44" w14:textId="0053C050" w:rsidR="00A33CE9" w:rsidRPr="002F4E96" w:rsidRDefault="00A33CE9"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t>1.3</w:t>
      </w:r>
      <w:r w:rsidR="008F3167" w:rsidRPr="002F4E96">
        <w:rPr>
          <w:rFonts w:ascii="Times New Roman" w:hAnsi="Times New Roman" w:cs="Times New Roman"/>
          <w:color w:val="auto"/>
          <w:sz w:val="22"/>
          <w:szCs w:val="22"/>
        </w:rPr>
        <w:t xml:space="preserve"> </w:t>
      </w:r>
      <w:r w:rsidRPr="002F4E96">
        <w:rPr>
          <w:rFonts w:ascii="Times New Roman" w:hAnsi="Times New Roman" w:cs="Times New Roman"/>
          <w:color w:val="auto"/>
          <w:sz w:val="22"/>
          <w:szCs w:val="22"/>
        </w:rPr>
        <w:t>Damage parameters and life prediction models</w:t>
      </w:r>
    </w:p>
    <w:p w14:paraId="55BECF23" w14:textId="4479DBB3" w:rsidR="00742C05" w:rsidRPr="002F4E96" w:rsidRDefault="00742C05" w:rsidP="000D7411">
      <w:pPr>
        <w:spacing w:line="360" w:lineRule="auto"/>
        <w:jc w:val="both"/>
        <w:rPr>
          <w:rFonts w:ascii="Times New Roman" w:hAnsi="Times New Roman" w:cs="Times New Roman"/>
        </w:rPr>
      </w:pPr>
      <w:r w:rsidRPr="002F4E96">
        <w:rPr>
          <w:rFonts w:ascii="Times New Roman" w:hAnsi="Times New Roman" w:cs="Times New Roman"/>
        </w:rPr>
        <w:t xml:space="preserve">The </w:t>
      </w:r>
      <w:r w:rsidR="00791A3D" w:rsidRPr="002F4E96">
        <w:rPr>
          <w:rFonts w:ascii="Times New Roman" w:hAnsi="Times New Roman" w:cs="Times New Roman"/>
        </w:rPr>
        <w:t>critical</w:t>
      </w:r>
      <w:r w:rsidRPr="002F4E96">
        <w:rPr>
          <w:rFonts w:ascii="Times New Roman" w:hAnsi="Times New Roman" w:cs="Times New Roman"/>
        </w:rPr>
        <w:t xml:space="preserve"> damage parameters include plastic strain, shear strain, plastic shear strain</w:t>
      </w:r>
      <w:r w:rsidR="00791A3D" w:rsidRPr="002F4E96">
        <w:rPr>
          <w:rFonts w:ascii="Times New Roman" w:hAnsi="Times New Roman" w:cs="Times New Roman"/>
        </w:rPr>
        <w:t>,</w:t>
      </w:r>
      <w:r w:rsidRPr="002F4E96">
        <w:rPr>
          <w:rFonts w:ascii="Times New Roman" w:hAnsi="Times New Roman" w:cs="Times New Roman"/>
        </w:rPr>
        <w:t xml:space="preserve"> and creep energy density. </w:t>
      </w:r>
      <w:r w:rsidR="001C43F1" w:rsidRPr="002F4E96">
        <w:rPr>
          <w:rFonts w:ascii="Times New Roman" w:hAnsi="Times New Roman" w:cs="Times New Roman"/>
        </w:rPr>
        <w:t>They are derived</w:t>
      </w:r>
      <w:r w:rsidR="00DC019A" w:rsidRPr="002F4E96">
        <w:rPr>
          <w:rFonts w:ascii="Times New Roman" w:hAnsi="Times New Roman" w:cs="Times New Roman"/>
        </w:rPr>
        <w:t xml:space="preserve"> from solder joint properties and architecture. The specific properties of solder used in modelling the degradation </w:t>
      </w:r>
      <w:r w:rsidR="00791A3D" w:rsidRPr="002F4E96">
        <w:rPr>
          <w:rFonts w:ascii="Times New Roman" w:hAnsi="Times New Roman" w:cs="Times New Roman"/>
        </w:rPr>
        <w:t>are</w:t>
      </w:r>
      <w:r w:rsidR="00DC019A" w:rsidRPr="002F4E96">
        <w:rPr>
          <w:rFonts w:ascii="Times New Roman" w:hAnsi="Times New Roman" w:cs="Times New Roman"/>
        </w:rPr>
        <w:t xml:space="preserve"> the creep and visco-plastic properties. This is because they derive the degradation process. There are several creep models. Garofalo-Arrhenius creep model is used in this work because it has proven to the efficient. Anand model is used to simulate the visco-plastic accumulation in the solder joints. These models are embedded in the A</w:t>
      </w:r>
      <w:r w:rsidR="00D91679" w:rsidRPr="002F4E96">
        <w:rPr>
          <w:rFonts w:ascii="Times New Roman" w:hAnsi="Times New Roman" w:cs="Times New Roman"/>
        </w:rPr>
        <w:t>NSYS</w:t>
      </w:r>
      <w:r w:rsidR="00DC019A" w:rsidRPr="002F4E96">
        <w:rPr>
          <w:rFonts w:ascii="Times New Roman" w:hAnsi="Times New Roman" w:cs="Times New Roman"/>
        </w:rPr>
        <w:t xml:space="preserve"> </w:t>
      </w:r>
      <w:r w:rsidR="00490DFC" w:rsidRPr="002F4E96">
        <w:rPr>
          <w:rFonts w:ascii="Times New Roman" w:hAnsi="Times New Roman" w:cs="Times New Roman"/>
        </w:rPr>
        <w:t xml:space="preserve">Finite Element Package. Thus, the damage parameters magnitudes are </w:t>
      </w:r>
      <w:r w:rsidR="00DC019A" w:rsidRPr="002F4E96">
        <w:rPr>
          <w:rFonts w:ascii="Times New Roman" w:hAnsi="Times New Roman" w:cs="Times New Roman"/>
        </w:rPr>
        <w:t>usual</w:t>
      </w:r>
      <w:r w:rsidRPr="002F4E96">
        <w:rPr>
          <w:rFonts w:ascii="Times New Roman" w:hAnsi="Times New Roman" w:cs="Times New Roman"/>
        </w:rPr>
        <w:t xml:space="preserve">ly obtained from the </w:t>
      </w:r>
      <w:r w:rsidR="00A55C74" w:rsidRPr="002F4E96">
        <w:rPr>
          <w:rFonts w:ascii="Times New Roman" w:hAnsi="Times New Roman" w:cs="Times New Roman"/>
        </w:rPr>
        <w:t xml:space="preserve">assembled BGA package's finite element </w:t>
      </w:r>
      <w:r w:rsidR="00F43F2D" w:rsidRPr="002F4E96">
        <w:rPr>
          <w:rFonts w:ascii="Times New Roman" w:hAnsi="Times New Roman" w:cs="Times New Roman"/>
        </w:rPr>
        <w:t>model's output</w:t>
      </w:r>
      <w:r w:rsidRPr="002F4E96">
        <w:rPr>
          <w:rFonts w:ascii="Times New Roman" w:hAnsi="Times New Roman" w:cs="Times New Roman"/>
        </w:rPr>
        <w:t xml:space="preserve">.  </w:t>
      </w:r>
    </w:p>
    <w:p w14:paraId="412749F7" w14:textId="551EF6DD" w:rsidR="007F7F57" w:rsidRPr="002F4E96" w:rsidRDefault="00A47B92" w:rsidP="007F7F57">
      <w:pPr>
        <w:spacing w:line="360" w:lineRule="auto"/>
        <w:jc w:val="both"/>
        <w:rPr>
          <w:rFonts w:ascii="Times New Roman" w:hAnsi="Times New Roman" w:cs="Times New Roman"/>
        </w:rPr>
      </w:pPr>
      <w:r w:rsidRPr="002F4E96">
        <w:rPr>
          <w:rFonts w:ascii="Times New Roman" w:hAnsi="Times New Roman" w:cs="Times New Roman"/>
        </w:rPr>
        <w:t xml:space="preserve">Anand models are used in </w:t>
      </w:r>
      <w:r w:rsidR="00791A3D" w:rsidRPr="002F4E96">
        <w:rPr>
          <w:rFonts w:ascii="Times New Roman" w:hAnsi="Times New Roman" w:cs="Times New Roman"/>
        </w:rPr>
        <w:t xml:space="preserve">the </w:t>
      </w:r>
      <w:r w:rsidR="00273618" w:rsidRPr="002F4E96">
        <w:rPr>
          <w:rFonts w:ascii="Times New Roman" w:hAnsi="Times New Roman" w:cs="Times New Roman"/>
        </w:rPr>
        <w:t xml:space="preserve">ANSYS </w:t>
      </w:r>
      <w:r w:rsidRPr="002F4E96">
        <w:rPr>
          <w:rFonts w:ascii="Times New Roman" w:hAnsi="Times New Roman" w:cs="Times New Roman"/>
        </w:rPr>
        <w:t>FEA environment to determine the parameter</w:t>
      </w:r>
      <w:r w:rsidR="00273618" w:rsidRPr="002F4E96">
        <w:rPr>
          <w:rFonts w:ascii="Times New Roman" w:hAnsi="Times New Roman" w:cs="Times New Roman"/>
        </w:rPr>
        <w:t>s</w:t>
      </w:r>
      <w:r w:rsidRPr="002F4E96">
        <w:rPr>
          <w:rFonts w:ascii="Times New Roman" w:hAnsi="Times New Roman" w:cs="Times New Roman"/>
        </w:rPr>
        <w:t xml:space="preserve"> required </w:t>
      </w:r>
      <w:r w:rsidR="00F43F2D" w:rsidRPr="002F4E96">
        <w:rPr>
          <w:rFonts w:ascii="Times New Roman" w:hAnsi="Times New Roman" w:cs="Times New Roman"/>
        </w:rPr>
        <w:t>to input</w:t>
      </w:r>
      <w:r w:rsidRPr="002F4E96">
        <w:rPr>
          <w:rFonts w:ascii="Times New Roman" w:hAnsi="Times New Roman" w:cs="Times New Roman"/>
        </w:rPr>
        <w:t xml:space="preserve"> life prediction models such as the Engelmaier, Coffin-Manson, Solomon </w:t>
      </w:r>
      <w:r w:rsidR="007C5C6A" w:rsidRPr="002F4E96">
        <w:rPr>
          <w:rFonts w:ascii="Times New Roman" w:hAnsi="Times New Roman" w:cs="Times New Roman"/>
        </w:rPr>
        <w:t xml:space="preserve">(Low cycle Fatigue) </w:t>
      </w:r>
      <w:r w:rsidR="00B54EE8" w:rsidRPr="002F4E96">
        <w:rPr>
          <w:rFonts w:ascii="Times New Roman" w:hAnsi="Times New Roman" w:cs="Times New Roman"/>
        </w:rPr>
        <w:t xml:space="preserve">and </w:t>
      </w:r>
      <w:r w:rsidRPr="002F4E96">
        <w:rPr>
          <w:rFonts w:ascii="Times New Roman" w:hAnsi="Times New Roman" w:cs="Times New Roman"/>
        </w:rPr>
        <w:t xml:space="preserve">Syed </w:t>
      </w:r>
      <w:r w:rsidR="008F3167" w:rsidRPr="002F4E96">
        <w:rPr>
          <w:rFonts w:ascii="Times New Roman" w:hAnsi="Times New Roman" w:cs="Times New Roman"/>
        </w:rPr>
        <w:t xml:space="preserve">(Accumulated creep energy density) </w:t>
      </w:r>
      <w:r w:rsidRPr="002F4E96">
        <w:rPr>
          <w:rFonts w:ascii="Times New Roman" w:hAnsi="Times New Roman" w:cs="Times New Roman"/>
        </w:rPr>
        <w:t xml:space="preserve">to </w:t>
      </w:r>
      <w:r w:rsidR="007C5C6A" w:rsidRPr="002F4E96">
        <w:rPr>
          <w:rFonts w:ascii="Times New Roman" w:hAnsi="Times New Roman" w:cs="Times New Roman"/>
        </w:rPr>
        <w:t>determine</w:t>
      </w:r>
      <w:r w:rsidRPr="002F4E96">
        <w:rPr>
          <w:rFonts w:ascii="Times New Roman" w:hAnsi="Times New Roman" w:cs="Times New Roman"/>
        </w:rPr>
        <w:t xml:space="preserve"> the </w:t>
      </w:r>
      <w:r w:rsidR="007C5C6A" w:rsidRPr="002F4E96">
        <w:rPr>
          <w:rFonts w:ascii="Times New Roman" w:hAnsi="Times New Roman" w:cs="Times New Roman"/>
        </w:rPr>
        <w:t>fatigue life estimation</w:t>
      </w:r>
      <w:r w:rsidR="008F3167" w:rsidRPr="002F4E96">
        <w:rPr>
          <w:rFonts w:ascii="Times New Roman" w:hAnsi="Times New Roman" w:cs="Times New Roman"/>
        </w:rPr>
        <w:t xml:space="preserve"> </w:t>
      </w:r>
      <w:r w:rsidR="007C5C6A" w:rsidRPr="002F4E96">
        <w:rPr>
          <w:rFonts w:ascii="Times New Roman" w:hAnsi="Times New Roman" w:cs="Times New Roman"/>
        </w:rPr>
        <w:t xml:space="preserve">from </w:t>
      </w:r>
      <w:r w:rsidR="00F54AE7" w:rsidRPr="002F4E96">
        <w:rPr>
          <w:rFonts w:ascii="Times New Roman" w:hAnsi="Times New Roman" w:cs="Times New Roman"/>
        </w:rPr>
        <w:t>FEA</w:t>
      </w:r>
      <w:r w:rsidR="007C5C6A" w:rsidRPr="002F4E96">
        <w:rPr>
          <w:rFonts w:ascii="Times New Roman" w:hAnsi="Times New Roman" w:cs="Times New Roman"/>
        </w:rPr>
        <w:t xml:space="preserve"> simulation</w:t>
      </w:r>
      <w:r w:rsidRPr="002F4E96">
        <w:rPr>
          <w:rFonts w:ascii="Times New Roman" w:hAnsi="Times New Roman" w:cs="Times New Roman"/>
        </w:rPr>
        <w:t xml:space="preserve">. </w:t>
      </w:r>
      <w:r w:rsidR="009613AF" w:rsidRPr="002F4E96">
        <w:rPr>
          <w:rFonts w:ascii="Times New Roman" w:hAnsi="Times New Roman" w:cs="Times New Roman"/>
        </w:rPr>
        <w:t xml:space="preserve">The fatigue life of solder joint alloys under thermal cycling is generally predicted by applying life prediction models such as hyperbolic sine constitutive equation. The constitutive equation is a damage mechanism-based life prediction model. The principal damage mechanism for SnAgCu solder alloy materials during thermal cycling is creep, and it is utilised to simulate the material behaviour. Accordingly, the life prediction model must be based on creep deformation. The accumulated creep strain and strain energy density per cycle </w:t>
      </w:r>
      <w:r w:rsidR="00CE0770" w:rsidRPr="002F4E96">
        <w:rPr>
          <w:rFonts w:ascii="Times New Roman" w:hAnsi="Times New Roman" w:cs="Times New Roman"/>
        </w:rPr>
        <w:t>is shown and employed to predict</w:t>
      </w:r>
      <w:r w:rsidR="009613AF" w:rsidRPr="002F4E96">
        <w:rPr>
          <w:rFonts w:ascii="Times New Roman" w:hAnsi="Times New Roman" w:cs="Times New Roman"/>
        </w:rPr>
        <w:t xml:space="preserve"> the fatigue life of solder joints subjected to thermal cycling loading</w:t>
      </w:r>
      <w:r w:rsidR="00601167" w:rsidRPr="002F4E96">
        <w:rPr>
          <w:rFonts w:ascii="Times New Roman" w:hAnsi="Times New Roman" w:cs="Times New Roman"/>
        </w:rPr>
        <w:t xml:space="preserve"> </w:t>
      </w:r>
      <w:r w:rsidR="00601167" w:rsidRPr="002F4E96">
        <w:rPr>
          <w:rFonts w:ascii="Times New Roman" w:hAnsi="Times New Roman" w:cs="Times New Roman"/>
        </w:rPr>
        <w:fldChar w:fldCharType="begin" w:fldLock="1"/>
      </w:r>
      <w:r w:rsidR="00B219E2" w:rsidRPr="002F4E96">
        <w:rPr>
          <w:rFonts w:ascii="Times New Roman" w:hAnsi="Times New Roman" w:cs="Times New Roman"/>
        </w:rPr>
        <w:instrText>ADDIN CSL_CITATION {"citationItems":[{"id":"ITEM-1","itemData":{"DOI":"10.1109/ECTC.2004.1319419","ISBN":"0-7803-8365-6","author":[{"dropping-particle":"","family":"Syed","given":"A.","non-dropping-particle":"","parse-names":false,"suffix":""}],"container-title":"2004 Proceedings. 54th Electronic Components and Technology Conference (IEEE Cat. No.04CH37546)","id":"ITEM-1","issue":"February","issued":{"date-parts":[["2016"]]},"page":"737-746","title":"Accumulated creep strain and energy density based thermal fatigue life prediction models for SnAgCu solder joints","type":"article-journal"},"uris":["http://www.mendeley.com/documents/?uuid=c2f7d9a4-a7f7-4c12-89f5-5df519b71863"]},{"id":"ITEM-2","itemData":{"DOI":"10.1016/j.rcim.2016.12.008","ISSN":"07365845","abstract":"The soldering process of interconnecting crystalline silicon solar cells to form photovoltaic (PV) module is a key manufacturing process. However, during the soldering process, stress is induced in the solar cell solder joints and remains in the joint as residual stress after soldering. Furthermore, during the module service life time, thermo-mechanical degradation of the solder joints occurs due to thermal cycling of the joints which induce stress, creep strain and strain energy. The resultant effect of damage on the solder joint is premature failure, hence shortened fatigue life. This study seeks to determine accumulated thermo-mechanical damage and fatigue life of solder interconnection in solar cell assembly under thermo-mechanical cycling conditions. In this investigation, finite element modelling (FEM) and simulations are carried out in order to determine nonlinear degradation of SnAgCu solder joints. The degradation of the solder material is simulated using Garofalo-Arrhenius creep model. A three dimensional (3D) geometric model is subjected to six accelerated thermal cycles (ATCs) utilising IEC 61215 standard for photovoltaic panels. The results demonstrate that induced stress, strain and strain energy impacts the solder joints during operations. Furthermore, the larger the accumulated creep strain and creep strain energy in the joints, the shorter the fatigue life. This indicates that creep strain and creep strain energy in the solder joints significantly impacts the thermo-mechanical reliability of the assembly joints. Regions of solder joint with critical stress, strain and strain energy values including their distribution are determined. Analysis of results demonstrates that creep energy density is a better parameter than creep strain in predicting interconnection fatigue life. The use of six ATCs yields significant data which enable better understanding of the response of the solder joints to the induced loads. Moreover, information obtained from this study can be used for improved design and better-quality fabrication of solder interconnections in solar cell assembly for enhanced thermo-mechanical reliability.","author":[{"dropping-particle":"","family":"Zarmai","given":"Musa T.","non-dropping-particle":"","parse-names":false,"suffix":""},{"dropping-particle":"","family":"Ekere","given":"N. N.","non-dropping-particle":"","parse-names":false,"suffix":""},{"dropping-particle":"","family":"Oduoza","given":"C. F.","non-dropping-particle":"","parse-names":false,"suffix":""},{"dropping-particle":"","family":"Amalu","given":"Emeka H.","non-dropping-particle":"","parse-names":false,"suffix":""}],"container-title":"Robotics and Computer-Integrated Manufacturing","id":"ITEM-2","issue":"December 2015","issued":{"date-parts":[["2017"]]},"page":"37-43","publisher":"Elsevier Ltd","title":"Evaluation of thermo-mechanical damage and fatigue life of solar cell solder interconnections","type":"article-journal","volume":"47"},"uris":["http://www.mendeley.com/documents/?uuid=39e0debd-4df4-4205-b552-91a2dcc7dafc"]}],"mendeley":{"formattedCitation":"[24], [25]","plainTextFormattedCitation":"[24], [25]","previouslyFormattedCitation":"[24], [25]"},"properties":{"noteIndex":0},"schema":"https://github.com/citation-style-language/schema/raw/master/csl-citation.json"}</w:instrText>
      </w:r>
      <w:r w:rsidR="00601167" w:rsidRPr="002F4E96">
        <w:rPr>
          <w:rFonts w:ascii="Times New Roman" w:hAnsi="Times New Roman" w:cs="Times New Roman"/>
        </w:rPr>
        <w:fldChar w:fldCharType="separate"/>
      </w:r>
      <w:r w:rsidR="00601167" w:rsidRPr="002F4E96">
        <w:rPr>
          <w:rFonts w:ascii="Times New Roman" w:hAnsi="Times New Roman" w:cs="Times New Roman"/>
          <w:noProof/>
        </w:rPr>
        <w:t>[24], [25]</w:t>
      </w:r>
      <w:r w:rsidR="00601167" w:rsidRPr="002F4E96">
        <w:rPr>
          <w:rFonts w:ascii="Times New Roman" w:hAnsi="Times New Roman" w:cs="Times New Roman"/>
        </w:rPr>
        <w:fldChar w:fldCharType="end"/>
      </w:r>
      <w:r w:rsidR="007F7F57" w:rsidRPr="002F4E96">
        <w:rPr>
          <w:rFonts w:ascii="Times New Roman" w:hAnsi="Times New Roman" w:cs="Times New Roman"/>
        </w:rPr>
        <w:t xml:space="preserve">. According to </w:t>
      </w:r>
      <w:r w:rsidR="00791A3D" w:rsidRPr="002F4E96">
        <w:rPr>
          <w:rFonts w:ascii="Times New Roman" w:hAnsi="Times New Roman" w:cs="Times New Roman"/>
        </w:rPr>
        <w:t>various</w:t>
      </w:r>
      <w:r w:rsidR="007F7F57" w:rsidRPr="002F4E96">
        <w:rPr>
          <w:rFonts w:ascii="Times New Roman" w:hAnsi="Times New Roman" w:cs="Times New Roman"/>
        </w:rPr>
        <w:t xml:space="preserve"> mechanical parameters, fatigue life prediction models of solder joints can be divided into five categories: stress, plastic strain, creep strain, energy and cumulative damage. </w:t>
      </w:r>
      <w:r w:rsidR="00541376" w:rsidRPr="002F4E96">
        <w:rPr>
          <w:rFonts w:ascii="Times New Roman" w:hAnsi="Times New Roman" w:cs="Times New Roman"/>
        </w:rPr>
        <w:t>Comparative</w:t>
      </w:r>
      <w:r w:rsidR="00E20E4B" w:rsidRPr="002F4E96">
        <w:rPr>
          <w:rFonts w:ascii="Times New Roman" w:hAnsi="Times New Roman" w:cs="Times New Roman"/>
        </w:rPr>
        <w:t xml:space="preserve"> research of fourteen (14) various fatigue life prediction models and their </w:t>
      </w:r>
      <w:r w:rsidR="00541376" w:rsidRPr="002F4E96">
        <w:rPr>
          <w:rFonts w:ascii="Times New Roman" w:hAnsi="Times New Roman" w:cs="Times New Roman"/>
        </w:rPr>
        <w:t>relative</w:t>
      </w:r>
      <w:r w:rsidR="00E20E4B" w:rsidRPr="002F4E96">
        <w:rPr>
          <w:rFonts w:ascii="Times New Roman" w:hAnsi="Times New Roman" w:cs="Times New Roman"/>
        </w:rPr>
        <w:t xml:space="preserve"> benefits and limitations are presented in the authors’ publication </w:t>
      </w:r>
      <w:r w:rsidR="007F7F57"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{"citationItems":[{"id":"ITEM-1","itemData":{"DOI":"10.1080/2374068X.2020.1751514","ISSN":"23740698","abstract":"Solder joints play a critical role in electronic devices by providing electrical, mechanical and thermal interconnections. These miniature joints are also the weakest links in an electronic device. Under severe thermal and mechanical loadings, solder joints could fail in ‘tensile fracture, fatigue failure and creep failure. This paper reviews the literature on solder joint failures under thermo-mechanical loading conditions, with a particular emphasis on fatigue and creep failures. Literature reviews mainly focused on commonly used lead-free Sn-Ag-Cu (SAC) solders. Based on the literature in experimental and simulation studies on solder joints, it was found that fatigue failures are widely induced by accelerated thermal cycling (ATC). During ATC, the mismatch in coefficients of thermal expansion (CTE) between different elements of electronics assembly contributes significantly to induce thermal stresses on solder joints. The fatigue life of solder joints is predicted based on phenomenological fatigue models that utilise materials properties as inputs. A comparative study of 14 different fatigue life prediction models is presented with their relative advantages, scope and limitations. A critical review of various creep models is presented. Finally, the paper outlined the combined effect of creep and fatigue on solder joint failure.","author":[{"dropping-particle":"","family":"Depiver","given":"Joshua a.","non-dropping-particle":"","parse-names":false,"suffix":""},{"dropping-particle":"","family":"Mallik","given":"Sabuj","non-dropping-particle":"","parse-names":false,"suffix":""},{"dropping-particle":"","family":"Harmanto","given":"Dani","non-dropping-particle":"","parse-names":false,"suffix":""}],"container-title":"Advances in Materials and Processing Technologies","id":"ITEM-1","issued":{"date-parts":[["2020"]]},"title":"Solder joint failures under thermo-mechanical loading conditions–A review","type":"article"},"uris":["http://www.mendeley.com/documents/?uuid=3f03ea02-2832-42fd-b585-599b62bddd2f"]}],"mendeley":{"formattedCitation":"[26]","plainTextFormattedCitation":"[26]","previouslyFormattedCitation":"[26]"},"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[26]</w:t>
      </w:r>
      <w:r w:rsidR="007F7F57" w:rsidRPr="002F4E96">
        <w:rPr>
          <w:rFonts w:ascii="Times New Roman" w:hAnsi="Times New Roman" w:cs="Times New Roman"/>
        </w:rPr>
        <w:fldChar w:fldCharType="end"/>
      </w:r>
      <w:r w:rsidR="007F7F57" w:rsidRPr="002F4E96">
        <w:rPr>
          <w:rFonts w:ascii="Times New Roman" w:hAnsi="Times New Roman" w:cs="Times New Roman"/>
        </w:rPr>
        <w:t>. Additionally, the creep response on solder joint</w:t>
      </w:r>
      <w:r w:rsidR="007F7F57" w:rsidRPr="002F4E96">
        <w:rPr>
          <w:rFonts w:ascii="Times New Roman" w:hAnsi="Times New Roman" w:cs="Times New Roman"/>
          <w:bCs/>
        </w:rPr>
        <w:t xml:space="preserve"> was also investigated by Depiver et al.</w:t>
      </w:r>
      <w:r w:rsidR="00791A3D" w:rsidRPr="002F4E96">
        <w:rPr>
          <w:rFonts w:ascii="Times New Roman" w:hAnsi="Times New Roman" w:cs="Times New Roman"/>
          <w:bCs/>
        </w:rPr>
        <w:t>,</w:t>
      </w:r>
      <w:r w:rsidR="007F7F57" w:rsidRPr="002F4E96">
        <w:rPr>
          <w:rFonts w:ascii="Times New Roman" w:hAnsi="Times New Roman" w:cs="Times New Roman"/>
          <w:bCs/>
        </w:rPr>
        <w:t xml:space="preserve"> describing the thermo-mechanical properties and the creep parameters of solders of </w:t>
      </w:r>
      <w:r w:rsidR="007F7F57" w:rsidRPr="002F4E96">
        <w:rPr>
          <w:rFonts w:ascii="Times New Roman" w:hAnsi="Times New Roman" w:cs="Times New Roman"/>
        </w:rPr>
        <w:t>lead-based eutectic Sn63Pb37 and lead-free</w:t>
      </w:r>
      <w:r w:rsidR="007F7F57" w:rsidRPr="002F4E96">
        <w:rPr>
          <w:rFonts w:ascii="Times New Roman" w:hAnsi="Times New Roman" w:cs="Times New Roman"/>
          <w:bCs/>
        </w:rPr>
        <w:t xml:space="preserve"> SnAgCu: SAC305, SAC387, SAC396 and SAC405) </w:t>
      </w:r>
      <w:r w:rsidR="007F7F57" w:rsidRPr="002F4E96">
        <w:rPr>
          <w:rFonts w:ascii="Times New Roman" w:hAnsi="Times New Roman" w:cs="Times New Roman"/>
          <w:bCs/>
        </w:rPr>
        <w:fldChar w:fldCharType="begin" w:fldLock="1"/>
      </w:r>
      <w:r w:rsidR="00601167" w:rsidRPr="002F4E96">
        <w:rPr>
          <w:rFonts w:ascii="Times New Roman" w:hAnsi="Times New Roman" w:cs="Times New Roman"/>
          <w:bCs/>
        </w:rPr>
        <w:instrText>ADDIN CSL_CITATION {"citationItems":[{"id":"ITEM-1","itemData":{"ISBN":"9789881404879","abstract":"In electronics packaging, solder joints play a critical role by providing electrical, thermal and mechanical connections between the package and the printed circuit board (PCB). As the joint is both miniature and brittle, it is the weakest part of the assembly and thus susceptible to untimely damage. This paper presents the creep response of solder joints in a ball grid array (BGA) soldered on a PCB subjected to isothermal ageing in one experiment and temperature cycling in another test. The ageing is simulated in an ANSYS package environment at -40, 25, 75 and 150C temperatures applied for 45 days. The thermal cycling profile started from 22C and cycled between -40C and 150C with 15 minutes dwell time at the lowest and highest temperatures. The solders used in the investigation are lead-based eutectic solder alloy and lead-free SAC305, SAC387, and SAC396 solders. The research seeks to qualify these solders against strain and strain energy response for improved reliability in operation. The results show that the lead-free SAC387 accumulated the maximum strain and thus strain energy while the lead-based eutectic solder is found to accrue the least amount of the quantities. Further results show the distribution of damage in the BGA solder bump. Based on the results, it is proposed that lead-free SAC396 is the best replacement of the lead-based eutectic solder in the drive for the achievement of comparable thermo-mechanical reliability of assembled BGA on PCB.","author":[{"dropping-particle":"","family":"Depiver","given":"Joshua A","non-dropping-particle":"","parse-names":false,"suffix":""},{"dropping-particle":"","family":"Mallik","given":"Sabuj","non-dropping-particle":"","parse-names":false,"suffix":""},{"dropping-particle":"","family":"Amalu","given":"Emeka H","non-dropping-particle":"","parse-names":false,"suffix":""}],"container-title":"IAENG","id":"ITEM-1","issued":{"date-parts":[["2019"]]},"title":"Creep Response of Various Solders used in Soldering Ball Grid Array ( BGA ) on Printed","type":"article-journal","volume":"0958"},"uris":["http://www.mendeley.com/documents/?uuid=58aa057d-a75d-42c6-ae7f-855282a5832c"]},{"id":"ITEM-2","itemData":{"ISBN":"9781538630426","abstract":"Solder joints of electronic components are the most critical part of any electronic device. Their untimely failure during the system’s operation often culminates in catastrophic failure of the device. The determination of creep damage in electronic component solder joint is vital to the prediction of crack initiation and prevention of premature failure. This paper presents the creep damage in solder joints in a ball grid array (BGA) soldered on a printed circuit board (PCB) and subjected to thermal cycling as well as isothermal ageing. ANSYS 19.0 package is employed to model the isothermal ageing at -40, 25, 75 and 150℃ temperatures for 45 days. Standard temperature cycle profile is used to simulate the effect of the coefficient of thermal expansion (CTE) mismatch on the bonded materials in the BGA component. The solders studied are lead-based eutectic solder alloy and lead-free SAC396, SAC387, and SAC305. Based on the results obtained for the stress, strain rate, deformation rate and strain energy of the solders, the research investigation advises on the most effective solder for achieving improvement in the thermo-mechanical reliability of solder joints in BGA soldered on PCB","author":[{"dropping-particle":"","family":"Depiver","given":"Joshua","non-dropping-particle":"","parse-names":false,"suffix":""},{"dropping-particle":"","family":"Mallik","given":"S","non-dropping-particle":"","parse-names":false,"suffix":""},{"dropping-particle":"","family":"Harmanto","given":"Dani","non-dropping-particle":"","parse-names":false,"suffix":""}],"container-title":"Electronics Packaging Technology Conference IEEE","id":"ITEM-2","issue":"December","issued":{"date-parts":[["2019"]]},"title":"Creep Damage of BGA Solder Interconnects Subjected to Thermal Cycling and Isothermal Ageing Creep Damage of BGA Solder Interconnects Subjected to Thermal Cycling and Isothermal Ageing","type":"article-journal"},"uris":["http://www.mendeley.com/documents/?uuid=f6b88087-8f19-46d9-809c-956082f4f358"]}],"mendeley":{"formattedCitation":"[27], [28]","plainTextFormattedCitation":"[27], [28]","previouslyFormattedCitation":"[27], [28]"},"properties":{"noteIndex":0},"schema":"https://github.com/citation-style-language/schema/raw/master/csl-citation.json"}</w:instrText>
      </w:r>
      <w:r w:rsidR="007F7F57" w:rsidRPr="002F4E96">
        <w:rPr>
          <w:rFonts w:ascii="Times New Roman" w:hAnsi="Times New Roman" w:cs="Times New Roman"/>
          <w:bCs/>
        </w:rPr>
        <w:fldChar w:fldCharType="separate"/>
      </w:r>
      <w:r w:rsidR="00601167" w:rsidRPr="002F4E96">
        <w:rPr>
          <w:rFonts w:ascii="Times New Roman" w:hAnsi="Times New Roman" w:cs="Times New Roman"/>
          <w:bCs/>
          <w:noProof/>
        </w:rPr>
        <w:t>[27], [28]</w:t>
      </w:r>
      <w:r w:rsidR="007F7F57" w:rsidRPr="002F4E96">
        <w:rPr>
          <w:rFonts w:ascii="Times New Roman" w:hAnsi="Times New Roman" w:cs="Times New Roman"/>
          <w:bCs/>
        </w:rPr>
        <w:fldChar w:fldCharType="end"/>
      </w:r>
      <w:r w:rsidR="007F7F57" w:rsidRPr="002F4E96">
        <w:rPr>
          <w:rFonts w:ascii="Times New Roman" w:hAnsi="Times New Roman" w:cs="Times New Roman"/>
          <w:bCs/>
        </w:rPr>
        <w:t>.</w:t>
      </w:r>
    </w:p>
    <w:p w14:paraId="1B4D5828" w14:textId="4136C811" w:rsidR="007F7F57" w:rsidRPr="002F4E96" w:rsidRDefault="00E20E4B" w:rsidP="007F7F57">
      <w:pPr>
        <w:spacing w:line="360" w:lineRule="auto"/>
        <w:jc w:val="both"/>
        <w:rPr>
          <w:rFonts w:ascii="Times New Roman" w:hAnsi="Times New Roman" w:cs="Times New Roman"/>
        </w:rPr>
      </w:pPr>
      <w:r w:rsidRPr="002F4E96">
        <w:rPr>
          <w:rFonts w:ascii="Times New Roman" w:hAnsi="Times New Roman" w:cs="Times New Roman"/>
          <w:bCs/>
        </w:rPr>
        <w:t>The fatigue on lead-free solder joints has been a subject of various studies. The failure in low-cycle fatigue (LCF) of the solder joint has been essentially due to cyclic plastic deformation. Investigations have revealed that LCF is linked with shorter fatigue life and higher stress, where the stress level usually steps into the plastic strain range. The Coffin-Manson, empirical equation that has been extensively employed to predict the LCF as a function of plastic strain range for solder joint alloys and has been applied to predict the solder alloys' fatigue life in this report. Engelmaier modified the Coffin-Manson model by including parameters such as the solder and substrate temperature into the Engelmaier empirical model equation, as presented in equation 1</w:t>
      </w:r>
      <w:r w:rsidR="007F7F57" w:rsidRPr="002F4E96">
        <w:rPr>
          <w:rFonts w:ascii="Times New Roman" w:hAnsi="Times New Roman" w:cs="Times New Roman"/>
          <w:bCs/>
        </w:rPr>
        <w:fldChar w:fldCharType="begin" w:fldLock="1"/>
      </w:r>
      <w:r w:rsidR="00601167" w:rsidRPr="002F4E96">
        <w:rPr>
          <w:rFonts w:ascii="Times New Roman" w:hAnsi="Times New Roman" w:cs="Times New Roman"/>
          <w:bCs/>
        </w:rPr>
        <w:instrText>ADDIN CSL_CITATION {"citationItems":[{"id":"ITEM-1","itemData":{"DOI":"10.1109/TCAPT.2009.2030983","ISSN":"15213331","abstract":"A solder interconnect fatigue life model was developed by Werner Engelmaier in the early 1980s as an improvement upon the inelastic strain range-based Coffin-Manson model. As developed, the model provides a first-order estimate of cycles to failure for SnPb solder interconnects under power and thermal cycles. While the model has been widely adopted for SnPb solder joint reliability prediction, many issues that arise from simplifications in formulating input model parameters as well as from the complex physics of solder degradation challenge the model's ability to accurately estimate cycles to failure. Deficiencies with the model have been reported by a number of researchers. This paper reviews and summarizes the major issues with the Engelmaier model in its applicability to predict solder joint thermal fatigue life. © 2009 IEEE.","author":[{"dropping-particle":"","family":"Chauhan","given":"Preeti","non-dropping-particle":"","parse-names":false,"suffix":""},{"dropping-particle":"","family":"Osterman","given":"Michael","non-dropping-particle":"","parse-names":false,"suffix":""},{"dropping-particle":"","family":"Lee","given":"S. W.Ricky","non-dropping-particle":"","parse-names":false,"suffix":""},{"dropping-particle":"","family":"Pecht","given":"Michael","non-dropping-particle":"","parse-names":false,"suffix":""}],"container-title":"IEEE Transactions on Components and Packaging Technologies","id":"ITEM-1","issued":{"date-parts":[["2009"]]},"title":"Critical review of the engelmaier model for solder joint creep fatigue reliability","type":"article"},"uris":["http://www.mendeley.com/documents/?uuid=d90202dc-c20d-4da7-9279-3a5835c95a1f"]}],"mendeley":{"formattedCitation":"[29]","plainTextFormattedCitation":"[29]","previouslyFormattedCitation":"[29]"},"properties":{"noteIndex":0},"schema":"https://github.com/citation-style-language/schema/raw/master/csl-citation.json"}</w:instrText>
      </w:r>
      <w:r w:rsidR="007F7F57" w:rsidRPr="002F4E96">
        <w:rPr>
          <w:rFonts w:ascii="Times New Roman" w:hAnsi="Times New Roman" w:cs="Times New Roman"/>
          <w:bCs/>
        </w:rPr>
        <w:fldChar w:fldCharType="separate"/>
      </w:r>
      <w:r w:rsidR="00601167" w:rsidRPr="002F4E96">
        <w:rPr>
          <w:rFonts w:ascii="Times New Roman" w:hAnsi="Times New Roman" w:cs="Times New Roman"/>
          <w:bCs/>
          <w:noProof/>
        </w:rPr>
        <w:t>[29]</w:t>
      </w:r>
      <w:r w:rsidR="007F7F57" w:rsidRPr="002F4E96">
        <w:rPr>
          <w:rFonts w:ascii="Times New Roman" w:hAnsi="Times New Roman" w:cs="Times New Roman"/>
          <w:bCs/>
        </w:rPr>
        <w:fldChar w:fldCharType="end"/>
      </w:r>
      <w:r w:rsidR="007F7F57" w:rsidRPr="002F4E96">
        <w:rPr>
          <w:rFonts w:ascii="Times New Roman" w:hAnsi="Times New Roman" w:cs="Times New Roman"/>
          <w:bCs/>
        </w:rPr>
        <w:t xml:space="preserve">. </w:t>
      </w:r>
      <w:r w:rsidRPr="002F4E96">
        <w:rPr>
          <w:rFonts w:ascii="Times New Roman" w:hAnsi="Times New Roman" w:cs="Times New Roman"/>
          <w:bCs/>
        </w:rPr>
        <w:t xml:space="preserve">Failure in LCF is primarily due to plastic </w:t>
      </w:r>
      <w:r w:rsidRPr="002F4E96">
        <w:rPr>
          <w:rFonts w:ascii="Times New Roman" w:hAnsi="Times New Roman" w:cs="Times New Roman"/>
          <w:bCs/>
        </w:rPr>
        <w:lastRenderedPageBreak/>
        <w:t xml:space="preserve">deformation of solder joints. The Engelmaier empirical model equation is the correction of the Coffin-Manson model  </w:t>
      </w:r>
      <w:r w:rsidR="007F7F57" w:rsidRPr="002F4E96">
        <w:rPr>
          <w:rFonts w:ascii="Times New Roman" w:hAnsi="Times New Roman" w:cs="Times New Roman"/>
        </w:rPr>
        <w:fldChar w:fldCharType="begin" w:fldLock="1"/>
      </w:r>
      <w:r w:rsidR="00601167" w:rsidRPr="002F4E96">
        <w:rPr>
          <w:rFonts w:ascii="Times New Roman" w:hAnsi="Times New Roman" w:cs="Times New Roman"/>
        </w:rPr>
        <w:instrText>ADDIN CSL_CITATION {"citationItems":[{"id":"ITEM-1","itemData":{"DOI":"10.1109/33.31435","ISSN":"01486411","abstract":"The reliability of the attachment of 100 I/O ceramic chip carriers (CC's) surface mounted to FR-4 epoxy/glass circuit boards via clip-leads has been investigated. Clip-leads, commercially available from two vendors, of significantly different designs were utilized in this study. The accelerated tests involved the accurate reproduction of the thermal and physical conditions—internal cyclic power dissipation, external thermal cycling of forced air stream, thermal gradients, mounting hardware, etc.—encountered by the product in use. The test acceleration (by acceleration factors between 12 and 20 for mean time to failure) was accomplished with shorter dwell times at the temperature extremes, resulting in 96 accelerated fatigue cycles per day. The distinct difference in lead compliancy between the two clip-lead designs is clearly reflected in the results of the accelerated reliability tests. The Type-A “J-lead design” clip-lead (K = 58 lb/in) CC's showed a median life to failure of 12 000 cycles, while the Type-B “hinged S-bend design” clip-lead (A' = 7.5 lb/in) CC's exhibited no failures when the test was terminated at 100 000 cycles. An acceleration transform is used to extrapolate the accelerated test results to obtain functional use condition (1 cycle per day, same thermal environment) reliability estimates. The estimated mean cyclic lives are 2500 and 304 000 cycles for the Type-A and Type-B leaded CC's, respectively. The respective 1-percent failure hazards are projected to be at 310 and 37 000 cycles. Consequently, with the exception of leads as compliant as the tested Type-B “hinged S-bend design” clip-leads, leads are not able to accommodate large component/substrate thermal expansion differences and assure high attachment reliability; it may be necessary to CTE (coefficient of thermal expansion)-tailor the substrate to the component even for leaded components for the more severe reliability requirements. The lead compliance allows for less exacting CTE-tailoring than is necessary for leadless components. Failure mode analysis shows that all Type-A clip-lead solder joints have failed after 48 000 accelerated cycles due to the CC/substrate expansion mismatch; at 100 000 accelerated cycles a significant number of clip joints showed cracks due to the solder/ceramic CC material expansion differential. © 1989 IEEE","author":[{"dropping-particle":"","family":"Engelmaier","given":"Werner","non-dropping-particle":"","parse-names":false,"suffix":""},{"dropping-particle":"","family":"Attarwala","given":"Abbas I.","non-dropping-particle":"","parse-names":false,"suffix":""}],"container-title":"IEEE Transactions on Components, Hybrids, and Manufacturing Technology","id":"ITEM-1","issued":{"date-parts":[["1989"]]},"title":"Surface-Mount Attachment Reliability of Clip-Leaded Ceramic Chip Carriers on FR-4 Circuit Boards","type":"article-journal"},"uris":["http://www.mendeley.com/documents/?uuid=004cd1fe-66f1-4c45-8cfe-2ef9f4a564ea"]},{"id":"ITEM-2","itemData":{"abstract":"The reliability of electronic assemblies require a definitive design effort to carry out concurrently other design functions during the developmental phase of the product. Even though there is a high quality manufacturing, only Design for Reliability (DfR) procedures can assure that the design is reliable in its intended application. However, explicit DfR-procedures need to be employed to account and compensate for the prevalent damage mechanisms. This needs the design for manufacturability which widens the process windows and takes into account the manufacturing capabilities.","author":[{"dropping-particle":"","family":"Engelmaier","given":"Werner","non-dropping-particle":"","parse-names":false,"suffix":""}],"container-title":"TMS Annual Meeting","id":"ITEM-2","issued":{"date-parts":[["1997"]]},"title":"Solder joints in electronics: Design for Reliability","type":"paper-conference"},"uris":["http://www.mendeley.com/documents/?uuid=cb4c9d15-d301-4818-bd8b-69a0c5a2c8c7"]},{"id":"ITEM-3","itemData":{"abstract":"The reliability of electronic assemblies requires a definitive design effort to be carried out concurrently with the other design functions during the product development phase. There is a misconception in the industry that quality manufacturing is all that is required to assure the reliability of an electronic assembly. While of course, consistent high quality manufacturing-and all that this implies in terms of design for manufacturability, design for assembly, design for testability, etc.-is necessary to assure product reliability, only design for reliability (DFR) can assure that the design is reliable in its intended assemblies. Adherence to quality standards does not assure reliable solder connections, only quality solder connections. Reliability is defined in IPC-SM-785 as the ability of a product to function under given conditions for a specified period of time without exceeding acceptable failure levels. In the short term, reliability is threatened by early failures due to insufficient product quality; these failures caused by defects can be eliminated prior to shipping by appropriate screening procedures. Long term failures are the result of premature wear-out damage caused by inadequate assembly design. It is for this reason that IPC-D-279 Design Guidelines for Reliable Surface Mount Technology Printed Board Assemblies, is being developed. This paper concentrates on the DFR aspects of this new standard","author":[{"dropping-particle":"","family":"Engelmaier","given":"W","non-dropping-particle":"","parse-names":false,"suffix":""},{"dropping-particle":"","family":"Turbini","given":"L J","non-dropping-particle":"","parse-names":false,"suffix":""}],"container-title":"SMI Surface Mount International Advanced Electronics Manufactuting Technologies Proceedings of the Technical ProgramSMI Surface Mount International Advanced Electronics Manufactuting Technologies Proceedings of the Technical Program","id":"ITEM-3","issued":{"date-parts":[["1995"]]},"title":"Design for reliability in advanced electronic packaging","type":"article-journal"},"uris":["http://www.mendeley.com/documents/?uuid=da46b46a-fe2c-42dd-aa47-9103d8804ac0"]},{"id":"ITEM-4","itemData":{"DOI":"10.1007/978-94-011-1928-3_9","ISSN":"00097306","abstract":"The widespread industry practice of patterning surface mount reliability tests after military specification tests should be discouraged. Testing, especially temperature extremes and transient temperature gradients used in testing, should more closely resemble actual functional use conditions. Test procedures for surface mount attachment accelerated reliability testing should also be standardized to allow the comparison of test results from different test programs. A generic solder joint reliability program, consisting of high and low acceleration tests, is outlined. This program includes a high acceleration solder joint fatigue test suitable for industry round-robin programs and specifications, along with some general test procedure standards. The proposed test is simple and fast, and the required equipment is commercially available.","author":[{"dropping-particle":"","family":"Engelmaier","given":"Werner","non-dropping-particle":"","parse-names":false,"suffix":""}],"container-title":"Circuits manufacturing","id":"ITEM-4","issued":{"date-parts":[["1988"]]},"title":"RELIABILITY TEST.","type":"article-journal"},"uris":["http://www.mendeley.com/documents/?uuid=333288d5-b722-47ef-9bdf-a2bada5444d7"]},{"id":"ITEM-5","itemData":{"DOI":"10.1109/ESTC48849.2020.9229699","ISBN":"9781728162928","abstract":"While the fatigue behaviours (including fatigue life predictions) of lead-free solder joints have been extensively researched in the last 15 years, these are not adequately compared and benchmarked for different lead-free solders that are being used. As more and more fatigue properties of lead-free solders are becoming available, it is also critical to know how fatigue behaviours differ under different mathematical models. This paper addresses the challenges and presents a comparative study of fatigue behaviours of various mainstream lead-free Sn-Ag-Cu (SAC) solders and benchmarked those with lead-based eutectic solder. Creep-induced fatigue and fatigue life of lead-based eutectic Sn63Pb37 and four lead-free SAC solder alloys: SAC305, SAC387, SAC396 and SAC405 are analysed through simulation studies. The Anand model is used to simulate the inelastic deformation behaviour of the solder joints under accelerated thermal cycling (ATC). It unifies the creep and rate-independent plastic behaviour and it is used to predict the complex stress-strain relationship of solders under different temperatures and strain rates, which are required in the prediction of fatigue life using the fatigue life models such as Engelmaier, Coffin-Mason and Solomon as the basis of our comparison. The ATC was carried out using temperature range from -40°C to 150°C. The fatigue damage propagation is determined with finite element (FE) simulation, which allows virtual prototyping in the design process of electronics devices. The simulation was carried out on a BGA (36 balls, 6 × 6 matrix) mounted onto Cu padded substrate. Results are analysed for plastic strain, Von mises stress, strain energy density, and stress-strain hysteresis loop. The simulation results show that the fatigue behaviours of lead-based eutectic Sn63Pb37 solder is comparable to those of lead-free SAC solders. Among the four SAC solders, SAC387 consistently produced higher plastic strain, strain energy and stress than the other solders. The fatigue life's estimation of the solder joint was investigated using Engelmaier, Coffin-Manson, and Solomon models. Results obtained show that SAC405 has the highest fatigue life (25.7, 21.1 and 19.2 years) followed by SAC396 (18.7, 20.3 and 17.9 years) and SAC305 (15.2, 13.6 and 16.2 years) solder alloys respectively. Predicting the fatigue life of these solder joints averts problems in electronics design for reliability and quality, which if not taken care of, may result in lost…","author":[{"dropping-particle":"","family":"Adeniyi Depiver","given":"Joshua","non-dropping-particle":"","parse-names":false,"suffix":""},{"dropping-particle":"","family":"Mallik","given":"Sabuj","non-dropping-particle":"","parse-names":false,"suffix":""},{"dropping-particle":"","family":"Amalu","given":"Emeka H.","non-dropping-particle":"","parse-names":false,"suffix":""}],"container-title":"Proceedings - 2020 IEEE 8th Electronics System-Integration Technology Conference, ESTC 2020","id":"ITEM-5","issued":{"date-parts":[["2020"]]},"title":"Comparing and benchmarking fatigue behaviours of various SAC solders under thermo-mechanical loading","type":"paper-conference"},"uris":["http://www.mendeley.com/documents/?uuid=89f731e0-7c40-4a5e-a572-626f56e6a6fa"]}],"mendeley":{"formattedCitation":"[6], [30]–[33]","plainTextFormattedCitation":"[6], [30]–[33]","previouslyFormattedCitation":"[6], [30]–[33]"},"properties":{"noteIndex":0},"schema":"https://github.com/citation-style-language/schema/raw/master/csl-citation.json"}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[6], [30]–[33]</w:t>
      </w:r>
      <w:r w:rsidR="007F7F57" w:rsidRPr="002F4E96">
        <w:rPr>
          <w:rFonts w:ascii="Times New Roman" w:hAnsi="Times New Roman" w:cs="Times New Roman"/>
        </w:rPr>
        <w:fldChar w:fldCharType="end"/>
      </w:r>
      <w:r w:rsidR="007F7F57" w:rsidRPr="002F4E96">
        <w:rPr>
          <w:rFonts w:ascii="Times New Roman" w:hAnsi="Times New Roman" w:cs="Times New Roman"/>
        </w:rPr>
        <w:t xml:space="preserve">. </w:t>
      </w:r>
    </w:p>
    <w:p w14:paraId="57B263C4" w14:textId="4D0D8853" w:rsidR="006C534D" w:rsidRPr="002F4E96" w:rsidRDefault="006C534D" w:rsidP="007F7F57">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The Anand constitutive model is generally applied to define the deformation behaviour of solder reliability for microelectronic devices. The Anand model, creep, and plasticity </w:t>
      </w:r>
      <w:proofErr w:type="gramStart"/>
      <w:r w:rsidR="006444A3" w:rsidRPr="002F4E96">
        <w:rPr>
          <w:rFonts w:ascii="Times New Roman" w:hAnsi="Times New Roman" w:cs="Times New Roman"/>
        </w:rPr>
        <w:t>is</w:t>
      </w:r>
      <w:proofErr w:type="gramEnd"/>
      <w:r w:rsidRPr="002F4E96">
        <w:rPr>
          <w:rFonts w:ascii="Times New Roman" w:hAnsi="Times New Roman" w:cs="Times New Roman"/>
        </w:rPr>
        <w:t xml:space="preserve"> identified and characterised by the same evolution and flow relations. The nine parameters of Anand constitutive models are determined from uniaxial stress-strain tests at different temperatures and strain rates, applying a conventional multistep model determination method. On the other hand, creep data are usually measured for solder joints, but they are not traditionally employed to ascertain Anand model constants. Electronic devices are exposed to various environments, such as vibration, humidity, temperature, dust, and shock. The main reason for the electronic package's failure is temperature fatigue (55%).</w:t>
      </w:r>
    </w:p>
    <w:p w14:paraId="230B71FC" w14:textId="2B365760" w:rsidR="00431C4E" w:rsidRPr="002F4E96" w:rsidRDefault="00431C4E" w:rsidP="00431C4E">
      <w:pPr>
        <w:spacing w:before="125" w:line="360" w:lineRule="auto"/>
        <w:ind w:right="38"/>
        <w:jc w:val="both"/>
        <w:rPr>
          <w:rFonts w:ascii="Times New Roman" w:hAnsi="Times New Roman" w:cs="Times New Roman"/>
        </w:rPr>
      </w:pPr>
      <w:r w:rsidRPr="002F4E96">
        <w:rPr>
          <w:rFonts w:ascii="Times New Roman" w:hAnsi="Times New Roman" w:cs="Times New Roman"/>
        </w:rPr>
        <w:t>Furthermore, vibration (20%), humidity (19%) and dust (6%) contribute in the same way to the failure of electronic devices such as temperature and vibration fatigue [75% in total as presented in Fig. 1</w:t>
      </w:r>
      <w:r w:rsidR="00F4768E" w:rsidRPr="002F4E96">
        <w:rPr>
          <w:rFonts w:ascii="Times New Roman" w:hAnsi="Times New Roman" w:cs="Times New Roman"/>
        </w:rPr>
        <w:t>]</w:t>
      </w:r>
      <w:r w:rsidRPr="002F4E96">
        <w:rPr>
          <w:rFonts w:ascii="Times New Roman" w:hAnsi="Times New Roman" w:cs="Times New Roman"/>
        </w:rPr>
        <w:t xml:space="preserve"> </w:t>
      </w:r>
      <w:r w:rsidR="007F7F57" w:rsidRPr="002F4E96">
        <w:rPr>
          <w:rFonts w:ascii="Times New Roman" w:hAnsi="Times New Roman" w:cs="Times New Roman"/>
        </w:rPr>
        <w:fldChar w:fldCharType="begin" w:fldLock="1"/>
      </w:r>
      <w:r w:rsidR="00B219E2" w:rsidRPr="002F4E96">
        <w:rPr>
          <w:rFonts w:ascii="Times New Roman" w:hAnsi="Times New Roman" w:cs="Times New Roman"/>
        </w:rPr>
        <w:instrText>ADDIN CSL_CITATION {"citationItems":[{"id":"ITEM-1","itemData":{"DOI":"10.1016/j.mechrescom.2004.03.011","ISSN":"00936413","abstract":"The low-cycle fatigue induced by thermal cycling is the major concern in the reliability of surface mounted technology (SMT) for electronic packaging; however, dynamic loading effects to solder joint fatigue life have not been thoroughly investigated. In fact, the high-cycling fatigue induced by vibration can also contribute a significant effect. In certain circumstances it can become the dominant failure case when semiconductor devices are used in a vibration environment. In this paper, according to random vibration theory, a random fatigue semi-experimental model of SMT solder joint in random vibration condition is created and a series of vibration fatigue experimental vehicles including PBGA256 assembly were conducted. Compared with random vibration test results, its results are good enough to predict solder joints' fatigue. © 2004 Elsevier Ltd. All rights reserved.","author":[{"dropping-particle":"","family":"Guo","given":"Qiang","non-dropping-particle":"","parse-names":false,"suffix":""},{"dropping-particle":"","family":"Zhao","given":"Mei","non-dropping-particle":"","parse-names":false,"suffix":""},{"dropping-particle":"","family":"Wang","given":"Hongfang","non-dropping-particle":"","parse-names":false,"suffix":""}],"container-title":"Mechanics Research Communications","id":"ITEM-1","issued":{"date-parts":[["2005"]]},"title":"SMT solder joint's semi-experimental fatigue model","type":"article-journal"},"uris":["http://www.mendeley.com/documents/?uuid=d3d5e060-9947-4d61-912d-d61b5a0f48f8"]},{"id":"ITEM-2","itemData":{"DOI":"10.1108/09540910910947453","ISSN":"09540911","abstract":"Purpose: The purpose of this paper is to assess the effect of different temperature cycling profiles on the reliability of lead-free 388 plastic ball grid array (PBGA) packages and to deeply understand crack initiation and propagation. Design/methodology/approach: Temperature cycling of Sn-3.8Ag-0.7Cu PBGA packages was carried out at two temperature profiles, the first ranging between 2558C and 1008C (TC1) and the second between 08C and 1008C (TC2). Crack initiation and propagation was analyzed periodically and totally 7,000 cycles were run for TC1 and 14,500 for TC2. Finite element modeling (FEM), for the analysis of strain and stress, was used to corroborate the experimental results. Findings: The paper finds that TC1 had a characteristic life of 5,415 cycles and TC2 of 14,094 cycles, resulting in an acceleration factor of 2.6 between both profiles. Cracks were first visible for TC1, after 2,500 cycles, and only after 4,000 cycles for TC2. The crack propagation rate was faster for TC1 compared to TC2, and faster at the package side compared to the substrate side. The difference in crack propagation rate between the package side and substrate side was much larger for TC1 compared to TC2. Cracks developed first at the package side, and were also larger compared to the substrate side. The Cu tracks on the substrate side affected the crack propagation sites and behaved as SMD. All cracks propagated through the solder and crack propagation was mainly intergranular. Crack propagation was very random and did not follow the distance to neutral point (DNP) theory. FEM corroborated the experimental results, showing both the same critical location of highest creep strain and the independence of DNP. Originality/value: Such extensive work on the reliability assessment of Pb-free 388 PBGA packages has never been performed. This work also corroborates the results from other studies showing the difference in behavior between Pb-free and Pb-containing alloys. © Emerald Group Publishing Limited.","author":[{"dropping-particle":"","family":"Andersson","given":"C.","non-dropping-particle":"","parse-names":false,"suffix":""},{"dropping-particle":"","family":"Vandevelde","given":"B.","non-dropping-particle":"","parse-names":false,"suffix":""},{"dropping-particle":"","family":"Noritake","given":"C.","non-dropping-particle":"","parse-names":false,"suffix":""},{"dropping-particle":"","family":"Sun","given":"P.","non-dropping-particle":"","parse-names":false,"suffix":""},{"dropping-particle":"","family":"Tegehall","given":"P. E.","non-dropping-particle":"","parse-names":false,"suffix":""},{"dropping-particle":"","family":"Andersson","given":"D. R.","non-dropping-particle":"","parse-names":false,"suffix":""},{"dropping-particle":"","family":"Wetter","given":"G.","non-dropping-particle":"","parse-names":false,"suffix":""},{"dropping-particle":"","family":"Liu","given":"J.","non-dropping-particle":"","parse-names":false,"suffix":""}],"container-title":"Soldering and Surface Mount Technology","id":"ITEM-2","issued":{"date-parts":[["2009"]]},"title":"Thermal cycling of lead-free Sn-3.8Ag-0.7Cu 388PBGA packages","type":"article-journal"},"uris":["http://www.mendeley.com/documents/?uuid=24eb97d9-0130-4e4d-9c03-27c7d9ad0eeb"]},{"id":"ITEM-3","itemData":{"DOI":"10.1016/j.microrel.2006.09.034","ISBN":"0780384202","ISSN":"00262714","abstract":"This paper deals with a comparison study between SnPb and SnAgCu solder joint reliability. The comparison is based on non-linear finite element modelling. Three packages have been selected: silicon CSP, underfilled flip chip and QFN package. Also the effect of thermal cycling conditions has been investigated. Comparing the induced inelastic strains in the solder joint, the lead-free SnAgCu generally scores better thanks to the lower creep strain rate. On the other hand for the CSP and flip chip package, SnAgCu scores worse for the more extreme loading conditions when the inelastic dissipated energy density is selected as damage parameter. The main reason is that due to the lower creep strain rate, the stresses become higher for SnAgCu resulting in higher hysteresis loops with more dissipated energy per cycle. For the QFN package, SnAgCu scores much better. © 2006 Elsevier Ltd. All rights reserved.","author":[{"dropping-particle":"","family":"Vandevelde","given":"Bart","non-dropping-particle":"","parse-names":false,"suffix":""},{"dropping-particle":"","family":"Gonzalez","given":"Mario","non-dropping-particle":"","parse-names":false,"suffix":""},{"dropping-particle":"","family":"Limaye","given":"Paresh","non-dropping-particle":"","parse-names":false,"suffix":""},{"dropping-particle":"","family":"Ratchev","given":"Petar","non-dropping-particle":"","parse-names":false,"suffix":""},{"dropping-particle":"","family":"Beyne","given":"Eric","non-dropping-particle":"","parse-names":false,"suffix":""}],"container-title":"Microelectronics Reliability","id":"ITEM-3","issued":{"date-parts":[["2007"]]},"title":"Thermal cycling reliability of SnAgCu and SnPb solder joints: A comparison for several IC-packages","type":"article-journal"},"uris":["http://www.mendeley.com/documents/?uuid=a25963a8-6f0c-4078-9e9b-0eea2afecebc"]},{"id":"ITEM-4","itemData":{"abstract":"A variety of lead free alloys have been developed to replace the commonly used tin lead solder. At present, the leading candidates are SnAgCu, SnAg and SnCu(Ni) solder alloys. Nevertheless, a major concern regarding the rather new alloys is the fatigue reliability. The lack of reliability data of these solder materials makes every step towards the replacement of lead containing solder uncertain. A 3D Finite Element Model (FEM) was used to simulate the visco-plastic constitutive behavior of the solder in a flip chip package when submitted to a thermal cycle test. When the solder is subjected to cyclic stresses generated during the thermal cycling, the reliability of the solder joint depends on its resistance to fatigue. The goal of the thermo-mechanical analysis in the electronic industry is to be able to predict, before extensive testing, the reliability of the solder joints. This paper focuses on predicting the thermomechanical behavior of fine pitch flip-chip packages using SnAgCu and SnPb solder alloys. Three different sizes and 2 different pitches were analyzed. The number of cycles to failure was correlated to the accumulated creep strain using an empirical relationship found in literature. Moreover, the results also indicate that this lead free alloys may be used as alternative solder to improve the resistance to fatigue when compared with standard lead containing solder.","author":[{"dropping-particle":"","family":"Gonzalez","given":"M.","non-dropping-particle":"","parse-names":false,"suffix":""},{"dropping-particle":"","family":"Vandevelde","given":"B.","non-dropping-particle":"","parse-names":false,"suffix":""},{"dropping-particle":"","family":"Vanfleteren","given":"Jan","non-dropping-particle":"","parse-names":false,"suffix":""},{"dropping-particle":"","family":"Manessis","given":"D.","non-dropping-particle":"","parse-names":false,"suffix":""}],"container-title":"15th European Microelectronics and Packaging Conference and Exhibition, EMPC 2005 - Conference Programme and Proceedings","id":"ITEM-4","issue":"May 2014","issued":{"date-parts":[["2005"]]},"page":"440-445","title":"Thermo-mechanical FEM analysis of lead free and lead containing solder for flip chip applications","type":"paper-conference"},"uris":["http://www.mendeley.com/documents/?uuid=480b4146-bafe-4ae0-a8b7-3a8b7aa879dd"]},{"id":"ITEM-5","itemData":{"DOI":"10.1016/j.microrel.2013.07.100","ISSN":"00262714","abstract":"In this paper, the constitutive response of SnAgCuZn solder was studied under uniaxial tension. Anand model was used to represent the inelastic deformation behavior of the lead-free solders. The material parameters of the constitutive relations for SnAgCuZn solders were determined from separated constitutive relations and experimental results. In addition, the constitutive model was used to analyze the thermally induced inelastic deformation of the solder joints in wafer-level chip scale packages mounted on printed circuit boards based on finite element analysis. And it is found that the addition of Zn can enhance the fatigue life of SnAgCu solder joint. © 2013 Elsevier Ltd. All rights reserved.","author":[{"dropping-particle":"","family":"Zhang","given":"Liang","non-dropping-particle":"","parse-names":false,"suffix":""},{"dropping-particle":"","family":"Han","given":"Ji Guang","non-dropping-particle":"","parse-names":false,"suffix":""},{"dropping-particle":"","family":"Guo","given":"Yonghuan","non-dropping-particle":"","parse-names":false,"suffix":""},{"dropping-particle":"","family":"He","given":"Cheng Wen","non-dropping-particle":"","parse-names":false,"suffix":""}],"container-title":"Microelectronics Reliability","id":"ITEM-5","issued":{"date-parts":[["2014"]]},"title":"Anand model and FEM analysis of SnAgCuZn lead-free solder joints in wafer level chip scale packaging devices","type":"article-journal"},"uris":["http://www.mendeley.com/documents/?uuid=b1e81b7f-5e14-47ed-a125-1c05954f3580"]},{"id":"ITEM-6","itemData":{"DOI":"10.1109/TCPMT.2020.3000355","ISSN":"21563985","abstract":"The reliability of electronic assemblies is exceedingly reliant on the life of solder joints. Many factors may influence the fatigue life and mechanical properties of solder joints. Aging is one of the main factors that adversely affect the reliability of solder joints. In this article, the mechanical reliability of individual SnAgCu solder joints is studied at different aging conditions. The experiments include aging then cycling solder joints in stress-controlled shear fatigue at different stress amplitudes (16, 20, and 24 MPa) until complete failure. The aging conditions include three levels of aging temperatures (50 °C, 100 °C, and 150 °C) and four levels of aging time (2, 10, 100, and 1000 h). The effect of stress amplitude, aging time, and aging temperature on the fatigue life is investigated. The evolutions in the hysteresis loop, including the inelastic work dissipation, are explored by studying the stress-strain diagrams. The results showed that the fatigue life was affected by the stress amplitude, where increasing the stress by a factor of 2 leads to life reduction by a factor of 22. It was also found that increasing the aging time leads to nonlinear life reduction, where the first few hours of aging had the largest effect. Increasing the aging temperatures aggregates the aging time effect and leads to less fatigue resistance. Overall, increasing the aging time, temperature, and/or stress amplitudes leads to an increase in the work dissipation per cycle, which creates more damage and leads to less number of cycles to failure. The effect of these factors was fit into mathematical equations. Then, a general reliability model as a function of those parameters was developed.","author":[{"dropping-particle":"Al","family":"Athamneh","given":"Raed","non-dropping-particle":"","parse-names":false,"suffix":""},{"dropping-particle":"","family":"Hani","given":"Dania Bani","non-dropping-particle":"","parse-names":false,"suffix":""},{"dropping-particle":"","family":"Ali","given":"Haneen","non-dropping-particle":"","parse-names":false,"suffix":""},{"dropping-particle":"","family":"Hamasha","given":"Sa'D","non-dropping-particle":"","parse-names":false,"suffix":""}],"container-title":"IEEE Transactions on Components, Packaging and Manufacturing Technology","id":"ITEM-6","issued":{"date-parts":[["2020"]]},"title":"Fatigue Life Degradation Modeling of SnAgCu Solder Joints after Aging","type":"article-journal"},"uris":["http://www.mendeley.com/documents/?uuid=80f8c8e0-cefd-4962-80ee-7b34bf82950b"]}],"mendeley":{"formattedCitation":"[34]–[39]","plainTextFormattedCitation":"[34]–[39]","previouslyFormattedCitation":"[34]–[39]"},"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[34]–[39]</w:t>
      </w:r>
      <w:r w:rsidR="007F7F57" w:rsidRPr="002F4E96">
        <w:rPr>
          <w:rFonts w:ascii="Times New Roman" w:hAnsi="Times New Roman" w:cs="Times New Roman"/>
        </w:rPr>
        <w:fldChar w:fldCharType="end"/>
      </w:r>
      <w:r w:rsidR="007F7F57" w:rsidRPr="002F4E96">
        <w:rPr>
          <w:rFonts w:ascii="Times New Roman" w:hAnsi="Times New Roman" w:cs="Times New Roman"/>
        </w:rPr>
        <w:t xml:space="preserve">. </w:t>
      </w:r>
      <w:r w:rsidRPr="002F4E96">
        <w:rPr>
          <w:rFonts w:ascii="Times New Roman" w:hAnsi="Times New Roman" w:cs="Times New Roman"/>
        </w:rPr>
        <w:t xml:space="preserve">Moreover, because of the tremendous variation in the CTE of the </w:t>
      </w:r>
      <w:r w:rsidR="00541376" w:rsidRPr="002F4E96">
        <w:rPr>
          <w:rFonts w:ascii="Times New Roman" w:hAnsi="Times New Roman" w:cs="Times New Roman"/>
        </w:rPr>
        <w:t>various</w:t>
      </w:r>
      <w:r w:rsidRPr="002F4E96">
        <w:rPr>
          <w:rFonts w:ascii="Times New Roman" w:hAnsi="Times New Roman" w:cs="Times New Roman"/>
        </w:rPr>
        <w:t xml:space="preserve"> electronic assembled constituents, the authors generated thermal stress in solder joints during the thermal process. The phenomenon of failure in the solder joint alloys will be found in the product use condition. Therefore, the reliability of lead-free solder joints in electronic packaging is investigated during temperature loading. </w:t>
      </w:r>
    </w:p>
    <w:p w14:paraId="17472C10" w14:textId="78162EC9" w:rsidR="00A02069" w:rsidRPr="002F4E96" w:rsidRDefault="00C36573" w:rsidP="00431C4E">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Investigators have already tried a great deal of effort to the empirical data and the constitutive relations for solder alloys. Several researchers such as Weinbelet et al., Darveaux &amp; Benerji and Cheng et al. </w:t>
      </w:r>
      <w:r w:rsidR="007F7F57" w:rsidRPr="002F4E96">
        <w:rPr>
          <w:rFonts w:ascii="Times New Roman" w:hAnsi="Times New Roman" w:cs="Times New Roman"/>
        </w:rPr>
        <w:fldChar w:fldCharType="begin" w:fldLock="1"/>
      </w:r>
      <w:r w:rsidR="00A87066" w:rsidRPr="002F4E96">
        <w:rPr>
          <w:rFonts w:ascii="Times New Roman" w:hAnsi="Times New Roman" w:cs="Times New Roman"/>
        </w:rPr>
        <w:instrText>ADDIN CSL_CITATION {"citationItems":[{"id":"ITEM-1","itemData":{"DOI":"10.1007/BF01133338","ISSN":"00222461","abstract":"A test protocol pivoting about stress cycling where the load waves were trapazoidal and the cycling frequency controlled by balanced time on load and off load was used to determine frequency, mean tensile stress, and compressive stress effects on the creep-fatigue behaviour of the Pb-Sn eutectic solder alloy at ambient temperature. It is consistently found that the minimum creep (or cyclic creep) rate decreases as frequency increases, that is, as hold time decreases. Both the number of cycles to failure as well as the time to failure increases as frequency increases. The cyclic creep rate increases drastically and the number of cycles to failure decreases drastically as the mean applied stress is increased. These results are consistent with anelastic strain recovery mechanism for creep-fatigue interaction. Similar results are also found in butt-joint solder junction configured specimens. © 1987 Chapman and Hall Ltd.","author":[{"dropping-particle":"","family":"Weinbel","given":"R. C.","non-dropping-particle":"","parse-names":false,"suffix":""},{"dropping-particle":"","family":"Tien","given":"J. K.","non-dropping-particle":"","parse-names":false,"suffix":""},{"dropping-particle":"","family":"Pollak","given":"R. A.","non-dropping-particle":"","parse-names":false,"suffix":""},{"dropping-particle":"","family":"Kang","given":"S. K.","non-dropping-particle":"","parse-names":false,"suffix":""}],"container-title":"Journal of Materials Science","id":"ITEM-1","issued":{"date-parts":[["1987"]]},"title":"Creep-fatigue interaction in eutectic lead-tin solder alloy","type":"article-journal"},"uris":["http://www.mendeley.com/documents/?uuid=6dfa79fa-5693-484b-8f65-e9e8fccce951"]},{"id":"ITEM-2","itemData":{"DOI":"10.1109/33.206925","ISSN":"01486411","abstract":"This paper presents extensive data on 62Sn36Pb2Ag, 60Sn40Pb, 96.5Sn3.5Ag, 97.5Pb2.5Sn, and 95Pb5Sn solder. All of the data were collected on actual soldered assemblies to properly account for the effects of grain size and intermetallic compound distribution. Tensile and shear loading were employed in the strain rate range between 10−8 and 10−1 s−1 and the temperature range between 25 and 135°C. It is remarkable to note that all of the data can be fit to the same general form of constitutive relations; i.e., only the constants depend on the solder alloy. The derived constitutive relations are used to predict solder joint response under thermal cycling. Based on the calculated hysteresis loops, it is apparent that each solder will have a different acceleration factor between field use cycling and accelerated test cycling. © 1992 IEEE","author":[{"dropping-particle":"","family":"Darveaux","given":"Robert","non-dropping-particle":"","parse-names":false,"suffix":""},{"dropping-particle":"","family":"Banerji","given":"Kingshuk","non-dropping-particle":"","parse-names":false,"suffix":""}],"container-title":"IEEE Transactions on Components, Hybrids, and Manufacturing Technology","id":"ITEM-2","issued":{"date-parts":[["1992"]]},"title":"Constitutive Relations for Tin-Based Solder Joints","type":"article-journal"},"uris":["http://www.mendeley.com/documents/?uuid=be63b1d9-aeca-48b9-8d23-eae10a390342"]},{"id":"ITEM-3","itemData":{"abstract":"A viscoplastic constitutive model, the Anand model, in which plasticity and creep are unified and described by the same set of flow and evolutionary relations, was applied to represent the inelastic deformation behavior for solder alloys. After conducting creep tests and constant strain rate tests, the material parameters for the Anand model of the Pb‐rich content solder 92.5Pb5Sn2.5Ag were determined from the experimental data using a nonlinear fitting method. The material parameters for 60Sn40Pb, 62Sn36Pb2Ag and 96.5Sn3.5Ag solders were fitted from the conventional model in the literature where plasticity and creep are artificially separated. Model simulations and verifications reveal that there is good agreement between the model predictions and experimental data. Some discussion on this unified model is also presented. This viscoplastic constitutive model for solder alloys possesses some advantages over the separated model. The achieved Anand model has been applied in finite element simulation of stress/strain responses in solder joints for chip component, thin quad flat pack and flip‐chip assembly. The simulation results are in good agreement with the results in the literature. It is concluded that the Anand model could be recommended as a useful material model for solder alloys and can be used in the finite element simulation of solder joint reliability in electronic packaging and surface mount technology.","author":[{"dropping-particle":"","family":"Cheng","given":"Z.N.","non-dropping-particle":"","parse-names":false,"suffix":""},{"dropping-particle":"","family":"Wang","given":"G.Z.","non-dropping-particle":"","parse-names":false,"suffix":""},{"dropping-particle":"","family":"Chen","given":"L.","non-dropping-particle":"","parse-names":false,"suffix":""},{"dropping-particle":"","family":"Wilde","given":"J.","non-dropping-particle":"","parse-names":false,"suffix":""},{"dropping-particle":"","family":"Becker","given":"K.","non-dropping-particle":"","parse-names":false,"suffix":""}],"container-title":"Soldering &amp; Surface Mount Technology","id":"ITEM-3","issue":"2","issued":{"date-parts":[["2000"]]},"page":"31-36","title":"Viscoelastic tensile and shear properties of the 62wt%Sn-36wt%Pb-2wt%Ag solder alloy","type":"article-journal","volume":"12"},"uris":["http://www.mendeley.com/documents/?uuid=8894631f-34bb-49f3-aad9-f47e52253af0"]}],"mendeley":{"formattedCitation":"[40]–[42]","plainTextFormattedCitation":"[40]–[42]","previouslyFormattedCitation":"[40]–[42]"},"properties":{"noteIndex":0},"schema":"https://github.com/citation-style-language/schema/raw/master/csl-citation.json"}</w:instrText>
      </w:r>
      <w:r w:rsidR="007F7F57" w:rsidRPr="002F4E96">
        <w:rPr>
          <w:rFonts w:ascii="Times New Roman" w:hAnsi="Times New Roman" w:cs="Times New Roman"/>
        </w:rPr>
        <w:fldChar w:fldCharType="separate"/>
      </w:r>
      <w:r w:rsidR="00601167" w:rsidRPr="002F4E96">
        <w:rPr>
          <w:rFonts w:ascii="Times New Roman" w:hAnsi="Times New Roman" w:cs="Times New Roman"/>
          <w:noProof/>
        </w:rPr>
        <w:t>[40]–[42]</w:t>
      </w:r>
      <w:r w:rsidR="007F7F57" w:rsidRPr="002F4E96">
        <w:rPr>
          <w:rFonts w:ascii="Times New Roman" w:hAnsi="Times New Roman" w:cs="Times New Roman"/>
        </w:rPr>
        <w:fldChar w:fldCharType="end"/>
      </w:r>
      <w:r w:rsidR="007F7F57" w:rsidRPr="002F4E96">
        <w:rPr>
          <w:rFonts w:ascii="Times New Roman" w:hAnsi="Times New Roman" w:cs="Times New Roman"/>
        </w:rPr>
        <w:t xml:space="preserve"> </w:t>
      </w:r>
      <w:r w:rsidRPr="002F4E96">
        <w:rPr>
          <w:rFonts w:ascii="Times New Roman" w:hAnsi="Times New Roman" w:cs="Times New Roman"/>
        </w:rPr>
        <w:t xml:space="preserve">have shown comprehensive empirical data on Tin-Lead solder alloys. There have also been some purely phenomenological constitutive models where the investigators have classified the time-dependent and </w:t>
      </w:r>
      <w:r w:rsidR="00B26B8A" w:rsidRPr="002F4E96">
        <w:rPr>
          <w:rFonts w:ascii="Times New Roman" w:hAnsi="Times New Roman" w:cs="Times New Roman"/>
        </w:rPr>
        <w:t>time-</w:t>
      </w:r>
      <w:r w:rsidRPr="002F4E96">
        <w:rPr>
          <w:rFonts w:ascii="Times New Roman" w:hAnsi="Times New Roman" w:cs="Times New Roman"/>
        </w:rPr>
        <w:t>independent inelastic behaviours</w:t>
      </w:r>
      <w:r w:rsidR="001F5616" w:rsidRPr="002F4E96">
        <w:rPr>
          <w:rFonts w:ascii="Times New Roman" w:hAnsi="Times New Roman" w:cs="Times New Roman"/>
        </w:rPr>
        <w:t>.</w:t>
      </w:r>
      <w:r w:rsidR="007F7F57" w:rsidRPr="002F4E96">
        <w:rPr>
          <w:rFonts w:ascii="Times New Roman" w:hAnsi="Times New Roman" w:cs="Times New Roman"/>
        </w:rPr>
        <w:t xml:space="preserve"> </w:t>
      </w:r>
      <w:r w:rsidRPr="002F4E96">
        <w:rPr>
          <w:rFonts w:ascii="Times New Roman" w:hAnsi="Times New Roman" w:cs="Times New Roman"/>
        </w:rPr>
        <w:t xml:space="preserve">A consolidated structure for viscoplastic behaviour of solder joint alloys creep and plasticity is unified and characterised by the same set of flow, and evolutionary equations are profoundly </w:t>
      </w:r>
      <w:r w:rsidR="00BE4769" w:rsidRPr="002F4E96">
        <w:rPr>
          <w:rFonts w:ascii="Times New Roman" w:hAnsi="Times New Roman" w:cs="Times New Roman"/>
        </w:rPr>
        <w:t>needed</w:t>
      </w:r>
      <w:r w:rsidR="00A87066" w:rsidRPr="002F4E96">
        <w:rPr>
          <w:rFonts w:ascii="Times New Roman" w:hAnsi="Times New Roman" w:cs="Times New Roman"/>
        </w:rPr>
        <w:t xml:space="preserve"> </w:t>
      </w:r>
      <w:r w:rsidR="00A87066" w:rsidRPr="002F4E96">
        <w:rPr>
          <w:rFonts w:ascii="Times New Roman" w:hAnsi="Times New Roman" w:cs="Times New Roman"/>
        </w:rPr>
        <w:fldChar w:fldCharType="begin" w:fldLock="1"/>
      </w:r>
      <w:r w:rsidR="00A87066" w:rsidRPr="002F4E96">
        <w:rPr>
          <w:rFonts w:ascii="Times New Roman" w:hAnsi="Times New Roman" w:cs="Times New Roman"/>
        </w:rPr>
        <w:instrText>ADDIN CSL_CITATION {"citationItems":[{"id":"ITEM-1","itemData":{"DOI":"10.1109/33.56179","ISSN":"01486411","abstract":"A constitutive equation for a typical SnPb eutectic or near eutectic solder joint is developed, based on empirical data in shear and generalized to three dimensions. Three strain components are considered: elastic, time independent plastic, and steady-state creep. A continuum mechanics rather than a metallurgical approach is taken with emphasis on the formulation of an equation useful for predicting solder behavior under a variety of conditions. Solutions of the constitutive equation predict the experimental hysteresis data for loading histories available. Solutions of the equation for the test conditions of three independent sets of solder fatigue data show that the equation together with the matrix creep failure indicator can give an estimate of fatigue life. © 1990 IEEE","author":[{"dropping-particle":"","family":"Knecht","given":"Sheera","non-dropping-particle":"","parse-names":false,"suffix":""},{"dropping-particle":"","family":"Fox","given":"L. R.","non-dropping-particle":"","parse-names":false,"suffix":""}],"container-title":"IEEE Transactions on Components, Hybrids, and Manufacturing Technology","id":"ITEM-1","issued":{"date-parts":[["1990"]]},"title":"Constitutive Relation and Creep-Fatigue Life Model for Eutectic Tin-Lead Solder","type":"article-journal"},"uris":["http://www.mendeley.com/documents/?uuid=c6203edf-aec0-4341-abf5-14b5baf0edca"]},{"id":"ITEM-2","itemData":{"DOI":"10.1115/1.2909295","ISSN":"15289044","abstract":"Solder is being extensively used in electronic packages for both electrical and mechanical connection. Solder joints are subjected to severe operating conditions and hence their reliability is very critical for the packages. Simulation is very effective for understanding, predicting and design improvement of electronic packages where solder is the prime joiner, howeverall the material response complexities of solder over the temperature regimeit is subjected to should be modelled. Solder in electronic components very often operates at 0.6 to 0.8 times it’s melting point. In this regime the time dependent material response (creep and stress relaxation) is very significant and can no longer be ignored. Also the plastic and creep responses of solder alloys have a very strong dependence on temperature. A nonlinear finite element based methodology has been developed for simulation of solder alloy over its full regime of material behavior, also accounting for the strong temperature dependence. This includes elastic, time independent plastic, andtime dependent viscoplastic response. The methodology has been used for predicting the response of a flip chip with 9SPb5 percent Sn peripheral bumps subjected to thermal cycling. Correlation is observed between the location of failure in the bump and the maximum inelastic strain. The importance of doing a multicycle simulation is demonstrated and a direction is indicated for the bump size modification for flip chip bump design improvements for greaterreliability. © 1993 by ASME.","author":[{"dropping-particle":"","family":"Sarihan","given":"V.","non-dropping-particle":"","parse-names":false,"suffix":""}],"container-title":"Journal of Electronic Packaging, Transactions of the ASME","id":"ITEM-2","issued":{"date-parts":[["1993"]]},"title":"Temperature dependent viscoplastic simulation of controlled collapse solder joint under thermal cycling","type":"article-journal"},"uris":["http://www.mendeley.com/documents/?uuid=b0e51074-9416-4a44-9a54-0b10f82d5167"]},{"id":"ITEM-3","itemData":{"DOI":"10.1109/96.338733","ISBN":"0780307941","ISSN":"05695503","abstract":"Thermal fatigue of solder joints is critical to electronic package performance and life considerations. It is also difficult to predict because of complex time temperature dependence of solder behavior. Strain based solder fatigue description, like Coffin-Manson, are not adequate as the fatigue life of the solder may also be function of stresses. When the relationship between stress and strain is not unique, which is the case here because of strain rate dependence, a Coffin Manson type of strain based correlation will be valid only over a limited range. A nonlinear finite element method (FEM) based simulation methodology, has been developed, for predicting the life of solder joints when subjected to thermal cycling. This methodology uses a hysteresis energy based damage function approach for damage and fatigue life prediction of the solder joint. The nonlinear solder behavior response inclusive of elastic, time independent plastic and time dependent viscoplastic response is accounted for. The methodology has been used for correlating the fatigue life of flip chip package designs with silicon die, alumina substrate and 95Pb5%Sn peripheral bumps subjected to thermal cycling. Two different bump designs and six temperature cycles with different ramp and dwell times were used from the literature to correlate the life prediction methodology with experimentally determined mean cycles to failure. A multiple cycle response was simulated to determine the stable cycle response. The observed correlation between the hysteresis energy based damage function and experimentally determined fatigue life is extremely encouraging.","author":[{"dropping-particle":"","family":"Sarihan","given":"Vijay","non-dropping-particle":"","parse-names":false,"suffix":""}],"container-title":"Proceedings - Electronic Components and Technology Conference","id":"ITEM-3","issued":{"date-parts":[["1994"]]},"title":"Energy Based Methodology For Damage And Life Prediction Of Solder Joints Under Thermal Cycling","type":"paper-conference"},"uris":["http://www.mendeley.com/documents/?uuid=53642135-68f3-4f52-935e-448f29d3f004"]},{"id":"ITEM-4","itemData":{"DOI":"10.1109/ectc.2003.1216558","ISSN":"05695503","abstract":"The viscoplastic constitutive properties and Energy-Partitioning model of Sn3.9Ag0.6Cu lead-free alloy are presented and compared with baseline data from eutectic Sn63Pb37 solder. One-dimensional incremental model of the test setup is developed to simulate constant-load creep, monotonic, and isothermal cyclic mechanical tests performed over various temperatures, strain rates and stresses using a thermo-mechanical-microstructural (TMM) test system, developed by the authors. By fitting simulation results to constant-load creep and monotonic testing data, the primary creep, secondary creep and plastic models are achieved for both Sn3.9Ag0.6Cu and Sn37Pb solders. Using the viscoplastic constitutive properties of solders to simulate isothermal cyclic mechanical tests, the creep energy and plastic work can be partitioned for all testing conditions. Consequently, Energy-Partitioning model constants for creep and plasticity are obtained from correlating partitioned creep energy and plastic work to mechanical cyclic testing results. Viscoplastic constitutive and Energy-Partitioning models of Sn3.9Ag0.6Cu lead-free alloy can be used in commercial FEM software.","author":[{"dropping-particle":"","family":"Zhang","given":"Qian","non-dropping-particle":"","parse-names":false,"suffix":""},{"dropping-particle":"","family":"Dasgupta","given":"Abhijit","non-dropping-particle":"","parse-names":false,"suffix":""},{"dropping-particle":"","family":"Haswell","given":"Peter","non-dropping-particle":"","parse-names":false,"suffix":""}],"container-title":"Proceedings - Electronic Components and Technology Conference","id":"ITEM-4","issued":{"date-parts":[["2003"]]},"title":"Viscoplastic constitutive properties and energy-partitioning model of lead-free Sn3.9Ag0.6Cu solder alloy","type":"paper-conference"},"uris":["http://www.mendeley.com/documents/?uuid=0ffc154c-9017-4609-90d7-f718af4acabd"]},{"id":"ITEM-5","itemData":{"DOI":"10.1109/ECTC.2004.1319419","ISBN":"0-7803-8365-6","author":[{"dropping-particle":"","family":"Syed","given":"A.","non-dropping-particle":"","parse-names":false,"suffix":""}],"container-title":"2004 Proceedings. 54th Electronic Components and Technology Conference (IEEE Cat. No.04CH37546)","id":"ITEM-5","issue":"February","issued":{"date-parts":[["2016"]]},"page":"737-746","title":"Accumulated creep strain and energy density based thermal fatigue life prediction models for SnAgCu solder joints","type":"article-journal"},"uris":["http://www.mendeley.com/documents/?uuid=c2f7d9a4-a7f7-4c12-89f5-5df519b71863"]},{"id":"ITEM-6","itemData":{"DOI":"10.1115/1.2909310","ISSN":"15289044","abstract":"The thermal cyclic shear stress/strain hysteresis response and associated steady-state creep parameters of 97Sn-3Cu solder joints have been determined using a beam specimen previously developed by Pao et al. (1992a). The solder joint was subjected to a 40-minute thermal cycling from 40° C to 140° C. A constitutive equation based on elastic and steady-state creep deformation for the solder has been formulated and implemented in a finite element program, ABAQUS, to model the experiment.The results show that the constitutive equation based on one single creep mechanism cannot fully account for the deformation during cooling, as opposed to the case of 90Pb-10Sn where the entire cyclic deformation can be well modeled by a similar constitutive equation (Paoetal., 1992c). This suggests that another creep mechanism is dominant for lower stresses and higher temperature. The thermal fatigue results show that the failure mechanism of 97Sn-3Cujoints is similar to that of 90Pb-10Sn joints, but the number of cycles to failure of97Sn-Cu solder joints is at least 5 times longer than 90Pb-10Sn solder joints. This indicates the potential application of97Sn- 3Cu in place of90Pb-10Sn solder. © 1993 by ASME.","author":[{"dropping-particle":"","family":"Pao","given":"Y. H.","non-dropping-particle":"","parse-names":false,"suffix":""},{"dropping-particle":"","family":"Badgley","given":"S.","non-dropping-particle":"","parse-names":false,"suffix":""},{"dropping-particle":"","family":"Jih","given":"E.","non-dropping-particle":"","parse-names":false,"suffix":""},{"dropping-particle":"","family":"Govila","given":"R.","non-dropping-particle":"","parse-names":false,"suffix":""},{"dropping-particle":"","family":"Browning","given":"J.","non-dropping-particle":"","parse-names":false,"suffix":""}],"container-title":"Journal of Electronic Packaging, Transactions of the ASME","id":"ITEM-6","issued":{"date-parts":[["1993"]]},"title":"Constitutive behavior and low cycle thermal fatigue of 97Sn-3Cu solder joints","type":"article-journal"},"uris":["http://www.mendeley.com/documents/?uuid=f637774d-739c-47ee-a9c2-d5e73652be27"]},{"id":"ITEM-7","itemData":{"DOI":"10.1108/09540910010331428","ISSN":"09540911","abstract":"A viscoplastic constitutive model, the Anand model, in which plasticity and creep are unified and described by the same set of flow and evolutionary relations, was applied to represent the inelastic deformation behavior for solder alloys. After conducting creep tests and constant strain rate tests, the material parameters for the Anand model of the Pb-rich content solder 92.5Pb5Sn2.5Ag were determined from the experimental data using a nonlinear fitting method. The material parameters for 60Sn40Pb, 62Sn36Pb2Ag and 96.5Sn3.5Ag solders were fitted from the conventional model in the literature where plasticity and creep are artificially separated. Model simulations and verifications reveal that there is good agreement between the model predictions and experimental data, Some discussion on this unified model is also presented. This viscoplastic constitutive model for solder alloys possesses some advantages over the separated model. The achieved Anand model has been applied in finite element simulation of stress/strain responses in solder joints for chip component, thin quad flat pack and flip-chip assembly. The simulation results are in good agreement with the results in the literature. It is concluded that the Anand model could be recommended as a useful material model for solder alloys and can be used in the finite element simulation of solder joint reliability in electronic packaging and surface mount technology.","author":[{"dropping-particle":"","family":"Cheng","given":"Z. N.","non-dropping-particle":"","parse-names":false,"suffix":""},{"dropping-particle":"","family":"Wang","given":"G. Z.","non-dropping-particle":"","parse-names":false,"suffix":""},{"dropping-particle":"","family":"Chen","given":"L.","non-dropping-particle":"","parse-names":false,"suffix":""},{"dropping-particle":"","family":"Wilde","given":"J.","non-dropping-particle":"","parse-names":false,"suffix":""},{"dropping-particle":"","family":"Becker","given":"K.","non-dropping-particle":"","parse-names":false,"suffix":""}],"container-title":"Soldering and Surface Mount Technology","id":"ITEM-7","issued":{"date-parts":[["2000"]]},"title":"Viscoplastic Anand model for solder alloys and its application","type":"article-journal"},"uris":["http://www.mendeley.com/documents/?uuid=97e51745-4418-4751-9d47-afb4ed3b442e"]}],"mendeley":{"formattedCitation":"[24], [43]–[48]","plainTextFormattedCitation":"[24], [43]–[48]","previouslyFormattedCitation":"[24], [43]–[48]"},"properties":{"noteIndex":0},"schema":"https://github.com/citation-style-language/schema/raw/master/csl-citation.json"}</w:instrText>
      </w:r>
      <w:r w:rsidR="00A87066" w:rsidRPr="002F4E96">
        <w:rPr>
          <w:rFonts w:ascii="Times New Roman" w:hAnsi="Times New Roman" w:cs="Times New Roman"/>
        </w:rPr>
        <w:fldChar w:fldCharType="separate"/>
      </w:r>
      <w:r w:rsidR="00A87066" w:rsidRPr="002F4E96">
        <w:rPr>
          <w:rFonts w:ascii="Times New Roman" w:hAnsi="Times New Roman" w:cs="Times New Roman"/>
          <w:noProof/>
        </w:rPr>
        <w:t>[24], [43]–[48]</w:t>
      </w:r>
      <w:r w:rsidR="00A87066" w:rsidRPr="002F4E96">
        <w:rPr>
          <w:rFonts w:ascii="Times New Roman" w:hAnsi="Times New Roman" w:cs="Times New Roman"/>
        </w:rPr>
        <w:fldChar w:fldCharType="end"/>
      </w:r>
      <w:r w:rsidR="00A87066" w:rsidRPr="002F4E96">
        <w:rPr>
          <w:rFonts w:ascii="Times New Roman" w:hAnsi="Times New Roman" w:cs="Times New Roman"/>
        </w:rPr>
        <w:t>.</w:t>
      </w:r>
      <w:r w:rsidR="007F7F57" w:rsidRPr="002F4E96">
        <w:rPr>
          <w:rFonts w:ascii="Times New Roman" w:hAnsi="Times New Roman" w:cs="Times New Roman"/>
        </w:rPr>
        <w:t xml:space="preserve"> </w:t>
      </w:r>
      <w:r w:rsidRPr="002F4E96">
        <w:rPr>
          <w:rFonts w:ascii="Times New Roman" w:hAnsi="Times New Roman" w:cs="Times New Roman"/>
        </w:rPr>
        <w:t xml:space="preserve">In their work, a unified viscoplastic constitutive model, recommended by </w:t>
      </w:r>
      <w:r w:rsidR="007F7F57" w:rsidRPr="002F4E96">
        <w:rPr>
          <w:rFonts w:ascii="Times New Roman" w:hAnsi="Times New Roman" w:cs="Times New Roman"/>
        </w:rPr>
        <w:t xml:space="preserve">Anand </w:t>
      </w:r>
      <w:r w:rsidR="007F7F57" w:rsidRPr="002F4E96">
        <w:rPr>
          <w:rFonts w:ascii="Times New Roman" w:hAnsi="Times New Roman" w:cs="Times New Roman"/>
        </w:rPr>
        <w:fldChar w:fldCharType="begin" w:fldLock="1"/>
      </w:r>
      <w:r w:rsidR="00A87066" w:rsidRPr="002F4E96">
        <w:rPr>
          <w:rFonts w:ascii="Times New Roman" w:hAnsi="Times New Roman" w:cs="Times New Roman"/>
        </w:rPr>
        <w:instrText>ADDIN CSL_CITATION {"citationItems":[{"id":"ITEM-1","itemData":{"DOI":"10.1115/1.3225028","ISSN":"15288889","abstract":"Approximate constitutive equations are proposed for use in the analysis of the rate dependent deformation of metals at temperatures in excess of a homologous temperature of 0.5. The constitutive equations are formulated within the scope of some recent theories of elastoviscoplasticity with internal variables, but employ only a single scalar internal variable representing an isotropic resistance to plastic flow offered by the internal microstructural state of the material. The special constitutive euqations incorporate strain hardening of the Voce type, and account for the effects of the prior histories of strain rate and temperature undergone by the material. These equations, however, do not represent the important effects of static recovery or of static and dynamic recrystallization. © 1982 by ASME.","author":[{"dropping-particle":"","family":"Anand","given":"L.","non-dropping-particle":"","parse-names":false,"suffix":""}],"container-title":"Journal of Engineering Materials and Technology, Transactions of the ASME","id":"ITEM-1","issued":{"date-parts":[["1982"]]},"title":"Constitutive equations for the rate-dependent deformation of metals at elevated temperatures","type":"article-journal"},"uris":["http://www.mendeley.com/documents/?uuid=60a9e3f3-9f62-4945-921c-a575187cb39d"]},{"id":"ITEM-2","itemData":{"DOI":"10.1016/0749-6419(85)90004-X","ISSN":"07496419","abstract":"Elevated temperature deformation processing - \"hot-working,\" is an important step during the manufacturing of most metal products. Central to any successful analysis of a hot-working process is the use of appropriate rate and temperature-dependent constitutive equations for large, interrupted inelastic deformations, which can faithfully account for strain-hardening, the restoration processes of recovery and recrystallization and strain rate and temperature history effects. In this paper we develop a set of phenomenological, internal variable type constitutive equations describing the elevated temperature deformation of metals. We use a scalar and a symmetric, traceless, second-order tensor as internal variables which, in an average sense, represent an isotropic and an anisotropic resistance to plastic flow offered by the internal state of the material. In this theory, we consider small elastic stretches but large plastic deformations (within the limits of texturing) of isotropic materials. Special cases (within the constitutive framework developed here) which should be suitable for analyzing hot-working processes are indicated. © 1985.","author":[{"dropping-particle":"","family":"Anand","given":"Lallit","non-dropping-particle":"","parse-names":false,"suffix":""}],"container-title":"International Journal of Plasticity","id":"ITEM-2","issued":{"date-parts":[["1985"]]},"title":"Constitutive equations for hot-working of metals","type":"article-journal"},"uris":["http://www.mendeley.com/documents/?uuid=f2185c07-5057-4d17-af9d-f73d7c86e7a8"]}],"mendeley":{"formattedCitation":"[49], [50]","plainTextFormattedCitation":"[49], [50]","previouslyFormattedCitation":"[49], [50]"},"properties":{"noteIndex":0},"schema":"https://github.com/citation-style-language/schema/raw/master/csl-citation.json"}</w:instrText>
      </w:r>
      <w:r w:rsidR="007F7F57" w:rsidRPr="002F4E96">
        <w:rPr>
          <w:rFonts w:ascii="Times New Roman" w:hAnsi="Times New Roman" w:cs="Times New Roman"/>
        </w:rPr>
        <w:fldChar w:fldCharType="separate"/>
      </w:r>
      <w:r w:rsidR="00A87066" w:rsidRPr="002F4E96">
        <w:rPr>
          <w:rFonts w:ascii="Times New Roman" w:hAnsi="Times New Roman" w:cs="Times New Roman"/>
          <w:noProof/>
        </w:rPr>
        <w:t>[49], [50]</w:t>
      </w:r>
      <w:r w:rsidR="007F7F57" w:rsidRPr="002F4E96">
        <w:rPr>
          <w:rFonts w:ascii="Times New Roman" w:hAnsi="Times New Roman" w:cs="Times New Roman"/>
        </w:rPr>
        <w:fldChar w:fldCharType="end"/>
      </w:r>
      <w:r w:rsidR="007F7F57" w:rsidRPr="002F4E96">
        <w:rPr>
          <w:rFonts w:ascii="Times New Roman" w:hAnsi="Times New Roman" w:cs="Times New Roman"/>
        </w:rPr>
        <w:t xml:space="preserve"> and Brown </w:t>
      </w:r>
      <w:r w:rsidR="007F7F57" w:rsidRPr="002F4E96">
        <w:rPr>
          <w:rFonts w:ascii="Times New Roman" w:hAnsi="Times New Roman" w:cs="Times New Roman"/>
        </w:rPr>
        <w:fldChar w:fldCharType="begin" w:fldLock="1"/>
      </w:r>
      <w:r w:rsidR="00A87066" w:rsidRPr="002F4E96">
        <w:rPr>
          <w:rFonts w:ascii="Times New Roman" w:hAnsi="Times New Roman" w:cs="Times New Roman"/>
        </w:rPr>
        <w:instrText>ADDIN CSL_CITATION {"citationItems":[{"id":"ITEM-1","itemData":{"DOI":"10.1016/0749-6419(89)90025-9","ISSN":"07496419","abstract":"A set of internal variable type constitutive equations which model large elastic-viscoplastic deformations of metals at high temperatures is formulated. For a first-order representation of large deformation constitutive behavior we use a scalar as an internal variable to represent the isotropic resistance to plastic flow offered by the internal state of the material. Hot compression tests on an iron-2% silicon alloy and a commercially pure aluminum have been conducted. Based on these experiments, specific viscoplastic constitutive functions are proposed, and the values for the materials parameters appearing in these functions are determined. The constitutive equations with these functions and material parameters accurately reproduce the basic tests and also accurately predict the response of the metal to some critical experiments which were not used to determine the material parameters in the constitutive functions. Although the use of a single scalr internal variable limits the constitutive equations to describing the deformation behavior of initially isotropic metals up to deformation levels where significant internal damage and polycrystal texturing has not developed, the constitutive equations presented here should be useful for obtaining an improved analysis of various hot deformation processing operations of metals. © 1989.","author":[{"dropping-particle":"","family":"Brown","given":"Stuart B.","non-dropping-particle":"","parse-names":false,"suffix":""},{"dropping-particle":"","family":"Kim","given":"Kwon H.","non-dropping-particle":"","parse-names":false,"suffix":""},{"dropping-particle":"","family":"Anand","given":"Lallit","non-dropping-particle":"","parse-names":false,"suffix":""}],"container-title":"International Journal of Plasticity","id":"ITEM-1","issued":{"date-parts":[["1989"]]},"title":"An internal variable constitutive model for hot working of metals","type":"article-journal"},"uris":["http://www.mendeley.com/documents/?uuid=2b6a2b1a-bba7-4a29-a11d-8e093af6ace7"]}],"mendeley":{"formattedCitation":"[51]","plainTextFormattedCitation":"[51]","previouslyFormattedCitation":"[51]"},"properties":{"noteIndex":0},"schema":"https://github.com/citation-style-language/schema/raw/master/csl-citation.json"}</w:instrText>
      </w:r>
      <w:r w:rsidR="007F7F57" w:rsidRPr="002F4E96">
        <w:rPr>
          <w:rFonts w:ascii="Times New Roman" w:hAnsi="Times New Roman" w:cs="Times New Roman"/>
        </w:rPr>
        <w:fldChar w:fldCharType="separate"/>
      </w:r>
      <w:r w:rsidR="00A87066" w:rsidRPr="002F4E96">
        <w:rPr>
          <w:rFonts w:ascii="Times New Roman" w:hAnsi="Times New Roman" w:cs="Times New Roman"/>
          <w:noProof/>
        </w:rPr>
        <w:t>[51]</w:t>
      </w:r>
      <w:r w:rsidR="007F7F57" w:rsidRPr="002F4E96">
        <w:rPr>
          <w:rFonts w:ascii="Times New Roman" w:hAnsi="Times New Roman" w:cs="Times New Roman"/>
        </w:rPr>
        <w:fldChar w:fldCharType="end"/>
      </w:r>
      <w:r w:rsidRPr="002F4E96">
        <w:rPr>
          <w:rFonts w:ascii="Times New Roman" w:hAnsi="Times New Roman" w:cs="Times New Roman"/>
        </w:rPr>
        <w:t xml:space="preserve"> called the Anand model</w:t>
      </w:r>
      <w:r w:rsidR="006444A3" w:rsidRPr="002F4E96">
        <w:rPr>
          <w:rFonts w:ascii="Times New Roman" w:hAnsi="Times New Roman" w:cs="Times New Roman"/>
        </w:rPr>
        <w:t>,</w:t>
      </w:r>
      <w:r w:rsidRPr="002F4E96">
        <w:rPr>
          <w:rFonts w:ascii="Times New Roman" w:hAnsi="Times New Roman" w:cs="Times New Roman"/>
        </w:rPr>
        <w:t xml:space="preserve"> was applied to describe the deformation behaviours of 62Sn36Pb2Ag, 92.5Pb5Sn2.5Ag, 60Sn40Pb and 96.5Sn3.5Ag solder alloys. The investigators then utilised the obtained materials parameters to generate the deformation behaviour for verification and comparisons. Furthermore, the unified Anand model was employed in FE simulations by applying the ANSYS software program for the solder joint reliability for actual electronic assemblies</w:t>
      </w:r>
      <w:r w:rsidR="00A87066" w:rsidRPr="002F4E96">
        <w:rPr>
          <w:rFonts w:ascii="Times New Roman" w:hAnsi="Times New Roman" w:cs="Times New Roman"/>
        </w:rPr>
        <w:t xml:space="preserve"> </w:t>
      </w:r>
      <w:r w:rsidR="00A87066" w:rsidRPr="002F4E96">
        <w:rPr>
          <w:rFonts w:ascii="Times New Roman" w:hAnsi="Times New Roman" w:cs="Times New Roman"/>
        </w:rPr>
        <w:fldChar w:fldCharType="begin" w:fldLock="1"/>
      </w:r>
      <w:r w:rsidR="00752A06" w:rsidRPr="002F4E96">
        <w:rPr>
          <w:rFonts w:ascii="Times New Roman" w:hAnsi="Times New Roman" w:cs="Times New Roman"/>
        </w:rPr>
        <w:instrText>ADDIN CSL_CITATION {"citationItems":[{"id":"ITEM-1","itemData":{"DOI":"10.1108/09540910010331428","ISSN":"09540911","abstract":"A viscoplastic constitutive model, the Anand model, in which plasticity and creep are unified and described by the same set of flow and evolutionary relations, was applied to represent the inelastic deformation behavior for solder alloys. After conducting creep tests and constant strain rate tests, the material parameters for the Anand model of the Pb-rich content solder 92.5Pb5Sn2.5Ag were determined from the experimental data using a nonlinear fitting method. The material parameters for 60Sn40Pb, 62Sn36Pb2Ag and 96.5Sn3.5Ag solders were fitted from the conventional model in the literature where plasticity and creep are artificially separated. Model simulations and verifications reveal that there is good agreement between the model predictions and experimental data, Some discussion on this unified model is also presented. This viscoplastic constitutive model for solder alloys possesses some advantages over the separated model. The achieved Anand model has been applied in finite element simulation of stress/strain responses in solder joints for chip component, thin quad flat pack and flip-chip assembly. The simulation results are in good agreement with the results in the literature. It is concluded that the Anand model could be recommended as a useful material model for solder alloys and can be used in the finite element simulation of solder joint reliability in electronic packaging and surface mount technology.","author":[{"dropping-particle":"","family":"Cheng","given":"Z. N.","non-dropping-particle":"","parse-names":false,"suffix":""},{"dropping-particle":"","family":"Wang","given":"G. Z.","non-dropping-particle":"","parse-names":false,"suffix":""},{"dropping-particle":"","family":"Chen","given":"L.","non-dropping-particle":"","parse-names":false,"suffix":""},{"dropping-particle":"","family":"Wilde","given":"J.","non-dropping-particle":"","parse-names":false,"suffix":""},{"dropping-particle":"","family":"Becker","given":"K.","non-dropping-particle":"","parse-names":false,"suffix":""}],"container-title":"Soldering and Surface Mount Technology","id":"ITEM-1","issued":{"date-parts":[["2000"]]},"title":"Viscoplastic Anand model for solder alloys and its application","type":"article-journal"},"uris":["http://www.mendeley.com/documents/?uuid=97e51745-4418-4751-9d47-afb4ed3b442e"]}],"mendeley":{"formattedCitation":"[48]","plainTextFormattedCitation":"[48]","previouslyFormattedCitation":"[48]"},"properties":{"noteIndex":0},"schema":"https://github.com/citation-style-language/schema/raw/master/csl-citation.json"}</w:instrText>
      </w:r>
      <w:r w:rsidR="00A87066" w:rsidRPr="002F4E96">
        <w:rPr>
          <w:rFonts w:ascii="Times New Roman" w:hAnsi="Times New Roman" w:cs="Times New Roman"/>
        </w:rPr>
        <w:fldChar w:fldCharType="separate"/>
      </w:r>
      <w:r w:rsidR="00A87066" w:rsidRPr="002F4E96">
        <w:rPr>
          <w:rFonts w:ascii="Times New Roman" w:hAnsi="Times New Roman" w:cs="Times New Roman"/>
          <w:noProof/>
        </w:rPr>
        <w:t>[48]</w:t>
      </w:r>
      <w:r w:rsidR="00A87066" w:rsidRPr="002F4E96">
        <w:rPr>
          <w:rFonts w:ascii="Times New Roman" w:hAnsi="Times New Roman" w:cs="Times New Roman"/>
        </w:rPr>
        <w:fldChar w:fldCharType="end"/>
      </w:r>
      <w:r w:rsidR="00A87066" w:rsidRPr="002F4E96">
        <w:rPr>
          <w:rFonts w:ascii="Times New Roman" w:hAnsi="Times New Roman" w:cs="Times New Roman"/>
        </w:rPr>
        <w:t>.</w:t>
      </w:r>
      <w:r w:rsidR="007E32E8" w:rsidRPr="002F4E96">
        <w:rPr>
          <w:rFonts w:ascii="Times New Roman" w:hAnsi="Times New Roman" w:cs="Times New Roman"/>
        </w:rPr>
        <w:t xml:space="preserve"> </w:t>
      </w:r>
      <w:r w:rsidR="008C1931" w:rsidRPr="002F4E96">
        <w:rPr>
          <w:rFonts w:ascii="Times New Roman" w:hAnsi="Times New Roman" w:cs="Times New Roman"/>
          <w:sz w:val="24"/>
          <w:szCs w:val="24"/>
        </w:rPr>
        <w:t xml:space="preserve">Several </w:t>
      </w:r>
      <w:r w:rsidR="002E42A3" w:rsidRPr="002F4E96">
        <w:rPr>
          <w:rFonts w:ascii="Times New Roman" w:hAnsi="Times New Roman" w:cs="Times New Roman"/>
          <w:sz w:val="24"/>
          <w:szCs w:val="24"/>
        </w:rPr>
        <w:t>researcher</w:t>
      </w:r>
      <w:r w:rsidR="008C1931" w:rsidRPr="002F4E96">
        <w:rPr>
          <w:rFonts w:ascii="Times New Roman" w:hAnsi="Times New Roman" w:cs="Times New Roman"/>
          <w:sz w:val="24"/>
          <w:szCs w:val="24"/>
        </w:rPr>
        <w:t xml:space="preserve">s </w:t>
      </w:r>
      <w:r w:rsidR="00CD6E12" w:rsidRPr="002F4E96">
        <w:rPr>
          <w:rFonts w:ascii="Times New Roman" w:hAnsi="Times New Roman" w:cs="Times New Roman"/>
          <w:sz w:val="24"/>
          <w:szCs w:val="24"/>
        </w:rPr>
        <w:t xml:space="preserve">such as </w:t>
      </w:r>
      <w:r w:rsidR="00E61F77" w:rsidRPr="002F4E96">
        <w:rPr>
          <w:rFonts w:ascii="Times New Roman" w:hAnsi="Times New Roman" w:cs="Times New Roman"/>
          <w:sz w:val="24"/>
          <w:szCs w:val="24"/>
        </w:rPr>
        <w:t xml:space="preserve">[62], [64-70] </w:t>
      </w:r>
      <w:r w:rsidR="008C1931" w:rsidRPr="002F4E96">
        <w:rPr>
          <w:rFonts w:ascii="Times New Roman" w:hAnsi="Times New Roman" w:cs="Times New Roman"/>
          <w:sz w:val="24"/>
          <w:szCs w:val="24"/>
        </w:rPr>
        <w:t>have successfully used non-temperature dependent materials properties</w:t>
      </w:r>
      <w:r w:rsidR="00FE196E" w:rsidRPr="002F4E96">
        <w:rPr>
          <w:rFonts w:ascii="Times New Roman" w:hAnsi="Times New Roman" w:cs="Times New Roman"/>
          <w:sz w:val="24"/>
          <w:szCs w:val="24"/>
        </w:rPr>
        <w:t xml:space="preserve"> such as Young’s Modulus of Elasticity, </w:t>
      </w:r>
      <w:r w:rsidR="00FE196E" w:rsidRPr="002F4E96">
        <w:rPr>
          <w:rFonts w:ascii="Times New Roman" w:hAnsi="Times New Roman" w:cs="Times New Roman"/>
          <w:i/>
          <w:iCs/>
          <w:sz w:val="24"/>
          <w:szCs w:val="24"/>
        </w:rPr>
        <w:t>E</w:t>
      </w:r>
      <w:r w:rsidR="008C1931" w:rsidRPr="002F4E96">
        <w:rPr>
          <w:rFonts w:ascii="Times New Roman" w:hAnsi="Times New Roman" w:cs="Times New Roman"/>
          <w:sz w:val="24"/>
          <w:szCs w:val="24"/>
        </w:rPr>
        <w:t xml:space="preserve"> for</w:t>
      </w:r>
      <w:r w:rsidR="00AD7EE1" w:rsidRPr="002F4E96">
        <w:rPr>
          <w:rFonts w:ascii="Times New Roman" w:hAnsi="Times New Roman" w:cs="Times New Roman"/>
          <w:sz w:val="24"/>
          <w:szCs w:val="24"/>
        </w:rPr>
        <w:t xml:space="preserve"> the</w:t>
      </w:r>
      <w:r w:rsidR="008C1931" w:rsidRPr="002F4E96">
        <w:rPr>
          <w:rFonts w:ascii="Times New Roman" w:hAnsi="Times New Roman" w:cs="Times New Roman"/>
          <w:sz w:val="24"/>
          <w:szCs w:val="24"/>
        </w:rPr>
        <w:t xml:space="preserve"> solder</w:t>
      </w:r>
      <w:r w:rsidR="007B6DF9" w:rsidRPr="002F4E96">
        <w:rPr>
          <w:rFonts w:ascii="Times New Roman" w:hAnsi="Times New Roman" w:cs="Times New Roman"/>
          <w:sz w:val="24"/>
          <w:szCs w:val="24"/>
        </w:rPr>
        <w:t xml:space="preserve"> joint alloy</w:t>
      </w:r>
      <w:r w:rsidR="008C1931" w:rsidRPr="002F4E96">
        <w:rPr>
          <w:rFonts w:ascii="Times New Roman" w:hAnsi="Times New Roman" w:cs="Times New Roman"/>
          <w:sz w:val="24"/>
          <w:szCs w:val="24"/>
        </w:rPr>
        <w:t xml:space="preserve">s considered in this </w:t>
      </w:r>
      <w:r w:rsidR="00AD7EE1" w:rsidRPr="002F4E96">
        <w:rPr>
          <w:rFonts w:ascii="Times New Roman" w:hAnsi="Times New Roman" w:cs="Times New Roman"/>
          <w:sz w:val="24"/>
          <w:szCs w:val="24"/>
        </w:rPr>
        <w:t>study</w:t>
      </w:r>
      <w:r w:rsidR="007B6DF9" w:rsidRPr="002F4E96">
        <w:rPr>
          <w:rFonts w:ascii="Times New Roman" w:hAnsi="Times New Roman" w:cs="Times New Roman"/>
          <w:sz w:val="24"/>
          <w:szCs w:val="24"/>
        </w:rPr>
        <w:t>.</w:t>
      </w:r>
    </w:p>
    <w:p w14:paraId="3F15A138" w14:textId="2386B5CC" w:rsidR="007F7F57" w:rsidRPr="002F4E96" w:rsidRDefault="007F7F57" w:rsidP="007F7F57">
      <w:pPr>
        <w:spacing w:before="125" w:line="360" w:lineRule="auto"/>
        <w:ind w:right="38"/>
        <w:jc w:val="center"/>
        <w:rPr>
          <w:rFonts w:ascii="Times New Roman" w:hAnsi="Times New Roman" w:cs="Times New Roman"/>
          <w:bCs/>
        </w:rPr>
      </w:pPr>
      <w:r w:rsidRPr="002F4E96">
        <w:rPr>
          <w:rFonts w:ascii="Times New Roman" w:hAnsi="Times New Roman" w:cs="Times New Roman"/>
          <w:bCs/>
          <w:noProof/>
          <w:lang w:eastAsia="en-GB"/>
        </w:rPr>
        <w:lastRenderedPageBreak/>
        <w:drawing>
          <wp:inline distT="0" distB="0" distL="0" distR="0" wp14:anchorId="2B40CD43" wp14:editId="700F4F8A">
            <wp:extent cx="2866081" cy="1862667"/>
            <wp:effectExtent l="0" t="0" r="4445" b="4445"/>
            <wp:docPr id="5" name="Picture 5"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11 at 13.34.4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0943" cy="1885324"/>
                    </a:xfrm>
                    <a:prstGeom prst="rect">
                      <a:avLst/>
                    </a:prstGeom>
                  </pic:spPr>
                </pic:pic>
              </a:graphicData>
            </a:graphic>
          </wp:inline>
        </w:drawing>
      </w:r>
    </w:p>
    <w:p w14:paraId="3BD6A621" w14:textId="5E7117D9" w:rsidR="007F7F57" w:rsidRPr="002F4E96" w:rsidRDefault="007F7F57" w:rsidP="007F7F57">
      <w:pPr>
        <w:pStyle w:val="Caption"/>
        <w:jc w:val="center"/>
        <w:rPr>
          <w:rFonts w:ascii="Times New Roman" w:hAnsi="Times New Roman" w:cs="Times New Roman"/>
          <w:b w:val="0"/>
          <w:color w:val="auto"/>
          <w:sz w:val="22"/>
          <w:szCs w:val="22"/>
        </w:rPr>
      </w:pPr>
      <w:r w:rsidRPr="002F4E96">
        <w:rPr>
          <w:rFonts w:ascii="Times New Roman" w:hAnsi="Times New Roman" w:cs="Times New Roman"/>
          <w:b w:val="0"/>
          <w:color w:val="auto"/>
          <w:sz w:val="22"/>
          <w:szCs w:val="22"/>
        </w:rPr>
        <w:t xml:space="preserve">Fig. </w:t>
      </w:r>
      <w:r w:rsidR="007C5C6A" w:rsidRPr="002F4E96">
        <w:rPr>
          <w:rFonts w:ascii="Times New Roman" w:hAnsi="Times New Roman" w:cs="Times New Roman"/>
          <w:b w:val="0"/>
          <w:color w:val="auto"/>
          <w:sz w:val="22"/>
          <w:szCs w:val="22"/>
        </w:rPr>
        <w:t>1</w:t>
      </w:r>
      <w:r w:rsidRPr="002F4E96">
        <w:rPr>
          <w:rFonts w:ascii="Times New Roman" w:hAnsi="Times New Roman" w:cs="Times New Roman"/>
          <w:b w:val="0"/>
          <w:color w:val="auto"/>
          <w:sz w:val="22"/>
          <w:szCs w:val="22"/>
        </w:rPr>
        <w:t xml:space="preserve">: Primary cause of failure of </w:t>
      </w:r>
      <w:r w:rsidR="00A55C74" w:rsidRPr="002F4E96">
        <w:rPr>
          <w:rFonts w:ascii="Times New Roman" w:hAnsi="Times New Roman" w:cs="Times New Roman"/>
          <w:b w:val="0"/>
          <w:color w:val="auto"/>
          <w:sz w:val="22"/>
          <w:szCs w:val="22"/>
        </w:rPr>
        <w:t xml:space="preserve">the </w:t>
      </w:r>
      <w:r w:rsidRPr="002F4E96">
        <w:rPr>
          <w:rFonts w:ascii="Times New Roman" w:hAnsi="Times New Roman" w:cs="Times New Roman"/>
          <w:b w:val="0"/>
          <w:color w:val="auto"/>
          <w:sz w:val="22"/>
          <w:szCs w:val="22"/>
        </w:rPr>
        <w:t xml:space="preserve">electronic package (Adapted from </w:t>
      </w:r>
      <w:r w:rsidRPr="002F4E96">
        <w:rPr>
          <w:rFonts w:ascii="Times New Roman" w:hAnsi="Times New Roman" w:cs="Times New Roman"/>
          <w:b w:val="0"/>
          <w:color w:val="auto"/>
          <w:sz w:val="22"/>
          <w:szCs w:val="22"/>
        </w:rPr>
        <w:fldChar w:fldCharType="begin" w:fldLock="1"/>
      </w:r>
      <w:r w:rsidR="00B219E2" w:rsidRPr="002F4E96">
        <w:rPr>
          <w:rFonts w:ascii="Times New Roman" w:hAnsi="Times New Roman" w:cs="Times New Roman"/>
          <w:b w:val="0"/>
          <w:color w:val="auto"/>
          <w:sz w:val="22"/>
          <w:szCs w:val="22"/>
        </w:rPr>
        <w:instrText>ADDIN CSL_CITATION {"citationItems":[{"id":"ITEM-1","itemData":{"DOI":"10.1016/j.mechrescom.2004.03.011","ISSN":"00936413","abstract":"The low-cycle fatigue induced by thermal cycling is the major concern in the reliability of surface mounted technology (SMT) for electronic packaging; however, dynamic loading effects to solder joint fatigue life have not been thoroughly investigated. In fact, the high-cycling fatigue induced by vibration can also contribute a significant effect. In certain circumstances it can become the dominant failure case when semiconductor devices are used in a vibration environment. In this paper, according to random vibration theory, a random fatigue semi-experimental model of SMT solder joint in random vibration condition is created and a series of vibration fatigue experimental vehicles including PBGA256 assembly were conducted. Compared with random vibration test results, its results are good enough to predict solder joints' fatigue. © 2004 Elsevier Ltd. All rights reserved.","author":[{"dropping-particle":"","family":"Guo","given":"Qiang","non-dropping-particle":"","parse-names":false,"suffix":""},{"dropping-particle":"","family":"Zhao","given":"Mei","non-dropping-particle":"","parse-names":false,"suffix":""},{"dropping-particle":"","family":"Wang","given":"Hongfang","non-dropping-particle":"","parse-names":false,"suffix":""}],"container-title":"Mechanics Research Communications","id":"ITEM-1","issued":{"date-parts":[["2005"]]},"title":"SMT solder joint's semi-experimental fatigue model","type":"article-journal"},"uris":["http://www.mendeley.com/documents/?uuid=d3d5e060-9947-4d61-912d-d61b5a0f48f8"]}],"mendeley":{"formattedCitation":"[34]","plainTextFormattedCitation":"[34]","previouslyFormattedCitation":"[34]"},"properties":{"noteIndex":0},"schema":"https://github.com/citation-style-language/schema/raw/master/csl-citation.json"}</w:instrText>
      </w:r>
      <w:r w:rsidRPr="002F4E96">
        <w:rPr>
          <w:rFonts w:ascii="Times New Roman" w:hAnsi="Times New Roman" w:cs="Times New Roman"/>
          <w:b w:val="0"/>
          <w:color w:val="auto"/>
          <w:sz w:val="22"/>
          <w:szCs w:val="22"/>
        </w:rPr>
        <w:fldChar w:fldCharType="separate"/>
      </w:r>
      <w:r w:rsidR="00601167" w:rsidRPr="002F4E96">
        <w:rPr>
          <w:rFonts w:ascii="Times New Roman" w:hAnsi="Times New Roman" w:cs="Times New Roman"/>
          <w:b w:val="0"/>
          <w:noProof/>
          <w:color w:val="auto"/>
          <w:sz w:val="22"/>
          <w:szCs w:val="22"/>
        </w:rPr>
        <w:t>[34]</w:t>
      </w:r>
      <w:r w:rsidRPr="002F4E96">
        <w:rPr>
          <w:rFonts w:ascii="Times New Roman" w:hAnsi="Times New Roman" w:cs="Times New Roman"/>
          <w:b w:val="0"/>
          <w:color w:val="auto"/>
          <w:sz w:val="22"/>
          <w:szCs w:val="22"/>
        </w:rPr>
        <w:fldChar w:fldCharType="end"/>
      </w:r>
      <w:r w:rsidRPr="002F4E96">
        <w:rPr>
          <w:rFonts w:ascii="Times New Roman" w:hAnsi="Times New Roman" w:cs="Times New Roman"/>
          <w:b w:val="0"/>
          <w:color w:val="auto"/>
          <w:sz w:val="22"/>
          <w:szCs w:val="22"/>
        </w:rPr>
        <w:t>)</w:t>
      </w:r>
    </w:p>
    <w:p w14:paraId="63ACA563" w14:textId="2CCB523C" w:rsidR="0033581F" w:rsidRPr="002F4E96" w:rsidRDefault="0033581F" w:rsidP="007B45C3">
      <w:pPr>
        <w:spacing w:after="0" w:line="360" w:lineRule="auto"/>
        <w:jc w:val="both"/>
        <w:rPr>
          <w:rFonts w:ascii="Times New Roman" w:hAnsi="Times New Roman" w:cs="Times New Roman"/>
        </w:rPr>
      </w:pPr>
      <w:r w:rsidRPr="002F4E96">
        <w:rPr>
          <w:rFonts w:ascii="Times New Roman" w:hAnsi="Times New Roman" w:cs="Times New Roman"/>
        </w:rPr>
        <w:t xml:space="preserve">In this investigation, </w:t>
      </w:r>
      <w:r w:rsidR="008C1931" w:rsidRPr="002F4E96">
        <w:rPr>
          <w:rFonts w:ascii="Times New Roman" w:hAnsi="Times New Roman" w:cs="Times New Roman"/>
        </w:rPr>
        <w:t xml:space="preserve">an </w:t>
      </w:r>
      <w:r w:rsidRPr="002F4E96">
        <w:rPr>
          <w:rFonts w:ascii="Times New Roman" w:hAnsi="Times New Roman" w:cs="Times New Roman"/>
        </w:rPr>
        <w:t xml:space="preserve">Anand viscoplastic constitutive empirical model has been applied to define the </w:t>
      </w:r>
      <w:r w:rsidR="008C1931" w:rsidRPr="002F4E96">
        <w:rPr>
          <w:rFonts w:ascii="Times New Roman" w:hAnsi="Times New Roman" w:cs="Times New Roman"/>
        </w:rPr>
        <w:t>FEA simulation's output</w:t>
      </w:r>
      <w:r w:rsidRPr="002F4E96">
        <w:rPr>
          <w:rFonts w:ascii="Times New Roman" w:hAnsi="Times New Roman" w:cs="Times New Roman"/>
        </w:rPr>
        <w:t xml:space="preserve"> for plastic shear strain, plastic strain, shear strain, and creep energy density, helpful in </w:t>
      </w:r>
      <w:r w:rsidR="004A0F82" w:rsidRPr="002F4E96">
        <w:rPr>
          <w:rFonts w:ascii="Times New Roman" w:hAnsi="Times New Roman" w:cs="Times New Roman"/>
        </w:rPr>
        <w:t>predicting</w:t>
      </w:r>
      <w:r w:rsidRPr="002F4E96">
        <w:rPr>
          <w:rFonts w:ascii="Times New Roman" w:hAnsi="Times New Roman" w:cs="Times New Roman"/>
        </w:rPr>
        <w:t xml:space="preserve"> the fatigue life estimation of solder joint alloys. Research has shown that the Engelmaier modified fatigue model, a developed version of the Coffin-Manson model, takes the temperature effect, elastic-plastic strain, and thermal cycle frequency.  The author used this to ascertain the solder's fatigue life of the solder alloys. Three different life predictive models, such as Solomon, Coffin-Mason, and Syed, were employed in the fatigue life evaluation as the basis of comparison in this study.</w:t>
      </w:r>
    </w:p>
    <w:p w14:paraId="655EBBD0" w14:textId="77777777" w:rsidR="0033581F" w:rsidRPr="002F4E96" w:rsidRDefault="0033581F" w:rsidP="007B45C3">
      <w:pPr>
        <w:spacing w:after="0" w:line="360" w:lineRule="auto"/>
        <w:jc w:val="both"/>
        <w:rPr>
          <w:rFonts w:ascii="Times New Roman" w:hAnsi="Times New Roman" w:cs="Times New Roman"/>
        </w:rPr>
      </w:pPr>
    </w:p>
    <w:p w14:paraId="70C2B7A0" w14:textId="595059C9" w:rsidR="007B45C3" w:rsidRPr="002F4E96" w:rsidRDefault="0033581F" w:rsidP="007B45C3">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Analytical models in electronic manufacturing engineering have several </w:t>
      </w:r>
      <w:r w:rsidR="00541376" w:rsidRPr="002F4E96">
        <w:rPr>
          <w:rFonts w:ascii="Times New Roman" w:eastAsia="Times New Roman" w:hAnsi="Times New Roman" w:cs="Times New Roman"/>
          <w:lang w:eastAsia="en-GB"/>
        </w:rPr>
        <w:t>practical</w:t>
      </w:r>
      <w:r w:rsidRPr="002F4E96">
        <w:rPr>
          <w:rFonts w:ascii="Times New Roman" w:eastAsia="Times New Roman" w:hAnsi="Times New Roman" w:cs="Times New Roman"/>
          <w:lang w:eastAsia="en-GB"/>
        </w:rPr>
        <w:t xml:space="preserve"> applications </w:t>
      </w:r>
      <w:r w:rsidR="007B45C3" w:rsidRPr="002F4E96">
        <w:rPr>
          <w:rFonts w:ascii="Times New Roman" w:eastAsia="Times New Roman" w:hAnsi="Times New Roman" w:cs="Times New Roman"/>
          <w:lang w:eastAsia="en-GB"/>
        </w:rPr>
        <w:fldChar w:fldCharType="begin" w:fldLock="1"/>
      </w:r>
      <w:r w:rsidR="00042EDB" w:rsidRPr="002F4E96">
        <w:rPr>
          <w:rFonts w:ascii="Times New Roman" w:eastAsia="Times New Roman" w:hAnsi="Times New Roman" w:cs="Times New Roman"/>
          <w:lang w:eastAsia="en-GB"/>
        </w:rPr>
        <w:instrText>ADDIN CSL_CITATION {"citationItems":[{"id":"ITEM-1","itemData":{"DOI":"10.1109/ECTC.2000.853299","abstract":"A generalized solder joint fatigue life model for surface mount packages was previously published in Refs [1, 2]. The model is based on correlation to measured crack growth data on BGA joints during thermal cycling. It was subsequently discovered by Anderson et.al. that the ANSYS™ 5.2 finite element code used in the model had an error in its method for calculating plastic work [3]. It was shown that significant error in life prediction could result by using a recent version of the code where the bug has been fixed. The error comes about since the original crack growth constants were derived based on plastic work calculations that had the bug. In this paper, crack initiation and growth constants are recalculated using ANSYS™ 5.6. In addition, several other model related issues are explored with respect to the crack growth correlations. For example, 3D slice models were compared to quarter symmetry models. Anand's constitutive model was compared with Darveaux's constitutive model. It was shown that the crack growth rate dependence on strain energy density always had an exponent of 1.10 +/- 0.15. This is in the range of the original correlation, so the accuracy of relative predictions should still be within +/- 25%. However, the accuracy of absolute predictions could be off by a factor of 7 in the worst case, if the analyst uses a modeling procedure that is not consistent with that used for the crack growth correlation. The key to good accuracy is to maintain consistency in the modeling procedure. © 2000 IEEE.","author":[{"dropping-particle":"","family":"Darveaux","given":"Robert","non-dropping-particle":"","parse-names":false,"suffix":""}],"container-title":"Proceedings - Electronic Components and Technology Conference","id":"ITEM-1","issued":{"date-parts":[["2000"]]},"title":"Effect of simulation methodology on solder joint crack growth correlation","type":"article-journal"},"uris":["http://www.mendeley.com/documents/?uuid=e76d80ad-ca12-42c9-bb6c-744b2de9b78c"]},{"id":"ITEM-2","itemData":{"DOI":"10.1115/1.1413764","ISSN":"10437398","abstract":"A generalized solder joint fatigue life model for surface mount packages was previously published in [1,2]. The model is based on correlation to measured crack growth data on BGA joints during thermal cycling. It was subsequently discovered by Anderson et al. that the ANSYS™1 5.2 finite element code used in the model had an error in its method for calculating plastic work [3]. It was shown that significant error in life prediction could result by using a recent version of the code where the bug has been fixed. The error comes about since the original crack growth constants were derived based on plastic work calculations that had the bug. In this paper, crack initiation and growth constants are recalculated using ANSYS™ 5.6. In addition, several other model related issues are explored with respect to the crack growth correlations. For example, 3D slice models were compared to quarter symmetry models. Anand's constitutive model was compared with Darveaux's constitutive model. It was shown that the crack growth rate dependence on strain energy density always had an exponent of 1.10+/-0.15. This is in the range of the original correlation. The model was applied to several data sets of tape-based and laminate-based BGAs. The accuracy of absolute predictions is mostly within +/-2X. The accuracy of relative predictions is within +/-25%. However, the accuracy of absolute predictions could be off by a factor of 7 in the worst case, if the analyst uses a modeling procedure that is not consistent with that used for the crack growth correlation. The key to good accuracy is to maintain consistency in the modeling procedure.","author":[{"dropping-particle":"","family":"Darveaux","given":"Robert","non-dropping-particle":"","parse-names":false,"suffix":""}],"container-title":"Journal of Electronic Packaging, Transactions of the ASME","id":"ITEM-2","issued":{"date-parts":[["2002"]]},"title":"Effect of simulation methodology on solder joint crack growth correlation and fatigue life prediction","type":"article-journal"},"uris":["http://www.mendeley.com/documents/?uuid=79462140-26c5-449d-b0a3-9fb2fc609abf"]}],"mendeley":{"formattedCitation":"[52], [53]","plainTextFormattedCitation":"[52], [53]","previouslyFormattedCitation":"[52], [53]"},"properties":{"noteIndex":0},"schema":"https://github.com/citation-style-language/schema/raw/master/csl-citation.json"}</w:instrText>
      </w:r>
      <w:r w:rsidR="007B45C3" w:rsidRPr="002F4E96">
        <w:rPr>
          <w:rFonts w:ascii="Times New Roman" w:eastAsia="Times New Roman" w:hAnsi="Times New Roman" w:cs="Times New Roman"/>
          <w:lang w:eastAsia="en-GB"/>
        </w:rPr>
        <w:fldChar w:fldCharType="separate"/>
      </w:r>
      <w:r w:rsidR="00A87066" w:rsidRPr="002F4E96">
        <w:rPr>
          <w:rFonts w:ascii="Times New Roman" w:eastAsia="Times New Roman" w:hAnsi="Times New Roman" w:cs="Times New Roman"/>
          <w:noProof/>
          <w:lang w:eastAsia="en-GB"/>
        </w:rPr>
        <w:t>[52], [53]</w:t>
      </w:r>
      <w:r w:rsidR="007B45C3" w:rsidRPr="002F4E96">
        <w:rPr>
          <w:rFonts w:ascii="Times New Roman" w:eastAsia="Times New Roman" w:hAnsi="Times New Roman" w:cs="Times New Roman"/>
          <w:lang w:eastAsia="en-GB"/>
        </w:rPr>
        <w:fldChar w:fldCharType="end"/>
      </w:r>
      <w:r w:rsidR="007B45C3" w:rsidRPr="002F4E96">
        <w:rPr>
          <w:rFonts w:ascii="Times New Roman" w:eastAsia="Times New Roman" w:hAnsi="Times New Roman" w:cs="Times New Roman"/>
          <w:lang w:eastAsia="en-GB"/>
        </w:rPr>
        <w:t>:</w:t>
      </w:r>
    </w:p>
    <w:p w14:paraId="790B60CB" w14:textId="5E87B046" w:rsidR="007B45C3" w:rsidRPr="002F4E96" w:rsidRDefault="007B45C3" w:rsidP="007B45C3">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Accelerated design </w:t>
      </w:r>
      <w:r w:rsidR="00F54AE7" w:rsidRPr="002F4E96">
        <w:rPr>
          <w:rFonts w:ascii="Times New Roman" w:eastAsia="Times New Roman" w:hAnsi="Times New Roman" w:cs="Times New Roman"/>
          <w:lang w:eastAsia="en-GB"/>
        </w:rPr>
        <w:t>optimisation</w:t>
      </w:r>
      <w:r w:rsidRPr="002F4E96">
        <w:rPr>
          <w:rFonts w:ascii="Times New Roman" w:eastAsia="Times New Roman" w:hAnsi="Times New Roman" w:cs="Times New Roman"/>
          <w:lang w:eastAsia="en-GB"/>
        </w:rPr>
        <w:t xml:space="preserve"> during the developing phase of a </w:t>
      </w:r>
      <w:r w:rsidR="00D209C7" w:rsidRPr="002F4E96">
        <w:rPr>
          <w:rFonts w:ascii="Times New Roman" w:eastAsia="Times New Roman" w:hAnsi="Times New Roman" w:cs="Times New Roman"/>
          <w:lang w:eastAsia="en-GB"/>
        </w:rPr>
        <w:t>product.</w:t>
      </w:r>
    </w:p>
    <w:p w14:paraId="448D4CB3" w14:textId="62480BDA" w:rsidR="007B45C3" w:rsidRPr="002F4E96" w:rsidRDefault="007B45C3" w:rsidP="007B45C3">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Predicting field use limits</w:t>
      </w:r>
      <w:r w:rsidR="00D209C7" w:rsidRPr="002F4E96">
        <w:rPr>
          <w:rFonts w:ascii="Times New Roman" w:eastAsia="Times New Roman" w:hAnsi="Times New Roman" w:cs="Times New Roman"/>
          <w:lang w:eastAsia="en-GB"/>
        </w:rPr>
        <w:t>.</w:t>
      </w:r>
    </w:p>
    <w:p w14:paraId="7BC439BA" w14:textId="77777777" w:rsidR="007B45C3" w:rsidRPr="002F4E96" w:rsidRDefault="007B45C3" w:rsidP="007B45C3">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Failure analysis of product returned from the field or failed in a qualification test.</w:t>
      </w:r>
    </w:p>
    <w:p w14:paraId="31E79872" w14:textId="06450663" w:rsidR="007B45C3" w:rsidRPr="002F4E96" w:rsidRDefault="007B45C3" w:rsidP="007B45C3">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Four factors </w:t>
      </w:r>
      <w:r w:rsidR="00A55C74" w:rsidRPr="002F4E96">
        <w:rPr>
          <w:rFonts w:ascii="Times New Roman" w:eastAsia="Times New Roman" w:hAnsi="Times New Roman" w:cs="Times New Roman"/>
          <w:lang w:eastAsia="en-GB"/>
        </w:rPr>
        <w:t>govern</w:t>
      </w:r>
      <w:r w:rsidRPr="002F4E96">
        <w:rPr>
          <w:rFonts w:ascii="Times New Roman" w:eastAsia="Times New Roman" w:hAnsi="Times New Roman" w:cs="Times New Roman"/>
          <w:lang w:eastAsia="en-GB"/>
        </w:rPr>
        <w:t xml:space="preserve"> life prediction</w:t>
      </w:r>
      <w:r w:rsidR="00A55C74" w:rsidRPr="002F4E96">
        <w:rPr>
          <w:rFonts w:ascii="Times New Roman" w:eastAsia="Times New Roman" w:hAnsi="Times New Roman" w:cs="Times New Roman"/>
          <w:lang w:eastAsia="en-GB"/>
        </w:rPr>
        <w:t>: material</w:t>
      </w:r>
      <w:r w:rsidRPr="002F4E96">
        <w:rPr>
          <w:rFonts w:ascii="Times New Roman" w:eastAsia="Times New Roman" w:hAnsi="Times New Roman" w:cs="Times New Roman"/>
          <w:lang w:eastAsia="en-GB"/>
        </w:rPr>
        <w:t xml:space="preserve"> behaviour, simulation techniques, life prediction methodology</w:t>
      </w:r>
      <w:r w:rsidR="00A55C74" w:rsidRPr="002F4E96">
        <w:rPr>
          <w:rFonts w:ascii="Times New Roman" w:eastAsia="Times New Roman" w:hAnsi="Times New Roman" w:cs="Times New Roman"/>
          <w:lang w:eastAsia="en-GB"/>
        </w:rPr>
        <w:t>,</w:t>
      </w:r>
      <w:r w:rsidRPr="002F4E96">
        <w:rPr>
          <w:rFonts w:ascii="Times New Roman" w:eastAsia="Times New Roman" w:hAnsi="Times New Roman" w:cs="Times New Roman"/>
          <w:lang w:eastAsia="en-GB"/>
        </w:rPr>
        <w:t xml:space="preserve"> and test data. Either accumulated creep strain or energy density can be employed for life prediction (creep strain has demonstrated to yield better prediction accuracy</w:t>
      </w:r>
      <w:r w:rsidR="00A55C74" w:rsidRPr="002F4E96">
        <w:rPr>
          <w:rFonts w:ascii="Times New Roman" w:eastAsia="Times New Roman" w:hAnsi="Times New Roman" w:cs="Times New Roman"/>
          <w:lang w:eastAsia="en-GB"/>
        </w:rPr>
        <w:t>,</w:t>
      </w:r>
      <w:r w:rsidRPr="002F4E96">
        <w:rPr>
          <w:rFonts w:ascii="Times New Roman" w:eastAsia="Times New Roman" w:hAnsi="Times New Roman" w:cs="Times New Roman"/>
          <w:lang w:eastAsia="en-GB"/>
        </w:rPr>
        <w:t xml:space="preserve"> and energy density capture high-stress effects better). </w:t>
      </w:r>
    </w:p>
    <w:p w14:paraId="1CD01B44" w14:textId="77777777" w:rsidR="007B45C3" w:rsidRPr="002F4E96" w:rsidRDefault="007B45C3" w:rsidP="007B45C3">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Why Predict:</w:t>
      </w:r>
    </w:p>
    <w:p w14:paraId="76B2CEF9" w14:textId="4E4CA4B0" w:rsidR="007B45C3" w:rsidRPr="002F4E96" w:rsidRDefault="007B45C3" w:rsidP="007B45C3">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 Life prediction models are required to evaluate reliability at the design </w:t>
      </w:r>
      <w:r w:rsidR="00D209C7" w:rsidRPr="002F4E96">
        <w:rPr>
          <w:rFonts w:ascii="Times New Roman" w:eastAsia="Times New Roman" w:hAnsi="Times New Roman" w:cs="Times New Roman"/>
          <w:lang w:eastAsia="en-GB"/>
        </w:rPr>
        <w:t>state.</w:t>
      </w:r>
    </w:p>
    <w:p w14:paraId="44BB2D67" w14:textId="7D5F9FFD" w:rsidR="007B45C3" w:rsidRPr="002F4E96" w:rsidRDefault="007B45C3" w:rsidP="007B45C3">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Reduction in the design cycle time limits in the application of testing to evaluate the reliability</w:t>
      </w:r>
      <w:r w:rsidR="00D209C7" w:rsidRPr="002F4E96">
        <w:rPr>
          <w:rFonts w:ascii="Times New Roman" w:eastAsia="Times New Roman" w:hAnsi="Times New Roman" w:cs="Times New Roman"/>
          <w:lang w:eastAsia="en-GB"/>
        </w:rPr>
        <w:t>.</w:t>
      </w:r>
    </w:p>
    <w:p w14:paraId="5BC9A780" w14:textId="3A42A6D7" w:rsidR="007B45C3" w:rsidRPr="002F4E96" w:rsidRDefault="007B45C3" w:rsidP="007B45C3">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 The industry is fast migrating to </w:t>
      </w:r>
      <w:r w:rsidR="00F54AE7" w:rsidRPr="002F4E96">
        <w:rPr>
          <w:rFonts w:ascii="Times New Roman" w:eastAsia="Times New Roman" w:hAnsi="Times New Roman" w:cs="Times New Roman"/>
          <w:lang w:eastAsia="en-GB"/>
        </w:rPr>
        <w:t>SAC</w:t>
      </w:r>
      <w:r w:rsidRPr="002F4E96">
        <w:rPr>
          <w:rFonts w:ascii="Times New Roman" w:eastAsia="Times New Roman" w:hAnsi="Times New Roman" w:cs="Times New Roman"/>
          <w:lang w:eastAsia="en-GB"/>
        </w:rPr>
        <w:t xml:space="preserve"> solder alloys.</w:t>
      </w:r>
    </w:p>
    <w:p w14:paraId="524F5F42" w14:textId="0F4BD394" w:rsidR="007B45C3" w:rsidRPr="002F4E96" w:rsidRDefault="000D5CD5" w:rsidP="00184D00">
      <w:pPr>
        <w:spacing w:before="125" w:line="360" w:lineRule="auto"/>
        <w:ind w:right="38"/>
        <w:jc w:val="both"/>
        <w:rPr>
          <w:rFonts w:ascii="Times New Roman" w:hAnsi="Times New Roman" w:cs="Times New Roman"/>
          <w:bCs/>
        </w:rPr>
      </w:pPr>
      <w:r w:rsidRPr="002F4E96">
        <w:rPr>
          <w:rFonts w:ascii="Times New Roman" w:hAnsi="Times New Roman" w:cs="Times New Roman"/>
          <w:bCs/>
        </w:rPr>
        <w:t>Several</w:t>
      </w:r>
      <w:r w:rsidR="007E732E" w:rsidRPr="002F4E96">
        <w:rPr>
          <w:rFonts w:ascii="Times New Roman" w:hAnsi="Times New Roman" w:cs="Times New Roman"/>
          <w:bCs/>
        </w:rPr>
        <w:t xml:space="preserve"> researchers have investigated solder joint alloys reliability in electronic devices, including the fatigue life of </w:t>
      </w:r>
      <w:r w:rsidR="00541376" w:rsidRPr="002F4E96">
        <w:rPr>
          <w:rFonts w:ascii="Times New Roman" w:hAnsi="Times New Roman" w:cs="Times New Roman"/>
          <w:bCs/>
        </w:rPr>
        <w:t>various</w:t>
      </w:r>
      <w:r w:rsidR="007E732E" w:rsidRPr="002F4E96">
        <w:rPr>
          <w:rFonts w:ascii="Times New Roman" w:hAnsi="Times New Roman" w:cs="Times New Roman"/>
          <w:bCs/>
        </w:rPr>
        <w:t xml:space="preserve"> solder joints in the hood of an automobile, portable electronic devices (PEDs) in the consumer electronics sector and high-reliability military hardware. No studies have compared and benchmarked the five solder alloys considered in this study. These solder alloys are employed mainly in the manufacture, assembly and modelling of these electronic devices. In the ever-increasing miniaturisation in the manufacturing trend in electronics packaging amidst the advances in its </w:t>
      </w:r>
      <w:r w:rsidR="007E732E" w:rsidRPr="002F4E96">
        <w:rPr>
          <w:rFonts w:ascii="Times New Roman" w:hAnsi="Times New Roman" w:cs="Times New Roman"/>
          <w:bCs/>
        </w:rPr>
        <w:lastRenderedPageBreak/>
        <w:t>functionality, the knowledge and identification of a proper lead-free solder and its adoption in electronics manufacturing will increase the electronic devices' reliability</w:t>
      </w:r>
      <w:r w:rsidR="00541376" w:rsidRPr="002F4E96">
        <w:rPr>
          <w:rFonts w:ascii="Times New Roman" w:hAnsi="Times New Roman" w:cs="Times New Roman"/>
          <w:bCs/>
        </w:rPr>
        <w:t>. The fatigue</w:t>
      </w:r>
      <w:r w:rsidR="007E732E" w:rsidRPr="002F4E96">
        <w:rPr>
          <w:rFonts w:ascii="Times New Roman" w:hAnsi="Times New Roman" w:cs="Times New Roman"/>
          <w:bCs/>
        </w:rPr>
        <w:t xml:space="preserve"> lives </w:t>
      </w:r>
      <w:r w:rsidR="00541376" w:rsidRPr="002F4E96">
        <w:rPr>
          <w:rFonts w:ascii="Times New Roman" w:hAnsi="Times New Roman" w:cs="Times New Roman"/>
          <w:bCs/>
        </w:rPr>
        <w:t xml:space="preserve">are shown in </w:t>
      </w:r>
      <w:r w:rsidR="007E732E" w:rsidRPr="002F4E96">
        <w:rPr>
          <w:rFonts w:ascii="Times New Roman" w:hAnsi="Times New Roman" w:cs="Times New Roman"/>
          <w:bCs/>
        </w:rPr>
        <w:t>Fig. 1</w:t>
      </w:r>
      <w:r w:rsidR="00541376" w:rsidRPr="002F4E96">
        <w:rPr>
          <w:rFonts w:ascii="Times New Roman" w:hAnsi="Times New Roman" w:cs="Times New Roman"/>
          <w:bCs/>
        </w:rPr>
        <w:t>,</w:t>
      </w:r>
      <w:r w:rsidR="007E732E" w:rsidRPr="002F4E96">
        <w:rPr>
          <w:rFonts w:ascii="Times New Roman" w:hAnsi="Times New Roman" w:cs="Times New Roman"/>
          <w:bCs/>
        </w:rPr>
        <w:t xml:space="preserve"> </w:t>
      </w:r>
      <w:r w:rsidR="00541376" w:rsidRPr="002F4E96">
        <w:rPr>
          <w:rFonts w:ascii="Times New Roman" w:hAnsi="Times New Roman" w:cs="Times New Roman"/>
          <w:bCs/>
        </w:rPr>
        <w:t>presenting</w:t>
      </w:r>
      <w:r w:rsidR="007E732E" w:rsidRPr="002F4E96">
        <w:rPr>
          <w:rFonts w:ascii="Times New Roman" w:hAnsi="Times New Roman" w:cs="Times New Roman"/>
          <w:bCs/>
        </w:rPr>
        <w:t xml:space="preserve"> the schematics of the fatigue life modelling method employed in this research</w:t>
      </w:r>
      <w:r w:rsidR="00A87066" w:rsidRPr="002F4E96">
        <w:rPr>
          <w:rFonts w:ascii="Times New Roman" w:hAnsi="Times New Roman" w:cs="Times New Roman"/>
          <w:bCs/>
        </w:rPr>
        <w:t xml:space="preserve"> </w:t>
      </w:r>
      <w:r w:rsidR="00752A06" w:rsidRPr="002F4E96">
        <w:rPr>
          <w:rFonts w:ascii="Times New Roman" w:hAnsi="Times New Roman" w:cs="Times New Roman"/>
          <w:bCs/>
        </w:rPr>
        <w:fldChar w:fldCharType="begin" w:fldLock="1"/>
      </w:r>
      <w:r w:rsidR="00F54AE7" w:rsidRPr="002F4E96">
        <w:rPr>
          <w:rFonts w:ascii="Times New Roman" w:hAnsi="Times New Roman" w:cs="Times New Roman"/>
          <w:bCs/>
        </w:rPr>
        <w:instrText>ADDIN CSL_CITATION {"citationItems":[{"id":"ITEM-1","itemData":{"DOI":"10.1007/s11664-020-08525-9","ISSN":"1543-186X","author":[{"dropping-particle":"","family":"Depiver","given":"Joshua A","non-dropping-particle":"","parse-names":false,"suffix":""},{"dropping-particle":"","family":"Mallik","given":"Sabuj","non-dropping-particle":"","parse-names":false,"suffix":""},{"dropping-particle":"","family":"Amalu","given":"Emeka H.","non-dropping-particle":"","parse-names":false,"suffix":""}],"container-title":"Journal of Electronic Materials","id":"ITEM-1","issued":{"date-parts":[["2020"]]},"publisher":"Springer US","title":"Effective Solder for Improved Thermo-Mechanical Reliability of Solder Joints in a Ball Grid Array ( BGA ) Soldered on Printed Circuit Board ( PCB )","type":"article-journal"},"uris":["http://www.mendeley.com/documents/?uuid=6e5bd05b-44ff-400f-9329-efc6aeb8d704"]}],"mendeley":{"formattedCitation":"[54]","plainTextFormattedCitation":"[54]","previouslyFormattedCitation":"[54]"},"properties":{"noteIndex":0},"schema":"https://github.com/citation-style-language/schema/raw/master/csl-citation.json"}</w:instrText>
      </w:r>
      <w:r w:rsidR="00752A06" w:rsidRPr="002F4E96">
        <w:rPr>
          <w:rFonts w:ascii="Times New Roman" w:hAnsi="Times New Roman" w:cs="Times New Roman"/>
          <w:bCs/>
        </w:rPr>
        <w:fldChar w:fldCharType="separate"/>
      </w:r>
      <w:r w:rsidR="00752A06" w:rsidRPr="002F4E96">
        <w:rPr>
          <w:rFonts w:ascii="Times New Roman" w:hAnsi="Times New Roman" w:cs="Times New Roman"/>
          <w:bCs/>
          <w:noProof/>
        </w:rPr>
        <w:t>[54]</w:t>
      </w:r>
      <w:r w:rsidR="00752A06" w:rsidRPr="002F4E96">
        <w:rPr>
          <w:rFonts w:ascii="Times New Roman" w:hAnsi="Times New Roman" w:cs="Times New Roman"/>
          <w:bCs/>
        </w:rPr>
        <w:fldChar w:fldCharType="end"/>
      </w:r>
      <w:r w:rsidR="00752A06" w:rsidRPr="002F4E96">
        <w:rPr>
          <w:rFonts w:ascii="Times New Roman" w:hAnsi="Times New Roman" w:cs="Times New Roman"/>
          <w:bCs/>
        </w:rPr>
        <w:t>.</w:t>
      </w:r>
    </w:p>
    <w:p w14:paraId="34B01016" w14:textId="56E9DDD8" w:rsidR="007F7F57" w:rsidRPr="002F4E96" w:rsidRDefault="007F7F57" w:rsidP="000D7411">
      <w:pPr>
        <w:pStyle w:val="Heading3"/>
        <w:spacing w:line="360" w:lineRule="auto"/>
        <w:rPr>
          <w:rFonts w:ascii="Times New Roman" w:hAnsi="Times New Roman" w:cs="Times New Roman"/>
          <w:color w:val="auto"/>
          <w:sz w:val="22"/>
          <w:szCs w:val="22"/>
        </w:rPr>
      </w:pPr>
      <w:bookmarkStart w:id="4" w:name="_Toc33286855"/>
      <w:r w:rsidRPr="002F4E96">
        <w:rPr>
          <w:rFonts w:ascii="Times New Roman" w:hAnsi="Times New Roman" w:cs="Times New Roman"/>
          <w:color w:val="auto"/>
          <w:sz w:val="22"/>
          <w:szCs w:val="22"/>
        </w:rPr>
        <w:t>1.</w:t>
      </w:r>
      <w:r w:rsidR="00A00527" w:rsidRPr="002F4E96">
        <w:rPr>
          <w:rFonts w:ascii="Times New Roman" w:hAnsi="Times New Roman" w:cs="Times New Roman"/>
          <w:color w:val="auto"/>
          <w:sz w:val="22"/>
          <w:szCs w:val="22"/>
        </w:rPr>
        <w:t>3.1</w:t>
      </w:r>
      <w:r w:rsidRPr="002F4E96">
        <w:rPr>
          <w:rFonts w:ascii="Times New Roman" w:hAnsi="Times New Roman" w:cs="Times New Roman"/>
          <w:color w:val="auto"/>
          <w:sz w:val="22"/>
          <w:szCs w:val="22"/>
        </w:rPr>
        <w:t xml:space="preserve"> Anand Model Equations</w:t>
      </w:r>
      <w:bookmarkEnd w:id="4"/>
    </w:p>
    <w:p w14:paraId="3F943905" w14:textId="31B1928A" w:rsidR="00531336" w:rsidRPr="002F4E96" w:rsidRDefault="00531336" w:rsidP="000D7411">
      <w:pPr>
        <w:spacing w:line="360" w:lineRule="auto"/>
        <w:jc w:val="both"/>
        <w:rPr>
          <w:rFonts w:ascii="Times New Roman" w:hAnsi="Times New Roman" w:cs="Times New Roman"/>
          <w:noProof/>
        </w:rPr>
      </w:pPr>
      <w:r w:rsidRPr="002F4E96">
        <w:rPr>
          <w:rFonts w:ascii="Times New Roman" w:hAnsi="Times New Roman" w:cs="Times New Roman"/>
          <w:noProof/>
        </w:rPr>
        <w:t xml:space="preserve">As stated earlier, Anand </w:t>
      </w:r>
      <w:r w:rsidRPr="002F4E96">
        <w:rPr>
          <w:rFonts w:ascii="Times New Roman" w:hAnsi="Times New Roman" w:cs="Times New Roman"/>
          <w:noProof/>
        </w:rPr>
        <w:fldChar w:fldCharType="begin" w:fldLock="1"/>
      </w:r>
      <w:r w:rsidRPr="002F4E96">
        <w:rPr>
          <w:rFonts w:ascii="Times New Roman" w:hAnsi="Times New Roman" w:cs="Times New Roman"/>
          <w:noProof/>
        </w:rPr>
        <w:instrText>ADDIN CSL_CITATION {"citationItems":[{"id":"ITEM-1","itemData":{"DOI":"10.1016/0749-6419(85)90004-X","ISSN":"07496419","abstract":"Elevated temperature deformation processing - \"hot-working,\" is an important step during the manufacturing of most metal products. Central to any successful analysis of a hot-working process is the use of appropriate rate and temperature-dependent constitutive equations for large, interrupted inelastic deformations, which can faithfully account for strain-hardening, the restoration processes of recovery and recrystallization and strain rate and temperature history effects. In this paper we develop a set of phenomenological, internal variable type constitutive equations describing the elevated temperature deformation of metals. We use a scalar and a symmetric, traceless, second-order tensor as internal variables which, in an average sense, represent an isotropic and an anisotropic resistance to plastic flow offered by the internal state of the material. In this theory, we consider small elastic stretches but large plastic deformations (within the limits of texturing) of isotropic materials. Special cases (within the constitutive framework developed here) which should be suitable for analyzing hot-working processes are indicated. © 1985.","author":[{"dropping-particle":"","family":"Anand","given":"Lallit","non-dropping-particle":"","parse-names":false,"suffix":""}],"container-title":"International Journal of Plasticity","id":"ITEM-1","issued":{"date-parts":[["1985"]]},"title":"Constitutive equations for hot-working of metals","type":"article-journal"},"uris":["http://www.mendeley.com/documents/?uuid=f2185c07-5057-4d17-af9d-f73d7c86e7a8"]}],"mendeley":{"formattedCitation":"[50]","plainTextFormattedCitation":"[50]","previouslyFormattedCitation":"[50]"},"properties":{"noteIndex":0},"schema":"https://github.com/citation-style-language/schema/raw/master/csl-citation.json"}</w:instrText>
      </w:r>
      <w:r w:rsidRPr="002F4E96">
        <w:rPr>
          <w:rFonts w:ascii="Times New Roman" w:hAnsi="Times New Roman" w:cs="Times New Roman"/>
          <w:noProof/>
        </w:rPr>
        <w:fldChar w:fldCharType="separate"/>
      </w:r>
      <w:r w:rsidRPr="002F4E96">
        <w:rPr>
          <w:rFonts w:ascii="Times New Roman" w:hAnsi="Times New Roman" w:cs="Times New Roman"/>
          <w:noProof/>
        </w:rPr>
        <w:t>[50]</w:t>
      </w:r>
      <w:r w:rsidRPr="002F4E96">
        <w:rPr>
          <w:rFonts w:ascii="Times New Roman" w:hAnsi="Times New Roman" w:cs="Times New Roman"/>
          <w:noProof/>
        </w:rPr>
        <w:fldChar w:fldCharType="end"/>
      </w:r>
      <w:r w:rsidRPr="002F4E96">
        <w:rPr>
          <w:rFonts w:ascii="Times New Roman" w:hAnsi="Times New Roman" w:cs="Times New Roman"/>
        </w:rPr>
        <w:t xml:space="preserve"> and </w:t>
      </w:r>
      <w:r w:rsidRPr="002F4E96">
        <w:rPr>
          <w:rFonts w:ascii="Times New Roman" w:hAnsi="Times New Roman" w:cs="Times New Roman"/>
          <w:noProof/>
        </w:rPr>
        <w:t xml:space="preserve">Brown </w:t>
      </w:r>
      <w:r w:rsidRPr="002F4E96">
        <w:rPr>
          <w:rFonts w:ascii="Times New Roman" w:hAnsi="Times New Roman" w:cs="Times New Roman"/>
          <w:noProof/>
        </w:rPr>
        <w:fldChar w:fldCharType="begin" w:fldLock="1"/>
      </w:r>
      <w:r w:rsidRPr="002F4E96">
        <w:rPr>
          <w:rFonts w:ascii="Times New Roman" w:hAnsi="Times New Roman" w:cs="Times New Roman"/>
          <w:noProof/>
        </w:rPr>
        <w:instrText>ADDIN CSL_CITATION {"citationItems":[{"id":"ITEM-1","itemData":{"DOI":"10.1016/0749-6419(89)90025-9","ISSN":"07496419","abstract":"A set of internal variable type constitutive equations which model large elastic-viscoplastic deformations of metals at high temperatures is formulated. For a first-order representation of large deformation constitutive behavior we use a scalar as an internal variable to represent the isotropic resistance to plastic flow offered by the internal state of the material. Hot compression tests on an iron-2% silicon alloy and a commercially pure aluminum have been conducted. Based on these experiments, specific viscoplastic constitutive functions are proposed, and the values for the materials parameters appearing in these functions are determined. The constitutive equations with these functions and material parameters accurately reproduce the basic tests and also accurately predict the response of the metal to some critical experiments which were not used to determine the material parameters in the constitutive functions. Although the use of a single scalr internal variable limits the constitutive equations to describing the deformation behavior of initially isotropic metals up to deformation levels where significant internal damage and polycrystal texturing has not developed, the constitutive equations presented here should be useful for obtaining an improved analysis of various hot deformation processing operations of metals. © 1989.","author":[{"dropping-particle":"","family":"Brown","given":"Stuart B.","non-dropping-particle":"","parse-names":false,"suffix":""},{"dropping-particle":"","family":"Kim","given":"Kwon H.","non-dropping-particle":"","parse-names":false,"suffix":""},{"dropping-particle":"","family":"Anand","given":"Lallit","non-dropping-particle":"","parse-names":false,"suffix":""}],"container-title":"International Journal of Plasticity","id":"ITEM-1","issued":{"date-parts":[["1989"]]},"title":"An internal variable constitutive model for hot working of metals","type":"article-journal"},"uris":["http://www.mendeley.com/documents/?uuid=2b6a2b1a-bba7-4a29-a11d-8e093af6ace7"]}],"mendeley":{"formattedCitation":"[51]","plainTextFormattedCitation":"[51]","previouslyFormattedCitation":"[51]"},"properties":{"noteIndex":0},"schema":"https://github.com/citation-style-language/schema/raw/master/csl-citation.json"}</w:instrText>
      </w:r>
      <w:r w:rsidRPr="002F4E96">
        <w:rPr>
          <w:rFonts w:ascii="Times New Roman" w:hAnsi="Times New Roman" w:cs="Times New Roman"/>
          <w:noProof/>
        </w:rPr>
        <w:fldChar w:fldCharType="separate"/>
      </w:r>
      <w:r w:rsidRPr="002F4E96">
        <w:rPr>
          <w:rFonts w:ascii="Times New Roman" w:hAnsi="Times New Roman" w:cs="Times New Roman"/>
          <w:noProof/>
        </w:rPr>
        <w:t>[51]</w:t>
      </w:r>
      <w:r w:rsidRPr="002F4E96">
        <w:rPr>
          <w:rFonts w:ascii="Times New Roman" w:hAnsi="Times New Roman" w:cs="Times New Roman"/>
          <w:noProof/>
        </w:rPr>
        <w:fldChar w:fldCharType="end"/>
      </w:r>
      <w:r w:rsidRPr="002F4E96">
        <w:rPr>
          <w:rFonts w:ascii="Times New Roman" w:hAnsi="Times New Roman" w:cs="Times New Roman"/>
          <w:noProof/>
        </w:rPr>
        <w:t xml:space="preserve"> suggested a constitutive equation for isotropic and viscoplastic deformations in a singular-scalar internal variable. The Anand model combines the time-dependent plastic and viscoplastic phenomenon, where the plastic strain increase depends on the loading rate. Viscoplastic, on the other hand, is determined by consolidating creep and plastic deformations </w:t>
      </w:r>
      <w:r w:rsidRPr="002F4E96">
        <w:rPr>
          <w:rFonts w:ascii="Times New Roman" w:hAnsi="Times New Roman" w:cs="Times New Roman"/>
        </w:rPr>
        <w:fldChar w:fldCharType="begin" w:fldLock="1"/>
      </w:r>
      <w:r w:rsidRPr="002F4E96">
        <w:rPr>
          <w:rFonts w:ascii="Times New Roman" w:hAnsi="Times New Roman" w:cs="Times New Roman"/>
        </w:rPr>
        <w:instrText>ADDIN CSL_CITATION {"citationItems":[{"id":"ITEM-1","itemData":{"DOI":"10.1109/itherm.2004.1318317","abstract":"An improved Anand constitutive model is proposed to describe the inelastic deformation of lead free solder Sn-3.5Ag used in solder joints of microelectronic packaging. The new model accurately predicted the overall trend of steady-state stress-strain behavior of the solder for the temperature range from 233K to 398K and the strain rate range from 0.005s-1 to 0.1s-1. h0, a constant in the original Anand model, was set to a function of temperature and strain rate in the proposed model. Comparison of the experimental results and simulated results verified that the improved Anand model with modifying h0 to a function reasonably simulated the inelastic stress-strain relationships.","author":[{"dropping-particle":"","family":"Chen","given":"Xu","non-dropping-particle":"","parse-names":false,"suffix":""},{"dropping-particle":"","family":"Chen","given":"Gang","non-dropping-particle":"","parse-names":false,"suffix":""},{"dropping-particle":"","family":"Sakane","given":"Masao","non-dropping-particle":"","parse-names":false,"suffix":""}],"container-title":"Thermomechanical Phenomena in Electronic Systems -Proceedings of the Intersociety Conference","id":"ITEM-1","issued":{"date-parts":[["2004"]]},"title":"Modified anand constitutive model for lead-free solder SN-3.5AG","type":"paper-conference"},"uris":["http://www.mendeley.com/documents/?uuid=c57839a4-ff4d-42b7-8e0f-53e775ce77f4"]}],"mendeley":{"formattedCitation":"[55]","plainTextFormattedCitation":"[55]","previouslyFormattedCitation":"[55]"},"properties":{"noteIndex":0},"schema":"https://github.com/citation-style-language/schema/raw/master/csl-citation.json"}</w:instrText>
      </w:r>
      <w:r w:rsidRPr="002F4E96">
        <w:rPr>
          <w:rFonts w:ascii="Times New Roman" w:hAnsi="Times New Roman" w:cs="Times New Roman"/>
        </w:rPr>
        <w:fldChar w:fldCharType="separate"/>
      </w:r>
      <w:r w:rsidRPr="002F4E96">
        <w:rPr>
          <w:rFonts w:ascii="Times New Roman" w:hAnsi="Times New Roman" w:cs="Times New Roman"/>
          <w:noProof/>
        </w:rPr>
        <w:t>[55]</w:t>
      </w:r>
      <w:r w:rsidRPr="002F4E96">
        <w:rPr>
          <w:rFonts w:ascii="Times New Roman" w:hAnsi="Times New Roman" w:cs="Times New Roman"/>
        </w:rPr>
        <w:fldChar w:fldCharType="end"/>
      </w:r>
      <w:r w:rsidRPr="002F4E96">
        <w:rPr>
          <w:rFonts w:ascii="Times New Roman" w:hAnsi="Times New Roman" w:cs="Times New Roman"/>
          <w:noProof/>
        </w:rPr>
        <w:t xml:space="preserve">. The model's internal variables described the  mechanisms of isotropic hardening such as subgrain and grain size effects, dislocation density, solid solution hardening, and the deformation resistance equated to comparable  equivalent stress </w:t>
      </w:r>
      <w:r w:rsidRPr="002F4E96">
        <w:rPr>
          <w:rFonts w:ascii="Times New Roman" w:hAnsi="Times New Roman" w:cs="Times New Roman"/>
          <w:shd w:val="clear" w:color="auto" w:fill="FFFFFF"/>
        </w:rPr>
        <w:fldChar w:fldCharType="begin" w:fldLock="1"/>
      </w:r>
      <w:r w:rsidRPr="002F4E96">
        <w:rPr>
          <w:rFonts w:ascii="Times New Roman" w:hAnsi="Times New Roman" w:cs="Times New Roman"/>
          <w:shd w:val="clear" w:color="auto" w:fill="FFFFFF"/>
        </w:rPr>
        <w:instrText>ADDIN CSL_CITATION {"citationItems":[{"id":"ITEM-1","itemData":{"DOI":"10.1109/itherm.2004.1318270","abstract":"A design-for-reliability methodology was applied to a micro-BGA assembly with lead-free, 95.5Sn-3.8Ag-0.7Cu solder joints. A rate dependent viscoplastic Anand model was curve fitted from a series of constant strain rate tensile test and creep test results. The material parameters for the viscoplastic Anand model for 95.5Sn-3.8Ag-0.7Cu solder was implemented in finite element analysis. Low cycle isothermal fatigue test was conducted over three frequencies of 1Hz, 0.01Hz and 0.01Hz; three temperatures of 25°C, 75°C and 125°C; and four total strain range values of 2, 3.5, 5, and 7.5% respectively. A micro-BGA assembly with lead-free, 95.5Sn-3.8Ag-0.7Cu solder joints was subjected to (-55 to 125°C) thermal cycling test and the Weibull distribution was obtained. PEA modeling and simulation was employed to predict the fatigue life cycles of the micro-BGA package and compared to the MTTF life cycles.","author":[{"dropping-particle":"","family":"Pang","given":"John H.L.","non-dropping-particle":"","parse-names":false,"suffix":""},{"dropping-particle":"","family":"Low","given":"Patrick T.H.","non-dropping-particle":"","parse-names":false,"suffix":""},{"dropping-particle":"","family":"Xiong","given":"B. S.","non-dropping-particle":"","parse-names":false,"suffix":""}],"container-title":"Thermomechanical Phenomena in Electronic Systems -Proceedings of the Intersociety Conference","id":"ITEM-1","issued":{"date-parts":[["2004"]]},"title":"Lead-free 95.5Sn-3.8Ag-0.7Cu solder joint reliability analysis for micro-BGA assembly","type":"paper-conference"},"uris":["http://www.mendeley.com/documents/?uuid=c759581e-715f-496e-b945-d1240f6225e8"]}],"mendeley":{"formattedCitation":"[56]","plainTextFormattedCitation":"[56]","previouslyFormattedCitation":"[56]"},"properties":{"noteIndex":0},"schema":"https://github.com/citation-style-language/schema/raw/master/csl-citation.json"}</w:instrText>
      </w:r>
      <w:r w:rsidRPr="002F4E96">
        <w:rPr>
          <w:rFonts w:ascii="Times New Roman" w:hAnsi="Times New Roman" w:cs="Times New Roman"/>
          <w:shd w:val="clear" w:color="auto" w:fill="FFFFFF"/>
        </w:rPr>
        <w:fldChar w:fldCharType="separate"/>
      </w:r>
      <w:r w:rsidRPr="002F4E96">
        <w:rPr>
          <w:rFonts w:ascii="Times New Roman" w:hAnsi="Times New Roman" w:cs="Times New Roman"/>
          <w:noProof/>
          <w:shd w:val="clear" w:color="auto" w:fill="FFFFFF"/>
        </w:rPr>
        <w:t>[56]</w:t>
      </w:r>
      <w:r w:rsidRPr="002F4E96">
        <w:rPr>
          <w:rFonts w:ascii="Times New Roman" w:hAnsi="Times New Roman" w:cs="Times New Roman"/>
          <w:shd w:val="clear" w:color="auto" w:fill="FFFFFF"/>
        </w:rPr>
        <w:fldChar w:fldCharType="end"/>
      </w:r>
    </w:p>
    <w:p w14:paraId="6165FC80" w14:textId="7FB96984" w:rsidR="007F7F57" w:rsidRPr="002F4E96" w:rsidRDefault="00531336" w:rsidP="000D7411">
      <w:pPr>
        <w:spacing w:line="360" w:lineRule="auto"/>
        <w:jc w:val="both"/>
        <w:rPr>
          <w:rFonts w:ascii="Times New Roman" w:hAnsi="Times New Roman" w:cs="Times New Roman"/>
          <w:shd w:val="clear" w:color="auto" w:fill="FFFFFF"/>
        </w:rPr>
      </w:pPr>
      <w:r w:rsidRPr="002F4E96">
        <w:rPr>
          <w:rFonts w:ascii="Times New Roman" w:hAnsi="Times New Roman" w:cs="Times New Roman"/>
        </w:rPr>
        <w:t xml:space="preserve">Research has shown that Anand's model is employed whenever the material behaviour is very susceptible to strain rate, temperature, strain hardening and softening. The model was developed initially for high-temperature metal forming methods such as deep-drawing and rolling. It has since been shown for predicting the life and response of solder joint alloys in electronic packaging </w:t>
      </w:r>
      <w:r w:rsidR="00F54AE7" w:rsidRPr="002F4E96">
        <w:rPr>
          <w:rFonts w:ascii="Times New Roman" w:hAnsi="Times New Roman" w:cs="Times New Roman"/>
        </w:rPr>
        <w:fldChar w:fldCharType="begin" w:fldLock="1"/>
      </w:r>
      <w:r w:rsidR="007B2466" w:rsidRPr="002F4E96">
        <w:rPr>
          <w:rFonts w:ascii="Times New Roman" w:hAnsi="Times New Roman" w:cs="Times New Roman"/>
        </w:rPr>
        <w:instrText>ADDIN CSL_CITATION {"citationItems":[{"id":"ITEM-1","itemData":{"DOI":"10.1016/j.microrel.2013.07.100","ISSN":"00262714","abstract":"In this paper, the constitutive response of SnAgCuZn solder was studied under uniaxial tension. Anand model was used to represent the inelastic deformation behavior of the lead-free solders. The material parameters of the constitutive relations for SnAgCuZn solders were determined from separated constitutive relations and experimental results. In addition, the constitutive model was used to analyze the thermally induced inelastic deformation of the solder joints in wafer-level chip scale packages mounted on printed circuit boards based on finite element analysis. And it is found that the addition of Zn can enhance the fatigue life of SnAgCu solder joint. © 2013 Elsevier Ltd. All rights reserved.","author":[{"dropping-particle":"","family":"Zhang","given":"Liang","non-dropping-particle":"","parse-names":false,"suffix":""},{"dropping-particle":"","family":"Han","given":"Ji Guang","non-dropping-particle":"","parse-names":false,"suffix":""},{"dropping-particle":"","family":"Guo","given":"Yonghuan","non-dropping-particle":"","parse-names":false,"suffix":""},{"dropping-particle":"","family":"He","given":"Cheng Wen","non-dropping-particle":"","parse-names":false,"suffix":""}],"container-title":"Microelectronics Reliability","id":"ITEM-1","issued":{"date-parts":[["2014"]]},"title":"Anand model and FEM analysis of SnAgCuZn lead-free solder joints in wafer level chip scale packaging devices","type":"article-journal"},"uris":["http://www.mendeley.com/documents/?uuid=b1e81b7f-5e14-47ed-a125-1c05954f3580"]}],"mendeley":{"formattedCitation":"[38]","plainTextFormattedCitation":"[38]","previouslyFormattedCitation":"[38]"},"properties":{"noteIndex":0},"schema":"https://github.com/citation-style-language/schema/raw/master/csl-citation.json"}</w:instrText>
      </w:r>
      <w:r w:rsidR="00F54AE7" w:rsidRPr="002F4E96">
        <w:rPr>
          <w:rFonts w:ascii="Times New Roman" w:hAnsi="Times New Roman" w:cs="Times New Roman"/>
        </w:rPr>
        <w:fldChar w:fldCharType="separate"/>
      </w:r>
      <w:r w:rsidR="00F54AE7" w:rsidRPr="002F4E96">
        <w:rPr>
          <w:rFonts w:ascii="Times New Roman" w:hAnsi="Times New Roman" w:cs="Times New Roman"/>
          <w:noProof/>
        </w:rPr>
        <w:t>[38]</w:t>
      </w:r>
      <w:r w:rsidR="00F54AE7" w:rsidRPr="002F4E96">
        <w:rPr>
          <w:rFonts w:ascii="Times New Roman" w:hAnsi="Times New Roman" w:cs="Times New Roman"/>
        </w:rPr>
        <w:fldChar w:fldCharType="end"/>
      </w:r>
      <w:r w:rsidR="00F54AE7" w:rsidRPr="002F4E96">
        <w:rPr>
          <w:rFonts w:ascii="Times New Roman" w:hAnsi="Times New Roman" w:cs="Times New Roman"/>
        </w:rPr>
        <w:t>.</w:t>
      </w:r>
      <w:r w:rsidR="007F7F57" w:rsidRPr="002F4E96">
        <w:rPr>
          <w:rFonts w:ascii="Times New Roman" w:hAnsi="Times New Roman" w:cs="Times New Roman"/>
        </w:rPr>
        <w:t xml:space="preserve">  The equation for </w:t>
      </w:r>
      <w:r w:rsidR="0005323F" w:rsidRPr="002F4E96">
        <w:rPr>
          <w:rFonts w:ascii="Times New Roman" w:hAnsi="Times New Roman" w:cs="Times New Roman"/>
        </w:rPr>
        <w:t xml:space="preserve">the </w:t>
      </w:r>
      <w:r w:rsidR="007F7F57" w:rsidRPr="002F4E96">
        <w:rPr>
          <w:rFonts w:ascii="Times New Roman" w:hAnsi="Times New Roman" w:cs="Times New Roman"/>
        </w:rPr>
        <w:t>inelastic strain rate is given in equation 1:</w:t>
      </w:r>
    </w:p>
    <w:p w14:paraId="2094928B" w14:textId="77777777" w:rsidR="007F7F57" w:rsidRPr="002F4E96" w:rsidRDefault="00B205D3" w:rsidP="007F7F57">
      <w:pPr>
        <w:pStyle w:val="Caption"/>
        <w:rPr>
          <w:rFonts w:ascii="Times New Roman" w:hAnsi="Times New Roman" w:cs="Times New Roman"/>
          <w:b w:val="0"/>
          <w:bCs w:val="0"/>
          <w:i/>
          <w:iCs/>
          <w:color w:val="auto"/>
          <w:sz w:val="22"/>
          <w:szCs w:val="22"/>
        </w:rPr>
      </w:pPr>
      <m:oMath>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σ</m:t>
            </m:r>
          </m:e>
        </m:acc>
        <m:r>
          <m:rPr>
            <m:sty m:val="bi"/>
          </m:rPr>
          <w:rPr>
            <w:rFonts w:ascii="Cambria Math" w:hAnsi="Cambria Math" w:cs="Times New Roman"/>
            <w:color w:val="auto"/>
            <w:sz w:val="22"/>
            <w:szCs w:val="22"/>
          </w:rPr>
          <m:t>=cs;c&lt;1</m:t>
        </m:r>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(1)</w:t>
      </w:r>
    </w:p>
    <w:p w14:paraId="7EC6A261" w14:textId="1BF8886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Where </w:t>
      </w:r>
      <m:oMath>
        <m:acc>
          <m:accPr>
            <m:chr m:val="̇"/>
            <m:ctrlPr>
              <w:rPr>
                <w:rFonts w:ascii="Cambria Math" w:hAnsi="Cambria Math" w:cs="Times New Roman"/>
                <w:i/>
              </w:rPr>
            </m:ctrlPr>
          </m:accPr>
          <m:e>
            <m:r>
              <w:rPr>
                <w:rFonts w:ascii="Cambria Math" w:hAnsi="Cambria Math" w:cs="Times New Roman"/>
              </w:rPr>
              <m:t>σ</m:t>
            </m:r>
          </m:e>
        </m:acc>
      </m:oMath>
      <w:r w:rsidRPr="002F4E96">
        <w:rPr>
          <w:rFonts w:ascii="Times New Roman" w:hAnsi="Times New Roman" w:cs="Times New Roman"/>
        </w:rPr>
        <w:t xml:space="preserve"> the equivalent is stress for steady plastic flow; </w:t>
      </w:r>
      <m:oMath>
        <m:r>
          <w:rPr>
            <w:rFonts w:ascii="Cambria Math" w:hAnsi="Cambria Math" w:cs="Times New Roman"/>
          </w:rPr>
          <m:t>s</m:t>
        </m:r>
      </m:oMath>
      <w:r w:rsidRPr="002F4E96">
        <w:rPr>
          <w:rFonts w:ascii="Times New Roman" w:hAnsi="Times New Roman" w:cs="Times New Roman"/>
        </w:rPr>
        <w:t xml:space="preserve"> is the deformation resistance with </w:t>
      </w:r>
      <w:r w:rsidR="0005323F" w:rsidRPr="002F4E96">
        <w:rPr>
          <w:rFonts w:ascii="Times New Roman" w:hAnsi="Times New Roman" w:cs="Times New Roman"/>
        </w:rPr>
        <w:t>stress dimensions</w:t>
      </w:r>
      <w:r w:rsidRPr="002F4E96">
        <w:rPr>
          <w:rFonts w:ascii="Times New Roman" w:hAnsi="Times New Roman" w:cs="Times New Roman"/>
        </w:rPr>
        <w:t xml:space="preserve">. </w:t>
      </w:r>
      <m:oMath>
        <m:r>
          <w:rPr>
            <w:rFonts w:ascii="Cambria Math" w:hAnsi="Cambria Math" w:cs="Times New Roman"/>
          </w:rPr>
          <m:t>c</m:t>
        </m:r>
      </m:oMath>
      <w:r w:rsidRPr="002F4E96">
        <w:rPr>
          <w:rFonts w:ascii="Times New Roman" w:hAnsi="Times New Roman" w:cs="Times New Roman"/>
        </w:rPr>
        <w:t xml:space="preserve"> is a function of strain rate and temperature as expressed as:</w:t>
      </w:r>
    </w:p>
    <w:p w14:paraId="255052CF" w14:textId="77777777" w:rsidR="007F7F57" w:rsidRPr="002F4E96" w:rsidRDefault="007F7F57" w:rsidP="007F7F57">
      <w:pPr>
        <w:pStyle w:val="Caption"/>
        <w:rPr>
          <w:rFonts w:ascii="Times New Roman" w:hAnsi="Times New Roman" w:cs="Times New Roman"/>
          <w:b w:val="0"/>
          <w:bCs w:val="0"/>
          <w:i/>
          <w:iCs/>
          <w:color w:val="auto"/>
          <w:sz w:val="22"/>
          <w:szCs w:val="22"/>
        </w:rPr>
      </w:pPr>
      <m:oMath>
        <m:r>
          <m:rPr>
            <m:sty m:val="bi"/>
          </m:rPr>
          <w:rPr>
            <w:rFonts w:ascii="Cambria Math" w:hAnsi="Cambria Math" w:cs="Times New Roman"/>
            <w:color w:val="auto"/>
            <w:sz w:val="22"/>
            <w:szCs w:val="22"/>
          </w:rPr>
          <m:t>c=</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1</m:t>
            </m:r>
          </m:num>
          <m:den>
            <m:r>
              <m:rPr>
                <m:sty m:val="bi"/>
              </m:rPr>
              <w:rPr>
                <w:rFonts w:ascii="Cambria Math" w:hAnsi="Cambria Math" w:cs="Times New Roman"/>
                <w:color w:val="auto"/>
                <w:sz w:val="22"/>
                <w:szCs w:val="22"/>
              </w:rPr>
              <m:t>ξ</m:t>
            </m:r>
          </m:den>
        </m:f>
        <m:r>
          <m:rPr>
            <m:sty m:val="bi"/>
          </m:rPr>
          <w:rPr>
            <w:rFonts w:ascii="Cambria Math" w:hAnsi="Cambria Math" w:cs="Times New Roman"/>
            <w:color w:val="auto"/>
            <w:sz w:val="22"/>
            <w:szCs w:val="22"/>
          </w:rPr>
          <m:t>sin</m:t>
        </m:r>
        <m:sSup>
          <m:sSupPr>
            <m:ctrlPr>
              <w:rPr>
                <w:rFonts w:ascii="Cambria Math" w:hAnsi="Cambria Math" w:cs="Times New Roman"/>
                <w:b w:val="0"/>
                <w:bCs w:val="0"/>
                <w:color w:val="auto"/>
                <w:sz w:val="22"/>
                <w:szCs w:val="22"/>
              </w:rPr>
            </m:ctrlPr>
          </m:sSupPr>
          <m:e>
            <m:r>
              <m:rPr>
                <m:sty m:val="b"/>
              </m:rPr>
              <w:rPr>
                <w:rFonts w:ascii="Cambria Math" w:hAnsi="Cambria Math" w:cs="Times New Roman"/>
                <w:color w:val="auto"/>
                <w:sz w:val="22"/>
                <w:szCs w:val="22"/>
              </w:rPr>
              <m:t>h</m:t>
            </m:r>
          </m:e>
          <m:sup>
            <m:r>
              <m:rPr>
                <m:sty m:val="b"/>
              </m:rPr>
              <w:rPr>
                <w:rFonts w:ascii="Cambria Math" w:hAnsi="Cambria Math" w:cs="Times New Roman"/>
                <w:color w:val="auto"/>
                <w:sz w:val="22"/>
                <w:szCs w:val="22"/>
              </w:rPr>
              <m:t>-1</m:t>
            </m:r>
          </m:sup>
        </m:sSup>
        <m:d>
          <m:dPr>
            <m:begChr m:val="{"/>
            <m:endChr m:val="}"/>
            <m:ctrlPr>
              <w:rPr>
                <w:rFonts w:ascii="Cambria Math" w:hAnsi="Cambria Math" w:cs="Times New Roman"/>
                <w:b w:val="0"/>
                <w:bCs w:val="0"/>
                <w:iCs/>
                <w:color w:val="auto"/>
                <w:sz w:val="22"/>
                <w:szCs w:val="22"/>
              </w:rPr>
            </m:ctrlPr>
          </m:dPr>
          <m:e>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num>
                      <m:den>
                        <m:r>
                          <m:rPr>
                            <m:sty m:val="bi"/>
                          </m:rPr>
                          <w:rPr>
                            <w:rFonts w:ascii="Cambria Math" w:hAnsi="Cambria Math" w:cs="Times New Roman"/>
                            <w:color w:val="auto"/>
                            <w:sz w:val="22"/>
                            <w:szCs w:val="22"/>
                          </w:rPr>
                          <m:t>A</m:t>
                        </m:r>
                      </m:den>
                    </m:f>
                    <m:r>
                      <m:rPr>
                        <m:sty m:val="bi"/>
                      </m:rPr>
                      <w:rPr>
                        <w:rFonts w:ascii="Cambria Math" w:hAnsi="Cambria Math" w:cs="Times New Roman"/>
                        <w:color w:val="auto"/>
                        <w:sz w:val="22"/>
                        <w:szCs w:val="22"/>
                      </w:rPr>
                      <m:t>exp</m:t>
                    </m:r>
                    <m:d>
                      <m:dPr>
                        <m:begChr m:val="["/>
                        <m:endChr m:val="]"/>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Q</m:t>
                            </m:r>
                          </m:num>
                          <m:den>
                            <m:r>
                              <m:rPr>
                                <m:sty m:val="bi"/>
                              </m:rPr>
                              <w:rPr>
                                <w:rFonts w:ascii="Cambria Math" w:hAnsi="Cambria Math" w:cs="Times New Roman"/>
                                <w:color w:val="auto"/>
                                <w:sz w:val="22"/>
                                <w:szCs w:val="22"/>
                              </w:rPr>
                              <m:t>RT</m:t>
                            </m:r>
                          </m:den>
                        </m:f>
                      </m:e>
                    </m:d>
                  </m:e>
                </m:d>
              </m:e>
              <m:sup>
                <m:r>
                  <m:rPr>
                    <m:sty m:val="bi"/>
                  </m:rPr>
                  <w:rPr>
                    <w:rFonts w:ascii="Cambria Math" w:hAnsi="Cambria Math" w:cs="Times New Roman"/>
                    <w:color w:val="auto"/>
                    <w:sz w:val="22"/>
                    <w:szCs w:val="22"/>
                  </w:rPr>
                  <m:t>m</m:t>
                </m:r>
              </m:sup>
            </m:sSup>
          </m:e>
        </m:d>
      </m:oMath>
      <w:r w:rsidRPr="002F4E96">
        <w:rPr>
          <w:rFonts w:ascii="Times New Roman" w:hAnsi="Times New Roman" w:cs="Times New Roman"/>
          <w:b w:val="0"/>
          <w:bCs w:val="0"/>
          <w:i/>
          <w:iCs/>
          <w:color w:val="auto"/>
          <w:sz w:val="22"/>
          <w:szCs w:val="22"/>
        </w:rPr>
        <w:t xml:space="preserve">                                                                                                          </w:t>
      </w:r>
      <w:r w:rsidRPr="002F4E96">
        <w:rPr>
          <w:rFonts w:ascii="Times New Roman" w:hAnsi="Times New Roman" w:cs="Times New Roman"/>
          <w:b w:val="0"/>
          <w:bCs w:val="0"/>
          <w:color w:val="auto"/>
          <w:sz w:val="22"/>
          <w:szCs w:val="22"/>
        </w:rPr>
        <w:t>(2)</w:t>
      </w:r>
    </w:p>
    <w:p w14:paraId="15859483"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Combining equation 1 and 2</w:t>
      </w:r>
    </w:p>
    <w:p w14:paraId="409F19BD" w14:textId="2F4A72B5"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The Anand model employs the following functional form to define the flow equation as</w:t>
      </w:r>
      <w:r w:rsidR="00CE0F1E" w:rsidRPr="002F4E96">
        <w:rPr>
          <w:rFonts w:ascii="Times New Roman" w:hAnsi="Times New Roman" w:cs="Times New Roman"/>
        </w:rPr>
        <w:t>:</w:t>
      </w:r>
    </w:p>
    <w:p w14:paraId="32AB51AF" w14:textId="77777777" w:rsidR="007F7F57" w:rsidRPr="002F4E96" w:rsidRDefault="00B205D3" w:rsidP="007F7F57">
      <w:pPr>
        <w:pStyle w:val="Caption"/>
        <w:rPr>
          <w:rFonts w:ascii="Times New Roman" w:hAnsi="Times New Roman" w:cs="Times New Roman"/>
          <w:b w:val="0"/>
          <w:bCs w:val="0"/>
          <w:i/>
          <w:iCs/>
          <w:color w:val="auto"/>
          <w:sz w:val="22"/>
          <w:szCs w:val="22"/>
        </w:rPr>
      </w:pPr>
      <m:oMath>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r>
          <m:rPr>
            <m:sty m:val="bi"/>
          </m:rPr>
          <w:rPr>
            <w:rFonts w:ascii="Cambria Math" w:hAnsi="Cambria Math" w:cs="Times New Roman"/>
            <w:color w:val="auto"/>
            <w:sz w:val="22"/>
            <w:szCs w:val="22"/>
          </w:rPr>
          <m:t>=Aexp</m:t>
        </m:r>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Q</m:t>
                </m:r>
              </m:num>
              <m:den>
                <m:r>
                  <m:rPr>
                    <m:sty m:val="bi"/>
                  </m:rPr>
                  <w:rPr>
                    <w:rFonts w:ascii="Cambria Math" w:hAnsi="Cambria Math" w:cs="Times New Roman"/>
                    <w:color w:val="auto"/>
                    <w:sz w:val="22"/>
                    <w:szCs w:val="22"/>
                  </w:rPr>
                  <m:t>RT</m:t>
                </m:r>
              </m:den>
            </m:f>
          </m:e>
        </m:d>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sin</m:t>
                </m:r>
                <m:r>
                  <m:rPr>
                    <m:sty m:val="b"/>
                  </m:rPr>
                  <w:rPr>
                    <w:rFonts w:ascii="Cambria Math" w:hAnsi="Cambria Math" w:cs="Times New Roman"/>
                    <w:color w:val="auto"/>
                    <w:sz w:val="22"/>
                    <w:szCs w:val="22"/>
                  </w:rPr>
                  <m:t>h</m:t>
                </m:r>
                <m:d>
                  <m:dPr>
                    <m:begChr m:val="["/>
                    <m:endChr m:val="]"/>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ξ</m:t>
                    </m:r>
                    <m:f>
                      <m:fPr>
                        <m:ctrlPr>
                          <w:rPr>
                            <w:rFonts w:ascii="Cambria Math" w:hAnsi="Cambria Math" w:cs="Times New Roman"/>
                            <w:b w:val="0"/>
                            <w:bCs w:val="0"/>
                            <w:iCs/>
                            <w:color w:val="auto"/>
                            <w:sz w:val="22"/>
                            <w:szCs w:val="22"/>
                          </w:rPr>
                        </m:ctrlPr>
                      </m:fPr>
                      <m:num>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σ</m:t>
                            </m:r>
                          </m:e>
                        </m:acc>
                      </m:num>
                      <m:den>
                        <m:r>
                          <m:rPr>
                            <m:sty m:val="bi"/>
                          </m:rPr>
                          <w:rPr>
                            <w:rFonts w:ascii="Cambria Math" w:hAnsi="Cambria Math" w:cs="Times New Roman"/>
                            <w:color w:val="auto"/>
                            <w:sz w:val="22"/>
                            <w:szCs w:val="22"/>
                          </w:rPr>
                          <m:t>s</m:t>
                        </m:r>
                      </m:den>
                    </m:f>
                  </m:e>
                </m:d>
              </m:e>
            </m:d>
          </m:e>
          <m:sup>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1</m:t>
                </m:r>
              </m:num>
              <m:den>
                <m:r>
                  <m:rPr>
                    <m:sty m:val="bi"/>
                  </m:rPr>
                  <w:rPr>
                    <w:rFonts w:ascii="Cambria Math" w:hAnsi="Cambria Math" w:cs="Times New Roman"/>
                    <w:color w:val="auto"/>
                    <w:sz w:val="22"/>
                    <w:szCs w:val="22"/>
                  </w:rPr>
                  <m:t>m</m:t>
                </m:r>
              </m:den>
            </m:f>
          </m:sup>
        </m:sSup>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(3)</w:t>
      </w:r>
    </w:p>
    <w:p w14:paraId="7169813C" w14:textId="2D70113A"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Where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ε</m:t>
                </m:r>
              </m:e>
            </m:acc>
          </m:e>
          <m:sup>
            <m:r>
              <w:rPr>
                <w:rFonts w:ascii="Cambria Math" w:hAnsi="Cambria Math" w:cs="Times New Roman"/>
              </w:rPr>
              <m:t>p</m:t>
            </m:r>
          </m:sup>
        </m:sSup>
      </m:oMath>
      <w:r w:rsidRPr="002F4E96">
        <w:rPr>
          <w:rFonts w:ascii="Times New Roman" w:hAnsi="Times New Roman" w:cs="Times New Roman"/>
        </w:rPr>
        <w:t xml:space="preserve"> is the inelastic strain rate; A is </w:t>
      </w:r>
      <w:r w:rsidR="0005323F" w:rsidRPr="002F4E96">
        <w:rPr>
          <w:rFonts w:ascii="Times New Roman" w:hAnsi="Times New Roman" w:cs="Times New Roman"/>
        </w:rPr>
        <w:t xml:space="preserve">the </w:t>
      </w:r>
      <w:r w:rsidRPr="002F4E96">
        <w:rPr>
          <w:rFonts w:ascii="Times New Roman" w:hAnsi="Times New Roman" w:cs="Times New Roman"/>
        </w:rPr>
        <w:t xml:space="preserve">pre-exponential factor; Q is the activation energy; R is </w:t>
      </w:r>
      <w:r w:rsidR="0005323F" w:rsidRPr="002F4E96">
        <w:rPr>
          <w:rFonts w:ascii="Times New Roman" w:hAnsi="Times New Roman" w:cs="Times New Roman"/>
        </w:rPr>
        <w:t xml:space="preserve">the </w:t>
      </w:r>
      <w:r w:rsidRPr="002F4E96">
        <w:rPr>
          <w:rFonts w:ascii="Times New Roman" w:hAnsi="Times New Roman" w:cs="Times New Roman"/>
        </w:rPr>
        <w:t xml:space="preserve">universal constant; T is the temperature; R is </w:t>
      </w:r>
      <w:r w:rsidR="0005323F" w:rsidRPr="002F4E96">
        <w:rPr>
          <w:rFonts w:ascii="Times New Roman" w:hAnsi="Times New Roman" w:cs="Times New Roman"/>
        </w:rPr>
        <w:t xml:space="preserve">the </w:t>
      </w:r>
      <w:r w:rsidRPr="002F4E96">
        <w:rPr>
          <w:rFonts w:ascii="Times New Roman" w:hAnsi="Times New Roman" w:cs="Times New Roman"/>
        </w:rPr>
        <w:t xml:space="preserve">universal gas constant; </w:t>
      </w:r>
      <m:oMath>
        <m:r>
          <w:rPr>
            <w:rFonts w:ascii="Cambria Math" w:hAnsi="Cambria Math" w:cs="Times New Roman"/>
          </w:rPr>
          <m:t>ξ</m:t>
        </m:r>
      </m:oMath>
      <w:r w:rsidRPr="002F4E96">
        <w:rPr>
          <w:rFonts w:ascii="Times New Roman" w:hAnsi="Times New Roman" w:cs="Times New Roman"/>
        </w:rPr>
        <w:t xml:space="preserve"> stands for the materials constant</w:t>
      </w:r>
      <w:r w:rsidR="0005323F" w:rsidRPr="002F4E96">
        <w:rPr>
          <w:rFonts w:ascii="Times New Roman" w:hAnsi="Times New Roman" w:cs="Times New Roman"/>
        </w:rPr>
        <w:t>,</w:t>
      </w:r>
      <w:r w:rsidRPr="002F4E96">
        <w:rPr>
          <w:rFonts w:ascii="Times New Roman" w:hAnsi="Times New Roman" w:cs="Times New Roman"/>
        </w:rPr>
        <w:t xml:space="preserve"> and m is the strain rate sensitivity.</w:t>
      </w:r>
    </w:p>
    <w:p w14:paraId="778FD2C1"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Additionally, the evolution equation for the internal variable s is assumed to be in the form as:</w:t>
      </w:r>
    </w:p>
    <w:p w14:paraId="63952EF9" w14:textId="77777777" w:rsidR="007F7F57" w:rsidRPr="002F4E96" w:rsidRDefault="00B205D3" w:rsidP="007F7F57">
      <w:pPr>
        <w:pStyle w:val="Caption"/>
        <w:rPr>
          <w:rFonts w:ascii="Times New Roman" w:hAnsi="Times New Roman" w:cs="Times New Roman"/>
          <w:b w:val="0"/>
          <w:bCs w:val="0"/>
          <w:i/>
          <w:iCs/>
          <w:color w:val="auto"/>
          <w:sz w:val="22"/>
          <w:szCs w:val="22"/>
        </w:rPr>
      </w:pPr>
      <m:oMath>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s</m:t>
            </m:r>
          </m:e>
        </m:acc>
        <m:r>
          <m:rPr>
            <m:sty m:val="bi"/>
          </m:rPr>
          <w:rPr>
            <w:rFonts w:ascii="Cambria Math" w:hAnsi="Cambria Math" w:cs="Times New Roman"/>
            <w:color w:val="auto"/>
            <w:sz w:val="22"/>
            <w:szCs w:val="22"/>
          </w:rPr>
          <m:t>=h</m:t>
        </m:r>
        <m:d>
          <m:dPr>
            <m:ctrlPr>
              <w:rPr>
                <w:rFonts w:ascii="Cambria Math" w:hAnsi="Cambria Math" w:cs="Times New Roman"/>
                <w:b w:val="0"/>
                <w:bCs w:val="0"/>
                <w:iCs/>
                <w:color w:val="auto"/>
                <w:sz w:val="22"/>
                <w:szCs w:val="22"/>
              </w:rPr>
            </m:ctrlPr>
          </m:d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σ</m:t>
                </m:r>
              </m:e>
            </m:acc>
            <m:r>
              <m:rPr>
                <m:sty m:val="bi"/>
              </m:rPr>
              <w:rPr>
                <w:rFonts w:ascii="Cambria Math" w:hAnsi="Cambria Math" w:cs="Times New Roman"/>
                <w:color w:val="auto"/>
                <w:sz w:val="22"/>
                <w:szCs w:val="22"/>
              </w:rPr>
              <m:t>, s, T</m:t>
            </m:r>
          </m:e>
        </m:d>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(4)</w:t>
      </w:r>
    </w:p>
    <w:p w14:paraId="6D37DFD8" w14:textId="4068DF03" w:rsidR="007F7F57" w:rsidRPr="002F4E96" w:rsidRDefault="007F7F57" w:rsidP="007F7F57">
      <w:pPr>
        <w:spacing w:line="360" w:lineRule="auto"/>
        <w:jc w:val="both"/>
        <w:rPr>
          <w:rFonts w:ascii="Times New Roman" w:hAnsi="Times New Roman" w:cs="Times New Roman"/>
        </w:rPr>
      </w:pPr>
      <m:oMath>
        <m:r>
          <w:rPr>
            <w:rFonts w:ascii="Cambria Math" w:hAnsi="Cambria Math" w:cs="Times New Roman"/>
          </w:rPr>
          <m:t>h</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σ</m:t>
                </m:r>
              </m:e>
            </m:acc>
            <m:r>
              <w:rPr>
                <w:rFonts w:ascii="Cambria Math" w:hAnsi="Cambria Math" w:cs="Times New Roman"/>
              </w:rPr>
              <m:t>, s, T</m:t>
            </m:r>
          </m:e>
        </m:d>
      </m:oMath>
      <w:r w:rsidRPr="002F4E96">
        <w:rPr>
          <w:rFonts w:ascii="Times New Roman" w:hAnsi="Times New Roman" w:cs="Times New Roman"/>
        </w:rPr>
        <w:t xml:space="preserve"> is associated with dynamic strain hardening and recovery process. A simple form of evolution equation of equation 2 was given by </w:t>
      </w:r>
      <w:r w:rsidRPr="002F4E96">
        <w:rPr>
          <w:rFonts w:ascii="Times New Roman" w:hAnsi="Times New Roman" w:cs="Times New Roman"/>
          <w:noProof/>
        </w:rPr>
        <w:t xml:space="preserve">Anand </w:t>
      </w:r>
      <w:r w:rsidRPr="002F4E96">
        <w:rPr>
          <w:rFonts w:ascii="Times New Roman" w:hAnsi="Times New Roman" w:cs="Times New Roman"/>
          <w:noProof/>
        </w:rPr>
        <w:fldChar w:fldCharType="begin" w:fldLock="1"/>
      </w:r>
      <w:r w:rsidR="00A87066" w:rsidRPr="002F4E96">
        <w:rPr>
          <w:rFonts w:ascii="Times New Roman" w:hAnsi="Times New Roman" w:cs="Times New Roman"/>
          <w:noProof/>
        </w:rPr>
        <w:instrText>ADDIN CSL_CITATION {"citationItems":[{"id":"ITEM-1","itemData":{"DOI":"10.1016/0749-6419(85)90004-X","ISSN":"07496419","abstract":"Elevated temperature deformation processing - \"hot-working,\" is an important step during the manufacturing of most metal products. Central to any successful analysis of a hot-working process is the use of appropriate rate and temperature-dependent constitutive equations for large, interrupted inelastic deformations, which can faithfully account for strain-hardening, the restoration processes of recovery and recrystallization and strain rate and temperature history effects. In this paper we develop a set of phenomenological, internal variable type constitutive equations describing the elevated temperature deformation of metals. We use a scalar and a symmetric, traceless, second-order tensor as internal variables which, in an average sense, represent an isotropic and an anisotropic resistance to plastic flow offered by the internal state of the material. In this theory, we consider small elastic stretches but large plastic deformations (within the limits of texturing) of isotropic materials. Special cases (within the constitutive framework developed here) which should be suitable for analyzing hot-working processes are indicated. © 1985.","author":[{"dropping-particle":"","family":"Anand","given":"Lallit","non-dropping-particle":"","parse-names":false,"suffix":""}],"container-title":"International Journal of Plasticity","id":"ITEM-1","issued":{"date-parts":[["1985"]]},"title":"Constitutive equations for hot-working of metals","type":"article-journal"},"uris":["http://www.mendeley.com/documents/?uuid=f2185c07-5057-4d17-af9d-f73d7c86e7a8"]}],"mendeley":{"formattedCitation":"[50]","plainTextFormattedCitation":"[50]","previouslyFormattedCitation":"[50]"},"properties":{"noteIndex":0},"schema":"https://github.com/citation-style-language/schema/raw/master/csl-citation.json"}</w:instrText>
      </w:r>
      <w:r w:rsidRPr="002F4E96">
        <w:rPr>
          <w:rFonts w:ascii="Times New Roman" w:hAnsi="Times New Roman" w:cs="Times New Roman"/>
          <w:noProof/>
        </w:rPr>
        <w:fldChar w:fldCharType="separate"/>
      </w:r>
      <w:r w:rsidR="00A87066" w:rsidRPr="002F4E96">
        <w:rPr>
          <w:rFonts w:ascii="Times New Roman" w:hAnsi="Times New Roman" w:cs="Times New Roman"/>
          <w:noProof/>
        </w:rPr>
        <w:t>[50]</w:t>
      </w:r>
      <w:r w:rsidRPr="002F4E96">
        <w:rPr>
          <w:rFonts w:ascii="Times New Roman" w:hAnsi="Times New Roman" w:cs="Times New Roman"/>
          <w:noProof/>
        </w:rPr>
        <w:fldChar w:fldCharType="end"/>
      </w:r>
      <w:r w:rsidRPr="002F4E96">
        <w:rPr>
          <w:rFonts w:ascii="Times New Roman" w:hAnsi="Times New Roman" w:cs="Times New Roman"/>
        </w:rPr>
        <w:t xml:space="preserve"> as follows:</w:t>
      </w:r>
    </w:p>
    <w:p w14:paraId="1393560F"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where:</w:t>
      </w:r>
    </w:p>
    <w:p w14:paraId="16594934" w14:textId="77777777" w:rsidR="007F7F57" w:rsidRPr="002F4E96" w:rsidRDefault="007F7F57" w:rsidP="007F7F57">
      <w:pPr>
        <w:pStyle w:val="Caption"/>
        <w:rPr>
          <w:rFonts w:ascii="Times New Roman" w:hAnsi="Times New Roman" w:cs="Times New Roman"/>
          <w:b w:val="0"/>
          <w:bCs w:val="0"/>
          <w:i/>
          <w:iCs/>
          <w:color w:val="auto"/>
          <w:sz w:val="22"/>
          <w:szCs w:val="22"/>
        </w:rPr>
      </w:pPr>
      <m:oMath>
        <m:r>
          <m:rPr>
            <m:sty m:val="bi"/>
          </m:rPr>
          <w:rPr>
            <w:rFonts w:ascii="Cambria Math" w:hAnsi="Cambria Math" w:cs="Times New Roman"/>
            <w:color w:val="auto"/>
            <w:sz w:val="22"/>
            <w:szCs w:val="22"/>
          </w:rPr>
          <w:lastRenderedPageBreak/>
          <m:t xml:space="preserve">h= </m:t>
        </m:r>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h</m:t>
            </m:r>
          </m:e>
          <m:sub>
            <m:r>
              <m:rPr>
                <m:sty m:val="bi"/>
              </m:rPr>
              <w:rPr>
                <w:rFonts w:ascii="Cambria Math" w:hAnsi="Cambria Math" w:cs="Times New Roman"/>
                <w:color w:val="auto"/>
                <w:sz w:val="22"/>
                <w:szCs w:val="22"/>
              </w:rPr>
              <m:t>0</m:t>
            </m:r>
          </m:sub>
        </m:sSub>
        <m:sSup>
          <m:sSupPr>
            <m:ctrlPr>
              <w:rPr>
                <w:rFonts w:ascii="Cambria Math" w:hAnsi="Cambria Math" w:cs="Times New Roman"/>
                <w:b w:val="0"/>
                <w:bCs w:val="0"/>
                <w:iCs/>
                <w:color w:val="auto"/>
                <w:sz w:val="22"/>
                <w:szCs w:val="22"/>
              </w:rPr>
            </m:ctrlPr>
          </m:sSupPr>
          <m:e>
            <m:d>
              <m:dPr>
                <m:begChr m:val="|"/>
                <m:endChr m:val="|"/>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s</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m:t>
                        </m:r>
                      </m:sup>
                    </m:sSup>
                  </m:den>
                </m:f>
              </m:e>
            </m:d>
          </m:e>
          <m:sup>
            <m:r>
              <m:rPr>
                <m:sty m:val="bi"/>
              </m:rPr>
              <w:rPr>
                <w:rFonts w:ascii="Cambria Math" w:hAnsi="Cambria Math" w:cs="Times New Roman"/>
                <w:color w:val="auto"/>
                <w:sz w:val="22"/>
                <w:szCs w:val="22"/>
              </w:rPr>
              <m:t>a</m:t>
            </m:r>
          </m:sup>
        </m:sSup>
        <m:r>
          <m:rPr>
            <m:sty m:val="bi"/>
          </m:rPr>
          <w:rPr>
            <w:rFonts w:ascii="Cambria Math" w:hAnsi="Cambria Math" w:cs="Times New Roman"/>
            <w:color w:val="auto"/>
            <w:sz w:val="22"/>
            <w:szCs w:val="22"/>
          </w:rPr>
          <m:t>sin</m:t>
        </m:r>
        <m:r>
          <m:rPr>
            <m:sty m:val="b"/>
          </m:rPr>
          <w:rPr>
            <w:rFonts w:ascii="Cambria Math" w:hAnsi="Cambria Math" w:cs="Times New Roman"/>
            <w:color w:val="auto"/>
            <w:sz w:val="22"/>
            <w:szCs w:val="22"/>
          </w:rPr>
          <m:t>h</m:t>
        </m:r>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s</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m:t>
                    </m:r>
                  </m:sup>
                </m:sSup>
              </m:den>
            </m:f>
          </m:e>
        </m:d>
        <m:r>
          <m:rPr>
            <m:sty m:val="bi"/>
          </m:rPr>
          <w:rPr>
            <w:rFonts w:ascii="Cambria Math" w:hAnsi="Cambria Math" w:cs="Times New Roman"/>
            <w:color w:val="auto"/>
            <w:sz w:val="22"/>
            <w:szCs w:val="22"/>
          </w:rPr>
          <m:t xml:space="preserve">        a≥1</m:t>
        </m:r>
      </m:oMath>
      <w:r w:rsidRPr="002F4E96">
        <w:rPr>
          <w:rFonts w:ascii="Times New Roman" w:hAnsi="Times New Roman" w:cs="Times New Roman"/>
          <w:b w:val="0"/>
          <w:bCs w:val="0"/>
          <w:i/>
          <w:iCs/>
          <w:color w:val="auto"/>
          <w:sz w:val="22"/>
          <w:szCs w:val="22"/>
        </w:rPr>
        <w:t xml:space="preserve">                                                                                       </w:t>
      </w:r>
      <w:r w:rsidRPr="002F4E96">
        <w:rPr>
          <w:rFonts w:ascii="Times New Roman" w:hAnsi="Times New Roman" w:cs="Times New Roman"/>
          <w:b w:val="0"/>
          <w:bCs w:val="0"/>
          <w:color w:val="auto"/>
          <w:sz w:val="22"/>
          <w:szCs w:val="22"/>
        </w:rPr>
        <w:t>(5)</w:t>
      </w:r>
    </w:p>
    <w:p w14:paraId="7A5A1BDD" w14:textId="3F51AB06"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Therefore, the evolution equation for the internal variable s is derived from </w:t>
      </w:r>
      <w:r w:rsidR="0005323F" w:rsidRPr="002F4E96">
        <w:rPr>
          <w:rFonts w:ascii="Times New Roman" w:hAnsi="Times New Roman" w:cs="Times New Roman"/>
        </w:rPr>
        <w:t xml:space="preserve">the </w:t>
      </w:r>
      <w:r w:rsidRPr="002F4E96">
        <w:rPr>
          <w:rFonts w:ascii="Times New Roman" w:hAnsi="Times New Roman" w:cs="Times New Roman"/>
        </w:rPr>
        <w:t>combined form of equation 2 and 3 as:</w:t>
      </w:r>
    </w:p>
    <w:p w14:paraId="6DEBF487" w14:textId="77777777" w:rsidR="007F7F57" w:rsidRPr="002F4E96" w:rsidRDefault="007F7F57" w:rsidP="007F7F57">
      <w:pPr>
        <w:pStyle w:val="Caption"/>
        <w:rPr>
          <w:rFonts w:ascii="Times New Roman" w:hAnsi="Times New Roman" w:cs="Times New Roman"/>
          <w:b w:val="0"/>
          <w:bCs w:val="0"/>
          <w:i/>
          <w:iCs/>
          <w:color w:val="auto"/>
          <w:sz w:val="22"/>
          <w:szCs w:val="22"/>
        </w:rPr>
      </w:pPr>
      <m:oMath>
        <m:r>
          <m:rPr>
            <m:sty m:val="bi"/>
          </m:rPr>
          <w:rPr>
            <w:rFonts w:ascii="Cambria Math" w:hAnsi="Cambria Math" w:cs="Times New Roman"/>
            <w:color w:val="auto"/>
            <w:sz w:val="22"/>
            <w:szCs w:val="22"/>
          </w:rPr>
          <m:t xml:space="preserve">s= </m:t>
        </m:r>
        <m:d>
          <m:dPr>
            <m:begChr m:val="{"/>
            <m:endChr m:val="}"/>
            <m:ctrlPr>
              <w:rPr>
                <w:rFonts w:ascii="Cambria Math" w:hAnsi="Cambria Math" w:cs="Times New Roman"/>
                <w:b w:val="0"/>
                <w:bCs w:val="0"/>
                <w:iCs/>
                <w:color w:val="auto"/>
                <w:sz w:val="22"/>
                <w:szCs w:val="22"/>
              </w:rPr>
            </m:ctrlPr>
          </m:dPr>
          <m:e>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h</m:t>
                </m:r>
              </m:e>
              <m:sub>
                <m:r>
                  <m:rPr>
                    <m:sty m:val="bi"/>
                  </m:rPr>
                  <w:rPr>
                    <w:rFonts w:ascii="Cambria Math" w:hAnsi="Cambria Math" w:cs="Times New Roman"/>
                    <w:color w:val="auto"/>
                    <w:sz w:val="22"/>
                    <w:szCs w:val="22"/>
                  </w:rPr>
                  <m:t>0</m:t>
                </m:r>
              </m:sub>
            </m:sSub>
            <m:sSup>
              <m:sSupPr>
                <m:ctrlPr>
                  <w:rPr>
                    <w:rFonts w:ascii="Cambria Math" w:hAnsi="Cambria Math" w:cs="Times New Roman"/>
                    <w:b w:val="0"/>
                    <w:bCs w:val="0"/>
                    <w:iCs/>
                    <w:color w:val="auto"/>
                    <w:sz w:val="22"/>
                    <w:szCs w:val="22"/>
                  </w:rPr>
                </m:ctrlPr>
              </m:sSupPr>
              <m:e>
                <m:d>
                  <m:dPr>
                    <m:begChr m:val="|"/>
                    <m:endChr m:val="|"/>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s</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m:t>
                            </m:r>
                          </m:sup>
                        </m:sSup>
                      </m:den>
                    </m:f>
                  </m:e>
                </m:d>
              </m:e>
              <m:sup>
                <m:r>
                  <m:rPr>
                    <m:sty m:val="bi"/>
                  </m:rPr>
                  <w:rPr>
                    <w:rFonts w:ascii="Cambria Math" w:hAnsi="Cambria Math" w:cs="Times New Roman"/>
                    <w:color w:val="auto"/>
                    <w:sz w:val="22"/>
                    <w:szCs w:val="22"/>
                  </w:rPr>
                  <m:t>a</m:t>
                </m:r>
              </m:sup>
            </m:sSup>
            <m:r>
              <m:rPr>
                <m:sty m:val="bi"/>
              </m:rPr>
              <w:rPr>
                <w:rFonts w:ascii="Cambria Math" w:hAnsi="Cambria Math" w:cs="Times New Roman"/>
                <w:color w:val="auto"/>
                <w:sz w:val="22"/>
                <w:szCs w:val="22"/>
              </w:rPr>
              <m:t>sin</m:t>
            </m:r>
            <m:r>
              <m:rPr>
                <m:sty m:val="b"/>
              </m:rPr>
              <w:rPr>
                <w:rFonts w:ascii="Cambria Math" w:hAnsi="Cambria Math" w:cs="Times New Roman"/>
                <w:color w:val="auto"/>
                <w:sz w:val="22"/>
                <w:szCs w:val="22"/>
              </w:rPr>
              <m:t>h</m:t>
            </m:r>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s</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m:t>
                        </m:r>
                      </m:sup>
                    </m:sSup>
                  </m:den>
                </m:f>
              </m:e>
            </m:d>
          </m:e>
        </m:d>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oMath>
      <w:r w:rsidRPr="002F4E96">
        <w:rPr>
          <w:rFonts w:ascii="Times New Roman" w:hAnsi="Times New Roman" w:cs="Times New Roman"/>
          <w:b w:val="0"/>
          <w:bCs w:val="0"/>
          <w:i/>
          <w:iCs/>
          <w:color w:val="auto"/>
          <w:sz w:val="22"/>
          <w:szCs w:val="22"/>
        </w:rPr>
        <w:t xml:space="preserve">                                                                                                 </w:t>
      </w:r>
      <w:r w:rsidRPr="002F4E96">
        <w:rPr>
          <w:rFonts w:ascii="Times New Roman" w:hAnsi="Times New Roman" w:cs="Times New Roman"/>
          <w:b w:val="0"/>
          <w:bCs w:val="0"/>
          <w:color w:val="auto"/>
          <w:sz w:val="22"/>
          <w:szCs w:val="22"/>
        </w:rPr>
        <w:t>(7)</w:t>
      </w:r>
    </w:p>
    <w:p w14:paraId="1010DA01"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Where</w:t>
      </w:r>
    </w:p>
    <w:p w14:paraId="71880EAF" w14:textId="77777777" w:rsidR="007F7F57" w:rsidRPr="002F4E96" w:rsidRDefault="00B205D3" w:rsidP="007F7F57">
      <w:pPr>
        <w:pStyle w:val="Caption"/>
        <w:rPr>
          <w:rFonts w:ascii="Times New Roman" w:hAnsi="Times New Roman" w:cs="Times New Roman"/>
          <w:b w:val="0"/>
          <w:bCs w:val="0"/>
          <w:i/>
          <w:iCs/>
          <w:color w:val="auto"/>
          <w:sz w:val="22"/>
          <w:szCs w:val="22"/>
        </w:rPr>
      </w:pPr>
      <m:oMath>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m:t>
            </m:r>
          </m:sup>
        </m:sSup>
        <m:r>
          <m:rPr>
            <m:sty m:val="bi"/>
          </m:rPr>
          <w:rPr>
            <w:rFonts w:ascii="Cambria Math" w:hAnsi="Cambria Math" w:cs="Times New Roman"/>
            <w:color w:val="auto"/>
            <w:sz w:val="22"/>
            <w:szCs w:val="22"/>
          </w:rPr>
          <m:t xml:space="preserve">= </m:t>
        </m:r>
        <m:acc>
          <m:accPr>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s</m:t>
            </m:r>
          </m:e>
        </m:acc>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num>
                  <m:den>
                    <m:r>
                      <m:rPr>
                        <m:sty m:val="bi"/>
                      </m:rPr>
                      <w:rPr>
                        <w:rFonts w:ascii="Cambria Math" w:hAnsi="Cambria Math" w:cs="Times New Roman"/>
                        <w:color w:val="auto"/>
                        <w:sz w:val="22"/>
                        <w:szCs w:val="22"/>
                      </w:rPr>
                      <m:t>A</m:t>
                    </m:r>
                  </m:den>
                </m:f>
                <m:func>
                  <m:funcPr>
                    <m:ctrlPr>
                      <w:rPr>
                        <w:rFonts w:ascii="Cambria Math" w:hAnsi="Cambria Math" w:cs="Times New Roman"/>
                        <w:b w:val="0"/>
                        <w:bCs w:val="0"/>
                        <w:iCs/>
                        <w:color w:val="auto"/>
                        <w:sz w:val="22"/>
                        <w:szCs w:val="22"/>
                      </w:rPr>
                    </m:ctrlPr>
                  </m:funcPr>
                  <m:fName>
                    <m:r>
                      <m:rPr>
                        <m:sty m:val="bi"/>
                      </m:rPr>
                      <w:rPr>
                        <w:rFonts w:ascii="Cambria Math" w:hAnsi="Cambria Math" w:cs="Times New Roman"/>
                        <w:color w:val="auto"/>
                        <w:sz w:val="22"/>
                        <w:szCs w:val="22"/>
                      </w:rPr>
                      <m:t>exp</m:t>
                    </m:r>
                  </m:fName>
                  <m:e>
                    <m:d>
                      <m:dPr>
                        <m:begChr m:val="["/>
                        <m:endChr m:val="]"/>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Q</m:t>
                            </m:r>
                          </m:num>
                          <m:den>
                            <m:r>
                              <m:rPr>
                                <m:sty m:val="bi"/>
                              </m:rPr>
                              <w:rPr>
                                <w:rFonts w:ascii="Cambria Math" w:hAnsi="Cambria Math" w:cs="Times New Roman"/>
                                <w:color w:val="auto"/>
                                <w:sz w:val="22"/>
                                <w:szCs w:val="22"/>
                              </w:rPr>
                              <m:t>RT</m:t>
                            </m:r>
                          </m:den>
                        </m:f>
                      </m:e>
                    </m:d>
                  </m:e>
                </m:func>
              </m:e>
            </m:d>
          </m:e>
          <m:sup>
            <m:r>
              <m:rPr>
                <m:sty m:val="bi"/>
              </m:rPr>
              <w:rPr>
                <w:rFonts w:ascii="Cambria Math" w:hAnsi="Cambria Math" w:cs="Times New Roman"/>
                <w:color w:val="auto"/>
                <w:sz w:val="22"/>
                <w:szCs w:val="22"/>
              </w:rPr>
              <m:t>n</m:t>
            </m:r>
          </m:sup>
        </m:sSup>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(8)</w:t>
      </w:r>
    </w:p>
    <w:p w14:paraId="0BA843DE" w14:textId="49D64EC2"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Where </w:t>
      </w:r>
      <m:oMath>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m:t>
            </m:r>
          </m:sup>
        </m:sSup>
      </m:oMath>
      <w:r w:rsidRPr="002F4E96">
        <w:rPr>
          <w:rFonts w:ascii="Times New Roman" w:hAnsi="Times New Roman" w:cs="Times New Roman"/>
        </w:rPr>
        <w:t xml:space="preserve"> describes the saturation value of </w:t>
      </w:r>
      <w:r w:rsidRPr="002F4E96">
        <w:rPr>
          <w:rFonts w:ascii="Times New Roman" w:hAnsi="Times New Roman" w:cs="Times New Roman"/>
          <w:i/>
        </w:rPr>
        <w:t>s</w:t>
      </w:r>
      <w:r w:rsidRPr="002F4E96">
        <w:rPr>
          <w:rFonts w:ascii="Times New Roman" w:hAnsi="Times New Roman" w:cs="Times New Roman"/>
        </w:rPr>
        <w:t xml:space="preserve"> associated with a set of given temperature and strain rate;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2F4E96">
        <w:rPr>
          <w:rFonts w:ascii="Times New Roman" w:hAnsi="Times New Roman" w:cs="Times New Roman"/>
        </w:rPr>
        <w:t xml:space="preserve"> represents the hardening/softening constant; </w:t>
      </w:r>
      <m:oMath>
        <m:r>
          <w:rPr>
            <w:rFonts w:ascii="Cambria Math" w:hAnsi="Cambria Math" w:cs="Times New Roman"/>
          </w:rPr>
          <m:t>a</m:t>
        </m:r>
      </m:oMath>
      <w:r w:rsidRPr="002F4E96">
        <w:rPr>
          <w:rFonts w:ascii="Times New Roman" w:hAnsi="Times New Roman" w:cs="Times New Roman"/>
        </w:rPr>
        <w:t xml:space="preserve"> is the strain rate sensitivity of hardening/softening;</w:t>
      </w:r>
      <w:r w:rsidRPr="002F4E96">
        <w:rPr>
          <w:rFonts w:ascii="Times New Roman" w:hAnsi="Times New Roman" w:cs="Times New Roman"/>
          <w:i/>
        </w:rPr>
        <w:t xml:space="preserve"> n</w:t>
      </w:r>
      <w:r w:rsidRPr="002F4E96">
        <w:rPr>
          <w:rFonts w:ascii="Times New Roman" w:hAnsi="Times New Roman" w:cs="Times New Roman"/>
        </w:rPr>
        <w:t xml:space="preserve"> stands for the strain rate sensitivity for the saturation value of deformation resistance, and </w:t>
      </w:r>
      <m:oMath>
        <m:acc>
          <m:accPr>
            <m:ctrlPr>
              <w:rPr>
                <w:rFonts w:ascii="Cambria Math" w:hAnsi="Cambria Math" w:cs="Times New Roman"/>
                <w:i/>
              </w:rPr>
            </m:ctrlPr>
          </m:accPr>
          <m:e>
            <m:r>
              <w:rPr>
                <w:rFonts w:ascii="Cambria Math" w:hAnsi="Cambria Math" w:cs="Times New Roman"/>
              </w:rPr>
              <m:t>s</m:t>
            </m:r>
          </m:e>
        </m:acc>
      </m:oMath>
      <w:r w:rsidRPr="002F4E96">
        <w:rPr>
          <w:rFonts w:ascii="Times New Roman" w:hAnsi="Times New Roman" w:cs="Times New Roman"/>
        </w:rPr>
        <w:t xml:space="preserve"> is a coefficient. The viscoplastic model includes two kinds of equations</w:t>
      </w:r>
      <w:r w:rsidR="00F55B3D" w:rsidRPr="002F4E96">
        <w:rPr>
          <w:rFonts w:ascii="Times New Roman" w:hAnsi="Times New Roman" w:cs="Times New Roman"/>
        </w:rPr>
        <w:t>, and the</w:t>
      </w:r>
      <w:r w:rsidRPr="002F4E96">
        <w:rPr>
          <w:rFonts w:ascii="Times New Roman" w:hAnsi="Times New Roman" w:cs="Times New Roman"/>
        </w:rPr>
        <w:t xml:space="preserve"> first equation deals with the relationship between saturation stress and strain rate under </w:t>
      </w:r>
      <w:r w:rsidR="00F43F2D" w:rsidRPr="002F4E96">
        <w:rPr>
          <w:rFonts w:ascii="Times New Roman" w:hAnsi="Times New Roman" w:cs="Times New Roman"/>
        </w:rPr>
        <w:t>specific</w:t>
      </w:r>
      <w:r w:rsidRPr="002F4E96">
        <w:rPr>
          <w:rFonts w:ascii="Times New Roman" w:hAnsi="Times New Roman" w:cs="Times New Roman"/>
        </w:rPr>
        <w:t xml:space="preserve"> temperature</w:t>
      </w:r>
      <w:r w:rsidR="00F55B3D" w:rsidRPr="002F4E96">
        <w:rPr>
          <w:rFonts w:ascii="Times New Roman" w:hAnsi="Times New Roman" w:cs="Times New Roman"/>
        </w:rPr>
        <w:t>. In contrast,</w:t>
      </w:r>
      <w:r w:rsidRPr="002F4E96">
        <w:rPr>
          <w:rFonts w:ascii="Times New Roman" w:hAnsi="Times New Roman" w:cs="Times New Roman"/>
        </w:rPr>
        <w:t xml:space="preserve"> the second equation deals with </w:t>
      </w:r>
      <w:r w:rsidR="00F55B3D" w:rsidRPr="002F4E96">
        <w:rPr>
          <w:rFonts w:ascii="Times New Roman" w:hAnsi="Times New Roman" w:cs="Times New Roman"/>
        </w:rPr>
        <w:t xml:space="preserve">the </w:t>
      </w:r>
      <w:r w:rsidRPr="002F4E96">
        <w:rPr>
          <w:rFonts w:ascii="Times New Roman" w:hAnsi="Times New Roman" w:cs="Times New Roman"/>
        </w:rPr>
        <w:t xml:space="preserve">relationship between strain and stress under </w:t>
      </w:r>
      <w:r w:rsidR="00F55B3D" w:rsidRPr="002F4E96">
        <w:rPr>
          <w:rFonts w:ascii="Times New Roman" w:hAnsi="Times New Roman" w:cs="Times New Roman"/>
        </w:rPr>
        <w:t>specific</w:t>
      </w:r>
      <w:r w:rsidRPr="002F4E96">
        <w:rPr>
          <w:rFonts w:ascii="Times New Roman" w:hAnsi="Times New Roman" w:cs="Times New Roman"/>
        </w:rPr>
        <w:t xml:space="preserve"> strain rate and temperature </w:t>
      </w:r>
      <w:r w:rsidR="007B2466" w:rsidRPr="002F4E96">
        <w:rPr>
          <w:rFonts w:ascii="Times New Roman" w:hAnsi="Times New Roman" w:cs="Times New Roman"/>
        </w:rPr>
        <w:fldChar w:fldCharType="begin" w:fldLock="1"/>
      </w:r>
      <w:r w:rsidR="007B2466" w:rsidRPr="002F4E96">
        <w:rPr>
          <w:rFonts w:ascii="Times New Roman" w:hAnsi="Times New Roman" w:cs="Times New Roman"/>
        </w:rPr>
        <w:instrText>ADDIN CSL_CITATION {"citationItems":[{"id":"ITEM-1","itemData":{"DOI":"10.1016/j.microrel.2013.07.100","ISSN":"00262714","abstract":"In this paper, the constitutive response of SnAgCuZn solder was studied under uniaxial tension. Anand model was used to represent the inelastic deformation behavior of the lead-free solders. The material parameters of the constitutive relations for SnAgCuZn solders were determined from separated constitutive relations and experimental results. In addition, the constitutive model was used to analyze the thermally induced inelastic deformation of the solder joints in wafer-level chip scale packages mounted on printed circuit boards based on finite element analysis. And it is found that the addition of Zn can enhance the fatigue life of SnAgCu solder joint. © 2013 Elsevier Ltd. All rights reserved.","author":[{"dropping-particle":"","family":"Zhang","given":"Liang","non-dropping-particle":"","parse-names":false,"suffix":""},{"dropping-particle":"","family":"Han","given":"Ji Guang","non-dropping-particle":"","parse-names":false,"suffix":""},{"dropping-particle":"","family":"Guo","given":"Yonghuan","non-dropping-particle":"","parse-names":false,"suffix":""},{"dropping-particle":"","family":"He","given":"Cheng Wen","non-dropping-particle":"","parse-names":false,"suffix":""}],"container-title":"Microelectronics Reliability","id":"ITEM-1","issued":{"date-parts":[["2014"]]},"title":"Anand model and FEM analysis of SnAgCuZn lead-free solder joints in wafer level chip scale packaging devices","type":"article-journal"},"uris":["http://www.mendeley.com/documents/?uuid=b1e81b7f-5e14-47ed-a125-1c05954f3580"]}],"mendeley":{"formattedCitation":"[38]","plainTextFormattedCitation":"[38]","previouslyFormattedCitation":"[38]"},"properties":{"noteIndex":0},"schema":"https://github.com/citation-style-language/schema/raw/master/csl-citation.json"}</w:instrText>
      </w:r>
      <w:r w:rsidR="007B2466" w:rsidRPr="002F4E96">
        <w:rPr>
          <w:rFonts w:ascii="Times New Roman" w:hAnsi="Times New Roman" w:cs="Times New Roman"/>
        </w:rPr>
        <w:fldChar w:fldCharType="separate"/>
      </w:r>
      <w:r w:rsidR="007B2466" w:rsidRPr="002F4E96">
        <w:rPr>
          <w:rFonts w:ascii="Times New Roman" w:hAnsi="Times New Roman" w:cs="Times New Roman"/>
          <w:noProof/>
        </w:rPr>
        <w:t>[38]</w:t>
      </w:r>
      <w:r w:rsidR="007B2466" w:rsidRPr="002F4E96">
        <w:rPr>
          <w:rFonts w:ascii="Times New Roman" w:hAnsi="Times New Roman" w:cs="Times New Roman"/>
        </w:rPr>
        <w:fldChar w:fldCharType="end"/>
      </w:r>
      <w:r w:rsidRPr="002F4E96">
        <w:rPr>
          <w:rFonts w:ascii="Times New Roman" w:hAnsi="Times New Roman" w:cs="Times New Roman"/>
        </w:rPr>
        <w:t xml:space="preserve">.  </w:t>
      </w:r>
    </w:p>
    <w:p w14:paraId="51404B87"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From equations 2, 3 and 8 together with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cs</m:t>
            </m:r>
          </m:e>
          <m:sup>
            <m:r>
              <w:rPr>
                <w:rFonts w:ascii="Cambria Math" w:hAnsi="Cambria Math" w:cs="Times New Roman"/>
              </w:rPr>
              <m:t>*</m:t>
            </m:r>
          </m:sup>
        </m:sSup>
      </m:oMath>
      <w:r w:rsidRPr="002F4E96">
        <w:rPr>
          <w:rFonts w:ascii="Times New Roman" w:hAnsi="Times New Roman" w:cs="Times New Roman"/>
        </w:rPr>
        <w:t xml:space="preserve"> gives the following equation for saturation stress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m:t>
            </m:r>
          </m:sup>
        </m:sSup>
      </m:oMath>
      <w:r w:rsidRPr="002F4E96">
        <w:rPr>
          <w:rFonts w:ascii="Times New Roman" w:hAnsi="Times New Roman" w:cs="Times New Roman"/>
        </w:rPr>
        <w:t xml:space="preserve"> with a given temperature and strain rate.</w:t>
      </w:r>
    </w:p>
    <w:p w14:paraId="2A9E5682" w14:textId="77777777" w:rsidR="007F7F57" w:rsidRPr="002F4E96" w:rsidRDefault="00B205D3" w:rsidP="007F7F57">
      <w:pPr>
        <w:pStyle w:val="Caption"/>
        <w:rPr>
          <w:rFonts w:ascii="Times New Roman" w:hAnsi="Times New Roman" w:cs="Times New Roman"/>
          <w:b w:val="0"/>
          <w:bCs w:val="0"/>
          <w:i/>
          <w:iCs/>
          <w:color w:val="auto"/>
          <w:sz w:val="22"/>
          <w:szCs w:val="22"/>
        </w:rPr>
      </w:pPr>
      <m:oMath>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r>
          <m:rPr>
            <m:sty m:val="bi"/>
          </m:rPr>
          <w:rPr>
            <w:rFonts w:ascii="Cambria Math" w:hAnsi="Cambria Math" w:cs="Times New Roman"/>
            <w:color w:val="auto"/>
            <w:sz w:val="22"/>
            <w:szCs w:val="22"/>
          </w:rPr>
          <m:t>=</m:t>
        </m:r>
        <m:f>
          <m:fPr>
            <m:ctrlPr>
              <w:rPr>
                <w:rFonts w:ascii="Cambria Math" w:hAnsi="Cambria Math" w:cs="Times New Roman"/>
                <w:b w:val="0"/>
                <w:bCs w:val="0"/>
                <w:iCs/>
                <w:color w:val="auto"/>
                <w:sz w:val="22"/>
                <w:szCs w:val="22"/>
              </w:rPr>
            </m:ctrlPr>
          </m:fPr>
          <m:num>
            <m:acc>
              <m:accPr>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s</m:t>
                </m:r>
              </m:e>
            </m:acc>
          </m:num>
          <m:den>
            <m:r>
              <m:rPr>
                <m:sty m:val="bi"/>
              </m:rPr>
              <w:rPr>
                <w:rFonts w:ascii="Cambria Math" w:hAnsi="Cambria Math" w:cs="Times New Roman"/>
                <w:color w:val="auto"/>
                <w:sz w:val="22"/>
                <w:szCs w:val="22"/>
              </w:rPr>
              <m:t>ξ</m:t>
            </m:r>
          </m:den>
        </m:f>
        <m:sSup>
          <m:sSupPr>
            <m:ctrlPr>
              <w:rPr>
                <w:rFonts w:ascii="Cambria Math" w:hAnsi="Cambria Math" w:cs="Times New Roman"/>
                <w:b w:val="0"/>
                <w:bCs w:val="0"/>
                <w:iCs/>
                <w:color w:val="auto"/>
                <w:sz w:val="22"/>
                <w:szCs w:val="22"/>
              </w:rPr>
            </m:ctrlPr>
          </m:sSupPr>
          <m:e>
            <m:d>
              <m:dPr>
                <m:begChr m:val="["/>
                <m:endChr m:val="]"/>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num>
                  <m:den>
                    <m:r>
                      <m:rPr>
                        <m:sty m:val="bi"/>
                      </m:rPr>
                      <w:rPr>
                        <w:rFonts w:ascii="Cambria Math" w:hAnsi="Cambria Math" w:cs="Times New Roman"/>
                        <w:color w:val="auto"/>
                        <w:sz w:val="22"/>
                        <w:szCs w:val="22"/>
                      </w:rPr>
                      <m:t>A</m:t>
                    </m:r>
                  </m:den>
                </m:f>
                <m:func>
                  <m:funcPr>
                    <m:ctrlPr>
                      <w:rPr>
                        <w:rFonts w:ascii="Cambria Math" w:hAnsi="Cambria Math" w:cs="Times New Roman"/>
                        <w:b w:val="0"/>
                        <w:bCs w:val="0"/>
                        <w:iCs/>
                        <w:color w:val="auto"/>
                        <w:sz w:val="22"/>
                        <w:szCs w:val="22"/>
                      </w:rPr>
                    </m:ctrlPr>
                  </m:funcPr>
                  <m:fName>
                    <m:r>
                      <m:rPr>
                        <m:sty m:val="bi"/>
                      </m:rPr>
                      <w:rPr>
                        <w:rFonts w:ascii="Cambria Math" w:hAnsi="Cambria Math" w:cs="Times New Roman"/>
                        <w:color w:val="auto"/>
                        <w:sz w:val="22"/>
                        <w:szCs w:val="22"/>
                      </w:rPr>
                      <m:t>exp</m:t>
                    </m:r>
                  </m:fName>
                  <m:e>
                    <m:d>
                      <m:dPr>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Q</m:t>
                            </m:r>
                          </m:num>
                          <m:den>
                            <m:r>
                              <m:rPr>
                                <m:sty m:val="bi"/>
                              </m:rPr>
                              <w:rPr>
                                <w:rFonts w:ascii="Cambria Math" w:hAnsi="Cambria Math" w:cs="Times New Roman"/>
                                <w:color w:val="auto"/>
                                <w:sz w:val="22"/>
                                <w:szCs w:val="22"/>
                              </w:rPr>
                              <m:t>RT</m:t>
                            </m:r>
                          </m:den>
                        </m:f>
                      </m:e>
                    </m:d>
                  </m:e>
                </m:func>
              </m:e>
            </m:d>
          </m:e>
          <m:sup>
            <m:r>
              <m:rPr>
                <m:sty m:val="bi"/>
              </m:rPr>
              <w:rPr>
                <w:rFonts w:ascii="Cambria Math" w:hAnsi="Cambria Math" w:cs="Times New Roman"/>
                <w:color w:val="auto"/>
                <w:sz w:val="22"/>
                <w:szCs w:val="22"/>
              </w:rPr>
              <m:t>n</m:t>
            </m:r>
          </m:sup>
        </m:sSup>
        <m:r>
          <m:rPr>
            <m:sty m:val="bi"/>
          </m:rPr>
          <w:rPr>
            <w:rFonts w:ascii="Cambria Math" w:hAnsi="Cambria Math" w:cs="Times New Roman"/>
            <w:color w:val="auto"/>
            <w:sz w:val="22"/>
            <w:szCs w:val="22"/>
          </w:rPr>
          <m:t>sin</m:t>
        </m:r>
        <m:sSup>
          <m:sSupPr>
            <m:ctrlPr>
              <w:rPr>
                <w:rFonts w:ascii="Cambria Math" w:hAnsi="Cambria Math" w:cs="Times New Roman"/>
                <w:b w:val="0"/>
                <w:bCs w:val="0"/>
                <w:i/>
                <w:iCs/>
                <w:color w:val="auto"/>
                <w:sz w:val="22"/>
                <w:szCs w:val="22"/>
              </w:rPr>
            </m:ctrlPr>
          </m:sSupPr>
          <m:e>
            <m:r>
              <m:rPr>
                <m:sty m:val="bi"/>
              </m:rPr>
              <w:rPr>
                <w:rFonts w:ascii="Cambria Math" w:hAnsi="Cambria Math" w:cs="Times New Roman"/>
                <w:color w:val="auto"/>
                <w:sz w:val="22"/>
                <w:szCs w:val="22"/>
              </w:rPr>
              <m:t>h</m:t>
            </m:r>
          </m:e>
          <m:sup>
            <m:r>
              <m:rPr>
                <m:sty m:val="bi"/>
              </m:rPr>
              <w:rPr>
                <w:rFonts w:ascii="Cambria Math" w:hAnsi="Cambria Math" w:cs="Times New Roman"/>
                <w:color w:val="auto"/>
                <w:sz w:val="22"/>
                <w:szCs w:val="22"/>
              </w:rPr>
              <m:t>-1</m:t>
            </m:r>
          </m:sup>
        </m:sSup>
        <m:d>
          <m:dPr>
            <m:begChr m:val="{"/>
            <m:endChr m:val="}"/>
            <m:ctrlPr>
              <w:rPr>
                <w:rFonts w:ascii="Cambria Math" w:hAnsi="Cambria Math" w:cs="Times New Roman"/>
                <w:b w:val="0"/>
                <w:bCs w:val="0"/>
                <w:iCs/>
                <w:color w:val="auto"/>
                <w:sz w:val="22"/>
                <w:szCs w:val="22"/>
              </w:rPr>
            </m:ctrlPr>
          </m:dPr>
          <m:e>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sSup>
                          <m:sSupPr>
                            <m:ctrlPr>
                              <w:rPr>
                                <w:rFonts w:ascii="Cambria Math" w:hAnsi="Cambria Math" w:cs="Times New Roman"/>
                                <w:b w:val="0"/>
                                <w:bCs w:val="0"/>
                                <w:iCs/>
                                <w:color w:val="auto"/>
                                <w:sz w:val="22"/>
                                <w:szCs w:val="22"/>
                              </w:rPr>
                            </m:ctrlPr>
                          </m:sSupPr>
                          <m:e>
                            <m:acc>
                              <m:accPr>
                                <m:chr m:val="̇"/>
                                <m:ctrlPr>
                                  <w:rPr>
                                    <w:rFonts w:ascii="Cambria Math" w:hAnsi="Cambria Math" w:cs="Times New Roman"/>
                                    <w:b w:val="0"/>
                                    <w:bCs w:val="0"/>
                                    <w:iCs/>
                                    <w:color w:val="auto"/>
                                    <w:sz w:val="22"/>
                                    <w:szCs w:val="22"/>
                                  </w:rPr>
                                </m:ctrlPr>
                              </m:accPr>
                              <m:e>
                                <m:r>
                                  <m:rPr>
                                    <m:sty m:val="bi"/>
                                  </m:rPr>
                                  <w:rPr>
                                    <w:rFonts w:ascii="Cambria Math" w:hAnsi="Cambria Math" w:cs="Times New Roman"/>
                                    <w:color w:val="auto"/>
                                    <w:sz w:val="22"/>
                                    <w:szCs w:val="22"/>
                                  </w:rPr>
                                  <m:t>ε</m:t>
                                </m:r>
                              </m:e>
                            </m:acc>
                          </m:e>
                          <m:sup>
                            <m:r>
                              <m:rPr>
                                <m:sty m:val="bi"/>
                              </m:rPr>
                              <w:rPr>
                                <w:rFonts w:ascii="Cambria Math" w:hAnsi="Cambria Math" w:cs="Times New Roman"/>
                                <w:color w:val="auto"/>
                                <w:sz w:val="22"/>
                                <w:szCs w:val="22"/>
                              </w:rPr>
                              <m:t>p</m:t>
                            </m:r>
                          </m:sup>
                        </m:sSup>
                      </m:num>
                      <m:den>
                        <m:r>
                          <m:rPr>
                            <m:sty m:val="bi"/>
                          </m:rPr>
                          <w:rPr>
                            <w:rFonts w:ascii="Cambria Math" w:hAnsi="Cambria Math" w:cs="Times New Roman"/>
                            <w:color w:val="auto"/>
                            <w:sz w:val="22"/>
                            <w:szCs w:val="22"/>
                          </w:rPr>
                          <m:t>A</m:t>
                        </m:r>
                      </m:den>
                    </m:f>
                    <m:r>
                      <m:rPr>
                        <m:sty m:val="bi"/>
                      </m:rPr>
                      <w:rPr>
                        <w:rFonts w:ascii="Cambria Math" w:hAnsi="Cambria Math" w:cs="Times New Roman"/>
                        <w:color w:val="auto"/>
                        <w:sz w:val="22"/>
                        <w:szCs w:val="22"/>
                      </w:rPr>
                      <m:t>exp</m:t>
                    </m:r>
                    <m:d>
                      <m:dPr>
                        <m:begChr m:val="["/>
                        <m:endChr m:val="]"/>
                        <m:ctrlPr>
                          <w:rPr>
                            <w:rFonts w:ascii="Cambria Math" w:hAnsi="Cambria Math" w:cs="Times New Roman"/>
                            <w:b w:val="0"/>
                            <w:bCs w:val="0"/>
                            <w:iCs/>
                            <w:color w:val="auto"/>
                            <w:sz w:val="22"/>
                            <w:szCs w:val="22"/>
                          </w:rPr>
                        </m:ctrlPr>
                      </m:dPr>
                      <m:e>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Q</m:t>
                            </m:r>
                          </m:num>
                          <m:den>
                            <m:r>
                              <m:rPr>
                                <m:sty m:val="bi"/>
                              </m:rPr>
                              <w:rPr>
                                <w:rFonts w:ascii="Cambria Math" w:hAnsi="Cambria Math" w:cs="Times New Roman"/>
                                <w:color w:val="auto"/>
                                <w:sz w:val="22"/>
                                <w:szCs w:val="22"/>
                              </w:rPr>
                              <m:t>RT</m:t>
                            </m:r>
                          </m:den>
                        </m:f>
                      </m:e>
                    </m:d>
                  </m:e>
                </m:d>
              </m:e>
              <m:sup>
                <m:r>
                  <m:rPr>
                    <m:sty m:val="bi"/>
                  </m:rPr>
                  <w:rPr>
                    <w:rFonts w:ascii="Cambria Math" w:hAnsi="Cambria Math" w:cs="Times New Roman"/>
                    <w:color w:val="auto"/>
                    <w:sz w:val="22"/>
                    <w:szCs w:val="22"/>
                  </w:rPr>
                  <m:t>m</m:t>
                </m:r>
              </m:sup>
            </m:sSup>
          </m:e>
        </m:d>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(9)</w:t>
      </w:r>
    </w:p>
    <w:p w14:paraId="17697240"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Following relation can be obtained from equations (4) and (9)</w:t>
      </w:r>
    </w:p>
    <w:p w14:paraId="4350BD7E" w14:textId="77777777" w:rsidR="007F7F57" w:rsidRPr="002F4E96" w:rsidRDefault="00B205D3" w:rsidP="007F7F57">
      <w:pPr>
        <w:pStyle w:val="Caption"/>
        <w:rPr>
          <w:rFonts w:ascii="Times New Roman" w:hAnsi="Times New Roman" w:cs="Times New Roman"/>
          <w:b w:val="0"/>
          <w:bCs w:val="0"/>
          <w:i/>
          <w:iCs/>
          <w:color w:val="auto"/>
          <w:sz w:val="22"/>
          <w:szCs w:val="22"/>
        </w:rPr>
      </w:pPr>
      <m:oMath>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dσ</m:t>
            </m:r>
          </m:num>
          <m:den>
            <m:r>
              <m:rPr>
                <m:sty m:val="bi"/>
              </m:rPr>
              <w:rPr>
                <w:rFonts w:ascii="Cambria Math" w:hAnsi="Cambria Math" w:cs="Times New Roman"/>
                <w:color w:val="auto"/>
                <w:sz w:val="22"/>
                <w:szCs w:val="22"/>
              </w:rPr>
              <m:t>d</m:t>
            </m:r>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p</m:t>
                </m:r>
              </m:sub>
            </m:sSub>
          </m:den>
        </m:f>
        <m:r>
          <m:rPr>
            <m:sty m:val="bi"/>
          </m:rPr>
          <w:rPr>
            <w:rFonts w:ascii="Cambria Math" w:hAnsi="Cambria Math" w:cs="Times New Roman"/>
            <w:color w:val="auto"/>
            <w:sz w:val="22"/>
            <w:szCs w:val="22"/>
          </w:rPr>
          <m:t>=c</m:t>
        </m:r>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h</m:t>
            </m:r>
          </m:e>
          <m:sub>
            <m:r>
              <m:rPr>
                <m:sty m:val="bi"/>
              </m:rPr>
              <w:rPr>
                <w:rFonts w:ascii="Cambria Math" w:hAnsi="Cambria Math" w:cs="Times New Roman"/>
                <w:color w:val="auto"/>
                <w:sz w:val="22"/>
                <w:szCs w:val="22"/>
              </w:rPr>
              <m:t>0</m:t>
            </m:r>
          </m:sub>
        </m:sSub>
        <m:sSup>
          <m:sSupPr>
            <m:ctrlPr>
              <w:rPr>
                <w:rFonts w:ascii="Cambria Math" w:hAnsi="Cambria Math" w:cs="Times New Roman"/>
                <w:b w:val="0"/>
                <w:bCs w:val="0"/>
                <w:iCs/>
                <w:color w:val="auto"/>
                <w:sz w:val="22"/>
                <w:szCs w:val="22"/>
              </w:rPr>
            </m:ctrlPr>
          </m:sSupPr>
          <m:e>
            <m:d>
              <m:dPr>
                <m:begChr m:val="|"/>
                <m:endChr m:val="|"/>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σ</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den>
                </m:f>
              </m:e>
            </m:d>
          </m:e>
          <m:sup>
            <m:r>
              <m:rPr>
                <m:sty m:val="bi"/>
              </m:rPr>
              <w:rPr>
                <w:rFonts w:ascii="Cambria Math" w:hAnsi="Cambria Math" w:cs="Times New Roman"/>
                <w:color w:val="auto"/>
                <w:sz w:val="22"/>
                <w:szCs w:val="22"/>
              </w:rPr>
              <m:t>a</m:t>
            </m:r>
          </m:sup>
        </m:sSup>
        <m:r>
          <m:rPr>
            <m:sty m:val="bi"/>
          </m:rPr>
          <w:rPr>
            <w:rFonts w:ascii="Cambria Math" w:hAnsi="Cambria Math" w:cs="Times New Roman"/>
            <w:color w:val="auto"/>
            <w:sz w:val="22"/>
            <w:szCs w:val="22"/>
          </w:rPr>
          <m:t>sign</m:t>
        </m:r>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m:t>
            </m:r>
            <m:f>
              <m:fPr>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σ</m:t>
                </m:r>
              </m:num>
              <m:den>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den>
            </m:f>
          </m:e>
        </m:d>
        <m:r>
          <m:rPr>
            <m:sty m:val="bi"/>
          </m:rPr>
          <w:rPr>
            <w:rFonts w:ascii="Cambria Math" w:hAnsi="Cambria Math" w:cs="Times New Roman"/>
            <w:color w:val="auto"/>
            <w:sz w:val="22"/>
            <w:szCs w:val="22"/>
          </w:rPr>
          <m:t>;           &gt;1</m:t>
        </m:r>
      </m:oMath>
      <w:r w:rsidR="007F7F57" w:rsidRPr="002F4E96">
        <w:rPr>
          <w:rFonts w:ascii="Times New Roman" w:hAnsi="Times New Roman" w:cs="Times New Roman"/>
          <w:b w:val="0"/>
          <w:bCs w:val="0"/>
          <w:i/>
          <w:iCs/>
          <w:color w:val="auto"/>
          <w:sz w:val="22"/>
          <w:szCs w:val="22"/>
        </w:rPr>
        <w:t xml:space="preserve">                                                                                </w:t>
      </w:r>
      <w:r w:rsidR="007F7F57" w:rsidRPr="002F4E96">
        <w:rPr>
          <w:rFonts w:ascii="Times New Roman" w:hAnsi="Times New Roman" w:cs="Times New Roman"/>
          <w:b w:val="0"/>
          <w:bCs w:val="0"/>
          <w:color w:val="auto"/>
          <w:sz w:val="22"/>
          <w:szCs w:val="22"/>
        </w:rPr>
        <w:t>(10)</w:t>
      </w:r>
    </w:p>
    <w:p w14:paraId="0B82661D"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The integration form of equation (7) is:</w:t>
      </w:r>
    </w:p>
    <w:p w14:paraId="24942A1F" w14:textId="77777777" w:rsidR="007F7F57" w:rsidRPr="002F4E96" w:rsidRDefault="007F7F57" w:rsidP="007F7F57">
      <w:pPr>
        <w:pStyle w:val="Caption"/>
        <w:rPr>
          <w:rFonts w:ascii="Times New Roman" w:hAnsi="Times New Roman" w:cs="Times New Roman"/>
          <w:b w:val="0"/>
          <w:bCs w:val="0"/>
          <w:i/>
          <w:iCs/>
          <w:color w:val="auto"/>
          <w:sz w:val="22"/>
          <w:szCs w:val="22"/>
        </w:rPr>
      </w:pPr>
      <m:oMath>
        <m:r>
          <m:rPr>
            <m:sty m:val="bi"/>
          </m:rPr>
          <w:rPr>
            <w:rFonts w:ascii="Cambria Math" w:hAnsi="Cambria Math" w:cs="Times New Roman"/>
            <w:color w:val="auto"/>
            <w:sz w:val="22"/>
            <w:szCs w:val="22"/>
          </w:rPr>
          <m:t>σ=</m:t>
        </m:r>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r>
          <m:rPr>
            <m:sty m:val="bi"/>
          </m:rPr>
          <w:rPr>
            <w:rFonts w:ascii="Cambria Math" w:hAnsi="Cambria Math" w:cs="Times New Roman"/>
            <w:color w:val="auto"/>
            <w:sz w:val="22"/>
            <w:szCs w:val="22"/>
          </w:rPr>
          <m:t>-</m:t>
        </m:r>
        <m:sSup>
          <m:sSupPr>
            <m:ctrlPr>
              <w:rPr>
                <w:rFonts w:ascii="Cambria Math" w:hAnsi="Cambria Math" w:cs="Times New Roman"/>
                <w:b w:val="0"/>
                <w:bCs w:val="0"/>
                <w:iCs/>
                <w:color w:val="auto"/>
                <w:sz w:val="22"/>
                <w:szCs w:val="22"/>
              </w:rPr>
            </m:ctrlPr>
          </m:sSupPr>
          <m:e>
            <m:d>
              <m:dPr>
                <m:begChr m:val="["/>
                <m:endChr m:val="]"/>
                <m:ctrlPr>
                  <w:rPr>
                    <w:rFonts w:ascii="Cambria Math" w:hAnsi="Cambria Math" w:cs="Times New Roman"/>
                    <w:b w:val="0"/>
                    <w:bCs w:val="0"/>
                    <w:iCs/>
                    <w:color w:val="auto"/>
                    <w:sz w:val="22"/>
                    <w:szCs w:val="22"/>
                  </w:rPr>
                </m:ctrlPr>
              </m:dPr>
              <m:e>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r>
                          <m:rPr>
                            <m:sty m:val="bi"/>
                          </m:rPr>
                          <w:rPr>
                            <w:rFonts w:ascii="Cambria Math" w:hAnsi="Cambria Math" w:cs="Times New Roman"/>
                            <w:color w:val="auto"/>
                            <w:sz w:val="22"/>
                            <w:szCs w:val="22"/>
                          </w:rPr>
                          <m:t>-c</m:t>
                        </m:r>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s</m:t>
                            </m:r>
                          </m:e>
                          <m:sub>
                            <m:r>
                              <m:rPr>
                                <m:sty m:val="bi"/>
                              </m:rPr>
                              <w:rPr>
                                <w:rFonts w:ascii="Cambria Math" w:hAnsi="Cambria Math" w:cs="Times New Roman"/>
                                <w:color w:val="auto"/>
                                <w:sz w:val="22"/>
                                <w:szCs w:val="22"/>
                              </w:rPr>
                              <m:t>0</m:t>
                            </m:r>
                          </m:sub>
                        </m:sSub>
                      </m:e>
                    </m:d>
                  </m:e>
                  <m:sup>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1-a</m:t>
                        </m:r>
                      </m:e>
                    </m:d>
                  </m:sup>
                </m:sSup>
                <m:r>
                  <m:rPr>
                    <m:sty m:val="bi"/>
                  </m:rPr>
                  <w:rPr>
                    <w:rFonts w:ascii="Cambria Math" w:hAnsi="Cambria Math" w:cs="Times New Roman"/>
                    <w:color w:val="auto"/>
                    <w:sz w:val="22"/>
                    <w:szCs w:val="22"/>
                  </w:rPr>
                  <m:t>+</m:t>
                </m:r>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a-1</m:t>
                    </m:r>
                  </m:e>
                </m:d>
                <m:d>
                  <m:dPr>
                    <m:begChr m:val="{"/>
                    <m:endChr m:val="}"/>
                    <m:ctrlPr>
                      <w:rPr>
                        <w:rFonts w:ascii="Cambria Math" w:hAnsi="Cambria Math" w:cs="Times New Roman"/>
                        <w:b w:val="0"/>
                        <w:bCs w:val="0"/>
                        <w:iCs/>
                        <w:color w:val="auto"/>
                        <w:sz w:val="22"/>
                        <w:szCs w:val="22"/>
                      </w:rPr>
                    </m:ctrlPr>
                  </m:dPr>
                  <m:e>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c</m:t>
                        </m:r>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h</m:t>
                            </m:r>
                          </m:e>
                          <m:sub>
                            <m:r>
                              <m:rPr>
                                <m:sty m:val="bi"/>
                              </m:rPr>
                              <w:rPr>
                                <w:rFonts w:ascii="Cambria Math" w:hAnsi="Cambria Math" w:cs="Times New Roman"/>
                                <w:color w:val="auto"/>
                                <w:sz w:val="22"/>
                                <w:szCs w:val="22"/>
                              </w:rPr>
                              <m:t>0</m:t>
                            </m:r>
                          </m:sub>
                        </m:sSub>
                      </m:e>
                    </m:d>
                    <m:sSup>
                      <m:sSupPr>
                        <m:ctrlPr>
                          <w:rPr>
                            <w:rFonts w:ascii="Cambria Math" w:hAnsi="Cambria Math" w:cs="Times New Roman"/>
                            <w:b w:val="0"/>
                            <w:bCs w:val="0"/>
                            <w:iCs/>
                            <w:color w:val="auto"/>
                            <w:sz w:val="22"/>
                            <w:szCs w:val="22"/>
                          </w:rPr>
                        </m:ctrlPr>
                      </m:sSupPr>
                      <m:e>
                        <m:d>
                          <m:dPr>
                            <m:ctrlPr>
                              <w:rPr>
                                <w:rFonts w:ascii="Cambria Math" w:hAnsi="Cambria Math" w:cs="Times New Roman"/>
                                <w:b w:val="0"/>
                                <w:bCs w:val="0"/>
                                <w:iCs/>
                                <w:color w:val="auto"/>
                                <w:sz w:val="22"/>
                                <w:szCs w:val="22"/>
                              </w:rPr>
                            </m:ctrlPr>
                          </m:dPr>
                          <m:e>
                            <m:sSup>
                              <m:sSupPr>
                                <m:ctrlPr>
                                  <w:rPr>
                                    <w:rFonts w:ascii="Cambria Math" w:hAnsi="Cambria Math" w:cs="Times New Roman"/>
                                    <w:b w:val="0"/>
                                    <w:bCs w:val="0"/>
                                    <w:iCs/>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m:t>
                                </m:r>
                              </m:sup>
                            </m:sSup>
                          </m:e>
                        </m:d>
                      </m:e>
                      <m:sup>
                        <m:r>
                          <m:rPr>
                            <m:sty m:val="bi"/>
                          </m:rPr>
                          <w:rPr>
                            <w:rFonts w:ascii="Cambria Math" w:hAnsi="Cambria Math" w:cs="Times New Roman"/>
                            <w:color w:val="auto"/>
                            <w:sz w:val="22"/>
                            <w:szCs w:val="22"/>
                          </w:rPr>
                          <m:t>-a</m:t>
                        </m:r>
                      </m:sup>
                    </m:sSup>
                  </m:e>
                </m:d>
                <m:sSub>
                  <m:sSubPr>
                    <m:ctrlPr>
                      <w:rPr>
                        <w:rFonts w:ascii="Cambria Math" w:hAnsi="Cambria Math" w:cs="Times New Roman"/>
                        <w:b w:val="0"/>
                        <w:bCs w:val="0"/>
                        <w:iCs/>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p</m:t>
                    </m:r>
                  </m:sub>
                </m:sSub>
              </m:e>
            </m:d>
          </m:e>
          <m:sup>
            <m:f>
              <m:fPr>
                <m:type m:val="lin"/>
                <m:ctrlPr>
                  <w:rPr>
                    <w:rFonts w:ascii="Cambria Math" w:hAnsi="Cambria Math" w:cs="Times New Roman"/>
                    <w:b w:val="0"/>
                    <w:bCs w:val="0"/>
                    <w:iCs/>
                    <w:color w:val="auto"/>
                    <w:sz w:val="22"/>
                    <w:szCs w:val="22"/>
                  </w:rPr>
                </m:ctrlPr>
              </m:fPr>
              <m:num>
                <m:r>
                  <m:rPr>
                    <m:sty m:val="bi"/>
                  </m:rPr>
                  <w:rPr>
                    <w:rFonts w:ascii="Cambria Math" w:hAnsi="Cambria Math" w:cs="Times New Roman"/>
                    <w:color w:val="auto"/>
                    <w:sz w:val="22"/>
                    <w:szCs w:val="22"/>
                  </w:rPr>
                  <m:t>1</m:t>
                </m:r>
              </m:num>
              <m:den>
                <m:d>
                  <m:dPr>
                    <m:ctrlPr>
                      <w:rPr>
                        <w:rFonts w:ascii="Cambria Math" w:hAnsi="Cambria Math" w:cs="Times New Roman"/>
                        <w:b w:val="0"/>
                        <w:bCs w:val="0"/>
                        <w:iCs/>
                        <w:color w:val="auto"/>
                        <w:sz w:val="22"/>
                        <w:szCs w:val="22"/>
                      </w:rPr>
                    </m:ctrlPr>
                  </m:dPr>
                  <m:e>
                    <m:r>
                      <m:rPr>
                        <m:sty m:val="bi"/>
                      </m:rPr>
                      <w:rPr>
                        <w:rFonts w:ascii="Cambria Math" w:hAnsi="Cambria Math" w:cs="Times New Roman"/>
                        <w:color w:val="auto"/>
                        <w:sz w:val="22"/>
                        <w:szCs w:val="22"/>
                      </w:rPr>
                      <m:t>1-a</m:t>
                    </m:r>
                  </m:e>
                </m:d>
              </m:den>
            </m:f>
          </m:sup>
        </m:sSup>
      </m:oMath>
      <w:r w:rsidRPr="002F4E96">
        <w:rPr>
          <w:rFonts w:ascii="Times New Roman" w:hAnsi="Times New Roman" w:cs="Times New Roman"/>
          <w:b w:val="0"/>
          <w:bCs w:val="0"/>
          <w:i/>
          <w:iCs/>
          <w:color w:val="auto"/>
          <w:sz w:val="22"/>
          <w:szCs w:val="22"/>
        </w:rPr>
        <w:t xml:space="preserve">                                                    </w:t>
      </w:r>
      <w:r w:rsidRPr="002F4E96">
        <w:rPr>
          <w:rFonts w:ascii="Times New Roman" w:hAnsi="Times New Roman" w:cs="Times New Roman"/>
          <w:b w:val="0"/>
          <w:bCs w:val="0"/>
          <w:color w:val="auto"/>
          <w:sz w:val="22"/>
          <w:szCs w:val="22"/>
        </w:rPr>
        <w:t>(11)</w:t>
      </w:r>
    </w:p>
    <w:p w14:paraId="6320BAF4" w14:textId="77777777" w:rsidR="007F7F57" w:rsidRPr="002F4E96" w:rsidRDefault="007F7F57" w:rsidP="007F7F57">
      <w:pPr>
        <w:spacing w:line="360" w:lineRule="auto"/>
        <w:jc w:val="both"/>
        <w:rPr>
          <w:rFonts w:ascii="Times New Roman" w:hAnsi="Times New Roman" w:cs="Times New Roman"/>
        </w:rPr>
      </w:pPr>
      <w:r w:rsidRPr="002F4E96">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0</m:t>
            </m:r>
          </m:sub>
        </m:sSub>
      </m:oMath>
      <w:r w:rsidRPr="002F4E96">
        <w:rPr>
          <w:rFonts w:ascii="Times New Roman" w:hAnsi="Times New Roman" w:cs="Times New Roman"/>
        </w:rPr>
        <w:t xml:space="preserve"> is the initial value of</w:t>
      </w:r>
      <m:oMath>
        <m:r>
          <w:rPr>
            <w:rFonts w:ascii="Cambria Math" w:hAnsi="Cambria Math" w:cs="Times New Roman"/>
          </w:rPr>
          <m:t xml:space="preserve"> s</m:t>
        </m:r>
      </m:oMath>
      <w:r w:rsidRPr="002F4E96">
        <w:rPr>
          <w:rFonts w:ascii="Times New Roman" w:hAnsi="Times New Roman" w:cs="Times New Roman"/>
        </w:rPr>
        <w:t xml:space="preserve">. </w:t>
      </w:r>
    </w:p>
    <w:p w14:paraId="79B11EB8" w14:textId="74BA5F57" w:rsidR="007F7F57" w:rsidRPr="002F4E96" w:rsidRDefault="007F7F57" w:rsidP="000D7411">
      <w:pPr>
        <w:pStyle w:val="Heading4"/>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t>1.</w:t>
      </w:r>
      <w:r w:rsidR="00A00527" w:rsidRPr="002F4E96">
        <w:rPr>
          <w:rFonts w:ascii="Times New Roman" w:hAnsi="Times New Roman" w:cs="Times New Roman"/>
          <w:color w:val="auto"/>
          <w:sz w:val="22"/>
          <w:szCs w:val="22"/>
        </w:rPr>
        <w:t>3.1</w:t>
      </w:r>
      <w:r w:rsidRPr="002F4E96">
        <w:rPr>
          <w:rFonts w:ascii="Times New Roman" w:hAnsi="Times New Roman" w:cs="Times New Roman"/>
          <w:color w:val="auto"/>
          <w:sz w:val="22"/>
          <w:szCs w:val="22"/>
        </w:rPr>
        <w:t>.1 Parameters Analysis</w:t>
      </w:r>
    </w:p>
    <w:p w14:paraId="1AF47142" w14:textId="0EE5ADC3" w:rsidR="007F7F57" w:rsidRPr="002F4E96" w:rsidRDefault="007F7F57" w:rsidP="000D7411">
      <w:pPr>
        <w:spacing w:line="360" w:lineRule="auto"/>
        <w:jc w:val="both"/>
        <w:rPr>
          <w:rFonts w:ascii="Times New Roman" w:hAnsi="Times New Roman" w:cs="Times New Roman"/>
        </w:rPr>
      </w:pPr>
      <w:r w:rsidRPr="002F4E96">
        <w:rPr>
          <w:rFonts w:ascii="Times New Roman" w:hAnsi="Times New Roman" w:cs="Times New Roman"/>
        </w:rPr>
        <w:t xml:space="preserve">For the Anand constitutive model, </w:t>
      </w:r>
      <w:r w:rsidR="00F55B3D" w:rsidRPr="002F4E96">
        <w:rPr>
          <w:rFonts w:ascii="Times New Roman" w:hAnsi="Times New Roman" w:cs="Times New Roman"/>
        </w:rPr>
        <w:t>nine parameters are</w:t>
      </w:r>
      <w:r w:rsidRPr="002F4E96">
        <w:rPr>
          <w:rFonts w:ascii="Times New Roman" w:hAnsi="Times New Roman" w:cs="Times New Roman"/>
        </w:rPr>
        <w:t xml:space="preserve"> compulsory to be tested respectively. These nine materials constants A,</w:t>
      </w:r>
      <m:oMath>
        <m:f>
          <m:fPr>
            <m:type m:val="lin"/>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R</m:t>
            </m:r>
          </m:den>
        </m:f>
      </m:oMath>
      <w:r w:rsidRPr="002F4E96">
        <w:rPr>
          <w:rFonts w:ascii="Times New Roman" w:hAnsi="Times New Roman" w:cs="Times New Roman"/>
        </w:rPr>
        <w:t>,</w:t>
      </w:r>
      <m:oMath>
        <m:acc>
          <m:accPr>
            <m:ctrlPr>
              <w:rPr>
                <w:rFonts w:ascii="Cambria Math" w:hAnsi="Cambria Math" w:cs="Times New Roman"/>
                <w:i/>
              </w:rPr>
            </m:ctrlPr>
          </m:accPr>
          <m:e>
            <m:r>
              <w:rPr>
                <w:rFonts w:ascii="Cambria Math" w:hAnsi="Cambria Math" w:cs="Times New Roman"/>
              </w:rPr>
              <m:t>s</m:t>
            </m:r>
          </m:e>
        </m:acc>
      </m:oMath>
      <w:r w:rsidRPr="002F4E96">
        <w:rPr>
          <w:rFonts w:ascii="Times New Roman" w:hAnsi="Times New Roman"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2F4E96">
        <w:rPr>
          <w:rFonts w:ascii="Times New Roman" w:hAnsi="Times New Roman" w:cs="Times New Roman"/>
        </w:rPr>
        <w:t>,</w:t>
      </w:r>
      <m:oMath>
        <m:r>
          <w:rPr>
            <w:rFonts w:ascii="Cambria Math" w:hAnsi="Cambria Math" w:cs="Times New Roman"/>
          </w:rPr>
          <m:t>ξ</m:t>
        </m:r>
      </m:oMath>
      <w:r w:rsidRPr="002F4E96">
        <w:rPr>
          <w:rFonts w:ascii="Times New Roman" w:hAnsi="Times New Roman" w:cs="Times New Roman"/>
        </w:rPr>
        <w:t xml:space="preserve">, m, n, a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0</m:t>
            </m:r>
          </m:sub>
        </m:sSub>
      </m:oMath>
      <w:r w:rsidRPr="002F4E96">
        <w:rPr>
          <w:rFonts w:ascii="Times New Roman" w:hAnsi="Times New Roman" w:cs="Times New Roman"/>
        </w:rPr>
        <w:t xml:space="preserve"> can be determined using the following standard procedures </w:t>
      </w:r>
      <w:r w:rsidR="007B2466" w:rsidRPr="002F4E96">
        <w:rPr>
          <w:rFonts w:ascii="Times New Roman" w:hAnsi="Times New Roman" w:cs="Times New Roman"/>
        </w:rPr>
        <w:fldChar w:fldCharType="begin" w:fldLock="1"/>
      </w:r>
      <w:r w:rsidR="00B219E2" w:rsidRPr="002F4E96">
        <w:rPr>
          <w:rFonts w:ascii="Times New Roman" w:hAnsi="Times New Roman" w:cs="Times New Roman"/>
        </w:rPr>
        <w:instrText>ADDIN CSL_CITATION {"citationItems":[{"id":"ITEM-1","itemData":{"DOI":"10.1016/j.matdes.2008.04.032","ISSN":"02641275","abstract":"The uniaxial tensile inelastic deformation behavior for three types of lead-free solders, Sn-3Ag-0.5Cu, Sn-3.5Ag and Sn-0.7Cu, were simulated by a unified viscoplastic constitutive model, the Anand model. To obtain the material parameters for the Anand model, a series of constant true strain rate and temperature tests were conducted on three types of lead-free solders at various strain rates from 1 × 10-4 s-1 to 1 × 10-2 s-1, over a wide temperature range from 25 °C to 150 °C. A modified Anand model, in which h0 was set to a function of strain rate, was proposed. The comparison of the experimental and simulated results showed that the modified Anand model improved the simulation capability. © 2008 Elsevier Ltd. All rights reserved.","author":[{"dropping-particle":"","family":"Bai","given":"Ning","non-dropping-particle":"","parse-names":false,"suffix":""},{"dropping-particle":"","family":"Chen","given":"Xu","non-dropping-particle":"","parse-names":false,"suffix":""},{"dropping-particle":"","family":"Gao","given":"Hong","non-dropping-particle":"","parse-names":false,"suffix":""}],"container-title":"Materials and Design","id":"ITEM-1","issued":{"date-parts":[["2009"]]},"title":"Simulation of uniaxial tensile properties for lead-free solders with modified Anand model","type":"article-journal"},"uris":["http://www.mendeley.com/documents/?uuid=f4552b99-d497-4501-aeca-191c5c9d8a46"]}],"mendeley":{"formattedCitation":"[57]","plainTextFormattedCitation":"[57]","previouslyFormattedCitation":"[57]"},"properties":{"noteIndex":0},"schema":"https://github.com/citation-style-language/schema/raw/master/csl-citation.json"}</w:instrText>
      </w:r>
      <w:r w:rsidR="007B2466" w:rsidRPr="002F4E96">
        <w:rPr>
          <w:rFonts w:ascii="Times New Roman" w:hAnsi="Times New Roman" w:cs="Times New Roman"/>
        </w:rPr>
        <w:fldChar w:fldCharType="separate"/>
      </w:r>
      <w:r w:rsidR="007B2466" w:rsidRPr="002F4E96">
        <w:rPr>
          <w:rFonts w:ascii="Times New Roman" w:hAnsi="Times New Roman" w:cs="Times New Roman"/>
          <w:noProof/>
        </w:rPr>
        <w:t>[57]</w:t>
      </w:r>
      <w:r w:rsidR="007B2466" w:rsidRPr="002F4E96">
        <w:rPr>
          <w:rFonts w:ascii="Times New Roman" w:hAnsi="Times New Roman" w:cs="Times New Roman"/>
        </w:rPr>
        <w:fldChar w:fldCharType="end"/>
      </w:r>
      <w:r w:rsidRPr="002F4E96">
        <w:rPr>
          <w:rFonts w:ascii="Times New Roman" w:hAnsi="Times New Roman" w:cs="Times New Roman"/>
        </w:rPr>
        <w:t>.</w:t>
      </w:r>
    </w:p>
    <w:p w14:paraId="2EA9A08F" w14:textId="77777777" w:rsidR="007F7F57" w:rsidRPr="002F4E96" w:rsidRDefault="007F7F57" w:rsidP="000D7411">
      <w:pPr>
        <w:numPr>
          <w:ilvl w:val="0"/>
          <w:numId w:val="12"/>
        </w:numPr>
        <w:spacing w:after="0" w:line="360" w:lineRule="auto"/>
        <w:jc w:val="both"/>
        <w:rPr>
          <w:rFonts w:ascii="Times New Roman" w:hAnsi="Times New Roman" w:cs="Times New Roman"/>
        </w:rPr>
      </w:pPr>
      <w:r w:rsidRPr="002F4E96">
        <w:rPr>
          <w:rFonts w:ascii="Times New Roman" w:hAnsi="Times New Roman" w:cs="Times New Roman"/>
        </w:rPr>
        <w:t>Obtained the saturation stresses from uniaxial tensile tests with constant strain rates and temperature</w:t>
      </w:r>
    </w:p>
    <w:p w14:paraId="3C814E8A" w14:textId="153EE559" w:rsidR="007F7F57" w:rsidRPr="002F4E96" w:rsidRDefault="007F7F57" w:rsidP="000D7411">
      <w:pPr>
        <w:numPr>
          <w:ilvl w:val="0"/>
          <w:numId w:val="12"/>
        </w:numPr>
        <w:spacing w:after="0" w:line="360" w:lineRule="auto"/>
        <w:jc w:val="both"/>
        <w:rPr>
          <w:rFonts w:ascii="Times New Roman" w:hAnsi="Times New Roman" w:cs="Times New Roman"/>
        </w:rPr>
      </w:pPr>
      <w:r w:rsidRPr="002F4E96">
        <w:rPr>
          <w:rFonts w:ascii="Times New Roman" w:hAnsi="Times New Roman" w:cs="Times New Roman"/>
        </w:rPr>
        <w:t xml:space="preserve">Determined the value of </w:t>
      </w:r>
      <m:oMath>
        <m:r>
          <w:rPr>
            <w:rFonts w:ascii="Cambria Math" w:hAnsi="Cambria Math" w:cs="Times New Roman"/>
          </w:rPr>
          <m:t>A, Q, m, n,</m:t>
        </m:r>
        <m:r>
          <m:rPr>
            <m:sty m:val="p"/>
          </m:rPr>
          <w:rPr>
            <w:rFonts w:ascii="Cambria Math" w:hAnsi="Cambria Math" w:cs="Times New Roman"/>
          </w:rPr>
          <m:t xml:space="preserve"> and</m:t>
        </m:r>
        <m:r>
          <w:rPr>
            <w:rFonts w:ascii="Cambria Math" w:hAnsi="Cambria Math" w:cs="Times New Roman"/>
          </w:rPr>
          <m:t xml:space="preserve"> </m:t>
        </m:r>
        <m:f>
          <m:fPr>
            <m:type m:val="lin"/>
            <m:ctrlPr>
              <w:rPr>
                <w:rFonts w:ascii="Cambria Math" w:hAnsi="Cambria Math" w:cs="Times New Roman"/>
                <w:i/>
              </w:rPr>
            </m:ctrlPr>
          </m:fPr>
          <m:num>
            <m:acc>
              <m:accPr>
                <m:ctrlPr>
                  <w:rPr>
                    <w:rFonts w:ascii="Cambria Math" w:hAnsi="Cambria Math" w:cs="Times New Roman"/>
                    <w:i/>
                  </w:rPr>
                </m:ctrlPr>
              </m:accPr>
              <m:e>
                <m:r>
                  <w:rPr>
                    <w:rFonts w:ascii="Cambria Math" w:hAnsi="Cambria Math" w:cs="Times New Roman"/>
                  </w:rPr>
                  <m:t>s</m:t>
                </m:r>
              </m:e>
            </m:acc>
          </m:num>
          <m:den>
            <m:r>
              <w:rPr>
                <w:rFonts w:ascii="Cambria Math" w:hAnsi="Cambria Math" w:cs="Times New Roman"/>
              </w:rPr>
              <m:t>ξ</m:t>
            </m:r>
          </m:den>
        </m:f>
        <m:r>
          <w:rPr>
            <w:rFonts w:ascii="Cambria Math" w:hAnsi="Cambria Math" w:cs="Times New Roman"/>
          </w:rPr>
          <m:t xml:space="preserve"> </m:t>
        </m:r>
      </m:oMath>
      <w:r w:rsidRPr="002F4E96">
        <w:rPr>
          <w:rFonts w:ascii="Times New Roman" w:hAnsi="Times New Roman" w:cs="Times New Roman"/>
        </w:rPr>
        <w:t xml:space="preserve"> in Eq. (14) from the data acquired in step (1) by a </w:t>
      </w:r>
      <w:r w:rsidR="00F55B3D" w:rsidRPr="002F4E96">
        <w:rPr>
          <w:rFonts w:ascii="Times New Roman" w:hAnsi="Times New Roman" w:cs="Times New Roman"/>
        </w:rPr>
        <w:t>non-linear</w:t>
      </w:r>
      <w:r w:rsidRPr="002F4E96">
        <w:rPr>
          <w:rFonts w:ascii="Times New Roman" w:hAnsi="Times New Roman" w:cs="Times New Roman"/>
        </w:rPr>
        <w:t xml:space="preserve"> </w:t>
      </w:r>
      <w:r w:rsidR="00F55B3D" w:rsidRPr="002F4E96">
        <w:rPr>
          <w:rFonts w:ascii="Times New Roman" w:hAnsi="Times New Roman" w:cs="Times New Roman"/>
        </w:rPr>
        <w:t>least-square</w:t>
      </w:r>
      <w:r w:rsidRPr="002F4E96">
        <w:rPr>
          <w:rFonts w:ascii="Times New Roman" w:hAnsi="Times New Roman" w:cs="Times New Roman"/>
        </w:rPr>
        <w:t xml:space="preserve"> fit.</w:t>
      </w:r>
    </w:p>
    <w:p w14:paraId="47AECDA3" w14:textId="28F14AEB" w:rsidR="007F7F57" w:rsidRPr="002F4E96" w:rsidRDefault="007F7F57" w:rsidP="007F7F57">
      <w:pPr>
        <w:numPr>
          <w:ilvl w:val="0"/>
          <w:numId w:val="12"/>
        </w:numPr>
        <w:spacing w:after="0" w:line="360" w:lineRule="auto"/>
        <w:jc w:val="both"/>
        <w:rPr>
          <w:rFonts w:ascii="Times New Roman" w:hAnsi="Times New Roman" w:cs="Times New Roman"/>
        </w:rPr>
      </w:pPr>
      <w:r w:rsidRPr="002F4E96">
        <w:rPr>
          <w:rFonts w:ascii="Times New Roman" w:hAnsi="Times New Roman" w:cs="Times New Roman"/>
        </w:rPr>
        <w:lastRenderedPageBreak/>
        <w:t xml:space="preserve">Determine  </w:t>
      </w:r>
      <m:oMath>
        <m:acc>
          <m:accPr>
            <m:ctrlPr>
              <w:rPr>
                <w:rFonts w:ascii="Cambria Math" w:hAnsi="Cambria Math" w:cs="Times New Roman"/>
                <w:i/>
              </w:rPr>
            </m:ctrlPr>
          </m:accPr>
          <m:e>
            <m:r>
              <w:rPr>
                <w:rFonts w:ascii="Cambria Math" w:hAnsi="Cambria Math" w:cs="Times New Roman"/>
              </w:rPr>
              <m:t>s</m:t>
            </m:r>
          </m:e>
        </m:acc>
      </m:oMath>
      <w:r w:rsidRPr="002F4E96">
        <w:rPr>
          <w:rFonts w:ascii="Times New Roman" w:hAnsi="Times New Roman" w:cs="Times New Roman"/>
        </w:rPr>
        <w:t xml:space="preserve"> and </w:t>
      </w:r>
      <m:oMath>
        <m:r>
          <w:rPr>
            <w:rFonts w:ascii="Cambria Math" w:hAnsi="Cambria Math" w:cs="Times New Roman"/>
          </w:rPr>
          <m:t>ϵ</m:t>
        </m:r>
      </m:oMath>
      <w:r w:rsidRPr="002F4E96">
        <w:rPr>
          <w:rFonts w:ascii="Times New Roman" w:hAnsi="Times New Roman" w:cs="Times New Roman"/>
        </w:rPr>
        <w:t xml:space="preserve"> from the values obtained in step (2). The parameter </w:t>
      </w:r>
      <m:oMath>
        <m:r>
          <w:rPr>
            <w:rFonts w:ascii="Cambria Math" w:hAnsi="Cambria Math" w:cs="Times New Roman"/>
          </w:rPr>
          <m:t>ξ</m:t>
        </m:r>
      </m:oMath>
      <w:r w:rsidRPr="002F4E96">
        <w:rPr>
          <w:rFonts w:ascii="Times New Roman" w:hAnsi="Times New Roman" w:cs="Times New Roman"/>
        </w:rPr>
        <w:t xml:space="preserve"> was selected such that the constant c in Eq. (8) was less than unity, and </w:t>
      </w:r>
      <m:oMath>
        <m:acc>
          <m:accPr>
            <m:ctrlPr>
              <w:rPr>
                <w:rFonts w:ascii="Cambria Math" w:hAnsi="Cambria Math" w:cs="Times New Roman"/>
                <w:i/>
              </w:rPr>
            </m:ctrlPr>
          </m:accPr>
          <m:e>
            <m:r>
              <w:rPr>
                <w:rFonts w:ascii="Cambria Math" w:hAnsi="Cambria Math" w:cs="Times New Roman"/>
              </w:rPr>
              <m:t>s</m:t>
            </m:r>
          </m:e>
        </m:acc>
      </m:oMath>
      <w:r w:rsidRPr="002F4E96">
        <w:rPr>
          <w:rFonts w:ascii="Times New Roman" w:hAnsi="Times New Roman" w:cs="Times New Roman"/>
        </w:rPr>
        <w:t xml:space="preserve"> was then determined from the combined term </w:t>
      </w:r>
      <m:oMath>
        <m:f>
          <m:fPr>
            <m:type m:val="lin"/>
            <m:ctrlPr>
              <w:rPr>
                <w:rFonts w:ascii="Cambria Math" w:hAnsi="Cambria Math" w:cs="Times New Roman"/>
                <w:i/>
              </w:rPr>
            </m:ctrlPr>
          </m:fPr>
          <m:num>
            <m:acc>
              <m:accPr>
                <m:ctrlPr>
                  <w:rPr>
                    <w:rFonts w:ascii="Cambria Math" w:hAnsi="Cambria Math" w:cs="Times New Roman"/>
                    <w:i/>
                  </w:rPr>
                </m:ctrlPr>
              </m:accPr>
              <m:e>
                <m:r>
                  <w:rPr>
                    <w:rFonts w:ascii="Cambria Math" w:hAnsi="Cambria Math" w:cs="Times New Roman"/>
                  </w:rPr>
                  <m:t>s</m:t>
                </m:r>
              </m:e>
            </m:acc>
          </m:num>
          <m:den>
            <m:r>
              <w:rPr>
                <w:rFonts w:ascii="Cambria Math" w:hAnsi="Cambria Math" w:cs="Times New Roman"/>
              </w:rPr>
              <m:t>ξ</m:t>
            </m:r>
          </m:den>
        </m:f>
        <m:r>
          <w:rPr>
            <w:rFonts w:ascii="Cambria Math" w:hAnsi="Cambria Math" w:cs="Times New Roman"/>
          </w:rPr>
          <m:t>.</m:t>
        </m:r>
      </m:oMath>
    </w:p>
    <w:p w14:paraId="1813C753" w14:textId="657A963F" w:rsidR="007F7F57" w:rsidRPr="002F4E96" w:rsidRDefault="007F7F57" w:rsidP="007F7F57">
      <w:pPr>
        <w:numPr>
          <w:ilvl w:val="0"/>
          <w:numId w:val="12"/>
        </w:numPr>
        <w:spacing w:after="0" w:line="360" w:lineRule="auto"/>
        <w:jc w:val="both"/>
        <w:rPr>
          <w:rFonts w:ascii="Times New Roman" w:hAnsi="Times New Roman" w:cs="Times New Roman"/>
        </w:rPr>
      </w:pPr>
      <w:r w:rsidRPr="002F4E96">
        <w:rPr>
          <w:rFonts w:ascii="Times New Roman" w:hAnsi="Times New Roman" w:cs="Times New Roman"/>
        </w:rPr>
        <w:t xml:space="preserve">The combined constants </w:t>
      </w:r>
      <m:oMath>
        <m:sSub>
          <m:sSubPr>
            <m:ctrlPr>
              <w:rPr>
                <w:rFonts w:ascii="Cambria Math" w:hAnsi="Cambria Math" w:cs="Times New Roman"/>
                <w:i/>
              </w:rPr>
            </m:ctrlPr>
          </m:sSubPr>
          <m:e>
            <m:r>
              <w:rPr>
                <w:rFonts w:ascii="Cambria Math" w:hAnsi="Cambria Math" w:cs="Times New Roman"/>
              </w:rPr>
              <m:t>ch</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cs</m:t>
            </m:r>
          </m:e>
          <m:sub>
            <m:r>
              <w:rPr>
                <w:rFonts w:ascii="Cambria Math" w:hAnsi="Cambria Math" w:cs="Times New Roman"/>
              </w:rPr>
              <m:t xml:space="preserve">0 </m:t>
            </m:r>
          </m:sub>
        </m:sSub>
        <m:r>
          <m:rPr>
            <m:sty m:val="p"/>
          </m:rPr>
          <w:rPr>
            <w:rFonts w:ascii="Cambria Math" w:hAnsi="Cambria Math" w:cs="Times New Roman"/>
          </w:rPr>
          <m:t>and</m:t>
        </m:r>
        <m:r>
          <w:rPr>
            <w:rFonts w:ascii="Cambria Math" w:hAnsi="Cambria Math" w:cs="Times New Roman"/>
          </w:rPr>
          <m:t xml:space="preserve"> a</m:t>
        </m:r>
      </m:oMath>
      <w:r w:rsidRPr="002F4E96">
        <w:rPr>
          <w:rFonts w:ascii="Times New Roman" w:hAnsi="Times New Roman" w:cs="Times New Roman"/>
        </w:rPr>
        <w:t xml:space="preserve"> in Eq. (16) were determined from the constant strain rate data by </w:t>
      </w:r>
      <w:r w:rsidR="00B46A6C" w:rsidRPr="002F4E96">
        <w:rPr>
          <w:rFonts w:ascii="Times New Roman" w:hAnsi="Times New Roman" w:cs="Times New Roman"/>
        </w:rPr>
        <w:t>the</w:t>
      </w:r>
      <w:r w:rsidRPr="002F4E96">
        <w:rPr>
          <w:rFonts w:ascii="Times New Roman" w:hAnsi="Times New Roman" w:cs="Times New Roman"/>
        </w:rPr>
        <w:t xml:space="preserve"> least square fit. With the value of c gotten in step (3),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 xml:space="preserve">0 </m:t>
            </m:r>
          </m:sub>
        </m:sSub>
      </m:oMath>
      <w:r w:rsidRPr="002F4E96">
        <w:rPr>
          <w:rFonts w:ascii="Times New Roman" w:hAnsi="Times New Roman" w:cs="Times New Roman"/>
        </w:rPr>
        <w:t>were concluded.</w:t>
      </w:r>
    </w:p>
    <w:p w14:paraId="6763D3BB" w14:textId="77777777" w:rsidR="009B094A" w:rsidRPr="002F4E96" w:rsidRDefault="009B094A" w:rsidP="009B094A">
      <w:pPr>
        <w:spacing w:after="0" w:line="360" w:lineRule="auto"/>
        <w:jc w:val="both"/>
        <w:rPr>
          <w:rFonts w:ascii="Times New Roman" w:hAnsi="Times New Roman" w:cs="Times New Roman"/>
        </w:rPr>
      </w:pPr>
      <w:r w:rsidRPr="002F4E96">
        <w:rPr>
          <w:rFonts w:ascii="Times New Roman" w:hAnsi="Times New Roman" w:cs="Times New Roman"/>
        </w:rPr>
        <w:t xml:space="preserve">Anand's model needs nine separate material constants, determined by curve-fitting a range of isothermal stress-strain tensile experiments at variable strain rates and temperature.  The Anand model material constants used in this work for other solder alloys are obtained from peer-reviewed literature. This viscoplastic law uses a consolidated strategy; therefore, the inelastic strain is returned (in ANSYS software via getting the plastic strain output). Moreover, the investigators can get deformation resistance and plastic work per volume. This plastic strain result obtained in ANSYS FEA outcomes can be employed for the fatigue predictions acknowledging the relations linking the different solder alloy materials that show the importance of the accumulated plastic strain (plastic work) that will cause failure. By determining the plastic strain accumulated in one cycle, the author can select the total number of cycles used in the test. </w:t>
      </w:r>
    </w:p>
    <w:p w14:paraId="4FBB6E6F" w14:textId="49BC3136" w:rsidR="006D4438" w:rsidRPr="002F4E96" w:rsidRDefault="009B094A" w:rsidP="009B094A">
      <w:pPr>
        <w:spacing w:line="360" w:lineRule="auto"/>
        <w:jc w:val="both"/>
        <w:rPr>
          <w:rFonts w:ascii="Times New Roman" w:hAnsi="Times New Roman" w:cs="Times New Roman"/>
        </w:rPr>
      </w:pPr>
      <w:r w:rsidRPr="002F4E96">
        <w:rPr>
          <w:rFonts w:ascii="Times New Roman" w:hAnsi="Times New Roman" w:cs="Times New Roman"/>
        </w:rPr>
        <w:t xml:space="preserve">In conclusion, there are various methods to incorporate the impact of rate-dependent inelastic response in FEA. The material empirical model's choice to apply is based on the structure, anticipated response and material data availability of the solder alloy materials </w:t>
      </w:r>
      <w:r w:rsidR="007B2466" w:rsidRPr="002F4E96">
        <w:rPr>
          <w:rFonts w:ascii="Times New Roman" w:hAnsi="Times New Roman" w:cs="Times New Roman"/>
        </w:rPr>
        <w:fldChar w:fldCharType="begin" w:fldLock="1"/>
      </w:r>
      <w:r w:rsidR="00FF2288" w:rsidRPr="002F4E96">
        <w:rPr>
          <w:rFonts w:ascii="Times New Roman" w:hAnsi="Times New Roman" w:cs="Times New Roman"/>
        </w:rPr>
        <w:instrText>ADDIN CSL_CITATION {"citationItems":[{"id":"ITEM-1","itemData":{"DOI":"10.1109/iemt.2002.1032767","ISSN":"10898190","abstract":"Viscoplastic finite-element simulation methodologies were utilized to predict solder joint reliability for a same die size, stacked, chip scale, ball grid array package under accelerated temperature cycling conditions (-40C to +125C, 15min ramps/15min dwells). The effects of multiple die attach material configurations were investigated along with the thickness of the mold cap and spacer die. The solder structures accommodate the bulk of the plastic strain that is generated during accelerated temperature cycling due to the thermal expansion mismatch between the various materials that encompass the stacked die package. Since plastic strain is a dominant parameter that influences low-cycle fatigue, it was used as a basis for evaluation of solder joint structural integrity. The paper discusses the analysis methodologies as implemented in the ANSYS finite element simulation software tool and the corresponding results for the solder joint fatigue life. Some ANSYS parametric design language commands are included for the benefit of those readers who are familiar with the tool.","author":[{"dropping-particle":"","family":"Zahn","given":"Bret A.","non-dropping-particle":"","parse-names":false,"suffix":""}],"container-title":"Proceedings of the IEEE/CPMT International Electronics Manufacturing Technology (IEMT) Symposium","id":"ITEM-1","issued":{"date-parts":[["2002"]]},"page":"274-284","title":"Finite element based solder joint fatigue life predictions for a same die size - Stacked - Chip scale - Ball grid array package","type":"article-journal"},"uris":["http://www.mendeley.com/documents/?uuid=71e42c7b-4064-4d35-9bad-e696bcf6b022"]}],"mendeley":{"formattedCitation":"[58]","plainTextFormattedCitation":"[58]","previouslyFormattedCitation":"[58]"},"properties":{"noteIndex":0},"schema":"https://github.com/citation-style-language/schema/raw/master/csl-citation.json"}</w:instrText>
      </w:r>
      <w:r w:rsidR="007B2466" w:rsidRPr="002F4E96">
        <w:rPr>
          <w:rFonts w:ascii="Times New Roman" w:hAnsi="Times New Roman" w:cs="Times New Roman"/>
        </w:rPr>
        <w:fldChar w:fldCharType="separate"/>
      </w:r>
      <w:r w:rsidR="007B2466" w:rsidRPr="002F4E96">
        <w:rPr>
          <w:rFonts w:ascii="Times New Roman" w:hAnsi="Times New Roman" w:cs="Times New Roman"/>
          <w:noProof/>
        </w:rPr>
        <w:t>[58]</w:t>
      </w:r>
      <w:r w:rsidR="007B2466" w:rsidRPr="002F4E96">
        <w:rPr>
          <w:rFonts w:ascii="Times New Roman" w:hAnsi="Times New Roman" w:cs="Times New Roman"/>
        </w:rPr>
        <w:fldChar w:fldCharType="end"/>
      </w:r>
      <w:r w:rsidR="007B2466" w:rsidRPr="002F4E96">
        <w:rPr>
          <w:rFonts w:ascii="Times New Roman" w:hAnsi="Times New Roman" w:cs="Times New Roman"/>
        </w:rPr>
        <w:t>.</w:t>
      </w:r>
    </w:p>
    <w:p w14:paraId="2A2C7811" w14:textId="3417C57D" w:rsidR="00A33CE9" w:rsidRPr="002F4E96" w:rsidRDefault="00A33CE9" w:rsidP="009F3023">
      <w:pPr>
        <w:pStyle w:val="Heading2"/>
      </w:pPr>
      <w:r w:rsidRPr="002F4E96">
        <w:t>1.4 The programme of work</w:t>
      </w:r>
    </w:p>
    <w:p w14:paraId="128085AB" w14:textId="1B6B8236" w:rsidR="007F7F57" w:rsidRPr="002F4E96" w:rsidRDefault="007F7F57" w:rsidP="000D7411">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In this investigation, Anand viscoplastic constitutive model </w:t>
      </w:r>
      <w:r w:rsidR="000274A1" w:rsidRPr="002F4E96">
        <w:rPr>
          <w:rFonts w:ascii="Times New Roman" w:hAnsi="Times New Roman" w:cs="Times New Roman"/>
        </w:rPr>
        <w:t xml:space="preserve">and creep </w:t>
      </w:r>
      <w:r w:rsidR="00105752" w:rsidRPr="002F4E96">
        <w:rPr>
          <w:rFonts w:ascii="Times New Roman" w:hAnsi="Times New Roman" w:cs="Times New Roman"/>
        </w:rPr>
        <w:t>have</w:t>
      </w:r>
      <w:r w:rsidRPr="002F4E96">
        <w:rPr>
          <w:rFonts w:ascii="Times New Roman" w:hAnsi="Times New Roman" w:cs="Times New Roman"/>
        </w:rPr>
        <w:t xml:space="preserve"> been used </w:t>
      </w:r>
      <w:r w:rsidR="00647DBD" w:rsidRPr="002F4E96">
        <w:rPr>
          <w:rFonts w:ascii="Times New Roman" w:hAnsi="Times New Roman" w:cs="Times New Roman"/>
        </w:rPr>
        <w:t xml:space="preserve">to determine the </w:t>
      </w:r>
      <w:r w:rsidR="00105752" w:rsidRPr="002F4E96">
        <w:rPr>
          <w:rFonts w:ascii="Times New Roman" w:hAnsi="Times New Roman" w:cs="Times New Roman"/>
        </w:rPr>
        <w:t>five solder alloys' parameters</w:t>
      </w:r>
      <w:r w:rsidRPr="002F4E96">
        <w:rPr>
          <w:rFonts w:ascii="Times New Roman" w:hAnsi="Times New Roman" w:cs="Times New Roman"/>
        </w:rPr>
        <w:t xml:space="preserve"> </w:t>
      </w:r>
      <w:r w:rsidR="00647DBD" w:rsidRPr="002F4E96">
        <w:rPr>
          <w:rFonts w:ascii="Times New Roman" w:hAnsi="Times New Roman" w:cs="Times New Roman"/>
        </w:rPr>
        <w:t xml:space="preserve">using the ANSYS FEA simulation software </w:t>
      </w:r>
      <w:r w:rsidR="00FB7D5E" w:rsidRPr="002F4E96">
        <w:rPr>
          <w:rFonts w:ascii="Times New Roman" w:hAnsi="Times New Roman" w:cs="Times New Roman"/>
        </w:rPr>
        <w:t>to determine</w:t>
      </w:r>
      <w:r w:rsidR="00174FC0" w:rsidRPr="002F4E96">
        <w:rPr>
          <w:rFonts w:ascii="Times New Roman" w:hAnsi="Times New Roman" w:cs="Times New Roman"/>
        </w:rPr>
        <w:t xml:space="preserve"> the</w:t>
      </w:r>
      <w:r w:rsidR="00647DBD" w:rsidRPr="002F4E96">
        <w:rPr>
          <w:rFonts w:ascii="Times New Roman" w:hAnsi="Times New Roman" w:cs="Times New Roman"/>
        </w:rPr>
        <w:t xml:space="preserve"> fatigue life prediction model Engelmaier, Coffin-Manson, Solomon and Syed</w:t>
      </w:r>
      <w:r w:rsidR="000274A1" w:rsidRPr="002F4E96">
        <w:rPr>
          <w:rFonts w:ascii="Times New Roman" w:hAnsi="Times New Roman" w:cs="Times New Roman"/>
        </w:rPr>
        <w:t xml:space="preserve">. </w:t>
      </w:r>
      <w:r w:rsidRPr="002F4E96">
        <w:rPr>
          <w:rFonts w:ascii="Times New Roman" w:hAnsi="Times New Roman" w:cs="Times New Roman"/>
        </w:rPr>
        <w:t xml:space="preserve">The Engelmaier modified fatigue model, an improved version of </w:t>
      </w:r>
      <w:r w:rsidR="00105752" w:rsidRPr="002F4E96">
        <w:rPr>
          <w:rFonts w:ascii="Times New Roman" w:hAnsi="Times New Roman" w:cs="Times New Roman"/>
        </w:rPr>
        <w:t xml:space="preserve">the </w:t>
      </w:r>
      <w:r w:rsidRPr="002F4E96">
        <w:rPr>
          <w:rFonts w:ascii="Times New Roman" w:hAnsi="Times New Roman" w:cs="Times New Roman"/>
        </w:rPr>
        <w:t>Coffin-Manson model</w:t>
      </w:r>
      <w:r w:rsidR="00105752" w:rsidRPr="002F4E96">
        <w:rPr>
          <w:rFonts w:ascii="Times New Roman" w:hAnsi="Times New Roman" w:cs="Times New Roman"/>
        </w:rPr>
        <w:t>,</w:t>
      </w:r>
      <w:r w:rsidRPr="002F4E96">
        <w:rPr>
          <w:rFonts w:ascii="Times New Roman" w:hAnsi="Times New Roman" w:cs="Times New Roman"/>
        </w:rPr>
        <w:t xml:space="preserve"> takes the thermal cycle frequency, temperature effect</w:t>
      </w:r>
      <w:r w:rsidR="00105752" w:rsidRPr="002F4E96">
        <w:rPr>
          <w:rFonts w:ascii="Times New Roman" w:hAnsi="Times New Roman" w:cs="Times New Roman"/>
        </w:rPr>
        <w:t>,</w:t>
      </w:r>
      <w:r w:rsidRPr="002F4E96">
        <w:rPr>
          <w:rFonts w:ascii="Times New Roman" w:hAnsi="Times New Roman" w:cs="Times New Roman"/>
        </w:rPr>
        <w:t xml:space="preserve"> and elastic-plastic strain into account and was used to determine the </w:t>
      </w:r>
      <w:r w:rsidR="00105752" w:rsidRPr="002F4E96">
        <w:rPr>
          <w:rFonts w:ascii="Times New Roman" w:hAnsi="Times New Roman" w:cs="Times New Roman"/>
        </w:rPr>
        <w:t>solders' fatigue life</w:t>
      </w:r>
      <w:r w:rsidRPr="002F4E96">
        <w:rPr>
          <w:rFonts w:ascii="Times New Roman" w:hAnsi="Times New Roman" w:cs="Times New Roman"/>
        </w:rPr>
        <w:t xml:space="preserve"> considered in this study. Two other predictive models</w:t>
      </w:r>
      <w:r w:rsidR="00105752" w:rsidRPr="002F4E96">
        <w:rPr>
          <w:rFonts w:ascii="Times New Roman" w:hAnsi="Times New Roman" w:cs="Times New Roman"/>
        </w:rPr>
        <w:t>,</w:t>
      </w:r>
      <w:r w:rsidRPr="002F4E96">
        <w:rPr>
          <w:rFonts w:ascii="Times New Roman" w:hAnsi="Times New Roman" w:cs="Times New Roman"/>
        </w:rPr>
        <w:t xml:space="preserve"> such as Coffin-Mason and Solomon</w:t>
      </w:r>
      <w:r w:rsidR="00105752" w:rsidRPr="002F4E96">
        <w:rPr>
          <w:rFonts w:ascii="Times New Roman" w:hAnsi="Times New Roman" w:cs="Times New Roman"/>
        </w:rPr>
        <w:t>,</w:t>
      </w:r>
      <w:r w:rsidRPr="002F4E96">
        <w:rPr>
          <w:rFonts w:ascii="Times New Roman" w:hAnsi="Times New Roman" w:cs="Times New Roman"/>
        </w:rPr>
        <w:t xml:space="preserve"> were used in the fatigue life evaluation of low cycle fatigue (</w:t>
      </w:r>
      <w:r w:rsidR="00F54AE7" w:rsidRPr="002F4E96">
        <w:rPr>
          <w:rFonts w:ascii="Times New Roman" w:hAnsi="Times New Roman" w:cs="Times New Roman"/>
        </w:rPr>
        <w:t>LCF</w:t>
      </w:r>
      <w:r w:rsidRPr="002F4E96">
        <w:rPr>
          <w:rFonts w:ascii="Times New Roman" w:hAnsi="Times New Roman" w:cs="Times New Roman"/>
        </w:rPr>
        <w:t xml:space="preserve">) because of </w:t>
      </w:r>
      <w:r w:rsidRPr="002F4E96">
        <w:rPr>
          <w:rFonts w:ascii="Times New Roman" w:hAnsi="Times New Roman" w:cs="Times New Roman"/>
          <w:bCs/>
        </w:rPr>
        <w:t>cyclic plastic deformation</w:t>
      </w:r>
      <w:r w:rsidR="00105752" w:rsidRPr="002F4E96">
        <w:rPr>
          <w:rFonts w:ascii="Times New Roman" w:hAnsi="Times New Roman" w:cs="Times New Roman"/>
          <w:bCs/>
        </w:rPr>
        <w:t>,</w:t>
      </w:r>
      <w:r w:rsidRPr="002F4E96">
        <w:rPr>
          <w:rFonts w:ascii="Times New Roman" w:hAnsi="Times New Roman" w:cs="Times New Roman"/>
        </w:rPr>
        <w:t xml:space="preserve"> </w:t>
      </w:r>
      <w:r w:rsidR="00503EB0" w:rsidRPr="002F4E96">
        <w:rPr>
          <w:rFonts w:ascii="Times New Roman" w:hAnsi="Times New Roman" w:cs="Times New Roman"/>
        </w:rPr>
        <w:t xml:space="preserve">including the accumulated creep energy density </w:t>
      </w:r>
      <w:r w:rsidRPr="002F4E96">
        <w:rPr>
          <w:rFonts w:ascii="Times New Roman" w:hAnsi="Times New Roman" w:cs="Times New Roman"/>
        </w:rPr>
        <w:t xml:space="preserve">as </w:t>
      </w:r>
      <w:r w:rsidR="00105752" w:rsidRPr="002F4E96">
        <w:rPr>
          <w:rFonts w:ascii="Times New Roman" w:hAnsi="Times New Roman" w:cs="Times New Roman"/>
        </w:rPr>
        <w:t xml:space="preserve">the </w:t>
      </w:r>
      <w:r w:rsidRPr="002F4E96">
        <w:rPr>
          <w:rFonts w:ascii="Times New Roman" w:hAnsi="Times New Roman" w:cs="Times New Roman"/>
        </w:rPr>
        <w:t>basis of comparison in this research.</w:t>
      </w:r>
    </w:p>
    <w:p w14:paraId="6794AD96" w14:textId="6EF23109" w:rsidR="007F7F57" w:rsidRPr="002F4E96" w:rsidRDefault="007F7F57" w:rsidP="007F7F57">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Analytical models in engineering have numerous practical uses </w:t>
      </w:r>
      <w:r w:rsidRPr="002F4E96">
        <w:rPr>
          <w:rFonts w:ascii="Times New Roman" w:eastAsia="Times New Roman" w:hAnsi="Times New Roman" w:cs="Times New Roman"/>
          <w:lang w:eastAsia="en-GB"/>
        </w:rPr>
        <w:fldChar w:fldCharType="begin" w:fldLock="1"/>
      </w:r>
      <w:r w:rsidR="00A87066" w:rsidRPr="002F4E96">
        <w:rPr>
          <w:rFonts w:ascii="Times New Roman" w:eastAsia="Times New Roman" w:hAnsi="Times New Roman" w:cs="Times New Roman"/>
          <w:lang w:eastAsia="en-GB"/>
        </w:rPr>
        <w:instrText>ADDIN CSL_CITATION {"citationItems":[{"id":"ITEM-1","itemData":{"DOI":"10.1109/ECTC.2000.853299","abstract":"A generalized solder joint fatigue life model for surface mount packages was previously published in Refs [1, 2]. The model is based on correlation to measured crack growth data on BGA joints during thermal cycling. It was subsequently discovered by Anderson et.al. that the ANSYS™ 5.2 finite element code used in the model had an error in its method for calculating plastic work [3]. It was shown that significant error in life prediction could result by using a recent version of the code where the bug has been fixed. The error comes about since the original crack growth constants were derived based on plastic work calculations that had the bug. In this paper, crack initiation and growth constants are recalculated using ANSYS™ 5.6. In addition, several other model related issues are explored with respect to the crack growth correlations. For example, 3D slice models were compared to quarter symmetry models. Anand's constitutive model was compared with Darveaux's constitutive model. It was shown that the crack growth rate dependence on strain energy density always had an exponent of 1.10 +/- 0.15. This is in the range of the original correlation, so the accuracy of relative predictions should still be within +/- 25%. However, the accuracy of absolute predictions could be off by a factor of 7 in the worst case, if the analyst uses a modeling procedure that is not consistent with that used for the crack growth correlation. The key to good accuracy is to maintain consistency in the modeling procedure. © 2000 IEEE.","author":[{"dropping-particle":"","family":"Darveaux","given":"Robert","non-dropping-particle":"","parse-names":false,"suffix":""}],"container-title":"Proceedings - Electronic Components and Technology Conference","id":"ITEM-1","issued":{"date-parts":[["2000"]]},"title":"Effect of simulation methodology on solder joint crack growth correlation","type":"article-journal"},"uris":["http://www.mendeley.com/documents/?uuid=e76d80ad-ca12-42c9-bb6c-744b2de9b78c"]},{"id":"ITEM-2","itemData":{"DOI":"10.1115/1.1413764","ISSN":"10437398","abstract":"A generalized solder joint fatigue life model for surface mount packages was previously published in [1,2]. The model is based on correlation to measured crack growth data on BGA joints during thermal cycling. It was subsequently discovered by Anderson et al. that the ANSYS™1 5.2 finite element code used in the model had an error in its method for calculating plastic work [3]. It was shown that significant error in life prediction could result by using a recent version of the code where the bug has been fixed. The error comes about since the original crack growth constants were derived based on plastic work calculations that had the bug. In this paper, crack initiation and growth constants are recalculated using ANSYS™ 5.6. In addition, several other model related issues are explored with respect to the crack growth correlations. For example, 3D slice models were compared to quarter symmetry models. Anand's constitutive model was compared with Darveaux's constitutive model. It was shown that the crack growth rate dependence on strain energy density always had an exponent of 1.10+/-0.15. This is in the range of the original correlation. The model was applied to several data sets of tape-based and laminate-based BGAs. The accuracy of absolute predictions is mostly within +/-2X. The accuracy of relative predictions is within +/-25%. However, the accuracy of absolute predictions could be off by a factor of 7 in the worst case, if the analyst uses a modeling procedure that is not consistent with that used for the crack growth correlation. The key to good accuracy is to maintain consistency in the modeling procedure.","author":[{"dropping-particle":"","family":"Darveaux","given":"Robert","non-dropping-particle":"","parse-names":false,"suffix":""}],"container-title":"Journal of Electronic Packaging, Transactions of the ASME","id":"ITEM-2","issued":{"date-parts":[["2002"]]},"title":"Effect of simulation methodology on solder joint crack growth correlation and fatigue life prediction","type":"article-journal"},"uris":["http://www.mendeley.com/documents/?uuid=79462140-26c5-449d-b0a3-9fb2fc609abf"]}],"mendeley":{"formattedCitation":"[52], [53]","plainTextFormattedCitation":"[52], [53]","previouslyFormattedCitation":"[52], [53]"},"properties":{"noteIndex":0},"schema":"https://github.com/citation-style-language/schema/raw/master/csl-citation.json"}</w:instrText>
      </w:r>
      <w:r w:rsidRPr="002F4E96">
        <w:rPr>
          <w:rFonts w:ascii="Times New Roman" w:eastAsia="Times New Roman" w:hAnsi="Times New Roman" w:cs="Times New Roman"/>
          <w:lang w:eastAsia="en-GB"/>
        </w:rPr>
        <w:fldChar w:fldCharType="separate"/>
      </w:r>
      <w:r w:rsidR="00A87066" w:rsidRPr="002F4E96">
        <w:rPr>
          <w:rFonts w:ascii="Times New Roman" w:eastAsia="Times New Roman" w:hAnsi="Times New Roman" w:cs="Times New Roman"/>
          <w:noProof/>
          <w:lang w:eastAsia="en-GB"/>
        </w:rPr>
        <w:t>[52], [53]</w:t>
      </w:r>
      <w:r w:rsidRPr="002F4E96">
        <w:rPr>
          <w:rFonts w:ascii="Times New Roman" w:eastAsia="Times New Roman" w:hAnsi="Times New Roman" w:cs="Times New Roman"/>
          <w:lang w:eastAsia="en-GB"/>
        </w:rPr>
        <w:fldChar w:fldCharType="end"/>
      </w:r>
      <w:r w:rsidRPr="002F4E96">
        <w:rPr>
          <w:rFonts w:ascii="Times New Roman" w:eastAsia="Times New Roman" w:hAnsi="Times New Roman" w:cs="Times New Roman"/>
          <w:lang w:eastAsia="en-GB"/>
        </w:rPr>
        <w:t>:</w:t>
      </w:r>
    </w:p>
    <w:p w14:paraId="4DD443BC" w14:textId="1A936AF4" w:rsidR="007F7F57" w:rsidRPr="002F4E96" w:rsidRDefault="007F7F57" w:rsidP="007F7F57">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Accelerated design </w:t>
      </w:r>
      <w:r w:rsidR="00F54AE7" w:rsidRPr="002F4E96">
        <w:rPr>
          <w:rFonts w:ascii="Times New Roman" w:eastAsia="Times New Roman" w:hAnsi="Times New Roman" w:cs="Times New Roman"/>
          <w:lang w:eastAsia="en-GB"/>
        </w:rPr>
        <w:t>optimisation</w:t>
      </w:r>
      <w:r w:rsidRPr="002F4E96">
        <w:rPr>
          <w:rFonts w:ascii="Times New Roman" w:eastAsia="Times New Roman" w:hAnsi="Times New Roman" w:cs="Times New Roman"/>
          <w:lang w:eastAsia="en-GB"/>
        </w:rPr>
        <w:t xml:space="preserve"> during the developing phase of a </w:t>
      </w:r>
      <w:r w:rsidR="00D209C7" w:rsidRPr="002F4E96">
        <w:rPr>
          <w:rFonts w:ascii="Times New Roman" w:eastAsia="Times New Roman" w:hAnsi="Times New Roman" w:cs="Times New Roman"/>
          <w:lang w:eastAsia="en-GB"/>
        </w:rPr>
        <w:t>product.</w:t>
      </w:r>
    </w:p>
    <w:p w14:paraId="633760E1" w14:textId="7C4E8B35" w:rsidR="007F7F57" w:rsidRPr="002F4E96" w:rsidRDefault="007F7F57" w:rsidP="007F7F57">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Predicting field use limits</w:t>
      </w:r>
      <w:r w:rsidR="00D209C7" w:rsidRPr="002F4E96">
        <w:rPr>
          <w:rFonts w:ascii="Times New Roman" w:eastAsia="Times New Roman" w:hAnsi="Times New Roman" w:cs="Times New Roman"/>
          <w:lang w:eastAsia="en-GB"/>
        </w:rPr>
        <w:t>.</w:t>
      </w:r>
    </w:p>
    <w:p w14:paraId="5E8C92EB" w14:textId="77777777" w:rsidR="007F7F57" w:rsidRPr="002F4E96" w:rsidRDefault="007F7F57" w:rsidP="007F7F57">
      <w:pPr>
        <w:numPr>
          <w:ilvl w:val="0"/>
          <w:numId w:val="27"/>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Failure analysis of product returned from the field or failed in a qualification test.</w:t>
      </w:r>
    </w:p>
    <w:p w14:paraId="51ED32E3" w14:textId="5239FF00" w:rsidR="007F7F57" w:rsidRPr="002F4E96" w:rsidRDefault="007F7F57" w:rsidP="007F7F57">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Four factors </w:t>
      </w:r>
      <w:r w:rsidR="00105752" w:rsidRPr="002F4E96">
        <w:rPr>
          <w:rFonts w:ascii="Times New Roman" w:eastAsia="Times New Roman" w:hAnsi="Times New Roman" w:cs="Times New Roman"/>
          <w:lang w:eastAsia="en-GB"/>
        </w:rPr>
        <w:t>govern</w:t>
      </w:r>
      <w:r w:rsidRPr="002F4E96">
        <w:rPr>
          <w:rFonts w:ascii="Times New Roman" w:eastAsia="Times New Roman" w:hAnsi="Times New Roman" w:cs="Times New Roman"/>
          <w:lang w:eastAsia="en-GB"/>
        </w:rPr>
        <w:t xml:space="preserve"> life prediction</w:t>
      </w:r>
      <w:r w:rsidR="00105752" w:rsidRPr="002F4E96">
        <w:rPr>
          <w:rFonts w:ascii="Times New Roman" w:eastAsia="Times New Roman" w:hAnsi="Times New Roman" w:cs="Times New Roman"/>
          <w:lang w:eastAsia="en-GB"/>
        </w:rPr>
        <w:t>: material</w:t>
      </w:r>
      <w:r w:rsidRPr="002F4E96">
        <w:rPr>
          <w:rFonts w:ascii="Times New Roman" w:eastAsia="Times New Roman" w:hAnsi="Times New Roman" w:cs="Times New Roman"/>
          <w:lang w:eastAsia="en-GB"/>
        </w:rPr>
        <w:t xml:space="preserve"> behaviour, simulation techniques, life prediction methodology</w:t>
      </w:r>
      <w:r w:rsidR="00105752" w:rsidRPr="002F4E96">
        <w:rPr>
          <w:rFonts w:ascii="Times New Roman" w:eastAsia="Times New Roman" w:hAnsi="Times New Roman" w:cs="Times New Roman"/>
          <w:lang w:eastAsia="en-GB"/>
        </w:rPr>
        <w:t>,</w:t>
      </w:r>
      <w:r w:rsidRPr="002F4E96">
        <w:rPr>
          <w:rFonts w:ascii="Times New Roman" w:eastAsia="Times New Roman" w:hAnsi="Times New Roman" w:cs="Times New Roman"/>
          <w:lang w:eastAsia="en-GB"/>
        </w:rPr>
        <w:t xml:space="preserve"> and test data. Either accumulated creep strain or energy density can be employed for life prediction (creep strain has demonstrated to yield better prediction accuracy</w:t>
      </w:r>
      <w:r w:rsidR="00105752" w:rsidRPr="002F4E96">
        <w:rPr>
          <w:rFonts w:ascii="Times New Roman" w:eastAsia="Times New Roman" w:hAnsi="Times New Roman" w:cs="Times New Roman"/>
          <w:lang w:eastAsia="en-GB"/>
        </w:rPr>
        <w:t>,</w:t>
      </w:r>
      <w:r w:rsidRPr="002F4E96">
        <w:rPr>
          <w:rFonts w:ascii="Times New Roman" w:eastAsia="Times New Roman" w:hAnsi="Times New Roman" w:cs="Times New Roman"/>
          <w:lang w:eastAsia="en-GB"/>
        </w:rPr>
        <w:t xml:space="preserve"> and energy density capture high-stress effects better). </w:t>
      </w:r>
    </w:p>
    <w:p w14:paraId="13C60F6D" w14:textId="0094FF41" w:rsidR="007F7F57" w:rsidRPr="002F4E96" w:rsidRDefault="007F7F57" w:rsidP="007F7F57">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Why Predict</w:t>
      </w:r>
      <w:r w:rsidR="00FF2288" w:rsidRPr="002F4E96">
        <w:rPr>
          <w:rFonts w:ascii="Times New Roman" w:eastAsia="Times New Roman" w:hAnsi="Times New Roman" w:cs="Times New Roman"/>
          <w:lang w:eastAsia="en-GB"/>
        </w:rPr>
        <w:t xml:space="preserve"> </w:t>
      </w:r>
      <w:r w:rsidR="00FF2288" w:rsidRPr="002F4E96">
        <w:rPr>
          <w:rFonts w:ascii="Times New Roman" w:eastAsia="Times New Roman" w:hAnsi="Times New Roman" w:cs="Times New Roman"/>
          <w:lang w:eastAsia="en-GB"/>
        </w:rPr>
        <w:fldChar w:fldCharType="begin" w:fldLock="1"/>
      </w:r>
      <w:r w:rsidR="00B219E2" w:rsidRPr="002F4E96">
        <w:rPr>
          <w:rFonts w:ascii="Times New Roman" w:eastAsia="Times New Roman" w:hAnsi="Times New Roman" w:cs="Times New Roman"/>
          <w:lang w:eastAsia="en-GB"/>
        </w:rPr>
        <w:instrText>ADDIN CSL_CITATION {"citationItems":[{"id":"ITEM-1","itemData":{"DOI":"10.1109/ectc.2004.1319419","ISSN":"05695503","abstract":"Pb free solder is fast becoming a reality in electronic manufacturing due to marketing and legislative pressures. The industry has pretty much concluded that various version of SnAgCu solder alloy offer the best alternative for eutectic Sn/Pb solder currently in use. With the current trend of cheaper, faster, and better electronic equipment, it has become increasingly important to evaluate the package and system performance very early in the design cycle using simulation tools. This requires life prediction models for new solder alloy systems so that the package-to-board interconnect reliability can be predicted for various environmental and field conditions. This paper describes in detail the life prediction models for SnAgCu solder joints. The models are based on published constitutive equations for this alloy and thermal cycle fatigue data on actual components. The approach uses advance finite element modeling and analysis techniques and is based on mechanics of deformation. Both accumulated creep strain and creep strain energy density based models are developed. The model has been correlated with a number of data points and predicts life within 25% in most cases. The framework of modeling and prediction methodology described here is fully compatible with the framework used for SnPb solder previously.","author":[{"dropping-particle":"","family":"Syed","given":"Ahmer","non-dropping-particle":"","parse-names":false,"suffix":""}],"container-title":"Proceedings - Electronic Components and Technology Conference","id":"ITEM-1","issued":{"date-parts":[["2004"]]},"title":"Accumulated creep strain and energy density based thermal fatigue life prediction models for SnAgCu solder joints","type":"paper-conference"},"uris":["http://www.mendeley.com/documents/?uuid=2195f711-0151-4b2b-9e91-47a2b9ffb8a7"]}],"mendeley":{"formattedCitation":"[59]","plainTextFormattedCitation":"[59]","previouslyFormattedCitation":"[59]"},"properties":{"noteIndex":0},"schema":"https://github.com/citation-style-language/schema/raw/master/csl-citation.json"}</w:instrText>
      </w:r>
      <w:r w:rsidR="00FF2288" w:rsidRPr="002F4E96">
        <w:rPr>
          <w:rFonts w:ascii="Times New Roman" w:eastAsia="Times New Roman" w:hAnsi="Times New Roman" w:cs="Times New Roman"/>
          <w:lang w:eastAsia="en-GB"/>
        </w:rPr>
        <w:fldChar w:fldCharType="separate"/>
      </w:r>
      <w:r w:rsidR="00FF2288" w:rsidRPr="002F4E96">
        <w:rPr>
          <w:rFonts w:ascii="Times New Roman" w:eastAsia="Times New Roman" w:hAnsi="Times New Roman" w:cs="Times New Roman"/>
          <w:noProof/>
          <w:lang w:eastAsia="en-GB"/>
        </w:rPr>
        <w:t>[59]</w:t>
      </w:r>
      <w:r w:rsidR="00FF2288" w:rsidRPr="002F4E96">
        <w:rPr>
          <w:rFonts w:ascii="Times New Roman" w:eastAsia="Times New Roman" w:hAnsi="Times New Roman" w:cs="Times New Roman"/>
          <w:lang w:eastAsia="en-GB"/>
        </w:rPr>
        <w:fldChar w:fldCharType="end"/>
      </w:r>
      <w:r w:rsidRPr="002F4E96">
        <w:rPr>
          <w:rFonts w:ascii="Times New Roman" w:eastAsia="Times New Roman" w:hAnsi="Times New Roman" w:cs="Times New Roman"/>
          <w:lang w:eastAsia="en-GB"/>
        </w:rPr>
        <w:t>:</w:t>
      </w:r>
    </w:p>
    <w:p w14:paraId="304A7DB9" w14:textId="56462738" w:rsidR="007F7F57" w:rsidRPr="002F4E96" w:rsidRDefault="007F7F57" w:rsidP="007F7F57">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xml:space="preserve"> Life prediction models are required to evaluate reliability at the design </w:t>
      </w:r>
      <w:r w:rsidR="00D209C7" w:rsidRPr="002F4E96">
        <w:rPr>
          <w:rFonts w:ascii="Times New Roman" w:eastAsia="Times New Roman" w:hAnsi="Times New Roman" w:cs="Times New Roman"/>
          <w:lang w:eastAsia="en-GB"/>
        </w:rPr>
        <w:t>state.</w:t>
      </w:r>
    </w:p>
    <w:p w14:paraId="34C5F3BB" w14:textId="5C1C365D" w:rsidR="007F7F57" w:rsidRPr="002F4E96" w:rsidRDefault="007F7F57" w:rsidP="007F7F57">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lastRenderedPageBreak/>
        <w:t> Reduction in the design cycle time limits in the application of testing to evaluate the reliability</w:t>
      </w:r>
      <w:r w:rsidR="00D209C7" w:rsidRPr="002F4E96">
        <w:rPr>
          <w:rFonts w:ascii="Times New Roman" w:eastAsia="Times New Roman" w:hAnsi="Times New Roman" w:cs="Times New Roman"/>
          <w:lang w:eastAsia="en-GB"/>
        </w:rPr>
        <w:t>.</w:t>
      </w:r>
    </w:p>
    <w:p w14:paraId="29241863" w14:textId="7C0A223F" w:rsidR="007F7F57" w:rsidRPr="002F4E96" w:rsidRDefault="007F7F57" w:rsidP="007F7F57">
      <w:pPr>
        <w:numPr>
          <w:ilvl w:val="0"/>
          <w:numId w:val="28"/>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 The industry is fast migrating to SnAgCu (</w:t>
      </w:r>
      <w:r w:rsidR="00F54AE7" w:rsidRPr="002F4E96">
        <w:rPr>
          <w:rFonts w:ascii="Times New Roman" w:eastAsia="Times New Roman" w:hAnsi="Times New Roman" w:cs="Times New Roman"/>
          <w:lang w:eastAsia="en-GB"/>
        </w:rPr>
        <w:t>SAC</w:t>
      </w:r>
      <w:r w:rsidRPr="002F4E96">
        <w:rPr>
          <w:rFonts w:ascii="Times New Roman" w:eastAsia="Times New Roman" w:hAnsi="Times New Roman" w:cs="Times New Roman"/>
          <w:lang w:eastAsia="en-GB"/>
        </w:rPr>
        <w:t>) solder alloys.</w:t>
      </w:r>
    </w:p>
    <w:p w14:paraId="68C8646E" w14:textId="581BD939" w:rsidR="007F7F57" w:rsidRPr="002F4E96" w:rsidRDefault="007F7F57" w:rsidP="007F7F57">
      <w:pPr>
        <w:spacing w:before="125" w:line="360" w:lineRule="auto"/>
        <w:ind w:right="38"/>
        <w:jc w:val="both"/>
        <w:rPr>
          <w:rFonts w:ascii="Times New Roman" w:hAnsi="Times New Roman" w:cs="Times New Roman"/>
          <w:bCs/>
        </w:rPr>
      </w:pPr>
      <w:r w:rsidRPr="002F4E96">
        <w:rPr>
          <w:rFonts w:ascii="Times New Roman" w:hAnsi="Times New Roman" w:cs="Times New Roman"/>
          <w:bCs/>
        </w:rPr>
        <w:t>Several scholars have studied several solder joint alloys reliability concerns in electronic devices</w:t>
      </w:r>
      <w:r w:rsidR="00105752" w:rsidRPr="002F4E96">
        <w:rPr>
          <w:rFonts w:ascii="Times New Roman" w:hAnsi="Times New Roman" w:cs="Times New Roman"/>
          <w:bCs/>
        </w:rPr>
        <w:t>,</w:t>
      </w:r>
      <w:r w:rsidRPr="002F4E96">
        <w:rPr>
          <w:rFonts w:ascii="Times New Roman" w:hAnsi="Times New Roman" w:cs="Times New Roman"/>
          <w:bCs/>
        </w:rPr>
        <w:t xml:space="preserve"> including the fatigue life of </w:t>
      </w:r>
      <w:r w:rsidR="00105752" w:rsidRPr="002F4E96">
        <w:rPr>
          <w:rFonts w:ascii="Times New Roman" w:hAnsi="Times New Roman" w:cs="Times New Roman"/>
          <w:bCs/>
        </w:rPr>
        <w:t>various</w:t>
      </w:r>
      <w:r w:rsidRPr="002F4E96">
        <w:rPr>
          <w:rFonts w:ascii="Times New Roman" w:hAnsi="Times New Roman" w:cs="Times New Roman"/>
          <w:bCs/>
        </w:rPr>
        <w:t xml:space="preserve"> solder joints</w:t>
      </w:r>
      <w:r w:rsidR="00105752" w:rsidRPr="002F4E96">
        <w:rPr>
          <w:rFonts w:ascii="Times New Roman" w:hAnsi="Times New Roman" w:cs="Times New Roman"/>
          <w:bCs/>
        </w:rPr>
        <w:t>,</w:t>
      </w:r>
      <w:r w:rsidRPr="002F4E96">
        <w:rPr>
          <w:rFonts w:ascii="Times New Roman" w:hAnsi="Times New Roman" w:cs="Times New Roman"/>
          <w:bCs/>
        </w:rPr>
        <w:t xml:space="preserve"> </w:t>
      </w:r>
      <w:r w:rsidR="00105752" w:rsidRPr="002F4E96">
        <w:rPr>
          <w:rFonts w:ascii="Times New Roman" w:hAnsi="Times New Roman" w:cs="Times New Roman"/>
          <w:bCs/>
        </w:rPr>
        <w:t>including high-reliability military hardware and</w:t>
      </w:r>
      <w:r w:rsidRPr="002F4E96">
        <w:rPr>
          <w:rFonts w:ascii="Times New Roman" w:hAnsi="Times New Roman" w:cs="Times New Roman"/>
          <w:bCs/>
        </w:rPr>
        <w:t xml:space="preserve"> the hood of an automobile and portable electronic devices (</w:t>
      </w:r>
      <w:r w:rsidR="00F54AE7" w:rsidRPr="002F4E96">
        <w:rPr>
          <w:rFonts w:ascii="Times New Roman" w:hAnsi="Times New Roman" w:cs="Times New Roman"/>
          <w:bCs/>
        </w:rPr>
        <w:t>PEDs</w:t>
      </w:r>
      <w:r w:rsidRPr="002F4E96">
        <w:rPr>
          <w:rFonts w:ascii="Times New Roman" w:hAnsi="Times New Roman" w:cs="Times New Roman"/>
          <w:bCs/>
        </w:rPr>
        <w:t>) in the consumer electronics sector</w:t>
      </w:r>
      <w:r w:rsidR="00105752" w:rsidRPr="002F4E96">
        <w:rPr>
          <w:rFonts w:ascii="Times New Roman" w:hAnsi="Times New Roman" w:cs="Times New Roman"/>
          <w:bCs/>
        </w:rPr>
        <w:t>. Still, no</w:t>
      </w:r>
      <w:r w:rsidRPr="002F4E96">
        <w:rPr>
          <w:rFonts w:ascii="Times New Roman" w:hAnsi="Times New Roman" w:cs="Times New Roman"/>
          <w:bCs/>
        </w:rPr>
        <w:t xml:space="preserve"> investigations have benchmarked and compared the five solder joint alloy materials (lead-based eutectic Sn63Pb37 and lead-free SnAgCu: SAC305, SAC387, SAC396 and SAC405) examined in this research</w:t>
      </w:r>
      <w:r w:rsidR="00FB7D5E" w:rsidRPr="002F4E96">
        <w:rPr>
          <w:rFonts w:ascii="Times New Roman" w:hAnsi="Times New Roman" w:cs="Times New Roman"/>
          <w:bCs/>
        </w:rPr>
        <w:t>,</w:t>
      </w:r>
      <w:r w:rsidRPr="002F4E96">
        <w:rPr>
          <w:rFonts w:ascii="Times New Roman" w:hAnsi="Times New Roman" w:cs="Times New Roman"/>
          <w:bCs/>
        </w:rPr>
        <w:t xml:space="preserve"> respectively. These lead-free solder alloys </w:t>
      </w:r>
      <w:r w:rsidR="00105752" w:rsidRPr="002F4E96">
        <w:rPr>
          <w:rFonts w:ascii="Times New Roman" w:hAnsi="Times New Roman" w:cs="Times New Roman"/>
          <w:bCs/>
        </w:rPr>
        <w:t>mainly</w:t>
      </w:r>
      <w:r w:rsidRPr="002F4E96">
        <w:rPr>
          <w:rFonts w:ascii="Times New Roman" w:hAnsi="Times New Roman" w:cs="Times New Roman"/>
          <w:bCs/>
        </w:rPr>
        <w:t xml:space="preserve"> applied in the modelling, assembly and manufacture of these devices. In the contemporary ever </w:t>
      </w:r>
      <w:r w:rsidR="00F54AE7" w:rsidRPr="002F4E96">
        <w:rPr>
          <w:rFonts w:ascii="Times New Roman" w:hAnsi="Times New Roman" w:cs="Times New Roman"/>
          <w:bCs/>
        </w:rPr>
        <w:t>miniaturisation</w:t>
      </w:r>
      <w:r w:rsidRPr="002F4E96">
        <w:rPr>
          <w:rFonts w:ascii="Times New Roman" w:hAnsi="Times New Roman" w:cs="Times New Roman"/>
          <w:bCs/>
        </w:rPr>
        <w:t xml:space="preserve"> in the manufacturing trend in electronics packaging amidst the advancing functionality, the knowledge and identification of a </w:t>
      </w:r>
      <w:r w:rsidR="00105752" w:rsidRPr="002F4E96">
        <w:rPr>
          <w:rFonts w:ascii="Times New Roman" w:hAnsi="Times New Roman" w:cs="Times New Roman"/>
          <w:bCs/>
        </w:rPr>
        <w:t>proper</w:t>
      </w:r>
      <w:r w:rsidRPr="002F4E96">
        <w:rPr>
          <w:rFonts w:ascii="Times New Roman" w:hAnsi="Times New Roman" w:cs="Times New Roman"/>
          <w:bCs/>
        </w:rPr>
        <w:t xml:space="preserve"> lead-free solder and its adoption in electronics manufacturing will increase the </w:t>
      </w:r>
      <w:r w:rsidR="00105752" w:rsidRPr="002F4E96">
        <w:rPr>
          <w:rFonts w:ascii="Times New Roman" w:hAnsi="Times New Roman" w:cs="Times New Roman"/>
          <w:bCs/>
        </w:rPr>
        <w:t>electronic devices' reliability</w:t>
      </w:r>
      <w:r w:rsidRPr="002F4E96">
        <w:rPr>
          <w:rFonts w:ascii="Times New Roman" w:hAnsi="Times New Roman" w:cs="Times New Roman"/>
          <w:bCs/>
        </w:rPr>
        <w:t xml:space="preserve"> </w:t>
      </w:r>
      <w:r w:rsidR="00FB7D5E" w:rsidRPr="002F4E96">
        <w:rPr>
          <w:rFonts w:ascii="Times New Roman" w:hAnsi="Times New Roman" w:cs="Times New Roman"/>
          <w:bCs/>
        </w:rPr>
        <w:t>it's</w:t>
      </w:r>
      <w:r w:rsidRPr="002F4E96">
        <w:rPr>
          <w:rFonts w:ascii="Times New Roman" w:hAnsi="Times New Roman" w:cs="Times New Roman"/>
          <w:bCs/>
        </w:rPr>
        <w:t xml:space="preserve"> fatigue life and applications in electronic devices. This proposal compels this study and gives further information for the electronic manufacturing industry and engineers about the comparison. </w:t>
      </w:r>
    </w:p>
    <w:p w14:paraId="0F001DB6" w14:textId="1099AB30" w:rsidR="007F7F57" w:rsidRPr="002F4E96" w:rsidRDefault="00413BD1" w:rsidP="00A00527">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The fatigue modelling process </w:t>
      </w:r>
      <w:r w:rsidR="00105752" w:rsidRPr="002F4E96">
        <w:rPr>
          <w:rFonts w:ascii="Times New Roman" w:hAnsi="Times New Roman" w:cs="Times New Roman"/>
          <w:bCs/>
        </w:rPr>
        <w:t>is</w:t>
      </w:r>
      <w:r w:rsidRPr="002F4E96">
        <w:rPr>
          <w:rFonts w:ascii="Times New Roman" w:hAnsi="Times New Roman" w:cs="Times New Roman"/>
          <w:bCs/>
        </w:rPr>
        <w:t xml:space="preserve"> presented in Fig. </w:t>
      </w:r>
      <w:r w:rsidR="00936935" w:rsidRPr="002F4E96">
        <w:rPr>
          <w:rFonts w:ascii="Times New Roman" w:hAnsi="Times New Roman" w:cs="Times New Roman"/>
          <w:bCs/>
        </w:rPr>
        <w:t>2</w:t>
      </w:r>
      <w:r w:rsidRPr="002F4E96">
        <w:rPr>
          <w:rFonts w:ascii="Times New Roman" w:hAnsi="Times New Roman" w:cs="Times New Roman"/>
          <w:bCs/>
        </w:rPr>
        <w:t xml:space="preserve">. </w:t>
      </w:r>
      <w:r w:rsidR="00FD11BA" w:rsidRPr="002F4E96">
        <w:rPr>
          <w:rFonts w:ascii="Times New Roman" w:hAnsi="Times New Roman" w:cs="Times New Roman"/>
          <w:bCs/>
        </w:rPr>
        <w:t xml:space="preserve">The first process is the research design. Through SolidWorks, we built the finite element model and them in this model in ANSYS simulation software. </w:t>
      </w:r>
      <w:r w:rsidR="00105752" w:rsidRPr="002F4E96">
        <w:rPr>
          <w:rFonts w:ascii="Times New Roman" w:hAnsi="Times New Roman" w:cs="Times New Roman"/>
          <w:bCs/>
        </w:rPr>
        <w:t>We</w:t>
      </w:r>
      <w:r w:rsidR="00FD11BA" w:rsidRPr="002F4E96">
        <w:rPr>
          <w:rFonts w:ascii="Times New Roman" w:hAnsi="Times New Roman" w:cs="Times New Roman"/>
          <w:bCs/>
        </w:rPr>
        <w:t xml:space="preserve"> include the material properties, load and boundary conditions, finite element model</w:t>
      </w:r>
      <w:r w:rsidR="00105752" w:rsidRPr="002F4E96">
        <w:rPr>
          <w:rFonts w:ascii="Times New Roman" w:hAnsi="Times New Roman" w:cs="Times New Roman"/>
          <w:bCs/>
        </w:rPr>
        <w:t>,</w:t>
      </w:r>
      <w:r w:rsidR="00FD11BA" w:rsidRPr="002F4E96">
        <w:rPr>
          <w:rFonts w:ascii="Times New Roman" w:hAnsi="Times New Roman" w:cs="Times New Roman"/>
          <w:bCs/>
        </w:rPr>
        <w:t xml:space="preserve"> and </w:t>
      </w:r>
      <w:r w:rsidR="00105752" w:rsidRPr="002F4E96">
        <w:rPr>
          <w:rFonts w:ascii="Times New Roman" w:hAnsi="Times New Roman" w:cs="Times New Roman"/>
          <w:bCs/>
        </w:rPr>
        <w:t>fundamental</w:t>
      </w:r>
      <w:r w:rsidR="00FD11BA" w:rsidRPr="002F4E96">
        <w:rPr>
          <w:rFonts w:ascii="Times New Roman" w:hAnsi="Times New Roman" w:cs="Times New Roman"/>
          <w:bCs/>
        </w:rPr>
        <w:t xml:space="preserve"> assumptions</w:t>
      </w:r>
      <w:r w:rsidR="00105752" w:rsidRPr="002F4E96">
        <w:rPr>
          <w:rFonts w:ascii="Times New Roman" w:hAnsi="Times New Roman" w:cs="Times New Roman"/>
          <w:bCs/>
        </w:rPr>
        <w:t xml:space="preserve"> for the modelling setup</w:t>
      </w:r>
      <w:r w:rsidR="00FD11BA" w:rsidRPr="002F4E96">
        <w:rPr>
          <w:rFonts w:ascii="Times New Roman" w:hAnsi="Times New Roman" w:cs="Times New Roman"/>
          <w:bCs/>
        </w:rPr>
        <w:t>. In terms of the out from ANSYS software, we obtain the equivalent (von mises) stress, strain energy, creep energy, plastic strain, shear strain and plastic shear strain. These parameters are then used in the Coffin-Manson (plastic strain output), Engelmaier (shear strain output), Solomon (plastic shear strain) and Syed (accumulated creep energy density). We then compare and evaluate the various fatigue life output.</w:t>
      </w:r>
    </w:p>
    <w:p w14:paraId="194EE91B" w14:textId="77777777" w:rsidR="0093707E" w:rsidRPr="002F4E96" w:rsidRDefault="0093707E" w:rsidP="009F3023">
      <w:pPr>
        <w:pStyle w:val="Heading2"/>
      </w:pPr>
      <w:r w:rsidRPr="002F4E96">
        <w:t>1.5: Aim and objectives of the research</w:t>
      </w:r>
    </w:p>
    <w:p w14:paraId="66C2DC32" w14:textId="33F964F6" w:rsidR="0093707E" w:rsidRPr="002F4E96" w:rsidRDefault="0093707E" w:rsidP="0093707E">
      <w:pPr>
        <w:spacing w:after="0" w:line="360" w:lineRule="auto"/>
        <w:jc w:val="both"/>
        <w:rPr>
          <w:rFonts w:ascii="Times New Roman" w:hAnsi="Times New Roman" w:cs="Times New Roman"/>
          <w:bCs/>
        </w:rPr>
      </w:pPr>
      <w:r w:rsidRPr="002F4E96">
        <w:rPr>
          <w:rFonts w:ascii="Times New Roman" w:hAnsi="Times New Roman" w:cs="Times New Roman"/>
          <w:bCs/>
        </w:rPr>
        <w:t xml:space="preserve">The study aims are to propose the best solder alloys for improved thermo-mechanical reliability of solder joints in </w:t>
      </w:r>
      <w:r w:rsidR="00105752" w:rsidRPr="002F4E96">
        <w:rPr>
          <w:rFonts w:ascii="Times New Roman" w:hAnsi="Times New Roman" w:cs="Times New Roman"/>
          <w:bCs/>
        </w:rPr>
        <w:t xml:space="preserve">a </w:t>
      </w:r>
      <w:r w:rsidRPr="002F4E96">
        <w:rPr>
          <w:rFonts w:ascii="Times New Roman" w:hAnsi="Times New Roman" w:cs="Times New Roman"/>
          <w:bCs/>
        </w:rPr>
        <w:t xml:space="preserve">ball grid array (BGA) package soldered on </w:t>
      </w:r>
      <w:r w:rsidR="00105752" w:rsidRPr="002F4E96">
        <w:rPr>
          <w:rFonts w:ascii="Times New Roman" w:hAnsi="Times New Roman" w:cs="Times New Roman"/>
          <w:bCs/>
        </w:rPr>
        <w:t xml:space="preserve">a </w:t>
      </w:r>
      <w:r w:rsidRPr="002F4E96">
        <w:rPr>
          <w:rFonts w:ascii="Times New Roman" w:hAnsi="Times New Roman" w:cs="Times New Roman"/>
          <w:bCs/>
        </w:rPr>
        <w:t>printed circuit board (</w:t>
      </w:r>
      <w:r w:rsidR="00F54AE7" w:rsidRPr="002F4E96">
        <w:rPr>
          <w:rFonts w:ascii="Times New Roman" w:hAnsi="Times New Roman" w:cs="Times New Roman"/>
          <w:bCs/>
        </w:rPr>
        <w:t>PCB</w:t>
      </w:r>
      <w:r w:rsidRPr="002F4E96">
        <w:rPr>
          <w:rFonts w:ascii="Times New Roman" w:hAnsi="Times New Roman" w:cs="Times New Roman"/>
          <w:bCs/>
        </w:rPr>
        <w:t xml:space="preserve">) based on fatigue life estimation. The objectives of the research leading to the </w:t>
      </w:r>
      <w:r w:rsidR="00F54AE7" w:rsidRPr="002F4E96">
        <w:rPr>
          <w:rFonts w:ascii="Times New Roman" w:hAnsi="Times New Roman" w:cs="Times New Roman"/>
          <w:bCs/>
        </w:rPr>
        <w:t>actualisation</w:t>
      </w:r>
      <w:r w:rsidRPr="002F4E96">
        <w:rPr>
          <w:rFonts w:ascii="Times New Roman" w:hAnsi="Times New Roman" w:cs="Times New Roman"/>
          <w:bCs/>
        </w:rPr>
        <w:t xml:space="preserve"> of the research aim include:</w:t>
      </w:r>
    </w:p>
    <w:p w14:paraId="5C865337" w14:textId="77777777" w:rsidR="0093707E" w:rsidRPr="002F4E96" w:rsidRDefault="0093707E" w:rsidP="0093707E">
      <w:pPr>
        <w:pStyle w:val="ListParagraph"/>
        <w:numPr>
          <w:ilvl w:val="0"/>
          <w:numId w:val="31"/>
        </w:numPr>
        <w:spacing w:after="0" w:line="360" w:lineRule="auto"/>
        <w:jc w:val="both"/>
        <w:rPr>
          <w:rFonts w:ascii="Times New Roman" w:hAnsi="Times New Roman" w:cs="Times New Roman"/>
          <w:bCs/>
        </w:rPr>
      </w:pPr>
      <w:r w:rsidRPr="002F4E96">
        <w:rPr>
          <w:rFonts w:ascii="Times New Roman" w:hAnsi="Times New Roman" w:cs="Times New Roman"/>
          <w:bCs/>
        </w:rPr>
        <w:t>Determination of the stress magnitude, strain energy, plastic strain, shear strain, plastic shear strain, creep energy density and its' effects on solder joints alloys.</w:t>
      </w:r>
    </w:p>
    <w:p w14:paraId="283348C9" w14:textId="65737320" w:rsidR="0093707E" w:rsidRPr="002F4E96" w:rsidRDefault="00105752" w:rsidP="0093707E">
      <w:pPr>
        <w:pStyle w:val="ListParagraph"/>
        <w:numPr>
          <w:ilvl w:val="0"/>
          <w:numId w:val="31"/>
        </w:numPr>
        <w:spacing w:after="0" w:line="360" w:lineRule="auto"/>
        <w:jc w:val="both"/>
        <w:rPr>
          <w:rFonts w:ascii="Times New Roman" w:hAnsi="Times New Roman" w:cs="Times New Roman"/>
          <w:bCs/>
        </w:rPr>
      </w:pPr>
      <w:r w:rsidRPr="002F4E96">
        <w:rPr>
          <w:rFonts w:ascii="Times New Roman" w:hAnsi="Times New Roman" w:cs="Times New Roman"/>
          <w:bCs/>
        </w:rPr>
        <w:t>The</w:t>
      </w:r>
      <w:r w:rsidR="0093707E" w:rsidRPr="002F4E96">
        <w:rPr>
          <w:rFonts w:ascii="Times New Roman" w:hAnsi="Times New Roman" w:cs="Times New Roman"/>
          <w:bCs/>
        </w:rPr>
        <w:t xml:space="preserve"> Engelmaier, Coffin-Manson, Solomon (low cycle fatigue) and Syed fatigue life prediction models to obtain the fatigue life estimations of the solder alloys considered in this work.</w:t>
      </w:r>
    </w:p>
    <w:p w14:paraId="527C1EC2" w14:textId="0796CEF3" w:rsidR="0093707E" w:rsidRPr="002F4E96" w:rsidRDefault="00F54AE7" w:rsidP="0093707E">
      <w:pPr>
        <w:pStyle w:val="ListParagraph"/>
        <w:numPr>
          <w:ilvl w:val="0"/>
          <w:numId w:val="31"/>
        </w:numPr>
        <w:spacing w:after="0" w:line="360" w:lineRule="auto"/>
        <w:jc w:val="both"/>
        <w:rPr>
          <w:rFonts w:ascii="Times New Roman" w:hAnsi="Times New Roman" w:cs="Times New Roman"/>
          <w:bCs/>
        </w:rPr>
      </w:pPr>
      <w:r w:rsidRPr="002F4E96">
        <w:rPr>
          <w:rFonts w:ascii="Times New Roman" w:hAnsi="Times New Roman" w:cs="Times New Roman"/>
          <w:bCs/>
        </w:rPr>
        <w:t>Analyse</w:t>
      </w:r>
      <w:r w:rsidR="0093707E" w:rsidRPr="002F4E96">
        <w:rPr>
          <w:rFonts w:ascii="Times New Roman" w:hAnsi="Times New Roman" w:cs="Times New Roman"/>
          <w:bCs/>
        </w:rPr>
        <w:t xml:space="preserve"> the stress-strain results obtained through the stress-strain hysteresis loop.</w:t>
      </w:r>
    </w:p>
    <w:p w14:paraId="5AC25A0F" w14:textId="19147708" w:rsidR="0093707E" w:rsidRPr="002F4E96" w:rsidRDefault="0093707E" w:rsidP="0093707E">
      <w:pPr>
        <w:pStyle w:val="ListParagraph"/>
        <w:numPr>
          <w:ilvl w:val="0"/>
          <w:numId w:val="31"/>
        </w:numPr>
        <w:spacing w:after="0" w:line="360" w:lineRule="auto"/>
        <w:jc w:val="both"/>
        <w:rPr>
          <w:rFonts w:ascii="Times New Roman" w:hAnsi="Times New Roman" w:cs="Times New Roman"/>
          <w:bCs/>
        </w:rPr>
      </w:pPr>
      <w:r w:rsidRPr="002F4E96">
        <w:rPr>
          <w:rFonts w:ascii="Times New Roman" w:hAnsi="Times New Roman" w:cs="Times New Roman"/>
          <w:bCs/>
        </w:rPr>
        <w:t>Compare and benchmark the best solder joint alloys based on the fatigue life estimate.</w:t>
      </w:r>
    </w:p>
    <w:p w14:paraId="7EBA665D" w14:textId="1D8C8799" w:rsidR="007F7F57" w:rsidRPr="002F4E96" w:rsidRDefault="007F7F57" w:rsidP="007F7F57">
      <w:pPr>
        <w:spacing w:after="0" w:line="360" w:lineRule="auto"/>
        <w:ind w:left="360"/>
        <w:jc w:val="center"/>
        <w:rPr>
          <w:rFonts w:ascii="Times New Roman" w:hAnsi="Times New Roman" w:cs="Times New Roman"/>
          <w:bCs/>
        </w:rPr>
      </w:pPr>
      <w:r w:rsidRPr="002F4E96">
        <w:rPr>
          <w:rFonts w:ascii="Times New Roman" w:hAnsi="Times New Roman" w:cs="Times New Roman"/>
          <w:bCs/>
          <w:noProof/>
          <w:lang w:eastAsia="en-GB"/>
        </w:rPr>
        <w:lastRenderedPageBreak/>
        <w:drawing>
          <wp:inline distT="0" distB="0" distL="0" distR="0" wp14:anchorId="2CCCD142" wp14:editId="5F426C4E">
            <wp:extent cx="4826000" cy="7345939"/>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stretch>
                      <a:fillRect/>
                    </a:stretch>
                  </pic:blipFill>
                  <pic:spPr>
                    <a:xfrm>
                      <a:off x="0" y="0"/>
                      <a:ext cx="4935939" cy="7513283"/>
                    </a:xfrm>
                    <a:prstGeom prst="rect">
                      <a:avLst/>
                    </a:prstGeom>
                  </pic:spPr>
                </pic:pic>
              </a:graphicData>
            </a:graphic>
          </wp:inline>
        </w:drawing>
      </w:r>
    </w:p>
    <w:p w14:paraId="05732ADF" w14:textId="0CA4101C" w:rsidR="008F3167" w:rsidRPr="002F4E96" w:rsidRDefault="007F7F57" w:rsidP="0093707E">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936935" w:rsidRPr="002F4E96">
        <w:rPr>
          <w:rFonts w:ascii="Times New Roman" w:hAnsi="Times New Roman" w:cs="Times New Roman"/>
          <w:b w:val="0"/>
          <w:bCs w:val="0"/>
          <w:color w:val="auto"/>
          <w:sz w:val="22"/>
          <w:szCs w:val="22"/>
        </w:rPr>
        <w:t>2</w:t>
      </w:r>
      <w:r w:rsidRPr="002F4E96">
        <w:rPr>
          <w:rFonts w:ascii="Times New Roman" w:hAnsi="Times New Roman" w:cs="Times New Roman"/>
          <w:b w:val="0"/>
          <w:bCs w:val="0"/>
          <w:color w:val="auto"/>
          <w:sz w:val="22"/>
          <w:szCs w:val="22"/>
        </w:rPr>
        <w:t>: Schematics of the fatigue life modelling process</w:t>
      </w:r>
    </w:p>
    <w:p w14:paraId="4ED3F210" w14:textId="7C1FD3A1" w:rsidR="00B901B3" w:rsidRPr="002F4E96" w:rsidRDefault="00D843E6" w:rsidP="009F3023">
      <w:pPr>
        <w:pStyle w:val="Heading2"/>
      </w:pPr>
      <w:bookmarkStart w:id="5" w:name="_Toc33286856"/>
      <w:r w:rsidRPr="002F4E96">
        <w:t>2.0</w:t>
      </w:r>
      <w:r w:rsidR="00B901B3" w:rsidRPr="002F4E96">
        <w:t xml:space="preserve"> </w:t>
      </w:r>
      <w:bookmarkEnd w:id="5"/>
      <w:r w:rsidR="00FA18F7" w:rsidRPr="002F4E96">
        <w:t>Materials and Metho</w:t>
      </w:r>
      <w:r w:rsidR="002A0FFA" w:rsidRPr="002F4E96">
        <w:t>d</w:t>
      </w:r>
      <w:r w:rsidR="00D605F1" w:rsidRPr="002F4E96">
        <w:t>o</w:t>
      </w:r>
      <w:r w:rsidR="0020214B" w:rsidRPr="002F4E96">
        <w:t>logy</w:t>
      </w:r>
    </w:p>
    <w:p w14:paraId="2D578F5D" w14:textId="7CACB545" w:rsidR="00D843E6" w:rsidRPr="002F4E96" w:rsidRDefault="00D843E6" w:rsidP="009F3023">
      <w:pPr>
        <w:pStyle w:val="Heading2"/>
      </w:pPr>
      <w:bookmarkStart w:id="6" w:name="_Toc45028943"/>
      <w:r w:rsidRPr="002F4E96">
        <w:t xml:space="preserve">2.1 Materials used in the </w:t>
      </w:r>
      <w:r w:rsidR="00F54AE7" w:rsidRPr="002F4E96">
        <w:t>FEA</w:t>
      </w:r>
      <w:r w:rsidRPr="002F4E96">
        <w:t xml:space="preserve"> Simulation Studies</w:t>
      </w:r>
      <w:bookmarkEnd w:id="6"/>
    </w:p>
    <w:p w14:paraId="0EBB5DEB" w14:textId="7613B3D9" w:rsidR="00EE7619" w:rsidRPr="002F4E96" w:rsidRDefault="00EE7619" w:rsidP="00EE7619">
      <w:pPr>
        <w:spacing w:line="360" w:lineRule="auto"/>
        <w:jc w:val="both"/>
        <w:rPr>
          <w:rFonts w:ascii="Times New Roman" w:hAnsi="Times New Roman" w:cs="Times New Roman"/>
        </w:rPr>
      </w:pPr>
      <w:r w:rsidRPr="002F4E96">
        <w:rPr>
          <w:rFonts w:ascii="Times New Roman" w:hAnsi="Times New Roman" w:cs="Times New Roman"/>
        </w:rPr>
        <w:t xml:space="preserve">Tin-Lead (Sn-Pb) solder alloy materials have been utilised </w:t>
      </w:r>
      <w:r w:rsidR="00541376" w:rsidRPr="002F4E96">
        <w:rPr>
          <w:rFonts w:ascii="Times New Roman" w:hAnsi="Times New Roman" w:cs="Times New Roman"/>
        </w:rPr>
        <w:t>primarily</w:t>
      </w:r>
      <w:r w:rsidRPr="002F4E96">
        <w:rPr>
          <w:rFonts w:ascii="Times New Roman" w:hAnsi="Times New Roman" w:cs="Times New Roman"/>
        </w:rPr>
        <w:t xml:space="preserve"> in electronic applications for over three decades until the government legislation, including the environmental impacts of lead (Pb) on 1</w:t>
      </w:r>
      <w:r w:rsidRPr="002F4E96">
        <w:rPr>
          <w:rFonts w:ascii="Times New Roman" w:hAnsi="Times New Roman" w:cs="Times New Roman"/>
          <w:vertAlign w:val="superscript"/>
        </w:rPr>
        <w:t>st</w:t>
      </w:r>
      <w:r w:rsidRPr="002F4E96">
        <w:rPr>
          <w:rFonts w:ascii="Times New Roman" w:hAnsi="Times New Roman" w:cs="Times New Roman"/>
        </w:rPr>
        <w:t xml:space="preserve"> July 2006. The Tin-Silver-Copper (SAC) alloy combination has been considered one of the commonly </w:t>
      </w:r>
      <w:r w:rsidRPr="002F4E96">
        <w:rPr>
          <w:rFonts w:ascii="Times New Roman" w:hAnsi="Times New Roman" w:cs="Times New Roman"/>
        </w:rPr>
        <w:lastRenderedPageBreak/>
        <w:t xml:space="preserve">used lead-free solder alloys. The choice of solder joint alloy depends on one or more of the factors listed below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{"citationItems":[{"id":"ITEM-1","itemData":{"ISBN":"0442207549, 9780442207540","author":[{"dropping-particle":"","family":"Hwang","given":"Jennie S.","non-dropping-particle":"","parse-names":false,"suffix":""}],"container-title":"Solder paste in electronics packaging","edition":"illustrate","id":"ITEM-1","issued":{"date-parts":[["1989"]]},"page":"456","publisher":"Van Nostrand Reinhold, 1989","title":"Technology and applications in surface mount, hybrid circuits, and component assembly","type":"chapter"},"uris":["http://www.mendeley.com/documents/?uuid=543a9e51-225e-4391-990b-ec365be603c4"]}],"mendeley":{"formattedCitation":"[60]","plainTextFormattedCitation":"[60]","previouslyFormattedCitation":"[60]"},"properties":{"noteIndex":0},"schema":"https://github.com/citation-style-language/schema/raw/master/csl-citation.json"}</w:instrText>
      </w:r>
      <w:r w:rsidRPr="002F4E96">
        <w:rPr>
          <w:rFonts w:ascii="Times New Roman" w:hAnsi="Times New Roman" w:cs="Times New Roman"/>
        </w:rPr>
        <w:fldChar w:fldCharType="separate"/>
      </w:r>
      <w:r w:rsidR="0039530C" w:rsidRPr="002F4E96">
        <w:rPr>
          <w:rFonts w:ascii="Times New Roman" w:hAnsi="Times New Roman" w:cs="Times New Roman"/>
          <w:noProof/>
        </w:rPr>
        <w:t>[60]</w:t>
      </w:r>
      <w:r w:rsidRPr="002F4E96">
        <w:rPr>
          <w:rFonts w:ascii="Times New Roman" w:hAnsi="Times New Roman" w:cs="Times New Roman"/>
        </w:rPr>
        <w:fldChar w:fldCharType="end"/>
      </w:r>
      <w:r w:rsidRPr="002F4E96">
        <w:rPr>
          <w:rFonts w:ascii="Times New Roman" w:hAnsi="Times New Roman" w:cs="Times New Roman"/>
        </w:rPr>
        <w:t>:</w:t>
      </w:r>
    </w:p>
    <w:p w14:paraId="450EC17C" w14:textId="77777777" w:rsidR="00EE7619" w:rsidRPr="002F4E96" w:rsidRDefault="00EE7619" w:rsidP="00EE7619">
      <w:pPr>
        <w:numPr>
          <w:ilvl w:val="0"/>
          <w:numId w:val="41"/>
        </w:numPr>
        <w:spacing w:line="360" w:lineRule="auto"/>
        <w:jc w:val="both"/>
        <w:rPr>
          <w:rFonts w:ascii="Times New Roman" w:hAnsi="Times New Roman" w:cs="Times New Roman"/>
        </w:rPr>
      </w:pPr>
      <w:r w:rsidRPr="002F4E96">
        <w:rPr>
          <w:rFonts w:ascii="Times New Roman" w:hAnsi="Times New Roman" w:cs="Times New Roman"/>
        </w:rPr>
        <w:t>Environmental and service compatibility.</w:t>
      </w:r>
    </w:p>
    <w:p w14:paraId="622185F7" w14:textId="77777777" w:rsidR="00EE7619" w:rsidRPr="002F4E96" w:rsidRDefault="00EE7619" w:rsidP="00EE7619">
      <w:pPr>
        <w:numPr>
          <w:ilvl w:val="0"/>
          <w:numId w:val="41"/>
        </w:numPr>
        <w:spacing w:line="360" w:lineRule="auto"/>
        <w:jc w:val="both"/>
        <w:rPr>
          <w:rFonts w:ascii="Times New Roman" w:hAnsi="Times New Roman" w:cs="Times New Roman"/>
        </w:rPr>
      </w:pPr>
      <w:r w:rsidRPr="002F4E96">
        <w:rPr>
          <w:rFonts w:ascii="Times New Roman" w:hAnsi="Times New Roman" w:cs="Times New Roman"/>
        </w:rPr>
        <w:t>The wettability on the substrate.</w:t>
      </w:r>
    </w:p>
    <w:p w14:paraId="3B1D3F5B" w14:textId="77777777" w:rsidR="00EE7619" w:rsidRPr="002F4E96" w:rsidRDefault="00EE7619" w:rsidP="00EE7619">
      <w:pPr>
        <w:numPr>
          <w:ilvl w:val="0"/>
          <w:numId w:val="41"/>
        </w:numPr>
        <w:spacing w:line="360" w:lineRule="auto"/>
        <w:jc w:val="both"/>
        <w:rPr>
          <w:rFonts w:ascii="Times New Roman" w:hAnsi="Times New Roman" w:cs="Times New Roman"/>
        </w:rPr>
      </w:pPr>
      <w:r w:rsidRPr="002F4E96">
        <w:rPr>
          <w:rFonts w:ascii="Times New Roman" w:hAnsi="Times New Roman" w:cs="Times New Roman"/>
        </w:rPr>
        <w:t>Temperature capability and consideration for process and service temperature.</w:t>
      </w:r>
    </w:p>
    <w:p w14:paraId="08B30371" w14:textId="4B4C52E2" w:rsidR="00EE7619" w:rsidRPr="002F4E96" w:rsidRDefault="00EE7619" w:rsidP="00EE7619">
      <w:pPr>
        <w:numPr>
          <w:ilvl w:val="0"/>
          <w:numId w:val="41"/>
        </w:numPr>
        <w:spacing w:line="360" w:lineRule="auto"/>
        <w:jc w:val="both"/>
        <w:rPr>
          <w:rFonts w:ascii="Times New Roman" w:hAnsi="Times New Roman" w:cs="Times New Roman"/>
        </w:rPr>
      </w:pPr>
      <w:r w:rsidRPr="002F4E96">
        <w:rPr>
          <w:rFonts w:ascii="Times New Roman" w:hAnsi="Times New Roman" w:cs="Times New Roman"/>
        </w:rPr>
        <w:t>The metallurgical compatibility and evaluation of the possible development of intermetallic compounds (IMC).</w:t>
      </w:r>
    </w:p>
    <w:p w14:paraId="0EB23ADC" w14:textId="050BF22B" w:rsidR="00D843E6" w:rsidRPr="002F4E96" w:rsidRDefault="00D843E6" w:rsidP="000D7411">
      <w:pPr>
        <w:pStyle w:val="Heading3"/>
        <w:spacing w:line="360" w:lineRule="auto"/>
        <w:rPr>
          <w:rFonts w:ascii="Times New Roman" w:hAnsi="Times New Roman" w:cs="Times New Roman"/>
          <w:color w:val="auto"/>
          <w:sz w:val="22"/>
          <w:szCs w:val="22"/>
        </w:rPr>
      </w:pPr>
      <w:bookmarkStart w:id="7" w:name="_Toc45028944"/>
      <w:r w:rsidRPr="002F4E96">
        <w:rPr>
          <w:rFonts w:ascii="Times New Roman" w:hAnsi="Times New Roman" w:cs="Times New Roman"/>
          <w:color w:val="auto"/>
          <w:sz w:val="22"/>
          <w:szCs w:val="22"/>
        </w:rPr>
        <w:t>2.1.1 Lead-based Sn63Pb37</w:t>
      </w:r>
      <w:bookmarkEnd w:id="7"/>
    </w:p>
    <w:p w14:paraId="6E1087B2" w14:textId="0F1E8398" w:rsidR="009F3023" w:rsidRPr="002F4E96" w:rsidRDefault="009F3023" w:rsidP="009F3023">
      <w:pPr>
        <w:spacing w:line="360" w:lineRule="auto"/>
        <w:jc w:val="both"/>
        <w:rPr>
          <w:rFonts w:ascii="Times New Roman" w:hAnsi="Times New Roman" w:cs="Times New Roman"/>
        </w:rPr>
      </w:pPr>
      <w:r w:rsidRPr="002F4E96">
        <w:rPr>
          <w:rFonts w:ascii="Times New Roman" w:hAnsi="Times New Roman" w:cs="Times New Roman"/>
        </w:rPr>
        <w:t xml:space="preserve">The lead-based solder is an alloy with high purity, low dross, liquidus </w:t>
      </w:r>
      <m:oMath>
        <m:r>
          <w:rPr>
            <w:rFonts w:ascii="Cambria Math" w:hAnsi="Cambria Math" w:cs="Times New Roman"/>
          </w:rPr>
          <m:t xml:space="preserve">183℃ </m:t>
        </m:r>
        <m:d>
          <m:dPr>
            <m:ctrlPr>
              <w:rPr>
                <w:rFonts w:ascii="Cambria Math" w:hAnsi="Cambria Math" w:cs="Times New Roman"/>
                <w:i/>
              </w:rPr>
            </m:ctrlPr>
          </m:dPr>
          <m:e>
            <m:r>
              <w:rPr>
                <w:rFonts w:ascii="Cambria Math" w:hAnsi="Cambria Math" w:cs="Times New Roman"/>
              </w:rPr>
              <m:t>361℉</m:t>
            </m:r>
          </m:e>
        </m:d>
      </m:oMath>
      <w:r w:rsidRPr="002F4E96">
        <w:rPr>
          <w:rFonts w:ascii="Times New Roman" w:hAnsi="Times New Roman" w:cs="Times New Roman"/>
        </w:rPr>
        <w:t>, and complies with IPC J-STD-006. The solidus temperature is measure as a point below which the alloy is solid (not melted). On the other hand, the liquidus temperature is the point above which the alloy is completely liquid (melted). The mechanical and physical properties of eutectic Sn63Pb37 is shown in Table I. The solder is corrosion resistant with excellent electrical property. They additionally produce solder joints with higher mechanical strength fit for electronic devices. The solder tends to have a shiny and bright feature correlated to the SAC solder joints with a  grainy and dull look.</w:t>
      </w:r>
    </w:p>
    <w:p w14:paraId="263B8AB6" w14:textId="21F1E829" w:rsidR="00D843E6" w:rsidRPr="002F4E96" w:rsidRDefault="00D843E6" w:rsidP="000D7411">
      <w:pPr>
        <w:pStyle w:val="Heading3"/>
        <w:spacing w:line="360" w:lineRule="auto"/>
        <w:rPr>
          <w:rFonts w:ascii="Times New Roman" w:hAnsi="Times New Roman" w:cs="Times New Roman"/>
          <w:color w:val="auto"/>
          <w:sz w:val="22"/>
          <w:szCs w:val="22"/>
        </w:rPr>
      </w:pPr>
      <w:bookmarkStart w:id="8" w:name="_Toc45028945"/>
      <w:r w:rsidRPr="002F4E96">
        <w:rPr>
          <w:rFonts w:ascii="Times New Roman" w:hAnsi="Times New Roman" w:cs="Times New Roman"/>
          <w:color w:val="auto"/>
          <w:sz w:val="22"/>
          <w:szCs w:val="22"/>
        </w:rPr>
        <w:t>2.1.2 Sn96.5Ag3.0Cu0.5  (SAC305)</w:t>
      </w:r>
      <w:bookmarkEnd w:id="8"/>
    </w:p>
    <w:p w14:paraId="3213E4BD" w14:textId="77777777" w:rsidR="009F3023" w:rsidRPr="002F4E96" w:rsidRDefault="009F3023" w:rsidP="009F3023">
      <w:pPr>
        <w:spacing w:line="360" w:lineRule="auto"/>
        <w:jc w:val="both"/>
        <w:rPr>
          <w:rFonts w:ascii="Times New Roman" w:hAnsi="Times New Roman" w:cs="Times New Roman"/>
        </w:rPr>
      </w:pPr>
      <w:r w:rsidRPr="002F4E96">
        <w:rPr>
          <w:rFonts w:ascii="Times New Roman" w:hAnsi="Times New Roman" w:cs="Times New Roman"/>
        </w:rPr>
        <w:t>The lead-free SAC305 solder alloy contains 96.5% tin, 3.0% silver, and 0.5% copper. This solder falls under the Japan Electronics Industries Development Association (JEIDA) advice for lead-free soldering. The SAC305 solder alloy has several advantages:</w:t>
      </w:r>
    </w:p>
    <w:p w14:paraId="403AF868" w14:textId="77777777" w:rsidR="009F3023" w:rsidRPr="002F4E96" w:rsidRDefault="009F3023" w:rsidP="009F3023">
      <w:pPr>
        <w:pStyle w:val="ListParagraph"/>
        <w:numPr>
          <w:ilvl w:val="0"/>
          <w:numId w:val="42"/>
        </w:numPr>
        <w:spacing w:line="360" w:lineRule="auto"/>
        <w:jc w:val="both"/>
        <w:rPr>
          <w:rFonts w:ascii="Times New Roman" w:hAnsi="Times New Roman" w:cs="Times New Roman"/>
        </w:rPr>
      </w:pPr>
      <w:r w:rsidRPr="002F4E96">
        <w:rPr>
          <w:rFonts w:ascii="Times New Roman" w:hAnsi="Times New Roman" w:cs="Times New Roman"/>
        </w:rPr>
        <w:t>Excellent fatigue resistance</w:t>
      </w:r>
    </w:p>
    <w:p w14:paraId="31588E24" w14:textId="77777777" w:rsidR="009F3023" w:rsidRPr="002F4E96" w:rsidRDefault="009F3023" w:rsidP="009F3023">
      <w:pPr>
        <w:pStyle w:val="ListParagraph"/>
        <w:numPr>
          <w:ilvl w:val="0"/>
          <w:numId w:val="42"/>
        </w:numPr>
        <w:spacing w:line="360" w:lineRule="auto"/>
        <w:jc w:val="both"/>
        <w:rPr>
          <w:rFonts w:ascii="Times New Roman" w:hAnsi="Times New Roman" w:cs="Times New Roman"/>
        </w:rPr>
      </w:pPr>
      <w:r w:rsidRPr="002F4E96">
        <w:rPr>
          <w:rFonts w:ascii="Times New Roman" w:hAnsi="Times New Roman" w:cs="Times New Roman"/>
        </w:rPr>
        <w:t>Compatibility with all flux types</w:t>
      </w:r>
    </w:p>
    <w:p w14:paraId="2D51C52F" w14:textId="77777777" w:rsidR="009F3023" w:rsidRPr="002F4E96" w:rsidRDefault="009F3023" w:rsidP="009F3023">
      <w:pPr>
        <w:pStyle w:val="ListParagraph"/>
        <w:numPr>
          <w:ilvl w:val="0"/>
          <w:numId w:val="42"/>
        </w:numPr>
        <w:spacing w:line="360" w:lineRule="auto"/>
        <w:jc w:val="both"/>
        <w:rPr>
          <w:rFonts w:ascii="Times New Roman" w:hAnsi="Times New Roman" w:cs="Times New Roman"/>
        </w:rPr>
      </w:pPr>
      <w:r w:rsidRPr="002F4E96">
        <w:rPr>
          <w:rFonts w:ascii="Times New Roman" w:hAnsi="Times New Roman" w:cs="Times New Roman"/>
        </w:rPr>
        <w:t>Excellent solder joint reliability</w:t>
      </w:r>
    </w:p>
    <w:p w14:paraId="35066834" w14:textId="77777777" w:rsidR="009F3023" w:rsidRPr="002F4E96" w:rsidRDefault="009F3023" w:rsidP="009F3023">
      <w:pPr>
        <w:pStyle w:val="ListParagraph"/>
        <w:numPr>
          <w:ilvl w:val="0"/>
          <w:numId w:val="42"/>
        </w:numPr>
        <w:spacing w:line="360" w:lineRule="auto"/>
        <w:jc w:val="both"/>
        <w:rPr>
          <w:rFonts w:ascii="Times New Roman" w:hAnsi="Times New Roman" w:cs="Times New Roman"/>
        </w:rPr>
      </w:pPr>
      <w:r w:rsidRPr="002F4E96">
        <w:rPr>
          <w:rFonts w:ascii="Times New Roman" w:hAnsi="Times New Roman" w:cs="Times New Roman"/>
        </w:rPr>
        <w:t>The lowest cost of SnAgCu alloy</w:t>
      </w:r>
    </w:p>
    <w:p w14:paraId="51D85B58" w14:textId="77777777" w:rsidR="009F3023" w:rsidRPr="002F4E96" w:rsidRDefault="009F3023" w:rsidP="009F3023">
      <w:pPr>
        <w:pStyle w:val="ListParagraph"/>
        <w:numPr>
          <w:ilvl w:val="0"/>
          <w:numId w:val="42"/>
        </w:numPr>
        <w:spacing w:line="360" w:lineRule="auto"/>
        <w:jc w:val="both"/>
        <w:rPr>
          <w:rFonts w:ascii="Times New Roman" w:hAnsi="Times New Roman" w:cs="Times New Roman"/>
        </w:rPr>
      </w:pPr>
      <w:r w:rsidRPr="002F4E96">
        <w:rPr>
          <w:rFonts w:ascii="Times New Roman" w:hAnsi="Times New Roman" w:cs="Times New Roman"/>
        </w:rPr>
        <w:t>The best wetting SAC alloy</w:t>
      </w:r>
    </w:p>
    <w:p w14:paraId="586420E5" w14:textId="7435319B" w:rsidR="009F3023" w:rsidRPr="002F4E96" w:rsidRDefault="009F3023" w:rsidP="009F3023">
      <w:pPr>
        <w:spacing w:line="360" w:lineRule="auto"/>
        <w:jc w:val="both"/>
        <w:rPr>
          <w:rFonts w:ascii="Times New Roman" w:hAnsi="Times New Roman" w:cs="Times New Roman"/>
        </w:rPr>
      </w:pPr>
      <w:r w:rsidRPr="002F4E96">
        <w:rPr>
          <w:rFonts w:ascii="Times New Roman" w:hAnsi="Times New Roman" w:cs="Times New Roman"/>
        </w:rPr>
        <w:t>The mechanical and physical properties of SAC305 is shown in Table I.</w:t>
      </w:r>
    </w:p>
    <w:p w14:paraId="10CC177D" w14:textId="0891C09F" w:rsidR="00D843E6" w:rsidRPr="002F4E96" w:rsidRDefault="00D843E6" w:rsidP="000D7411">
      <w:pPr>
        <w:pStyle w:val="Heading3"/>
        <w:spacing w:line="360" w:lineRule="auto"/>
        <w:rPr>
          <w:rFonts w:ascii="Times New Roman" w:hAnsi="Times New Roman" w:cs="Times New Roman"/>
          <w:color w:val="auto"/>
          <w:sz w:val="22"/>
          <w:szCs w:val="22"/>
        </w:rPr>
      </w:pPr>
      <w:bookmarkStart w:id="9" w:name="_Toc45028947"/>
      <w:r w:rsidRPr="002F4E96">
        <w:rPr>
          <w:rFonts w:ascii="Times New Roman" w:hAnsi="Times New Roman" w:cs="Times New Roman"/>
          <w:color w:val="auto"/>
          <w:sz w:val="22"/>
          <w:szCs w:val="22"/>
        </w:rPr>
        <w:t>2.1.</w:t>
      </w:r>
      <w:r w:rsidR="000F1216" w:rsidRPr="002F4E96">
        <w:rPr>
          <w:rFonts w:ascii="Times New Roman" w:hAnsi="Times New Roman" w:cs="Times New Roman"/>
          <w:color w:val="auto"/>
          <w:sz w:val="22"/>
          <w:szCs w:val="22"/>
        </w:rPr>
        <w:t>3</w:t>
      </w:r>
      <w:r w:rsidRPr="002F4E96">
        <w:rPr>
          <w:rFonts w:ascii="Times New Roman" w:hAnsi="Times New Roman" w:cs="Times New Roman"/>
          <w:color w:val="auto"/>
          <w:sz w:val="22"/>
          <w:szCs w:val="22"/>
        </w:rPr>
        <w:t xml:space="preserve"> Sn96.5Ag3.8Cu0.7  (SAC387)</w:t>
      </w:r>
      <w:bookmarkEnd w:id="9"/>
    </w:p>
    <w:p w14:paraId="59251570" w14:textId="77777777" w:rsidR="003275E5" w:rsidRPr="002F4E96" w:rsidRDefault="003275E5" w:rsidP="003275E5">
      <w:pPr>
        <w:spacing w:after="0" w:line="360" w:lineRule="auto"/>
        <w:jc w:val="both"/>
        <w:rPr>
          <w:rFonts w:ascii="Times New Roman" w:eastAsia="Times New Roman" w:hAnsi="Times New Roman" w:cs="Times New Roman"/>
          <w:color w:val="0E101A"/>
          <w:lang w:eastAsia="en-GB"/>
        </w:rPr>
      </w:pPr>
      <w:bookmarkStart w:id="10" w:name="_Toc45028948"/>
      <w:r w:rsidRPr="002F4E96">
        <w:rPr>
          <w:rFonts w:ascii="Times New Roman" w:eastAsia="Times New Roman" w:hAnsi="Times New Roman" w:cs="Times New Roman"/>
          <w:color w:val="0E101A"/>
          <w:lang w:eastAsia="en-GB"/>
        </w:rPr>
        <w:t>The lead-free SAC387 solder alloy contains 95.5% Tin (Sn), 3.8% Silver (Ag) and 0.7% Copper (Cu), which is an alloy material for BGA and CSP electronics components used in the electronics and electrical manufacturing companies. The SAC387 features include:</w:t>
      </w:r>
    </w:p>
    <w:p w14:paraId="7EB4459F" w14:textId="77777777" w:rsidR="003275E5" w:rsidRPr="002F4E96" w:rsidRDefault="003275E5" w:rsidP="003275E5">
      <w:pPr>
        <w:numPr>
          <w:ilvl w:val="0"/>
          <w:numId w:val="43"/>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Excellence resistance.</w:t>
      </w:r>
    </w:p>
    <w:p w14:paraId="64DFE017" w14:textId="77777777" w:rsidR="003275E5" w:rsidRPr="002F4E96" w:rsidRDefault="003275E5" w:rsidP="003275E5">
      <w:pPr>
        <w:numPr>
          <w:ilvl w:val="0"/>
          <w:numId w:val="43"/>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Excellent solder joint reliability.</w:t>
      </w:r>
    </w:p>
    <w:p w14:paraId="7D178AA7" w14:textId="03D6E799" w:rsidR="003275E5" w:rsidRPr="002F4E96" w:rsidRDefault="003275E5" w:rsidP="008417F9">
      <w:pPr>
        <w:numPr>
          <w:ilvl w:val="0"/>
          <w:numId w:val="43"/>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The low melting point for a lead-free alloy</w:t>
      </w:r>
      <w:r w:rsidR="008417F9" w:rsidRPr="002F4E96">
        <w:rPr>
          <w:rFonts w:ascii="Times New Roman" w:eastAsia="Times New Roman" w:hAnsi="Times New Roman" w:cs="Times New Roman"/>
          <w:color w:val="0E101A"/>
          <w:lang w:eastAsia="en-GB"/>
        </w:rPr>
        <w:t xml:space="preserve"> and compatible with</w:t>
      </w:r>
      <w:r w:rsidRPr="002F4E96">
        <w:rPr>
          <w:rFonts w:ascii="Times New Roman" w:eastAsia="Times New Roman" w:hAnsi="Times New Roman" w:cs="Times New Roman"/>
          <w:color w:val="0E101A"/>
          <w:lang w:eastAsia="en-GB"/>
        </w:rPr>
        <w:t xml:space="preserve"> most flux type.</w:t>
      </w:r>
    </w:p>
    <w:p w14:paraId="0B2F232E" w14:textId="77777777" w:rsidR="003275E5" w:rsidRPr="002F4E96" w:rsidRDefault="003275E5" w:rsidP="003275E5">
      <w:p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The physical and mechanical properties of SAC387 is presented in Table I.</w:t>
      </w:r>
    </w:p>
    <w:p w14:paraId="58B5787D" w14:textId="40BE9229" w:rsidR="00D843E6" w:rsidRPr="002F4E96" w:rsidRDefault="00D843E6" w:rsidP="000D7411">
      <w:pPr>
        <w:pStyle w:val="Heading3"/>
        <w:spacing w:line="360" w:lineRule="auto"/>
        <w:jc w:val="both"/>
        <w:rPr>
          <w:rFonts w:ascii="Times New Roman" w:hAnsi="Times New Roman" w:cs="Times New Roman"/>
          <w:color w:val="auto"/>
          <w:sz w:val="22"/>
          <w:szCs w:val="22"/>
        </w:rPr>
      </w:pPr>
      <w:r w:rsidRPr="002F4E96">
        <w:rPr>
          <w:rFonts w:ascii="Times New Roman" w:hAnsi="Times New Roman" w:cs="Times New Roman"/>
          <w:color w:val="auto"/>
          <w:sz w:val="22"/>
          <w:szCs w:val="22"/>
        </w:rPr>
        <w:lastRenderedPageBreak/>
        <w:t>2.1.</w:t>
      </w:r>
      <w:r w:rsidR="000F1216" w:rsidRPr="002F4E96">
        <w:rPr>
          <w:rFonts w:ascii="Times New Roman" w:hAnsi="Times New Roman" w:cs="Times New Roman"/>
          <w:color w:val="auto"/>
          <w:sz w:val="22"/>
          <w:szCs w:val="22"/>
        </w:rPr>
        <w:t>4</w:t>
      </w:r>
      <w:r w:rsidRPr="002F4E96">
        <w:rPr>
          <w:rFonts w:ascii="Times New Roman" w:hAnsi="Times New Roman" w:cs="Times New Roman"/>
          <w:color w:val="auto"/>
          <w:sz w:val="22"/>
          <w:szCs w:val="22"/>
        </w:rPr>
        <w:t xml:space="preserve"> Sn96.5Ag3.9Cu0.6  (SAC396)</w:t>
      </w:r>
      <w:bookmarkEnd w:id="10"/>
    </w:p>
    <w:p w14:paraId="124B4965" w14:textId="244EC4CB" w:rsidR="008417F9" w:rsidRPr="002F4E96" w:rsidRDefault="008417F9" w:rsidP="008417F9">
      <w:pPr>
        <w:spacing w:after="0" w:line="360" w:lineRule="auto"/>
        <w:jc w:val="both"/>
        <w:rPr>
          <w:rFonts w:ascii="Times New Roman" w:eastAsia="Times New Roman" w:hAnsi="Times New Roman" w:cs="Times New Roman"/>
          <w:color w:val="0E101A"/>
          <w:lang w:eastAsia="en-GB"/>
        </w:rPr>
      </w:pPr>
      <w:bookmarkStart w:id="11" w:name="_Toc45028946"/>
      <w:r w:rsidRPr="002F4E96">
        <w:rPr>
          <w:rFonts w:ascii="Times New Roman" w:eastAsia="Times New Roman" w:hAnsi="Times New Roman" w:cs="Times New Roman"/>
          <w:color w:val="0E101A"/>
          <w:lang w:eastAsia="en-GB"/>
        </w:rPr>
        <w:t>The lead-free SAC396 solder alloy contains 95.5% Tin (Sn), 3.9% Silver (Ag), and 0.6% Copper (Cu), and it is often written as Sn95.5Ag3.9Cu0.6 solder. According to industry-standard (the first being SAC405), the alloy contains the second-highest silver (Ag) and used by manufacturing companies working with PBGA, LBGA, CSP, BGA</w:t>
      </w:r>
      <w:r w:rsidR="00541376" w:rsidRPr="002F4E96">
        <w:rPr>
          <w:rFonts w:ascii="Times New Roman" w:eastAsia="Times New Roman" w:hAnsi="Times New Roman" w:cs="Times New Roman"/>
          <w:color w:val="0E101A"/>
          <w:lang w:eastAsia="en-GB"/>
        </w:rPr>
        <w:t>,</w:t>
      </w:r>
      <w:r w:rsidRPr="002F4E96">
        <w:rPr>
          <w:rFonts w:ascii="Times New Roman" w:eastAsia="Times New Roman" w:hAnsi="Times New Roman" w:cs="Times New Roman"/>
          <w:color w:val="0E101A"/>
          <w:lang w:eastAsia="en-GB"/>
        </w:rPr>
        <w:t xml:space="preserve"> </w:t>
      </w:r>
      <w:r w:rsidR="00541376" w:rsidRPr="002F4E96">
        <w:rPr>
          <w:rFonts w:ascii="Times New Roman" w:eastAsia="Times New Roman" w:hAnsi="Times New Roman" w:cs="Times New Roman"/>
          <w:color w:val="0E101A"/>
          <w:lang w:eastAsia="en-GB"/>
        </w:rPr>
        <w:t xml:space="preserve">and </w:t>
      </w:r>
      <w:r w:rsidRPr="002F4E96">
        <w:rPr>
          <w:rFonts w:ascii="Times New Roman" w:eastAsia="Times New Roman" w:hAnsi="Times New Roman" w:cs="Times New Roman"/>
          <w:color w:val="0E101A"/>
          <w:lang w:eastAsia="en-GB"/>
        </w:rPr>
        <w:t>CBGA electronic components. It has the following features:</w:t>
      </w:r>
    </w:p>
    <w:p w14:paraId="6D4B6E7F" w14:textId="77777777" w:rsidR="008417F9" w:rsidRPr="002F4E96" w:rsidRDefault="008417F9" w:rsidP="008417F9">
      <w:pPr>
        <w:numPr>
          <w:ilvl w:val="0"/>
          <w:numId w:val="44"/>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Excellent fatigue resistance</w:t>
      </w:r>
    </w:p>
    <w:p w14:paraId="01DAF0EE" w14:textId="77777777" w:rsidR="008417F9" w:rsidRPr="002F4E96" w:rsidRDefault="008417F9" w:rsidP="008417F9">
      <w:pPr>
        <w:numPr>
          <w:ilvl w:val="0"/>
          <w:numId w:val="44"/>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Perfect solder joint reliability</w:t>
      </w:r>
    </w:p>
    <w:p w14:paraId="4759986D" w14:textId="77777777" w:rsidR="008417F9" w:rsidRPr="002F4E96" w:rsidRDefault="008417F9" w:rsidP="008417F9">
      <w:pPr>
        <w:numPr>
          <w:ilvl w:val="0"/>
          <w:numId w:val="44"/>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Best wetting SAC alloy and compatibility with all flux types</w:t>
      </w:r>
    </w:p>
    <w:p w14:paraId="53396FC1" w14:textId="77777777" w:rsidR="008417F9" w:rsidRPr="002F4E96" w:rsidRDefault="008417F9" w:rsidP="008417F9">
      <w:pPr>
        <w:spacing w:after="0" w:line="360" w:lineRule="auto"/>
        <w:jc w:val="both"/>
        <w:rPr>
          <w:rFonts w:ascii="Times New Roman" w:eastAsia="Times New Roman" w:hAnsi="Times New Roman" w:cs="Times New Roman"/>
          <w:color w:val="0E101A"/>
          <w:sz w:val="24"/>
          <w:szCs w:val="24"/>
          <w:lang w:eastAsia="en-GB"/>
        </w:rPr>
      </w:pPr>
      <w:r w:rsidRPr="002F4E96">
        <w:rPr>
          <w:rFonts w:ascii="Times New Roman" w:eastAsia="Times New Roman" w:hAnsi="Times New Roman" w:cs="Times New Roman"/>
          <w:color w:val="0E101A"/>
          <w:lang w:eastAsia="en-GB"/>
        </w:rPr>
        <w:t>Table I shows the physical and mechanical properties of SAC4396</w:t>
      </w:r>
      <w:r w:rsidRPr="002F4E96">
        <w:rPr>
          <w:rFonts w:ascii="Times New Roman" w:eastAsia="Times New Roman" w:hAnsi="Times New Roman" w:cs="Times New Roman"/>
          <w:color w:val="0E101A"/>
          <w:sz w:val="24"/>
          <w:szCs w:val="24"/>
          <w:lang w:eastAsia="en-GB"/>
        </w:rPr>
        <w:t>.</w:t>
      </w:r>
    </w:p>
    <w:p w14:paraId="59B50568" w14:textId="54D0D7A4" w:rsidR="000F1216" w:rsidRPr="002F4E96" w:rsidRDefault="000F1216"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t>2.1.5 Sn95.5Ag4.0Cu0.5  (SAC405)</w:t>
      </w:r>
      <w:bookmarkEnd w:id="11"/>
    </w:p>
    <w:p w14:paraId="6AED9035" w14:textId="145CE437" w:rsidR="009F2A93" w:rsidRPr="002F4E96" w:rsidRDefault="009F2A93" w:rsidP="009F2A93">
      <w:pPr>
        <w:spacing w:line="360" w:lineRule="auto"/>
        <w:jc w:val="both"/>
        <w:rPr>
          <w:rFonts w:ascii="Times New Roman" w:hAnsi="Times New Roman" w:cs="Times New Roman"/>
        </w:rPr>
      </w:pPr>
      <w:r w:rsidRPr="002F4E96">
        <w:rPr>
          <w:rFonts w:ascii="Times New Roman" w:hAnsi="Times New Roman" w:cs="Times New Roman"/>
        </w:rPr>
        <w:t>The lead-free SAC405 solder alloy contains 95.5% Tin (Sn), 4.0% Silver (Ag) and 0.5% Copper (Cu) is usually inscribed as Sn95.5Ag4.0Cu0.5. The SAC405 solder is costlier than SAC305 and used by most electronics manufacturing companies working with the BGA, PBGA, CBGA, LBGA and CSP. Its characteristics include compatibility with all flux types, best solder joint reliability, best wetting SAC alloy and superior fatigue resistance. Presented in Table I is the physical and mechanical properties of the SAC405 solder alloy.</w:t>
      </w:r>
    </w:p>
    <w:p w14:paraId="51F54173" w14:textId="4544B0ED" w:rsidR="00D843E6" w:rsidRPr="002F4E96" w:rsidRDefault="00D843E6" w:rsidP="000D7411">
      <w:pPr>
        <w:pStyle w:val="Heading3"/>
        <w:spacing w:line="360" w:lineRule="auto"/>
        <w:rPr>
          <w:rFonts w:ascii="Times New Roman" w:hAnsi="Times New Roman" w:cs="Times New Roman"/>
          <w:color w:val="auto"/>
          <w:sz w:val="22"/>
          <w:szCs w:val="22"/>
        </w:rPr>
      </w:pPr>
      <w:bookmarkStart w:id="12" w:name="_Toc45028949"/>
      <w:r w:rsidRPr="002F4E96">
        <w:rPr>
          <w:rFonts w:ascii="Times New Roman" w:hAnsi="Times New Roman" w:cs="Times New Roman"/>
          <w:color w:val="auto"/>
          <w:sz w:val="22"/>
          <w:szCs w:val="22"/>
        </w:rPr>
        <w:t>2.1.6 Copper (Cu) Pads</w:t>
      </w:r>
      <w:bookmarkEnd w:id="12"/>
    </w:p>
    <w:p w14:paraId="4F9C0BAC" w14:textId="77777777" w:rsidR="009F2A93" w:rsidRPr="002F4E96" w:rsidRDefault="009F2A93" w:rsidP="009F2A93">
      <w:p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Two generally used pad designs are solder mask and copper defined pad. Nonetheless, numerous benefits and limitations of a non-solder mask defined pad and the soldermask defined pad are presented in this section. The benefits of the copper-defined pad are:</w:t>
      </w:r>
    </w:p>
    <w:p w14:paraId="3078A94A" w14:textId="77777777" w:rsidR="009F2A93" w:rsidRPr="002F4E96" w:rsidRDefault="009F2A93" w:rsidP="009F2A93">
      <w:pPr>
        <w:numPr>
          <w:ilvl w:val="0"/>
          <w:numId w:val="45"/>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More accessible design traces.</w:t>
      </w:r>
    </w:p>
    <w:p w14:paraId="200353A0" w14:textId="77777777" w:rsidR="009F2A93" w:rsidRPr="002F4E96" w:rsidRDefault="009F2A93" w:rsidP="009F2A93">
      <w:pPr>
        <w:numPr>
          <w:ilvl w:val="0"/>
          <w:numId w:val="45"/>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Very good solderability.</w:t>
      </w:r>
    </w:p>
    <w:p w14:paraId="3AABEF80" w14:textId="77777777" w:rsidR="009F2A93" w:rsidRPr="002F4E96" w:rsidRDefault="009F2A93" w:rsidP="009F2A93">
      <w:pPr>
        <w:numPr>
          <w:ilvl w:val="0"/>
          <w:numId w:val="45"/>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The possibility of precisely controlling the pad's position and size.</w:t>
      </w:r>
    </w:p>
    <w:p w14:paraId="75674990" w14:textId="469A6FB9" w:rsidR="008420BA" w:rsidRPr="002F4E96" w:rsidRDefault="009F2A93" w:rsidP="009F2A93">
      <w:p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 xml:space="preserve">The limitations include the </w:t>
      </w:r>
      <w:r w:rsidR="00541376" w:rsidRPr="002F4E96">
        <w:rPr>
          <w:rFonts w:ascii="Times New Roman" w:eastAsia="Times New Roman" w:hAnsi="Times New Roman" w:cs="Times New Roman"/>
          <w:color w:val="0E101A"/>
          <w:lang w:eastAsia="en-GB"/>
        </w:rPr>
        <w:t>pad's miniature natures</w:t>
      </w:r>
      <w:r w:rsidRPr="002F4E96">
        <w:rPr>
          <w:rFonts w:ascii="Times New Roman" w:eastAsia="Times New Roman" w:hAnsi="Times New Roman" w:cs="Times New Roman"/>
          <w:color w:val="0E101A"/>
          <w:lang w:eastAsia="en-GB"/>
        </w:rPr>
        <w:t>, the padding strength of the pad attached to the circuit board is relatively small, and copper foil can be torn due to external forces. For the soldermask defined pad (SMD), the benefits include an excellent choice for portable electronic devices such as mobile phones, enhances the reliability and strength of BGA, and the pads effectively improving the power of the SMD pads. On the other hand, the SMD pads have several disadvantages: the fabrication process is more complex and needs high precision, thereby raising production costs.</w:t>
      </w:r>
    </w:p>
    <w:p w14:paraId="59943CD7" w14:textId="3BF52699" w:rsidR="00D843E6" w:rsidRPr="002F4E96" w:rsidRDefault="00D843E6" w:rsidP="009F2A93">
      <w:pPr>
        <w:pStyle w:val="Heading3"/>
        <w:spacing w:line="360" w:lineRule="auto"/>
        <w:jc w:val="both"/>
        <w:rPr>
          <w:rFonts w:ascii="Times New Roman" w:hAnsi="Times New Roman" w:cs="Times New Roman"/>
          <w:color w:val="auto"/>
          <w:sz w:val="22"/>
          <w:szCs w:val="22"/>
        </w:rPr>
      </w:pPr>
      <w:bookmarkStart w:id="13" w:name="_Toc45028950"/>
      <w:r w:rsidRPr="002F4E96">
        <w:rPr>
          <w:rFonts w:ascii="Times New Roman" w:hAnsi="Times New Roman" w:cs="Times New Roman"/>
          <w:color w:val="auto"/>
          <w:sz w:val="22"/>
          <w:szCs w:val="22"/>
        </w:rPr>
        <w:t>2.1.7 Epoxy-Resin</w:t>
      </w:r>
      <w:bookmarkEnd w:id="13"/>
    </w:p>
    <w:p w14:paraId="05521EC3" w14:textId="6F3B20BF" w:rsidR="009F2A93" w:rsidRPr="002F4E96" w:rsidRDefault="009F2A93" w:rsidP="009F2A93">
      <w:pPr>
        <w:spacing w:line="360" w:lineRule="auto"/>
        <w:jc w:val="both"/>
        <w:rPr>
          <w:rFonts w:ascii="Times New Roman" w:hAnsi="Times New Roman" w:cs="Times New Roman"/>
        </w:rPr>
      </w:pPr>
      <w:r w:rsidRPr="002F4E96">
        <w:rPr>
          <w:rFonts w:ascii="Times New Roman" w:hAnsi="Times New Roman" w:cs="Times New Roman"/>
        </w:rPr>
        <w:t>The use of epoxy-resin in the solder joints helps improve the solder joints' adhesion adding to enhanced insulation and support the strength. Epoxy-resin is simple with high reliability in the chip or package bonding and a lower material cost. They have been broadly employed as a competing bonding solder joint material and profoundly used in electronic packages and automotive cars.</w:t>
      </w:r>
    </w:p>
    <w:p w14:paraId="35FF6BE3" w14:textId="6408A8AC" w:rsidR="00D843E6" w:rsidRPr="002F4E96" w:rsidRDefault="00D843E6" w:rsidP="000D7411">
      <w:pPr>
        <w:pStyle w:val="Heading3"/>
        <w:spacing w:line="360" w:lineRule="auto"/>
        <w:rPr>
          <w:rFonts w:ascii="Times New Roman" w:hAnsi="Times New Roman" w:cs="Times New Roman"/>
          <w:color w:val="auto"/>
          <w:sz w:val="22"/>
          <w:szCs w:val="22"/>
        </w:rPr>
      </w:pPr>
      <w:bookmarkStart w:id="14" w:name="_Toc45028951"/>
      <w:r w:rsidRPr="002F4E96">
        <w:rPr>
          <w:rFonts w:ascii="Times New Roman" w:hAnsi="Times New Roman" w:cs="Times New Roman"/>
          <w:color w:val="auto"/>
          <w:sz w:val="22"/>
          <w:szCs w:val="22"/>
        </w:rPr>
        <w:lastRenderedPageBreak/>
        <w:t>2.1.8 Silicon (Si) Die</w:t>
      </w:r>
      <w:bookmarkEnd w:id="14"/>
    </w:p>
    <w:p w14:paraId="3B3BC83E" w14:textId="40E3C247" w:rsidR="00846C3B" w:rsidRPr="002F4E96" w:rsidRDefault="00846C3B" w:rsidP="00846C3B">
      <w:pPr>
        <w:spacing w:line="360" w:lineRule="auto"/>
        <w:jc w:val="both"/>
        <w:rPr>
          <w:rFonts w:ascii="Times New Roman" w:hAnsi="Times New Roman" w:cs="Times New Roman"/>
        </w:rPr>
      </w:pPr>
      <w:r w:rsidRPr="002F4E96">
        <w:rPr>
          <w:rFonts w:ascii="Times New Roman" w:hAnsi="Times New Roman" w:cs="Times New Roman"/>
        </w:rPr>
        <w:t xml:space="preserve">A die is a semiconducting material on which a circuit is manufactured. The </w:t>
      </w:r>
      <w:r w:rsidR="00541376" w:rsidRPr="002F4E96">
        <w:rPr>
          <w:rFonts w:ascii="Times New Roman" w:hAnsi="Times New Roman" w:cs="Times New Roman"/>
        </w:rPr>
        <w:t>Silicon</w:t>
      </w:r>
      <w:r w:rsidRPr="002F4E96">
        <w:rPr>
          <w:rFonts w:ascii="Times New Roman" w:hAnsi="Times New Roman" w:cs="Times New Roman"/>
        </w:rPr>
        <w:t xml:space="preserve"> dies circuitry performs a specific function necessary for the manufacturing semiconductors found in several electronic devices and is fully functional.</w:t>
      </w:r>
    </w:p>
    <w:p w14:paraId="5951B134" w14:textId="347A4BD2" w:rsidR="00261D43" w:rsidRPr="002F4E96" w:rsidRDefault="00261D43" w:rsidP="00261D43">
      <w:pPr>
        <w:pStyle w:val="Caption"/>
        <w:rPr>
          <w:rFonts w:ascii="Times New Roman" w:hAnsi="Times New Roman" w:cs="Times New Roman"/>
          <w:b w:val="0"/>
          <w:bCs w:val="0"/>
          <w:color w:val="auto"/>
          <w:sz w:val="22"/>
          <w:szCs w:val="22"/>
        </w:rPr>
      </w:pPr>
      <w:bookmarkStart w:id="15" w:name="_Toc42800520"/>
      <w:r w:rsidRPr="002F4E96">
        <w:rPr>
          <w:rFonts w:ascii="Times New Roman" w:hAnsi="Times New Roman" w:cs="Times New Roman"/>
          <w:b w:val="0"/>
          <w:bCs w:val="0"/>
          <w:color w:val="auto"/>
          <w:sz w:val="22"/>
          <w:szCs w:val="22"/>
        </w:rPr>
        <w:t xml:space="preserve">Table </w:t>
      </w:r>
      <w:r w:rsidR="00C46D3B" w:rsidRPr="002F4E96">
        <w:rPr>
          <w:rFonts w:ascii="Times New Roman" w:hAnsi="Times New Roman" w:cs="Times New Roman"/>
          <w:b w:val="0"/>
          <w:bCs w:val="0"/>
          <w:color w:val="auto"/>
          <w:sz w:val="22"/>
          <w:szCs w:val="22"/>
        </w:rPr>
        <w:t>I</w:t>
      </w:r>
      <w:r w:rsidRPr="002F4E96">
        <w:rPr>
          <w:rFonts w:ascii="Times New Roman" w:hAnsi="Times New Roman" w:cs="Times New Roman"/>
          <w:b w:val="0"/>
          <w:bCs w:val="0"/>
          <w:color w:val="auto"/>
          <w:sz w:val="22"/>
          <w:szCs w:val="22"/>
        </w:rPr>
        <w:t xml:space="preserve">: Physical and Mechanical Properties of Solder Alloys </w:t>
      </w:r>
      <w:r w:rsidRPr="002F4E96">
        <w:rPr>
          <w:rFonts w:ascii="Times New Roman" w:hAnsi="Times New Roman" w:cs="Times New Roman"/>
          <w:b w:val="0"/>
          <w:bCs w:val="0"/>
          <w:color w:val="auto"/>
          <w:sz w:val="22"/>
          <w:szCs w:val="22"/>
        </w:rPr>
        <w:fldChar w:fldCharType="begin" w:fldLock="1"/>
      </w:r>
      <w:r w:rsidR="007803A4" w:rsidRPr="002F4E96">
        <w:rPr>
          <w:rFonts w:ascii="Times New Roman" w:hAnsi="Times New Roman" w:cs="Times New Roman"/>
          <w:b w:val="0"/>
          <w:bCs w:val="0"/>
          <w:color w:val="auto"/>
          <w:sz w:val="22"/>
          <w:szCs w:val="22"/>
        </w:rPr>
        <w:instrText>ADDIN CSL_CITATION {"citationItems":[{"id":"ITEM-1","itemData":{"URL":"http://alasir.com/reference/solder_alloys/","accessed":{"date-parts":[["2020","4","30"]]},"author":[{"dropping-particle":"v.","family":"Bolotoff","given":"Paul","non-dropping-particle":"","parse-names":false,"suffix":""}],"container-title":"Alasir Enterprises, 1999-2019","id":"ITEM-1","issued":{"date-parts":[["2010"]]},"title":"Solder Alloys: Physical and Mechanical Properties","type":"webpage"},"uris":["http://www.mendeley.com/documents/?uuid=f09338cb-fc33-4736-913c-8ad050a00d4b"]},{"id":"ITEM-2","itemData":{"URL":"https://www.topline.tv/SMD_vrs_NSMD.html","accessed":{"date-parts":[["2019","2","20"]]},"author":[{"dropping-particle":"","family":"Topline","given":"","non-dropping-particle":"","parse-names":false,"suffix":""}],"id":"ITEM-2","issued":{"date-parts":[["2020"]]},"title":"BGA","type":"webpage"},"uris":["http://www.mendeley.com/documents/?uuid=06ddc150-5e07-4cec-8096-b21fc6c31235"]}],"mendeley":{"formattedCitation":"[61], [62]","plainTextFormattedCitation":"[61], [62]","previouslyFormattedCitation":"[61], [62]"},"properties":{"noteIndex":0},"schema":"https://github.com/citation-style-language/schema/raw/master/csl-citation.json"}</w:instrText>
      </w:r>
      <w:r w:rsidRPr="002F4E96">
        <w:rPr>
          <w:rFonts w:ascii="Times New Roman" w:hAnsi="Times New Roman" w:cs="Times New Roman"/>
          <w:b w:val="0"/>
          <w:bCs w:val="0"/>
          <w:color w:val="auto"/>
          <w:sz w:val="22"/>
          <w:szCs w:val="22"/>
        </w:rPr>
        <w:fldChar w:fldCharType="separate"/>
      </w:r>
      <w:bookmarkEnd w:id="15"/>
      <w:r w:rsidR="0039530C" w:rsidRPr="002F4E96">
        <w:rPr>
          <w:rFonts w:ascii="Times New Roman" w:hAnsi="Times New Roman" w:cs="Times New Roman"/>
          <w:b w:val="0"/>
          <w:bCs w:val="0"/>
          <w:noProof/>
          <w:color w:val="auto"/>
          <w:sz w:val="22"/>
          <w:szCs w:val="22"/>
        </w:rPr>
        <w:t>[61], [62]</w:t>
      </w:r>
      <w:r w:rsidRPr="002F4E96">
        <w:rPr>
          <w:rFonts w:ascii="Times New Roman" w:hAnsi="Times New Roman" w:cs="Times New Roman"/>
          <w:b w:val="0"/>
          <w:bCs w:val="0"/>
          <w:color w:val="auto"/>
          <w:sz w:val="22"/>
          <w:szCs w:val="22"/>
        </w:rPr>
        <w:fldChar w:fldCharType="end"/>
      </w:r>
    </w:p>
    <w:tbl>
      <w:tblPr>
        <w:tblStyle w:val="PlainTable21"/>
        <w:tblW w:w="10130" w:type="dxa"/>
        <w:jc w:val="center"/>
        <w:tblLook w:val="04A0" w:firstRow="1" w:lastRow="0" w:firstColumn="1" w:lastColumn="0" w:noHBand="0" w:noVBand="1"/>
      </w:tblPr>
      <w:tblGrid>
        <w:gridCol w:w="1158"/>
        <w:gridCol w:w="1807"/>
        <w:gridCol w:w="980"/>
        <w:gridCol w:w="1249"/>
        <w:gridCol w:w="1494"/>
        <w:gridCol w:w="1035"/>
        <w:gridCol w:w="1243"/>
        <w:gridCol w:w="1164"/>
      </w:tblGrid>
      <w:tr w:rsidR="00953D2E" w:rsidRPr="002F4E96" w14:paraId="6623CD01" w14:textId="77777777" w:rsidTr="0010425F">
        <w:trPr>
          <w:cnfStyle w:val="100000000000" w:firstRow="1" w:lastRow="0" w:firstColumn="0" w:lastColumn="0" w:oddVBand="0" w:evenVBand="0" w:oddHBand="0"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2E07F002" w14:textId="77777777" w:rsidR="00261D43" w:rsidRPr="002F4E96" w:rsidRDefault="00261D43" w:rsidP="008B2F16">
            <w:pPr>
              <w:pStyle w:val="NoSpacing"/>
              <w:jc w:val="center"/>
              <w:rPr>
                <w:rFonts w:ascii="Times New Roman" w:hAnsi="Times New Roman" w:cs="Times New Roman"/>
                <w:sz w:val="22"/>
                <w:szCs w:val="22"/>
              </w:rPr>
            </w:pPr>
            <w:r w:rsidRPr="002F4E96">
              <w:rPr>
                <w:rFonts w:ascii="Times New Roman" w:hAnsi="Times New Roman" w:cs="Times New Roman"/>
                <w:sz w:val="22"/>
                <w:szCs w:val="22"/>
              </w:rPr>
              <w:t>Solder Alloy</w:t>
            </w:r>
          </w:p>
        </w:tc>
        <w:tc>
          <w:tcPr>
            <w:tcW w:w="1807" w:type="dxa"/>
            <w:vAlign w:val="center"/>
          </w:tcPr>
          <w:p w14:paraId="018F4796"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 xml:space="preserve">Melting Point, </w:t>
            </w:r>
            <m:oMath>
              <m:r>
                <m:rPr>
                  <m:sty m:val="b"/>
                </m:rPr>
                <w:rPr>
                  <w:rFonts w:ascii="Cambria Math" w:hAnsi="Cambria Math" w:cs="Times New Roman"/>
                  <w:sz w:val="22"/>
                  <w:szCs w:val="22"/>
                </w:rPr>
                <m:t>℃</m:t>
              </m:r>
            </m:oMath>
            <w:r w:rsidRPr="002F4E96">
              <w:rPr>
                <w:rFonts w:ascii="Times New Roman" w:hAnsi="Times New Roman" w:cs="Times New Roman"/>
                <w:sz w:val="22"/>
                <w:szCs w:val="22"/>
              </w:rPr>
              <w:t xml:space="preserve"> Solidus/Liquidus</w:t>
            </w:r>
          </w:p>
        </w:tc>
        <w:tc>
          <w:tcPr>
            <w:tcW w:w="980" w:type="dxa"/>
            <w:vAlign w:val="center"/>
          </w:tcPr>
          <w:p w14:paraId="70B9E436"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 xml:space="preserve">Density, </w:t>
            </w:r>
            <m:oMath>
              <m:f>
                <m:fPr>
                  <m:type m:val="lin"/>
                  <m:ctrlPr>
                    <w:rPr>
                      <w:rFonts w:ascii="Cambria Math" w:hAnsi="Cambria Math" w:cs="Times New Roman"/>
                      <w:sz w:val="22"/>
                      <w:szCs w:val="22"/>
                    </w:rPr>
                  </m:ctrlPr>
                </m:fPr>
                <m:num>
                  <m:r>
                    <m:rPr>
                      <m:sty m:val="b"/>
                    </m:rPr>
                    <w:rPr>
                      <w:rFonts w:ascii="Cambria Math" w:hAnsi="Cambria Math" w:cs="Times New Roman"/>
                      <w:sz w:val="22"/>
                      <w:szCs w:val="22"/>
                    </w:rPr>
                    <m:t>g</m:t>
                  </m:r>
                </m:num>
                <m:den>
                  <m:sSup>
                    <m:sSupPr>
                      <m:ctrlPr>
                        <w:rPr>
                          <w:rFonts w:ascii="Cambria Math" w:hAnsi="Cambria Math" w:cs="Times New Roman"/>
                          <w:sz w:val="22"/>
                          <w:szCs w:val="22"/>
                        </w:rPr>
                      </m:ctrlPr>
                    </m:sSupPr>
                    <m:e>
                      <m:r>
                        <m:rPr>
                          <m:sty m:val="b"/>
                        </m:rPr>
                        <w:rPr>
                          <w:rFonts w:ascii="Cambria Math" w:hAnsi="Cambria Math" w:cs="Times New Roman"/>
                          <w:sz w:val="22"/>
                          <w:szCs w:val="22"/>
                        </w:rPr>
                        <m:t>cm</m:t>
                      </m:r>
                    </m:e>
                    <m:sup>
                      <m:r>
                        <m:rPr>
                          <m:sty m:val="b"/>
                        </m:rPr>
                        <w:rPr>
                          <w:rFonts w:ascii="Cambria Math" w:hAnsi="Cambria Math" w:cs="Times New Roman"/>
                          <w:sz w:val="22"/>
                          <w:szCs w:val="22"/>
                        </w:rPr>
                        <m:t>3</m:t>
                      </m:r>
                    </m:sup>
                  </m:sSup>
                </m:den>
              </m:f>
            </m:oMath>
          </w:p>
        </w:tc>
        <w:tc>
          <w:tcPr>
            <w:tcW w:w="1249" w:type="dxa"/>
            <w:vAlign w:val="center"/>
          </w:tcPr>
          <w:p w14:paraId="2674D798"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 xml:space="preserve">Electrical Resistivity, </w:t>
            </w:r>
            <m:oMath>
              <m:r>
                <m:rPr>
                  <m:sty m:val="b"/>
                </m:rPr>
                <w:rPr>
                  <w:rFonts w:ascii="Cambria Math" w:hAnsi="Cambria Math" w:cs="Times New Roman"/>
                  <w:sz w:val="22"/>
                  <w:szCs w:val="22"/>
                </w:rPr>
                <m:t>μΩ.</m:t>
              </m:r>
            </m:oMath>
            <w:r w:rsidRPr="002F4E96">
              <w:rPr>
                <w:rFonts w:ascii="Times New Roman" w:hAnsi="Times New Roman" w:cs="Times New Roman"/>
                <w:sz w:val="22"/>
                <w:szCs w:val="22"/>
              </w:rPr>
              <w:t>m</w:t>
            </w:r>
          </w:p>
        </w:tc>
        <w:tc>
          <w:tcPr>
            <w:tcW w:w="1494" w:type="dxa"/>
            <w:vAlign w:val="center"/>
          </w:tcPr>
          <w:p w14:paraId="6B7F977E"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Thermal Conductivity,</w:t>
            </w:r>
          </w:p>
          <w:p w14:paraId="18E39C3C"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W/m.K</w:t>
            </w:r>
          </w:p>
        </w:tc>
        <w:tc>
          <w:tcPr>
            <w:tcW w:w="1035" w:type="dxa"/>
            <w:vAlign w:val="center"/>
          </w:tcPr>
          <w:p w14:paraId="6EED6D28"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Tensile Strength at Break,</w:t>
            </w:r>
          </w:p>
          <w:p w14:paraId="25817CB0"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m:oMathPara>
              <m:oMath>
                <m:r>
                  <m:rPr>
                    <m:sty m:val="b"/>
                  </m:rPr>
                  <w:rPr>
                    <w:rFonts w:ascii="Cambria Math" w:hAnsi="Cambria Math" w:cs="Times New Roman"/>
                    <w:sz w:val="22"/>
                    <w:szCs w:val="22"/>
                  </w:rPr>
                  <m:t>kgf/</m:t>
                </m:r>
                <m:sSup>
                  <m:sSupPr>
                    <m:ctrlPr>
                      <w:rPr>
                        <w:rFonts w:ascii="Cambria Math" w:hAnsi="Cambria Math" w:cs="Times New Roman"/>
                        <w:sz w:val="22"/>
                        <w:szCs w:val="22"/>
                      </w:rPr>
                    </m:ctrlPr>
                  </m:sSupPr>
                  <m:e>
                    <m:r>
                      <m:rPr>
                        <m:sty m:val="b"/>
                      </m:rPr>
                      <w:rPr>
                        <w:rFonts w:ascii="Cambria Math" w:hAnsi="Cambria Math" w:cs="Times New Roman"/>
                        <w:sz w:val="22"/>
                        <w:szCs w:val="22"/>
                      </w:rPr>
                      <m:t>cm</m:t>
                    </m:r>
                  </m:e>
                  <m:sup>
                    <m:r>
                      <m:rPr>
                        <m:sty m:val="b"/>
                      </m:rPr>
                      <w:rPr>
                        <w:rFonts w:ascii="Cambria Math" w:hAnsi="Cambria Math" w:cs="Times New Roman"/>
                        <w:sz w:val="22"/>
                        <w:szCs w:val="22"/>
                      </w:rPr>
                      <m:t>2</m:t>
                    </m:r>
                  </m:sup>
                </m:sSup>
              </m:oMath>
            </m:oMathPara>
          </w:p>
        </w:tc>
        <w:tc>
          <w:tcPr>
            <w:tcW w:w="1243" w:type="dxa"/>
            <w:vAlign w:val="center"/>
          </w:tcPr>
          <w:p w14:paraId="739927CD" w14:textId="77777777"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Tensile Elongation at Break, %</w:t>
            </w:r>
          </w:p>
        </w:tc>
        <w:tc>
          <w:tcPr>
            <w:tcW w:w="1164" w:type="dxa"/>
            <w:vAlign w:val="center"/>
          </w:tcPr>
          <w:p w14:paraId="5598E8B2" w14:textId="60434611" w:rsidR="00261D43" w:rsidRPr="002F4E96" w:rsidRDefault="00261D43" w:rsidP="008B2F1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 xml:space="preserve">Brinell, Hardness, </w:t>
            </w:r>
            <w:r w:rsidR="00F54AE7" w:rsidRPr="002F4E96">
              <w:rPr>
                <w:rFonts w:ascii="Times New Roman" w:hAnsi="Times New Roman" w:cs="Times New Roman"/>
                <w:sz w:val="22"/>
                <w:szCs w:val="22"/>
              </w:rPr>
              <w:t>HB</w:t>
            </w:r>
          </w:p>
        </w:tc>
      </w:tr>
      <w:tr w:rsidR="00953D2E" w:rsidRPr="002F4E96" w14:paraId="7125A758" w14:textId="77777777" w:rsidTr="0010425F">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0130" w:type="dxa"/>
            <w:gridSpan w:val="8"/>
            <w:vAlign w:val="center"/>
          </w:tcPr>
          <w:p w14:paraId="067C7F20"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Alloys of tin (Sn) and lead (Pb) with and without silver (Ag)</w:t>
            </w:r>
          </w:p>
        </w:tc>
      </w:tr>
      <w:tr w:rsidR="00953D2E" w:rsidRPr="002F4E96" w14:paraId="6875D4B9" w14:textId="77777777" w:rsidTr="0010425F">
        <w:trPr>
          <w:trHeight w:val="201"/>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4C91C810"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Sn63Pb37</w:t>
            </w:r>
          </w:p>
        </w:tc>
        <w:tc>
          <w:tcPr>
            <w:tcW w:w="1807" w:type="dxa"/>
            <w:vAlign w:val="center"/>
          </w:tcPr>
          <w:p w14:paraId="0FB4F9A3"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183/183</w:t>
            </w:r>
          </w:p>
        </w:tc>
        <w:tc>
          <w:tcPr>
            <w:tcW w:w="980" w:type="dxa"/>
            <w:vAlign w:val="center"/>
          </w:tcPr>
          <w:p w14:paraId="2CD9A44E"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8.40</w:t>
            </w:r>
          </w:p>
        </w:tc>
        <w:tc>
          <w:tcPr>
            <w:tcW w:w="1249" w:type="dxa"/>
            <w:vAlign w:val="center"/>
          </w:tcPr>
          <w:p w14:paraId="3480FFC1"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0.145</w:t>
            </w:r>
          </w:p>
        </w:tc>
        <w:tc>
          <w:tcPr>
            <w:tcW w:w="1494" w:type="dxa"/>
            <w:vAlign w:val="center"/>
          </w:tcPr>
          <w:p w14:paraId="53E06A86"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50</w:t>
            </w:r>
          </w:p>
        </w:tc>
        <w:tc>
          <w:tcPr>
            <w:tcW w:w="1035" w:type="dxa"/>
            <w:vAlign w:val="center"/>
          </w:tcPr>
          <w:p w14:paraId="63638798"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525</w:t>
            </w:r>
          </w:p>
        </w:tc>
        <w:tc>
          <w:tcPr>
            <w:tcW w:w="1243" w:type="dxa"/>
            <w:vAlign w:val="center"/>
          </w:tcPr>
          <w:p w14:paraId="7C55C827"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37</w:t>
            </w:r>
          </w:p>
        </w:tc>
        <w:tc>
          <w:tcPr>
            <w:tcW w:w="1164" w:type="dxa"/>
            <w:vAlign w:val="center"/>
          </w:tcPr>
          <w:p w14:paraId="01EC7CA1"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17</w:t>
            </w:r>
          </w:p>
        </w:tc>
      </w:tr>
      <w:tr w:rsidR="00953D2E" w:rsidRPr="002F4E96" w14:paraId="2FC1CC36" w14:textId="77777777" w:rsidTr="0010425F">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10130" w:type="dxa"/>
            <w:gridSpan w:val="8"/>
            <w:vAlign w:val="center"/>
          </w:tcPr>
          <w:p w14:paraId="0B6EABCF" w14:textId="22A8BC14"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 xml:space="preserve">Alloys of tin (Sn) with </w:t>
            </w:r>
            <w:r w:rsidR="00F66D68" w:rsidRPr="002F4E96">
              <w:rPr>
                <w:rFonts w:ascii="Times New Roman" w:hAnsi="Times New Roman" w:cs="Times New Roman"/>
                <w:sz w:val="22"/>
                <w:szCs w:val="22"/>
              </w:rPr>
              <w:t xml:space="preserve">a </w:t>
            </w:r>
            <w:r w:rsidRPr="002F4E96">
              <w:rPr>
                <w:rFonts w:ascii="Times New Roman" w:hAnsi="Times New Roman" w:cs="Times New Roman"/>
                <w:sz w:val="22"/>
                <w:szCs w:val="22"/>
              </w:rPr>
              <w:t>silver (Ag) and /or copper (Cu)</w:t>
            </w:r>
          </w:p>
        </w:tc>
      </w:tr>
      <w:tr w:rsidR="00953D2E" w:rsidRPr="002F4E96" w14:paraId="34A52769" w14:textId="77777777" w:rsidTr="0010425F">
        <w:trPr>
          <w:trHeight w:val="201"/>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38C40D4F"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SAC305</w:t>
            </w:r>
          </w:p>
        </w:tc>
        <w:tc>
          <w:tcPr>
            <w:tcW w:w="1807" w:type="dxa"/>
            <w:vAlign w:val="center"/>
          </w:tcPr>
          <w:p w14:paraId="543F536F"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217/220</w:t>
            </w:r>
          </w:p>
        </w:tc>
        <w:tc>
          <w:tcPr>
            <w:tcW w:w="980" w:type="dxa"/>
            <w:vAlign w:val="center"/>
          </w:tcPr>
          <w:p w14:paraId="1C70AAF5"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7.38</w:t>
            </w:r>
          </w:p>
        </w:tc>
        <w:tc>
          <w:tcPr>
            <w:tcW w:w="1249" w:type="dxa"/>
            <w:vAlign w:val="center"/>
          </w:tcPr>
          <w:p w14:paraId="295B467B"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0.132</w:t>
            </w:r>
          </w:p>
        </w:tc>
        <w:tc>
          <w:tcPr>
            <w:tcW w:w="1494" w:type="dxa"/>
            <w:vAlign w:val="center"/>
          </w:tcPr>
          <w:p w14:paraId="2DABAF7B"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58</w:t>
            </w:r>
          </w:p>
        </w:tc>
        <w:tc>
          <w:tcPr>
            <w:tcW w:w="1035" w:type="dxa"/>
            <w:vAlign w:val="center"/>
          </w:tcPr>
          <w:p w14:paraId="2E77D082"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500</w:t>
            </w:r>
          </w:p>
        </w:tc>
        <w:tc>
          <w:tcPr>
            <w:tcW w:w="1243" w:type="dxa"/>
            <w:vAlign w:val="center"/>
          </w:tcPr>
          <w:p w14:paraId="4586E85D"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19</w:t>
            </w:r>
          </w:p>
        </w:tc>
        <w:tc>
          <w:tcPr>
            <w:tcW w:w="1164" w:type="dxa"/>
            <w:vAlign w:val="center"/>
          </w:tcPr>
          <w:p w14:paraId="638D0928"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r>
      <w:tr w:rsidR="00953D2E" w:rsidRPr="002F4E96" w14:paraId="22901BC5" w14:textId="77777777" w:rsidTr="0010425F">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3EE5C5DB"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SAC405</w:t>
            </w:r>
          </w:p>
        </w:tc>
        <w:tc>
          <w:tcPr>
            <w:tcW w:w="1807" w:type="dxa"/>
            <w:vAlign w:val="center"/>
          </w:tcPr>
          <w:p w14:paraId="0FE42CD1"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217/220</w:t>
            </w:r>
          </w:p>
        </w:tc>
        <w:tc>
          <w:tcPr>
            <w:tcW w:w="980" w:type="dxa"/>
            <w:vAlign w:val="center"/>
          </w:tcPr>
          <w:p w14:paraId="3F9801A0"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7.44</w:t>
            </w:r>
          </w:p>
        </w:tc>
        <w:tc>
          <w:tcPr>
            <w:tcW w:w="1249" w:type="dxa"/>
            <w:vAlign w:val="center"/>
          </w:tcPr>
          <w:p w14:paraId="45833DB4"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0.132</w:t>
            </w:r>
          </w:p>
        </w:tc>
        <w:tc>
          <w:tcPr>
            <w:tcW w:w="1494" w:type="dxa"/>
            <w:vAlign w:val="center"/>
          </w:tcPr>
          <w:p w14:paraId="56E2EF6A"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62</w:t>
            </w:r>
          </w:p>
        </w:tc>
        <w:tc>
          <w:tcPr>
            <w:tcW w:w="1035" w:type="dxa"/>
            <w:vAlign w:val="center"/>
          </w:tcPr>
          <w:p w14:paraId="5B07AB38"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530</w:t>
            </w:r>
          </w:p>
        </w:tc>
        <w:tc>
          <w:tcPr>
            <w:tcW w:w="1243" w:type="dxa"/>
            <w:vAlign w:val="center"/>
          </w:tcPr>
          <w:p w14:paraId="50406AE5"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17</w:t>
            </w:r>
          </w:p>
        </w:tc>
        <w:tc>
          <w:tcPr>
            <w:tcW w:w="1164" w:type="dxa"/>
            <w:vAlign w:val="center"/>
          </w:tcPr>
          <w:p w14:paraId="5251AE14"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r>
      <w:tr w:rsidR="00953D2E" w:rsidRPr="002F4E96" w14:paraId="0FF7D37C" w14:textId="77777777" w:rsidTr="0010425F">
        <w:trPr>
          <w:trHeight w:val="201"/>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0D861AA1"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SAC387</w:t>
            </w:r>
          </w:p>
        </w:tc>
        <w:tc>
          <w:tcPr>
            <w:tcW w:w="1807" w:type="dxa"/>
            <w:vAlign w:val="center"/>
          </w:tcPr>
          <w:p w14:paraId="6CB83F98"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217/220</w:t>
            </w:r>
          </w:p>
        </w:tc>
        <w:tc>
          <w:tcPr>
            <w:tcW w:w="980" w:type="dxa"/>
            <w:vAlign w:val="center"/>
          </w:tcPr>
          <w:p w14:paraId="736C9164"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7.44</w:t>
            </w:r>
          </w:p>
        </w:tc>
        <w:tc>
          <w:tcPr>
            <w:tcW w:w="1249" w:type="dxa"/>
            <w:vAlign w:val="center"/>
          </w:tcPr>
          <w:p w14:paraId="2712AE2E"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0.132</w:t>
            </w:r>
          </w:p>
        </w:tc>
        <w:tc>
          <w:tcPr>
            <w:tcW w:w="1494" w:type="dxa"/>
            <w:vAlign w:val="center"/>
          </w:tcPr>
          <w:p w14:paraId="12B0D023"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60</w:t>
            </w:r>
          </w:p>
        </w:tc>
        <w:tc>
          <w:tcPr>
            <w:tcW w:w="1035" w:type="dxa"/>
            <w:vAlign w:val="center"/>
          </w:tcPr>
          <w:p w14:paraId="242D95C0"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600</w:t>
            </w:r>
          </w:p>
        </w:tc>
        <w:tc>
          <w:tcPr>
            <w:tcW w:w="1243" w:type="dxa"/>
            <w:vAlign w:val="center"/>
          </w:tcPr>
          <w:p w14:paraId="03D6A1B9"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16</w:t>
            </w:r>
          </w:p>
        </w:tc>
        <w:tc>
          <w:tcPr>
            <w:tcW w:w="1164" w:type="dxa"/>
            <w:vAlign w:val="center"/>
          </w:tcPr>
          <w:p w14:paraId="5C06E7CF" w14:textId="77777777" w:rsidR="00261D43" w:rsidRPr="002F4E96" w:rsidRDefault="00261D43" w:rsidP="008B2F1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r>
      <w:tr w:rsidR="00953D2E" w:rsidRPr="002F4E96" w14:paraId="302E8F76" w14:textId="77777777" w:rsidTr="0010425F">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3178E303" w14:textId="77777777" w:rsidR="00261D43" w:rsidRPr="002F4E96" w:rsidRDefault="00261D43" w:rsidP="008B2F16">
            <w:pPr>
              <w:spacing w:line="360" w:lineRule="auto"/>
              <w:jc w:val="center"/>
              <w:rPr>
                <w:rFonts w:ascii="Times New Roman" w:hAnsi="Times New Roman" w:cs="Times New Roman"/>
                <w:sz w:val="22"/>
                <w:szCs w:val="22"/>
              </w:rPr>
            </w:pPr>
            <w:r w:rsidRPr="002F4E96">
              <w:rPr>
                <w:rFonts w:ascii="Times New Roman" w:hAnsi="Times New Roman" w:cs="Times New Roman"/>
                <w:sz w:val="22"/>
                <w:szCs w:val="22"/>
              </w:rPr>
              <w:t>SAC396</w:t>
            </w:r>
          </w:p>
        </w:tc>
        <w:tc>
          <w:tcPr>
            <w:tcW w:w="1807" w:type="dxa"/>
            <w:vAlign w:val="center"/>
          </w:tcPr>
          <w:p w14:paraId="05A9AEF4"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217/221</w:t>
            </w:r>
          </w:p>
        </w:tc>
        <w:tc>
          <w:tcPr>
            <w:tcW w:w="980" w:type="dxa"/>
            <w:vAlign w:val="center"/>
          </w:tcPr>
          <w:p w14:paraId="59A97758"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7.46</w:t>
            </w:r>
          </w:p>
        </w:tc>
        <w:tc>
          <w:tcPr>
            <w:tcW w:w="1249" w:type="dxa"/>
            <w:vAlign w:val="center"/>
          </w:tcPr>
          <w:p w14:paraId="5554475B"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0.132</w:t>
            </w:r>
          </w:p>
        </w:tc>
        <w:tc>
          <w:tcPr>
            <w:tcW w:w="1494" w:type="dxa"/>
            <w:vAlign w:val="center"/>
          </w:tcPr>
          <w:p w14:paraId="1D42467A"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61</w:t>
            </w:r>
          </w:p>
        </w:tc>
        <w:tc>
          <w:tcPr>
            <w:tcW w:w="1035" w:type="dxa"/>
            <w:vAlign w:val="center"/>
          </w:tcPr>
          <w:p w14:paraId="129676B0"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550</w:t>
            </w:r>
          </w:p>
        </w:tc>
        <w:tc>
          <w:tcPr>
            <w:tcW w:w="1243" w:type="dxa"/>
            <w:vAlign w:val="center"/>
          </w:tcPr>
          <w:p w14:paraId="3153F28A"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18</w:t>
            </w:r>
          </w:p>
        </w:tc>
        <w:tc>
          <w:tcPr>
            <w:tcW w:w="1164" w:type="dxa"/>
            <w:vAlign w:val="center"/>
          </w:tcPr>
          <w:p w14:paraId="7C8C5F3D" w14:textId="77777777" w:rsidR="00261D43" w:rsidRPr="002F4E96" w:rsidRDefault="00261D43" w:rsidP="008B2F1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r>
    </w:tbl>
    <w:p w14:paraId="249AECEB" w14:textId="77777777" w:rsidR="00261D43" w:rsidRPr="002F4E96" w:rsidRDefault="00261D43" w:rsidP="00D843E6">
      <w:pPr>
        <w:spacing w:line="360" w:lineRule="auto"/>
        <w:jc w:val="both"/>
        <w:rPr>
          <w:rFonts w:ascii="Times New Roman" w:hAnsi="Times New Roman" w:cs="Times New Roman"/>
        </w:rPr>
      </w:pPr>
    </w:p>
    <w:p w14:paraId="3C4F8E80" w14:textId="39DE45F6" w:rsidR="00D843E6" w:rsidRPr="002F4E96" w:rsidRDefault="00D843E6" w:rsidP="009F3023">
      <w:pPr>
        <w:pStyle w:val="Heading2"/>
      </w:pPr>
      <w:r w:rsidRPr="002F4E96">
        <w:t>2.2 Method</w:t>
      </w:r>
      <w:r w:rsidR="001C3D8D" w:rsidRPr="002F4E96">
        <w:t>ology</w:t>
      </w:r>
    </w:p>
    <w:p w14:paraId="1F2EC6C9" w14:textId="3F8598C8" w:rsidR="00963443" w:rsidRPr="002F4E96" w:rsidRDefault="00963443" w:rsidP="00963443">
      <w:pPr>
        <w:spacing w:line="360" w:lineRule="auto"/>
        <w:jc w:val="both"/>
        <w:rPr>
          <w:rFonts w:ascii="Times New Roman" w:hAnsi="Times New Roman" w:cs="Times New Roman"/>
        </w:rPr>
      </w:pPr>
      <w:r w:rsidRPr="002F4E96">
        <w:rPr>
          <w:rFonts w:ascii="Times New Roman" w:hAnsi="Times New Roman" w:cs="Times New Roman"/>
        </w:rPr>
        <w:t>The methodology used in this research is the FE simulation method. It includes the ANSYS simulation features, FE model and analysis and the material properties for the lead-based Sn63Pb37 and lead-free SAC: SAC305, SAC387, SAC396 and SAC405 solder alloys are obtained from peer-reviewed literature. The flow chart of the FE simulation process and method is shown in Fig. 2. For this investigation, ANSYS software was used to simulate and solve the FE model and comprises of:</w:t>
      </w:r>
    </w:p>
    <w:p w14:paraId="04DC866B" w14:textId="75516E3D" w:rsidR="00D843E6" w:rsidRPr="002F4E96" w:rsidRDefault="00D843E6"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 xml:space="preserve">CAD </w:t>
      </w:r>
      <w:r w:rsidR="000B09A3" w:rsidRPr="002F4E96">
        <w:rPr>
          <w:rFonts w:ascii="Times New Roman" w:hAnsi="Times New Roman" w:cs="Times New Roman"/>
        </w:rPr>
        <w:t xml:space="preserve">(SolidWorks) </w:t>
      </w:r>
      <w:r w:rsidRPr="002F4E96">
        <w:rPr>
          <w:rFonts w:ascii="Times New Roman" w:hAnsi="Times New Roman" w:cs="Times New Roman"/>
        </w:rPr>
        <w:t>Connectivity</w:t>
      </w:r>
    </w:p>
    <w:p w14:paraId="5354A0B1" w14:textId="77777777" w:rsidR="00D843E6" w:rsidRPr="002F4E96" w:rsidRDefault="00D843E6"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Meshing</w:t>
      </w:r>
    </w:p>
    <w:p w14:paraId="70A589E1" w14:textId="3D939434" w:rsidR="00D843E6" w:rsidRPr="002F4E96" w:rsidRDefault="000B09A3"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 xml:space="preserve">Engineering </w:t>
      </w:r>
      <w:r w:rsidR="00D843E6" w:rsidRPr="002F4E96">
        <w:rPr>
          <w:rFonts w:ascii="Times New Roman" w:hAnsi="Times New Roman" w:cs="Times New Roman"/>
        </w:rPr>
        <w:t>Materials Support</w:t>
      </w:r>
    </w:p>
    <w:p w14:paraId="19A765F1" w14:textId="7ED2E04D" w:rsidR="00D843E6" w:rsidRPr="002F4E96" w:rsidRDefault="00D843E6"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 xml:space="preserve">Boundary Condition </w:t>
      </w:r>
      <w:r w:rsidR="00105752" w:rsidRPr="002F4E96">
        <w:rPr>
          <w:rFonts w:ascii="Times New Roman" w:hAnsi="Times New Roman" w:cs="Times New Roman"/>
        </w:rPr>
        <w:t>Setup</w:t>
      </w:r>
    </w:p>
    <w:p w14:paraId="022DC610" w14:textId="42FA66FA" w:rsidR="00D843E6" w:rsidRPr="002F4E96" w:rsidRDefault="00D843E6"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Solution</w:t>
      </w:r>
    </w:p>
    <w:p w14:paraId="1B4D6CD3" w14:textId="47A5B09F" w:rsidR="005D1CC4" w:rsidRPr="002F4E96" w:rsidRDefault="005D1CC4" w:rsidP="00D60C9E">
      <w:pPr>
        <w:numPr>
          <w:ilvl w:val="0"/>
          <w:numId w:val="32"/>
        </w:numPr>
        <w:spacing w:line="240" w:lineRule="auto"/>
        <w:jc w:val="both"/>
        <w:rPr>
          <w:rFonts w:ascii="Times New Roman" w:hAnsi="Times New Roman" w:cs="Times New Roman"/>
        </w:rPr>
      </w:pPr>
      <w:r w:rsidRPr="002F4E96">
        <w:rPr>
          <w:rFonts w:ascii="Times New Roman" w:hAnsi="Times New Roman" w:cs="Times New Roman"/>
        </w:rPr>
        <w:t>Result Output</w:t>
      </w:r>
      <w:r w:rsidR="000B09A3" w:rsidRPr="002F4E96">
        <w:rPr>
          <w:rFonts w:ascii="Times New Roman" w:hAnsi="Times New Roman" w:cs="Times New Roman"/>
        </w:rPr>
        <w:t xml:space="preserve"> and Analysis</w:t>
      </w:r>
    </w:p>
    <w:p w14:paraId="3114002C" w14:textId="52FD5DF4" w:rsidR="00D843E6" w:rsidRPr="002F4E96" w:rsidRDefault="00D843E6" w:rsidP="000D7411">
      <w:pPr>
        <w:pStyle w:val="Heading3"/>
        <w:spacing w:line="360" w:lineRule="auto"/>
        <w:rPr>
          <w:rFonts w:ascii="Times New Roman" w:hAnsi="Times New Roman" w:cs="Times New Roman"/>
          <w:color w:val="auto"/>
          <w:sz w:val="22"/>
          <w:szCs w:val="22"/>
        </w:rPr>
      </w:pPr>
      <w:bookmarkStart w:id="16" w:name="_Toc45028942"/>
      <w:r w:rsidRPr="002F4E96">
        <w:rPr>
          <w:rFonts w:ascii="Times New Roman" w:hAnsi="Times New Roman" w:cs="Times New Roman"/>
          <w:color w:val="auto"/>
          <w:sz w:val="22"/>
          <w:szCs w:val="22"/>
        </w:rPr>
        <w:t xml:space="preserve">2.2.1 </w:t>
      </w:r>
      <w:r w:rsidR="00362BA4" w:rsidRPr="002F4E96">
        <w:rPr>
          <w:rFonts w:ascii="Times New Roman" w:hAnsi="Times New Roman" w:cs="Times New Roman"/>
          <w:color w:val="auto"/>
          <w:sz w:val="22"/>
          <w:szCs w:val="22"/>
        </w:rPr>
        <w:t xml:space="preserve">The FEA </w:t>
      </w:r>
      <w:r w:rsidRPr="002F4E96">
        <w:rPr>
          <w:rFonts w:ascii="Times New Roman" w:hAnsi="Times New Roman" w:cs="Times New Roman"/>
          <w:color w:val="auto"/>
          <w:sz w:val="22"/>
          <w:szCs w:val="22"/>
        </w:rPr>
        <w:t>Simulation Process</w:t>
      </w:r>
      <w:bookmarkEnd w:id="16"/>
    </w:p>
    <w:p w14:paraId="3CDF76A8" w14:textId="4ECFB78B" w:rsidR="001C1560" w:rsidRPr="002F4E96" w:rsidRDefault="001C1560" w:rsidP="001C1560">
      <w:pPr>
        <w:spacing w:line="360" w:lineRule="auto"/>
        <w:jc w:val="both"/>
        <w:rPr>
          <w:rFonts w:ascii="Times New Roman" w:hAnsi="Times New Roman" w:cs="Times New Roman"/>
        </w:rPr>
      </w:pPr>
      <w:r w:rsidRPr="002F4E96">
        <w:rPr>
          <w:rFonts w:ascii="Times New Roman" w:hAnsi="Times New Roman" w:cs="Times New Roman"/>
        </w:rPr>
        <w:t>The author carried out  FEA simulation utilising ANSYS software. Several procedures are involved in the simulation examined in this study. Fig. 2 shows the simulation processes for failure</w:t>
      </w:r>
      <w:r w:rsidR="00C30D8F" w:rsidRPr="002F4E96">
        <w:rPr>
          <w:rFonts w:ascii="Times New Roman" w:hAnsi="Times New Roman" w:cs="Times New Roman"/>
        </w:rPr>
        <w:t xml:space="preserve"> analysis</w:t>
      </w:r>
      <w:r w:rsidRPr="002F4E96">
        <w:rPr>
          <w:rFonts w:ascii="Times New Roman" w:hAnsi="Times New Roman" w:cs="Times New Roman"/>
        </w:rPr>
        <w:t>. The simulation method commences with the research design, production of FE model from SolidWorks, inputting the FE model into ANSYS, a model setup that includes meshing convergence, mesh generation and geometry, material properties input, and application of load and boundary conditions.</w:t>
      </w:r>
    </w:p>
    <w:p w14:paraId="68C28519" w14:textId="3ED7E948" w:rsidR="00B901B3" w:rsidRPr="002F4E96" w:rsidRDefault="00D843E6"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lastRenderedPageBreak/>
        <w:t>2.2.</w:t>
      </w:r>
      <w:r w:rsidR="00A358F4" w:rsidRPr="002F4E96">
        <w:rPr>
          <w:rFonts w:ascii="Times New Roman" w:hAnsi="Times New Roman" w:cs="Times New Roman"/>
          <w:color w:val="auto"/>
          <w:sz w:val="22"/>
          <w:szCs w:val="22"/>
        </w:rPr>
        <w:t>2</w:t>
      </w:r>
      <w:r w:rsidR="00B901B3" w:rsidRPr="002F4E96">
        <w:rPr>
          <w:rFonts w:ascii="Times New Roman" w:hAnsi="Times New Roman" w:cs="Times New Roman"/>
          <w:color w:val="auto"/>
          <w:sz w:val="22"/>
          <w:szCs w:val="22"/>
        </w:rPr>
        <w:t xml:space="preserve"> Basic Assumptions </w:t>
      </w:r>
    </w:p>
    <w:p w14:paraId="0A4398A3" w14:textId="77777777"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All the materials were modelled as linear elastic and isotropic materials except the solder and PCB, simulated utilising the Garofalo creep relations and orthographic materials.</w:t>
      </w:r>
    </w:p>
    <w:p w14:paraId="5E434CB3" w14:textId="77777777"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All materials, including the solder joint, were assumed, homogeneous at load steps.</w:t>
      </w:r>
    </w:p>
    <w:p w14:paraId="56E264AA" w14:textId="77777777"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The material characteristic of the solder joint alloy is non-linear and temperature-dependent. In other words, others are linear and temperature independent.</w:t>
      </w:r>
    </w:p>
    <w:p w14:paraId="463CAE57" w14:textId="77777777"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Every interface of the materials is considered to be in contact with each other.</w:t>
      </w:r>
    </w:p>
    <w:p w14:paraId="20F91E9E" w14:textId="349ECBC7"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 xml:space="preserve">The assemblies were assumed to be in a stress-free state at room temperature of </w:t>
      </w:r>
      <m:oMath>
        <m:r>
          <w:rPr>
            <w:rFonts w:ascii="Cambria Math" w:eastAsia="Times New Roman" w:hAnsi="Cambria Math" w:cs="Times New Roman"/>
            <w:color w:val="0E101A"/>
            <w:lang w:eastAsia="en-GB"/>
          </w:rPr>
          <m:t>22℃</m:t>
        </m:r>
      </m:oMath>
      <w:r w:rsidRPr="002F4E96">
        <w:rPr>
          <w:rFonts w:ascii="Times New Roman" w:eastAsia="Times New Roman" w:hAnsi="Times New Roman" w:cs="Times New Roman"/>
          <w:color w:val="0E101A"/>
          <w:lang w:eastAsia="en-GB"/>
        </w:rPr>
        <w:t>, which was likewise the thermal cycle loading's starting temperature. </w:t>
      </w:r>
    </w:p>
    <w:p w14:paraId="7C1D49BE" w14:textId="687F8E24" w:rsidR="00CF72D4" w:rsidRPr="002F4E96" w:rsidRDefault="00CF72D4" w:rsidP="00CF72D4">
      <w:pPr>
        <w:numPr>
          <w:ilvl w:val="0"/>
          <w:numId w:val="46"/>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The assemblies' primary stress accumulated from the reflow soldering process is neglected, and all contacting surfaces are assumed bonded with perfect adhesion.</w:t>
      </w:r>
    </w:p>
    <w:p w14:paraId="57DBB175" w14:textId="5818BE91" w:rsidR="00B901B3" w:rsidRPr="002F4E96" w:rsidRDefault="00D843E6" w:rsidP="00CF72D4">
      <w:pPr>
        <w:pStyle w:val="Heading3"/>
        <w:spacing w:line="360" w:lineRule="auto"/>
        <w:jc w:val="both"/>
        <w:rPr>
          <w:rFonts w:ascii="Times New Roman" w:hAnsi="Times New Roman" w:cs="Times New Roman"/>
          <w:color w:val="auto"/>
          <w:sz w:val="22"/>
          <w:szCs w:val="22"/>
        </w:rPr>
      </w:pPr>
      <w:r w:rsidRPr="002F4E96">
        <w:rPr>
          <w:rFonts w:ascii="Times New Roman" w:hAnsi="Times New Roman" w:cs="Times New Roman"/>
          <w:color w:val="auto"/>
          <w:sz w:val="22"/>
          <w:szCs w:val="22"/>
        </w:rPr>
        <w:t>2.2.</w:t>
      </w:r>
      <w:r w:rsidR="001761F1" w:rsidRPr="002F4E96">
        <w:rPr>
          <w:rFonts w:ascii="Times New Roman" w:hAnsi="Times New Roman" w:cs="Times New Roman"/>
          <w:color w:val="auto"/>
          <w:sz w:val="22"/>
          <w:szCs w:val="22"/>
        </w:rPr>
        <w:t>3</w:t>
      </w:r>
      <w:r w:rsidR="00B901B3" w:rsidRPr="002F4E96">
        <w:rPr>
          <w:rFonts w:ascii="Times New Roman" w:hAnsi="Times New Roman" w:cs="Times New Roman"/>
          <w:color w:val="auto"/>
          <w:sz w:val="22"/>
          <w:szCs w:val="22"/>
        </w:rPr>
        <w:t xml:space="preserve"> Geometrical and Mesh Models</w:t>
      </w:r>
    </w:p>
    <w:p w14:paraId="4853B7D0" w14:textId="72CF579C" w:rsidR="002D343A" w:rsidRPr="002F4E96" w:rsidRDefault="002D343A" w:rsidP="002D343A">
      <w:pPr>
        <w:spacing w:line="360" w:lineRule="auto"/>
        <w:jc w:val="both"/>
        <w:rPr>
          <w:rFonts w:ascii="Times New Roman" w:hAnsi="Times New Roman" w:cs="Times New Roman"/>
        </w:rPr>
      </w:pPr>
      <w:r w:rsidRPr="002F4E96">
        <w:rPr>
          <w:rFonts w:ascii="Times New Roman" w:hAnsi="Times New Roman" w:cs="Times New Roman"/>
        </w:rPr>
        <w:t xml:space="preserve">The FEA simulation was carried out on a BGA (36 balls, </w:t>
      </w:r>
      <m:oMath>
        <m:r>
          <w:rPr>
            <w:rFonts w:ascii="Cambria Math" w:hAnsi="Cambria Math" w:cs="Times New Roman"/>
          </w:rPr>
          <m:t>6×6</m:t>
        </m:r>
      </m:oMath>
      <w:r w:rsidRPr="002F4E96">
        <w:rPr>
          <w:rFonts w:ascii="Times New Roman" w:hAnsi="Times New Roman" w:cs="Times New Roman"/>
        </w:rPr>
        <w:t xml:space="preserve"> matrix) attached to a Cu padded substrate in this work. The BGA package comprises the solder ball, epoxy-resin, Silicon (Si), Die substrate, and Copper (Cu) pad. The parameters of the BGA solders are presented in Tables I and II. The package dimensions and parameters are given in the authors' publication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{"citationItems":[{"id":"ITEM-1","itemData":{"ISBN":"9781538630426","abstract":"Solder joints of electronic components are the most critical part of any electronic device. Their untimely failure during the system’s operation often culminates in catastrophic failure of the device. The determination of creep damage in electronic component solder joint is vital to the prediction of crack initiation and prevention of premature failure. This paper presents the creep damage in solder joints in a ball grid array (BGA) soldered on a printed circuit board (PCB) and subjected to thermal cycling as well as isothermal ageing. ANSYS 19.0 package is employed to model the isothermal ageing at -40, 25, 75 and 150℃ temperatures for 45 days. Standard temperature cycle profile is used to simulate the effect of the coefficient of thermal expansion (CTE) mismatch on the bonded materials in the BGA component. The solders studied are lead-based eutectic solder alloy and lead-free SAC396, SAC387, and SAC305. Based on the results obtained for the stress, strain rate, deformation rate and strain energy of the solders, the research investigation advises on the most effective solder for achieving improvement in the thermo-mechanical reliability of solder joints in BGA soldered on PCB","author":[{"dropping-particle":"","family":"Depiver","given":"Joshua","non-dropping-particle":"","parse-names":false,"suffix":""},{"dropping-particle":"","family":"Mallik","given":"S","non-dropping-particle":"","parse-names":false,"suffix":""},{"dropping-particle":"","family":"Harmanto","given":"Dani","non-dropping-particle":"","parse-names":false,"suffix":""}],"container-title":"Electronics Packaging Technology Conference IEEE","id":"ITEM-1","issue":"December","issued":{"date-parts":[["2019"]]},"title":"Creep Damage of BGA Solder Interconnects Subjected to Thermal Cycling and Isothermal Ageing","type":"article-journal"},"uris":["http://www.mendeley.com/documents/?uuid=c9f85af8-938c-4cc5-8fff-1b93c64cb926"]},{"id":"ITEM-2","itemData":{"ISBN":"9789881404879","abstract":"In electronics packaging, solder joints play a critical role by providing electrical, thermal and mechanical connections between the package and the printed circuit board (PCB). As the joint is both miniature and brittle, it is the weakest part of the assembly and thus susceptible to untimely damage. This paper presents the creep response of solder joints in a ball grid array (BGA) soldered on a PCB subjected to isothermal ageing in one experiment and temperature cycling in another test. The ageing is simulated in an ANSYS package environment at -40, 25, 75 and 150C temperatures applied for 45 days. The thermal cycling profile started from 22C and cycled between -40C and 150C with 15 minutes dwell time at the lowest and highest temperatures. The solders used in the investigation are lead-based eutectic solder alloy and lead-free SAC305, SAC387, and SAC396 solders. The research seeks to qualify these solders against strain and strain energy response for improved reliability in operation. The results show that the lead-free SAC387 accumulated the maximum strain and thus strain energy while the lead-based eutectic solder is found to accrue the least amount of the quantities. Further results show the distribution of damage in the BGA solder bump. Based on the results, it is proposed that lead-free SAC396 is the best replacement of the lead-based eutectic solder in the drive for the achievement of comparable thermo-mechanical reliability of assembled BGA on PCB.","author":[{"dropping-particle":"","family":"Depiver","given":"Joshua A","non-dropping-particle":"","parse-names":false,"suffix":""},{"dropping-particle":"","family":"Mallik","given":"Sabuj","non-dropping-particle":"","parse-names":false,"suffix":""},{"dropping-particle":"","family":"Amalu","given":"Emeka H","non-dropping-particle":"","parse-names":false,"suffix":""}],"container-title":"IAENG","id":"ITEM-2","issued":{"date-parts":[["2019"]]},"title":"Creep Response of Various Solders used in Soldering Ball Grid Array ( BGA ) on Printed","type":"article-journal","volume":"0958"},"uris":["http://www.mendeley.com/documents/?uuid=58aa057d-a75d-42c6-ae7f-855282a5832c"]}],"mendeley":{"formattedCitation":"[27], [63]","plainTextFormattedCitation":"[27], [63]","previouslyFormattedCitation":"[27], [63]"},"properties":{"noteIndex":0},"schema":"https://github.com/citation-style-language/schema/raw/master/csl-citation.json"}</w:instrText>
      </w:r>
      <w:r w:rsidRPr="002F4E96">
        <w:rPr>
          <w:rFonts w:ascii="Times New Roman" w:hAnsi="Times New Roman" w:cs="Times New Roman"/>
        </w:rPr>
        <w:fldChar w:fldCharType="separate"/>
      </w:r>
      <w:r w:rsidR="0039530C" w:rsidRPr="002F4E96">
        <w:rPr>
          <w:rFonts w:ascii="Times New Roman" w:hAnsi="Times New Roman" w:cs="Times New Roman"/>
          <w:noProof/>
        </w:rPr>
        <w:t>[27], [63]</w:t>
      </w:r>
      <w:r w:rsidRPr="002F4E96">
        <w:rPr>
          <w:rFonts w:ascii="Times New Roman" w:hAnsi="Times New Roman" w:cs="Times New Roman"/>
        </w:rPr>
        <w:fldChar w:fldCharType="end"/>
      </w:r>
      <w:r w:rsidRPr="002F4E96">
        <w:rPr>
          <w:rFonts w:ascii="Times New Roman" w:hAnsi="Times New Roman" w:cs="Times New Roman"/>
        </w:rPr>
        <w:t>. The requirement to apply a quarter of the entire model shown in Fig. 5 shows the FEA simulation processes' reduction and solves time. The study examines a BGA solder joint in the electronic packages for thermo-mechanical reliability. It additionally expands functional test design and evaluation because the whole assembly is large and complex; therefore, much time is required to perform an FEA simulation; hence, a quarter symmetry is excellent for operating many FEA simulations.</w:t>
      </w:r>
    </w:p>
    <w:p w14:paraId="344AAF99" w14:textId="08F0892A" w:rsidR="00B901B3" w:rsidRPr="002F4E96" w:rsidRDefault="00D843E6"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t>2.2.</w:t>
      </w:r>
      <w:r w:rsidR="001761F1" w:rsidRPr="002F4E96">
        <w:rPr>
          <w:rFonts w:ascii="Times New Roman" w:hAnsi="Times New Roman" w:cs="Times New Roman"/>
          <w:color w:val="auto"/>
          <w:sz w:val="22"/>
          <w:szCs w:val="22"/>
        </w:rPr>
        <w:t>4</w:t>
      </w:r>
      <w:r w:rsidR="00B901B3" w:rsidRPr="002F4E96">
        <w:rPr>
          <w:rFonts w:ascii="Times New Roman" w:hAnsi="Times New Roman" w:cs="Times New Roman"/>
          <w:color w:val="auto"/>
          <w:sz w:val="22"/>
          <w:szCs w:val="22"/>
        </w:rPr>
        <w:t xml:space="preserve"> Finite Element </w:t>
      </w:r>
      <w:r w:rsidR="006F1292" w:rsidRPr="002F4E96">
        <w:rPr>
          <w:rFonts w:ascii="Times New Roman" w:hAnsi="Times New Roman" w:cs="Times New Roman"/>
          <w:color w:val="auto"/>
          <w:sz w:val="22"/>
          <w:szCs w:val="22"/>
        </w:rPr>
        <w:t>Analysis (</w:t>
      </w:r>
      <w:r w:rsidR="00F54AE7" w:rsidRPr="002F4E96">
        <w:rPr>
          <w:rFonts w:ascii="Times New Roman" w:hAnsi="Times New Roman" w:cs="Times New Roman"/>
          <w:color w:val="auto"/>
          <w:sz w:val="22"/>
          <w:szCs w:val="22"/>
        </w:rPr>
        <w:t>FEA</w:t>
      </w:r>
      <w:r w:rsidR="006F1292" w:rsidRPr="002F4E96">
        <w:rPr>
          <w:rFonts w:ascii="Times New Roman" w:hAnsi="Times New Roman" w:cs="Times New Roman"/>
          <w:color w:val="auto"/>
          <w:sz w:val="22"/>
          <w:szCs w:val="22"/>
        </w:rPr>
        <w:t>)</w:t>
      </w:r>
      <w:r w:rsidR="00FF2146" w:rsidRPr="002F4E96">
        <w:rPr>
          <w:rFonts w:ascii="Times New Roman" w:hAnsi="Times New Roman" w:cs="Times New Roman"/>
          <w:color w:val="auto"/>
          <w:sz w:val="22"/>
          <w:szCs w:val="22"/>
        </w:rPr>
        <w:t xml:space="preserve"> </w:t>
      </w:r>
      <w:r w:rsidR="00B901B3" w:rsidRPr="002F4E96">
        <w:rPr>
          <w:rFonts w:ascii="Times New Roman" w:hAnsi="Times New Roman" w:cs="Times New Roman"/>
          <w:color w:val="auto"/>
          <w:sz w:val="22"/>
          <w:szCs w:val="22"/>
        </w:rPr>
        <w:t>Simulation</w:t>
      </w:r>
    </w:p>
    <w:p w14:paraId="054E591F" w14:textId="77777777" w:rsidR="00CE0770" w:rsidRPr="002F4E96" w:rsidRDefault="000E1E01" w:rsidP="00063D5E">
      <w:pPr>
        <w:spacing w:line="360" w:lineRule="auto"/>
        <w:jc w:val="both"/>
        <w:rPr>
          <w:rFonts w:ascii="Times New Roman" w:hAnsi="Times New Roman" w:cs="Times New Roman"/>
        </w:rPr>
      </w:pPr>
      <w:r w:rsidRPr="002F4E96">
        <w:rPr>
          <w:rFonts w:ascii="Times New Roman" w:hAnsi="Times New Roman" w:cs="Times New Roman"/>
        </w:rPr>
        <w:t>The finite</w:t>
      </w:r>
      <w:r w:rsidR="001779C6" w:rsidRPr="002F4E96">
        <w:rPr>
          <w:rFonts w:ascii="Times New Roman" w:hAnsi="Times New Roman" w:cs="Times New Roman"/>
        </w:rPr>
        <w:t xml:space="preserve"> element model</w:t>
      </w:r>
      <w:r w:rsidR="00B901B3" w:rsidRPr="002F4E96">
        <w:rPr>
          <w:rFonts w:ascii="Times New Roman" w:hAnsi="Times New Roman" w:cs="Times New Roman"/>
        </w:rPr>
        <w:t xml:space="preserve"> often </w:t>
      </w:r>
      <w:r w:rsidR="00AA2538" w:rsidRPr="002F4E96">
        <w:rPr>
          <w:rFonts w:ascii="Times New Roman" w:hAnsi="Times New Roman" w:cs="Times New Roman"/>
        </w:rPr>
        <w:t>provides</w:t>
      </w:r>
      <w:r w:rsidR="00B901B3" w:rsidRPr="002F4E96">
        <w:rPr>
          <w:rFonts w:ascii="Times New Roman" w:hAnsi="Times New Roman" w:cs="Times New Roman"/>
        </w:rPr>
        <w:t xml:space="preserve"> a more </w:t>
      </w:r>
      <w:r w:rsidR="00407878" w:rsidRPr="002F4E96">
        <w:rPr>
          <w:rFonts w:ascii="Times New Roman" w:hAnsi="Times New Roman" w:cs="Times New Roman"/>
        </w:rPr>
        <w:t>time-efficient</w:t>
      </w:r>
      <w:r w:rsidR="00B901B3" w:rsidRPr="002F4E96">
        <w:rPr>
          <w:rFonts w:ascii="Times New Roman" w:hAnsi="Times New Roman" w:cs="Times New Roman"/>
        </w:rPr>
        <w:t xml:space="preserve"> way to obtain and </w:t>
      </w:r>
      <w:r w:rsidR="00407878" w:rsidRPr="002F4E96">
        <w:rPr>
          <w:rFonts w:ascii="Times New Roman" w:hAnsi="Times New Roman" w:cs="Times New Roman"/>
        </w:rPr>
        <w:t>understand</w:t>
      </w:r>
      <w:r w:rsidR="00B901B3" w:rsidRPr="002F4E96">
        <w:rPr>
          <w:rFonts w:ascii="Times New Roman" w:hAnsi="Times New Roman" w:cs="Times New Roman"/>
        </w:rPr>
        <w:t xml:space="preserve"> the behaviour of the assembly solder joints if the material properties have been accurately </w:t>
      </w:r>
      <w:r w:rsidR="00F54AE7" w:rsidRPr="002F4E96">
        <w:rPr>
          <w:rFonts w:ascii="Times New Roman" w:hAnsi="Times New Roman" w:cs="Times New Roman"/>
        </w:rPr>
        <w:t>characterised</w:t>
      </w:r>
      <w:r w:rsidR="00B901B3" w:rsidRPr="002F4E96">
        <w:rPr>
          <w:rFonts w:ascii="Times New Roman" w:hAnsi="Times New Roman" w:cs="Times New Roman"/>
        </w:rPr>
        <w:t xml:space="preserve">. The quarter model of BGA and </w:t>
      </w:r>
      <w:r w:rsidR="00F54AE7" w:rsidRPr="002F4E96">
        <w:rPr>
          <w:rFonts w:ascii="Times New Roman" w:hAnsi="Times New Roman" w:cs="Times New Roman"/>
        </w:rPr>
        <w:t>PCB</w:t>
      </w:r>
      <w:r w:rsidR="00B901B3" w:rsidRPr="002F4E96">
        <w:rPr>
          <w:rFonts w:ascii="Times New Roman" w:hAnsi="Times New Roman" w:cs="Times New Roman"/>
        </w:rPr>
        <w:t xml:space="preserve"> structure was established because of </w:t>
      </w:r>
      <w:r w:rsidR="00E81DCD" w:rsidRPr="002F4E96">
        <w:rPr>
          <w:rFonts w:ascii="Times New Roman" w:hAnsi="Times New Roman" w:cs="Times New Roman"/>
        </w:rPr>
        <w:t>its</w:t>
      </w:r>
      <w:r w:rsidR="00407878" w:rsidRPr="002F4E96">
        <w:rPr>
          <w:rFonts w:ascii="Times New Roman" w:hAnsi="Times New Roman" w:cs="Times New Roman"/>
        </w:rPr>
        <w:t xml:space="preserve"> geometric symmetry</w:t>
      </w:r>
      <w:r w:rsidR="00B901B3" w:rsidRPr="002F4E96">
        <w:rPr>
          <w:rFonts w:ascii="Times New Roman" w:hAnsi="Times New Roman" w:cs="Times New Roman"/>
        </w:rPr>
        <w:t xml:space="preserve">, </w:t>
      </w:r>
      <w:r w:rsidR="00B7741A" w:rsidRPr="002F4E96">
        <w:rPr>
          <w:rFonts w:ascii="Times New Roman" w:hAnsi="Times New Roman" w:cs="Times New Roman"/>
        </w:rPr>
        <w:t>reducing</w:t>
      </w:r>
      <w:r w:rsidR="00B901B3" w:rsidRPr="002F4E96">
        <w:rPr>
          <w:rFonts w:ascii="Times New Roman" w:hAnsi="Times New Roman" w:cs="Times New Roman"/>
        </w:rPr>
        <w:t xml:space="preserve"> the computational procedure. The linear element is used </w:t>
      </w:r>
      <w:r w:rsidR="00407878" w:rsidRPr="002F4E96">
        <w:rPr>
          <w:rFonts w:ascii="Times New Roman" w:hAnsi="Times New Roman" w:cs="Times New Roman"/>
        </w:rPr>
        <w:t>to</w:t>
      </w:r>
      <w:r w:rsidR="00B901B3" w:rsidRPr="002F4E96">
        <w:rPr>
          <w:rFonts w:ascii="Times New Roman" w:hAnsi="Times New Roman" w:cs="Times New Roman"/>
        </w:rPr>
        <w:t xml:space="preserve"> meshing all the materials except solder joints</w:t>
      </w:r>
      <w:r w:rsidR="00407878" w:rsidRPr="002F4E96">
        <w:rPr>
          <w:rFonts w:ascii="Times New Roman" w:hAnsi="Times New Roman" w:cs="Times New Roman"/>
        </w:rPr>
        <w:t>,</w:t>
      </w:r>
      <w:r w:rsidR="008B2F16" w:rsidRPr="002F4E96">
        <w:rPr>
          <w:rFonts w:ascii="Times New Roman" w:hAnsi="Times New Roman" w:cs="Times New Roman"/>
        </w:rPr>
        <w:t xml:space="preserve"> </w:t>
      </w:r>
      <w:r w:rsidR="00B901B3" w:rsidRPr="002F4E96">
        <w:rPr>
          <w:rFonts w:ascii="Times New Roman" w:hAnsi="Times New Roman" w:cs="Times New Roman"/>
        </w:rPr>
        <w:t>which describes the viscoplastic material behaviour</w:t>
      </w:r>
      <w:r w:rsidR="00407878" w:rsidRPr="002F4E96">
        <w:rPr>
          <w:rFonts w:ascii="Times New Roman" w:hAnsi="Times New Roman" w:cs="Times New Roman"/>
        </w:rPr>
        <w:t xml:space="preserve"> and</w:t>
      </w:r>
      <w:r w:rsidR="00B901B3" w:rsidRPr="002F4E96">
        <w:rPr>
          <w:rFonts w:ascii="Times New Roman" w:hAnsi="Times New Roman" w:cs="Times New Roman"/>
        </w:rPr>
        <w:t xml:space="preserve"> is </w:t>
      </w:r>
      <w:r w:rsidR="00F54AE7" w:rsidRPr="002F4E96">
        <w:rPr>
          <w:rFonts w:ascii="Times New Roman" w:hAnsi="Times New Roman" w:cs="Times New Roman"/>
        </w:rPr>
        <w:t>utilised</w:t>
      </w:r>
      <w:r w:rsidR="00B901B3" w:rsidRPr="002F4E96">
        <w:rPr>
          <w:rFonts w:ascii="Times New Roman" w:hAnsi="Times New Roman" w:cs="Times New Roman"/>
        </w:rPr>
        <w:t xml:space="preserve"> to mesh solder joints in </w:t>
      </w:r>
      <w:r w:rsidR="00F54AE7" w:rsidRPr="002F4E96">
        <w:rPr>
          <w:rFonts w:ascii="Times New Roman" w:hAnsi="Times New Roman" w:cs="Times New Roman"/>
        </w:rPr>
        <w:t>FE</w:t>
      </w:r>
      <w:r w:rsidR="00B901B3" w:rsidRPr="002F4E96">
        <w:rPr>
          <w:rFonts w:ascii="Times New Roman" w:hAnsi="Times New Roman" w:cs="Times New Roman"/>
        </w:rPr>
        <w:t xml:space="preserve"> software. </w:t>
      </w:r>
      <w:r w:rsidR="00B7741A" w:rsidRPr="002F4E96">
        <w:rPr>
          <w:rFonts w:ascii="Times New Roman" w:hAnsi="Times New Roman" w:cs="Times New Roman"/>
        </w:rPr>
        <w:t>Under consideration, the</w:t>
      </w:r>
      <w:r w:rsidR="00B901B3" w:rsidRPr="002F4E96">
        <w:rPr>
          <w:rFonts w:ascii="Times New Roman" w:hAnsi="Times New Roman" w:cs="Times New Roman"/>
        </w:rPr>
        <w:t xml:space="preserve"> BGA and </w:t>
      </w:r>
      <w:r w:rsidR="00F54AE7" w:rsidRPr="002F4E96">
        <w:rPr>
          <w:rFonts w:ascii="Times New Roman" w:hAnsi="Times New Roman" w:cs="Times New Roman"/>
        </w:rPr>
        <w:t>PCB</w:t>
      </w:r>
      <w:r w:rsidR="00B901B3" w:rsidRPr="002F4E96">
        <w:rPr>
          <w:rFonts w:ascii="Times New Roman" w:hAnsi="Times New Roman" w:cs="Times New Roman"/>
        </w:rPr>
        <w:t xml:space="preserve"> structure </w:t>
      </w:r>
      <w:r w:rsidR="00407878" w:rsidRPr="002F4E96">
        <w:rPr>
          <w:rFonts w:ascii="Times New Roman" w:hAnsi="Times New Roman" w:cs="Times New Roman"/>
        </w:rPr>
        <w:t xml:space="preserve">model </w:t>
      </w:r>
      <w:r w:rsidR="00B901B3" w:rsidRPr="002F4E96">
        <w:rPr>
          <w:rFonts w:ascii="Times New Roman" w:hAnsi="Times New Roman" w:cs="Times New Roman"/>
        </w:rPr>
        <w:t xml:space="preserve">consists of lead-based </w:t>
      </w:r>
      <w:r w:rsidR="00656FA6" w:rsidRPr="002F4E96">
        <w:rPr>
          <w:rFonts w:ascii="Times New Roman" w:hAnsi="Times New Roman" w:cs="Times New Roman"/>
        </w:rPr>
        <w:t xml:space="preserve">eutectic </w:t>
      </w:r>
      <w:r w:rsidR="009F576B" w:rsidRPr="002F4E96">
        <w:rPr>
          <w:rFonts w:ascii="Times New Roman" w:hAnsi="Times New Roman" w:cs="Times New Roman"/>
        </w:rPr>
        <w:t>Sn63Pb37</w:t>
      </w:r>
      <w:r w:rsidR="00B901B3" w:rsidRPr="002F4E96">
        <w:rPr>
          <w:rFonts w:ascii="Times New Roman" w:hAnsi="Times New Roman" w:cs="Times New Roman"/>
        </w:rPr>
        <w:t xml:space="preserve"> and lead-free</w:t>
      </w:r>
      <w:r w:rsidR="00656FA6" w:rsidRPr="002F4E96">
        <w:rPr>
          <w:rFonts w:ascii="Times New Roman" w:hAnsi="Times New Roman" w:cs="Times New Roman"/>
        </w:rPr>
        <w:t xml:space="preserve"> </w:t>
      </w:r>
      <w:r w:rsidR="00F54AE7" w:rsidRPr="002F4E96">
        <w:rPr>
          <w:rFonts w:ascii="Times New Roman" w:hAnsi="Times New Roman" w:cs="Times New Roman"/>
        </w:rPr>
        <w:t>SAC</w:t>
      </w:r>
      <w:r w:rsidR="00B901B3" w:rsidRPr="002F4E96">
        <w:rPr>
          <w:rFonts w:ascii="Times New Roman" w:hAnsi="Times New Roman" w:cs="Times New Roman"/>
        </w:rPr>
        <w:t xml:space="preserve"> (SAC305, SAC387, SAC396 </w:t>
      </w:r>
      <w:r w:rsidR="00B20728" w:rsidRPr="002F4E96">
        <w:rPr>
          <w:rFonts w:ascii="Times New Roman" w:hAnsi="Times New Roman" w:cs="Times New Roman"/>
        </w:rPr>
        <w:t>and</w:t>
      </w:r>
      <w:r w:rsidR="00B901B3" w:rsidRPr="002F4E96">
        <w:rPr>
          <w:rFonts w:ascii="Times New Roman" w:hAnsi="Times New Roman" w:cs="Times New Roman"/>
        </w:rPr>
        <w:t xml:space="preserve"> SAC405) </w:t>
      </w:r>
      <w:r w:rsidR="003337E7" w:rsidRPr="002F4E96">
        <w:rPr>
          <w:rFonts w:ascii="Times New Roman" w:hAnsi="Times New Roman" w:cs="Times New Roman"/>
        </w:rPr>
        <w:t>solder joints</w:t>
      </w:r>
      <w:r w:rsidR="00B901B3" w:rsidRPr="002F4E96">
        <w:rPr>
          <w:rFonts w:ascii="Times New Roman" w:hAnsi="Times New Roman" w:cs="Times New Roman"/>
        </w:rPr>
        <w:t xml:space="preserve"> </w:t>
      </w:r>
      <w:r w:rsidR="00656FA6" w:rsidRPr="002F4E96">
        <w:rPr>
          <w:rFonts w:ascii="Times New Roman" w:hAnsi="Times New Roman" w:cs="Times New Roman"/>
        </w:rPr>
        <w:t>presented</w:t>
      </w:r>
      <w:r w:rsidR="00B901B3" w:rsidRPr="002F4E96">
        <w:rPr>
          <w:rFonts w:ascii="Times New Roman" w:hAnsi="Times New Roman" w:cs="Times New Roman"/>
        </w:rPr>
        <w:t xml:space="preserve"> in Fig. </w:t>
      </w:r>
      <w:r w:rsidR="00936935" w:rsidRPr="002F4E96">
        <w:rPr>
          <w:rFonts w:ascii="Times New Roman" w:hAnsi="Times New Roman" w:cs="Times New Roman"/>
        </w:rPr>
        <w:t>3</w:t>
      </w:r>
      <w:r w:rsidR="003337E7" w:rsidRPr="002F4E96">
        <w:rPr>
          <w:rFonts w:ascii="Times New Roman" w:hAnsi="Times New Roman" w:cs="Times New Roman"/>
        </w:rPr>
        <w:t xml:space="preserve">. </w:t>
      </w:r>
      <w:r w:rsidR="00407878" w:rsidRPr="002F4E96">
        <w:rPr>
          <w:rFonts w:ascii="Times New Roman" w:hAnsi="Times New Roman" w:cs="Times New Roman"/>
        </w:rPr>
        <w:t>Selective</w:t>
      </w:r>
      <w:r w:rsidR="00B901B3" w:rsidRPr="002F4E96">
        <w:rPr>
          <w:rFonts w:ascii="Times New Roman" w:hAnsi="Times New Roman" w:cs="Times New Roman"/>
        </w:rPr>
        <w:t xml:space="preserve"> mesh refinement </w:t>
      </w:r>
      <w:r w:rsidR="00E81DCD" w:rsidRPr="002F4E96">
        <w:rPr>
          <w:rFonts w:ascii="Times New Roman" w:hAnsi="Times New Roman" w:cs="Times New Roman"/>
        </w:rPr>
        <w:t>concentrates</w:t>
      </w:r>
      <w:r w:rsidR="00B901B3" w:rsidRPr="002F4E96">
        <w:rPr>
          <w:rFonts w:ascii="Times New Roman" w:hAnsi="Times New Roman" w:cs="Times New Roman"/>
        </w:rPr>
        <w:t xml:space="preserve"> highly refined </w:t>
      </w:r>
      <w:r w:rsidR="00063D5E" w:rsidRPr="002F4E96">
        <w:rPr>
          <w:rFonts w:ascii="Times New Roman" w:hAnsi="Times New Roman" w:cs="Times New Roman"/>
        </w:rPr>
        <w:t>elements</w:t>
      </w:r>
      <w:r w:rsidR="00B901B3" w:rsidRPr="002F4E96">
        <w:rPr>
          <w:rFonts w:ascii="Times New Roman" w:hAnsi="Times New Roman" w:cs="Times New Roman"/>
        </w:rPr>
        <w:t xml:space="preserve"> in the solder joints</w:t>
      </w:r>
      <w:r w:rsidR="00063D5E" w:rsidRPr="002F4E96">
        <w:rPr>
          <w:rFonts w:ascii="Times New Roman" w:hAnsi="Times New Roman" w:cs="Times New Roman"/>
        </w:rPr>
        <w:t>, most</w:t>
      </w:r>
      <w:r w:rsidR="00B901B3" w:rsidRPr="002F4E96">
        <w:rPr>
          <w:rFonts w:ascii="Times New Roman" w:hAnsi="Times New Roman" w:cs="Times New Roman"/>
        </w:rPr>
        <w:t xml:space="preserve"> likely to fail, sparse or coarse elements for other materials.</w:t>
      </w:r>
    </w:p>
    <w:p w14:paraId="303F52B4" w14:textId="549DD277" w:rsidR="00B901B3" w:rsidRPr="002F4E96" w:rsidRDefault="00B901B3" w:rsidP="00063D5E">
      <w:pPr>
        <w:spacing w:line="360" w:lineRule="auto"/>
        <w:jc w:val="both"/>
        <w:rPr>
          <w:rFonts w:ascii="Times New Roman" w:hAnsi="Times New Roman" w:cs="Times New Roman"/>
        </w:rPr>
      </w:pPr>
      <w:r w:rsidRPr="002F4E96">
        <w:rPr>
          <w:rFonts w:ascii="Times New Roman" w:hAnsi="Times New Roman" w:cs="Times New Roman"/>
        </w:rPr>
        <w:t xml:space="preserve">Moreover, zero displacement constraints of </w:t>
      </w:r>
      <w:r w:rsidR="00063D5E" w:rsidRPr="002F4E96">
        <w:rPr>
          <w:rFonts w:ascii="Times New Roman" w:hAnsi="Times New Roman" w:cs="Times New Roman"/>
        </w:rPr>
        <w:t xml:space="preserve">the </w:t>
      </w:r>
      <w:r w:rsidRPr="002F4E96">
        <w:rPr>
          <w:rFonts w:ascii="Times New Roman" w:hAnsi="Times New Roman" w:cs="Times New Roman"/>
        </w:rPr>
        <w:t xml:space="preserve">vertical direction of the cross-area were applied to the cross-sections of the quarter model, namely all nodes on the symmetric surface (X=0, Z=0) were fixed in the corresponding directions (X, Z), and the node at the origin (X=Y=Z=0) was fixed in any directions. </w:t>
      </w:r>
      <w:r w:rsidR="00063D5E" w:rsidRPr="002F4E96">
        <w:rPr>
          <w:rFonts w:ascii="Times New Roman" w:hAnsi="Times New Roman" w:cs="Times New Roman"/>
        </w:rPr>
        <w:t xml:space="preserve">The author employed the ANSYS software </w:t>
      </w:r>
      <w:r w:rsidRPr="002F4E96">
        <w:rPr>
          <w:rFonts w:ascii="Times New Roman" w:hAnsi="Times New Roman" w:cs="Times New Roman"/>
        </w:rPr>
        <w:t>for the finite element model (</w:t>
      </w:r>
      <w:r w:rsidR="00F54AE7" w:rsidRPr="002F4E96">
        <w:rPr>
          <w:rFonts w:ascii="Times New Roman" w:hAnsi="Times New Roman" w:cs="Times New Roman"/>
        </w:rPr>
        <w:t>FEM</w:t>
      </w:r>
      <w:r w:rsidRPr="002F4E96">
        <w:rPr>
          <w:rFonts w:ascii="Times New Roman" w:hAnsi="Times New Roman" w:cs="Times New Roman"/>
        </w:rPr>
        <w:t xml:space="preserve">). A 3D </w:t>
      </w:r>
      <w:r w:rsidR="00F54AE7" w:rsidRPr="002F4E96">
        <w:rPr>
          <w:rFonts w:ascii="Times New Roman" w:hAnsi="Times New Roman" w:cs="Times New Roman"/>
        </w:rPr>
        <w:t>FE</w:t>
      </w:r>
      <w:r w:rsidRPr="002F4E96">
        <w:rPr>
          <w:rFonts w:ascii="Times New Roman" w:hAnsi="Times New Roman" w:cs="Times New Roman"/>
        </w:rPr>
        <w:t xml:space="preserve"> model of the </w:t>
      </w:r>
      <w:r w:rsidR="00063D5E" w:rsidRPr="002F4E96">
        <w:rPr>
          <w:rFonts w:ascii="Times New Roman" w:hAnsi="Times New Roman" w:cs="Times New Roman"/>
        </w:rPr>
        <w:t>BGA assembly</w:t>
      </w:r>
      <w:r w:rsidRPr="002F4E96">
        <w:rPr>
          <w:rFonts w:ascii="Times New Roman" w:hAnsi="Times New Roman" w:cs="Times New Roman"/>
        </w:rPr>
        <w:t xml:space="preserve"> on </w:t>
      </w:r>
      <w:r w:rsidR="00F54AE7" w:rsidRPr="002F4E96">
        <w:rPr>
          <w:rFonts w:ascii="Times New Roman" w:hAnsi="Times New Roman" w:cs="Times New Roman"/>
        </w:rPr>
        <w:t>PCB</w:t>
      </w:r>
      <w:r w:rsidRPr="002F4E96">
        <w:rPr>
          <w:rFonts w:ascii="Times New Roman" w:hAnsi="Times New Roman" w:cs="Times New Roman"/>
        </w:rPr>
        <w:t xml:space="preserve"> components is shown in Fig. </w:t>
      </w:r>
      <w:r w:rsidR="000D6A7F" w:rsidRPr="002F4E96">
        <w:rPr>
          <w:rFonts w:ascii="Times New Roman" w:hAnsi="Times New Roman" w:cs="Times New Roman"/>
        </w:rPr>
        <w:t>5</w:t>
      </w:r>
      <w:r w:rsidR="00063D5E" w:rsidRPr="002F4E96">
        <w:rPr>
          <w:rFonts w:ascii="Times New Roman" w:hAnsi="Times New Roman" w:cs="Times New Roman"/>
        </w:rPr>
        <w:t>,</w:t>
      </w:r>
      <w:r w:rsidRPr="002F4E96">
        <w:rPr>
          <w:rFonts w:ascii="Times New Roman" w:hAnsi="Times New Roman" w:cs="Times New Roman"/>
        </w:rPr>
        <w:t xml:space="preserve"> created using SolidWorks software. The meshed components part of the solder balls undergoes mesh convergence to arrive at a converged </w:t>
      </w:r>
      <w:r w:rsidRPr="002F4E96">
        <w:rPr>
          <w:rFonts w:ascii="Times New Roman" w:hAnsi="Times New Roman" w:cs="Times New Roman"/>
        </w:rPr>
        <w:lastRenderedPageBreak/>
        <w:t xml:space="preserve">solution. The microelectronics package model used in this work </w:t>
      </w:r>
      <w:r w:rsidR="00063D5E" w:rsidRPr="002F4E96">
        <w:rPr>
          <w:rFonts w:ascii="Times New Roman" w:hAnsi="Times New Roman" w:cs="Times New Roman"/>
        </w:rPr>
        <w:t>comprises</w:t>
      </w:r>
      <w:r w:rsidRPr="002F4E96">
        <w:rPr>
          <w:rFonts w:ascii="Times New Roman" w:hAnsi="Times New Roman" w:cs="Times New Roman"/>
        </w:rPr>
        <w:t xml:space="preserve"> a </w:t>
      </w:r>
      <w:r w:rsidR="00F54AE7" w:rsidRPr="002F4E96">
        <w:rPr>
          <w:rFonts w:ascii="Times New Roman" w:hAnsi="Times New Roman" w:cs="Times New Roman"/>
        </w:rPr>
        <w:t>PCB</w:t>
      </w:r>
      <w:r w:rsidRPr="002F4E96">
        <w:rPr>
          <w:rFonts w:ascii="Times New Roman" w:hAnsi="Times New Roman" w:cs="Times New Roman"/>
        </w:rPr>
        <w:t xml:space="preserve">, silicon mask and substrate, Cu Pad, Epoxy-Resin (FR-4) Die, solder balls and </w:t>
      </w:r>
      <w:r w:rsidR="00F54AE7" w:rsidRPr="002F4E96">
        <w:rPr>
          <w:rFonts w:ascii="Times New Roman" w:hAnsi="Times New Roman" w:cs="Times New Roman"/>
        </w:rPr>
        <w:t>PCB</w:t>
      </w:r>
      <w:r w:rsidRPr="002F4E96">
        <w:rPr>
          <w:rFonts w:ascii="Times New Roman" w:hAnsi="Times New Roman" w:cs="Times New Roman"/>
        </w:rPr>
        <w:t xml:space="preserve"> mask.</w:t>
      </w:r>
      <w:r w:rsidR="00D876AF" w:rsidRPr="002F4E96">
        <w:rPr>
          <w:rFonts w:ascii="Times New Roman" w:hAnsi="Times New Roman" w:cs="Times New Roman"/>
        </w:rPr>
        <w:t xml:space="preserve"> The details of the package and solder structure </w:t>
      </w:r>
      <w:r w:rsidR="00063D5E" w:rsidRPr="002F4E96">
        <w:rPr>
          <w:rFonts w:ascii="Times New Roman" w:hAnsi="Times New Roman" w:cs="Times New Roman"/>
        </w:rPr>
        <w:t>are</w:t>
      </w:r>
      <w:r w:rsidR="00D876AF" w:rsidRPr="002F4E96">
        <w:rPr>
          <w:rFonts w:ascii="Times New Roman" w:hAnsi="Times New Roman" w:cs="Times New Roman"/>
        </w:rPr>
        <w:t xml:space="preserve"> presented in Figs. </w:t>
      </w:r>
      <w:r w:rsidR="00936935" w:rsidRPr="002F4E96">
        <w:rPr>
          <w:rFonts w:ascii="Times New Roman" w:hAnsi="Times New Roman" w:cs="Times New Roman"/>
        </w:rPr>
        <w:t>4</w:t>
      </w:r>
      <w:r w:rsidR="00D876AF" w:rsidRPr="002F4E96">
        <w:rPr>
          <w:rFonts w:ascii="Times New Roman" w:hAnsi="Times New Roman" w:cs="Times New Roman"/>
        </w:rPr>
        <w:t xml:space="preserve"> and </w:t>
      </w:r>
      <w:r w:rsidR="00936935" w:rsidRPr="002F4E96">
        <w:rPr>
          <w:rFonts w:ascii="Times New Roman" w:hAnsi="Times New Roman" w:cs="Times New Roman"/>
        </w:rPr>
        <w:t>5</w:t>
      </w:r>
      <w:r w:rsidR="00614908">
        <w:rPr>
          <w:rFonts w:ascii="Times New Roman" w:hAnsi="Times New Roman" w:cs="Times New Roman"/>
        </w:rPr>
        <w:t>. S</w:t>
      </w:r>
      <w:r w:rsidR="00614908" w:rsidRPr="00614908">
        <w:rPr>
          <w:rFonts w:ascii="Times New Roman" w:hAnsi="Times New Roman" w:cs="Times New Roman"/>
        </w:rPr>
        <w:t xml:space="preserve">everal researchers such as Yang et al. 2008, </w:t>
      </w:r>
      <w:proofErr w:type="spellStart"/>
      <w:r w:rsidR="00614908" w:rsidRPr="00614908">
        <w:rPr>
          <w:rFonts w:ascii="Times New Roman" w:hAnsi="Times New Roman" w:cs="Times New Roman"/>
        </w:rPr>
        <w:t>Stec</w:t>
      </w:r>
      <w:proofErr w:type="spellEnd"/>
      <w:r w:rsidR="00614908" w:rsidRPr="00614908">
        <w:rPr>
          <w:rFonts w:ascii="Times New Roman" w:hAnsi="Times New Roman" w:cs="Times New Roman"/>
        </w:rPr>
        <w:t xml:space="preserve"> 2014, Libot et al. 2016 and Jiang et al. 2019 have used comparable bump geometry</w:t>
      </w:r>
      <w:r w:rsidR="00614908">
        <w:rPr>
          <w:rFonts w:ascii="Times New Roman" w:hAnsi="Times New Roman" w:cs="Times New Roman"/>
        </w:rPr>
        <w:t xml:space="preserve"> for solder alloys</w:t>
      </w:r>
      <w:r w:rsidR="002F2D15">
        <w:rPr>
          <w:rFonts w:ascii="Times New Roman" w:hAnsi="Times New Roman" w:cs="Times New Roman"/>
        </w:rPr>
        <w:t>,</w:t>
      </w:r>
      <w:r w:rsidR="00614908">
        <w:rPr>
          <w:rFonts w:ascii="Times New Roman" w:hAnsi="Times New Roman" w:cs="Times New Roman"/>
        </w:rPr>
        <w:t xml:space="preserve"> such as one used in this study.</w:t>
      </w:r>
    </w:p>
    <w:p w14:paraId="0EABB158" w14:textId="332AEE73" w:rsidR="00D876AF" w:rsidRPr="002F4E96" w:rsidRDefault="00D876AF" w:rsidP="00D876AF">
      <w:pPr>
        <w:jc w:val="center"/>
        <w:rPr>
          <w:rFonts w:ascii="Times New Roman" w:hAnsi="Times New Roman" w:cs="Times New Roman"/>
          <w:bCs/>
        </w:rPr>
      </w:pPr>
      <w:r w:rsidRPr="002F4E96">
        <w:rPr>
          <w:rFonts w:ascii="Times New Roman" w:hAnsi="Times New Roman" w:cs="Times New Roman"/>
          <w:noProof/>
          <w:lang w:eastAsia="en-GB"/>
        </w:rPr>
        <w:drawing>
          <wp:inline distT="0" distB="0" distL="0" distR="0" wp14:anchorId="62574D27" wp14:editId="642D1F26">
            <wp:extent cx="5855949" cy="1693333"/>
            <wp:effectExtent l="0" t="0" r="0" b="0"/>
            <wp:docPr id="78" name="Picture 78" descr="A picture contain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6462" cy="1742639"/>
                    </a:xfrm>
                    <a:prstGeom prst="rect">
                      <a:avLst/>
                    </a:prstGeom>
                  </pic:spPr>
                </pic:pic>
              </a:graphicData>
            </a:graphic>
          </wp:inline>
        </w:drawing>
      </w:r>
    </w:p>
    <w:p w14:paraId="6BBF48F2" w14:textId="01E3783A" w:rsidR="00D876AF" w:rsidRPr="002F4E96" w:rsidRDefault="00D876AF" w:rsidP="00D876AF">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936935" w:rsidRPr="002F4E96">
        <w:rPr>
          <w:rFonts w:ascii="Times New Roman" w:hAnsi="Times New Roman" w:cs="Times New Roman"/>
          <w:b w:val="0"/>
          <w:bCs w:val="0"/>
          <w:color w:val="auto"/>
          <w:sz w:val="22"/>
          <w:szCs w:val="22"/>
        </w:rPr>
        <w:t>3</w:t>
      </w:r>
      <w:r w:rsidRPr="002F4E96">
        <w:rPr>
          <w:rFonts w:ascii="Times New Roman" w:hAnsi="Times New Roman" w:cs="Times New Roman"/>
          <w:b w:val="0"/>
          <w:bCs w:val="0"/>
          <w:color w:val="auto"/>
          <w:sz w:val="22"/>
          <w:szCs w:val="22"/>
        </w:rPr>
        <w:t xml:space="preserve">: (a) Full Model of assembly (b) A quarter assembly of the model with meshing on a </w:t>
      </w:r>
      <w:r w:rsidR="00F54AE7" w:rsidRPr="002F4E96">
        <w:rPr>
          <w:rFonts w:ascii="Times New Roman" w:hAnsi="Times New Roman" w:cs="Times New Roman"/>
          <w:b w:val="0"/>
          <w:bCs w:val="0"/>
          <w:color w:val="auto"/>
          <w:sz w:val="22"/>
          <w:szCs w:val="22"/>
        </w:rPr>
        <w:t>PCB</w:t>
      </w:r>
      <w:r w:rsidRPr="002F4E96">
        <w:rPr>
          <w:rFonts w:ascii="Times New Roman" w:hAnsi="Times New Roman" w:cs="Times New Roman"/>
          <w:b w:val="0"/>
          <w:bCs w:val="0"/>
          <w:color w:val="auto"/>
          <w:sz w:val="22"/>
          <w:szCs w:val="22"/>
        </w:rPr>
        <w:t xml:space="preserve"> using the solder joints as the interconnection technology (with 226</w:t>
      </w:r>
      <w:r w:rsidR="00B127EC" w:rsidRPr="002F4E96">
        <w:rPr>
          <w:rFonts w:ascii="Times New Roman" w:hAnsi="Times New Roman" w:cs="Times New Roman"/>
          <w:b w:val="0"/>
          <w:bCs w:val="0"/>
          <w:color w:val="auto"/>
          <w:sz w:val="22"/>
          <w:szCs w:val="22"/>
        </w:rPr>
        <w:t>,</w:t>
      </w:r>
      <w:r w:rsidRPr="002F4E96">
        <w:rPr>
          <w:rFonts w:ascii="Times New Roman" w:hAnsi="Times New Roman" w:cs="Times New Roman"/>
          <w:b w:val="0"/>
          <w:bCs w:val="0"/>
          <w:color w:val="auto"/>
          <w:sz w:val="22"/>
          <w:szCs w:val="22"/>
        </w:rPr>
        <w:t>252 nodes and 59</w:t>
      </w:r>
      <w:r w:rsidR="00B127EC" w:rsidRPr="002F4E96">
        <w:rPr>
          <w:rFonts w:ascii="Times New Roman" w:hAnsi="Times New Roman" w:cs="Times New Roman"/>
          <w:b w:val="0"/>
          <w:bCs w:val="0"/>
          <w:color w:val="auto"/>
          <w:sz w:val="22"/>
          <w:szCs w:val="22"/>
        </w:rPr>
        <w:t>,</w:t>
      </w:r>
      <w:r w:rsidRPr="002F4E96">
        <w:rPr>
          <w:rFonts w:ascii="Times New Roman" w:hAnsi="Times New Roman" w:cs="Times New Roman"/>
          <w:b w:val="0"/>
          <w:bCs w:val="0"/>
          <w:color w:val="auto"/>
          <w:sz w:val="22"/>
          <w:szCs w:val="22"/>
        </w:rPr>
        <w:t>105 elements)</w:t>
      </w:r>
    </w:p>
    <w:p w14:paraId="245E4CCC" w14:textId="40931B6F" w:rsidR="00D876AF" w:rsidRPr="002F4E96" w:rsidRDefault="00336069" w:rsidP="00D876AF">
      <w:pPr>
        <w:spacing w:line="360" w:lineRule="auto"/>
        <w:jc w:val="center"/>
        <w:rPr>
          <w:rFonts w:ascii="Times New Roman" w:hAnsi="Times New Roman" w:cs="Times New Roman"/>
        </w:rPr>
      </w:pPr>
      <w:r w:rsidRPr="002F4E96">
        <w:rPr>
          <w:rFonts w:ascii="Times New Roman" w:hAnsi="Times New Roman" w:cs="Times New Roman"/>
          <w:noProof/>
        </w:rPr>
        <w:drawing>
          <wp:inline distT="0" distB="0" distL="0" distR="0" wp14:anchorId="66904192" wp14:editId="3D26B8E4">
            <wp:extent cx="5899099" cy="1862667"/>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03961" cy="1864202"/>
                    </a:xfrm>
                    <a:prstGeom prst="rect">
                      <a:avLst/>
                    </a:prstGeom>
                  </pic:spPr>
                </pic:pic>
              </a:graphicData>
            </a:graphic>
          </wp:inline>
        </w:drawing>
      </w:r>
    </w:p>
    <w:p w14:paraId="50B502B4" w14:textId="03101C09" w:rsidR="00D876AF" w:rsidRPr="002F4E96" w:rsidRDefault="00D876AF" w:rsidP="00D876AF">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936935" w:rsidRPr="002F4E96">
        <w:rPr>
          <w:rFonts w:ascii="Times New Roman" w:hAnsi="Times New Roman" w:cs="Times New Roman"/>
          <w:b w:val="0"/>
          <w:bCs w:val="0"/>
          <w:color w:val="auto"/>
          <w:sz w:val="22"/>
          <w:szCs w:val="22"/>
        </w:rPr>
        <w:t>4</w:t>
      </w:r>
      <w:r w:rsidRPr="002F4E96">
        <w:rPr>
          <w:rFonts w:ascii="Times New Roman" w:hAnsi="Times New Roman" w:cs="Times New Roman"/>
          <w:b w:val="0"/>
          <w:bCs w:val="0"/>
          <w:color w:val="auto"/>
          <w:sz w:val="22"/>
          <w:szCs w:val="22"/>
        </w:rPr>
        <w:t xml:space="preserve">: Details of the package before assembling on a </w:t>
      </w:r>
      <w:r w:rsidR="00F54AE7" w:rsidRPr="002F4E96">
        <w:rPr>
          <w:rFonts w:ascii="Times New Roman" w:hAnsi="Times New Roman" w:cs="Times New Roman"/>
          <w:b w:val="0"/>
          <w:bCs w:val="0"/>
          <w:color w:val="auto"/>
          <w:sz w:val="22"/>
          <w:szCs w:val="22"/>
        </w:rPr>
        <w:t>PCB</w:t>
      </w:r>
      <w:r w:rsidRPr="002F4E96">
        <w:rPr>
          <w:rFonts w:ascii="Times New Roman" w:hAnsi="Times New Roman" w:cs="Times New Roman"/>
          <w:b w:val="0"/>
          <w:bCs w:val="0"/>
          <w:color w:val="auto"/>
          <w:sz w:val="22"/>
          <w:szCs w:val="22"/>
        </w:rPr>
        <w:t xml:space="preserve"> showing: (a) SolidWorks full model (b) Sectional view (measurements in mm)</w:t>
      </w:r>
      <w:r w:rsidR="00D2422B" w:rsidRPr="002F4E96">
        <w:rPr>
          <w:rFonts w:ascii="Times New Roman" w:hAnsi="Times New Roman" w:cs="Times New Roman"/>
          <w:b w:val="0"/>
          <w:bCs w:val="0"/>
          <w:color w:val="auto"/>
          <w:sz w:val="22"/>
          <w:szCs w:val="22"/>
        </w:rPr>
        <w:t xml:space="preserve"> (Adapted from</w:t>
      </w:r>
      <w:r w:rsidRPr="002F4E96">
        <w:rPr>
          <w:rFonts w:ascii="Times New Roman" w:hAnsi="Times New Roman" w:cs="Times New Roman"/>
          <w:b w:val="0"/>
          <w:bCs w:val="0"/>
          <w:color w:val="auto"/>
          <w:sz w:val="22"/>
          <w:szCs w:val="22"/>
        </w:rPr>
        <w:t xml:space="preserve"> </w:t>
      </w:r>
      <w:r w:rsidRPr="002F4E96">
        <w:rPr>
          <w:rFonts w:ascii="Times New Roman" w:hAnsi="Times New Roman" w:cs="Times New Roman"/>
          <w:b w:val="0"/>
          <w:bCs w:val="0"/>
          <w:color w:val="auto"/>
          <w:sz w:val="22"/>
          <w:szCs w:val="22"/>
        </w:rPr>
        <w:fldChar w:fldCharType="begin" w:fldLock="1"/>
      </w:r>
      <w:r w:rsidR="007803A4" w:rsidRPr="002F4E96">
        <w:rPr>
          <w:rFonts w:ascii="Times New Roman" w:hAnsi="Times New Roman" w:cs="Times New Roman"/>
          <w:b w:val="0"/>
          <w:bCs w:val="0"/>
          <w:color w:val="auto"/>
          <w:sz w:val="22"/>
          <w:szCs w:val="22"/>
        </w:rPr>
        <w:instrText>ADDIN CSL_CITATION {"citationItems":[{"id":"ITEM-1","itemData":{"URL":"https://www.topline.tv/SMD_vrs_NSMD.html","accessed":{"date-parts":[["2019","2","20"]]},"author":[{"dropping-particle":"","family":"Topline","given":"","non-dropping-particle":"","parse-names":false,"suffix":""}],"id":"ITEM-1","issued":{"date-parts":[["2020"]]},"title":"BGA","type":"webpage"},"uris":["http://www.mendeley.com/documents/?uuid=06ddc150-5e07-4cec-8096-b21fc6c31235"]}],"mendeley":{"formattedCitation":"[62]","plainTextFormattedCitation":"[62]","previouslyFormattedCitation":"[62]"},"properties":{"noteIndex":0},"schema":"https://github.com/citation-style-language/schema/raw/master/csl-citation.json"}</w:instrText>
      </w:r>
      <w:r w:rsidRPr="002F4E96">
        <w:rPr>
          <w:rFonts w:ascii="Times New Roman" w:hAnsi="Times New Roman" w:cs="Times New Roman"/>
          <w:b w:val="0"/>
          <w:bCs w:val="0"/>
          <w:color w:val="auto"/>
          <w:sz w:val="22"/>
          <w:szCs w:val="22"/>
        </w:rPr>
        <w:fldChar w:fldCharType="separate"/>
      </w:r>
      <w:r w:rsidR="0039530C" w:rsidRPr="002F4E96">
        <w:rPr>
          <w:rFonts w:ascii="Times New Roman" w:hAnsi="Times New Roman" w:cs="Times New Roman"/>
          <w:b w:val="0"/>
          <w:bCs w:val="0"/>
          <w:noProof/>
          <w:color w:val="auto"/>
          <w:sz w:val="22"/>
          <w:szCs w:val="22"/>
        </w:rPr>
        <w:t>[62]</w:t>
      </w:r>
      <w:r w:rsidRPr="002F4E96">
        <w:rPr>
          <w:rFonts w:ascii="Times New Roman" w:hAnsi="Times New Roman" w:cs="Times New Roman"/>
          <w:b w:val="0"/>
          <w:bCs w:val="0"/>
          <w:color w:val="auto"/>
          <w:sz w:val="22"/>
          <w:szCs w:val="22"/>
        </w:rPr>
        <w:fldChar w:fldCharType="end"/>
      </w:r>
      <w:r w:rsidR="00D2422B" w:rsidRPr="002F4E96">
        <w:rPr>
          <w:rFonts w:ascii="Times New Roman" w:hAnsi="Times New Roman" w:cs="Times New Roman"/>
          <w:b w:val="0"/>
          <w:bCs w:val="0"/>
          <w:color w:val="auto"/>
          <w:sz w:val="22"/>
          <w:szCs w:val="22"/>
        </w:rPr>
        <w:t>)</w:t>
      </w:r>
    </w:p>
    <w:p w14:paraId="4B359000" w14:textId="2370B96C" w:rsidR="00D876AF" w:rsidRPr="002F4E96" w:rsidRDefault="00336069" w:rsidP="00D876AF">
      <w:pPr>
        <w:spacing w:before="125" w:line="360" w:lineRule="auto"/>
        <w:ind w:right="38"/>
        <w:jc w:val="center"/>
        <w:rPr>
          <w:rFonts w:ascii="Times New Roman" w:hAnsi="Times New Roman" w:cs="Times New Roman"/>
        </w:rPr>
      </w:pPr>
      <w:r w:rsidRPr="002F4E96">
        <w:rPr>
          <w:rFonts w:ascii="Times New Roman" w:hAnsi="Times New Roman" w:cs="Times New Roman"/>
          <w:bCs/>
          <w:noProof/>
          <w:color w:val="000000" w:themeColor="text1"/>
          <w:sz w:val="20"/>
          <w:szCs w:val="20"/>
        </w:rPr>
        <w:drawing>
          <wp:inline distT="0" distB="0" distL="0" distR="0" wp14:anchorId="368623C6" wp14:editId="2B6887B6">
            <wp:extent cx="5511800" cy="2046007"/>
            <wp:effectExtent l="0" t="0" r="0" b="0"/>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a:blip r:embed="rId15"/>
                    <a:stretch>
                      <a:fillRect/>
                    </a:stretch>
                  </pic:blipFill>
                  <pic:spPr>
                    <a:xfrm>
                      <a:off x="0" y="0"/>
                      <a:ext cx="5517649" cy="2048178"/>
                    </a:xfrm>
                    <a:prstGeom prst="rect">
                      <a:avLst/>
                    </a:prstGeom>
                  </pic:spPr>
                </pic:pic>
              </a:graphicData>
            </a:graphic>
          </wp:inline>
        </w:drawing>
      </w:r>
    </w:p>
    <w:p w14:paraId="11FC1483" w14:textId="794A30CE" w:rsidR="00D876AF" w:rsidRPr="002F4E96" w:rsidRDefault="00D876AF" w:rsidP="00B127EC">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936935" w:rsidRPr="002F4E96">
        <w:rPr>
          <w:rFonts w:ascii="Times New Roman" w:hAnsi="Times New Roman" w:cs="Times New Roman"/>
          <w:b w:val="0"/>
          <w:bCs w:val="0"/>
          <w:color w:val="auto"/>
          <w:sz w:val="22"/>
          <w:szCs w:val="22"/>
        </w:rPr>
        <w:t>5</w:t>
      </w:r>
      <w:r w:rsidRPr="002F4E96">
        <w:rPr>
          <w:rFonts w:ascii="Times New Roman" w:hAnsi="Times New Roman" w:cs="Times New Roman"/>
          <w:b w:val="0"/>
          <w:bCs w:val="0"/>
          <w:color w:val="auto"/>
          <w:sz w:val="22"/>
          <w:szCs w:val="22"/>
        </w:rPr>
        <w:t xml:space="preserve">: Solder structure in the </w:t>
      </w:r>
      <w:r w:rsidR="00F54AE7" w:rsidRPr="002F4E96">
        <w:rPr>
          <w:rFonts w:ascii="Times New Roman" w:hAnsi="Times New Roman" w:cs="Times New Roman"/>
          <w:b w:val="0"/>
          <w:bCs w:val="0"/>
          <w:color w:val="auto"/>
          <w:sz w:val="22"/>
          <w:szCs w:val="22"/>
        </w:rPr>
        <w:t>FE</w:t>
      </w:r>
      <w:r w:rsidRPr="002F4E96">
        <w:rPr>
          <w:rFonts w:ascii="Times New Roman" w:hAnsi="Times New Roman" w:cs="Times New Roman"/>
          <w:b w:val="0"/>
          <w:bCs w:val="0"/>
          <w:color w:val="auto"/>
          <w:sz w:val="22"/>
          <w:szCs w:val="22"/>
        </w:rPr>
        <w:t xml:space="preserve"> model with a detailed X Plane- BGA structure in tetrahedrons mesh (measurements in mm)</w:t>
      </w:r>
    </w:p>
    <w:p w14:paraId="0854A03B" w14:textId="647DACA5" w:rsidR="00B901B3" w:rsidRPr="002F4E96" w:rsidRDefault="00D843E6"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lastRenderedPageBreak/>
        <w:t>2.2.</w:t>
      </w:r>
      <w:r w:rsidR="001761F1" w:rsidRPr="002F4E96">
        <w:rPr>
          <w:rFonts w:ascii="Times New Roman" w:hAnsi="Times New Roman" w:cs="Times New Roman"/>
          <w:color w:val="auto"/>
          <w:sz w:val="22"/>
          <w:szCs w:val="22"/>
        </w:rPr>
        <w:t>5</w:t>
      </w:r>
      <w:r w:rsidR="00B901B3" w:rsidRPr="002F4E96">
        <w:rPr>
          <w:rFonts w:ascii="Times New Roman" w:hAnsi="Times New Roman" w:cs="Times New Roman"/>
          <w:color w:val="auto"/>
          <w:sz w:val="22"/>
          <w:szCs w:val="22"/>
        </w:rPr>
        <w:t xml:space="preserve"> Material Properties </w:t>
      </w:r>
      <w:r w:rsidR="00227066" w:rsidRPr="002F4E96">
        <w:rPr>
          <w:rFonts w:ascii="Times New Roman" w:hAnsi="Times New Roman" w:cs="Times New Roman"/>
          <w:color w:val="auto"/>
          <w:sz w:val="22"/>
          <w:szCs w:val="22"/>
        </w:rPr>
        <w:t>and Parameters</w:t>
      </w:r>
    </w:p>
    <w:p w14:paraId="7665D1E8" w14:textId="31A0CA35" w:rsidR="002A2075" w:rsidRPr="002F4E96" w:rsidRDefault="002A2075" w:rsidP="002A2075">
      <w:pPr>
        <w:spacing w:line="360" w:lineRule="auto"/>
        <w:jc w:val="both"/>
        <w:rPr>
          <w:rFonts w:ascii="Times New Roman" w:hAnsi="Times New Roman" w:cs="Times New Roman"/>
        </w:rPr>
      </w:pPr>
      <w:r w:rsidRPr="002F4E96">
        <w:rPr>
          <w:rFonts w:ascii="Times New Roman" w:hAnsi="Times New Roman" w:cs="Times New Roman"/>
        </w:rPr>
        <w:t>The material properties utilised in this work are sourced from several peer-reviewed works of literature. The properties of all other materials are linear and temperature-dependent, except for the PCB. The significant electronic materials employed in the BGA assembly are solder alloys, Silicon (Si) die, copper pad, epoxy-resin, and mask.  All the FEA simulation materials were modelled as linear elastic and isotropic substances except the PCB and the solder joint alloys, simulated using the orthographic materials and Anand empirical models. The material properties utilised for the simulation tests are shown in Tables II and III</w:t>
      </w:r>
      <w:r w:rsidR="00541376" w:rsidRPr="002F4E96">
        <w:rPr>
          <w:rFonts w:ascii="Times New Roman" w:hAnsi="Times New Roman" w:cs="Times New Roman"/>
        </w:rPr>
        <w:t>,</w:t>
      </w:r>
      <w:r w:rsidRPr="002F4E96">
        <w:rPr>
          <w:rFonts w:ascii="Times New Roman" w:hAnsi="Times New Roman" w:cs="Times New Roman"/>
        </w:rPr>
        <w:t xml:space="preserve"> which shows the Anand model empirical constant for lead-based Sn63Pb37, and lead-free SAC305, SAC387, SAC396 and SAC405 solder alloys.</w:t>
      </w:r>
    </w:p>
    <w:p w14:paraId="095E1AD4" w14:textId="2EB87B7A" w:rsidR="00B901B3" w:rsidRPr="002F4E96" w:rsidRDefault="007A5EDD" w:rsidP="002A2075">
      <w:pPr>
        <w:spacing w:line="360" w:lineRule="auto"/>
        <w:jc w:val="both"/>
        <w:rPr>
          <w:rFonts w:ascii="Times New Roman" w:hAnsi="Times New Roman" w:cs="Times New Roman"/>
        </w:rPr>
      </w:pPr>
      <w:r w:rsidRPr="002F4E96">
        <w:rPr>
          <w:rFonts w:ascii="Times New Roman" w:hAnsi="Times New Roman" w:cs="Times New Roman"/>
        </w:rPr>
        <w:t xml:space="preserve">Table </w:t>
      </w:r>
      <w:r w:rsidR="003A0349" w:rsidRPr="002F4E96">
        <w:rPr>
          <w:rFonts w:ascii="Times New Roman" w:hAnsi="Times New Roman" w:cs="Times New Roman"/>
        </w:rPr>
        <w:t>II</w:t>
      </w:r>
      <w:r w:rsidR="00B901B3" w:rsidRPr="002F4E96">
        <w:rPr>
          <w:rFonts w:ascii="Times New Roman" w:hAnsi="Times New Roman" w:cs="Times New Roman"/>
        </w:rPr>
        <w:t xml:space="preserve">: Materials properties for the BGA on </w:t>
      </w:r>
      <w:r w:rsidR="00F54AE7" w:rsidRPr="002F4E96">
        <w:rPr>
          <w:rFonts w:ascii="Times New Roman" w:hAnsi="Times New Roman" w:cs="Times New Roman"/>
        </w:rPr>
        <w:t>PCB</w:t>
      </w:r>
      <w:r w:rsidR="00B901B3" w:rsidRPr="002F4E96">
        <w:rPr>
          <w:rFonts w:ascii="Times New Roman" w:hAnsi="Times New Roman" w:cs="Times New Roman"/>
        </w:rPr>
        <w:t xml:space="preserve"> Components</w:t>
      </w:r>
    </w:p>
    <w:tbl>
      <w:tblPr>
        <w:tblStyle w:val="PlainTable2"/>
        <w:tblpPr w:leftFromText="180" w:rightFromText="180" w:vertAnchor="text" w:tblpY="1"/>
        <w:tblOverlap w:val="never"/>
        <w:tblW w:w="8682" w:type="dxa"/>
        <w:tblLook w:val="04A0" w:firstRow="1" w:lastRow="0" w:firstColumn="1" w:lastColumn="0" w:noHBand="0" w:noVBand="1"/>
      </w:tblPr>
      <w:tblGrid>
        <w:gridCol w:w="1794"/>
        <w:gridCol w:w="1157"/>
        <w:gridCol w:w="732"/>
        <w:gridCol w:w="623"/>
        <w:gridCol w:w="623"/>
        <w:gridCol w:w="624"/>
        <w:gridCol w:w="624"/>
        <w:gridCol w:w="624"/>
        <w:gridCol w:w="632"/>
        <w:gridCol w:w="624"/>
        <w:gridCol w:w="625"/>
      </w:tblGrid>
      <w:tr w:rsidR="003757E0" w:rsidRPr="002F4E96" w14:paraId="0446B2E1" w14:textId="77777777" w:rsidTr="007803A4">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94" w:type="dxa"/>
            <w:vMerge w:val="restart"/>
            <w:vAlign w:val="center"/>
          </w:tcPr>
          <w:p w14:paraId="7A37EDDC"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Materials</w:t>
            </w:r>
          </w:p>
        </w:tc>
        <w:tc>
          <w:tcPr>
            <w:tcW w:w="1157" w:type="dxa"/>
            <w:vMerge w:val="restart"/>
            <w:vAlign w:val="center"/>
          </w:tcPr>
          <w:p w14:paraId="4EAD0FA0"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Reference</w:t>
            </w:r>
          </w:p>
        </w:tc>
        <w:tc>
          <w:tcPr>
            <w:tcW w:w="1978" w:type="dxa"/>
            <w:gridSpan w:val="3"/>
            <w:vAlign w:val="center"/>
          </w:tcPr>
          <w:p w14:paraId="603D4CF5"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Young’s</w:t>
            </w:r>
          </w:p>
          <w:p w14:paraId="2ABE390F"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Modulus (GPa)</w:t>
            </w:r>
          </w:p>
        </w:tc>
        <w:tc>
          <w:tcPr>
            <w:tcW w:w="1872" w:type="dxa"/>
            <w:gridSpan w:val="3"/>
            <w:vAlign w:val="center"/>
          </w:tcPr>
          <w:p w14:paraId="5E9FB70F" w14:textId="244AD41D" w:rsidR="00B901B3" w:rsidRPr="002F4E96" w:rsidRDefault="00F54AE7"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CTE</w:t>
            </w:r>
          </w:p>
          <w:p w14:paraId="303EA6A6"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(ppm/</w:t>
            </w:r>
            <m:oMath>
              <m:r>
                <m:rPr>
                  <m:sty m:val="b"/>
                </m:rPr>
                <w:rPr>
                  <w:rFonts w:ascii="Cambria Math" w:hAnsi="Cambria Math" w:cs="Times New Roman"/>
                  <w:sz w:val="22"/>
                  <w:szCs w:val="22"/>
                </w:rPr>
                <m:t>℃)</m:t>
              </m:r>
            </m:oMath>
          </w:p>
        </w:tc>
        <w:tc>
          <w:tcPr>
            <w:tcW w:w="1881" w:type="dxa"/>
            <w:gridSpan w:val="3"/>
            <w:vAlign w:val="center"/>
          </w:tcPr>
          <w:p w14:paraId="6E8BECDE"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Poisson’s</w:t>
            </w:r>
          </w:p>
          <w:p w14:paraId="090AF431" w14:textId="77777777" w:rsidR="00B901B3" w:rsidRPr="002F4E96" w:rsidRDefault="00B901B3" w:rsidP="007803A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Ratio</w:t>
            </w:r>
          </w:p>
        </w:tc>
      </w:tr>
      <w:tr w:rsidR="003757E0" w:rsidRPr="002F4E96" w14:paraId="417A6E88" w14:textId="77777777" w:rsidTr="007803A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vMerge/>
            <w:vAlign w:val="center"/>
          </w:tcPr>
          <w:p w14:paraId="27490242" w14:textId="77777777" w:rsidR="00B901B3" w:rsidRPr="002F4E96" w:rsidRDefault="00B901B3" w:rsidP="007803A4">
            <w:pPr>
              <w:spacing w:line="276" w:lineRule="auto"/>
              <w:jc w:val="center"/>
              <w:rPr>
                <w:rFonts w:ascii="Times New Roman" w:hAnsi="Times New Roman" w:cs="Times New Roman"/>
                <w:sz w:val="22"/>
                <w:szCs w:val="22"/>
              </w:rPr>
            </w:pPr>
          </w:p>
        </w:tc>
        <w:tc>
          <w:tcPr>
            <w:tcW w:w="1157" w:type="dxa"/>
            <w:vMerge/>
            <w:vAlign w:val="center"/>
          </w:tcPr>
          <w:p w14:paraId="36E8715F" w14:textId="77777777" w:rsidR="00B901B3" w:rsidRPr="002F4E96" w:rsidRDefault="00B901B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32" w:type="dxa"/>
            <w:vAlign w:val="center"/>
          </w:tcPr>
          <w:p w14:paraId="0E5229B9"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x</m:t>
                    </m:r>
                  </m:sub>
                </m:sSub>
              </m:oMath>
            </m:oMathPara>
          </w:p>
        </w:tc>
        <w:tc>
          <w:tcPr>
            <w:tcW w:w="623" w:type="dxa"/>
            <w:vAlign w:val="center"/>
          </w:tcPr>
          <w:p w14:paraId="01175A61"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y</m:t>
                    </m:r>
                  </m:sub>
                </m:sSub>
              </m:oMath>
            </m:oMathPara>
          </w:p>
        </w:tc>
        <w:tc>
          <w:tcPr>
            <w:tcW w:w="623" w:type="dxa"/>
            <w:vAlign w:val="center"/>
          </w:tcPr>
          <w:p w14:paraId="77F2E93E"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E</m:t>
                    </m:r>
                  </m:e>
                  <m:sub>
                    <m:r>
                      <w:rPr>
                        <w:rFonts w:ascii="Cambria Math" w:hAnsi="Cambria Math" w:cs="Times New Roman"/>
                        <w:sz w:val="22"/>
                        <w:szCs w:val="22"/>
                      </w:rPr>
                      <m:t>z</m:t>
                    </m:r>
                  </m:sub>
                </m:sSub>
              </m:oMath>
            </m:oMathPara>
          </w:p>
        </w:tc>
        <w:tc>
          <w:tcPr>
            <w:tcW w:w="624" w:type="dxa"/>
            <w:vAlign w:val="center"/>
          </w:tcPr>
          <w:p w14:paraId="3CEADD98"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x</m:t>
                    </m:r>
                  </m:sub>
                </m:sSub>
              </m:oMath>
            </m:oMathPara>
          </w:p>
        </w:tc>
        <w:tc>
          <w:tcPr>
            <w:tcW w:w="624" w:type="dxa"/>
            <w:vAlign w:val="center"/>
          </w:tcPr>
          <w:p w14:paraId="1943EF28"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y</m:t>
                    </m:r>
                  </m:sub>
                </m:sSub>
              </m:oMath>
            </m:oMathPara>
          </w:p>
        </w:tc>
        <w:tc>
          <w:tcPr>
            <w:tcW w:w="624" w:type="dxa"/>
            <w:vAlign w:val="center"/>
          </w:tcPr>
          <w:p w14:paraId="5E3A8A53"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α</m:t>
                    </m:r>
                  </m:e>
                  <m:sub>
                    <m:r>
                      <w:rPr>
                        <w:rFonts w:ascii="Cambria Math" w:hAnsi="Cambria Math" w:cs="Times New Roman"/>
                        <w:sz w:val="22"/>
                        <w:szCs w:val="22"/>
                      </w:rPr>
                      <m:t>z</m:t>
                    </m:r>
                  </m:sub>
                </m:sSub>
              </m:oMath>
            </m:oMathPara>
          </w:p>
        </w:tc>
        <w:tc>
          <w:tcPr>
            <w:tcW w:w="632" w:type="dxa"/>
            <w:vAlign w:val="center"/>
          </w:tcPr>
          <w:p w14:paraId="06D98638"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xy</m:t>
                    </m:r>
                  </m:sub>
                </m:sSub>
              </m:oMath>
            </m:oMathPara>
          </w:p>
        </w:tc>
        <w:tc>
          <w:tcPr>
            <w:tcW w:w="624" w:type="dxa"/>
            <w:vAlign w:val="center"/>
          </w:tcPr>
          <w:p w14:paraId="61FED3AE"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xz</m:t>
                    </m:r>
                  </m:sub>
                </m:sSub>
              </m:oMath>
            </m:oMathPara>
          </w:p>
        </w:tc>
        <w:tc>
          <w:tcPr>
            <w:tcW w:w="625" w:type="dxa"/>
            <w:vAlign w:val="center"/>
          </w:tcPr>
          <w:p w14:paraId="080BA30A" w14:textId="77777777" w:rsidR="00B901B3" w:rsidRPr="002F4E96" w:rsidRDefault="00B205D3" w:rsidP="007803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2"/>
                <w:szCs w:val="22"/>
              </w:rPr>
            </w:pPr>
            <m:oMathPara>
              <m:oMath>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yz</m:t>
                    </m:r>
                  </m:sub>
                </m:sSub>
              </m:oMath>
            </m:oMathPara>
          </w:p>
        </w:tc>
      </w:tr>
      <w:tr w:rsidR="003757E0" w:rsidRPr="002F4E96" w14:paraId="3C713CC8" w14:textId="77777777" w:rsidTr="007803A4">
        <w:trPr>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10EF1E37"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Silicon (Si)</w:t>
            </w:r>
          </w:p>
          <w:p w14:paraId="4066F068"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Die</w:t>
            </w:r>
          </w:p>
        </w:tc>
        <w:tc>
          <w:tcPr>
            <w:tcW w:w="1157" w:type="dxa"/>
            <w:vAlign w:val="center"/>
          </w:tcPr>
          <w:p w14:paraId="4821AA1C" w14:textId="7AAADB09"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URL":"https://www.topline.tv/SMD_vrs_NSMD.html","accessed":{"date-parts":[["2019","2","20"]]},"author":[{"dropping-particle":"","family":"Topline","given":"","non-dropping-particle":"","parse-names":false,"suffix":""}],"id":"ITEM-1","issued":{"date-parts":[["2020"]]},"title":"BGA","type":"webpage"},"uris":["http://www.mendeley.com/documents/?uuid=06ddc150-5e07-4cec-8096-b21fc6c31235"]}],"mendeley":{"formattedCitation":"[62]","plainTextFormattedCitation":"[62]","previouslyFormattedCitation":"[62]"},"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[62]</w:t>
            </w:r>
            <w:r w:rsidRPr="002F4E96">
              <w:rPr>
                <w:rFonts w:ascii="Times New Roman" w:hAnsi="Times New Roman" w:cs="Times New Roman"/>
                <w:sz w:val="22"/>
                <w:szCs w:val="22"/>
              </w:rPr>
              <w:fldChar w:fldCharType="end"/>
            </w:r>
          </w:p>
        </w:tc>
        <w:tc>
          <w:tcPr>
            <w:tcW w:w="732" w:type="dxa"/>
            <w:vAlign w:val="center"/>
          </w:tcPr>
          <w:p w14:paraId="4E87D654"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110.0</w:t>
            </w:r>
          </w:p>
        </w:tc>
        <w:tc>
          <w:tcPr>
            <w:tcW w:w="623" w:type="dxa"/>
            <w:vAlign w:val="center"/>
          </w:tcPr>
          <w:p w14:paraId="4C362C68"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55526E18"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5656602A"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2.60</w:t>
            </w:r>
          </w:p>
        </w:tc>
        <w:tc>
          <w:tcPr>
            <w:tcW w:w="624" w:type="dxa"/>
            <w:vAlign w:val="center"/>
          </w:tcPr>
          <w:p w14:paraId="4AB4161B"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79C0E465"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7806E7AE"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0.24</w:t>
            </w:r>
          </w:p>
        </w:tc>
        <w:tc>
          <w:tcPr>
            <w:tcW w:w="624" w:type="dxa"/>
            <w:vAlign w:val="center"/>
          </w:tcPr>
          <w:p w14:paraId="3BF2FB1E"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73987FF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757E0" w:rsidRPr="002F4E96" w14:paraId="185E5140" w14:textId="77777777" w:rsidTr="007803A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5F35A4CA"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PCB Mask</w:t>
            </w:r>
          </w:p>
        </w:tc>
        <w:tc>
          <w:tcPr>
            <w:tcW w:w="1157" w:type="dxa"/>
            <w:vAlign w:val="center"/>
          </w:tcPr>
          <w:p w14:paraId="27FFB4F2" w14:textId="590C4E8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{"citationItems":[{"id":"ITEM-1","itemData":{"DOI":"10.1109/ectc.2002.1008301","ISSN":"05695503","abstract":"Three-dimensional finite element analysis has been applied to determine the time-dependent solder joint fatigue response of a tape based chip-scale package under accelerated temperature cycling conditions (-40C to +125C, 15 min ramps/15 min dwells). The effects of differing ball via configurations due to variations in both package assembly and tape vendors were investigated, including the use of punched, etched, laser etched, and enhanced re-flow pad area vias. The solder structures accommodate the bulk of the plastic strain that is generated during accelerated temperature cycling due to the thermal expansion mismatch between the various materials that encompass the chip-scale package. Since plastic strain is a dominant parameter that influences low-cycle fatigue, it was used as a basis for evaluation of solder joint structural integrity. An extensively published and correlated solder joint fatigue life prediction methodology was incorporated by which finite element simulation results were translated into estimated cycles to failure. This study discusses the analysis methodologies as implemented in the ANSYS finite element simulation software tool and the corresponding results for the solder joint fatigue life. Some ANSYS parametric design language commands are included for the benefit of those readers who are familiar with the tool.","author":[{"dropping-particle":"","family":"Zahn","given":"Bret A.","non-dropping-particle":"","parse-names":false,"suffix":""}],"container-title":"Proceedings - Electronic Components and Technology Conference","id":"ITEM-1","issued":{"date-parts":[["2002"]]},"title":"Impact of ball via configurations on solder joint reliability in tape-based, chip-scale packages","type":"paper-conference"},"uris":["http://www.mendeley.com/documents/?uuid=2c989b5b-122c-4b6d-9af9-11920528d41b"]}],"mendeley":{"formattedCitation":"[64]","plainTextFormattedCitation":"[64]","previouslyFormattedCitation":"[64]"},"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[64]</w:t>
            </w:r>
            <w:r w:rsidRPr="002F4E96">
              <w:rPr>
                <w:rFonts w:ascii="Times New Roman" w:hAnsi="Times New Roman" w:cs="Times New Roman"/>
                <w:sz w:val="22"/>
                <w:szCs w:val="22"/>
              </w:rPr>
              <w:fldChar w:fldCharType="end"/>
            </w:r>
          </w:p>
        </w:tc>
        <w:tc>
          <w:tcPr>
            <w:tcW w:w="732" w:type="dxa"/>
            <w:vAlign w:val="center"/>
          </w:tcPr>
          <w:p w14:paraId="17CD8068"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4.14</w:t>
            </w:r>
          </w:p>
        </w:tc>
        <w:tc>
          <w:tcPr>
            <w:tcW w:w="623" w:type="dxa"/>
            <w:vAlign w:val="center"/>
          </w:tcPr>
          <w:p w14:paraId="41C3DD1D"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1206786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1D44E8B9"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30.0</w:t>
            </w:r>
          </w:p>
        </w:tc>
        <w:tc>
          <w:tcPr>
            <w:tcW w:w="624" w:type="dxa"/>
            <w:vAlign w:val="center"/>
          </w:tcPr>
          <w:p w14:paraId="77A0BF9F"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6CE41C5D"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0621015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0.40</w:t>
            </w:r>
          </w:p>
        </w:tc>
        <w:tc>
          <w:tcPr>
            <w:tcW w:w="624" w:type="dxa"/>
            <w:vAlign w:val="center"/>
          </w:tcPr>
          <w:p w14:paraId="3B3C38B3"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1057EE5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757E0" w:rsidRPr="002F4E96" w14:paraId="63AF1D97" w14:textId="77777777" w:rsidTr="007803A4">
        <w:trPr>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755FC416"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Cu Pad</w:t>
            </w:r>
          </w:p>
        </w:tc>
        <w:tc>
          <w:tcPr>
            <w:tcW w:w="1157" w:type="dxa"/>
            <w:vAlign w:val="center"/>
          </w:tcPr>
          <w:p w14:paraId="75F276E7" w14:textId="166C01E6"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{"citationItems":[{"id":"ITEM-1","itemData":{"DOI":"10.1016/j.microrel.2010.04.003","ISSN":"00262714","abstract":"Glue is widely used to improve the reliability of ball grid array (BGA) under mechanical shock and vibration. Although it has been demonstrated to have a positive effect on the reliability of BGA under mechanical impact, it can have adverse effects on BGA under thermal cycling. This paper investigates the effect of glue on the reliability of BGA under thermal cycling using both experimental and numerical methods. The digital image correlation (DIC) technique was used to obtain the thermal mechanical behavior of the package. The experimental results explain in detail how the glue negatively affects the reliability of the BGA. Furthermore, a finite element analysis was performed and its results were verified with experimental results. A numerical parametric study was carried out on various mechanical properties, configurations of the glue, and introduction of a stiffener using the validated FEM model. The results show that the reliability of BGA strongly depends on geometries and material properties of the glue. Based on the results, a guideline of glue selection for BGA reliability under thermal cycling is formulated. © 2010 Elsevier Ltd. All rights reserved.","author":[{"dropping-particle":"","family":"Nguyen","given":"Tung T.","non-dropping-particle":"","parse-names":false,"suffix":""},{"dropping-particle":"","family":"Lee","given":"Donggun","non-dropping-particle":"","parse-names":false,"suffix":""},{"dropping-particle":"","family":"Kwak","given":"Jae B.","non-dropping-particle":"","parse-names":false,"suffix":""},{"dropping-particle":"","family":"Park","given":"Seungbae","non-dropping-particle":"","parse-names":false,"suffix":""}],"container-title":"Microelectronics Reliability","id":"ITEM-1","issued":{"date-parts":[["2010"]]},"title":"Effect of glue on reliability of flip chip BGA packages under thermal cycling","type":"paper-conference"},"uris":["http://www.mendeley.com/documents/?uuid=26bd9f93-c9df-465f-bf64-deaef03224e2"]}],"mendeley":{"formattedCitation":"[65]","plainTextFormattedCitation":"[65]","previouslyFormattedCitation":"[65]"},"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[65]</w:t>
            </w:r>
            <w:r w:rsidRPr="002F4E96">
              <w:rPr>
                <w:rFonts w:ascii="Times New Roman" w:hAnsi="Times New Roman" w:cs="Times New Roman"/>
                <w:sz w:val="22"/>
                <w:szCs w:val="22"/>
              </w:rPr>
              <w:fldChar w:fldCharType="end"/>
            </w:r>
          </w:p>
        </w:tc>
        <w:tc>
          <w:tcPr>
            <w:tcW w:w="732" w:type="dxa"/>
            <w:vAlign w:val="center"/>
          </w:tcPr>
          <w:p w14:paraId="71C85FF2"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129.0</w:t>
            </w:r>
          </w:p>
        </w:tc>
        <w:tc>
          <w:tcPr>
            <w:tcW w:w="623" w:type="dxa"/>
            <w:vAlign w:val="center"/>
          </w:tcPr>
          <w:p w14:paraId="2F15B3A3"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6E993D44"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07D05DBB"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17.0</w:t>
            </w:r>
          </w:p>
        </w:tc>
        <w:tc>
          <w:tcPr>
            <w:tcW w:w="624" w:type="dxa"/>
            <w:vAlign w:val="center"/>
          </w:tcPr>
          <w:p w14:paraId="5FA8848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5EF04432"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42750B4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0.34</w:t>
            </w:r>
          </w:p>
        </w:tc>
        <w:tc>
          <w:tcPr>
            <w:tcW w:w="624" w:type="dxa"/>
            <w:vAlign w:val="center"/>
          </w:tcPr>
          <w:p w14:paraId="1F3D9555"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189693C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757E0" w:rsidRPr="002F4E96" w14:paraId="6BF9D802" w14:textId="77777777" w:rsidTr="007803A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500F18D3"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PCB</w:t>
            </w:r>
          </w:p>
        </w:tc>
        <w:tc>
          <w:tcPr>
            <w:tcW w:w="1157" w:type="dxa"/>
            <w:vAlign w:val="center"/>
          </w:tcPr>
          <w:p w14:paraId="6E3830DD" w14:textId="2D71F3CF"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{"citationItems":[{"id":"ITEM-1","itemData":{"DOI":"10.1016/j.jmsy.2016.01.002","ISSN":"02786125","abstract":"The use of different sets of values of creep parameter in Garofalo-Arrhenius constitutive creep relation has generated distinct magnitude of creep strain (εacc) and strain energy density (ωacc) for the same set of solder joints in electronic assemblies. This study evaluates the effect of the use of four set of values on predicted magnitude of damage (εacc, ωacc) and number of cycle to failure (Nf(εacc) and Nf(ωacc)) of two different solder joint geometries. The four set of values, proposed by Lau (2003), Pang et al. (2004), Schubert et al. (2003) and Zhang et al. (2003), are used to generate four hyperbolic sine creep relations. The relations are inputted in Ansys FEM software used to simulate the damage on Sn[3.0-4.0%]Ag[0.5-1.0%]Cu solder joints in flip chip model FC48 D6.3C457DC and resistor model R102. The components are assembled on printed circuit boards; and the relations are characterised by comparing the magnitude of each model simulation output with a reference least value. The assemblies are subjected to accelerated high-temperature cycles utilising IEC standard 60749-25 in parts. It was found that each model produces distinctive magnitude and history of stress, strain, hysteresis loop, εacc, ωacc, Nf(εacc) and Nf(ωacc) with the values of stress and hysteresis loop histories generated using Pang et al. and Schubert et al. models being very close. Characterisation results show that the use of ωacc as input parameter in fatigue life model proposed by Syed 2004 demonstrates higher probability of predicting accurately the damage in resistor solder joints while the use of εacc demonstrates higher probability for BGA flip chip solder joints. Based on these results, the authors propose a paradigm for selecting suitable constitutive model(s) for accurate εacc, ωacc and Nf prediction whilst suggesting the development of new solder constitutive relations.","author":[{"dropping-particle":"","family":"Amalu","given":"Emeka H.","non-dropping-particle":"","parse-names":false,"suffix":""},{"dropping-particle":"","family":"Ekere","given":"N. N.","non-dropping-particle":"","parse-names":false,"suffix":""}],"container-title":"Journal of Manufacturing Systems","id":"ITEM-1","issued":{"date-parts":[["2016"]]},"title":"Modelling evaluation of Garofalo-Arrhenius creep relation for lead-free solder joints in surface mount electronic component assemblies","type":"article-journal","volume":"39"},"uris":["http://www.mendeley.com/documents/?uuid=4a0c239b-eeec-4301-b30c-c9e2775fd74a"]}],"mendeley":{"formattedCitation":"[66]","plainTextFormattedCitation":"[66]","previouslyFormattedCitation":"[66]"},"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[66]</w:t>
            </w:r>
            <w:r w:rsidRPr="002F4E96">
              <w:rPr>
                <w:rFonts w:ascii="Times New Roman" w:hAnsi="Times New Roman" w:cs="Times New Roman"/>
                <w:sz w:val="22"/>
                <w:szCs w:val="22"/>
              </w:rPr>
              <w:fldChar w:fldCharType="end"/>
            </w:r>
          </w:p>
        </w:tc>
        <w:tc>
          <w:tcPr>
            <w:tcW w:w="732" w:type="dxa"/>
            <w:vAlign w:val="center"/>
          </w:tcPr>
          <w:p w14:paraId="7CB782CC"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27.0</w:t>
            </w:r>
          </w:p>
        </w:tc>
        <w:tc>
          <w:tcPr>
            <w:tcW w:w="623" w:type="dxa"/>
            <w:vAlign w:val="center"/>
          </w:tcPr>
          <w:p w14:paraId="2721B755"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27.0</w:t>
            </w:r>
          </w:p>
        </w:tc>
        <w:tc>
          <w:tcPr>
            <w:tcW w:w="623" w:type="dxa"/>
            <w:vAlign w:val="center"/>
          </w:tcPr>
          <w:p w14:paraId="53830F05"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22.0</w:t>
            </w:r>
          </w:p>
        </w:tc>
        <w:tc>
          <w:tcPr>
            <w:tcW w:w="624" w:type="dxa"/>
            <w:vAlign w:val="center"/>
          </w:tcPr>
          <w:p w14:paraId="65E4162B"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14.0</w:t>
            </w:r>
          </w:p>
        </w:tc>
        <w:tc>
          <w:tcPr>
            <w:tcW w:w="624" w:type="dxa"/>
            <w:vAlign w:val="center"/>
          </w:tcPr>
          <w:p w14:paraId="7A336A47"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14.0</w:t>
            </w:r>
          </w:p>
        </w:tc>
        <w:tc>
          <w:tcPr>
            <w:tcW w:w="624" w:type="dxa"/>
            <w:vAlign w:val="center"/>
          </w:tcPr>
          <w:p w14:paraId="21810CE5"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15.0</w:t>
            </w:r>
          </w:p>
        </w:tc>
        <w:tc>
          <w:tcPr>
            <w:tcW w:w="632" w:type="dxa"/>
            <w:vAlign w:val="center"/>
          </w:tcPr>
          <w:p w14:paraId="6ED884A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0.17</w:t>
            </w:r>
          </w:p>
        </w:tc>
        <w:tc>
          <w:tcPr>
            <w:tcW w:w="624" w:type="dxa"/>
            <w:vAlign w:val="center"/>
          </w:tcPr>
          <w:p w14:paraId="036513B8"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0.20</w:t>
            </w:r>
          </w:p>
        </w:tc>
        <w:tc>
          <w:tcPr>
            <w:tcW w:w="625" w:type="dxa"/>
            <w:vAlign w:val="center"/>
          </w:tcPr>
          <w:p w14:paraId="57B23DCD"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0.17</w:t>
            </w:r>
          </w:p>
        </w:tc>
      </w:tr>
      <w:tr w:rsidR="003757E0" w:rsidRPr="002F4E96" w14:paraId="1DACA56C" w14:textId="77777777" w:rsidTr="007803A4">
        <w:trPr>
          <w:trHeight w:val="678"/>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6AE0AC33"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Epoxy-Resin</w:t>
            </w:r>
          </w:p>
          <w:p w14:paraId="483B1AE3"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(FR-4)</w:t>
            </w:r>
          </w:p>
        </w:tc>
        <w:tc>
          <w:tcPr>
            <w:tcW w:w="1157" w:type="dxa"/>
            <w:vAlign w:val="center"/>
          </w:tcPr>
          <w:p w14:paraId="1E8341C5" w14:textId="22B76FDD"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URL":"https://www.topline.tv/SMD_vrs_NSMD.html","accessed":{"date-parts":[["2019","2","20"]]},"author":[{"dropping-particle":"","family":"Topline","given":"","non-dropping-particle":"","parse-names":false,"suffix":""}],"id":"ITEM-1","issued":{"date-parts":[["2020"]]},"title":"BGA","type":"webpage"},"uris":["http://www.mendeley.com/documents/?uuid=06ddc150-5e07-4cec-8096-b21fc6c31235"]}],"mendeley":{"formattedCitation":"[62]","plainTextFormattedCitation":"[62]","previouslyFormattedCitation":"[62]"},"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[62]</w:t>
            </w:r>
            <w:r w:rsidRPr="002F4E96">
              <w:rPr>
                <w:rFonts w:ascii="Times New Roman" w:hAnsi="Times New Roman" w:cs="Times New Roman"/>
                <w:sz w:val="22"/>
                <w:szCs w:val="22"/>
              </w:rPr>
              <w:fldChar w:fldCharType="end"/>
            </w:r>
          </w:p>
        </w:tc>
        <w:tc>
          <w:tcPr>
            <w:tcW w:w="732" w:type="dxa"/>
            <w:vAlign w:val="center"/>
          </w:tcPr>
          <w:p w14:paraId="2C7EEB1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29.9</w:t>
            </w:r>
          </w:p>
        </w:tc>
        <w:tc>
          <w:tcPr>
            <w:tcW w:w="623" w:type="dxa"/>
            <w:vAlign w:val="center"/>
          </w:tcPr>
          <w:p w14:paraId="1C0DF154"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25.1</w:t>
            </w:r>
          </w:p>
        </w:tc>
        <w:tc>
          <w:tcPr>
            <w:tcW w:w="623" w:type="dxa"/>
            <w:vAlign w:val="center"/>
          </w:tcPr>
          <w:p w14:paraId="5DEFF5C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70.0</w:t>
            </w:r>
          </w:p>
        </w:tc>
        <w:tc>
          <w:tcPr>
            <w:tcW w:w="624" w:type="dxa"/>
            <w:vAlign w:val="center"/>
          </w:tcPr>
          <w:p w14:paraId="59B50ACB"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12.0</w:t>
            </w:r>
          </w:p>
        </w:tc>
        <w:tc>
          <w:tcPr>
            <w:tcW w:w="624" w:type="dxa"/>
            <w:vAlign w:val="center"/>
          </w:tcPr>
          <w:p w14:paraId="116BE15F"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15.0</w:t>
            </w:r>
          </w:p>
        </w:tc>
        <w:tc>
          <w:tcPr>
            <w:tcW w:w="624" w:type="dxa"/>
            <w:vAlign w:val="center"/>
          </w:tcPr>
          <w:p w14:paraId="72B1A1E5"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239CCAB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0.16</w:t>
            </w:r>
          </w:p>
        </w:tc>
        <w:tc>
          <w:tcPr>
            <w:tcW w:w="624" w:type="dxa"/>
            <w:vAlign w:val="center"/>
          </w:tcPr>
          <w:p w14:paraId="5119F0D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0.14</w:t>
            </w:r>
          </w:p>
        </w:tc>
        <w:tc>
          <w:tcPr>
            <w:tcW w:w="625" w:type="dxa"/>
            <w:vAlign w:val="center"/>
          </w:tcPr>
          <w:p w14:paraId="6B39A645"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757E0" w:rsidRPr="002F4E96" w14:paraId="31D6E1A2" w14:textId="77777777" w:rsidTr="007803A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0352D98F" w14:textId="4DE8E809" w:rsidR="00B901B3" w:rsidRPr="002F4E96" w:rsidRDefault="009F576B"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Sn63Pb37</w:t>
            </w:r>
          </w:p>
        </w:tc>
        <w:tc>
          <w:tcPr>
            <w:tcW w:w="1157" w:type="dxa"/>
            <w:vAlign w:val="center"/>
          </w:tcPr>
          <w:p w14:paraId="1C70F4B4" w14:textId="077D8B08"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{"citationItems":[{"id":"ITEM-1","itemData":{"DOI":"10.1063/1.5044446","ISSN":"21583226","abstract":"The mechanical behaviour and service life of the 63Sn-37Pb solder joint under coupled thermal-electrical loadings have been investigated. The mechanical properties of solder material are calibrated by uniaxial tensile experiments at different strain rates and working temperatures. In order to describe the mechanical responses of solder alloy, a constitutive model is proposed based on a thermo-visco-plastic flow rule. Furthermore, the fatigue life of solder joints is predicted by establishing a 3D finite element model under the coupled electrical-thermal-mechanical loadings. Temperature distribution, current density and thermal stress are numerically obtained in the solder joint. Based on the distribution of stress and plastic strain, the vulnerable location in the solder joint is determined, which is critical for predicting the service life based on the Coffin-Manson model. By varying the loading conditions, a parametric study is performed to develop an empirical formula of fatigue life, and the dominant factor under complicated working conditions is assessed. It is found that the current density and heat sink temperature pronouncedly influence the fatigue life of solder joint. The empirical predictions show reasonable accuracy compared with the Coffin-Manson model and finite element simulations.","author":[{"dropping-particle":"","family":"Long","given":"Xu","non-dropping-particle":"","parse-names":false,"suffix":""},{"dropping-particle":"","family":"Liu","given":"Yongchao","non-dropping-particle":"","parse-names":false,"suffix":""},{"dropping-particle":"","family":"Yao","given":"Yao","non-dropping-particle":"","parse-names":false,"suffix":""},{"dropping-particle":"","family":"Jia","given":"Fengrui","non-dropping-particle":"","parse-names":false,"suffix":""},{"dropping-particle":"","family":"Zhou","given":"Cheng","non-dropping-particle":"","parse-names":false,"suffix":""},{"dropping-particle":"","family":"Fu","given":"Yonghui","non-dropping-particle":"","parse-names":false,"suffix":""},{"dropping-particle":"","family":"Wu","given":"Yanpei","non-dropping-particle":"","parse-names":false,"suffix":""}],"container-title":"AIP Advances","id":"ITEM-1","issued":{"date-parts":[["2018"]]},"title":"Constitutive behaviour and life evaluation of solder joint under the multi-field loadings","type":"article-journal"},"uris":["http://www.mendeley.com/documents/?uuid=4e6ba5f2-b8bd-4596-a167-206ff4289a9a"]}],"mendeley":{"formattedCitation":"[67]","plainTextFormattedCitation":"[67]","previouslyFormattedCitation":"[67]"},"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[67]</w:t>
            </w:r>
            <w:r w:rsidRPr="002F4E96">
              <w:rPr>
                <w:rFonts w:ascii="Times New Roman" w:hAnsi="Times New Roman" w:cs="Times New Roman"/>
                <w:sz w:val="22"/>
                <w:szCs w:val="22"/>
              </w:rPr>
              <w:fldChar w:fldCharType="end"/>
            </w:r>
          </w:p>
        </w:tc>
        <w:tc>
          <w:tcPr>
            <w:tcW w:w="732" w:type="dxa"/>
            <w:vAlign w:val="center"/>
          </w:tcPr>
          <w:p w14:paraId="3468683F"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56.0</w:t>
            </w:r>
          </w:p>
        </w:tc>
        <w:tc>
          <w:tcPr>
            <w:tcW w:w="623" w:type="dxa"/>
            <w:vAlign w:val="center"/>
          </w:tcPr>
          <w:p w14:paraId="247414FA"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1455775E"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2DD0FBA2"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20.0</w:t>
            </w:r>
          </w:p>
        </w:tc>
        <w:tc>
          <w:tcPr>
            <w:tcW w:w="624" w:type="dxa"/>
            <w:vAlign w:val="center"/>
          </w:tcPr>
          <w:p w14:paraId="45524F5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01B9ABA0"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4AF9BA65"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0.30</w:t>
            </w:r>
          </w:p>
        </w:tc>
        <w:tc>
          <w:tcPr>
            <w:tcW w:w="624" w:type="dxa"/>
            <w:vAlign w:val="center"/>
          </w:tcPr>
          <w:p w14:paraId="6970810B"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1C13775D"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757E0" w:rsidRPr="002F4E96" w14:paraId="37389697" w14:textId="77777777" w:rsidTr="007803A4">
        <w:trPr>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1B9ADC32"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SAC305</w:t>
            </w:r>
          </w:p>
        </w:tc>
        <w:tc>
          <w:tcPr>
            <w:tcW w:w="1157" w:type="dxa"/>
            <w:vAlign w:val="center"/>
          </w:tcPr>
          <w:p w14:paraId="1EFE2390" w14:textId="5043B7F4"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URL":"https://www.topline.tv/SMD_vrs_NSMD.html","accessed":{"date-parts":[["2019","2","20"]]},"author":[{"dropping-particle":"","family":"Topline","given":"","non-dropping-particle":"","parse-names":false,"suffix":""}],"id":"ITEM-1","issued":{"date-parts":[["2020"]]},"title":"BGA","type":"webpage"},"uris":["http://www.mendeley.com/documents/?uuid=06ddc150-5e07-4cec-8096-b21fc6c31235"]}],"mendeley":{"formattedCitation":"[62]","plainTextFormattedCitation":"[62]","previouslyFormattedCitation":"[62]"},"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[62]</w:t>
            </w:r>
            <w:r w:rsidRPr="002F4E96">
              <w:rPr>
                <w:rFonts w:ascii="Times New Roman" w:hAnsi="Times New Roman" w:cs="Times New Roman"/>
                <w:sz w:val="22"/>
                <w:szCs w:val="22"/>
              </w:rPr>
              <w:fldChar w:fldCharType="end"/>
            </w:r>
          </w:p>
        </w:tc>
        <w:tc>
          <w:tcPr>
            <w:tcW w:w="732" w:type="dxa"/>
            <w:vAlign w:val="center"/>
          </w:tcPr>
          <w:p w14:paraId="16A7040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51.0</w:t>
            </w:r>
          </w:p>
        </w:tc>
        <w:tc>
          <w:tcPr>
            <w:tcW w:w="623" w:type="dxa"/>
            <w:vAlign w:val="center"/>
          </w:tcPr>
          <w:p w14:paraId="2052940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1B04AFD3"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1DD9F3BE"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23.5</w:t>
            </w:r>
          </w:p>
        </w:tc>
        <w:tc>
          <w:tcPr>
            <w:tcW w:w="624" w:type="dxa"/>
            <w:vAlign w:val="center"/>
          </w:tcPr>
          <w:p w14:paraId="4D687B71"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3C547977"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0FC494CA"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0.40</w:t>
            </w:r>
          </w:p>
        </w:tc>
        <w:tc>
          <w:tcPr>
            <w:tcW w:w="624" w:type="dxa"/>
            <w:vAlign w:val="center"/>
          </w:tcPr>
          <w:p w14:paraId="038CB299"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47AC4750"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757E0" w:rsidRPr="002F4E96" w14:paraId="2BEB4B1D" w14:textId="77777777" w:rsidTr="007803A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10F5E01F"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SAC387</w:t>
            </w:r>
          </w:p>
        </w:tc>
        <w:tc>
          <w:tcPr>
            <w:tcW w:w="1157" w:type="dxa"/>
            <w:vAlign w:val="center"/>
          </w:tcPr>
          <w:p w14:paraId="43A3C0C1" w14:textId="3BEC4168"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{"citationItems":[{"id":"ITEM-1","itemData":{"ISBN":"9783800741717","abstract":"Power semiconductor modules undergo extreme thermal excursions, which require reliable large area solder connections. Due to environmental regulations, suppliers of power electronic devices are enforced to replace commonly used lead containing solders by lead-free solders. In this work, the reliability of large area soldering connections between ceramic substrates and AlSiC baseplates prepared by the lead-free solders 95.5Sn3.8Ag0.7Cu (SAC387), 95Sn5Sb and the standard lead containing solder 62Sn36Pb2Ag is compared with respect to passive and active thermal cycling tests. In the passive thermal cycling tests, 62Sn36Pb2Ag and 95Sn5Sb exhibited a significantly higher reliability compared to SAC387. Otherwise, best reliability in active thermal cycling test was observed for SAC387. Here strong damages due to coarsening and void formation occurred on soldering connections prepared with 62Sn36Pb2Ag and 95Sn5Sb. The results are discussed with respect to mechanical properties of the investigated solders and calculated thermo-mechanical stress with respect to thermal cycling. 62Sn36Pb2Ag and Sn5Sb are recommended for soldering connections exposed to large thermo-mechanical stress, whereas the SAC solder should be used, if the CTE mismatch of the joining partners and the thermo-mechanical stress are comparably small, but for a longer cycling reliability.","author":[{"dropping-particle":"","family":"Beyer","given":"H.","non-dropping-particle":"","parse-names":false,"suffix":""},{"dropping-particle":"","family":"Sivasubramaniam","given":"V.","non-dropping-particle":"","parse-names":false,"suffix":""},{"dropping-particle":"","family":"Bayer","given":"M.","non-dropping-particle":"","parse-names":false,"suffix":""},{"dropping-particle":"","family":"Hartmann","given":"S.","non-dropping-particle":"","parse-names":false,"suffix":""}],"container-title":"CIPS 2016 - 9th International Conference on Integrated Power Electronics Systems","id":"ITEM-1","issued":{"date-parts":[["2019"]]},"title":"Reliability of Lead-free Large Area Solder Joints in IGBT Modules with Respect to Passive and Active Thermal Cycling","type":"paper-conference"},"uris":["http://www.mendeley.com/documents/?uuid=5bab319f-2e8f-4cb8-a3ab-b8e5ad96abc1"]}],"mendeley":{"formattedCitation":"[68]","plainTextFormattedCitation":"[68]","previouslyFormattedCitation":"[68]"},"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[68]</w:t>
            </w:r>
            <w:r w:rsidRPr="002F4E96">
              <w:rPr>
                <w:rFonts w:ascii="Times New Roman" w:hAnsi="Times New Roman" w:cs="Times New Roman"/>
                <w:sz w:val="22"/>
                <w:szCs w:val="22"/>
              </w:rPr>
              <w:fldChar w:fldCharType="end"/>
            </w:r>
          </w:p>
        </w:tc>
        <w:tc>
          <w:tcPr>
            <w:tcW w:w="732" w:type="dxa"/>
            <w:vAlign w:val="center"/>
          </w:tcPr>
          <w:p w14:paraId="7C268E7E"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45.0</w:t>
            </w:r>
          </w:p>
        </w:tc>
        <w:tc>
          <w:tcPr>
            <w:tcW w:w="623" w:type="dxa"/>
            <w:vAlign w:val="center"/>
          </w:tcPr>
          <w:p w14:paraId="6E356491"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116004FE"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2BAC308F"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17.6</w:t>
            </w:r>
          </w:p>
        </w:tc>
        <w:tc>
          <w:tcPr>
            <w:tcW w:w="624" w:type="dxa"/>
            <w:vAlign w:val="center"/>
          </w:tcPr>
          <w:p w14:paraId="07CF9ED7"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430D5D1F"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72BA3EE2"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0.36</w:t>
            </w:r>
          </w:p>
        </w:tc>
        <w:tc>
          <w:tcPr>
            <w:tcW w:w="624" w:type="dxa"/>
            <w:vAlign w:val="center"/>
          </w:tcPr>
          <w:p w14:paraId="6E0B4F06"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42E37AD0"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757E0" w:rsidRPr="002F4E96" w14:paraId="796B1745" w14:textId="77777777" w:rsidTr="007803A4">
        <w:trPr>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7CAD714C"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SAC396</w:t>
            </w:r>
          </w:p>
        </w:tc>
        <w:tc>
          <w:tcPr>
            <w:tcW w:w="1157" w:type="dxa"/>
            <w:vAlign w:val="center"/>
          </w:tcPr>
          <w:p w14:paraId="24E061AE" w14:textId="62923854"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fldChar w:fldCharType="begin" w:fldLock="1"/>
            </w:r>
            <w:r w:rsidR="007803A4" w:rsidRPr="002F4E96">
              <w:rPr>
                <w:rFonts w:ascii="Times New Roman" w:hAnsi="Times New Roman" w:cs="Times New Roman"/>
                <w:sz w:val="22"/>
                <w:szCs w:val="22"/>
              </w:rPr>
              <w:instrText>ADDIN CSL_CITATION {"citationItems":[{"id":"ITEM-1","itemData":{"DOI":"10.1108/09540910910928265","ISSN":"09540911","abstract":"Purpose - This paper aims to present an integrated optimisation-modelling computational approach for virtual prototyping that helps design engineers to improve the reliability and performance of electronic components and systems through design optimisation at the early product development stage. The design methodology is used to identify the optimal design of lead-free (Sn3.9Ag0.6Cu) solder joints in fine-pitch copper column bumped flip-chip electronic packages. Design/methodology/approach - The design methodology is generic and comprises numerical techniques for computational modelling (finite element analysis) coupled with numerical methods for statistical analysis and optimisation. In this study, the integrated optimisation-modelling design strategy is adopted to prototype virtually a fine-pitch flip-chip package at the solder interconnect level, so that the thermal fatigue reliability of the lead-free solder joints is improved and important design rules to minimise the creep in the solder material, exposed to thermal cycling regimes, are formulated. The whole prototyping process is executed in an automated way once the initial design task is formulated and the conditions and the settings for the numerical analysis used to evaluate the flip-chip package behaviour are specified. Different software modules that incorporate the required numerical techniques are used to identify the solution of the design optimisation problem related to solder joints reliability optimisation. Findings - For fine-pitch flip-chip packages with copper column bumped die, it is found that higher solder joint volume and height of the copper column combined with lower copper column radius and solder wetting around copper column have a positive effect on the thermo-mechanical reliability. Originality/value - The findings of this research provide design rules for more reliable lead-free solder joints for copper column bumped flip-chip packages and help to establish further the technology as one of the viable routes for flip-chip packaging. © Emerald Group Publishing Limited.","author":[{"dropping-particle":"","family":"Stoyanov","given":"Stoyan","non-dropping-particle":"","parse-names":false,"suffix":""},{"dropping-particle":"","family":"Bailey","given":"Chris","non-dropping-particle":"","parse-names":false,"suffix":""},{"dropping-particle":"","family":"Desmulliez","given":"Marc","non-dropping-particle":"","parse-names":false,"suffix":""}],"container-title":"Soldering and Surface Mount Technology","id":"ITEM-1","issued":{"date-parts":[["2009"]]},"title":"Optimisation modelling for thermal fatigue reliability of lead-free interconnects in fine-pitch flip-chip packaging","type":"article-journal"},"uris":["http://www.mendeley.com/documents/?uuid=8a9b13d5-8fc6-41b7-90de-8405f2d1dc29"]}],"mendeley":{"formattedCitation":"[69]","plainTextFormattedCitation":"[69]","previouslyFormattedCitation":"[69]"},"properties":{"noteIndex":0},"schema":"https://github.com/citation-style-language/schema/raw/master/csl-citation.json"}</w:instrText>
            </w:r>
            <w:r w:rsidRPr="002F4E96">
              <w:rPr>
                <w:rFonts w:ascii="Times New Roman" w:hAnsi="Times New Roman" w:cs="Times New Roman"/>
                <w:sz w:val="22"/>
                <w:szCs w:val="22"/>
              </w:rPr>
              <w:fldChar w:fldCharType="separate"/>
            </w:r>
            <w:r w:rsidR="0039530C" w:rsidRPr="002F4E96">
              <w:rPr>
                <w:rFonts w:ascii="Times New Roman" w:hAnsi="Times New Roman" w:cs="Times New Roman"/>
                <w:noProof/>
                <w:sz w:val="22"/>
                <w:szCs w:val="22"/>
              </w:rPr>
              <w:t>[69]</w:t>
            </w:r>
            <w:r w:rsidRPr="002F4E96">
              <w:rPr>
                <w:rFonts w:ascii="Times New Roman" w:hAnsi="Times New Roman" w:cs="Times New Roman"/>
                <w:sz w:val="22"/>
                <w:szCs w:val="22"/>
              </w:rPr>
              <w:fldChar w:fldCharType="end"/>
            </w:r>
          </w:p>
        </w:tc>
        <w:tc>
          <w:tcPr>
            <w:tcW w:w="732" w:type="dxa"/>
            <w:vAlign w:val="center"/>
          </w:tcPr>
          <w:p w14:paraId="4F10076F"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43.0</w:t>
            </w:r>
          </w:p>
        </w:tc>
        <w:tc>
          <w:tcPr>
            <w:tcW w:w="623" w:type="dxa"/>
            <w:vAlign w:val="center"/>
          </w:tcPr>
          <w:p w14:paraId="34FA0225"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76311097"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5356782D"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23.2</w:t>
            </w:r>
          </w:p>
        </w:tc>
        <w:tc>
          <w:tcPr>
            <w:tcW w:w="624" w:type="dxa"/>
            <w:vAlign w:val="center"/>
          </w:tcPr>
          <w:p w14:paraId="374D31FC"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27837002"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786CBFEF"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0.30</w:t>
            </w:r>
          </w:p>
        </w:tc>
        <w:tc>
          <w:tcPr>
            <w:tcW w:w="624" w:type="dxa"/>
            <w:vAlign w:val="center"/>
          </w:tcPr>
          <w:p w14:paraId="7F0C3167"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11D026BF" w14:textId="77777777" w:rsidR="00B901B3" w:rsidRPr="002F4E96" w:rsidRDefault="00B901B3" w:rsidP="007803A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3757E0" w:rsidRPr="002F4E96" w14:paraId="4CAE5BBD" w14:textId="77777777" w:rsidTr="007803A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vAlign w:val="center"/>
          </w:tcPr>
          <w:p w14:paraId="1C68A083" w14:textId="77777777" w:rsidR="00B901B3" w:rsidRPr="002F4E96" w:rsidRDefault="00B901B3" w:rsidP="007803A4">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SAC405</w:t>
            </w:r>
          </w:p>
        </w:tc>
        <w:tc>
          <w:tcPr>
            <w:tcW w:w="1157" w:type="dxa"/>
            <w:vAlign w:val="center"/>
          </w:tcPr>
          <w:p w14:paraId="74E29189" w14:textId="30DBC22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2F4E96">
              <w:rPr>
                <w:rFonts w:ascii="Times New Roman" w:hAnsi="Times New Roman" w:cs="Times New Roman"/>
                <w:noProof/>
                <w:sz w:val="22"/>
                <w:szCs w:val="22"/>
              </w:rPr>
              <w:fldChar w:fldCharType="begin" w:fldLock="1"/>
            </w:r>
            <w:r w:rsidR="007803A4" w:rsidRPr="002F4E96">
              <w:rPr>
                <w:rFonts w:ascii="Times New Roman" w:hAnsi="Times New Roman" w:cs="Times New Roman"/>
                <w:noProof/>
                <w:sz w:val="22"/>
                <w:szCs w:val="22"/>
              </w:rPr>
              <w:instrText>ADDIN CSL_CITATION {"citationItems":[{"id":"ITEM-1","itemData":{"DOI":"10.1016/j.microrel.2014.02.017","ISSN":"00262714","abstract":"The primary aim of this investigation was to understand the effect of temperature fluctuations on a number of various solder materials namely SAC105, SAC305, SAC405 and Sn-36Pb-2Ag. To achieve this objective, three different classic joint assemblies (a ball joint, a test specimen joint and finger lead joint) were modeled which provided the foundation for the creep and fatigue behaviors simulation. Anand's viscoplasticity as a constitutive equation was employed to characterize the behavior of solders numerically under the influence of thermal power cycles (80-150 °C) and thermal shock cycles (-40 to 125 °C). To extend the research outcome for industrial use, two additional research activities were carried out. One of them was to obtain lifetime-predictions of solder joints based on Coffin Manson concept. The other one focused on parameterization to obtain the ideal solder thickness under the consideration of plastic strain and economic benefit. © 2014 Elsevier Ltd. All rights reserved.","author":[{"dropping-particle":"","family":"Eckermann","given":"J.","non-dropping-particle":"","parse-names":false,"suffix":""},{"dropping-particle":"","family":"Mehmood","given":"S.","non-dropping-particle":"","parse-names":false,"suffix":""},{"dropping-particle":"","family":"Davies","given":"H. M.","non-dropping-particle":"","parse-names":false,"suffix":""},{"dropping-particle":"","family":"Lavery","given":"N. P.","non-dropping-particle":"","parse-names":false,"suffix":""},{"dropping-particle":"","family":"Brown","given":"S. G.R.","non-dropping-particle":"","parse-names":false,"suffix":""},{"dropping-particle":"","family":"Sienz","given":"J.","non-dropping-particle":"","parse-names":false,"suffix":""},{"dropping-particle":"","family":"Jones","given":"A.","non-dropping-particle":"","parse-names":false,"suffix":""},{"dropping-particle":"","family":"Sommerfeld","given":"P.","non-dropping-particle":"","parse-names":false,"suffix":""}],"container-title":"Microelectronics Reliability","id":"ITEM-1","issued":{"date-parts":[["2014"]]},"title":"Computational modeling of creep-based fatigue as a means of selecting lead-free solder alloys","type":"article-journal"},"uris":["http://www.mendeley.com/documents/?uuid=b017146b-2a8b-4e51-ae57-8643d548045c"]}],"mendeley":{"formattedCitation":"[70]","plainTextFormattedCitation":"[70]","previouslyFormattedCitation":"[70]"},"properties":{"noteIndex":0},"schema":"https://github.com/citation-style-language/schema/raw/master/csl-citation.json"}</w:instrText>
            </w:r>
            <w:r w:rsidRPr="002F4E96">
              <w:rPr>
                <w:rFonts w:ascii="Times New Roman" w:hAnsi="Times New Roman" w:cs="Times New Roman"/>
                <w:noProof/>
                <w:sz w:val="22"/>
                <w:szCs w:val="22"/>
              </w:rPr>
              <w:fldChar w:fldCharType="separate"/>
            </w:r>
            <w:r w:rsidR="0039530C" w:rsidRPr="002F4E96">
              <w:rPr>
                <w:rFonts w:ascii="Times New Roman" w:hAnsi="Times New Roman" w:cs="Times New Roman"/>
                <w:noProof/>
                <w:sz w:val="22"/>
                <w:szCs w:val="22"/>
              </w:rPr>
              <w:t>[70]</w:t>
            </w:r>
            <w:r w:rsidRPr="002F4E96">
              <w:rPr>
                <w:rFonts w:ascii="Times New Roman" w:hAnsi="Times New Roman" w:cs="Times New Roman"/>
                <w:noProof/>
                <w:sz w:val="22"/>
                <w:szCs w:val="22"/>
              </w:rPr>
              <w:fldChar w:fldCharType="end"/>
            </w:r>
          </w:p>
        </w:tc>
        <w:tc>
          <w:tcPr>
            <w:tcW w:w="732" w:type="dxa"/>
            <w:vAlign w:val="center"/>
          </w:tcPr>
          <w:p w14:paraId="32F62DB4"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44.6</w:t>
            </w:r>
          </w:p>
        </w:tc>
        <w:tc>
          <w:tcPr>
            <w:tcW w:w="623" w:type="dxa"/>
            <w:vAlign w:val="center"/>
          </w:tcPr>
          <w:p w14:paraId="294432D3"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3" w:type="dxa"/>
            <w:vAlign w:val="center"/>
          </w:tcPr>
          <w:p w14:paraId="385E99BA"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203C3C94"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20.0</w:t>
            </w:r>
          </w:p>
        </w:tc>
        <w:tc>
          <w:tcPr>
            <w:tcW w:w="624" w:type="dxa"/>
            <w:vAlign w:val="center"/>
          </w:tcPr>
          <w:p w14:paraId="41ECC299"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4" w:type="dxa"/>
            <w:vAlign w:val="center"/>
          </w:tcPr>
          <w:p w14:paraId="32F23057"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32" w:type="dxa"/>
            <w:vAlign w:val="center"/>
          </w:tcPr>
          <w:p w14:paraId="10353B65"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0.42</w:t>
            </w:r>
          </w:p>
        </w:tc>
        <w:tc>
          <w:tcPr>
            <w:tcW w:w="624" w:type="dxa"/>
            <w:vAlign w:val="center"/>
          </w:tcPr>
          <w:p w14:paraId="65345799"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25" w:type="dxa"/>
            <w:vAlign w:val="center"/>
          </w:tcPr>
          <w:p w14:paraId="2411747B" w14:textId="77777777" w:rsidR="00B901B3" w:rsidRPr="002F4E96" w:rsidRDefault="00B901B3" w:rsidP="007803A4">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45195CB5" w14:textId="77777777" w:rsidR="00A358F4" w:rsidRPr="002F4E96" w:rsidRDefault="00A358F4" w:rsidP="007A5EDD">
      <w:pPr>
        <w:pStyle w:val="Caption"/>
        <w:rPr>
          <w:rFonts w:ascii="Times New Roman" w:hAnsi="Times New Roman" w:cs="Times New Roman"/>
          <w:color w:val="auto"/>
          <w:sz w:val="22"/>
          <w:szCs w:val="22"/>
        </w:rPr>
      </w:pPr>
      <w:bookmarkStart w:id="17" w:name="_Hlk26532157"/>
    </w:p>
    <w:p w14:paraId="7E887043" w14:textId="187FB2EE" w:rsidR="00B901B3" w:rsidRPr="002F4E96" w:rsidRDefault="007A5EDD" w:rsidP="007A5EDD">
      <w:pPr>
        <w:pStyle w:val="Caption"/>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Table </w:t>
      </w:r>
      <w:r w:rsidR="003A0349" w:rsidRPr="002F4E96">
        <w:rPr>
          <w:rFonts w:ascii="Times New Roman" w:hAnsi="Times New Roman" w:cs="Times New Roman"/>
          <w:b w:val="0"/>
          <w:bCs w:val="0"/>
          <w:color w:val="auto"/>
          <w:sz w:val="22"/>
          <w:szCs w:val="22"/>
        </w:rPr>
        <w:t>III</w:t>
      </w:r>
      <w:r w:rsidR="00B901B3" w:rsidRPr="002F4E96">
        <w:rPr>
          <w:rFonts w:ascii="Times New Roman" w:hAnsi="Times New Roman" w:cs="Times New Roman"/>
          <w:b w:val="0"/>
          <w:bCs w:val="0"/>
          <w:color w:val="auto"/>
          <w:sz w:val="22"/>
          <w:szCs w:val="22"/>
        </w:rPr>
        <w:t>: Anand model constant for lead-based</w:t>
      </w:r>
      <w:r w:rsidR="00656FA6" w:rsidRPr="002F4E96">
        <w:rPr>
          <w:rFonts w:ascii="Times New Roman" w:hAnsi="Times New Roman" w:cs="Times New Roman"/>
          <w:b w:val="0"/>
          <w:bCs w:val="0"/>
          <w:color w:val="auto"/>
          <w:sz w:val="22"/>
          <w:szCs w:val="22"/>
        </w:rPr>
        <w:t xml:space="preserve"> eutectic</w:t>
      </w:r>
      <w:r w:rsidR="00B901B3" w:rsidRPr="002F4E96">
        <w:rPr>
          <w:rFonts w:ascii="Times New Roman" w:hAnsi="Times New Roman" w:cs="Times New Roman"/>
          <w:b w:val="0"/>
          <w:bCs w:val="0"/>
          <w:color w:val="auto"/>
          <w:sz w:val="22"/>
          <w:szCs w:val="22"/>
        </w:rPr>
        <w:t xml:space="preserve"> </w:t>
      </w:r>
      <w:r w:rsidR="00950B72" w:rsidRPr="002F4E96">
        <w:rPr>
          <w:rFonts w:ascii="Times New Roman" w:hAnsi="Times New Roman" w:cs="Times New Roman"/>
          <w:b w:val="0"/>
          <w:bCs w:val="0"/>
          <w:color w:val="auto"/>
          <w:sz w:val="22"/>
          <w:szCs w:val="22"/>
        </w:rPr>
        <w:t>Sn63Pb37</w:t>
      </w:r>
      <w:r w:rsidR="00B901B3" w:rsidRPr="002F4E96">
        <w:rPr>
          <w:rFonts w:ascii="Times New Roman" w:hAnsi="Times New Roman" w:cs="Times New Roman"/>
          <w:b w:val="0"/>
          <w:bCs w:val="0"/>
          <w:color w:val="auto"/>
          <w:sz w:val="22"/>
          <w:szCs w:val="22"/>
        </w:rPr>
        <w:t xml:space="preserve"> and lead-free SAC305, SAC387, SAC396 and SAC405 solder alloys</w:t>
      </w:r>
    </w:p>
    <w:tbl>
      <w:tblPr>
        <w:tblStyle w:val="PlainTable2"/>
        <w:tblW w:w="0" w:type="auto"/>
        <w:jc w:val="center"/>
        <w:tblLook w:val="04A0" w:firstRow="1" w:lastRow="0" w:firstColumn="1" w:lastColumn="0" w:noHBand="0" w:noVBand="1"/>
      </w:tblPr>
      <w:tblGrid>
        <w:gridCol w:w="1371"/>
        <w:gridCol w:w="1595"/>
        <w:gridCol w:w="1559"/>
        <w:gridCol w:w="1559"/>
        <w:gridCol w:w="1559"/>
        <w:gridCol w:w="1373"/>
      </w:tblGrid>
      <w:tr w:rsidR="00953D2E" w:rsidRPr="002F4E96" w14:paraId="2DF1AA6B" w14:textId="77777777" w:rsidTr="00354D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5347C315" w14:textId="77777777" w:rsidR="00B901B3" w:rsidRPr="002F4E96" w:rsidRDefault="00B901B3" w:rsidP="00354D92">
            <w:pPr>
              <w:pStyle w:val="NoSpacing"/>
              <w:spacing w:line="276" w:lineRule="auto"/>
              <w:jc w:val="center"/>
              <w:rPr>
                <w:rFonts w:ascii="Times New Roman" w:hAnsi="Times New Roman" w:cs="Times New Roman"/>
                <w:sz w:val="22"/>
                <w:szCs w:val="22"/>
              </w:rPr>
            </w:pPr>
          </w:p>
        </w:tc>
        <w:tc>
          <w:tcPr>
            <w:tcW w:w="7645" w:type="dxa"/>
            <w:gridSpan w:val="5"/>
            <w:vAlign w:val="center"/>
          </w:tcPr>
          <w:p w14:paraId="0313E981" w14:textId="77777777" w:rsidR="00B901B3" w:rsidRPr="002F4E96" w:rsidRDefault="00B901B3" w:rsidP="00354D9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Solder</w:t>
            </w:r>
          </w:p>
        </w:tc>
      </w:tr>
      <w:tr w:rsidR="00953D2E" w:rsidRPr="002F4E96" w14:paraId="53314B8E" w14:textId="77777777" w:rsidTr="00354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2B239953" w14:textId="77777777" w:rsidR="00B901B3" w:rsidRPr="002F4E96" w:rsidRDefault="00B901B3" w:rsidP="00354D92">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Anand</w:t>
            </w:r>
          </w:p>
          <w:p w14:paraId="0FBDD674" w14:textId="77777777" w:rsidR="00B901B3" w:rsidRPr="002F4E96" w:rsidRDefault="00B901B3" w:rsidP="00354D92">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Parameters</w:t>
            </w:r>
          </w:p>
        </w:tc>
        <w:tc>
          <w:tcPr>
            <w:tcW w:w="1595" w:type="dxa"/>
            <w:vAlign w:val="center"/>
          </w:tcPr>
          <w:p w14:paraId="1EB1293A" w14:textId="77777777" w:rsidR="009F576B" w:rsidRPr="002F4E96" w:rsidRDefault="009F576B"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Sn63Pb37</w:t>
            </w:r>
          </w:p>
          <w:p w14:paraId="19B100C5" w14:textId="3BB0C96D" w:rsidR="00B901B3" w:rsidRPr="002F4E96" w:rsidRDefault="00E02A6A"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 xml:space="preserve"> </w:t>
            </w:r>
            <w:r w:rsidR="00B901B3" w:rsidRPr="002F4E96">
              <w:rPr>
                <w:rFonts w:ascii="Times New Roman" w:hAnsi="Times New Roman" w:cs="Times New Roman"/>
                <w:b/>
                <w:bCs/>
                <w:sz w:val="22"/>
                <w:szCs w:val="22"/>
              </w:rPr>
              <w:fldChar w:fldCharType="begin" w:fldLock="1"/>
            </w:r>
            <w:r w:rsidR="007803A4" w:rsidRPr="002F4E96">
              <w:rPr>
                <w:rFonts w:ascii="Times New Roman" w:hAnsi="Times New Roman" w:cs="Times New Roman"/>
                <w:b/>
                <w:bCs/>
                <w:sz w:val="22"/>
                <w:szCs w:val="22"/>
              </w:rPr>
              <w:instrText>ADDIN CSL_CITATION {"citationItems":[{"id":"ITEM-1","itemData":{"DOI":"10.1109/TCAPT.2004.843157","ISSN":"15213331","abstract":"An improved Anand constitutive model is proposed to describe the inelastic deformation of lead-free solder Sn-3.5Ag used in solder joints of microelectronic packaging. The new model accurately predicted the overall trend of steady-state stress-strain behavior of the solder for the temperature range from 233 K to 398 K and the strain rate range from 0.005 s-1 to 0.1 s-1. h0, a constant in the original Anand model, was set to a function of temperature and strain rate in the proposed model. Comparison of the experimental results and simulated results verified that the improved Anand model with modifying h0 to a function reasonably simulated the inelastic stress-strain relationships. © 2005 IEEE.","author":[{"dropping-particle":"","family":"Chen","given":"Xu","non-dropping-particle":"","parse-names":false,"suffix":""},{"dropping-particle":"","family":"Chen","given":"Gang","non-dropping-particle":"","parse-names":false,"suffix":""},{"dropping-particle":"","family":"Sakane","given":"Masao","non-dropping-particle":"","parse-names":false,"suffix":""}],"container-title":"IEEE Transactions on Components and Packaging Technologies","id":"ITEM-1","issue":"1","issued":{"date-parts":[["2005"]]},"page":"111-116","title":"Prediction of stress-strain relationship with an improved anand constitutive model for lead-free solder Sn-3.5Ag","type":"article-journal","volume":"28"},"uris":["http://www.mendeley.com/documents/?uuid=3a24f2d1-f419-420a-be06-2bcb2562859d"]}],"mendeley":{"formattedCitation":"[71]","plainTextFormattedCitation":"[71]","previouslyFormattedCitation":"[71]"},"properties":{"noteIndex":0},"schema":"https://github.com/citation-style-language/schema/raw/master/csl-citation.json"}</w:instrText>
            </w:r>
            <w:r w:rsidR="00B901B3" w:rsidRPr="002F4E96">
              <w:rPr>
                <w:rFonts w:ascii="Times New Roman" w:hAnsi="Times New Roman" w:cs="Times New Roman"/>
                <w:b/>
                <w:bCs/>
                <w:sz w:val="22"/>
                <w:szCs w:val="22"/>
              </w:rPr>
              <w:fldChar w:fldCharType="separate"/>
            </w:r>
            <w:r w:rsidR="0039530C" w:rsidRPr="002F4E96">
              <w:rPr>
                <w:rFonts w:ascii="Times New Roman" w:hAnsi="Times New Roman" w:cs="Times New Roman"/>
                <w:bCs/>
                <w:noProof/>
                <w:sz w:val="22"/>
                <w:szCs w:val="22"/>
              </w:rPr>
              <w:t>[71]</w:t>
            </w:r>
            <w:r w:rsidR="00B901B3" w:rsidRPr="002F4E96">
              <w:rPr>
                <w:rFonts w:ascii="Times New Roman" w:hAnsi="Times New Roman" w:cs="Times New Roman"/>
                <w:b/>
                <w:bCs/>
                <w:sz w:val="22"/>
                <w:szCs w:val="22"/>
              </w:rPr>
              <w:fldChar w:fldCharType="end"/>
            </w:r>
          </w:p>
        </w:tc>
        <w:tc>
          <w:tcPr>
            <w:tcW w:w="1559" w:type="dxa"/>
            <w:vAlign w:val="center"/>
          </w:tcPr>
          <w:p w14:paraId="36774F73" w14:textId="77777777" w:rsidR="00B901B3" w:rsidRPr="002F4E96" w:rsidRDefault="00B901B3" w:rsidP="009F576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SAC305</w:t>
            </w:r>
          </w:p>
          <w:p w14:paraId="1A2FB181" w14:textId="69BB16EB"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fldChar w:fldCharType="begin" w:fldLock="1"/>
            </w:r>
            <w:r w:rsidR="007803A4" w:rsidRPr="002F4E96">
              <w:rPr>
                <w:rFonts w:ascii="Times New Roman" w:hAnsi="Times New Roman" w:cs="Times New Roman"/>
                <w:b/>
                <w:bCs/>
                <w:sz w:val="22"/>
                <w:szCs w:val="22"/>
              </w:rPr>
              <w:instrText>ADDIN CSL_CITATION {"citationItems":[{"id":"ITEM-1","itemData":{"ISSN":"00432296","abstract":"Three-dimensional finite element modeling (FEM) analysis was conducted to investigate the effects of the void size and location on the reliability of Sn-Ag-Cu heat-sink attachment. The results showed that void size does not have a significant effect on the strain/stress distribution, unless it is near the corner of the solder attachment, a location originally with higher stress. This is generally in agreement with the experimental results that a heat-sink attachment with an average of 37.5% void can survive more than 3000 cycles of thermal shock at -40° to 125°C. The void size had a significant effect on thermal dissipation. A 20% voids would cause the chip temperature to rise more than 5.1 °C, which would obviously degrade the reliability of the device. Compared to void size, the location of voids is less significant. Void size of 10% at a different location causes chip temperature variation around 1°C.","author":[{"dropping-particle":"","family":"Chang","given":"J.","non-dropping-particle":"","parse-names":false,"suffix":""},{"dropping-particle":"","family":"Wang","given":"L.","non-dropping-particle":"","parse-names":false,"suffix":""},{"dropping-particle":"","family":"Dirk","given":"J.","non-dropping-particle":"","parse-names":false,"suffix":""},{"dropping-particle":"","family":"Xie","given":"X.","non-dropping-particle":"","parse-names":false,"suffix":""}],"container-title":"Welding Journal (Miami, Fla)","id":"ITEM-1","issued":{"date-parts":[["2006"]]},"title":"Finite element modeling predicts the effects of voids on thermal shock reliability and thermal resistance of power device","type":"article-journal"},"uris":["http://www.mendeley.com/documents/?uuid=c74cd7b9-5ce1-4991-962e-cb8c8447258f"]}],"mendeley":{"formattedCitation":"[72]","plainTextFormattedCitation":"[72]","previouslyFormattedCitation":"[72]"},"properties":{"noteIndex":0},"schema":"https://github.com/citation-style-language/schema/raw/master/csl-citation.json"}</w:instrText>
            </w:r>
            <w:r w:rsidRPr="002F4E96">
              <w:rPr>
                <w:rFonts w:ascii="Times New Roman" w:hAnsi="Times New Roman" w:cs="Times New Roman"/>
                <w:b/>
                <w:bCs/>
                <w:sz w:val="22"/>
                <w:szCs w:val="22"/>
              </w:rPr>
              <w:fldChar w:fldCharType="separate"/>
            </w:r>
            <w:r w:rsidR="0039530C" w:rsidRPr="002F4E96">
              <w:rPr>
                <w:rFonts w:ascii="Times New Roman" w:hAnsi="Times New Roman" w:cs="Times New Roman"/>
                <w:bCs/>
                <w:noProof/>
                <w:sz w:val="22"/>
                <w:szCs w:val="22"/>
              </w:rPr>
              <w:t>[72]</w:t>
            </w:r>
            <w:r w:rsidRPr="002F4E96">
              <w:rPr>
                <w:rFonts w:ascii="Times New Roman" w:hAnsi="Times New Roman" w:cs="Times New Roman"/>
                <w:b/>
                <w:bCs/>
                <w:sz w:val="22"/>
                <w:szCs w:val="22"/>
              </w:rPr>
              <w:fldChar w:fldCharType="end"/>
            </w:r>
          </w:p>
        </w:tc>
        <w:tc>
          <w:tcPr>
            <w:tcW w:w="1559" w:type="dxa"/>
            <w:vAlign w:val="center"/>
          </w:tcPr>
          <w:p w14:paraId="32B95F02"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SAC405</w:t>
            </w:r>
          </w:p>
          <w:p w14:paraId="0C7E8B99" w14:textId="152A148E"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fldChar w:fldCharType="begin" w:fldLock="1"/>
            </w:r>
            <w:r w:rsidR="007803A4" w:rsidRPr="002F4E96">
              <w:rPr>
                <w:rFonts w:ascii="Times New Roman" w:hAnsi="Times New Roman" w:cs="Times New Roman"/>
                <w:b/>
                <w:bCs/>
                <w:sz w:val="22"/>
                <w:szCs w:val="22"/>
              </w:rPr>
              <w:instrText>ADDIN CSL_CITATION {"citationItems":[{"id":"ITEM-1","itemData":{"DOI":"10.1109/ESIME.2007.359957","ISBN":"1424411068","abstract":"A series of tensile tests for pb-free solder material 95.5Sn4.0Ag0.5Cu are conducted under a wide range of temperatures and constant strain rates to obtain the required data for fitting the material parameters of the Anand model. Based on these test results, empirical equations of the tensile strength, elastic modulus and yield stress are fitted as a functions of temperature. It is found that the temperature and strain rate have demonstrated crucial effects on tensile and creep properties of ShAgCu solder material. The test results have also displayed certain viscoplastic behavior, temperature dependence, strain rate sensitivity and creep resistance. A procedure for the determination of Anand material parameters through data fitting is proposed. In order to capture experimental data accurately, a modified Anand model with certain parameters which are the functions of the temperature and strain rate with the quadratic polynomial formula is discussed. Good agreements between the modified model prediction and experimental data have been obtained.","author":[{"dropping-particle":"","family":"Wang","given":"Qiang","non-dropping-particle":"","parse-names":false,"suffix":""},{"dropping-particle":"","family":"Liang","given":"Lihua","non-dropping-particle":"","parse-names":false,"suffix":""},{"dropping-particle":"","family":"Chen","given":"Xuefan","non-dropping-particle":"","parse-names":false,"suffix":""},{"dropping-particle":"","family":"Weng","given":"Xiaohong","non-dropping-particle":"","parse-names":false,"suffix":""},{"dropping-particle":"","family":"Yong","given":"Liu","non-dropping-particle":"","parse-names":false,"suffix":""},{"dropping-particle":"","family":"Irving","given":"Scott","non-dropping-particle":"","parse-names":false,"suffix":""},{"dropping-particle":"","family":"Luk","given":"Timwah","non-dropping-particle":"","parse-names":false,"suffix":""}],"container-title":"EuroSime 2007: International Conference on Thermal, Mechanical and Multi-Physics Simulation Experiments in Microelectronics and Micro-Systems, 2007","id":"ITEM-1","issued":{"date-parts":[["2007"]]},"title":"Experimental determination and modification of anand model constants for Pb-free material 95-5Sn4.0Ag0.5Cu","type":"paper-conference"},"uris":["http://www.mendeley.com/documents/?uuid=1c13e990-dd98-42a4-9f51-87fd4161cc88"]}],"mendeley":{"formattedCitation":"[73]","plainTextFormattedCitation":"[73]","previouslyFormattedCitation":"[73]"},"properties":{"noteIndex":0},"schema":"https://github.com/citation-style-language/schema/raw/master/csl-citation.json"}</w:instrText>
            </w:r>
            <w:r w:rsidRPr="002F4E96">
              <w:rPr>
                <w:rFonts w:ascii="Times New Roman" w:hAnsi="Times New Roman" w:cs="Times New Roman"/>
                <w:b/>
                <w:bCs/>
                <w:sz w:val="22"/>
                <w:szCs w:val="22"/>
              </w:rPr>
              <w:fldChar w:fldCharType="separate"/>
            </w:r>
            <w:r w:rsidR="0039530C" w:rsidRPr="002F4E96">
              <w:rPr>
                <w:rFonts w:ascii="Times New Roman" w:hAnsi="Times New Roman" w:cs="Times New Roman"/>
                <w:bCs/>
                <w:noProof/>
                <w:sz w:val="22"/>
                <w:szCs w:val="22"/>
              </w:rPr>
              <w:t>[73]</w:t>
            </w:r>
            <w:r w:rsidRPr="002F4E96">
              <w:rPr>
                <w:rFonts w:ascii="Times New Roman" w:hAnsi="Times New Roman" w:cs="Times New Roman"/>
                <w:b/>
                <w:bCs/>
                <w:sz w:val="22"/>
                <w:szCs w:val="22"/>
              </w:rPr>
              <w:fldChar w:fldCharType="end"/>
            </w:r>
          </w:p>
        </w:tc>
        <w:tc>
          <w:tcPr>
            <w:tcW w:w="1559" w:type="dxa"/>
            <w:vAlign w:val="center"/>
          </w:tcPr>
          <w:p w14:paraId="6DBE2513"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SAC387</w:t>
            </w:r>
          </w:p>
          <w:p w14:paraId="32A14875" w14:textId="2D71BBFF"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fldChar w:fldCharType="begin" w:fldLock="1"/>
            </w:r>
            <w:r w:rsidR="007803A4" w:rsidRPr="002F4E96">
              <w:rPr>
                <w:rFonts w:ascii="Times New Roman" w:hAnsi="Times New Roman" w:cs="Times New Roman"/>
                <w:b/>
                <w:bCs/>
                <w:sz w:val="22"/>
                <w:szCs w:val="22"/>
              </w:rPr>
              <w:instrText>ADDIN CSL_CITATION {"citationItems":[{"id":"ITEM-1","itemData":{"DOI":"10.1088/0965-0393/17/7/075014","ISSN":"09650393","abstract":"A unified viscoplastic constitutive model, Anand equations, was used to represent the inelastic deformation behavior for Sn3.8Ag0.7Cu/Sn3.8Ag0.7 Cu0.03Ce solders in surface mount technology. The Anand parameters of the constitutive equations for the SnAgCu and SnAgCuCe solders were determined from separated constitutive relations and experimental results. Non-linear least-squares fitting was selected to determine the model constants. Comparisons were then made with experimental measurements of the stress-inelastic strain curves: excellent agreement was found. The model accurately predicted the overall trend of steady-state stress-strain behavior of SnAgCu and SnAgCuCe solders for the temperature ranges from -55 to 125 °C and for the strain rate range from 1% s-1 to 0.01% s-1. It is concluded that the Anand model can be applied to represent the inelastic deformation behavior of solders at high homologous temperatures and can be recommended for finite element simulation of the stress-strain response of lead-free soldered joints. Based on the Anand model, the investigations of thermo-mechanical behavior of SnAgCu and SnAgCuCe soldered joints in fine pitch quad flat package by the finite element code have been done under thermal cyclic loading, and it is found that the reliability of the SnAgCuCe soldered joints is better than that of the SnAgCu soldered joints. © 2009 IOP Publishing Ltd.","author":[{"dropping-particle":"","family":"Zhang","given":"Liang","non-dropping-particle":"","parse-names":false,"suffix":""},{"dropping-particle":"","family":"Xue","given":"Songbai","non-dropping-particle":"","parse-names":false,"suffix":""},{"dropping-particle":"","family":"Gao","given":"Lili","non-dropping-particle":"","parse-names":false,"suffix":""},{"dropping-particle":"","family":"Zeng","given":"Guang","non-dropping-particle":"","parse-names":false,"suffix":""},{"dropping-particle":"","family":"Sheng","given":"Zhong","non-dropping-particle":"","parse-names":false,"suffix":""},{"dropping-particle":"","family":"Chen","given":"Yan","non-dropping-particle":"","parse-names":false,"suffix":""},{"dropping-particle":"","family":"Yu","given":"Shenglin","non-dropping-particle":"","parse-names":false,"suffix":""}],"container-title":"Modelling and Simulation in Materials Science and Engineering","id":"ITEM-1","issued":{"date-parts":[["2009"]]},"title":"Determination of Anand parameters for SnAgCuCe solder","type":"article-journal"},"uris":["http://www.mendeley.com/documents/?uuid=6023fe82-d506-4b11-ab2f-07a84a10404d"]}],"mendeley":{"formattedCitation":"[74]","plainTextFormattedCitation":"[74]","previouslyFormattedCitation":"[74]"},"properties":{"noteIndex":0},"schema":"https://github.com/citation-style-language/schema/raw/master/csl-citation.json"}</w:instrText>
            </w:r>
            <w:r w:rsidRPr="002F4E96">
              <w:rPr>
                <w:rFonts w:ascii="Times New Roman" w:hAnsi="Times New Roman" w:cs="Times New Roman"/>
                <w:b/>
                <w:bCs/>
                <w:sz w:val="22"/>
                <w:szCs w:val="22"/>
              </w:rPr>
              <w:fldChar w:fldCharType="separate"/>
            </w:r>
            <w:r w:rsidR="0039530C" w:rsidRPr="002F4E96">
              <w:rPr>
                <w:rFonts w:ascii="Times New Roman" w:hAnsi="Times New Roman" w:cs="Times New Roman"/>
                <w:bCs/>
                <w:noProof/>
                <w:sz w:val="22"/>
                <w:szCs w:val="22"/>
              </w:rPr>
              <w:t>[74]</w:t>
            </w:r>
            <w:r w:rsidRPr="002F4E96">
              <w:rPr>
                <w:rFonts w:ascii="Times New Roman" w:hAnsi="Times New Roman" w:cs="Times New Roman"/>
                <w:b/>
                <w:bCs/>
                <w:sz w:val="22"/>
                <w:szCs w:val="22"/>
              </w:rPr>
              <w:fldChar w:fldCharType="end"/>
            </w:r>
          </w:p>
        </w:tc>
        <w:tc>
          <w:tcPr>
            <w:tcW w:w="1373" w:type="dxa"/>
            <w:vAlign w:val="center"/>
          </w:tcPr>
          <w:p w14:paraId="70658266"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t>SAC396</w:t>
            </w:r>
          </w:p>
          <w:p w14:paraId="0148715A" w14:textId="05F8F57C"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F4E96">
              <w:rPr>
                <w:rFonts w:ascii="Times New Roman" w:hAnsi="Times New Roman" w:cs="Times New Roman"/>
                <w:b/>
                <w:bCs/>
                <w:sz w:val="22"/>
                <w:szCs w:val="22"/>
              </w:rPr>
              <w:fldChar w:fldCharType="begin" w:fldLock="1"/>
            </w:r>
            <w:r w:rsidR="007803A4" w:rsidRPr="002F4E96">
              <w:rPr>
                <w:rFonts w:ascii="Times New Roman" w:hAnsi="Times New Roman" w:cs="Times New Roman"/>
                <w:b/>
                <w:bCs/>
                <w:sz w:val="22"/>
                <w:szCs w:val="22"/>
              </w:rPr>
              <w:instrText>ADDIN CSL_CITATION {"citationItems":[{"id":"ITEM-1","itemData":{"author":[{"dropping-particle":"","family":"Trina Barua","given":"","non-dropping-particle":"","parse-names":false,"suffix":""}],"id":"ITEM-1","issue":"3","issued":{"date-parts":[["2016"]]},"page":"1-59","title":"A Comparative Study of The Thermo-Mechanical Behavior of WCSP Assembly Due to Difference In PCBs’ Layer Thickness","type":"article-journal","volume":"8"},"uris":["http://www.mendeley.com/documents/?uuid=4285e83a-dedd-4bb6-a26c-69582bff88c7"]}],"mendeley":{"formattedCitation":"[75]","plainTextFormattedCitation":"[75]","previouslyFormattedCitation":"[75]"},"properties":{"noteIndex":0},"schema":"https://github.com/citation-style-language/schema/raw/master/csl-citation.json"}</w:instrText>
            </w:r>
            <w:r w:rsidRPr="002F4E96">
              <w:rPr>
                <w:rFonts w:ascii="Times New Roman" w:hAnsi="Times New Roman" w:cs="Times New Roman"/>
                <w:b/>
                <w:bCs/>
                <w:sz w:val="22"/>
                <w:szCs w:val="22"/>
              </w:rPr>
              <w:fldChar w:fldCharType="separate"/>
            </w:r>
            <w:r w:rsidR="0039530C" w:rsidRPr="002F4E96">
              <w:rPr>
                <w:rFonts w:ascii="Times New Roman" w:hAnsi="Times New Roman" w:cs="Times New Roman"/>
                <w:bCs/>
                <w:noProof/>
                <w:sz w:val="22"/>
                <w:szCs w:val="22"/>
              </w:rPr>
              <w:t>[75]</w:t>
            </w:r>
            <w:r w:rsidRPr="002F4E96">
              <w:rPr>
                <w:rFonts w:ascii="Times New Roman" w:hAnsi="Times New Roman" w:cs="Times New Roman"/>
                <w:b/>
                <w:bCs/>
                <w:sz w:val="22"/>
                <w:szCs w:val="22"/>
              </w:rPr>
              <w:fldChar w:fldCharType="end"/>
            </w:r>
          </w:p>
        </w:tc>
      </w:tr>
      <w:tr w:rsidR="00953D2E" w:rsidRPr="002F4E96" w14:paraId="11BA73F1" w14:textId="77777777" w:rsidTr="00354D92">
        <w:trPr>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252C79D4" w14:textId="77777777" w:rsidR="00B901B3" w:rsidRPr="002F4E96" w:rsidRDefault="00B205D3" w:rsidP="00354D92">
            <w:pPr>
              <w:pStyle w:val="NoSpacing"/>
              <w:spacing w:line="276" w:lineRule="auto"/>
              <w:jc w:val="center"/>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b"/>
                      </m:rPr>
                      <w:rPr>
                        <w:rFonts w:ascii="Cambria Math" w:hAnsi="Cambria Math" w:cs="Times New Roman"/>
                        <w:sz w:val="22"/>
                        <w:szCs w:val="22"/>
                      </w:rPr>
                      <m:t>s</m:t>
                    </m:r>
                  </m:e>
                  <m:sub>
                    <m:r>
                      <m:rPr>
                        <m:sty m:val="b"/>
                      </m:rPr>
                      <w:rPr>
                        <w:rFonts w:ascii="Cambria Math" w:hAnsi="Cambria Math" w:cs="Times New Roman"/>
                        <w:sz w:val="22"/>
                        <w:szCs w:val="22"/>
                      </w:rPr>
                      <m:t>o</m:t>
                    </m:r>
                  </m:sub>
                </m:sSub>
                <m:r>
                  <m:rPr>
                    <m:sty m:val="b"/>
                  </m:rPr>
                  <w:rPr>
                    <w:rFonts w:ascii="Cambria Math" w:hAnsi="Cambria Math" w:cs="Times New Roman"/>
                    <w:sz w:val="22"/>
                    <w:szCs w:val="22"/>
                  </w:rPr>
                  <m:t>(MPa)</m:t>
                </m:r>
              </m:oMath>
            </m:oMathPara>
          </w:p>
        </w:tc>
        <w:tc>
          <w:tcPr>
            <w:tcW w:w="1595" w:type="dxa"/>
            <w:vAlign w:val="center"/>
          </w:tcPr>
          <w:p w14:paraId="364A86E5"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3.1522</w:t>
            </w:r>
          </w:p>
        </w:tc>
        <w:tc>
          <w:tcPr>
            <w:tcW w:w="1559" w:type="dxa"/>
            <w:vAlign w:val="center"/>
          </w:tcPr>
          <w:p w14:paraId="6425C09A"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45.9</w:t>
            </w:r>
          </w:p>
        </w:tc>
        <w:tc>
          <w:tcPr>
            <w:tcW w:w="1559" w:type="dxa"/>
            <w:vAlign w:val="center"/>
          </w:tcPr>
          <w:p w14:paraId="175AC3BE"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20.0</w:t>
            </w:r>
          </w:p>
        </w:tc>
        <w:tc>
          <w:tcPr>
            <w:tcW w:w="1559" w:type="dxa"/>
            <w:vAlign w:val="center"/>
          </w:tcPr>
          <w:p w14:paraId="101403CD"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39.5</w:t>
            </w:r>
          </w:p>
        </w:tc>
        <w:tc>
          <w:tcPr>
            <w:tcW w:w="1373" w:type="dxa"/>
            <w:vAlign w:val="center"/>
          </w:tcPr>
          <w:p w14:paraId="6AE296A7"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3.3</w:t>
            </w:r>
          </w:p>
        </w:tc>
      </w:tr>
      <w:tr w:rsidR="00953D2E" w:rsidRPr="002F4E96" w14:paraId="3AFBFC3C" w14:textId="77777777" w:rsidTr="00354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38FE8DFD" w14:textId="77777777" w:rsidR="00B901B3" w:rsidRPr="002F4E96" w:rsidRDefault="00B205D3" w:rsidP="00354D92">
            <w:pPr>
              <w:pStyle w:val="NoSpacing"/>
              <w:spacing w:line="276" w:lineRule="auto"/>
              <w:jc w:val="center"/>
              <w:rPr>
                <w:rFonts w:ascii="Times New Roman" w:hAnsi="Times New Roman" w:cs="Times New Roman"/>
                <w:sz w:val="22"/>
                <w:szCs w:val="22"/>
              </w:rPr>
            </w:pPr>
            <m:oMathPara>
              <m:oMath>
                <m:f>
                  <m:fPr>
                    <m:ctrlPr>
                      <w:rPr>
                        <w:rFonts w:ascii="Cambria Math" w:hAnsi="Cambria Math" w:cs="Times New Roman"/>
                        <w:sz w:val="22"/>
                        <w:szCs w:val="22"/>
                      </w:rPr>
                    </m:ctrlPr>
                  </m:fPr>
                  <m:num>
                    <m:r>
                      <m:rPr>
                        <m:sty m:val="bi"/>
                      </m:rPr>
                      <w:rPr>
                        <w:rFonts w:ascii="Cambria Math" w:hAnsi="Cambria Math" w:cs="Times New Roman"/>
                        <w:sz w:val="22"/>
                        <w:szCs w:val="22"/>
                      </w:rPr>
                      <m:t>Q</m:t>
                    </m:r>
                  </m:num>
                  <m:den>
                    <m:r>
                      <m:rPr>
                        <m:sty m:val="bi"/>
                      </m:rPr>
                      <w:rPr>
                        <w:rFonts w:ascii="Cambria Math" w:hAnsi="Cambria Math" w:cs="Times New Roman"/>
                        <w:sz w:val="22"/>
                        <w:szCs w:val="22"/>
                      </w:rPr>
                      <m:t>R</m:t>
                    </m:r>
                  </m:den>
                </m:f>
                <m:r>
                  <m:rPr>
                    <m:sty m:val="b"/>
                  </m:rPr>
                  <w:rPr>
                    <w:rFonts w:ascii="Cambria Math" w:hAnsi="Cambria Math" w:cs="Times New Roman"/>
                    <w:sz w:val="22"/>
                    <w:szCs w:val="22"/>
                  </w:rPr>
                  <m:t xml:space="preserve"> (</m:t>
                </m:r>
                <m:sSup>
                  <m:sSupPr>
                    <m:ctrlPr>
                      <w:rPr>
                        <w:rFonts w:ascii="Cambria Math" w:hAnsi="Cambria Math" w:cs="Times New Roman"/>
                        <w:sz w:val="22"/>
                        <w:szCs w:val="22"/>
                      </w:rPr>
                    </m:ctrlPr>
                  </m:sSupPr>
                  <m:e>
                    <m:r>
                      <m:rPr>
                        <m:sty m:val="bi"/>
                      </m:rPr>
                      <w:rPr>
                        <w:rFonts w:ascii="Cambria Math" w:hAnsi="Cambria Math" w:cs="Times New Roman"/>
                        <w:sz w:val="22"/>
                        <w:szCs w:val="22"/>
                      </w:rPr>
                      <m:t>K</m:t>
                    </m:r>
                  </m:e>
                  <m:sup>
                    <m:r>
                      <m:rPr>
                        <m:sty m:val="b"/>
                      </m:rPr>
                      <w:rPr>
                        <w:rFonts w:ascii="Cambria Math" w:hAnsi="Cambria Math" w:cs="Times New Roman"/>
                        <w:sz w:val="22"/>
                        <w:szCs w:val="22"/>
                      </w:rPr>
                      <m:t>-1</m:t>
                    </m:r>
                  </m:sup>
                </m:sSup>
                <m:r>
                  <m:rPr>
                    <m:sty m:val="b"/>
                  </m:rPr>
                  <w:rPr>
                    <w:rFonts w:ascii="Cambria Math" w:hAnsi="Cambria Math" w:cs="Times New Roman"/>
                    <w:sz w:val="22"/>
                    <w:szCs w:val="22"/>
                  </w:rPr>
                  <m:t>)</m:t>
                </m:r>
              </m:oMath>
            </m:oMathPara>
          </w:p>
        </w:tc>
        <w:tc>
          <w:tcPr>
            <w:tcW w:w="1595" w:type="dxa"/>
            <w:vAlign w:val="center"/>
          </w:tcPr>
          <w:p w14:paraId="1899E78C"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6,526</w:t>
            </w:r>
          </w:p>
        </w:tc>
        <w:tc>
          <w:tcPr>
            <w:tcW w:w="1559" w:type="dxa"/>
            <w:vAlign w:val="center"/>
          </w:tcPr>
          <w:p w14:paraId="6354A805"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7,460</w:t>
            </w:r>
          </w:p>
        </w:tc>
        <w:tc>
          <w:tcPr>
            <w:tcW w:w="1559" w:type="dxa"/>
            <w:vAlign w:val="center"/>
          </w:tcPr>
          <w:p w14:paraId="41BEB091"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10,561</w:t>
            </w:r>
          </w:p>
        </w:tc>
        <w:tc>
          <w:tcPr>
            <w:tcW w:w="1559" w:type="dxa"/>
            <w:vAlign w:val="center"/>
          </w:tcPr>
          <w:p w14:paraId="4B8881F8"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8,710</w:t>
            </w:r>
          </w:p>
        </w:tc>
        <w:tc>
          <w:tcPr>
            <w:tcW w:w="1373" w:type="dxa"/>
            <w:vAlign w:val="center"/>
          </w:tcPr>
          <w:p w14:paraId="4EEED205"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9,883</w:t>
            </w:r>
          </w:p>
        </w:tc>
      </w:tr>
      <w:tr w:rsidR="00953D2E" w:rsidRPr="002F4E96" w14:paraId="5A911855" w14:textId="77777777" w:rsidTr="00354D92">
        <w:trPr>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70084B48" w14:textId="77777777" w:rsidR="00B901B3" w:rsidRPr="002F4E96" w:rsidRDefault="00B901B3" w:rsidP="00354D92">
            <w:pPr>
              <w:pStyle w:val="NoSpacing"/>
              <w:spacing w:line="276" w:lineRule="auto"/>
              <w:jc w:val="center"/>
              <w:rPr>
                <w:rFonts w:ascii="Times New Roman" w:hAnsi="Times New Roman" w:cs="Times New Roman"/>
                <w:sz w:val="22"/>
                <w:szCs w:val="22"/>
              </w:rPr>
            </w:pPr>
            <m:oMathPara>
              <m:oMath>
                <m:r>
                  <m:rPr>
                    <m:sty m:val="b"/>
                  </m:rPr>
                  <w:rPr>
                    <w:rFonts w:ascii="Cambria Math" w:hAnsi="Cambria Math" w:cs="Times New Roman"/>
                    <w:sz w:val="22"/>
                    <w:szCs w:val="22"/>
                  </w:rPr>
                  <m:t>A (</m:t>
                </m:r>
                <m:sSup>
                  <m:sSupPr>
                    <m:ctrlPr>
                      <w:rPr>
                        <w:rFonts w:ascii="Cambria Math" w:hAnsi="Cambria Math" w:cs="Times New Roman"/>
                        <w:sz w:val="22"/>
                        <w:szCs w:val="22"/>
                      </w:rPr>
                    </m:ctrlPr>
                  </m:sSupPr>
                  <m:e>
                    <m:r>
                      <m:rPr>
                        <m:sty m:val="bi"/>
                      </m:rPr>
                      <w:rPr>
                        <w:rFonts w:ascii="Cambria Math" w:hAnsi="Cambria Math" w:cs="Times New Roman"/>
                        <w:sz w:val="22"/>
                        <w:szCs w:val="22"/>
                      </w:rPr>
                      <m:t>s</m:t>
                    </m:r>
                  </m:e>
                  <m:sup>
                    <m:r>
                      <m:rPr>
                        <m:sty m:val="b"/>
                      </m:rPr>
                      <w:rPr>
                        <w:rFonts w:ascii="Cambria Math" w:hAnsi="Cambria Math" w:cs="Times New Roman"/>
                        <w:sz w:val="22"/>
                        <w:szCs w:val="22"/>
                      </w:rPr>
                      <m:t>-1</m:t>
                    </m:r>
                  </m:sup>
                </m:sSup>
                <m:r>
                  <m:rPr>
                    <m:sty m:val="b"/>
                  </m:rPr>
                  <w:rPr>
                    <w:rFonts w:ascii="Cambria Math" w:hAnsi="Cambria Math" w:cs="Times New Roman"/>
                    <w:sz w:val="22"/>
                    <w:szCs w:val="22"/>
                  </w:rPr>
                  <m:t>)</m:t>
                </m:r>
              </m:oMath>
            </m:oMathPara>
          </w:p>
        </w:tc>
        <w:tc>
          <w:tcPr>
            <w:tcW w:w="1595" w:type="dxa"/>
            <w:vAlign w:val="center"/>
          </w:tcPr>
          <w:p w14:paraId="093CFFEC"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6,220</w:t>
            </w:r>
          </w:p>
        </w:tc>
        <w:tc>
          <w:tcPr>
            <w:tcW w:w="1559" w:type="dxa"/>
            <w:vAlign w:val="center"/>
          </w:tcPr>
          <w:p w14:paraId="0432B078" w14:textId="77777777" w:rsidR="00B901B3" w:rsidRPr="002F4E96" w:rsidRDefault="00B205D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m:oMathPara>
              <m:oMath>
                <m:sSup>
                  <m:sSupPr>
                    <m:ctrlPr>
                      <w:rPr>
                        <w:rFonts w:ascii="Cambria Math" w:hAnsi="Cambria Math" w:cs="Times New Roman"/>
                        <w:sz w:val="22"/>
                        <w:szCs w:val="22"/>
                      </w:rPr>
                    </m:ctrlPr>
                  </m:sSupPr>
                  <m:e>
                    <m:r>
                      <m:rPr>
                        <m:sty m:val="p"/>
                      </m:rPr>
                      <w:rPr>
                        <w:rFonts w:ascii="Cambria Math" w:hAnsi="Cambria Math" w:cs="Times New Roman"/>
                        <w:sz w:val="22"/>
                        <w:szCs w:val="22"/>
                      </w:rPr>
                      <m:t>5.87×10</m:t>
                    </m:r>
                  </m:e>
                  <m:sup>
                    <m:r>
                      <m:rPr>
                        <m:sty m:val="p"/>
                      </m:rPr>
                      <w:rPr>
                        <w:rFonts w:ascii="Cambria Math" w:hAnsi="Cambria Math" w:cs="Times New Roman"/>
                        <w:sz w:val="22"/>
                        <w:szCs w:val="22"/>
                      </w:rPr>
                      <m:t>6</m:t>
                    </m:r>
                  </m:sup>
                </m:sSup>
              </m:oMath>
            </m:oMathPara>
          </w:p>
        </w:tc>
        <w:tc>
          <w:tcPr>
            <w:tcW w:w="1559" w:type="dxa"/>
            <w:vAlign w:val="center"/>
          </w:tcPr>
          <w:p w14:paraId="27A893C2"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325</w:t>
            </w:r>
          </w:p>
        </w:tc>
        <w:tc>
          <w:tcPr>
            <w:tcW w:w="1559" w:type="dxa"/>
            <w:vAlign w:val="center"/>
          </w:tcPr>
          <w:p w14:paraId="09393ABE"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24,300</w:t>
            </w:r>
          </w:p>
        </w:tc>
        <w:tc>
          <w:tcPr>
            <w:tcW w:w="1373" w:type="dxa"/>
            <w:vAlign w:val="center"/>
          </w:tcPr>
          <w:p w14:paraId="738F4684" w14:textId="77777777" w:rsidR="00B901B3" w:rsidRPr="002F4E96" w:rsidRDefault="00B205D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m:oMathPara>
              <m:oMath>
                <m:sSup>
                  <m:sSupPr>
                    <m:ctrlPr>
                      <w:rPr>
                        <w:rFonts w:ascii="Cambria Math" w:hAnsi="Cambria Math" w:cs="Times New Roman"/>
                        <w:sz w:val="22"/>
                        <w:szCs w:val="22"/>
                      </w:rPr>
                    </m:ctrlPr>
                  </m:sSupPr>
                  <m:e>
                    <m:r>
                      <m:rPr>
                        <m:sty m:val="p"/>
                      </m:rPr>
                      <w:rPr>
                        <w:rFonts w:ascii="Cambria Math" w:hAnsi="Cambria Math" w:cs="Times New Roman"/>
                        <w:sz w:val="22"/>
                        <w:szCs w:val="22"/>
                      </w:rPr>
                      <m:t>1.57×10</m:t>
                    </m:r>
                  </m:e>
                  <m:sup>
                    <m:r>
                      <m:rPr>
                        <m:sty m:val="p"/>
                      </m:rPr>
                      <w:rPr>
                        <w:rFonts w:ascii="Cambria Math" w:hAnsi="Cambria Math" w:cs="Times New Roman"/>
                        <w:sz w:val="22"/>
                        <w:szCs w:val="22"/>
                      </w:rPr>
                      <m:t>7</m:t>
                    </m:r>
                  </m:sup>
                </m:sSup>
              </m:oMath>
            </m:oMathPara>
          </w:p>
        </w:tc>
      </w:tr>
      <w:tr w:rsidR="00953D2E" w:rsidRPr="002F4E96" w14:paraId="5C45DF72" w14:textId="77777777" w:rsidTr="00354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0B5F61C1" w14:textId="77777777" w:rsidR="00B901B3" w:rsidRPr="002F4E96" w:rsidRDefault="00B901B3" w:rsidP="00354D92">
            <w:pPr>
              <w:pStyle w:val="NoSpacing"/>
              <w:spacing w:line="276" w:lineRule="auto"/>
              <w:jc w:val="center"/>
              <w:rPr>
                <w:rFonts w:ascii="Times New Roman" w:hAnsi="Times New Roman" w:cs="Times New Roman"/>
                <w:sz w:val="22"/>
                <w:szCs w:val="22"/>
              </w:rPr>
            </w:pPr>
            <m:oMathPara>
              <m:oMath>
                <m:r>
                  <m:rPr>
                    <m:sty m:val="bi"/>
                  </m:rPr>
                  <w:rPr>
                    <w:rFonts w:ascii="Cambria Math" w:hAnsi="Cambria Math" w:cs="Times New Roman"/>
                    <w:sz w:val="22"/>
                    <w:szCs w:val="22"/>
                  </w:rPr>
                  <m:t>ξ</m:t>
                </m:r>
              </m:oMath>
            </m:oMathPara>
          </w:p>
        </w:tc>
        <w:tc>
          <w:tcPr>
            <w:tcW w:w="1595" w:type="dxa"/>
            <w:vAlign w:val="center"/>
          </w:tcPr>
          <w:p w14:paraId="6535D9AA"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3.33</w:t>
            </w:r>
          </w:p>
        </w:tc>
        <w:tc>
          <w:tcPr>
            <w:tcW w:w="1559" w:type="dxa"/>
            <w:vAlign w:val="center"/>
          </w:tcPr>
          <w:p w14:paraId="5DEC4392"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2.00</w:t>
            </w:r>
          </w:p>
        </w:tc>
        <w:tc>
          <w:tcPr>
            <w:tcW w:w="1559" w:type="dxa"/>
            <w:vAlign w:val="center"/>
          </w:tcPr>
          <w:p w14:paraId="4BE918B2"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10.00</w:t>
            </w:r>
          </w:p>
        </w:tc>
        <w:tc>
          <w:tcPr>
            <w:tcW w:w="1559" w:type="dxa"/>
            <w:vAlign w:val="center"/>
          </w:tcPr>
          <w:p w14:paraId="48654AA4"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5.8</w:t>
            </w:r>
          </w:p>
        </w:tc>
        <w:tc>
          <w:tcPr>
            <w:tcW w:w="1373" w:type="dxa"/>
            <w:vAlign w:val="center"/>
          </w:tcPr>
          <w:p w14:paraId="70ED5795"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1.06</w:t>
            </w:r>
          </w:p>
        </w:tc>
      </w:tr>
      <w:tr w:rsidR="00953D2E" w:rsidRPr="002F4E96" w14:paraId="27634593" w14:textId="77777777" w:rsidTr="00354D92">
        <w:trPr>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7F99FD0A" w14:textId="77777777" w:rsidR="00B901B3" w:rsidRPr="002F4E96" w:rsidRDefault="00B901B3" w:rsidP="00354D92">
            <w:pPr>
              <w:pStyle w:val="NoSpacing"/>
              <w:spacing w:line="276" w:lineRule="auto"/>
              <w:jc w:val="center"/>
              <w:rPr>
                <w:rFonts w:ascii="Times New Roman" w:hAnsi="Times New Roman" w:cs="Times New Roman"/>
                <w:sz w:val="22"/>
                <w:szCs w:val="22"/>
              </w:rPr>
            </w:pPr>
            <m:oMathPara>
              <m:oMath>
                <m:r>
                  <m:rPr>
                    <m:sty m:val="b"/>
                  </m:rPr>
                  <w:rPr>
                    <w:rFonts w:ascii="Cambria Math" w:hAnsi="Cambria Math" w:cs="Times New Roman"/>
                    <w:sz w:val="22"/>
                    <w:szCs w:val="22"/>
                  </w:rPr>
                  <m:t>m</m:t>
                </m:r>
              </m:oMath>
            </m:oMathPara>
          </w:p>
        </w:tc>
        <w:tc>
          <w:tcPr>
            <w:tcW w:w="1595" w:type="dxa"/>
            <w:vAlign w:val="center"/>
          </w:tcPr>
          <w:p w14:paraId="518D66A9"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0.27</w:t>
            </w:r>
          </w:p>
        </w:tc>
        <w:tc>
          <w:tcPr>
            <w:tcW w:w="1559" w:type="dxa"/>
            <w:vAlign w:val="center"/>
          </w:tcPr>
          <w:p w14:paraId="38A84F51"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0.0942</w:t>
            </w:r>
          </w:p>
        </w:tc>
        <w:tc>
          <w:tcPr>
            <w:tcW w:w="1559" w:type="dxa"/>
            <w:vAlign w:val="center"/>
          </w:tcPr>
          <w:p w14:paraId="2BF79BD0"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0.32</w:t>
            </w:r>
          </w:p>
        </w:tc>
        <w:tc>
          <w:tcPr>
            <w:tcW w:w="1559" w:type="dxa"/>
            <w:vAlign w:val="center"/>
          </w:tcPr>
          <w:p w14:paraId="552135AE"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0.183</w:t>
            </w:r>
          </w:p>
        </w:tc>
        <w:tc>
          <w:tcPr>
            <w:tcW w:w="1373" w:type="dxa"/>
            <w:vAlign w:val="center"/>
          </w:tcPr>
          <w:p w14:paraId="76153A1C"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0.3686</w:t>
            </w:r>
          </w:p>
        </w:tc>
      </w:tr>
      <w:tr w:rsidR="00953D2E" w:rsidRPr="002F4E96" w14:paraId="733DF834" w14:textId="77777777" w:rsidTr="00354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2670E68E" w14:textId="77777777" w:rsidR="00B901B3" w:rsidRPr="002F4E96" w:rsidRDefault="00B205D3" w:rsidP="00354D92">
            <w:pPr>
              <w:pStyle w:val="NoSpacing"/>
              <w:spacing w:line="276" w:lineRule="auto"/>
              <w:jc w:val="center"/>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b"/>
                      </m:rPr>
                      <w:rPr>
                        <w:rFonts w:ascii="Cambria Math" w:hAnsi="Cambria Math" w:cs="Times New Roman"/>
                        <w:sz w:val="22"/>
                        <w:szCs w:val="22"/>
                      </w:rPr>
                      <m:t>h</m:t>
                    </m:r>
                  </m:e>
                  <m:sub>
                    <m:r>
                      <m:rPr>
                        <m:sty m:val="b"/>
                      </m:rPr>
                      <w:rPr>
                        <w:rFonts w:ascii="Cambria Math" w:hAnsi="Cambria Math" w:cs="Times New Roman"/>
                        <w:sz w:val="22"/>
                        <w:szCs w:val="22"/>
                      </w:rPr>
                      <m:t>o</m:t>
                    </m:r>
                  </m:sub>
                </m:sSub>
                <m:r>
                  <m:rPr>
                    <m:sty m:val="b"/>
                  </m:rPr>
                  <w:rPr>
                    <w:rFonts w:ascii="Cambria Math" w:hAnsi="Cambria Math" w:cs="Times New Roman"/>
                    <w:sz w:val="22"/>
                    <w:szCs w:val="22"/>
                  </w:rPr>
                  <m:t>(MPa)</m:t>
                </m:r>
              </m:oMath>
            </m:oMathPara>
          </w:p>
        </w:tc>
        <w:tc>
          <w:tcPr>
            <w:tcW w:w="1595" w:type="dxa"/>
            <w:vAlign w:val="center"/>
          </w:tcPr>
          <w:p w14:paraId="54499A5F"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60,599</w:t>
            </w:r>
          </w:p>
        </w:tc>
        <w:tc>
          <w:tcPr>
            <w:tcW w:w="1559" w:type="dxa"/>
            <w:vAlign w:val="center"/>
          </w:tcPr>
          <w:p w14:paraId="26B3FE9D"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9,350</w:t>
            </w:r>
          </w:p>
        </w:tc>
        <w:tc>
          <w:tcPr>
            <w:tcW w:w="1559" w:type="dxa"/>
            <w:vAlign w:val="center"/>
          </w:tcPr>
          <w:p w14:paraId="623B872E" w14:textId="77777777" w:rsidR="00B901B3" w:rsidRPr="002F4E96" w:rsidRDefault="00B205D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m:oMathPara>
              <m:oMath>
                <m:sSup>
                  <m:sSupPr>
                    <m:ctrlPr>
                      <w:rPr>
                        <w:rFonts w:ascii="Cambria Math" w:hAnsi="Cambria Math" w:cs="Times New Roman"/>
                        <w:sz w:val="22"/>
                        <w:szCs w:val="22"/>
                      </w:rPr>
                    </m:ctrlPr>
                  </m:sSupPr>
                  <m:e>
                    <m:r>
                      <m:rPr>
                        <m:sty m:val="p"/>
                      </m:rPr>
                      <w:rPr>
                        <w:rFonts w:ascii="Cambria Math" w:hAnsi="Cambria Math" w:cs="Times New Roman"/>
                        <w:sz w:val="22"/>
                        <w:szCs w:val="22"/>
                      </w:rPr>
                      <m:t>8×10</m:t>
                    </m:r>
                  </m:e>
                  <m:sup>
                    <m:r>
                      <m:rPr>
                        <m:sty m:val="p"/>
                      </m:rPr>
                      <w:rPr>
                        <w:rFonts w:ascii="Cambria Math" w:hAnsi="Cambria Math" w:cs="Times New Roman"/>
                        <w:sz w:val="22"/>
                        <w:szCs w:val="22"/>
                      </w:rPr>
                      <m:t>5</m:t>
                    </m:r>
                  </m:sup>
                </m:sSup>
              </m:oMath>
            </m:oMathPara>
          </w:p>
        </w:tc>
        <w:tc>
          <w:tcPr>
            <w:tcW w:w="1559" w:type="dxa"/>
            <w:vAlign w:val="center"/>
          </w:tcPr>
          <w:p w14:paraId="20BDC7C1"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3,541.2</w:t>
            </w:r>
          </w:p>
        </w:tc>
        <w:tc>
          <w:tcPr>
            <w:tcW w:w="1373" w:type="dxa"/>
            <w:vAlign w:val="center"/>
          </w:tcPr>
          <w:p w14:paraId="2BA4FB00"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1077</w:t>
            </w:r>
          </w:p>
        </w:tc>
      </w:tr>
      <w:tr w:rsidR="00953D2E" w:rsidRPr="002F4E96" w14:paraId="35A94B31" w14:textId="77777777" w:rsidTr="00354D92">
        <w:trPr>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2B67CE7D" w14:textId="77777777" w:rsidR="00B901B3" w:rsidRPr="002F4E96" w:rsidRDefault="00B205D3" w:rsidP="00354D92">
            <w:pPr>
              <w:pStyle w:val="NoSpacing"/>
              <w:spacing w:line="276" w:lineRule="auto"/>
              <w:jc w:val="center"/>
              <w:rPr>
                <w:rFonts w:ascii="Times New Roman" w:hAnsi="Times New Roman" w:cs="Times New Roman"/>
                <w:sz w:val="22"/>
                <w:szCs w:val="22"/>
              </w:rPr>
            </w:pPr>
            <m:oMath>
              <m:acc>
                <m:accPr>
                  <m:ctrlPr>
                    <w:rPr>
                      <w:rFonts w:ascii="Cambria Math" w:hAnsi="Cambria Math" w:cs="Times New Roman"/>
                      <w:sz w:val="22"/>
                      <w:szCs w:val="22"/>
                    </w:rPr>
                  </m:ctrlPr>
                </m:accPr>
                <m:e>
                  <m:r>
                    <m:rPr>
                      <m:sty m:val="bi"/>
                    </m:rPr>
                    <w:rPr>
                      <w:rFonts w:ascii="Cambria Math" w:hAnsi="Cambria Math" w:cs="Times New Roman"/>
                      <w:sz w:val="22"/>
                      <w:szCs w:val="22"/>
                    </w:rPr>
                    <m:t>s</m:t>
                  </m:r>
                </m:e>
              </m:acc>
            </m:oMath>
            <w:r w:rsidR="00B901B3" w:rsidRPr="002F4E96">
              <w:rPr>
                <w:rFonts w:ascii="Times New Roman" w:hAnsi="Times New Roman" w:cs="Times New Roman"/>
                <w:sz w:val="22"/>
                <w:szCs w:val="22"/>
              </w:rPr>
              <w:t xml:space="preserve"> </w:t>
            </w:r>
            <m:oMath>
              <m:r>
                <m:rPr>
                  <m:sty m:val="b"/>
                </m:rPr>
                <w:rPr>
                  <w:rFonts w:ascii="Cambria Math" w:hAnsi="Cambria Math" w:cs="Times New Roman"/>
                  <w:sz w:val="22"/>
                  <w:szCs w:val="22"/>
                </w:rPr>
                <m:t>(MPa)</m:t>
              </m:r>
            </m:oMath>
          </w:p>
        </w:tc>
        <w:tc>
          <w:tcPr>
            <w:tcW w:w="1595" w:type="dxa"/>
            <w:vAlign w:val="center"/>
          </w:tcPr>
          <w:p w14:paraId="486964F4"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36.86</w:t>
            </w:r>
          </w:p>
        </w:tc>
        <w:tc>
          <w:tcPr>
            <w:tcW w:w="1559" w:type="dxa"/>
            <w:vAlign w:val="center"/>
          </w:tcPr>
          <w:p w14:paraId="0E52D2CA"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58.3</w:t>
            </w:r>
          </w:p>
        </w:tc>
        <w:tc>
          <w:tcPr>
            <w:tcW w:w="1559" w:type="dxa"/>
            <w:vAlign w:val="center"/>
          </w:tcPr>
          <w:p w14:paraId="1A6D4350"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42.0</w:t>
            </w:r>
          </w:p>
        </w:tc>
        <w:tc>
          <w:tcPr>
            <w:tcW w:w="1559" w:type="dxa"/>
            <w:vAlign w:val="center"/>
          </w:tcPr>
          <w:p w14:paraId="6CBC02D1"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65.3</w:t>
            </w:r>
          </w:p>
        </w:tc>
        <w:tc>
          <w:tcPr>
            <w:tcW w:w="1373" w:type="dxa"/>
            <w:vAlign w:val="center"/>
          </w:tcPr>
          <w:p w14:paraId="03C4F2F5"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3.15</w:t>
            </w:r>
          </w:p>
        </w:tc>
      </w:tr>
      <w:tr w:rsidR="00953D2E" w:rsidRPr="002F4E96" w14:paraId="0514B813" w14:textId="77777777" w:rsidTr="00354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3AB65464" w14:textId="77777777" w:rsidR="00B901B3" w:rsidRPr="002F4E96" w:rsidRDefault="00B901B3" w:rsidP="00354D92">
            <w:pPr>
              <w:pStyle w:val="NoSpacing"/>
              <w:spacing w:line="276" w:lineRule="auto"/>
              <w:jc w:val="center"/>
              <w:rPr>
                <w:rFonts w:ascii="Times New Roman" w:hAnsi="Times New Roman" w:cs="Times New Roman"/>
                <w:sz w:val="22"/>
                <w:szCs w:val="22"/>
              </w:rPr>
            </w:pPr>
            <m:oMathPara>
              <m:oMath>
                <m:r>
                  <m:rPr>
                    <m:sty m:val="b"/>
                  </m:rPr>
                  <w:rPr>
                    <w:rFonts w:ascii="Cambria Math" w:hAnsi="Cambria Math" w:cs="Times New Roman"/>
                    <w:sz w:val="22"/>
                    <w:szCs w:val="22"/>
                  </w:rPr>
                  <m:t>n</m:t>
                </m:r>
              </m:oMath>
            </m:oMathPara>
          </w:p>
        </w:tc>
        <w:tc>
          <w:tcPr>
            <w:tcW w:w="1595" w:type="dxa"/>
            <w:vAlign w:val="center"/>
          </w:tcPr>
          <w:p w14:paraId="7FD06601"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0.022</w:t>
            </w:r>
          </w:p>
        </w:tc>
        <w:tc>
          <w:tcPr>
            <w:tcW w:w="1559" w:type="dxa"/>
            <w:vAlign w:val="center"/>
          </w:tcPr>
          <w:p w14:paraId="78E620DB"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0.015</w:t>
            </w:r>
          </w:p>
        </w:tc>
        <w:tc>
          <w:tcPr>
            <w:tcW w:w="1559" w:type="dxa"/>
            <w:vAlign w:val="center"/>
          </w:tcPr>
          <w:p w14:paraId="2F87725D"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0.02</w:t>
            </w:r>
          </w:p>
        </w:tc>
        <w:tc>
          <w:tcPr>
            <w:tcW w:w="1559" w:type="dxa"/>
            <w:vAlign w:val="center"/>
          </w:tcPr>
          <w:p w14:paraId="7A3B168C"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0.019</w:t>
            </w:r>
          </w:p>
        </w:tc>
        <w:tc>
          <w:tcPr>
            <w:tcW w:w="1373" w:type="dxa"/>
            <w:vAlign w:val="center"/>
          </w:tcPr>
          <w:p w14:paraId="47DD04FA" w14:textId="77777777" w:rsidR="00B901B3" w:rsidRPr="002F4E96" w:rsidRDefault="00B901B3" w:rsidP="00354D9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0.0352</w:t>
            </w:r>
          </w:p>
        </w:tc>
      </w:tr>
      <w:tr w:rsidR="00953D2E" w:rsidRPr="002F4E96" w14:paraId="53FD1779" w14:textId="77777777" w:rsidTr="00354D92">
        <w:trPr>
          <w:jc w:val="center"/>
        </w:trPr>
        <w:tc>
          <w:tcPr>
            <w:cnfStyle w:val="001000000000" w:firstRow="0" w:lastRow="0" w:firstColumn="1" w:lastColumn="0" w:oddVBand="0" w:evenVBand="0" w:oddHBand="0" w:evenHBand="0" w:firstRowFirstColumn="0" w:firstRowLastColumn="0" w:lastRowFirstColumn="0" w:lastRowLastColumn="0"/>
            <w:tcW w:w="1371" w:type="dxa"/>
            <w:vAlign w:val="center"/>
          </w:tcPr>
          <w:p w14:paraId="06E66ECC" w14:textId="77777777" w:rsidR="00B901B3" w:rsidRPr="002F4E96" w:rsidRDefault="00B901B3" w:rsidP="00354D92">
            <w:pPr>
              <w:pStyle w:val="NoSpacing"/>
              <w:spacing w:line="276" w:lineRule="auto"/>
              <w:jc w:val="center"/>
              <w:rPr>
                <w:rFonts w:ascii="Times New Roman" w:hAnsi="Times New Roman" w:cs="Times New Roman"/>
                <w:sz w:val="22"/>
                <w:szCs w:val="22"/>
              </w:rPr>
            </w:pPr>
            <m:oMathPara>
              <m:oMath>
                <m:r>
                  <m:rPr>
                    <m:sty m:val="b"/>
                  </m:rPr>
                  <w:rPr>
                    <w:rFonts w:ascii="Cambria Math" w:hAnsi="Cambria Math" w:cs="Times New Roman"/>
                    <w:sz w:val="22"/>
                    <w:szCs w:val="22"/>
                  </w:rPr>
                  <m:t>a</m:t>
                </m:r>
              </m:oMath>
            </m:oMathPara>
          </w:p>
        </w:tc>
        <w:tc>
          <w:tcPr>
            <w:tcW w:w="1595" w:type="dxa"/>
            <w:vAlign w:val="center"/>
          </w:tcPr>
          <w:p w14:paraId="51353CEF"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1.7811</w:t>
            </w:r>
          </w:p>
        </w:tc>
        <w:tc>
          <w:tcPr>
            <w:tcW w:w="1559" w:type="dxa"/>
            <w:vAlign w:val="center"/>
          </w:tcPr>
          <w:p w14:paraId="026F78D7"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c>
          <w:tcPr>
            <w:tcW w:w="1559" w:type="dxa"/>
            <w:vAlign w:val="center"/>
          </w:tcPr>
          <w:p w14:paraId="097B85AF"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2.57</w:t>
            </w:r>
          </w:p>
        </w:tc>
        <w:tc>
          <w:tcPr>
            <w:tcW w:w="1559" w:type="dxa"/>
            <w:vAlign w:val="center"/>
          </w:tcPr>
          <w:p w14:paraId="62C4392E"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1.9</w:t>
            </w:r>
          </w:p>
        </w:tc>
        <w:tc>
          <w:tcPr>
            <w:tcW w:w="1373" w:type="dxa"/>
            <w:vAlign w:val="center"/>
          </w:tcPr>
          <w:p w14:paraId="1CD289CC" w14:textId="77777777" w:rsidR="00B901B3" w:rsidRPr="002F4E96" w:rsidRDefault="00B901B3" w:rsidP="00354D9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1.6832</w:t>
            </w:r>
          </w:p>
        </w:tc>
      </w:tr>
    </w:tbl>
    <w:bookmarkEnd w:id="17"/>
    <w:p w14:paraId="2F7A57EC" w14:textId="3227CD3A" w:rsidR="00B901B3" w:rsidRPr="002F4E96" w:rsidRDefault="00D843E6" w:rsidP="000D7411">
      <w:pPr>
        <w:pStyle w:val="Heading3"/>
        <w:spacing w:line="360" w:lineRule="auto"/>
        <w:rPr>
          <w:rFonts w:ascii="Times New Roman" w:hAnsi="Times New Roman" w:cs="Times New Roman"/>
          <w:color w:val="auto"/>
          <w:sz w:val="22"/>
          <w:szCs w:val="22"/>
        </w:rPr>
      </w:pPr>
      <w:r w:rsidRPr="002F4E96">
        <w:rPr>
          <w:rFonts w:ascii="Times New Roman" w:hAnsi="Times New Roman" w:cs="Times New Roman"/>
          <w:color w:val="auto"/>
          <w:sz w:val="22"/>
          <w:szCs w:val="22"/>
        </w:rPr>
        <w:lastRenderedPageBreak/>
        <w:t>2.2.</w:t>
      </w:r>
      <w:r w:rsidR="001761F1" w:rsidRPr="002F4E96">
        <w:rPr>
          <w:rFonts w:ascii="Times New Roman" w:hAnsi="Times New Roman" w:cs="Times New Roman"/>
          <w:color w:val="auto"/>
          <w:sz w:val="22"/>
          <w:szCs w:val="22"/>
        </w:rPr>
        <w:t>6</w:t>
      </w:r>
      <w:r w:rsidR="00B901B3" w:rsidRPr="002F4E96">
        <w:rPr>
          <w:rFonts w:ascii="Times New Roman" w:hAnsi="Times New Roman" w:cs="Times New Roman"/>
          <w:color w:val="auto"/>
          <w:sz w:val="22"/>
          <w:szCs w:val="22"/>
        </w:rPr>
        <w:t xml:space="preserve"> Loading and Boundary Conditions</w:t>
      </w:r>
    </w:p>
    <w:p w14:paraId="038BBFD8" w14:textId="5BBEF8A4" w:rsidR="00B901B3" w:rsidRPr="002F4E96" w:rsidRDefault="00641C55" w:rsidP="00B901B3">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In completing the FE analysis for thermal cycling, the ambient temperature cycle is external loading. </w:t>
      </w:r>
      <w:r w:rsidR="00B901B3" w:rsidRPr="002F4E96">
        <w:rPr>
          <w:rFonts w:ascii="Times New Roman" w:hAnsi="Times New Roman" w:cs="Times New Roman"/>
        </w:rPr>
        <w:t xml:space="preserve">The </w:t>
      </w:r>
      <w:r w:rsidR="00F54AE7" w:rsidRPr="002F4E96">
        <w:rPr>
          <w:rFonts w:ascii="Times New Roman" w:hAnsi="Times New Roman" w:cs="Times New Roman"/>
        </w:rPr>
        <w:t>FE</w:t>
      </w:r>
      <w:r w:rsidR="00B901B3" w:rsidRPr="002F4E96">
        <w:rPr>
          <w:rFonts w:ascii="Times New Roman" w:hAnsi="Times New Roman" w:cs="Times New Roman"/>
        </w:rPr>
        <w:t xml:space="preserve"> models were subjected to six complete </w:t>
      </w:r>
      <w:r w:rsidR="00F54AE7" w:rsidRPr="002F4E96">
        <w:rPr>
          <w:rFonts w:ascii="Times New Roman" w:hAnsi="Times New Roman" w:cs="Times New Roman"/>
        </w:rPr>
        <w:t>ATC’s</w:t>
      </w:r>
      <w:r w:rsidR="00B901B3" w:rsidRPr="002F4E96">
        <w:rPr>
          <w:rFonts w:ascii="Times New Roman" w:hAnsi="Times New Roman" w:cs="Times New Roman"/>
        </w:rPr>
        <w:t xml:space="preserve"> in 36 steps </w:t>
      </w:r>
      <w:r w:rsidRPr="002F4E96">
        <w:rPr>
          <w:rFonts w:ascii="Times New Roman" w:hAnsi="Times New Roman" w:cs="Times New Roman"/>
        </w:rPr>
        <w:t>presented</w:t>
      </w:r>
      <w:r w:rsidR="00B901B3" w:rsidRPr="002F4E96">
        <w:rPr>
          <w:rFonts w:ascii="Times New Roman" w:hAnsi="Times New Roman" w:cs="Times New Roman"/>
        </w:rPr>
        <w:t xml:space="preserve"> in Fig. </w:t>
      </w:r>
      <w:r w:rsidR="00BD6716" w:rsidRPr="002F4E96">
        <w:rPr>
          <w:rFonts w:ascii="Times New Roman" w:hAnsi="Times New Roman" w:cs="Times New Roman"/>
        </w:rPr>
        <w:t>6</w:t>
      </w:r>
      <w:r w:rsidR="00B901B3" w:rsidRPr="002F4E96">
        <w:rPr>
          <w:rFonts w:ascii="Times New Roman" w:hAnsi="Times New Roman" w:cs="Times New Roman"/>
        </w:rPr>
        <w:t>. The</w:t>
      </w:r>
      <w:r w:rsidR="00A1523B" w:rsidRPr="002F4E96">
        <w:rPr>
          <w:rFonts w:ascii="Times New Roman" w:hAnsi="Times New Roman" w:cs="Times New Roman"/>
        </w:rPr>
        <w:t xml:space="preserve"> author </w:t>
      </w:r>
      <w:r w:rsidRPr="002F4E96">
        <w:rPr>
          <w:rFonts w:ascii="Times New Roman" w:hAnsi="Times New Roman" w:cs="Times New Roman"/>
        </w:rPr>
        <w:t xml:space="preserve">utilised </w:t>
      </w:r>
      <w:r w:rsidR="00A1523B" w:rsidRPr="002F4E96">
        <w:rPr>
          <w:rFonts w:ascii="Times New Roman" w:hAnsi="Times New Roman" w:cs="Times New Roman"/>
        </w:rPr>
        <w:t>a</w:t>
      </w:r>
      <w:r w:rsidR="00B901B3" w:rsidRPr="002F4E96">
        <w:rPr>
          <w:rFonts w:ascii="Times New Roman" w:hAnsi="Times New Roman" w:cs="Times New Roman"/>
        </w:rPr>
        <w:t xml:space="preserve"> thermal cycling temperature from -40</w:t>
      </w:r>
      <m:oMath>
        <m:r>
          <w:rPr>
            <w:rFonts w:ascii="Cambria Math" w:hAnsi="Cambria Math" w:cs="Times New Roman"/>
          </w:rPr>
          <m:t>℃</m:t>
        </m:r>
      </m:oMath>
      <w:r w:rsidR="00B901B3" w:rsidRPr="002F4E96">
        <w:rPr>
          <w:rFonts w:ascii="Times New Roman" w:hAnsi="Times New Roman" w:cs="Times New Roman"/>
        </w:rPr>
        <w:t xml:space="preserve"> to +150</w:t>
      </w:r>
      <m:oMath>
        <m:r>
          <w:rPr>
            <w:rFonts w:ascii="Cambria Math" w:hAnsi="Cambria Math" w:cs="Times New Roman"/>
          </w:rPr>
          <m:t>℃</m:t>
        </m:r>
      </m:oMath>
      <w:r w:rsidR="00B901B3" w:rsidRPr="002F4E96">
        <w:rPr>
          <w:rFonts w:ascii="Times New Roman" w:hAnsi="Times New Roman" w:cs="Times New Roman"/>
        </w:rPr>
        <w:t xml:space="preserve"> with 15</w:t>
      </w:r>
      <m:oMath>
        <m:r>
          <w:rPr>
            <w:rFonts w:ascii="Cambria Math" w:hAnsi="Cambria Math" w:cs="Times New Roman"/>
          </w:rPr>
          <m:t>℃</m:t>
        </m:r>
      </m:oMath>
      <w:r w:rsidR="00B901B3" w:rsidRPr="002F4E96">
        <w:rPr>
          <w:rFonts w:ascii="Times New Roman" w:hAnsi="Times New Roman" w:cs="Times New Roman"/>
        </w:rPr>
        <w:t>/min ramp, and 5</w:t>
      </w:r>
      <w:r w:rsidR="00656FA6" w:rsidRPr="002F4E96">
        <w:rPr>
          <w:rFonts w:ascii="Times New Roman" w:hAnsi="Times New Roman" w:cs="Times New Roman"/>
        </w:rPr>
        <w:t xml:space="preserve"> </w:t>
      </w:r>
      <w:r w:rsidR="00B901B3" w:rsidRPr="002F4E96">
        <w:rPr>
          <w:rFonts w:ascii="Times New Roman" w:hAnsi="Times New Roman" w:cs="Times New Roman"/>
        </w:rPr>
        <w:t xml:space="preserve">mins dwell based on IEC 60749-25 temperature cycling and JEDEC Standard JESD22-A104D </w:t>
      </w:r>
      <w:r w:rsidR="00B901B3"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{"citationItems":[{"id":"ITEM-1","itemData":{"abstract":"This specification applies to single-, dual- and triple-chamber temperature cycling and covers component and solder interconnection testing. It should be noted that this specification does not cover or apply to thermal shock chambers. In single chamber cycling, the load is placed in a stationary chamber and is heated or cooled by introducing hot or cold air into the chamber. In dual-chamber cycling, the load is placed on a moving platform that shuttles between stationary chambers maintained at fixed temperatures. In triple-chamber temperature cycling there are three chambers and the load is moved between them. This test is conducted to determine the ability of components and solder interconnects to withstand mechanical stresses induced by alternating high- and low-temperature extremes. Permanent changes in electrical and/or physical characteristics can result from these mechanical stresses.","author":[{"dropping-particle":"","family":"JEDEC-JESD22-A104D","given":"","non-dropping-particle":"","parse-names":false,"suffix":""}],"container-title":"Jedec.Org","id":"ITEM-1","issued":{"date-parts":[["2014"]]},"title":"Temperature Cycling","type":"report"},"uris":["http://www.mendeley.com/documents/?uuid=15bcfc38-090e-41ff-a42f-a4de4af2276a"]},{"id":"ITEM-2","itemData":{"abstract":"PURPOSE: The study's purpose was to determine the respective influences of the maximal power (Pmax) and the force-velocity (F-v) mechanical profile of the lower limb neuromuscular system on performance in ballistic movements.$\\$n$\\$nMETHODS: A theoretical integrative approach was proposed to express ballistic performance as a mathematical function of Pmax and F-v profile. This equation was (i) validated from experimental data obtained on 14 subjects during lower limb ballistic inclined push-offs and (ii) simulated to quantify the respective influence of Pmax and F-v profile on performance.$\\$n$\\$nRESULTS: The bias between performances predicted and obtained from experimental measurements was 4{%}-7{%}, confirming the validity of the proposed theoretical approach. Simulations showed that ballistic performance was mostly influenced not only by Pmax but also by the balance between force and velocity capabilities as described by the F-v profile. For each individual, there is an optimal F-v profile that maximizes performance, whereas unfavorable F-v balances lead to differences in performance up to 30{%} for a given Pmax. This optimal F-v profile, which can be accurately determined, depends on some individual characteristics (limb extension range, Pmax) and on the afterload involved in the movement (inertia, inclination). The lower the afterload, the more the optimal F-v profile is oriented toward velocity capabilities and the greater the limitation of performance imposed by the maximal velocity of lower limb extension.$\\$n$\\$nCONCLUSIONS: High ballistic performances are determined by both maximization of the power output capabilities and optimization of the F-v mechanical profile of the lower limb neuromuscular system.","author":[{"dropping-particle":"","family":"JEDEC Standard","given":"","non-dropping-particle":"","parse-names":false,"suffix":""}],"container-title":"JEDEC SOLID STATE TECHNOLOGY ASSOCIATION","id":"ITEM-2","issued":{"date-parts":[["2004"]]},"title":"Power and Temperature Cycling JESD22-A105C","type":"article-journal"},"uris":["http://www.mendeley.com/documents/?uuid=4cf94127-1595-4837-8e4d-1cbb994ebc53"]},{"id":"ITEM-3","itemData":{"abstract":"This specification applies to single-, dual- and triple-chamber temperature cycling and covers component and solder interconnection testing. It should be noted that this specification does not cover or apply to thermal shock chambers. In single chamber cycling, the load is placed in a stationary chamber and is heated or cooled by introducing hot or cold air into the chamber. In dual-chamber cycling, the load is placed on a moving platform that shuttles between stationary chambers maintained at fixed temperatures. In triple-chamber temperature cycling there are three chambers and the load is moved between them. This test is conducted to determine the ability of components and solder interconnects to withstand mechanical stresses induced by alternating high- and low-temperature extremes. Permanent changes in electrical and/or physical characteristics can result from these mechanical stresses.","author":[{"dropping-particle":"","family":"JEDEC Solid State Technology Association","given":"","non-dropping-particle":"","parse-names":false,"suffix":""},{"dropping-particle":"","family":"JEDEC","given":"","non-dropping-particle":"","parse-names":false,"suffix":""}],"container-title":"Jedec.Org","id":"ITEM-3","issued":{"date-parts":[["2009"]]},"title":"JEDEC Standard JESD22-A104D, Temperature Cycling","type":"article-journal"},"uris":["http://www.mendeley.com/documents/?uuid=a519d2e5-1435-49f6-9303-91bfe8b17bfa"]}],"mendeley":{"formattedCitation":"[76]–[78]","plainTextFormattedCitation":"[76]–[78]","previouslyFormattedCitation":"[76]–[78]"},"properties":{"noteIndex":0},"schema":"https://github.com/citation-style-language/schema/raw/master/csl-citation.json"}</w:instrText>
      </w:r>
      <w:r w:rsidR="00B901B3" w:rsidRPr="002F4E96">
        <w:rPr>
          <w:rFonts w:ascii="Times New Roman" w:hAnsi="Times New Roman" w:cs="Times New Roman"/>
        </w:rPr>
        <w:fldChar w:fldCharType="separate"/>
      </w:r>
      <w:r w:rsidR="0039530C" w:rsidRPr="002F4E96">
        <w:rPr>
          <w:rFonts w:ascii="Times New Roman" w:hAnsi="Times New Roman" w:cs="Times New Roman"/>
          <w:noProof/>
        </w:rPr>
        <w:t>[76]–[78]</w:t>
      </w:r>
      <w:r w:rsidR="00B901B3" w:rsidRPr="002F4E96">
        <w:rPr>
          <w:rFonts w:ascii="Times New Roman" w:hAnsi="Times New Roman" w:cs="Times New Roman"/>
        </w:rPr>
        <w:fldChar w:fldCharType="end"/>
      </w:r>
      <w:r w:rsidR="00B901B3" w:rsidRPr="002F4E96">
        <w:rPr>
          <w:rFonts w:ascii="Times New Roman" w:hAnsi="Times New Roman" w:cs="Times New Roman"/>
        </w:rPr>
        <w:t xml:space="preserve"> </w:t>
      </w:r>
      <w:r w:rsidRPr="002F4E96">
        <w:rPr>
          <w:rFonts w:ascii="Times New Roman" w:hAnsi="Times New Roman" w:cs="Times New Roman"/>
        </w:rPr>
        <w:t>shown</w:t>
      </w:r>
      <w:r w:rsidR="00B901B3" w:rsidRPr="002F4E96">
        <w:rPr>
          <w:rFonts w:ascii="Times New Roman" w:hAnsi="Times New Roman" w:cs="Times New Roman"/>
        </w:rPr>
        <w:t xml:space="preserve"> in Fig. </w:t>
      </w:r>
      <w:r w:rsidR="00BD6716" w:rsidRPr="002F4E96">
        <w:rPr>
          <w:rFonts w:ascii="Times New Roman" w:hAnsi="Times New Roman" w:cs="Times New Roman"/>
        </w:rPr>
        <w:t>6</w:t>
      </w:r>
      <w:r w:rsidR="00B901B3" w:rsidRPr="002F4E96">
        <w:rPr>
          <w:rFonts w:ascii="Times New Roman" w:hAnsi="Times New Roman" w:cs="Times New Roman"/>
        </w:rPr>
        <w:t>. The quarter assembly components were first heated from room temperature 22</w:t>
      </w:r>
      <m:oMath>
        <m:r>
          <w:rPr>
            <w:rFonts w:ascii="Cambria Math" w:hAnsi="Cambria Math" w:cs="Times New Roman"/>
          </w:rPr>
          <m:t>℃</m:t>
        </m:r>
      </m:oMath>
      <w:r w:rsidR="00B901B3" w:rsidRPr="002F4E96">
        <w:rPr>
          <w:rFonts w:ascii="Times New Roman" w:hAnsi="Times New Roman" w:cs="Times New Roman"/>
        </w:rPr>
        <w:t xml:space="preserve"> which is the starting temperature in thermal cycle loading with </w:t>
      </w:r>
      <w:r w:rsidR="00063D5E" w:rsidRPr="002F4E96">
        <w:rPr>
          <w:rFonts w:ascii="Times New Roman" w:hAnsi="Times New Roman" w:cs="Times New Roman"/>
        </w:rPr>
        <w:t xml:space="preserve">a </w:t>
      </w:r>
      <w:r w:rsidR="00B901B3" w:rsidRPr="002F4E96">
        <w:rPr>
          <w:rFonts w:ascii="Times New Roman" w:hAnsi="Times New Roman" w:cs="Times New Roman"/>
        </w:rPr>
        <w:t>constant heating rate. They are also assumed to be at a homologous temperature at loads steps. The temperature loading started from 22</w:t>
      </w:r>
      <m:oMath>
        <m:r>
          <w:rPr>
            <w:rFonts w:ascii="Cambria Math" w:hAnsi="Cambria Math" w:cs="Times New Roman"/>
          </w:rPr>
          <m:t>℃</m:t>
        </m:r>
      </m:oMath>
      <w:r w:rsidR="00B901B3" w:rsidRPr="002F4E96">
        <w:rPr>
          <w:rFonts w:ascii="Times New Roman" w:hAnsi="Times New Roman" w:cs="Times New Roman"/>
        </w:rPr>
        <w:t>, dwelled at -40</w:t>
      </w:r>
      <m:oMath>
        <m:r>
          <w:rPr>
            <w:rFonts w:ascii="Cambria Math" w:hAnsi="Cambria Math" w:cs="Times New Roman"/>
          </w:rPr>
          <m:t>℃</m:t>
        </m:r>
      </m:oMath>
      <w:r w:rsidR="00B901B3" w:rsidRPr="002F4E96">
        <w:rPr>
          <w:rFonts w:ascii="Times New Roman" w:hAnsi="Times New Roman" w:cs="Times New Roman"/>
        </w:rPr>
        <w:t xml:space="preserve"> at the rate of 15</w:t>
      </w:r>
      <m:oMath>
        <m:r>
          <w:rPr>
            <w:rFonts w:ascii="Cambria Math" w:hAnsi="Cambria Math" w:cs="Times New Roman"/>
          </w:rPr>
          <m:t>℃</m:t>
        </m:r>
      </m:oMath>
      <w:r w:rsidR="00B901B3" w:rsidRPr="002F4E96">
        <w:rPr>
          <w:rFonts w:ascii="Times New Roman" w:hAnsi="Times New Roman" w:cs="Times New Roman"/>
        </w:rPr>
        <w:t>/min, and ramped up to 22</w:t>
      </w:r>
      <m:oMath>
        <m:r>
          <w:rPr>
            <w:rFonts w:ascii="Cambria Math" w:hAnsi="Cambria Math" w:cs="Times New Roman"/>
          </w:rPr>
          <m:t>℃</m:t>
        </m:r>
      </m:oMath>
      <w:r w:rsidR="00B901B3" w:rsidRPr="002F4E96">
        <w:rPr>
          <w:rFonts w:ascii="Times New Roman" w:hAnsi="Times New Roman" w:cs="Times New Roman"/>
        </w:rPr>
        <w:t xml:space="preserve"> for the 23</w:t>
      </w:r>
      <w:r w:rsidR="00656FA6" w:rsidRPr="002F4E96">
        <w:rPr>
          <w:rFonts w:ascii="Times New Roman" w:hAnsi="Times New Roman" w:cs="Times New Roman"/>
        </w:rPr>
        <w:t xml:space="preserve"> </w:t>
      </w:r>
      <w:r w:rsidR="00B901B3" w:rsidRPr="002F4E96">
        <w:rPr>
          <w:rFonts w:ascii="Times New Roman" w:hAnsi="Times New Roman" w:cs="Times New Roman"/>
        </w:rPr>
        <w:t>mins and excursion temperature (</w:t>
      </w:r>
      <w:r w:rsidR="00F54AE7" w:rsidRPr="002F4E96">
        <w:rPr>
          <w:rFonts w:ascii="Times New Roman" w:hAnsi="Times New Roman" w:cs="Times New Roman"/>
        </w:rPr>
        <w:t>ET</w:t>
      </w:r>
      <w:r w:rsidR="00B901B3" w:rsidRPr="002F4E96">
        <w:rPr>
          <w:rFonts w:ascii="Times New Roman" w:hAnsi="Times New Roman" w:cs="Times New Roman"/>
        </w:rPr>
        <w:t>) of 150</w:t>
      </w:r>
      <m:oMath>
        <m:r>
          <w:rPr>
            <w:rFonts w:ascii="Cambria Math" w:hAnsi="Cambria Math" w:cs="Times New Roman"/>
          </w:rPr>
          <m:t>℃</m:t>
        </m:r>
      </m:oMath>
      <w:r w:rsidR="00B901B3" w:rsidRPr="002F4E96">
        <w:rPr>
          <w:rFonts w:ascii="Times New Roman" w:hAnsi="Times New Roman" w:cs="Times New Roman"/>
        </w:rPr>
        <w:t xml:space="preserve"> for 31.8</w:t>
      </w:r>
      <w:r w:rsidR="00656FA6" w:rsidRPr="002F4E96">
        <w:rPr>
          <w:rFonts w:ascii="Times New Roman" w:hAnsi="Times New Roman" w:cs="Times New Roman"/>
        </w:rPr>
        <w:t xml:space="preserve"> </w:t>
      </w:r>
      <w:r w:rsidR="00B901B3" w:rsidRPr="002F4E96">
        <w:rPr>
          <w:rFonts w:ascii="Times New Roman" w:hAnsi="Times New Roman" w:cs="Times New Roman"/>
        </w:rPr>
        <w:t>mins where it dwelled for 5</w:t>
      </w:r>
      <w:r w:rsidR="00656FA6" w:rsidRPr="002F4E96">
        <w:rPr>
          <w:rFonts w:ascii="Times New Roman" w:hAnsi="Times New Roman" w:cs="Times New Roman"/>
        </w:rPr>
        <w:t xml:space="preserve"> </w:t>
      </w:r>
      <w:r w:rsidR="00144C86" w:rsidRPr="002F4E96">
        <w:rPr>
          <w:rFonts w:ascii="Times New Roman" w:hAnsi="Times New Roman" w:cs="Times New Roman"/>
        </w:rPr>
        <w:t>mins.</w:t>
      </w:r>
      <w:r w:rsidR="00B901B3" w:rsidRPr="002F4E96">
        <w:rPr>
          <w:rFonts w:ascii="Times New Roman" w:hAnsi="Times New Roman" w:cs="Times New Roman"/>
        </w:rPr>
        <w:t xml:space="preserve"> Applications </w:t>
      </w:r>
      <w:r w:rsidRPr="002F4E96">
        <w:rPr>
          <w:rFonts w:ascii="Times New Roman" w:hAnsi="Times New Roman" w:cs="Times New Roman"/>
        </w:rPr>
        <w:t>employed</w:t>
      </w:r>
      <w:r w:rsidR="00B901B3" w:rsidRPr="002F4E96">
        <w:rPr>
          <w:rFonts w:ascii="Times New Roman" w:hAnsi="Times New Roman" w:cs="Times New Roman"/>
        </w:rPr>
        <w:t xml:space="preserve"> for this</w:t>
      </w:r>
      <w:r w:rsidR="006C6A60" w:rsidRPr="002F4E96">
        <w:rPr>
          <w:rFonts w:ascii="Times New Roman" w:hAnsi="Times New Roman" w:cs="Times New Roman"/>
        </w:rPr>
        <w:t xml:space="preserve"> type of</w:t>
      </w:r>
      <w:r w:rsidR="00B901B3" w:rsidRPr="002F4E96">
        <w:rPr>
          <w:rFonts w:ascii="Times New Roman" w:hAnsi="Times New Roman" w:cs="Times New Roman"/>
        </w:rPr>
        <w:t xml:space="preserve"> profile are</w:t>
      </w:r>
      <w:r w:rsidR="006C6A60" w:rsidRPr="002F4E96">
        <w:rPr>
          <w:rFonts w:ascii="Times New Roman" w:hAnsi="Times New Roman" w:cs="Times New Roman"/>
        </w:rPr>
        <w:t xml:space="preserve"> in</w:t>
      </w:r>
      <w:r w:rsidR="00B901B3" w:rsidRPr="002F4E96">
        <w:rPr>
          <w:rFonts w:ascii="Times New Roman" w:hAnsi="Times New Roman" w:cs="Times New Roman"/>
        </w:rPr>
        <w:t xml:space="preserve"> the automo</w:t>
      </w:r>
      <w:r w:rsidR="00144C86" w:rsidRPr="002F4E96">
        <w:rPr>
          <w:rFonts w:ascii="Times New Roman" w:hAnsi="Times New Roman" w:cs="Times New Roman"/>
        </w:rPr>
        <w:t>bile</w:t>
      </w:r>
      <w:r w:rsidR="00B901B3" w:rsidRPr="002F4E96">
        <w:rPr>
          <w:rFonts w:ascii="Times New Roman" w:hAnsi="Times New Roman" w:cs="Times New Roman"/>
        </w:rPr>
        <w:t xml:space="preserve"> under-hood, semiconductors in power supply controllers and </w:t>
      </w:r>
      <w:r w:rsidR="00063D5E" w:rsidRPr="002F4E96">
        <w:rPr>
          <w:rFonts w:ascii="Times New Roman" w:hAnsi="Times New Roman" w:cs="Times New Roman"/>
        </w:rPr>
        <w:t xml:space="preserve">the </w:t>
      </w:r>
      <w:r w:rsidR="00B901B3" w:rsidRPr="002F4E96">
        <w:rPr>
          <w:rFonts w:ascii="Times New Roman" w:hAnsi="Times New Roman" w:cs="Times New Roman"/>
        </w:rPr>
        <w:t>military. The assemblies were supported such that the conditions of the structure at the supports are:</w:t>
      </w:r>
    </w:p>
    <w:p w14:paraId="234B8368" w14:textId="26C962A9" w:rsidR="00B901B3" w:rsidRPr="002F4E96" w:rsidRDefault="00B901B3" w:rsidP="00B901B3">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At the </w:t>
      </w:r>
      <w:r w:rsidR="00F54AE7" w:rsidRPr="002F4E96">
        <w:rPr>
          <w:rFonts w:ascii="Times New Roman" w:hAnsi="Times New Roman" w:cs="Times New Roman"/>
        </w:rPr>
        <w:t>PCB</w:t>
      </w:r>
      <w:r w:rsidRPr="002F4E96">
        <w:rPr>
          <w:rFonts w:ascii="Times New Roman" w:hAnsi="Times New Roman" w:cs="Times New Roman"/>
        </w:rPr>
        <w:t xml:space="preserve"> base, </w:t>
      </w:r>
      <m:oMath>
        <m:r>
          <w:rPr>
            <w:rFonts w:ascii="Cambria Math" w:hAnsi="Cambria Math" w:cs="Times New Roman"/>
          </w:rPr>
          <m:t xml:space="preserve">y=0, </m:t>
        </m:r>
      </m:oMath>
      <w:r w:rsidRPr="002F4E96">
        <w:rPr>
          <w:rFonts w:ascii="Times New Roman" w:hAnsi="Times New Roman" w:cs="Times New Roman"/>
        </w:rPr>
        <w:t>and</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(y)</m:t>
            </m:r>
          </m:sub>
        </m:sSub>
        <m:r>
          <w:rPr>
            <w:rFonts w:ascii="Cambria Math" w:hAnsi="Cambria Math" w:cs="Times New Roman"/>
          </w:rPr>
          <m:t>=0</m:t>
        </m:r>
      </m:oMath>
      <w:r w:rsidRPr="002F4E96">
        <w:rPr>
          <w:rFonts w:ascii="Times New Roman" w:hAnsi="Times New Roman" w:cs="Times New Roman"/>
        </w:rPr>
        <w:t xml:space="preserve">; </w:t>
      </w:r>
    </w:p>
    <w:p w14:paraId="22FD00A1" w14:textId="656DC59B" w:rsidR="00B901B3" w:rsidRPr="002F4E96" w:rsidRDefault="00063D5E" w:rsidP="00B901B3">
      <w:pPr>
        <w:spacing w:before="125" w:line="360" w:lineRule="auto"/>
        <w:ind w:right="38"/>
        <w:jc w:val="both"/>
        <w:rPr>
          <w:rFonts w:ascii="Times New Roman" w:hAnsi="Times New Roman" w:cs="Times New Roman"/>
        </w:rPr>
      </w:pPr>
      <w:r w:rsidRPr="002F4E96">
        <w:rPr>
          <w:rFonts w:ascii="Times New Roman" w:hAnsi="Times New Roman" w:cs="Times New Roman"/>
        </w:rPr>
        <w:t>The top</w:t>
      </w:r>
      <w:r w:rsidR="00B901B3" w:rsidRPr="002F4E96">
        <w:rPr>
          <w:rFonts w:ascii="Times New Roman" w:hAnsi="Times New Roman" w:cs="Times New Roman"/>
        </w:rPr>
        <w:t xml:space="preserve"> surface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d>
              <m:dPr>
                <m:ctrlPr>
                  <w:rPr>
                    <w:rFonts w:ascii="Cambria Math" w:hAnsi="Cambria Math" w:cs="Times New Roman"/>
                    <w:i/>
                  </w:rPr>
                </m:ctrlPr>
              </m:dPr>
              <m:e>
                <m:r>
                  <w:rPr>
                    <w:rFonts w:ascii="Cambria Math" w:hAnsi="Cambria Math" w:cs="Times New Roman"/>
                  </w:rPr>
                  <m:t>y</m:t>
                </m:r>
              </m:e>
            </m:d>
          </m:sub>
        </m:sSub>
        <m:r>
          <w:rPr>
            <w:rFonts w:ascii="Cambria Math" w:hAnsi="Cambria Math" w:cs="Times New Roman"/>
          </w:rPr>
          <m:t>=0</m:t>
        </m:r>
      </m:oMath>
      <w:r w:rsidR="00B901B3" w:rsidRPr="002F4E9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(x)</m:t>
            </m:r>
          </m:sub>
        </m:sSub>
        <m:r>
          <w:rPr>
            <w:rFonts w:ascii="Cambria Math" w:hAnsi="Cambria Math" w:cs="Times New Roman"/>
          </w:rPr>
          <m:t xml:space="preserve"> </m:t>
        </m:r>
      </m:oMath>
      <w:r w:rsidR="00B901B3" w:rsidRPr="002F4E96">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m:t>
            </m:r>
          </m:sub>
        </m:sSub>
      </m:oMath>
      <w:r w:rsidR="00B901B3" w:rsidRPr="002F4E96">
        <w:rPr>
          <w:rFonts w:ascii="Times New Roman" w:hAnsi="Times New Roman" w:cs="Times New Roman"/>
        </w:rPr>
        <w:t xml:space="preserve"> are free.</w:t>
      </w:r>
    </w:p>
    <w:p w14:paraId="5F0DDDC7" w14:textId="7E97C881" w:rsidR="00B901B3" w:rsidRPr="002F4E96" w:rsidRDefault="00B901B3" w:rsidP="00B901B3">
      <w:pPr>
        <w:spacing w:before="125" w:line="360" w:lineRule="auto"/>
        <w:ind w:right="38"/>
        <w:jc w:val="both"/>
        <w:rPr>
          <w:rFonts w:ascii="Times New Roman" w:hAnsi="Times New Roman" w:cs="Times New Roman"/>
        </w:rPr>
      </w:pPr>
      <w:r w:rsidRPr="002F4E96">
        <w:rPr>
          <w:rFonts w:ascii="Times New Roman" w:hAnsi="Times New Roman" w:cs="Times New Roman"/>
        </w:rPr>
        <w:t>The</w:t>
      </w:r>
      <m:oMath>
        <m:sSub>
          <m:sSubPr>
            <m:ctrlPr>
              <w:rPr>
                <w:rFonts w:ascii="Cambria Math" w:hAnsi="Cambria Math" w:cs="Times New Roman"/>
                <w:i/>
              </w:rPr>
            </m:ctrlPr>
          </m:sSubPr>
          <m:e>
            <m:r>
              <w:rPr>
                <w:rFonts w:ascii="Cambria Math" w:hAnsi="Cambria Math" w:cs="Times New Roman"/>
              </w:rPr>
              <m:t xml:space="preserve"> u</m:t>
            </m:r>
          </m:e>
          <m:sub>
            <m:r>
              <w:rPr>
                <w:rFonts w:ascii="Cambria Math" w:hAnsi="Cambria Math" w:cs="Times New Roman"/>
              </w:rPr>
              <m:t>(x)</m:t>
            </m:r>
          </m:sub>
        </m:sSub>
      </m:oMath>
      <w:r w:rsidRPr="002F4E9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(y)</m:t>
            </m:r>
          </m:sub>
        </m:sSub>
      </m:oMath>
      <w:r w:rsidRPr="002F4E96">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(z)</m:t>
            </m:r>
          </m:sub>
        </m:sSub>
      </m:oMath>
      <w:r w:rsidRPr="002F4E96">
        <w:rPr>
          <w:rFonts w:ascii="Times New Roman" w:hAnsi="Times New Roman" w:cs="Times New Roman"/>
        </w:rPr>
        <w:t xml:space="preserve"> represents the displacement in the </w:t>
      </w:r>
      <m:oMath>
        <m:r>
          <w:rPr>
            <w:rFonts w:ascii="Cambria Math" w:hAnsi="Cambria Math" w:cs="Times New Roman"/>
          </w:rPr>
          <m:t xml:space="preserve">x, y </m:t>
        </m:r>
        <m:r>
          <m:rPr>
            <m:sty m:val="p"/>
          </m:rPr>
          <w:rPr>
            <w:rFonts w:ascii="Cambria Math" w:hAnsi="Cambria Math" w:cs="Times New Roman"/>
          </w:rPr>
          <m:t xml:space="preserve">and </m:t>
        </m:r>
        <m:r>
          <w:rPr>
            <w:rFonts w:ascii="Cambria Math" w:hAnsi="Cambria Math" w:cs="Times New Roman"/>
          </w:rPr>
          <m:t xml:space="preserve">z </m:t>
        </m:r>
        <m:r>
          <m:rPr>
            <m:sty m:val="p"/>
          </m:rPr>
          <w:rPr>
            <w:rFonts w:ascii="Cambria Math" w:hAnsi="Cambria Math" w:cs="Times New Roman"/>
          </w:rPr>
          <m:t>directions,</m:t>
        </m:r>
      </m:oMath>
      <w:r w:rsidRPr="002F4E96">
        <w:rPr>
          <w:rFonts w:ascii="Times New Roman" w:hAnsi="Times New Roman" w:cs="Times New Roman"/>
        </w:rPr>
        <w:t xml:space="preserve"> respectively. The bottom surface of the </w:t>
      </w:r>
      <w:r w:rsidR="00F54AE7" w:rsidRPr="002F4E96">
        <w:rPr>
          <w:rFonts w:ascii="Times New Roman" w:hAnsi="Times New Roman" w:cs="Times New Roman"/>
        </w:rPr>
        <w:t>PCB</w:t>
      </w:r>
      <w:r w:rsidRPr="002F4E96">
        <w:rPr>
          <w:rFonts w:ascii="Times New Roman" w:hAnsi="Times New Roman" w:cs="Times New Roman"/>
        </w:rPr>
        <w:t xml:space="preserve"> was fixed in </w:t>
      </w:r>
      <w:r w:rsidR="00063D5E" w:rsidRPr="002F4E96">
        <w:rPr>
          <w:rFonts w:ascii="Times New Roman" w:hAnsi="Times New Roman" w:cs="Times New Roman"/>
        </w:rPr>
        <w:t xml:space="preserve">the </w:t>
      </w:r>
      <w:r w:rsidRPr="002F4E96">
        <w:rPr>
          <w:rFonts w:ascii="Times New Roman" w:hAnsi="Times New Roman" w:cs="Times New Roman"/>
        </w:rPr>
        <w:t>Y direction and displaced in the X and Z directions.</w:t>
      </w:r>
    </w:p>
    <w:p w14:paraId="32020B76" w14:textId="4E929DE3" w:rsidR="00B901B3" w:rsidRPr="002F4E96" w:rsidRDefault="00B901B3" w:rsidP="00063D5E">
      <w:pPr>
        <w:spacing w:line="360" w:lineRule="auto"/>
        <w:jc w:val="both"/>
        <w:rPr>
          <w:rFonts w:ascii="Times New Roman" w:hAnsi="Times New Roman" w:cs="Times New Roman"/>
        </w:rPr>
      </w:pPr>
      <w:r w:rsidRPr="002F4E96">
        <w:rPr>
          <w:rFonts w:ascii="Times New Roman" w:hAnsi="Times New Roman" w:cs="Times New Roman"/>
        </w:rPr>
        <w:t xml:space="preserve">The application of six </w:t>
      </w:r>
      <w:r w:rsidR="003518EC" w:rsidRPr="002F4E96">
        <w:rPr>
          <w:rFonts w:ascii="Times New Roman" w:hAnsi="Times New Roman" w:cs="Times New Roman"/>
        </w:rPr>
        <w:t xml:space="preserve">temperature cycles </w:t>
      </w:r>
      <w:r w:rsidR="008F3167" w:rsidRPr="002F4E96">
        <w:rPr>
          <w:rFonts w:ascii="Times New Roman" w:hAnsi="Times New Roman" w:cs="Times New Roman"/>
        </w:rPr>
        <w:t>is</w:t>
      </w:r>
      <w:r w:rsidR="003518EC" w:rsidRPr="002F4E96">
        <w:rPr>
          <w:rFonts w:ascii="Times New Roman" w:hAnsi="Times New Roman" w:cs="Times New Roman"/>
        </w:rPr>
        <w:t xml:space="preserve"> sufficient to get stable results</w:t>
      </w:r>
      <w:r w:rsidR="00063D5E" w:rsidRPr="002F4E96">
        <w:rPr>
          <w:rFonts w:ascii="Times New Roman" w:hAnsi="Times New Roman" w:cs="Times New Roman"/>
        </w:rPr>
        <w:t>, facilitating</w:t>
      </w:r>
      <w:r w:rsidRPr="002F4E96">
        <w:rPr>
          <w:rFonts w:ascii="Times New Roman" w:hAnsi="Times New Roman" w:cs="Times New Roman"/>
        </w:rPr>
        <w:t xml:space="preserve"> a more reliable conclusion of the </w:t>
      </w:r>
      <w:r w:rsidR="00ED0EA1" w:rsidRPr="002F4E96">
        <w:rPr>
          <w:rFonts w:ascii="Times New Roman" w:hAnsi="Times New Roman" w:cs="Times New Roman"/>
        </w:rPr>
        <w:t>induced loads' solder joints' response</w:t>
      </w:r>
      <w:r w:rsidRPr="002F4E96">
        <w:rPr>
          <w:rFonts w:ascii="Times New Roman" w:hAnsi="Times New Roman" w:cs="Times New Roman"/>
        </w:rPr>
        <w:t xml:space="preserve">. Furthermore, </w:t>
      </w:r>
      <w:r w:rsidR="0072095C" w:rsidRPr="002F4E96">
        <w:rPr>
          <w:rFonts w:ascii="Times New Roman" w:hAnsi="Times New Roman" w:cs="Times New Roman"/>
        </w:rPr>
        <w:t>t</w:t>
      </w:r>
      <w:r w:rsidR="00641C55" w:rsidRPr="002F4E96">
        <w:rPr>
          <w:rFonts w:ascii="Times New Roman" w:hAnsi="Times New Roman" w:cs="Times New Roman"/>
        </w:rPr>
        <w:t xml:space="preserve">he electronic engineers and educational communities can use the data obtained from this study for a better-quality </w:t>
      </w:r>
      <w:r w:rsidR="0072095C" w:rsidRPr="002F4E96">
        <w:rPr>
          <w:rFonts w:ascii="Times New Roman" w:hAnsi="Times New Roman" w:cs="Times New Roman"/>
        </w:rPr>
        <w:t>innovation</w:t>
      </w:r>
      <w:r w:rsidR="00641C55" w:rsidRPr="002F4E96">
        <w:rPr>
          <w:rFonts w:ascii="Times New Roman" w:hAnsi="Times New Roman" w:cs="Times New Roman"/>
        </w:rPr>
        <w:t xml:space="preserve"> and enhanced design of solder joints in BGA assembly for improved thermo-mechanical reliability.</w:t>
      </w:r>
      <w:r w:rsidRPr="002F4E96">
        <w:rPr>
          <w:rFonts w:ascii="Times New Roman" w:hAnsi="Times New Roman" w:cs="Times New Roman"/>
        </w:rPr>
        <w:t xml:space="preserve"> Based on the guidelines from standards and </w:t>
      </w:r>
      <w:r w:rsidR="00AB204D" w:rsidRPr="002F4E96">
        <w:rPr>
          <w:rFonts w:ascii="Times New Roman" w:hAnsi="Times New Roman" w:cs="Times New Roman"/>
        </w:rPr>
        <w:t xml:space="preserve">peer-reviewed </w:t>
      </w:r>
      <w:r w:rsidRPr="002F4E96">
        <w:rPr>
          <w:rFonts w:ascii="Times New Roman" w:hAnsi="Times New Roman" w:cs="Times New Roman"/>
        </w:rPr>
        <w:t xml:space="preserve">literature, </w:t>
      </w:r>
      <w:r w:rsidR="004A0F82" w:rsidRPr="002F4E96">
        <w:rPr>
          <w:rFonts w:ascii="Times New Roman" w:hAnsi="Times New Roman" w:cs="Times New Roman"/>
        </w:rPr>
        <w:t>this research's thermal cycle parameters values</w:t>
      </w:r>
      <w:r w:rsidRPr="002F4E96">
        <w:rPr>
          <w:rFonts w:ascii="Times New Roman" w:hAnsi="Times New Roman" w:cs="Times New Roman"/>
        </w:rPr>
        <w:t xml:space="preserve"> are presented in Table </w:t>
      </w:r>
      <w:r w:rsidR="00950B72" w:rsidRPr="002F4E96">
        <w:rPr>
          <w:rFonts w:ascii="Times New Roman" w:hAnsi="Times New Roman" w:cs="Times New Roman"/>
        </w:rPr>
        <w:t>IV</w:t>
      </w:r>
      <w:r w:rsidRPr="002F4E96">
        <w:rPr>
          <w:rFonts w:ascii="Times New Roman" w:hAnsi="Times New Roman" w:cs="Times New Roman"/>
        </w:rPr>
        <w:t>. The duration of one thermal cycle results from the elected parameters is 43 mins. A visual representation of the thermal cycle profile is shown in Fig</w:t>
      </w:r>
      <w:r w:rsidR="00C5498E" w:rsidRPr="002F4E96">
        <w:rPr>
          <w:rFonts w:ascii="Times New Roman" w:hAnsi="Times New Roman" w:cs="Times New Roman"/>
        </w:rPr>
        <w:t xml:space="preserve">. </w:t>
      </w:r>
      <w:r w:rsidR="00BD6716" w:rsidRPr="002F4E96">
        <w:rPr>
          <w:rFonts w:ascii="Times New Roman" w:hAnsi="Times New Roman" w:cs="Times New Roman"/>
        </w:rPr>
        <w:t>6</w:t>
      </w:r>
      <w:r w:rsidRPr="002F4E96">
        <w:rPr>
          <w:rFonts w:ascii="Times New Roman" w:hAnsi="Times New Roman" w:cs="Times New Roman"/>
        </w:rPr>
        <w:t xml:space="preserve">. </w:t>
      </w:r>
      <w:r w:rsidR="00D36EAC" w:rsidRPr="002F4E96">
        <w:rPr>
          <w:rFonts w:ascii="Times New Roman" w:hAnsi="Times New Roman" w:cs="Times New Roman"/>
        </w:rPr>
        <w:t>The thermal cycling temperature of -40</w:t>
      </w:r>
      <m:oMath>
        <m:r>
          <w:rPr>
            <w:rFonts w:ascii="Cambria Math" w:hAnsi="Cambria Math" w:cs="Times New Roman"/>
          </w:rPr>
          <m:t>℃</m:t>
        </m:r>
      </m:oMath>
      <w:r w:rsidR="00D36EAC" w:rsidRPr="002F4E96">
        <w:rPr>
          <w:rFonts w:ascii="Times New Roman" w:hAnsi="Times New Roman" w:cs="Times New Roman"/>
        </w:rPr>
        <w:t xml:space="preserve"> to +150</w:t>
      </w:r>
      <m:oMath>
        <m:r>
          <w:rPr>
            <w:rFonts w:ascii="Cambria Math" w:hAnsi="Cambria Math" w:cs="Times New Roman"/>
          </w:rPr>
          <m:t>℃</m:t>
        </m:r>
      </m:oMath>
      <w:r w:rsidR="00D36EAC" w:rsidRPr="002F4E96">
        <w:rPr>
          <w:rFonts w:ascii="Times New Roman" w:hAnsi="Times New Roman" w:cs="Times New Roman"/>
        </w:rPr>
        <w:t xml:space="preserve"> that was used in this work was according to the </w:t>
      </w:r>
      <w:r w:rsidR="00F54AE7" w:rsidRPr="002F4E96">
        <w:rPr>
          <w:rFonts w:ascii="Times New Roman" w:hAnsi="Times New Roman" w:cs="Times New Roman"/>
        </w:rPr>
        <w:t>IEC</w:t>
      </w:r>
      <w:r w:rsidR="00D36EAC" w:rsidRPr="002F4E96">
        <w:rPr>
          <w:rFonts w:ascii="Times New Roman" w:hAnsi="Times New Roman" w:cs="Times New Roman"/>
        </w:rPr>
        <w:t xml:space="preserve"> standard 60749-25. </w:t>
      </w:r>
      <w:r w:rsidR="00641C55" w:rsidRPr="002F4E96">
        <w:rPr>
          <w:rFonts w:ascii="Times New Roman" w:hAnsi="Times New Roman" w:cs="Times New Roman"/>
        </w:rPr>
        <w:t>This part of IEC 60749</w:t>
      </w:r>
      <w:r w:rsidR="003D678A" w:rsidRPr="002F4E96">
        <w:rPr>
          <w:rFonts w:ascii="Times New Roman" w:hAnsi="Times New Roman" w:cs="Times New Roman"/>
        </w:rPr>
        <w:t>-25</w:t>
      </w:r>
      <w:r w:rsidR="00641C55" w:rsidRPr="002F4E96">
        <w:rPr>
          <w:rFonts w:ascii="Times New Roman" w:hAnsi="Times New Roman" w:cs="Times New Roman"/>
        </w:rPr>
        <w:t xml:space="preserve"> gives a test method for defining the semiconductor devices' capacity</w:t>
      </w:r>
      <w:r w:rsidR="003D678A" w:rsidRPr="002F4E96">
        <w:rPr>
          <w:rFonts w:ascii="Times New Roman" w:hAnsi="Times New Roman" w:cs="Times New Roman"/>
        </w:rPr>
        <w:t xml:space="preserve">, </w:t>
      </w:r>
      <w:r w:rsidR="00641C55" w:rsidRPr="002F4E96">
        <w:rPr>
          <w:rFonts w:ascii="Times New Roman" w:hAnsi="Times New Roman" w:cs="Times New Roman"/>
        </w:rPr>
        <w:t xml:space="preserve">components and board assemblies to withstand mechanical stresses induced by low- and alternating </w:t>
      </w:r>
      <w:r w:rsidR="004A0F82" w:rsidRPr="002F4E96">
        <w:rPr>
          <w:rFonts w:ascii="Times New Roman" w:hAnsi="Times New Roman" w:cs="Times New Roman"/>
        </w:rPr>
        <w:t>high-temperature</w:t>
      </w:r>
      <w:r w:rsidR="003D678A" w:rsidRPr="002F4E96">
        <w:rPr>
          <w:rFonts w:ascii="Times New Roman" w:hAnsi="Times New Roman" w:cs="Times New Roman"/>
        </w:rPr>
        <w:t xml:space="preserve"> </w:t>
      </w:r>
      <w:r w:rsidR="00641C55" w:rsidRPr="002F4E96">
        <w:rPr>
          <w:rFonts w:ascii="Times New Roman" w:hAnsi="Times New Roman" w:cs="Times New Roman"/>
        </w:rPr>
        <w:t>extremes.</w:t>
      </w:r>
    </w:p>
    <w:p w14:paraId="137E847D" w14:textId="3C08B925" w:rsidR="00B901B3" w:rsidRPr="002F4E96" w:rsidRDefault="00950B72" w:rsidP="00B901B3">
      <w:pPr>
        <w:spacing w:before="125" w:line="360" w:lineRule="auto"/>
        <w:ind w:right="38"/>
        <w:jc w:val="center"/>
        <w:rPr>
          <w:rFonts w:ascii="Times New Roman" w:hAnsi="Times New Roman" w:cs="Times New Roman"/>
        </w:rPr>
      </w:pPr>
      <w:r w:rsidRPr="002F4E96">
        <w:rPr>
          <w:rFonts w:ascii="Times New Roman" w:eastAsia="Times New Roman" w:hAnsi="Times New Roman" w:cs="Times New Roman"/>
          <w:bCs/>
          <w:noProof/>
          <w:lang w:eastAsia="en-GB"/>
        </w:rPr>
        <w:lastRenderedPageBreak/>
        <w:drawing>
          <wp:inline distT="0" distB="0" distL="0" distR="0" wp14:anchorId="2AD2149C" wp14:editId="1DD48911">
            <wp:extent cx="4318000" cy="2590989"/>
            <wp:effectExtent l="0" t="0" r="0" b="0"/>
            <wp:docPr id="135" name="Picture 1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rmal.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09278" cy="2765769"/>
                    </a:xfrm>
                    <a:prstGeom prst="rect">
                      <a:avLst/>
                    </a:prstGeom>
                  </pic:spPr>
                </pic:pic>
              </a:graphicData>
            </a:graphic>
          </wp:inline>
        </w:drawing>
      </w:r>
    </w:p>
    <w:p w14:paraId="77AD61FC" w14:textId="1B71468C" w:rsidR="00B901B3" w:rsidRPr="002F4E96" w:rsidRDefault="00CE0374" w:rsidP="00CE0374">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Fig</w:t>
      </w:r>
      <w:r w:rsidR="00D131A1" w:rsidRPr="002F4E96">
        <w:rPr>
          <w:rFonts w:ascii="Times New Roman" w:hAnsi="Times New Roman" w:cs="Times New Roman"/>
          <w:b w:val="0"/>
          <w:bCs w:val="0"/>
          <w:color w:val="auto"/>
          <w:sz w:val="22"/>
          <w:szCs w:val="22"/>
        </w:rPr>
        <w:t>.</w:t>
      </w:r>
      <w:r w:rsidRPr="002F4E96">
        <w:rPr>
          <w:rFonts w:ascii="Times New Roman" w:hAnsi="Times New Roman" w:cs="Times New Roman"/>
          <w:b w:val="0"/>
          <w:bCs w:val="0"/>
          <w:color w:val="auto"/>
          <w:sz w:val="22"/>
          <w:szCs w:val="22"/>
        </w:rPr>
        <w:t xml:space="preserve"> </w:t>
      </w:r>
      <w:r w:rsidR="00BD6716" w:rsidRPr="002F4E96">
        <w:rPr>
          <w:rFonts w:ascii="Times New Roman" w:hAnsi="Times New Roman" w:cs="Times New Roman"/>
          <w:b w:val="0"/>
          <w:bCs w:val="0"/>
          <w:color w:val="auto"/>
          <w:sz w:val="22"/>
          <w:szCs w:val="22"/>
        </w:rPr>
        <w:t>6</w:t>
      </w:r>
      <w:r w:rsidR="00B901B3" w:rsidRPr="002F4E96">
        <w:rPr>
          <w:rFonts w:ascii="Times New Roman" w:hAnsi="Times New Roman" w:cs="Times New Roman"/>
          <w:b w:val="0"/>
          <w:bCs w:val="0"/>
          <w:color w:val="auto"/>
          <w:sz w:val="22"/>
          <w:szCs w:val="22"/>
        </w:rPr>
        <w:t>: Thermal Cycling temperatures boundary profile</w:t>
      </w:r>
    </w:p>
    <w:p w14:paraId="63AC2300" w14:textId="553A5A70" w:rsidR="00950B72" w:rsidRPr="002F4E96" w:rsidRDefault="00950B72" w:rsidP="00950B72">
      <w:pPr>
        <w:rPr>
          <w:rFonts w:ascii="Times New Roman" w:hAnsi="Times New Roman" w:cs="Times New Roman"/>
        </w:rPr>
      </w:pPr>
      <w:r w:rsidRPr="002F4E96">
        <w:rPr>
          <w:rFonts w:ascii="Times New Roman" w:hAnsi="Times New Roman" w:cs="Times New Roman"/>
        </w:rPr>
        <w:t>Table IV: Thermal cycling test parameters</w:t>
      </w:r>
    </w:p>
    <w:tbl>
      <w:tblPr>
        <w:tblStyle w:val="PlainTable2"/>
        <w:tblW w:w="0" w:type="auto"/>
        <w:jc w:val="center"/>
        <w:tblLook w:val="04A0" w:firstRow="1" w:lastRow="0" w:firstColumn="1" w:lastColumn="0" w:noHBand="0" w:noVBand="1"/>
      </w:tblPr>
      <w:tblGrid>
        <w:gridCol w:w="2713"/>
        <w:gridCol w:w="2713"/>
      </w:tblGrid>
      <w:tr w:rsidR="00953D2E" w:rsidRPr="002F4E96" w14:paraId="5DFA6398" w14:textId="77777777" w:rsidTr="000D7411">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403BDBC9" w14:textId="77777777" w:rsidR="00113E13" w:rsidRPr="002F4E96" w:rsidRDefault="00113E13" w:rsidP="000D7411">
            <w:pPr>
              <w:pStyle w:val="NoSpacing"/>
              <w:spacing w:line="276" w:lineRule="auto"/>
              <w:jc w:val="center"/>
              <w:rPr>
                <w:rFonts w:ascii="Times New Roman" w:hAnsi="Times New Roman" w:cs="Times New Roman"/>
                <w:sz w:val="22"/>
                <w:szCs w:val="22"/>
              </w:rPr>
            </w:pPr>
            <w:r w:rsidRPr="002F4E96">
              <w:rPr>
                <w:rFonts w:ascii="Times New Roman" w:hAnsi="Times New Roman" w:cs="Times New Roman"/>
                <w:sz w:val="22"/>
                <w:szCs w:val="22"/>
              </w:rPr>
              <w:t>Test Parameters</w:t>
            </w:r>
          </w:p>
        </w:tc>
        <w:tc>
          <w:tcPr>
            <w:tcW w:w="2713" w:type="dxa"/>
            <w:vAlign w:val="center"/>
          </w:tcPr>
          <w:p w14:paraId="536B7F2A" w14:textId="77777777" w:rsidR="00113E13" w:rsidRPr="002F4E96" w:rsidRDefault="00113E13" w:rsidP="000D7411">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Values</w:t>
            </w:r>
          </w:p>
        </w:tc>
      </w:tr>
      <w:tr w:rsidR="00953D2E" w:rsidRPr="002F4E96" w14:paraId="07662682" w14:textId="77777777" w:rsidTr="000D741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69CBA94A" w14:textId="2DE664B7" w:rsidR="00113E13" w:rsidRPr="002F4E96" w:rsidRDefault="00113E13" w:rsidP="000D7411">
            <w:pPr>
              <w:pStyle w:val="NoSpacing"/>
              <w:spacing w:line="276" w:lineRule="auto"/>
              <w:jc w:val="center"/>
              <w:rPr>
                <w:rFonts w:ascii="Times New Roman" w:hAnsi="Times New Roman" w:cs="Times New Roman"/>
                <w:b w:val="0"/>
                <w:bCs w:val="0"/>
                <w:sz w:val="22"/>
                <w:szCs w:val="22"/>
              </w:rPr>
            </w:pPr>
            <w:r w:rsidRPr="002F4E96">
              <w:rPr>
                <w:rFonts w:ascii="Times New Roman" w:hAnsi="Times New Roman" w:cs="Times New Roman"/>
                <w:b w:val="0"/>
                <w:bCs w:val="0"/>
                <w:sz w:val="22"/>
                <w:szCs w:val="22"/>
              </w:rPr>
              <w:t xml:space="preserve">Low Temperature </w:t>
            </w:r>
            <m:oMath>
              <m:r>
                <m:rPr>
                  <m:sty m:val="b"/>
                </m:rPr>
                <w:rPr>
                  <w:rFonts w:ascii="Cambria Math" w:hAnsi="Cambria Math" w:cs="Times New Roman"/>
                  <w:sz w:val="22"/>
                  <w:szCs w:val="22"/>
                </w:rPr>
                <m:t>(℃)</m:t>
              </m:r>
            </m:oMath>
          </w:p>
        </w:tc>
        <w:tc>
          <w:tcPr>
            <w:tcW w:w="2713" w:type="dxa"/>
            <w:vAlign w:val="center"/>
          </w:tcPr>
          <w:p w14:paraId="452A6B60" w14:textId="77777777" w:rsidR="00113E13" w:rsidRPr="002F4E96" w:rsidRDefault="00113E13" w:rsidP="000D7411">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-40</w:t>
            </w:r>
          </w:p>
        </w:tc>
      </w:tr>
      <w:tr w:rsidR="00953D2E" w:rsidRPr="002F4E96" w14:paraId="0794DB74" w14:textId="77777777" w:rsidTr="000D7411">
        <w:trPr>
          <w:trHeight w:val="390"/>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74DFFA87" w14:textId="2D536171" w:rsidR="00113E13" w:rsidRPr="002F4E96" w:rsidRDefault="00113E13" w:rsidP="000D7411">
            <w:pPr>
              <w:pStyle w:val="NoSpacing"/>
              <w:spacing w:line="276" w:lineRule="auto"/>
              <w:jc w:val="center"/>
              <w:rPr>
                <w:rFonts w:ascii="Times New Roman" w:hAnsi="Times New Roman" w:cs="Times New Roman"/>
                <w:b w:val="0"/>
                <w:bCs w:val="0"/>
                <w:sz w:val="22"/>
                <w:szCs w:val="22"/>
              </w:rPr>
            </w:pPr>
            <w:r w:rsidRPr="002F4E96">
              <w:rPr>
                <w:rFonts w:ascii="Times New Roman" w:hAnsi="Times New Roman" w:cs="Times New Roman"/>
                <w:b w:val="0"/>
                <w:bCs w:val="0"/>
                <w:sz w:val="22"/>
                <w:szCs w:val="22"/>
              </w:rPr>
              <w:t xml:space="preserve">High Temperature </w:t>
            </w:r>
            <m:oMath>
              <m:r>
                <m:rPr>
                  <m:sty m:val="b"/>
                </m:rPr>
                <w:rPr>
                  <w:rFonts w:ascii="Cambria Math" w:hAnsi="Cambria Math" w:cs="Times New Roman"/>
                  <w:sz w:val="22"/>
                  <w:szCs w:val="22"/>
                </w:rPr>
                <m:t>(℃)</m:t>
              </m:r>
            </m:oMath>
          </w:p>
        </w:tc>
        <w:tc>
          <w:tcPr>
            <w:tcW w:w="2713" w:type="dxa"/>
            <w:vAlign w:val="center"/>
          </w:tcPr>
          <w:p w14:paraId="4F9AFAD0" w14:textId="77777777" w:rsidR="00113E13" w:rsidRPr="002F4E96" w:rsidRDefault="00113E13" w:rsidP="000D7411">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150</w:t>
            </w:r>
          </w:p>
        </w:tc>
      </w:tr>
      <w:tr w:rsidR="00953D2E" w:rsidRPr="002F4E96" w14:paraId="545BD3A3" w14:textId="77777777" w:rsidTr="000D741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74B3951A" w14:textId="46965345" w:rsidR="00113E13" w:rsidRPr="002F4E96" w:rsidRDefault="00113E13" w:rsidP="000D7411">
            <w:pPr>
              <w:pStyle w:val="NoSpacing"/>
              <w:spacing w:line="276" w:lineRule="auto"/>
              <w:jc w:val="center"/>
              <w:rPr>
                <w:rFonts w:ascii="Times New Roman" w:hAnsi="Times New Roman" w:cs="Times New Roman"/>
                <w:b w:val="0"/>
                <w:bCs w:val="0"/>
                <w:sz w:val="22"/>
                <w:szCs w:val="22"/>
              </w:rPr>
            </w:pPr>
            <w:r w:rsidRPr="002F4E96">
              <w:rPr>
                <w:rFonts w:ascii="Times New Roman" w:hAnsi="Times New Roman" w:cs="Times New Roman"/>
                <w:b w:val="0"/>
                <w:bCs w:val="0"/>
                <w:sz w:val="22"/>
                <w:szCs w:val="22"/>
              </w:rPr>
              <w:t xml:space="preserve">Ramp Rate </w:t>
            </w:r>
            <m:oMath>
              <m:r>
                <m:rPr>
                  <m:sty m:val="b"/>
                </m:rPr>
                <w:rPr>
                  <w:rFonts w:ascii="Cambria Math" w:hAnsi="Cambria Math" w:cs="Times New Roman"/>
                  <w:sz w:val="22"/>
                  <w:szCs w:val="22"/>
                </w:rPr>
                <m:t>(℃/min)</m:t>
              </m:r>
            </m:oMath>
          </w:p>
        </w:tc>
        <w:tc>
          <w:tcPr>
            <w:tcW w:w="2713" w:type="dxa"/>
            <w:vAlign w:val="center"/>
          </w:tcPr>
          <w:p w14:paraId="286C0DD8" w14:textId="77777777" w:rsidR="00113E13" w:rsidRPr="002F4E96" w:rsidRDefault="00113E13" w:rsidP="000D7411">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15</w:t>
            </w:r>
          </w:p>
        </w:tc>
      </w:tr>
      <w:tr w:rsidR="00953D2E" w:rsidRPr="002F4E96" w14:paraId="4E8F99D9" w14:textId="77777777" w:rsidTr="000D7411">
        <w:trPr>
          <w:trHeight w:val="378"/>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61D2E895" w14:textId="382036AC" w:rsidR="00113E13" w:rsidRPr="002F4E96" w:rsidRDefault="00113E13" w:rsidP="000D7411">
            <w:pPr>
              <w:pStyle w:val="NoSpacing"/>
              <w:spacing w:line="276" w:lineRule="auto"/>
              <w:jc w:val="center"/>
              <w:rPr>
                <w:rFonts w:ascii="Times New Roman" w:hAnsi="Times New Roman" w:cs="Times New Roman"/>
                <w:b w:val="0"/>
                <w:bCs w:val="0"/>
                <w:sz w:val="22"/>
                <w:szCs w:val="22"/>
              </w:rPr>
            </w:pPr>
            <w:r w:rsidRPr="002F4E96">
              <w:rPr>
                <w:rFonts w:ascii="Times New Roman" w:hAnsi="Times New Roman" w:cs="Times New Roman"/>
                <w:b w:val="0"/>
                <w:bCs w:val="0"/>
                <w:sz w:val="22"/>
                <w:szCs w:val="22"/>
              </w:rPr>
              <w:t xml:space="preserve">Dwell </w:t>
            </w:r>
            <w:r w:rsidR="00F66D68" w:rsidRPr="002F4E96">
              <w:rPr>
                <w:rFonts w:ascii="Times New Roman" w:hAnsi="Times New Roman" w:cs="Times New Roman"/>
                <w:b w:val="0"/>
                <w:bCs w:val="0"/>
                <w:sz w:val="22"/>
                <w:szCs w:val="22"/>
              </w:rPr>
              <w:t>time</w:t>
            </w:r>
            <w:r w:rsidRPr="002F4E96">
              <w:rPr>
                <w:rFonts w:ascii="Times New Roman" w:hAnsi="Times New Roman" w:cs="Times New Roman"/>
                <w:b w:val="0"/>
                <w:bCs w:val="0"/>
                <w:sz w:val="22"/>
                <w:szCs w:val="22"/>
              </w:rPr>
              <w:t xml:space="preserve"> </w:t>
            </w:r>
            <m:oMath>
              <m:r>
                <m:rPr>
                  <m:sty m:val="b"/>
                </m:rPr>
                <w:rPr>
                  <w:rFonts w:ascii="Cambria Math" w:hAnsi="Cambria Math" w:cs="Times New Roman"/>
                  <w:sz w:val="22"/>
                  <w:szCs w:val="22"/>
                </w:rPr>
                <m:t>(min)</m:t>
              </m:r>
            </m:oMath>
          </w:p>
        </w:tc>
        <w:tc>
          <w:tcPr>
            <w:tcW w:w="2713" w:type="dxa"/>
            <w:vAlign w:val="center"/>
          </w:tcPr>
          <w:p w14:paraId="73318A32" w14:textId="77777777" w:rsidR="00113E13" w:rsidRPr="002F4E96" w:rsidRDefault="00113E13" w:rsidP="000D7411">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5</w:t>
            </w:r>
          </w:p>
        </w:tc>
      </w:tr>
      <w:tr w:rsidR="00953D2E" w:rsidRPr="002F4E96" w14:paraId="0ACF8BF3" w14:textId="77777777" w:rsidTr="000D741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760DF312" w14:textId="65AD39D7" w:rsidR="00113E13" w:rsidRPr="002F4E96" w:rsidRDefault="00113E13" w:rsidP="000D7411">
            <w:pPr>
              <w:pStyle w:val="NoSpacing"/>
              <w:spacing w:line="276" w:lineRule="auto"/>
              <w:jc w:val="center"/>
              <w:rPr>
                <w:rFonts w:ascii="Times New Roman" w:hAnsi="Times New Roman" w:cs="Times New Roman"/>
                <w:b w:val="0"/>
                <w:bCs w:val="0"/>
                <w:sz w:val="22"/>
                <w:szCs w:val="22"/>
              </w:rPr>
            </w:pPr>
            <w:r w:rsidRPr="002F4E96">
              <w:rPr>
                <w:rFonts w:ascii="Times New Roman" w:hAnsi="Times New Roman" w:cs="Times New Roman"/>
                <w:b w:val="0"/>
                <w:bCs w:val="0"/>
                <w:sz w:val="22"/>
                <w:szCs w:val="22"/>
              </w:rPr>
              <w:t xml:space="preserve">Cycle Period </w:t>
            </w:r>
            <m:oMath>
              <m:r>
                <m:rPr>
                  <m:sty m:val="b"/>
                </m:rPr>
                <w:rPr>
                  <w:rFonts w:ascii="Cambria Math" w:hAnsi="Cambria Math" w:cs="Times New Roman"/>
                  <w:sz w:val="22"/>
                  <w:szCs w:val="22"/>
                </w:rPr>
                <m:t>(min)</m:t>
              </m:r>
            </m:oMath>
          </w:p>
        </w:tc>
        <w:tc>
          <w:tcPr>
            <w:tcW w:w="2713" w:type="dxa"/>
            <w:vAlign w:val="center"/>
          </w:tcPr>
          <w:p w14:paraId="1032E032" w14:textId="77777777" w:rsidR="00113E13" w:rsidRPr="002F4E96" w:rsidRDefault="00113E13" w:rsidP="000D7411">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F4E96">
              <w:rPr>
                <w:rFonts w:ascii="Times New Roman" w:hAnsi="Times New Roman" w:cs="Times New Roman"/>
                <w:sz w:val="22"/>
                <w:szCs w:val="22"/>
              </w:rPr>
              <w:t>43</w:t>
            </w:r>
          </w:p>
        </w:tc>
      </w:tr>
    </w:tbl>
    <w:p w14:paraId="5952089D" w14:textId="77777777" w:rsidR="00950B72" w:rsidRPr="002F4E96" w:rsidRDefault="00950B72" w:rsidP="00950B72">
      <w:pPr>
        <w:rPr>
          <w:rFonts w:ascii="Times New Roman" w:hAnsi="Times New Roman" w:cs="Times New Roman"/>
        </w:rPr>
      </w:pPr>
    </w:p>
    <w:p w14:paraId="1A31F560" w14:textId="1BD8964E" w:rsidR="00A82D0B" w:rsidRPr="002F4E96" w:rsidRDefault="00D843E6" w:rsidP="009F3023">
      <w:pPr>
        <w:pStyle w:val="Heading2"/>
      </w:pPr>
      <w:r w:rsidRPr="002F4E96">
        <w:t>2.</w:t>
      </w:r>
      <w:r w:rsidR="001761F1" w:rsidRPr="002F4E96">
        <w:t>3</w:t>
      </w:r>
      <w:r w:rsidR="00A82D0B" w:rsidRPr="002F4E96">
        <w:t xml:space="preserve"> Failure </w:t>
      </w:r>
      <w:r w:rsidR="007F4E87" w:rsidRPr="002F4E96">
        <w:t>c</w:t>
      </w:r>
      <w:r w:rsidR="00A82D0B" w:rsidRPr="002F4E96">
        <w:t>riterion</w:t>
      </w:r>
      <w:r w:rsidR="0091773F" w:rsidRPr="002F4E96">
        <w:t xml:space="preserve"> </w:t>
      </w:r>
      <w:r w:rsidR="007F4E87" w:rsidRPr="002F4E96">
        <w:t>used in the fatigue life prediction</w:t>
      </w:r>
    </w:p>
    <w:p w14:paraId="2CD6F9C7" w14:textId="20AB0FC0" w:rsidR="007D227E" w:rsidRPr="002F4E96" w:rsidRDefault="007D227E" w:rsidP="007D227E">
      <w:pPr>
        <w:spacing w:before="125" w:line="360" w:lineRule="auto"/>
        <w:ind w:right="38"/>
        <w:jc w:val="both"/>
        <w:rPr>
          <w:rFonts w:ascii="Times New Roman" w:hAnsi="Times New Roman" w:cs="Times New Roman"/>
        </w:rPr>
      </w:pPr>
      <w:r w:rsidRPr="002F4E96">
        <w:rPr>
          <w:rFonts w:ascii="Times New Roman" w:hAnsi="Times New Roman" w:cs="Times New Roman"/>
        </w:rPr>
        <w:t>The generally used solder-joint failure criteria include those based on</w:t>
      </w:r>
      <w:r w:rsidR="00811C2C" w:rsidRPr="002F4E96">
        <w:rPr>
          <w:rFonts w:ascii="Times New Roman" w:hAnsi="Times New Roman" w:cs="Times New Roman"/>
        </w:rPr>
        <w:t xml:space="preserve"> classic fracture mechanics </w:t>
      </w:r>
      <w:r w:rsidR="00811C2C" w:rsidRPr="002F4E96">
        <w:rPr>
          <w:rFonts w:ascii="Times New Roman" w:hAnsi="Times New Roman" w:cs="Times New Roman"/>
        </w:rPr>
        <w:fldChar w:fldCharType="begin" w:fldLock="1"/>
      </w:r>
      <w:r w:rsidR="00811C2C" w:rsidRPr="002F4E96">
        <w:rPr>
          <w:rFonts w:ascii="Times New Roman" w:hAnsi="Times New Roman" w:cs="Times New Roman"/>
        </w:rPr>
        <w:instrText>ADDIN CSL_CITATION {"citationItems":[{"id":"ITEM-1","itemData":{"abstract":"This new volume by interconnection expert on solder joints, Johns H. Lau, deals with BGA, CSP, Flip Chips, and other new technologies that underlie the electronics industry's need for smaller, faster products. Naturally, as ever-smaller products are created, the reliability of the solder joints that bind them becomes increasingly crucial. Balancing concepts and practical applications, the authors explain the fundamentals of solder joint reliability and present creative, robust packaging techniques for cost-effective interconnection.","author":[{"dropping-particle":"","family":"Lau","given":"J. H","non-dropping-particle":"","parse-names":false,"suffix":""},{"dropping-particle":"","family":"Pao","given":"Y","non-dropping-particle":"","parse-names":false,"suffix":""}],"container-title":"McGraw-Hill, New York,","id":"ITEM-1","issued":{"date-parts":[["1997"]]},"title":"Solder joint reliability of BGA, CSP, Flip Cip, and fine pitch SMT assemblies","type":"book"},"uris":["http://www.mendeley.com/documents/?uuid=4a85b0f8-9af1-46f4-9be5-fb3d575f3404"]}],"mendeley":{"formattedCitation":"[1]","plainTextFormattedCitation":"[1]","previouslyFormattedCitation":"[1]"},"properties":{"noteIndex":0},"schema":"https://github.com/citation-style-language/schema/raw/master/csl-citation.json"}</w:instrText>
      </w:r>
      <w:r w:rsidR="00811C2C" w:rsidRPr="002F4E96">
        <w:rPr>
          <w:rFonts w:ascii="Times New Roman" w:hAnsi="Times New Roman" w:cs="Times New Roman"/>
        </w:rPr>
        <w:fldChar w:fldCharType="separate"/>
      </w:r>
      <w:r w:rsidR="00811C2C" w:rsidRPr="002F4E96">
        <w:rPr>
          <w:rFonts w:ascii="Times New Roman" w:hAnsi="Times New Roman" w:cs="Times New Roman"/>
          <w:noProof/>
        </w:rPr>
        <w:t>[1]</w:t>
      </w:r>
      <w:r w:rsidR="00811C2C" w:rsidRPr="002F4E96">
        <w:rPr>
          <w:rFonts w:ascii="Times New Roman" w:hAnsi="Times New Roman" w:cs="Times New Roman"/>
        </w:rPr>
        <w:fldChar w:fldCharType="end"/>
      </w:r>
      <w:r w:rsidR="00811C2C" w:rsidRPr="002F4E96">
        <w:rPr>
          <w:rFonts w:ascii="Times New Roman" w:hAnsi="Times New Roman" w:cs="Times New Roman"/>
        </w:rPr>
        <w:t xml:space="preserve">, </w:t>
      </w:r>
      <w:r w:rsidRPr="002F4E96">
        <w:rPr>
          <w:rFonts w:ascii="Times New Roman" w:hAnsi="Times New Roman" w:cs="Times New Roman"/>
        </w:rPr>
        <w:t xml:space="preserve">plastic strain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{"citationItems":[{"id":"ITEM-1","itemData":{"abstract":"A review is presented of available information on the behavior of brittle and ductile materials under conditions of thermal stress and thermal shock. For brittle materials, a simple formula relating phy ical properties to thermal-shock resitance is derived and used to determine the relative significance of two indices currently in u e }or rating material . The importance of simulating operating conditionb in thermal-i:,hock testing is deduced from the formula and is experimentally illustrated by showing that BeO could be either inferior or superior to Al203 in thermal shock , depending on the testing condition . For ductue material , thermal- hock re istance depwd s upon the complex interrelation among several metallurgical variables which seriously aff ect strength and ductility. The e vm·iablei, are briefly di cus eel and illustrated from literature sources. The importance of simulatin_q operating conditions in tests for rating ductile materials is especially to be emphasized becau e of the importance of testing condition in metallurgy. A num­ ber of practical method s that have been u ed to minimize the deleterious effects of thermal stres and thermal shock are outlined.","author":[{"dropping-particle":"","family":"Manson","given":"S S","non-dropping-particle":"","parse-names":false,"suffix":""}],"container-title":"NACA Report 1170","id":"ITEM-1","issued":{"date-parts":[["1953"]]},"title":"Behavior Of Materials Under Conditions Of Thermal Stress","type":"report"},"uris":["http://www.mendeley.com/documents/?uuid=3b0bef2b-0583-4cab-9b21-9789bd031cbc"]},{"id":"ITEM-2","itemData":{"DOI":"10.1016/j.microrel.2004.04.015","ISSN":"00262714","abstract":"For a long time, constitutive modelling of solders has focused onto the elastic and creep properties. Indeed, the creep model describes the behaviour of solder joints under thermal cycling quite properly. However, in applications such as hand held electronic devices or automotive products, the pure mechanical impact like shock, bending and twisting may even matter more than sole thermo-mechanical fatigue. Therefore the time-independent behaviour of SnPb37, SnAg3.5 and SnAg4Cu0.5 has been investigated on flip chip solder joints. In the experimental tests a cyclic triangular strain wave with constant frequency but different amplitudes was used as the load function. This way the test enables to account for Bauschinger effects. The strain wave amplitudes ranged from Δε=0.25% to 4%, the strain wave frequency was fixed at f=1 Hz. The test temperature ranged from T=5 to 50 °C. The test specimen consisted of two silicon chips (3.3×3.3 mm2) bonded by 4 flip chip joints (one at each corner). A specially designed Micro Shear Tester has been used for the experiments with this type of specimen. In contrast to similar setups, it is actively compensated for its finite stiffness. Therefore, it is able to record force-displacement hysteresis with a resolution of better than 1 mN and 20 nm, respectively. Based on these measurements, the parameters of the constitutive equations have been evaluated by FEM analysis. This way, the complex stress state within the sample during the test has been considered precisely providing for high accuracy of the parameter extracted. As a typical application, a three point bending experiment has been simulated by FEM applying different constitutive models for the solder material. Comparing the results, it becomes clear: All the three contributions, i.e., the elastic, the creep, and the time-independent plastic material behaviour, are required in the model. Otherwise it would be incomplete and hence insufficient for assisting in the design of today's electronics packages even with respect to the most frequent load cases. © 2004 Elsevier Ltd. All rights reserved.","author":[{"dropping-particle":"","family":"Wiese","given":"S.","non-dropping-particle":"","parse-names":false,"suffix":""},{"dropping-particle":"","family":"Rzepka","given":"S.","non-dropping-particle":"","parse-names":false,"suffix":""}],"container-title":"Microelectronics Reliability","id":"ITEM-2","issued":{"date-parts":[["2004"]]},"title":"Time-independent elastic-plastic behaviour of solder materials","type":"paper-conference"},"uris":["http://www.mendeley.com/documents/?uuid=799a6361-f7c4-4615-bcba-272aeb1f291e"]},{"id":"ITEM-3","itemData":{"DOI":"10.1016/j.microrel.2007.08.002","ISSN":"00262714","abstract":"It has been conventional to simplify the thermo-mechanical modeling of solder joints by omitting the primary (transient) contributions to total creep deformation, assuming that secondary (steady-state) creep strain is dominant and primary creep is negligible. The error associated with this assumption has been difficult to assess because it depends on the properties of the solder joint and the temperature-time profile. This paper examines the relative contributions of plasticity, primary and secondary creep in Sn40Pb and Sn3.8Ag0.7Cu solders using the analysis of a trilayer solder joint structure with finite elements and a newly developed finite difference technique. The influences of temperature amplitude and ramp rate have been quantified. It was found that for the thermal profiles considered, the role of plasticity was negligible for trilayer assemblies with SnPb and SnAgCu solder interlayers. Furthermore, when primary creep was included for SnAgCu, the temperature-dependent yield strength was not exceeded and no plastic strains resulted. Neglect of primary creep can result in errors in the predicted stress and strain of the solder joint. Damage metrics based on the stabilized stress vs. strain hysteresis loop, for symmetric 5 min upper/lower dwell periods, differ widely when primary creep is considered compared to the secondary-only creep model. Creep strain energy density differences between the secondary-only and primary plus secondary creep models for SnPb were 32% (95 °C/min-Δ165 °C thermal profile), 32% (95 °C/min-Δ100 °C) and 35% (14 °C/min-Δ100 °C); similarly for SnAgCu, the differences were 29% (95 °C/min-Δ165 °C), 46% (95 °C/min-Δ100 °C) and 58% (14 °C/min-Δ100 °C). Accumulated creep strain differences between the secondary-only and primary plus secondary creep models for SnPb were 21% (95 °C/min-Δ165 °C), 25% (95 °C/min-Δ100 °C) and 25% (14 °C/min-Δ100 °C); similarly for SnAgCu the differences were 82% (14 °C/min-Δ100 °C), 89% (95 °C/min-Δ100 °C) and 100% (95 °C/min-Δ165 °C). In turn, these discrepancies can lead to errors in the estimation of the solder thermal fatigue life due to the changing proportion of primary creep strain to total inelastic strain under different thermal profiles, particularly for SnAgCu. © 2007 Elsevier Ltd. All rights reserved.","author":[{"dropping-particle":"","family":"Shirley","given":"Dwayne R.","non-dropping-particle":"","parse-names":false,"suffix":""},{"dropping-particle":"","family":"Ghorbani","given":"Hamid R.","non-dropping-particle":"","parse-names":false,"suffix":""},{"dropping-particle":"","family":"Spelt","given":"Jan K.","non-dropping-particle":"","parse-names":false,"suffix":""}],"container-title":"Microelectronics Reliability","id":"ITEM-3","issued":{"date-parts":[["2008"]]},"title":"Effect of primary creep and plasticity in the modeling of thermal fatigue of SnPb and SnAgCu solder joints","type":"article-journal"},"uris":["http://www.mendeley.com/documents/?uuid=d1b34daa-fb97-492f-95e9-1ef35ce02104"]},{"id":"ITEM-4","itemData":{"ISSN":"0011-3395","abstract":"The results of a study of cyclic strain and fatigue failure arising from cyclic\"ther:mal stresses are reported. By means of ~ test apparatus described in a companion paper, a cyclic te:mperature is imposed on a thin tubular test specimen' subjected to complete longitudinal oonstraint. Hence, the cyclic strain is the independent variable. The following studies are reported: (a) Effect of thermal-stress cycling on strain hardening' and life-tofailure for a fixed mean temperature, (b) effect of degree and kind of previous cold work on strain hardening and cyoles-to-fedlure, (c) effect of mean temperature on thermal- stress cycling, (d) effect of period of cycle on cyclesto- failure, and (e) effect of prior strain cycling on stressstrain characteristics. The significance of factors such as hysteresis, Bauschfnger effect, strain hardening, strain aging, and fatigue-crack formation is discussed, and a mechanism is described to relate these factors. Evidence is presented to show that strain hardening is not an Important factor in the problem. The concept of total plastic strain is discussed","author":[{"dropping-particle":"","family":"Coffin","given":"L.F.","non-dropping-particle":"","parse-names":false,"suffix":""}],"container-title":"Transactions of the American Society of Mechanical Engineers","id":"ITEM-4","issued":{"date-parts":[["1954"]]},"title":"A study of the effects of cyclic thermal stresses on a ductile metal","type":"article"},"uris":["http://www.mendeley.com/documents/?uuid=eb171864-d064-4699-a13e-e1c6d0a00916"]}],"mendeley":{"formattedCitation":"[79]–[82]","plainTextFormattedCitation":"[79]–[82]","previouslyFormattedCitation":"[79]–[82]"},"properties":{"noteIndex":0},"schema":"https://github.com/citation-style-language/schema/raw/master/csl-citation.json"}</w:instrText>
      </w:r>
      <w:r w:rsidRPr="002F4E96">
        <w:rPr>
          <w:rFonts w:ascii="Times New Roman" w:hAnsi="Times New Roman" w:cs="Times New Roman"/>
        </w:rPr>
        <w:fldChar w:fldCharType="separate"/>
      </w:r>
      <w:r w:rsidR="0039530C" w:rsidRPr="002F4E96">
        <w:rPr>
          <w:rFonts w:ascii="Times New Roman" w:hAnsi="Times New Roman" w:cs="Times New Roman"/>
          <w:noProof/>
        </w:rPr>
        <w:t>[79]–[82]</w:t>
      </w:r>
      <w:r w:rsidRPr="002F4E96">
        <w:rPr>
          <w:rFonts w:ascii="Times New Roman" w:hAnsi="Times New Roman" w:cs="Times New Roman"/>
        </w:rPr>
        <w:fldChar w:fldCharType="end"/>
      </w:r>
      <w:r w:rsidRPr="002F4E96">
        <w:rPr>
          <w:rFonts w:ascii="Times New Roman" w:hAnsi="Times New Roman" w:cs="Times New Roman"/>
        </w:rPr>
        <w:t xml:space="preserve">, creep strain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{"citationItems":[{"id":"ITEM-1","itemData":{"DOI":"10.1115/1.2792077","ISSN":"15289044","abstract":"A model is developed which predicts the creep damage accumulation in solder joints during temperature cycling. The model relates the crack growth rate to the rate of creep energy density dissipated using the C* parameter of nonlinear fracture mechanics for extensive creep damage. For a eutectic tin-lead solder joint, the damage due to both grain boundary sliding and matrix creep is considered. The validity of the model is proved by correlating the predicted fatigue life of solder joints for 84 I/0 leadless ceramic chip carriers with the published measured data for a number of test conditions. The published experimental conditions are simulated in a three dimensional nonlinear, time and temperature dependent finite element analysis. For each test condition, both components of creep energy density, i.e., energy densities because of grain boundary sliding and matrix creep, are determined separately in the finite element analysis. The values are then used to determine the crack growth parameters and predict the crack growth rate in the solder joint using the crack growth model. The predicted results are found to have good correlation with the measured fatigue life for each test condition. © 1995 by ASME.","author":[{"dropping-particle":"","family":"Syed","given":"Ahmer R.","non-dropping-particle":"","parse-names":false,"suffix":""}],"container-title":"Journal of Electronic Packaging, Transactions of the ASME","id":"ITEM-1","issued":{"date-parts":[["1995"]]},"title":"Creep crack growth prediction of solder joints during temperature cycling- an engineering approach","type":"article-journal"},"uris":["http://www.mendeley.com/documents/?uuid=6b46568a-a170-4b06-a9b2-15c3b989a63e"]},{"id":"ITEM-2","itemData":{"DOI":"10.1109/33.16655","ISSN":"01486411","abstract":"In solders, creep rupture is usually believed to be the dominant cause of damage and failure at high temperatures and low stresses or under low-frequency thermal cycling conditions. This investigation establishes an analytical framework to predict failure of solders under creep conditions. A creep-rupture model for two-phase eutectic solders based on both micromechanics and fracture mechanics has been developed. The general agreement between the model predictions and reported creep-rupture data in the literature for lead/tin eutectic solder indicates that the mode and mechanisms proposed in the model may control the solder creep-rupture process. © 1988 IEEE","author":[{"dropping-particle":"","family":"Wong","given":"Boon","non-dropping-particle":"","parse-names":false,"suffix":""},{"dropping-particle":"","family":"Helling","given":"Donald E.","non-dropping-particle":"","parse-names":false,"suffix":""},{"dropping-particle":"","family":"Clark","given":"Roy W.","non-dropping-particle":"","parse-names":false,"suffix":""}],"container-title":"IEEE Transactions on Components, Hybrids, and Manufacturing Technology","id":"ITEM-2","issued":{"date-parts":[["1988"]]},"title":"A Creep-Rupture Model for Two-Phase Eutectic Solders","type":"article-journal"},"uris":["http://www.mendeley.com/documents/?uuid=b2cef7f7-19bd-4e95-98f6-30e6a00a824f"]},{"id":"ITEM-3","itemData":{"DOI":"10.1109/ectc.2004.1319419","ISSN":"05695503","abstract":"Pb free solder is fast becoming a reality in electronic manufacturing due to marketing and legislative pressures. The industry has pretty much concluded that various version of SnAgCu solder alloy offer the best alternative for eutectic Sn/Pb solder currently in use. With the current trend of cheaper, faster, and better electronic equipment, it has become increasingly important to evaluate the package and system performance very early in the design cycle using simulation tools. This requires life prediction models for new solder alloy systems so that the package-to-board interconnect reliability can be predicted for various environmental and field conditions. This paper describes in detail the life prediction models for SnAgCu solder joints. The models are based on published constitutive equations for this alloy and thermal cycle fatigue data on actual components. The approach uses advance finite element modeling and analysis techniques and is based on mechanics of deformation. Both accumulated creep strain and creep strain energy density based models are developed. The model has been correlated with a number of data points and predicts life within 25% in most cases. The framework of modeling and prediction methodology described here is fully compatible with the framework used for SnPb solder previously.","author":[{"dropping-particle":"","family":"Syed","given":"Ahmer","non-dropping-particle":"","parse-names":false,"suffix":""}],"container-title":"Proceedings - Electronic Components and Technology Conference","id":"ITEM-3","issued":{"date-parts":[["2004"]]},"title":"Accumulated creep strain and energy density based thermal fatigue life prediction models for SnAgCu solder joints","type":"paper-conference"},"uris":["http://www.mendeley.com/documents/?uuid=2195f711-0151-4b2b-9e91-47a2b9ffb8a7"]},{"id":"ITEM-4","itemData":{"DOI":"10.1109/ECTC.2014.6897315","ISBN":"1-4244-0984-5","ISSN":"0569-5503","author":[{"dropping-particle":"","family":"Hasnine","given":"Mohammad Md","non-dropping-particle":"","parse-names":false,"suffix":""},{"dropping-particle":"","family":"Suhling","given":"Jeffrey C.","non-dropping-particle":"","parse-names":false,"suffix":""},{"dropping-particle":"","family":"Prorok","given":"Barton C.","non-dropping-particle":"","parse-names":false,"suffix":""},{"dropping-particle":"","family":"Bozack","given":"Michael J.","non-dropping-particle":"","parse-names":false,"suffix":""}],"container-title":"2007 Proceedings 57th Electronic Components and Technology Conference","id":"ITEM-4","issue":"7","issued":{"date-parts":[["2014"]]},"page":"49-53","title":"the Mechanical Behavior of Ceramic","type":"article-journal","volume":"37"},"uris":["http://www.mendeley.com/documents/?uuid=c547ba4f-2bf2-49d0-902c-da719b45c8b9"]}],"mendeley":{"formattedCitation":"[59], [83]–[85]","plainTextFormattedCitation":"[59], [83]–[85]","previouslyFormattedCitation":"[59], [83]–[85]"},"properties":{"noteIndex":0},"schema":"https://github.com/citation-style-language/schema/raw/master/csl-citation.json"}</w:instrText>
      </w:r>
      <w:r w:rsidRPr="002F4E96">
        <w:rPr>
          <w:rFonts w:ascii="Times New Roman" w:hAnsi="Times New Roman" w:cs="Times New Roman"/>
        </w:rPr>
        <w:fldChar w:fldCharType="separate"/>
      </w:r>
      <w:r w:rsidR="0039530C" w:rsidRPr="002F4E96">
        <w:rPr>
          <w:rFonts w:ascii="Times New Roman" w:hAnsi="Times New Roman" w:cs="Times New Roman"/>
          <w:noProof/>
        </w:rPr>
        <w:t>[59], [83]–[85]</w:t>
      </w:r>
      <w:r w:rsidRPr="002F4E96">
        <w:rPr>
          <w:rFonts w:ascii="Times New Roman" w:hAnsi="Times New Roman" w:cs="Times New Roman"/>
        </w:rPr>
        <w:fldChar w:fldCharType="end"/>
      </w:r>
      <w:r w:rsidRPr="002F4E96">
        <w:rPr>
          <w:rFonts w:ascii="Times New Roman" w:hAnsi="Times New Roman" w:cs="Times New Roman"/>
        </w:rPr>
        <w:t>, inelastic work</w:t>
      </w:r>
      <w:r w:rsidR="00541376" w:rsidRPr="002F4E96">
        <w:rPr>
          <w:rFonts w:ascii="Times New Roman" w:hAnsi="Times New Roman" w:cs="Times New Roman"/>
        </w:rPr>
        <w:t xml:space="preserve"> </w:t>
      </w:r>
      <w:r w:rsidRPr="002F4E96">
        <w:rPr>
          <w:rFonts w:ascii="Times New Roman" w:hAnsi="Times New Roman" w:cs="Times New Roman"/>
        </w:rPr>
        <w:t xml:space="preserve">and fracture-calibrated energy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author":[{"dropping-particle":"","family":"Darveaux","given":"R","non-dropping-particle":"","parse-names":false,"suffix":""},{"dropping-particle":"","family":"Banerji","given":"K","non-dropping-particle":"","parse-names":false,"suffix":""},{"dropping-particle":"","family":"Mawer","given":"A","non-dropping-particle":"","parse-names":false,"suffix":""},{"dropping-particle":"","family":"Dody","given":"G","non-dropping-particle":"","parse-names":false,"suffix":""},{"dropping-particle":"","family":"Lau","given":"J.","non-dropping-particle":"","parse-names":false,"suffix":""}],"container-title":"In Ball grid array technology, McGraw-Hill","id":"ITEM-1","issued":{"date-parts":[["1995"]]},"page":"379-442","title":"Reliability of plastic ball grid array assembly. In Ball grid array technology (Vol. 13, pp. 379-442). McGraw-Hill.","type":"article-journal","volume":"13"},"uris":["http://www.mendeley.com/documents/?uuid=bb3c1878-ba10-4990-a607-81fad7be1308"]}],"mendeley":{"formattedCitation":"[86]","plainTextFormattedCitation":"[86]","previouslyFormattedCitation":"[86]"},"properties":{"noteIndex":0},"schema":"https://github.com/citation-style-language/schema/raw/master/csl-citation.json"}</w:instrText>
      </w:r>
      <w:r w:rsidRPr="002F4E96">
        <w:rPr>
          <w:rFonts w:ascii="Times New Roman" w:hAnsi="Times New Roman" w:cs="Times New Roman"/>
        </w:rPr>
        <w:fldChar w:fldCharType="separate"/>
      </w:r>
      <w:r w:rsidR="0039530C" w:rsidRPr="002F4E96">
        <w:rPr>
          <w:rFonts w:ascii="Times New Roman" w:hAnsi="Times New Roman" w:cs="Times New Roman"/>
          <w:noProof/>
        </w:rPr>
        <w:t>[86]</w:t>
      </w:r>
      <w:r w:rsidRPr="002F4E96">
        <w:rPr>
          <w:rFonts w:ascii="Times New Roman" w:hAnsi="Times New Roman" w:cs="Times New Roman"/>
        </w:rPr>
        <w:fldChar w:fldCharType="end"/>
      </w:r>
      <w:r w:rsidRPr="002F4E96">
        <w:rPr>
          <w:rFonts w:ascii="Times New Roman" w:hAnsi="Times New Roman" w:cs="Times New Roman"/>
        </w:rPr>
        <w:t xml:space="preserve">. </w:t>
      </w:r>
      <w:r w:rsidR="00811C2C" w:rsidRPr="002F4E96">
        <w:rPr>
          <w:rFonts w:ascii="Times New Roman" w:hAnsi="Times New Roman" w:cs="Times New Roman"/>
        </w:rPr>
        <w:t>For test failure investigations, resistance is likewise employed as failure criteria. Each failure criterion needs specific material properties and may place the requirements on the numerical solution's nature obtained either by computation or through FEA simulation. For this investigation, the failure criterion is based on the plastic strain range for Coffin-Manson, shear strain range for Engelmaier model</w:t>
      </w:r>
      <w:r w:rsidR="008C1931" w:rsidRPr="002F4E96">
        <w:rPr>
          <w:rFonts w:ascii="Times New Roman" w:hAnsi="Times New Roman" w:cs="Times New Roman"/>
        </w:rPr>
        <w:t>,</w:t>
      </w:r>
      <w:r w:rsidR="00811C2C" w:rsidRPr="002F4E96">
        <w:rPr>
          <w:rFonts w:ascii="Times New Roman" w:hAnsi="Times New Roman" w:cs="Times New Roman"/>
        </w:rPr>
        <w:t xml:space="preserve"> and plastic shear strain range values Solomon model obtained from FEA simulation results. This is then utilised in the Engelmaier, Coffin-Manson and Solomon models' computations to get the five solder joint alloys' fatigue life characteristics with low cycle fatigue (lead-based Sn63Pb37, and lead-free SAC: SAC305, SAC387, SAC396 and SAC405) solder alloys employed in this research.</w:t>
      </w:r>
    </w:p>
    <w:p w14:paraId="0DCCBD03" w14:textId="46AF876C" w:rsidR="005702B1" w:rsidRPr="002F4E96" w:rsidRDefault="00466B91" w:rsidP="00466B91">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Failures </w:t>
      </w:r>
      <w:r w:rsidR="005702B1" w:rsidRPr="002F4E96">
        <w:rPr>
          <w:rFonts w:ascii="Times New Roman" w:hAnsi="Times New Roman" w:cs="Times New Roman"/>
          <w:bCs/>
        </w:rPr>
        <w:t xml:space="preserve">in electronic devices </w:t>
      </w:r>
      <w:r w:rsidRPr="002F4E96">
        <w:rPr>
          <w:rFonts w:ascii="Times New Roman" w:hAnsi="Times New Roman" w:cs="Times New Roman"/>
          <w:bCs/>
        </w:rPr>
        <w:t>are</w:t>
      </w:r>
      <w:r w:rsidR="007D227E" w:rsidRPr="002F4E96">
        <w:rPr>
          <w:rFonts w:ascii="Times New Roman" w:hAnsi="Times New Roman" w:cs="Times New Roman"/>
          <w:bCs/>
        </w:rPr>
        <w:t xml:space="preserve"> </w:t>
      </w:r>
      <w:r w:rsidRPr="002F4E96">
        <w:rPr>
          <w:rFonts w:ascii="Times New Roman" w:hAnsi="Times New Roman" w:cs="Times New Roman"/>
          <w:bCs/>
        </w:rPr>
        <w:t xml:space="preserve">defined based on the increase in resistance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 xml:space="preserve">ADDIN CSL_CITATION {"citationItems":[{"id":"ITEM-1","itemData":{"DOI":"10.1016/S0026-2714(99)00057-8","ISSN":"00262714","abstract":"A large program had been initiated to study the board level reliability of various types of chip scale package (CSP). The results on six different packages are reported here, which cover flex interposer CSP, rigid interposer CSP, wafer level assembly CSP, and lead frame CSP. The packages were assembled on FR4 PCBs of two different thicknesses. Temperature cycling tests from -40 °C to +125 °C with 15 min dwell time at the extremes were conducted to failure for all the package types. The failure criteria were established based on the pattern of electrical resistance change. The cycles to failure were analyzed using Weibull distribution function for each type of package. Selected packages were tested in the temperature/humidity chamber under 85 °C/85% RH for 1000 h. Some assembled packages were tested in vibration condition as well. In all these tests, the electrical resistance of each package under testing was monitored continuously. Test samples were also cross-sectioned and analyzed under a Scanning Electronic Microscope (SEM). Different failure mechanisms were identified for various packages. It was noted that some packages failed at the solder joints while others failed inside the package, which was packaging design and process related.","author":[{"dropping-particle":"","family":"Wang","given":"Z. P.","non-dropping-particle":"","parse-names":false,"suffix":""},{"dropping-particle":"","family":"Tan","given":"Y. M.","non-dropping-particle":"","parse-names":false,"suffix":""},{"dropping-particle":"","family":"Chua","given":"K. M.","non-dropping-particle":"","parse-names":false,"suffix":""}],"container-title":"Microelectronics Reliability","id":"ITEM-1","issued":{"date-parts":[["1999"]]},"title":"Board level reliability assessment of chip scale packages","type":"article-journal"},"uris":["http://www.mendeley.com/documents/?uuid=fe8b9793-1b02-44fe-9f55-f7bdad09de69"]},{"id":"ITEM-2","itemData":{"DOI":"10.1109/ESTC.2018.8546504","ISBN":"9781538668139","abstract":"Smart devices nowadays require more functionality in the integrated circuits with smaller packages. Wafer Level Chip Scale Package (WLCSP) is one of a best choice in the industry due to their small size and functionalitz. However, the reliability of such WLCSPs is very critical as they are used in consumer products. With new solder alloy material, SACQ (Sn92.45%/Ag4%/Cu 0.5%/Ni 0.05%/Bi 3%), it is vital to have a reliable life prediction mode for the Wafer Level Chip Scale package family. At the current industry trend, there is no much reliability assessment of WLCSPs using this new solder alloy. Even, if some exists, the accuracy between the board level reliability qualification test and numerical simulation is still more than 10% tolerance. In this work, a fatigue model is developed for SACQ for wafer level package family with the help of board level reliability qualification test; statistical approach and numerical approach using Finite Element Method (FEM) leading to a close correlation between the measured characteristic life time from temperature cycling on board (TCoB) tests and predicted life from numerical method. In this paper, a fatigue life prediction model for SACQ is introduced after studying five different wafer-level chip scale packages (WLCSP) subjected to Board Level Reliability (BLR) Temperature Cycling Qualification Tests (TCT). Number of solder interconnects (IOs) or pincounts in the wafer level packages ranges from 182 IOs till 360IOs. Temperature cycling range between-40°C till +85°C is applied to samples, until significant solder joint fatigue failures are observed. A Weibull lifetime model is used to describe the BLR qualification test data. In order to validate BLR-TCT qualification, several numerical simulations are carried out based on Finite Element Method (FEM). Anand viscoplasticity material constitutive law is used for SACQ. Increment of volume averaged inelastic strain energy density is used as damage parameter in order to determine the fatigue life prediction model. This new fatigue life prediction model developed demonstrates that the relative error of the predicted life time for the wafer level chip scale package (WLCSPs) with the new lead-free solder is within relative error of 10% with respect BLR-TCT tests. Such a close correlation between measurement and numerical simulation for SACQ solder is illustrated first time in industry for WLCSP package family. This research work can answer the reliability challenges face…","author":[{"dropping-particle":"","family":"Muthuraman","given":"Balaji Nandhivaram","non-dropping-particle":"","parse-names":false,"suffix":""},{"dropping-particle":"","family":"Canete","given":"Baltazar","non-dropping-particle":"","parse-names":false,"suffix":""}],"container-title":"2018 7th Electronic System-Integration Technology Conference, ESTC 2018 - Proceedings","id":"ITEM-2","issued":{"date-parts":[["2018"]]},"title":"Board Level Reliability assessment of Wafer Level Chip Scale Packages for SACQ, a lead-free solder with a novel life prediction model","type":"paper-conference"},"uris":["http://www.mendeley.com/documents/?uuid=5a12636b-f52e-46a9-a0f2-aa1f479a0d0a"]},{"id":"ITEM-3","itemData":{"DOI":"10.1109/JPROC.2009.2014657","ISSN":"00189219","abstract":"Modeling can efficiently investigate the reliability of new packages, saving time, manpower, and cost for conducting actual tests; A good model is useful for short time-to-market. In this paper, only journal and technical magazine papers are reviewed, many of which report modeling analyses of single die and/or stacked die chip-scale packages. They are summarized regarding the methods, design parameters, and/or results. Brief comparisons are provided on similarities and differences of the effects of the common design parameters on solder-joint reliability. The effects of variations in materials, package designs, the number of dies, test conditions, and board geometry can be investigated efficiently by thermal cycling modeling or drop test modeling. © 2006 IEEE.","author":[{"dropping-particle":"","family":"Zhong","given":"Z. W.","non-dropping-particle":"","parse-names":false,"suffix":""},{"dropping-particle":"","family":"Tee","given":"T. Y.","non-dropping-particle":"","parse-names":false,"suffix":""}],"container-title":"Proceedings of the IEEE","id":"ITEM-3","issued":{"date-parts":[["2009"]]},"title":"Overview of board-level solder joint reliability modeling for single die and stacked die CSPs","type":"article"},"uris":["http://www.mendeley.com/documents/?uuid=da1a86e0-dc8a-4e39-959b-abd96340206c"]},{"id":"ITEM-4","itemData":{"DOI":"10.1109/TEPM.2005.847398","ISSN":"1521334X","abstract":"To evaluate various Pb-free solder systems for leaded package, thin small outline packages (TSOPs) and chip scale packages (CSPs) including leadframe CSP (LFCSP), fine pitch BGA (FBGA), and wafer level CSP (WLCSP) were characterized in terms of board level and mechanical solder joint reliability. For board level solder joint reliability test of TSOPs, daisy chain samples having pure-Sn were prepared and placed on daisy chain printed circuit board (PCB) with Pb-free solder pastes. For CSPs, the same composition of Pb-free solder balls and solder pastes were used for assembly of daisy chain PCB. The samples were subjected to temperature cycle (T/C) tests (-65 °C </w:instrText>
      </w:r>
      <w:r w:rsidR="007803A4" w:rsidRPr="002F4E96">
        <w:rPr>
          <w:rFonts w:ascii="Cambria Math" w:hAnsi="Cambria Math" w:cs="Cambria Math"/>
          <w:bCs/>
        </w:rPr>
        <w:instrText>∼</w:instrText>
      </w:r>
      <w:r w:rsidR="007803A4" w:rsidRPr="002F4E96">
        <w:rPr>
          <w:rFonts w:ascii="Times New Roman" w:hAnsi="Times New Roman" w:cs="Times New Roman"/>
          <w:bCs/>
        </w:rPr>
        <w:instrText xml:space="preserve"> 150 °C, -55 °C </w:instrText>
      </w:r>
      <w:r w:rsidR="007803A4" w:rsidRPr="002F4E96">
        <w:rPr>
          <w:rFonts w:ascii="Cambria Math" w:hAnsi="Cambria Math" w:cs="Cambria Math"/>
          <w:bCs/>
        </w:rPr>
        <w:instrText>∼</w:instrText>
      </w:r>
      <w:r w:rsidR="007803A4" w:rsidRPr="002F4E96">
        <w:rPr>
          <w:rFonts w:ascii="Times New Roman" w:hAnsi="Times New Roman" w:cs="Times New Roman"/>
          <w:bCs/>
        </w:rPr>
        <w:instrText xml:space="preserve"> 125 °C, 2 cycles/h). Solder joint lifetime was electrically monitored by resistance measurement and the metallurgical characteristics of solder joint were analyzed by microstructural observation on a cross-section sample. In addition, mechanical tests including shock test, variable frequency vibration test, and four point twisting test were carried out with daisy chain packages too. In order to compare the effect of Pb-free solders with those of Sn-Pb solder, Sn-Pb solder balls and solder paste were included. According to this paper, most Pb-free solder systems were compatible with the conventional Sn-Pb solder with respect to board level and mechanical solder joint reliability. For application of Pb-free solder to WLCSP, Cu diffusion barrier layer is required to block the excessive Cu diffusion, which induced Cu trace failure. © 2005 IEEE.","author":[{"dropping-particle":"","family":"Yoon","given":"Seung Wook","non-dropping-particle":"","parse-names":false,"suffix":""},{"dropping-particle":"","family":"Hong","given":"Jun Ki","non-dropping-particle":"","parse-names":false,"suffix":""},{"dropping-particle":"","family":"Kim","given":"Hwa Jung","non-dropping-particle":"","parse-names":false,"suffix":""},{"dropping-particle":"","family":"Byun","given":"Kwang Yoo","non-dropping-particle":"","parse-names":false,"suffix":""}],"container-title":"IEEE Transactions on Electronics Packaging Manufacturing","id":"ITEM-4","issued":{"date-parts":[["2005"]]},"title":"Board-level reliability of Pb-free solder joints of TSOP and various CSPs","type":"article-journal"},"uris":["http://www.mendeley.com/documents/?uuid=0af91d68-d35f-4c97-9692-b83a778f1b1b"]},{"id":"ITEM-5","itemData":{"DOI":"10.1109/ECTC.1998.678743","ISBN":"0780345266","ISSN":"05695503","abstract":"In recent years, portable devices have become smaller, lighter, and offering greater functionality. For mounted packages, the requirements for higher densities have been becoming extremely high. In order to meet this demand, various companies are pushing the development of CSP (Chip Size Package or Chip Scale Package), which has almost no limit to LSI chip size. Sharp has developed a CSP, which can be manufactured using existing equipment, and commenced mass production in August 1996. The CSP, a face-up structure on single-sided wiring polyimide substrate, was developed using wire bonding and transfer molding technology, which are proven packaging technologies. Further, the external connection terminals are an area array structure using solder balls, with a pitch of 0.8-1.0 mm. The area array package, which has a structure using solder balls or \"bumps\" as external connection terminals similar to Sharp's CSP, is different from current flat type plastic packages (SOP (Small Outline Package), QFP (Quad Flat Package), etc.) in that the mechanism of stress on the solder connectors being reduced due to the lead frame does not operate. For that reason, after mounting on the motherboard, heat or mechanical stress can be expected to concentrate in the solder connections, and there is some concern that this reduces the post-mounting reliability. The factors that are believed to affect CSP reliability after mounting are the CSP's outline size, structure, and material, the motherboard's material, design, and manufacturing methods, etc. Sharp conducted a temperature cycle test similar to those currently performed to evaluate resistance to heat stress. For resistance to mechanical stress, Sharp also conducted bending and drop impact tests on a mounted motherboard under various conditions, taking into consideration the severe operating conditions of devices such as celluler telephones. This clarified the CSP structure which affects the reliability of the CSP after mounting and the effect on the motherboard. In addition, during each test, by measuring the amount of strain occurring mounted sections on a motherboard and its occurrence speed (strain speed), the possibility of quantitative evaluation of mounting reliability for various kinds of mechanical stress was investigated.","author":[{"dropping-particle":"","family":"Juso","given":"H.","non-dropping-particle":"","parse-names":false,"suffix":""},{"dropping-particle":"","family":"Yamaji","given":"Y.","non-dropping-particle":"","parse-names":false,"suffix":""},{"dropping-particle":"","family":"Kimura","given":"T.","non-dropping-particle":"","parse-names":false,"suffix":""},{"dropping-particle":"","family":"Fujita","given":"K.","non-dropping-particle":"","parse-names":false,"suffix":""},{"dropping-particle":"","family":"Kada","given":"M.","non-dropping-particle":"","parse-names":false,"suffix":""}],"container-title":"Proceedings - Electronic Components and Technology Conference","id":"ITEM-5","issued":{"date-parts":[["1998"]]},"title":"Board level reliability of CSP","type":"paper-conference"},"uris":["http://www.mendeley.com/documents/?uuid=75e1dc21-41e9-4c03-855b-661816b68639"]},{"id":"ITEM-6","itemData":{"DOI":"10.1109/EPTC.2000.906342","ISBN":"0780366441","abstract":"To maximize the benefit of chip-scale packaging for portable and handheld electronics, the user must consider efficient and cost effective assembly processing. Factors that an engineer should review before developing the product using CSP may include physical features and construction of the device, environmental limitations, suitable substrate materials and a general understanding of the attachment methodology. Many of the electronic products being developed using miniature chip-scale packages are moving toward lead-free, environmentally safe assembly processes. This paper reviews chip-size flash and RAMBUS memory test device applications utilizing μBGA® package technology, explore alternative solder alloy compositions, furnish recommendations for solder process temperature profiles and present the results from extensive thermal cycle testing, comparing eutectic solder to lead-free solder ball contacts and attachment materials.","author":[{"dropping-particle":"","family":"Solberg","given":"V.","non-dropping-particle":"","parse-names":false,"suffix":""}],"container-title":"Proceedings of the Electronic Packaging Technology Conference, EPTC","id":"ITEM-6","issued":{"date-parts":[["2000"]]},"title":"Board level reliability testing of μbGA® packaging with lead-free solder attachment","type":"paper-conference"},"uris":["http://www.mendeley.com/documents/?uuid=2c37d7b3-ce81-417e-a891-cb41ee7d9084"]},{"id":"ITEM-7","itemData":{"DOI":"10.3390/ma10050451","ISSN":"19961944","abstract":"This study illustrates test results and comparative literature data on the influence of isothermal aging and thermal cycling associated with Sn-1.0Ag-0.5Cu (SAC105) and Sn-3.0Ag-0.5Cu (SAC305) ball grid array (BGA) solder joints finished with ENIG and ENEPIG on the board side and ENIG on the package side compared with ImAg plating on both sides. The resulting degradation data suggests that the main concern for 0.4 mm pitch 10 mm package size BGA is package side surface finish, not board side. That is, ENIG performs better than immersion Ag for applications involving long-term isothermal aging. SAC305, with a higher relative fraction of Ag3Sn IMC within the solder, performs better than SAC105. SEM and polarized light microscope analysis show cracks propagated from the corners to the center or even to solder bulk, which eventually causes fatigue failure. Three factors are discussed: IMC, grain structure, and Ag3Sn particle. The continuous growth of Cu-Sn intermetallic compounds (IMC) and grains increase the risk of failure, while Ag3Sn particles seem helpful in blocking the crack propagation.","author":[{"dropping-particle":"","family":"Shen","given":"Chaobo","non-dropping-particle":"","parse-names":false,"suffix":""},{"dropping-particle":"","family":"Hai","given":"Zhou","non-dropping-particle":"","parse-names":false,"suffix":""},{"dropping-particle":"","family":"Zhao","given":"Cong","non-dropping-particle":"","parse-names":false,"suffix":""},{"dropping-particle":"","family":"Zhang","given":"Jiawei","non-dropping-particle":"","parse-names":false,"suffix":""},{"dropping-particle":"","family":"Evans","given":"John L.","non-dropping-particle":"","parse-names":false,"suffix":""},{"dropping-particle":"","family":"Bozack","given":"Michael J.","non-dropping-particle":"","parse-names":false,"suffix":""},{"dropping-particle":"","family":"Suhling","given":"Jeffrey C.","non-dropping-particle":"","parse-names":false,"suffix":""}],"container-title":"Materials","id":"ITEM-7","issued":{"date-parts":[["2017"]]},"title":"Packaging reliability effect of ENIG and ENEPIG surface finishes in board level thermal test under Long-term Aging and cycling","type":"article-journal"},"uris":["http://www.mendeley.com/documents/?uuid=3cd1fe1d-0185-43bc-8dfa-d898cca6c2d7"]},{"id":"ITEM-8","itemData":{"DOI":"10.1109/ECTC.2014.6897315","ISBN":"1-4244-0984-5","ISSN":"0569-5503","author":[{"dropping-particle":"","family":"Hasnine","given":"Mohammad Md","non-dropping-particle":"","parse-names":false,"suffix":""},{"dropping-particle":"","family":"Suhling","given":"Jeffrey C.","non-dropping-particle":"","parse-names":false,"suffix":""},{"dropping-particle":"","family":"Prorok","given":"Barton C.","non-dropping-particle":"","parse-names":false,"suffix":""},{"dropping-particle":"","family":"Bozack","given":"Michael J.","non-dropping-particle":"","parse-names":false,"suffix":""}],"container-title":"2007 Proceedings 57th Electronic Components and Technology Conference","id":"ITEM-8","issue":"7","issued":{"date-parts":[["2014"]]},"page":"49-53","title":"the Mechanical Behavior of Ceramic","type":"article-journal","volume":"37"},"uris":["http://www.mendeley.com/documents/?uuid=c547ba4f-2bf2-49d0-902c-da719b45c8b9"]}],"mendeley":{"formattedCitation":"[85], [87]–[93]","plainTextFormattedCitation":"[85], [87]–[93]","previouslyFormattedCitation":"[85], [87]–[93]"},"properties":{"noteIndex":0},"schema":"https://github.com/citation-style-language/schema/raw/master/csl-citation.json"}</w:instrText>
      </w:r>
      <w:r w:rsidRPr="002F4E96">
        <w:rPr>
          <w:rFonts w:ascii="Times New Roman" w:hAnsi="Times New Roman" w:cs="Times New Roman"/>
          <w:bCs/>
        </w:rPr>
        <w:fldChar w:fldCharType="separate"/>
      </w:r>
      <w:r w:rsidR="0039530C" w:rsidRPr="002F4E96">
        <w:rPr>
          <w:rFonts w:ascii="Times New Roman" w:hAnsi="Times New Roman" w:cs="Times New Roman"/>
          <w:bCs/>
          <w:noProof/>
        </w:rPr>
        <w:t>[85], [87]–[93]</w:t>
      </w:r>
      <w:r w:rsidRPr="002F4E96">
        <w:rPr>
          <w:rFonts w:ascii="Times New Roman" w:hAnsi="Times New Roman" w:cs="Times New Roman"/>
        </w:rPr>
        <w:fldChar w:fldCharType="end"/>
      </w:r>
      <w:r w:rsidRPr="002F4E96">
        <w:rPr>
          <w:rFonts w:ascii="Times New Roman" w:hAnsi="Times New Roman" w:cs="Times New Roman"/>
          <w:bCs/>
        </w:rPr>
        <w:t xml:space="preserve">, resistance thresholds, or electrical discontinuities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{"citationItems":[{"id":"ITEM-1","itemData":{"DOI":"10.1007/BF02669454","ISSN":"10735623","abstract":"Eutectic tin-lead solder alloys subjected to cyclic loading at room temperature experience creep-fatigue interactions due to high homologous temperature. Intermetallic reinforcements of Ni3Sn4 and Cu6Sn5 are incorporated into eutectic tin-lead alloy by rapid solidification processes to form in situ composite solders. In this study, the in situ composite solders were subjected to combined creep and fatigue deformation at room temperature. Under cyclic deformation, the dominant damage mechanism of in situ composite solders is proposed to be growth of cavities. A constrained cavity growth model is applied to predict creep-fatigue life by taking into account the tensile loading component as well as the compressive loading component when reversed processes can occur. An algorithm to calculate cavity growth in each fatigue cycle is used to predict the number of fatigue cycles to failure, based on a critical cavity size of failure. Calculated lives are compared to experimental data under several fatigue histories, which include fully reversed stress-controlled fatigue, zero-tension stress-controlled fatigue, stress-controlled fatigue with tension hold time, fully reversed strain-controlled fatigue, and zero-tension straincontrolled fatigue. The model predicts the creep-fatigue lives within a factor of 2 with the incorporation of an appropriate compressive healing factor in most cases. Discrepancy between calculated lives and experimental results is discussed. © 1995 The Minerals, Metals &amp; Material Society.","author":[{"dropping-particle":"","family":"Kuo","given":"C. G.","non-dropping-particle":"","parse-names":false,"suffix":""},{"dropping-particle":"","family":"Sastry","given":"S. M.L.","non-dropping-particle":"","parse-names":false,"suffix":""},{"dropping-particle":"","family":"Jerina","given":"K. L.","non-dropping-particle":"","parse-names":false,"suffix":""}],"container-title":"Metallurgical and Materials Transactions A","id":"ITEM-1","issued":{"date-parts":[["1995"]]},"title":"Creep-fatigue life prediction of in situ composite solders","type":"article-journal"},"uris":["http://www.mendeley.com/documents/?uuid=35e45fee-129e-4acf-9bd4-acb07b3206c7"]},{"id":"ITEM-2","itemData":{"author":[{"dropping-particle":"","family":"Kromann","given":"Gary B","non-dropping-particle":"","parse-names":false,"suffix":""},{"dropping-particle":"","family":"Gerke","given":"David","non-dropping-particle":"","parse-names":false,"suffix":""},{"dropping-particle":"","family":"Huang","given":"Wayne","non-dropping-particle":"","parse-names":false,"suffix":""}],"container-title":"In 1995 Proceedings. 45th Electronic Components and Technology Conference","id":"ITEM-2","issued":{"date-parts":[["1995"]]},"page":"1-10","title":"the C4 / Ceramic-ball-grid Array Interconnect Technology Freescale Semiconductor , I nc ... Semiconductor Products Sector Freescale Semiconductor , I nc ...","type":"paper-conference"},"uris":["http://www.mendeley.com/documents/?uuid=bf187f47-eb1f-4923-b978-df64d9b3d8f8"]},{"id":"ITEM-3","itemData":{"abstract":"Although the plastic ball-grid-array (PBGA) is accepted in the commercial and industrial community as a viable packaging technology, their acceptance in an environmentally harsh aerospace application has been limited. The limitation is due to a perceived reliability and durability risk most aerospace industries are unwilling to accept. However, with the abundant availability of PBGA packages, and a limited source of comparable substitutes, the aerospace industry is faced with a dilemma. The aerospace industry does not drive the semiconductor market, since the volumes for semiconductor devices are low in comparison with other high-volume semiconductor consumer industry. Therefore, the aerospace industry is faced with validating the viability of PBGA packaging technology for harsh environmental aerospace applications. This paper will discuss a formal method for validating PBGA packaging technology for environmentally harsh aerospace applications. The approach will include the use of several Six-Sigma Plus tools including Taguchi Design of Experiment (DOE). Since, the cost associated with validating every design is prohibitive, software for simulating the physical design and loading conditions was examined. The data generated from the experiment will be used to provide confidence that PBGA packaging technology can be used in environmentally harsh aerospace applications and that the simulation techniques can be used to assess that durability.","author":[{"dropping-particle":"","family":"Guha","given":"R.","non-dropping-particle":"","parse-names":false,"suffix":""},{"dropping-particle":"","family":"Humphrey","given":"D.","non-dropping-particle":"","parse-names":false,"suffix":""},{"dropping-particle":"","family":"Prodromides","given":"K.","non-dropping-particle":"","parse-names":false,"suffix":""},{"dropping-particle":"","family":"Burnette","given":"T.","non-dropping-particle":"","parse-names":false,"suffix":""},{"dropping-particle":"","family":"Koschmieder","given":"T.","non-dropping-particle":"","parse-names":false,"suffix":""},{"dropping-particle":"","family":"Osterman","given":"M.","non-dropping-particle":"","parse-names":false,"suffix":""},{"dropping-particle":"","family":"H. Qi","given":"J","non-dropping-particle":"","parse-names":false,"suffix":""},{"dropping-particle":"","family":"Kennedy","given":".","non-dropping-particle":"","parse-names":false,"suffix":""},{"dropping-particle":"","family":"Veum","given":"J.","non-dropping-particle":"","parse-names":false,"suffix":""}],"container-title":"SAE Technical Paper 2002-01-3011, 2002","id":"ITEM-3","issued":{"date-parts":[["2002"]]},"title":"Plastic ball-grid-arrays (PBGA): Are they ready for environmentally harsh aerospace applications?","type":"article-journal"},"uris":["http://www.mendeley.com/documents/?uuid=1e3f0fab-a0b4-44d6-a7c4-9aeef94a0c7a"]},{"id":"ITEM-4","itemData":{"ISBN":"9781627485456","abstract":"An accelerated thermal cycle experiment comparing similarly constructed area array devices representing Land Grid Array (LGA) and Ball Grid Array (BGA) technology with 0.254, 0.30, and 0.40mm diameter SAC305 solder balls was performed. The devices were subjected to three thermal cycle conditions in order to promote 2nd level solder fatigue. Failure data was compared using Weibull analyses. The results show that time to failure is highly influenced by the package pitch and thermal cycle temperatures in a manner predicted by simple mechanics. However, there were instances in which the effect of solder ball size did not fit the traditional solder joint reliability model in which increasing solder joint standoff height improves reliability (i.e. more cycles to failure). A theory is proposed that substantial differences in SAC305 solder joint Sn grain morphology may explain, at least partially, the discrepancies and evidence to support this theory is presented. © 2013 by IPC.","author":[{"dropping-particle":"","family":"Barbini","given":"Denis","non-dropping-particle":"","parse-names":false,"suffix":""},{"dropping-particle":"","family":"Meilunas","given":"Michael","non-dropping-particle":"","parse-names":false,"suffix":""}],"container-title":"IPC APEX EXPO Conference and Exhibition 2013, APEX EXPO 2013","id":"ITEM-4","issued":{"date-parts":[["2013"]]},"title":"Reliability of lead-free LGAs and BGAs: Effects of solder joint size, cyclic strain and microstructure","type":"paper-conference"},"uris":["http://www.mendeley.com/documents/?uuid=09913d0b-7a45-41e5-952e-6bbe787ed327"]},{"id":"ITEM-5","itemData":{"abstract":"This paper provides a comparison of the air-to-air thermal cyclic reliability and associated failure modes of second level interconnects in lead-free, 1.27 mm pitch, 256 I/O BGA devices with eutectic tin-lead assemblies. Both electroless nickel/immersion gold (ENIG) and copper OSP test board surface finishes were included in this study. The assemblies were subjected to two different 0/100 o C accelerated thermal test conditions. Solder joint failures were determined with in-situ event detection and verified by resistance measurements, x-ray, cross-sectioning and dye penetration. Elemental analysis was performed on selected failed solder joints. The results of the experiment indicate that the average solder fatigue life of the lead-free alloys investigated was higher than that of the tin-lead solder. However, the fundamental crack propagation behavior of the lead-free alloys was not the same as the tin-lead samples. Failure analysis revealed that intermetallic formation, fatigue crack characteristics, and solder fatigue propagation mechanisms associated with the lead-free alloys were not common to the tin-lead samples. In addition, lead-free solder joints evaluated in rigorous failure analysis show unique features such as stress voids, crack path redirection around intermetallic formations, vertical cracking and spalling of portions of the solder joint, which are not common in traditional tin-lead BGA solder joints. Introduction The current transition from lead-based solder alloys to \" green \" alloys has been approached with caution, primarily from cost and reliability standpoints. This paper is focused on the thermal fatigue resistance and failure analysis of three lead-free alloys: 96.5Sn/3.5Ag, 95.5Sn/3.8Ag/0.7Cu and 95.2Sn/2.5Ag/0.8Cu/0.5Sb with comparisons made to eutectic 63Sn/37Pb solder. In order to properly evaluate the alloys, identical component carrier substrates for a generic BGA device were acquired. The substrates were bumped in-house by printing flux and pre-formed 0.762 mm (30.0 mil) diameter solder spheres. The bumped packages were apportioned to two separate assembly and test groups (TG1 and TG2) to provide separate validation of results. The components were assembled to ENIG and copper OSP printed circuit boards (PCB) supplied by a single manufacturer. The assembled boards were subjected to a 0/100 o C thermal cycle until failure. Lifetime and failure analysis were completed for each test group and compared. Component and Test Board D…","author":[{"dropping-particle":"","family":"Meilunas","given":"Michael","non-dropping-particle":"","parse-names":false,"suffix":""},{"dropping-particle":"","family":"Primavera","given":"Anthony","non-dropping-particle":"","parse-names":false,"suffix":""},{"dropping-particle":"","family":"Dunford","given":"SO Steven O SO","non-dropping-particle":"","parse-names":false,"suffix":""}],"container-title":"Proceedings of the IPC Annual …","id":"ITEM-5","issued":{"date-parts":[["2002"]]},"title":"Reliability and failure analysis of lead-free solder joints","type":"article-journal"},"uris":["http://www.mendeley.com/documents/?uuid=a522800b-9c13-4b44-9172-8405d47e1a15"]},{"id":"ITEM-6","itemData":{"DOI":"10.1115/IMECE2006-13376","ISBN":"0791837904","ISSN":"10716947","abstract":"Lead-free (Pb-free) solder has seen increasing use in interconnect systems for electronic packages due to legislative and marketing pressures. The NEMI selected eutectic Sn3.9Ag0.6Cu alloy (or a close variation near eutectic Sn3.5Ag1.0Cu used in this study) is a leading Pb-free substitute for the Sn/Pb solder candidate. The reliability of this Pb-free solder alloy under accelerated thermal cycling and thermal shock testing as a function of testing parameters such as dwell time and ramp rate is critical in qualifying the performance of these Pb-free alternatives with the traditionally used Sn37Pb solder This paper presents the reliability of Pb-free solder joints in wafer level chip scale packages (WLCSPs), which are extensions of flip-chip packaging technology to standard surface mount technology, with external dimensions equal to that of the silicon device [1]. The reliability of these packages under both liquid-to-liquid thermal shock (LLTS) testing and accelerated air-to-air thermal cycling (AATC) conditions, as a function of dwell times and ramp rates is evaluated using extensive experimental testing in combination with finite element analysis. Besides, two asymmetric cycles in which the cold and hot dwell times differ at two temperature extremes were studied. Along with the Pb-free solder, some test vehicles were built using eutectic Sn-Pb solder and evaluated for comparison purposes. Experimental results show that an increase in ramp rate does not adversely affect the solder joint reliability in the case of Pb-free solder. The reliability of lead-free WLCSPs was highly dependent upon the dwell time at the temperature extremes, with this dependency being considerably greater for the lead-free alloy than for Sn/Pb at 0°C and 100°C. Accelerated test results show that increasing the dwell time from 280 to 900 seconds reduced the N63.2 of the Sn/Pb samples by 12% and the Pb-free samples by 65%. Reliability during asymmetric cycles resulted in a trend that is similar in two cases studied. A predictive equation was developed to evaluate the characteristic life of the package with respect to the dwell time. Non-linear, finite element (FE) modeling was conducted using temperature dependent creep constitutive relations for the Pb-free solder to understand the experimental trends observed. The FE results predicted the same trend of the package reliability as observed experimentally, with respect to the changing dwell and ramp times. The finite element predic…","author":[{"dropping-particle":"","family":"Chaparala","given":"S.","non-dropping-particle":"","parse-names":false,"suffix":""},{"dropping-particle":"","family":"Pitarresi","given":"J. M.","non-dropping-particle":"","parse-names":false,"suffix":""},{"dropping-particle":"","family":"Meilunas","given":"M.","non-dropping-particle":"","parse-names":false,"suffix":""}],"container-title":"American Society of Mechanical Engineers, Electronic and Photonic Packaging, EPP","id":"ITEM-6","issued":{"date-parts":[["2006"]]},"title":"Effect of dwell times and ramp rates on the thermal cycling reliability of Pb-free wafer- level chip scale packages - Experiments and modeling","type":"paper-conference"},"uris":["http://www.mendeley.com/documents/?uuid=a6385f94-96d1-42fb-bff8-41e872c7a057"]},{"id":"ITEM-7","itemData":{"abstract":"Original Equipment Manufacturers (OEM) who supply high reliability products to markets such as military, aerospace, and automotive are continually investigating methods to enhance the reliability of their proudcts utilizing \"off the shelf\" components and materials. An extensive DOE is underway to determine how assembly processes such as conformal coat and PBGA underfill can interact with PCB design parameters such as SMD vs. NSMD solder pads to provide enhanced solder joint reliability for products that require the greatest reliability achieveable. Board level temperature cycling and vibration testing will be performed to quantify the reliability improvements that can occur by implementing a BGA underfill process.","author":[{"dropping-particle":"","family":"Baumann","given":"Thomas","non-dropping-particle":"","parse-names":false,"suffix":""},{"dropping-particle":"","family":"Humphrey","given":"Dave","non-dropping-particle":"","parse-names":false,"suffix":""},{"dropping-particle":"","family":"Prodromides","given":"Kevin","non-dropping-particle":"","parse-names":false,"suffix":""}],"container-title":"SMTA International 2002, Donald Stephens Convention Center Rosemont","id":"ITEM-7","issued":{"date-parts":[["2002"]]},"title":"Underfilled PBGA packages and their board level cycling and vibration performance","type":"paper-conference"},"uris":["http://www.mendeley.com/documents/?uuid=aee07175-4801-4e49-9535-b2dcdb24e466"]},{"id":"ITEM-8","itemData":{"abstract":"Users of semiconductor packages are not only interested in the component-level reliability, but also the board-level (or solder joint) reliability of the packages designed into their systems. Thermal cycling (TC) in air is the industry standard for assessing the solder joint reliability. When compared to thermal distributions in an actual application, TC is not completely representative in that the package, joints, and board are at close to the same temperature (i.e. isothermal) at any point in time and only negligible thermal gradients exist within the mounted package. Power cycling attempts to more closely simulate or accelerate an application cycle by increasing the junction temperature of the die when the power is “on” and allowing natural temperature decrease when the power is “off.” This paper will cover the design of a power cycling system and the reliability results of a flip chip plastic ball grid array (FC PBGA) cycled under power cycling and TC conditions that were as closely matched as possible and representative of computing and telecommunications applications","author":[{"dropping-particle":"","family":"Popps","given":"DEH","non-dropping-particle":"","parse-names":false,"suffix":""},{"dropping-particle":"","family":"Mawer","given":"Andrew","non-dropping-particle":"","parse-names":false,"suffix":""},{"dropping-particle":"","family":"Presas","given":"Gabriel","non-dropping-particle":"","parse-names":false,"suffix":""}],"container-title":"… Semiconductor Products Sector, …","id":"ITEM-8","issued":{"date-parts":[["2005"]]},"title":"Flip chip PBGA solder joint reliability: power cycling versus thermal cycling","type":"article-journal"},"uris":["http://www.mendeley.com/documents/?uuid=c00dabe9-19dd-4ceb-bc3b-2da07e41542f"]}],"mendeley":{"formattedCitation":"[94]–[101]","plainTextFormattedCitation":"[94]–[101]","previouslyFormattedCitation":"[94]–[101]"},"properties":{"noteIndex":0},"schema":"https://github.com/citation-style-language/schema/raw/master/csl-citation.json"}</w:instrText>
      </w:r>
      <w:r w:rsidRPr="002F4E96">
        <w:rPr>
          <w:rFonts w:ascii="Times New Roman" w:hAnsi="Times New Roman" w:cs="Times New Roman"/>
          <w:bCs/>
        </w:rPr>
        <w:fldChar w:fldCharType="separate"/>
      </w:r>
      <w:r w:rsidR="0039530C" w:rsidRPr="002F4E96">
        <w:rPr>
          <w:rFonts w:ascii="Times New Roman" w:hAnsi="Times New Roman" w:cs="Times New Roman"/>
          <w:bCs/>
          <w:noProof/>
        </w:rPr>
        <w:t>[94]–[101]</w:t>
      </w:r>
      <w:r w:rsidRPr="002F4E96">
        <w:rPr>
          <w:rFonts w:ascii="Times New Roman" w:hAnsi="Times New Roman" w:cs="Times New Roman"/>
        </w:rPr>
        <w:fldChar w:fldCharType="end"/>
      </w:r>
      <w:r w:rsidRPr="002F4E96">
        <w:rPr>
          <w:rFonts w:ascii="Times New Roman" w:hAnsi="Times New Roman" w:cs="Times New Roman"/>
          <w:bCs/>
        </w:rPr>
        <w:t xml:space="preserve">. </w:t>
      </w:r>
      <w:r w:rsidR="005702B1" w:rsidRPr="002F4E96">
        <w:rPr>
          <w:rFonts w:ascii="Times New Roman" w:hAnsi="Times New Roman" w:cs="Times New Roman"/>
          <w:bCs/>
        </w:rPr>
        <w:t xml:space="preserve">The electronics industry </w:t>
      </w:r>
      <w:r w:rsidR="0039530C" w:rsidRPr="002F4E96">
        <w:rPr>
          <w:rFonts w:ascii="Times New Roman" w:hAnsi="Times New Roman" w:cs="Times New Roman"/>
          <w:bCs/>
        </w:rPr>
        <w:t>presently</w:t>
      </w:r>
      <w:r w:rsidR="005702B1" w:rsidRPr="002F4E96">
        <w:rPr>
          <w:rFonts w:ascii="Times New Roman" w:hAnsi="Times New Roman" w:cs="Times New Roman"/>
          <w:bCs/>
        </w:rPr>
        <w:t xml:space="preserve"> employs four principles to </w:t>
      </w:r>
      <w:r w:rsidR="0039530C" w:rsidRPr="002F4E96">
        <w:rPr>
          <w:rFonts w:ascii="Times New Roman" w:hAnsi="Times New Roman" w:cs="Times New Roman"/>
          <w:bCs/>
        </w:rPr>
        <w:t>outline</w:t>
      </w:r>
      <w:r w:rsidR="005702B1" w:rsidRPr="002F4E96">
        <w:rPr>
          <w:rFonts w:ascii="Times New Roman" w:hAnsi="Times New Roman" w:cs="Times New Roman"/>
          <w:bCs/>
        </w:rPr>
        <w:t xml:space="preserve"> solder joint failure </w:t>
      </w:r>
      <w:r w:rsidR="0039530C" w:rsidRPr="002F4E96">
        <w:rPr>
          <w:rFonts w:ascii="Times New Roman" w:hAnsi="Times New Roman" w:cs="Times New Roman"/>
          <w:bCs/>
        </w:rPr>
        <w:t>standards</w:t>
      </w:r>
      <w:r w:rsidR="005702B1" w:rsidRPr="002F4E96">
        <w:rPr>
          <w:rFonts w:ascii="Times New Roman" w:hAnsi="Times New Roman" w:cs="Times New Roman"/>
          <w:bCs/>
        </w:rPr>
        <w:t xml:space="preserve"> during </w:t>
      </w:r>
      <w:r w:rsidR="00B655D2" w:rsidRPr="002F4E96">
        <w:rPr>
          <w:rFonts w:ascii="Times New Roman" w:hAnsi="Times New Roman" w:cs="Times New Roman"/>
          <w:bCs/>
        </w:rPr>
        <w:t>surface mount technology reliability experiments</w:t>
      </w:r>
      <w:r w:rsidR="005702B1" w:rsidRPr="002F4E96">
        <w:rPr>
          <w:rFonts w:ascii="Times New Roman" w:hAnsi="Times New Roman" w:cs="Times New Roman"/>
          <w:bCs/>
        </w:rPr>
        <w:t xml:space="preserve"> (SMT</w:t>
      </w:r>
      <w:r w:rsidR="0039530C" w:rsidRPr="002F4E96">
        <w:rPr>
          <w:rFonts w:ascii="Times New Roman" w:hAnsi="Times New Roman" w:cs="Times New Roman"/>
          <w:bCs/>
        </w:rPr>
        <w:t>)</w:t>
      </w:r>
      <w:r w:rsidR="005702B1" w:rsidRPr="002F4E96">
        <w:rPr>
          <w:rFonts w:ascii="Times New Roman" w:hAnsi="Times New Roman" w:cs="Times New Roman"/>
          <w:bCs/>
        </w:rPr>
        <w:t xml:space="preserve">. These are IPC-SM-785 </w:t>
      </w:r>
      <w:r w:rsidR="005702B1"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{"citationItems":[{"id":"ITEM-1","itemData":{"author":[{"dropping-particle":"","family":"Engelmaier","given":"Werner","non-dropping-particle":"","parse-names":false,"suffix":""}],"container-title":"IPC Guidelines IPC-SM-785","id":"ITEM-1","issued":{"date-parts":[["1992"]]},"title":"Guidelines for Accelerated Reliability Testing of Surface Mount Solder Attachments","type":"article-journal"},"uris":["http://www.mendeley.com/documents/?uuid=c824051c-62a1-4025-ba19-11d49bc6bb8f"]}],"mendeley":{"formattedCitation":"[102]","plainTextFormattedCitation":"[102]","previouslyFormattedCitation":"[102]"},"properties":{"noteIndex":0},"schema":"https://github.com/citation-style-language/schema/raw/master/csl-citation.json"}</w:instrText>
      </w:r>
      <w:r w:rsidR="005702B1" w:rsidRPr="002F4E96">
        <w:rPr>
          <w:rFonts w:ascii="Times New Roman" w:hAnsi="Times New Roman" w:cs="Times New Roman"/>
          <w:bCs/>
        </w:rPr>
        <w:fldChar w:fldCharType="separate"/>
      </w:r>
      <w:r w:rsidR="0039530C" w:rsidRPr="002F4E96">
        <w:rPr>
          <w:rFonts w:ascii="Times New Roman" w:hAnsi="Times New Roman" w:cs="Times New Roman"/>
          <w:bCs/>
          <w:noProof/>
        </w:rPr>
        <w:t>[102]</w:t>
      </w:r>
      <w:r w:rsidR="005702B1" w:rsidRPr="002F4E96">
        <w:rPr>
          <w:rFonts w:ascii="Times New Roman" w:hAnsi="Times New Roman" w:cs="Times New Roman"/>
        </w:rPr>
        <w:fldChar w:fldCharType="end"/>
      </w:r>
      <w:r w:rsidR="005702B1" w:rsidRPr="002F4E96">
        <w:rPr>
          <w:rFonts w:ascii="Times New Roman" w:hAnsi="Times New Roman" w:cs="Times New Roman"/>
          <w:bCs/>
        </w:rPr>
        <w:t xml:space="preserve">, JESD22-B111 </w:t>
      </w:r>
      <w:r w:rsidR="005702B1"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{"citationItems":[{"id":"ITEM-1","itemData":{"author":[{"dropping-particle":"","family":"JESD22-B111","given":"","non-dropping-particle":"","parse-names":false,"suffix":""}],"container-title":"JEDEC Solid State Technology Assoc","id":"ITEM-1","issued":{"date-parts":[["2003"]]},"title":"Board level drop test method of components for handheld electronic products","type":"article-journal"},"uris":["http://www.mendeley.com/documents/?uuid=8272e5cd-4a38-4a46-9eb5-69e50de976f1"]}],"mendeley":{"formattedCitation":"[103]","plainTextFormattedCitation":"[103]","previouslyFormattedCitation":"[103]"},"properties":{"noteIndex":0},"schema":"https://github.com/citation-style-language/schema/raw/master/csl-citation.json"}</w:instrText>
      </w:r>
      <w:r w:rsidR="005702B1" w:rsidRPr="002F4E96">
        <w:rPr>
          <w:rFonts w:ascii="Times New Roman" w:hAnsi="Times New Roman" w:cs="Times New Roman"/>
          <w:bCs/>
        </w:rPr>
        <w:fldChar w:fldCharType="separate"/>
      </w:r>
      <w:r w:rsidR="0039530C" w:rsidRPr="002F4E96">
        <w:rPr>
          <w:rFonts w:ascii="Times New Roman" w:hAnsi="Times New Roman" w:cs="Times New Roman"/>
          <w:bCs/>
          <w:noProof/>
        </w:rPr>
        <w:t>[103]</w:t>
      </w:r>
      <w:r w:rsidR="005702B1" w:rsidRPr="002F4E96">
        <w:rPr>
          <w:rFonts w:ascii="Times New Roman" w:hAnsi="Times New Roman" w:cs="Times New Roman"/>
        </w:rPr>
        <w:fldChar w:fldCharType="end"/>
      </w:r>
      <w:r w:rsidR="005702B1" w:rsidRPr="002F4E96">
        <w:rPr>
          <w:rFonts w:ascii="Times New Roman" w:hAnsi="Times New Roman" w:cs="Times New Roman"/>
          <w:bCs/>
        </w:rPr>
        <w:t xml:space="preserve">, IPC/JEDEC-9702 </w:t>
      </w:r>
      <w:r w:rsidR="005702B1"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{"citationItems":[{"id":"ITEM-1","itemData":{"author":[{"dropping-particle":"","family":"IPC/JEDEC-9702","given":"","non-dropping-particle":"","parse-names":false,"suffix":""}],"container-title":"Association Connecting Electronics Industries","id":"ITEM-1","issued":{"date-parts":[["2004"]]},"title":"Monotonic Bend Characterization of Board-level Interconnections","type":"article-journal"},"uris":["http://www.mendeley.com/documents/?uuid=ee1e07fd-96c5-4acf-ae95-98a6515bde3f"]}],"mendeley":{"formattedCitation":"[104]","plainTextFormattedCitation":"[104]","previouslyFormattedCitation":"[104]"},"properties":{"noteIndex":0},"schema":"https://github.com/citation-style-language/schema/raw/master/csl-citation.json"}</w:instrText>
      </w:r>
      <w:r w:rsidR="005702B1" w:rsidRPr="002F4E96">
        <w:rPr>
          <w:rFonts w:ascii="Times New Roman" w:hAnsi="Times New Roman" w:cs="Times New Roman"/>
          <w:bCs/>
        </w:rPr>
        <w:fldChar w:fldCharType="separate"/>
      </w:r>
      <w:r w:rsidR="0039530C" w:rsidRPr="002F4E96">
        <w:rPr>
          <w:rFonts w:ascii="Times New Roman" w:hAnsi="Times New Roman" w:cs="Times New Roman"/>
          <w:bCs/>
          <w:noProof/>
        </w:rPr>
        <w:t>[104]</w:t>
      </w:r>
      <w:r w:rsidR="005702B1" w:rsidRPr="002F4E96">
        <w:rPr>
          <w:rFonts w:ascii="Times New Roman" w:hAnsi="Times New Roman" w:cs="Times New Roman"/>
        </w:rPr>
        <w:fldChar w:fldCharType="end"/>
      </w:r>
      <w:r w:rsidR="005702B1" w:rsidRPr="002F4E96">
        <w:rPr>
          <w:rFonts w:ascii="Times New Roman" w:hAnsi="Times New Roman" w:cs="Times New Roman"/>
        </w:rPr>
        <w:t xml:space="preserve"> and </w:t>
      </w:r>
      <w:r w:rsidR="005702B1" w:rsidRPr="002F4E96">
        <w:rPr>
          <w:rFonts w:ascii="Times New Roman" w:hAnsi="Times New Roman" w:cs="Times New Roman"/>
          <w:bCs/>
        </w:rPr>
        <w:lastRenderedPageBreak/>
        <w:t xml:space="preserve">IPC-9701 </w:t>
      </w:r>
      <w:r w:rsidR="005702B1"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{"citationItems":[{"id":"ITEM-1","itemData":{"author":[{"dropping-particle":"","family":"IPC-9701","given":"","non-dropping-particle":"","parse-names":false,"suffix":""}],"container-title":"Association Connecting Electronics Industries","id":"ITEM-1","issued":{"date-parts":[["2002"]]},"title":"Performance Test Methods and Qualification Requirements for Surface Mount Solder Attachments","type":"article-journal"},"uris":["http://www.mendeley.com/documents/?uuid=4811b7ed-25fc-40bc-abe0-329aa8df5e51"]},{"id":"ITEM-2","itemData":{"author":[{"dropping-particle":"","family":"IPC-9701A","given":"","non-dropping-particle":"","parse-names":false,"suffix":""}],"container-title":"Association Connecting Electronics Industries","id":"ITEM-2","issued":{"date-parts":[["2006"]]},"title":"Performance Test Methods and Qualification Requirements for Surface Mount Solder Attachments","type":"article-journal"},"uris":["http://www.mendeley.com/documents/?uuid=8a9129e8-7b1c-4b02-b057-4b023cd90427"]}],"mendeley":{"formattedCitation":"[105], [106]","plainTextFormattedCitation":"[105], [106]","previouslyFormattedCitation":"[105], [106]"},"properties":{"noteIndex":0},"schema":"https://github.com/citation-style-language/schema/raw/master/csl-citation.json"}</w:instrText>
      </w:r>
      <w:r w:rsidR="005702B1" w:rsidRPr="002F4E96">
        <w:rPr>
          <w:rFonts w:ascii="Times New Roman" w:hAnsi="Times New Roman" w:cs="Times New Roman"/>
          <w:bCs/>
        </w:rPr>
        <w:fldChar w:fldCharType="separate"/>
      </w:r>
      <w:r w:rsidR="0039530C" w:rsidRPr="002F4E96">
        <w:rPr>
          <w:rFonts w:ascii="Times New Roman" w:hAnsi="Times New Roman" w:cs="Times New Roman"/>
          <w:bCs/>
          <w:noProof/>
        </w:rPr>
        <w:t>[105], [106]</w:t>
      </w:r>
      <w:r w:rsidR="005702B1" w:rsidRPr="002F4E96">
        <w:rPr>
          <w:rFonts w:ascii="Times New Roman" w:hAnsi="Times New Roman" w:cs="Times New Roman"/>
        </w:rPr>
        <w:fldChar w:fldCharType="end"/>
      </w:r>
      <w:r w:rsidR="005702B1" w:rsidRPr="002F4E96">
        <w:rPr>
          <w:rFonts w:ascii="Times New Roman" w:hAnsi="Times New Roman" w:cs="Times New Roman"/>
        </w:rPr>
        <w:t xml:space="preserve">. </w:t>
      </w:r>
      <w:r w:rsidR="005702B1" w:rsidRPr="002F4E96">
        <w:rPr>
          <w:rFonts w:ascii="Times New Roman" w:hAnsi="Times New Roman" w:cs="Times New Roman"/>
          <w:bCs/>
        </w:rPr>
        <w:t xml:space="preserve">The electronics manufacturing industries have frequently utilised these analysis models or customised their standards </w:t>
      </w:r>
      <w:r w:rsidR="005702B1"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{"citationItems":[{"id":"ITEM-1","itemData":{"DOI":"10.1109/TCAPT.2008.921647","ISSN":"15213331","abstract":"The specification of a failure criterion for solder joints is an important element in the qualification of an electronic product. A common approach to reliability testing is to monitor electrical resistance during the testing. The techniques employed for resistance monitoring and data acquisition will determine whether information regarding transients or long-term drift is captured by the measurement. This paper reviews and assesses the failure criteria used in industry and academia, focusing on three key attributes: Resistance threshold, duration of resistance change, and frequency of changes. An experimental study on thermomechanical fatigue of ball grid array package solder joints was performed to compare measurement techniques and failure criteria. © 2008 IEEE.","author":[{"dropping-particle":"","family":"Qi","given":"Haiyu","non-dropping-particle":"","parse-names":false,"suffix":""},{"dropping-particle":"","family":"Vichare","given":"Nikhil M.","non-dropping-particle":"","parse-names":false,"suffix":""},{"dropping-particle":"","family":"Azarian","given":"Michael H.","non-dropping-particle":"","parse-names":false,"suffix":""},{"dropping-particle":"","family":"Pecht","given":"Michael","non-dropping-particle":"","parse-names":false,"suffix":""}],"container-title":"IEEE Transactions on Components and Packaging Technologies","id":"ITEM-1","issued":{"date-parts":[["2008"]]},"title":"Analysis of solder joint failure criteria and measurement techniques in the qualification of electronic products","type":"paper-conference"},"uris":["http://www.mendeley.com/documents/?uuid=e089e299-3390-48e2-ad92-1e46b24e5e35"]}],"mendeley":{"formattedCitation":"[107]","plainTextFormattedCitation":"[107]","previouslyFormattedCitation":"[107]"},"properties":{"noteIndex":0},"schema":"https://github.com/citation-style-language/schema/raw/master/csl-citation.json"}</w:instrText>
      </w:r>
      <w:r w:rsidR="005702B1" w:rsidRPr="002F4E96">
        <w:rPr>
          <w:rFonts w:ascii="Times New Roman" w:hAnsi="Times New Roman" w:cs="Times New Roman"/>
          <w:bCs/>
        </w:rPr>
        <w:fldChar w:fldCharType="separate"/>
      </w:r>
      <w:r w:rsidR="0039530C" w:rsidRPr="002F4E96">
        <w:rPr>
          <w:rFonts w:ascii="Times New Roman" w:hAnsi="Times New Roman" w:cs="Times New Roman"/>
          <w:bCs/>
          <w:noProof/>
        </w:rPr>
        <w:t>[107]</w:t>
      </w:r>
      <w:r w:rsidR="005702B1" w:rsidRPr="002F4E96">
        <w:rPr>
          <w:rFonts w:ascii="Times New Roman" w:hAnsi="Times New Roman" w:cs="Times New Roman"/>
          <w:bCs/>
        </w:rPr>
        <w:fldChar w:fldCharType="end"/>
      </w:r>
      <w:r w:rsidR="005702B1" w:rsidRPr="002F4E96">
        <w:rPr>
          <w:rFonts w:ascii="Times New Roman" w:hAnsi="Times New Roman" w:cs="Times New Roman"/>
          <w:bCs/>
        </w:rPr>
        <w:t>.</w:t>
      </w:r>
    </w:p>
    <w:p w14:paraId="5097F368" w14:textId="6B5774BA" w:rsidR="00CF0E41" w:rsidRPr="002F4E96" w:rsidRDefault="00CF0E41" w:rsidP="00CF0E41">
      <w:pPr>
        <w:numPr>
          <w:ilvl w:val="0"/>
          <w:numId w:val="33"/>
        </w:num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JESD22-B111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{"citationItems":[{"id":"ITEM-1","itemData":{"author":[{"dropping-particle":"","family":"JESD22-B111","given":"","non-dropping-particle":"","parse-names":false,"suffix":""}],"container-title":"JEDEC Solid State Technology Assoc","id":"ITEM-1","issued":{"date-parts":[["2003"]]},"title":"Board level drop test method of components for handheld electronic products","type":"article-journal"},"uris":["http://www.mendeley.com/documents/?uuid=8272e5cd-4a38-4a46-9eb5-69e50de976f1"]}],"mendeley":{"formattedCitation":"[103]","plainTextFormattedCitation":"[103]","previouslyFormattedCitation":"[103]"},"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[103]</w:t>
      </w:r>
      <w:r w:rsidRPr="002F4E96">
        <w:rPr>
          <w:rFonts w:ascii="Times New Roman" w:hAnsi="Times New Roman" w:cs="Times New Roman"/>
        </w:rPr>
        <w:fldChar w:fldCharType="end"/>
      </w:r>
      <w:r w:rsidRPr="002F4E96">
        <w:rPr>
          <w:rFonts w:ascii="Times New Roman" w:hAnsi="Times New Roman" w:cs="Times New Roman"/>
          <w:bCs/>
        </w:rPr>
        <w:t xml:space="preserve"> specifies solder joint failure guidelines for board-level drop tests.</w:t>
      </w:r>
    </w:p>
    <w:p w14:paraId="1854188B" w14:textId="047AE671" w:rsidR="00CF0E41" w:rsidRPr="002F4E96" w:rsidRDefault="00CF0E41" w:rsidP="00466B91">
      <w:pPr>
        <w:numPr>
          <w:ilvl w:val="0"/>
          <w:numId w:val="33"/>
        </w:num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Compared to IPC-SM-785, IPC-9701 and IPC/JEDEC-9702, JESD22-B111 specifies in-situ electrical monitoring of daisy chain nets failure throughout the individual drop. It states that a high-speed data acquisition system or event detector should </w:t>
      </w:r>
      <w:r w:rsidR="00B655D2" w:rsidRPr="002F4E96">
        <w:rPr>
          <w:rFonts w:ascii="Times New Roman" w:hAnsi="Times New Roman" w:cs="Times New Roman"/>
          <w:bCs/>
        </w:rPr>
        <w:t>detect</w:t>
      </w:r>
      <w:r w:rsidRPr="002F4E96">
        <w:rPr>
          <w:rFonts w:ascii="Times New Roman" w:hAnsi="Times New Roman" w:cs="Times New Roman"/>
          <w:bCs/>
        </w:rPr>
        <w:t xml:space="preserve"> every nets' electrical continuity. </w:t>
      </w:r>
    </w:p>
    <w:p w14:paraId="35571A01" w14:textId="515A1756" w:rsidR="00874B8B" w:rsidRPr="002F4E96" w:rsidRDefault="00CF0E41" w:rsidP="00874B8B">
      <w:pPr>
        <w:numPr>
          <w:ilvl w:val="0"/>
          <w:numId w:val="33"/>
        </w:num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IPC-9701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{"citationItems":[{"id":"ITEM-1","itemData":{"author":[{"dropping-particle":"","family":"IPC-9701","given":"","non-dropping-particle":"","parse-names":false,"suffix":""}],"container-title":"Association Connecting Electronics Industries","id":"ITEM-1","issued":{"date-parts":[["2002"]]},"title":"Performance Test Methods and Qualification Requirements for Surface Mount Solder Attachments","type":"article-journal"},"uris":["http://www.mendeley.com/documents/?uuid=4811b7ed-25fc-40bc-abe0-329aa8df5e51"]},{"id":"ITEM-2","itemData":{"author":[{"dropping-particle":"","family":"IPC-9701A","given":"","non-dropping-particle":"","parse-names":false,"suffix":""}],"container-title":"Association Connecting Electronics Industries","id":"ITEM-2","issued":{"date-parts":[["2006"]]},"title":"Performance Test Methods and Qualification Requirements for Surface Mount Solder Attachments","type":"article-journal"},"uris":["http://www.mendeley.com/documents/?uuid=8a9129e8-7b1c-4b02-b057-4b023cd90427"]}],"mendeley":{"formattedCitation":"[105], [106]","plainTextFormattedCitation":"[105], [106]","previouslyFormattedCitation":"[105], [106]"},"properties":{"noteIndex":0},"schema":"https://github.com/citation-style-language/schema/raw/master/csl-citation.json"}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[105], [106]</w:t>
      </w:r>
      <w:r w:rsidRPr="002F4E96">
        <w:rPr>
          <w:rFonts w:ascii="Times New Roman" w:hAnsi="Times New Roman" w:cs="Times New Roman"/>
        </w:rPr>
        <w:fldChar w:fldCharType="end"/>
      </w:r>
      <w:r w:rsidRPr="002F4E96">
        <w:rPr>
          <w:rFonts w:ascii="Times New Roman" w:hAnsi="Times New Roman" w:cs="Times New Roman"/>
        </w:rPr>
        <w:t xml:space="preserve"> </w:t>
      </w:r>
      <w:r w:rsidRPr="002F4E96">
        <w:rPr>
          <w:rFonts w:ascii="Times New Roman" w:hAnsi="Times New Roman" w:cs="Times New Roman"/>
          <w:bCs/>
        </w:rPr>
        <w:t xml:space="preserve">represents failure criteria based on the computation process chosen. An intermittently measuring resistance model utilising probes is not a desirable alternative for consecutive monitoring of an electrical daisy chain. The failure guidelines advised in IPC/JEDEC-9702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{"citationItems":[{"id":"ITEM-1","itemData":{"author":[{"dropping-particle":"","family":"IPC/JEDEC-9702","given":"","non-dropping-particle":"","parse-names":false,"suffix":""}],"container-title":"Association Connecting Electronics Industries","id":"ITEM-1","issued":{"date-parts":[["2004"]]},"title":"Monotonic Bend Characterization of Board-level Interconnections","type":"article-journal"},"uris":["http://www.mendeley.com/documents/?uuid=ee1e07fd-96c5-4acf-ae95-98a6515bde3f"]}],"mendeley":{"formattedCitation":"[104]","plainTextFormattedCitation":"[104]","previouslyFormattedCitation":"[104]"},"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[104]</w:t>
      </w:r>
      <w:r w:rsidRPr="002F4E96">
        <w:rPr>
          <w:rFonts w:ascii="Times New Roman" w:hAnsi="Times New Roman" w:cs="Times New Roman"/>
        </w:rPr>
        <w:fldChar w:fldCharType="end"/>
      </w:r>
      <w:r w:rsidRPr="002F4E96">
        <w:rPr>
          <w:rFonts w:ascii="Times New Roman" w:hAnsi="Times New Roman" w:cs="Times New Roman"/>
          <w:bCs/>
        </w:rPr>
        <w:t xml:space="preserve"> for monotonic bend characterisation of board-level furthermore interconnects at a 20% increase in daisy-chain net resistance.</w:t>
      </w:r>
    </w:p>
    <w:p w14:paraId="69B8F708" w14:textId="0DB3C7BD" w:rsidR="00874B8B" w:rsidRPr="002F4E96" w:rsidRDefault="00874B8B" w:rsidP="00874B8B">
      <w:pPr>
        <w:numPr>
          <w:ilvl w:val="0"/>
          <w:numId w:val="33"/>
        </w:numPr>
        <w:spacing w:after="0" w:line="360" w:lineRule="auto"/>
        <w:jc w:val="both"/>
        <w:rPr>
          <w:rFonts w:ascii="Times New Roman" w:eastAsia="Times New Roman" w:hAnsi="Times New Roman" w:cs="Times New Roman"/>
          <w:color w:val="0E101A"/>
          <w:lang w:eastAsia="en-GB"/>
        </w:rPr>
      </w:pPr>
      <w:r w:rsidRPr="002F4E96">
        <w:rPr>
          <w:rFonts w:ascii="Times New Roman" w:eastAsia="Times New Roman" w:hAnsi="Times New Roman" w:cs="Times New Roman"/>
          <w:color w:val="0E101A"/>
          <w:lang w:eastAsia="en-GB"/>
        </w:rPr>
        <w:t xml:space="preserve">IPC-SM-785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{"citationItems":[{"id":"ITEM-1","itemData":{"author":[{"dropping-particle":"","family":"Engelmaier","given":"Werner","non-dropping-particle":"","parse-names":false,"suffix":""}],"container-title":"IPC Guidelines IPC-SM-785","id":"ITEM-1","issued":{"date-parts":[["1992"]]},"title":"Guidelines for Accelerated Reliability Testing of Surface Mount Solder Attachments","type":"article-journal"},"uris":["http://www.mendeley.com/documents/?uuid=c824051c-62a1-4025-ba19-11d49bc6bb8f"]}],"mendeley":{"formattedCitation":"[102]","plainTextFormattedCitation":"[102]","previouslyFormattedCitation":"[102]"},"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[102]</w:t>
      </w:r>
      <w:r w:rsidRPr="002F4E96">
        <w:rPr>
          <w:rFonts w:ascii="Times New Roman" w:hAnsi="Times New Roman" w:cs="Times New Roman"/>
        </w:rPr>
        <w:fldChar w:fldCharType="end"/>
      </w:r>
      <w:r w:rsidRPr="002F4E96">
        <w:rPr>
          <w:rFonts w:ascii="Times New Roman" w:eastAsia="Times New Roman" w:hAnsi="Times New Roman" w:cs="Times New Roman"/>
          <w:color w:val="0E101A"/>
          <w:lang w:eastAsia="en-GB"/>
        </w:rPr>
        <w:t xml:space="preserve"> suggests continuous monitoring of daisy-chain connection experiment loops to identify a failure. The regulation affirms the polling interval should be 2 s or less. </w:t>
      </w:r>
    </w:p>
    <w:p w14:paraId="7C5101ED" w14:textId="77777777" w:rsidR="00874B8B" w:rsidRPr="002F4E96" w:rsidRDefault="00874B8B" w:rsidP="00874B8B">
      <w:pPr>
        <w:spacing w:after="0" w:line="240" w:lineRule="auto"/>
        <w:ind w:left="720"/>
        <w:rPr>
          <w:rFonts w:ascii="Times New Roman" w:eastAsia="Times New Roman" w:hAnsi="Times New Roman" w:cs="Times New Roman"/>
          <w:color w:val="0E101A"/>
          <w:sz w:val="24"/>
          <w:szCs w:val="24"/>
          <w:lang w:eastAsia="en-GB"/>
        </w:rPr>
      </w:pPr>
    </w:p>
    <w:p w14:paraId="0ECDD9BA" w14:textId="5687AF63" w:rsidR="0046798B" w:rsidRPr="002F4E96" w:rsidRDefault="0046798B" w:rsidP="00811C2C">
      <w:pPr>
        <w:spacing w:line="360" w:lineRule="auto"/>
        <w:jc w:val="both"/>
        <w:rPr>
          <w:rFonts w:ascii="Times New Roman" w:hAnsi="Times New Roman" w:cs="Times New Roman"/>
        </w:rPr>
      </w:pPr>
      <w:r w:rsidRPr="002F4E96">
        <w:rPr>
          <w:rFonts w:ascii="Times New Roman" w:hAnsi="Times New Roman" w:cs="Times New Roman"/>
        </w:rPr>
        <w:t xml:space="preserve">The solder joint failure is due to crack initiation and propagation through a joint. The cracks' location and nature depend on various determinants such as strain rate, joint configuration, intermetallic structure, and temperature regime rate. Those determinants affect the mechanism of a solder joint failure </w:t>
      </w:r>
      <w:r w:rsidRPr="002F4E96">
        <w:rPr>
          <w:rFonts w:ascii="Times New Roman" w:hAnsi="Times New Roman" w:cs="Times New Roman"/>
        </w:rPr>
        <w:fldChar w:fldCharType="begin" w:fldLock="1"/>
      </w:r>
      <w:r w:rsidR="007803A4" w:rsidRPr="002F4E96">
        <w:rPr>
          <w:rFonts w:ascii="Times New Roman" w:hAnsi="Times New Roman" w:cs="Times New Roman"/>
        </w:rPr>
        <w:instrText>ADDIN CSL_CITATION {"citationItems":[{"id":"ITEM-1","itemData":{"author":[{"dropping-particle":"","family":"Darveaux","given":"R","non-dropping-particle":"","parse-names":false,"suffix":""},{"dropping-particle":"","family":"Banerji","given":"K","non-dropping-particle":"","parse-names":false,"suffix":""},{"dropping-particle":"","family":"Mawer","given":"A","non-dropping-particle":"","parse-names":false,"suffix":""},{"dropping-particle":"","family":"Dody","given":"G","non-dropping-particle":"","parse-names":false,"suffix":""},{"dropping-particle":"","family":"Lau","given":"J.","non-dropping-particle":"","parse-names":false,"suffix":""}],"container-title":"In Ball grid array technology, McGraw-Hill","id":"ITEM-1","issued":{"date-parts":[["1995"]]},"page":"379-442","title":"Reliability of plastic ball grid array assembly. In Ball grid array technology (Vol. 13, pp. 379-442). McGraw-Hill.","type":"article-journal","volume":"13"},"uris":["http://www.mendeley.com/documents/?uuid=bb3c1878-ba10-4990-a607-81fad7be1308"]}],"mendeley":{"formattedCitation":"[86]","plainTextFormattedCitation":"[86]","previouslyFormattedCitation":"[86]"},"properties":{"noteIndex":0},"schema":"https://github.com/citation-style-language/schema/raw/master/csl-citation.json"}</w:instrText>
      </w:r>
      <w:r w:rsidRPr="002F4E96">
        <w:rPr>
          <w:rFonts w:ascii="Times New Roman" w:hAnsi="Times New Roman" w:cs="Times New Roman"/>
        </w:rPr>
        <w:fldChar w:fldCharType="separate"/>
      </w:r>
      <w:r w:rsidRPr="002F4E96">
        <w:rPr>
          <w:rFonts w:ascii="Times New Roman" w:hAnsi="Times New Roman" w:cs="Times New Roman"/>
          <w:noProof/>
        </w:rPr>
        <w:t>[86]</w:t>
      </w:r>
      <w:r w:rsidRPr="002F4E96">
        <w:rPr>
          <w:rFonts w:ascii="Times New Roman" w:hAnsi="Times New Roman" w:cs="Times New Roman"/>
        </w:rPr>
        <w:fldChar w:fldCharType="end"/>
      </w:r>
      <w:r w:rsidRPr="002F4E96">
        <w:rPr>
          <w:rFonts w:ascii="Times New Roman" w:hAnsi="Times New Roman" w:cs="Times New Roman"/>
        </w:rPr>
        <w:t>. The crack begins at the high-stress concentration areas. Results have shown that crack propagation's direction depends on the relative degree of tensile vs loading and joint shape.</w:t>
      </w:r>
    </w:p>
    <w:p w14:paraId="60A022EC" w14:textId="3237931C" w:rsidR="008639D6" w:rsidRPr="002F4E96" w:rsidRDefault="008639D6" w:rsidP="009F3023">
      <w:pPr>
        <w:pStyle w:val="Heading2"/>
      </w:pPr>
      <w:bookmarkStart w:id="18" w:name="_Toc33286859"/>
      <w:r w:rsidRPr="002F4E96">
        <w:t>3.0 Results and Discussions</w:t>
      </w:r>
      <w:bookmarkEnd w:id="18"/>
    </w:p>
    <w:p w14:paraId="48F5D655" w14:textId="2D8ADC69" w:rsidR="00CA0DF9" w:rsidRPr="002F4E96" w:rsidRDefault="00CA0DF9" w:rsidP="000D7411">
      <w:pPr>
        <w:pStyle w:val="Heading3"/>
        <w:spacing w:line="360" w:lineRule="auto"/>
        <w:rPr>
          <w:rFonts w:ascii="Times New Roman" w:hAnsi="Times New Roman" w:cs="Times New Roman"/>
          <w:i/>
          <w:iCs/>
          <w:color w:val="auto"/>
          <w:sz w:val="22"/>
          <w:szCs w:val="22"/>
        </w:rPr>
      </w:pPr>
      <w:r w:rsidRPr="002F4E96">
        <w:rPr>
          <w:rFonts w:ascii="Times New Roman" w:hAnsi="Times New Roman" w:cs="Times New Roman"/>
          <w:color w:val="auto"/>
          <w:sz w:val="22"/>
          <w:szCs w:val="22"/>
        </w:rPr>
        <w:t>3.1 Study o</w:t>
      </w:r>
      <w:r w:rsidR="008505FC" w:rsidRPr="002F4E96">
        <w:rPr>
          <w:rFonts w:ascii="Times New Roman" w:hAnsi="Times New Roman" w:cs="Times New Roman"/>
          <w:color w:val="auto"/>
          <w:sz w:val="22"/>
          <w:szCs w:val="22"/>
        </w:rPr>
        <w:t>n</w:t>
      </w:r>
      <w:r w:rsidRPr="002F4E96">
        <w:rPr>
          <w:rFonts w:ascii="Times New Roman" w:hAnsi="Times New Roman" w:cs="Times New Roman"/>
          <w:color w:val="auto"/>
          <w:sz w:val="22"/>
          <w:szCs w:val="22"/>
        </w:rPr>
        <w:t xml:space="preserve">  Equivalent (Von Mises) Stress on the solder joint</w:t>
      </w:r>
      <w:r w:rsidR="008505FC" w:rsidRPr="002F4E96">
        <w:rPr>
          <w:rFonts w:ascii="Times New Roman" w:hAnsi="Times New Roman" w:cs="Times New Roman"/>
          <w:color w:val="auto"/>
          <w:sz w:val="22"/>
          <w:szCs w:val="22"/>
        </w:rPr>
        <w:t>s</w:t>
      </w:r>
    </w:p>
    <w:p w14:paraId="58939A67" w14:textId="42DD1A79" w:rsidR="00E403E9" w:rsidRPr="002F4E96" w:rsidRDefault="008505FC" w:rsidP="00E67305">
      <w:pPr>
        <w:pStyle w:val="NoSpacing"/>
        <w:spacing w:line="360" w:lineRule="auto"/>
        <w:jc w:val="both"/>
        <w:rPr>
          <w:rFonts w:ascii="Times New Roman" w:eastAsiaTheme="minorHAnsi" w:hAnsi="Times New Roman" w:cs="Times New Roman"/>
          <w:sz w:val="22"/>
          <w:szCs w:val="22"/>
        </w:rPr>
      </w:pPr>
      <w:r w:rsidRPr="002F4E96">
        <w:rPr>
          <w:rFonts w:ascii="Times New Roman" w:eastAsiaTheme="minorHAnsi" w:hAnsi="Times New Roman" w:cs="Times New Roman"/>
          <w:sz w:val="22"/>
          <w:szCs w:val="22"/>
        </w:rPr>
        <w:t xml:space="preserve">The thermal cycling simulation results for the lead-based eutectic Sn63Pb37 and four lead-free </w:t>
      </w:r>
      <w:r w:rsidR="00F54AE7" w:rsidRPr="002F4E96">
        <w:rPr>
          <w:rFonts w:ascii="Times New Roman" w:eastAsiaTheme="minorHAnsi" w:hAnsi="Times New Roman" w:cs="Times New Roman"/>
          <w:sz w:val="22"/>
          <w:szCs w:val="22"/>
        </w:rPr>
        <w:t>SAC</w:t>
      </w:r>
      <w:r w:rsidRPr="002F4E96">
        <w:rPr>
          <w:rFonts w:ascii="Times New Roman" w:eastAsiaTheme="minorHAnsi" w:hAnsi="Times New Roman" w:cs="Times New Roman"/>
          <w:sz w:val="22"/>
          <w:szCs w:val="22"/>
        </w:rPr>
        <w:t xml:space="preserve"> solder alloy</w:t>
      </w:r>
      <w:r w:rsidR="00982401" w:rsidRPr="002F4E96">
        <w:rPr>
          <w:rFonts w:ascii="Times New Roman" w:eastAsiaTheme="minorHAnsi" w:hAnsi="Times New Roman" w:cs="Times New Roman"/>
          <w:sz w:val="22"/>
          <w:szCs w:val="22"/>
        </w:rPr>
        <w:t xml:space="preserve">s </w:t>
      </w:r>
      <w:r w:rsidRPr="002F4E96">
        <w:rPr>
          <w:rFonts w:ascii="Times New Roman" w:eastAsiaTheme="minorHAnsi" w:hAnsi="Times New Roman" w:cs="Times New Roman"/>
          <w:sz w:val="22"/>
          <w:szCs w:val="22"/>
        </w:rPr>
        <w:t xml:space="preserve">(SAC305, SAC387, SAC396 and SAC405) are presented in Figs. 7 and 8. Fig 7 is the plot of </w:t>
      </w:r>
      <w:r w:rsidR="005124E0" w:rsidRPr="002F4E96">
        <w:rPr>
          <w:rFonts w:ascii="Times New Roman" w:eastAsiaTheme="minorHAnsi" w:hAnsi="Times New Roman" w:cs="Times New Roman"/>
          <w:sz w:val="22"/>
          <w:szCs w:val="22"/>
        </w:rPr>
        <w:t>Von-Mises</w:t>
      </w:r>
      <w:r w:rsidRPr="002F4E96">
        <w:rPr>
          <w:rFonts w:ascii="Times New Roman" w:eastAsiaTheme="minorHAnsi" w:hAnsi="Times New Roman" w:cs="Times New Roman"/>
          <w:sz w:val="22"/>
          <w:szCs w:val="22"/>
        </w:rPr>
        <w:t xml:space="preserve"> stress against </w:t>
      </w:r>
      <w:r w:rsidR="005124E0" w:rsidRPr="002F4E96">
        <w:rPr>
          <w:rFonts w:ascii="Times New Roman" w:eastAsiaTheme="minorHAnsi" w:hAnsi="Times New Roman" w:cs="Times New Roman"/>
          <w:sz w:val="22"/>
          <w:szCs w:val="22"/>
        </w:rPr>
        <w:t xml:space="preserve">the </w:t>
      </w:r>
      <w:r w:rsidR="00130801" w:rsidRPr="002F4E96">
        <w:rPr>
          <w:rFonts w:ascii="Times New Roman" w:eastAsiaTheme="minorHAnsi" w:hAnsi="Times New Roman" w:cs="Times New Roman"/>
          <w:sz w:val="22"/>
          <w:szCs w:val="22"/>
        </w:rPr>
        <w:t xml:space="preserve">number of </w:t>
      </w:r>
      <w:r w:rsidR="005124E0" w:rsidRPr="002F4E96">
        <w:rPr>
          <w:rFonts w:ascii="Times New Roman" w:eastAsiaTheme="minorHAnsi" w:hAnsi="Times New Roman" w:cs="Times New Roman"/>
          <w:sz w:val="22"/>
          <w:szCs w:val="22"/>
        </w:rPr>
        <w:t xml:space="preserve">the </w:t>
      </w:r>
      <w:r w:rsidRPr="002F4E96">
        <w:rPr>
          <w:rFonts w:ascii="Times New Roman" w:eastAsiaTheme="minorHAnsi" w:hAnsi="Times New Roman" w:cs="Times New Roman"/>
          <w:sz w:val="22"/>
          <w:szCs w:val="22"/>
        </w:rPr>
        <w:t>therm</w:t>
      </w:r>
      <w:r w:rsidR="002C45CE" w:rsidRPr="002F4E96">
        <w:rPr>
          <w:rFonts w:ascii="Times New Roman" w:eastAsiaTheme="minorHAnsi" w:hAnsi="Times New Roman" w:cs="Times New Roman"/>
          <w:sz w:val="22"/>
          <w:szCs w:val="22"/>
        </w:rPr>
        <w:t>al cycle</w:t>
      </w:r>
      <w:r w:rsidR="00130801" w:rsidRPr="002F4E96">
        <w:rPr>
          <w:rFonts w:ascii="Times New Roman" w:eastAsiaTheme="minorHAnsi" w:hAnsi="Times New Roman" w:cs="Times New Roman"/>
          <w:sz w:val="22"/>
          <w:szCs w:val="22"/>
        </w:rPr>
        <w:t>.</w:t>
      </w:r>
      <w:r w:rsidR="002C45CE" w:rsidRPr="002F4E96">
        <w:rPr>
          <w:rFonts w:ascii="Times New Roman" w:eastAsiaTheme="minorHAnsi" w:hAnsi="Times New Roman" w:cs="Times New Roman"/>
          <w:sz w:val="22"/>
          <w:szCs w:val="22"/>
        </w:rPr>
        <w:t xml:space="preserve"> The plot</w:t>
      </w:r>
      <w:r w:rsidR="00B419C3" w:rsidRPr="002F4E96">
        <w:rPr>
          <w:rFonts w:ascii="Times New Roman" w:eastAsiaTheme="minorHAnsi" w:hAnsi="Times New Roman" w:cs="Times New Roman"/>
          <w:sz w:val="22"/>
          <w:szCs w:val="22"/>
        </w:rPr>
        <w:t>s</w:t>
      </w:r>
      <w:r w:rsidR="002C45CE" w:rsidRPr="002F4E96">
        <w:rPr>
          <w:rFonts w:ascii="Times New Roman" w:eastAsiaTheme="minorHAnsi" w:hAnsi="Times New Roman" w:cs="Times New Roman"/>
          <w:sz w:val="22"/>
          <w:szCs w:val="22"/>
        </w:rPr>
        <w:t xml:space="preserve"> show </w:t>
      </w:r>
      <w:r w:rsidR="005124E0" w:rsidRPr="002F4E96">
        <w:rPr>
          <w:rFonts w:ascii="Times New Roman" w:eastAsiaTheme="minorHAnsi" w:hAnsi="Times New Roman" w:cs="Times New Roman"/>
          <w:sz w:val="22"/>
          <w:szCs w:val="22"/>
        </w:rPr>
        <w:t xml:space="preserve">a </w:t>
      </w:r>
      <w:r w:rsidR="002C45CE" w:rsidRPr="002F4E96">
        <w:rPr>
          <w:rFonts w:ascii="Times New Roman" w:eastAsiaTheme="minorHAnsi" w:hAnsi="Times New Roman" w:cs="Times New Roman"/>
          <w:sz w:val="22"/>
          <w:szCs w:val="22"/>
        </w:rPr>
        <w:t xml:space="preserve">similar profile for all the solder alloys. </w:t>
      </w:r>
      <w:r w:rsidR="005D5037" w:rsidRPr="002F4E96">
        <w:rPr>
          <w:rFonts w:ascii="Times New Roman" w:eastAsiaTheme="minorHAnsi" w:hAnsi="Times New Roman" w:cs="Times New Roman"/>
          <w:sz w:val="22"/>
          <w:szCs w:val="22"/>
        </w:rPr>
        <w:t xml:space="preserve">The stress starts from zero and increases rapidly </w:t>
      </w:r>
      <w:r w:rsidR="005C258F" w:rsidRPr="002F4E96">
        <w:rPr>
          <w:rFonts w:ascii="Times New Roman" w:eastAsiaTheme="minorHAnsi" w:hAnsi="Times New Roman" w:cs="Times New Roman"/>
          <w:sz w:val="22"/>
          <w:szCs w:val="22"/>
        </w:rPr>
        <w:t>within the first temperature cycle. T</w:t>
      </w:r>
      <w:r w:rsidR="00130801" w:rsidRPr="002F4E96">
        <w:rPr>
          <w:rFonts w:ascii="Times New Roman" w:eastAsiaTheme="minorHAnsi" w:hAnsi="Times New Roman" w:cs="Times New Roman"/>
          <w:sz w:val="22"/>
          <w:szCs w:val="22"/>
        </w:rPr>
        <w:t>he solder alloy</w:t>
      </w:r>
      <w:r w:rsidR="005C258F" w:rsidRPr="002F4E96">
        <w:rPr>
          <w:rFonts w:ascii="Times New Roman" w:eastAsiaTheme="minorHAnsi" w:hAnsi="Times New Roman" w:cs="Times New Roman"/>
          <w:sz w:val="22"/>
          <w:szCs w:val="22"/>
        </w:rPr>
        <w:t xml:space="preserve">s in the joints </w:t>
      </w:r>
      <w:r w:rsidR="00130801" w:rsidRPr="002F4E96">
        <w:rPr>
          <w:rFonts w:ascii="Times New Roman" w:eastAsiaTheme="minorHAnsi" w:hAnsi="Times New Roman" w:cs="Times New Roman"/>
          <w:sz w:val="22"/>
          <w:szCs w:val="22"/>
        </w:rPr>
        <w:t>elastically deform</w:t>
      </w:r>
      <w:r w:rsidR="005C258F" w:rsidRPr="002F4E96">
        <w:rPr>
          <w:rFonts w:ascii="Times New Roman" w:eastAsiaTheme="minorHAnsi" w:hAnsi="Times New Roman" w:cs="Times New Roman"/>
          <w:sz w:val="22"/>
          <w:szCs w:val="22"/>
        </w:rPr>
        <w:t xml:space="preserve"> within this range. </w:t>
      </w:r>
      <w:r w:rsidR="00130801" w:rsidRPr="002F4E96">
        <w:rPr>
          <w:rFonts w:ascii="Times New Roman" w:eastAsiaTheme="minorHAnsi" w:hAnsi="Times New Roman" w:cs="Times New Roman"/>
          <w:sz w:val="22"/>
          <w:szCs w:val="22"/>
        </w:rPr>
        <w:t>The</w:t>
      </w:r>
      <w:r w:rsidR="008401A7" w:rsidRPr="002F4E96">
        <w:rPr>
          <w:rFonts w:ascii="Times New Roman" w:eastAsiaTheme="minorHAnsi" w:hAnsi="Times New Roman" w:cs="Times New Roman"/>
          <w:sz w:val="22"/>
          <w:szCs w:val="22"/>
        </w:rPr>
        <w:t xml:space="preserve">y are seen to </w:t>
      </w:r>
      <w:r w:rsidR="003871B1" w:rsidRPr="002F4E96">
        <w:rPr>
          <w:rFonts w:ascii="Times New Roman" w:eastAsiaTheme="minorHAnsi" w:hAnsi="Times New Roman" w:cs="Times New Roman"/>
          <w:sz w:val="22"/>
          <w:szCs w:val="22"/>
        </w:rPr>
        <w:t>yield between cycles 1 and 2</w:t>
      </w:r>
      <w:r w:rsidR="005C258F" w:rsidRPr="002F4E96">
        <w:rPr>
          <w:rFonts w:ascii="Times New Roman" w:eastAsiaTheme="minorHAnsi" w:hAnsi="Times New Roman" w:cs="Times New Roman"/>
          <w:sz w:val="22"/>
          <w:szCs w:val="22"/>
        </w:rPr>
        <w:t xml:space="preserve">. </w:t>
      </w:r>
      <w:r w:rsidR="008401A7" w:rsidRPr="002F4E96">
        <w:rPr>
          <w:rFonts w:ascii="Times New Roman" w:eastAsiaTheme="minorHAnsi" w:hAnsi="Times New Roman" w:cs="Times New Roman"/>
          <w:sz w:val="22"/>
          <w:szCs w:val="22"/>
        </w:rPr>
        <w:t xml:space="preserve">The SAC387 demonstrate </w:t>
      </w:r>
      <w:r w:rsidR="005124E0" w:rsidRPr="002F4E96">
        <w:rPr>
          <w:rFonts w:ascii="Times New Roman" w:eastAsiaTheme="minorHAnsi" w:hAnsi="Times New Roman" w:cs="Times New Roman"/>
          <w:sz w:val="22"/>
          <w:szCs w:val="22"/>
        </w:rPr>
        <w:t xml:space="preserve">the </w:t>
      </w:r>
      <w:r w:rsidR="008401A7" w:rsidRPr="002F4E96">
        <w:rPr>
          <w:rFonts w:ascii="Times New Roman" w:eastAsiaTheme="minorHAnsi" w:hAnsi="Times New Roman" w:cs="Times New Roman"/>
          <w:sz w:val="22"/>
          <w:szCs w:val="22"/>
        </w:rPr>
        <w:t xml:space="preserve">highest </w:t>
      </w:r>
      <w:r w:rsidR="00B419C3" w:rsidRPr="002F4E96">
        <w:rPr>
          <w:rFonts w:ascii="Times New Roman" w:eastAsiaTheme="minorHAnsi" w:hAnsi="Times New Roman" w:cs="Times New Roman"/>
          <w:sz w:val="22"/>
          <w:szCs w:val="22"/>
        </w:rPr>
        <w:t>60</w:t>
      </w:r>
      <w:r w:rsidR="008401A7" w:rsidRPr="002F4E96">
        <w:rPr>
          <w:rFonts w:ascii="Times New Roman" w:eastAsiaTheme="minorHAnsi" w:hAnsi="Times New Roman" w:cs="Times New Roman"/>
          <w:sz w:val="22"/>
          <w:szCs w:val="22"/>
        </w:rPr>
        <w:t xml:space="preserve"> MPa magnitude of yield stress</w:t>
      </w:r>
      <w:r w:rsidR="005124E0" w:rsidRPr="002F4E96">
        <w:rPr>
          <w:rFonts w:ascii="Times New Roman" w:eastAsiaTheme="minorHAnsi" w:hAnsi="Times New Roman" w:cs="Times New Roman"/>
          <w:sz w:val="22"/>
          <w:szCs w:val="22"/>
        </w:rPr>
        <w:t>,</w:t>
      </w:r>
      <w:r w:rsidR="008401A7" w:rsidRPr="002F4E96">
        <w:rPr>
          <w:rFonts w:ascii="Times New Roman" w:eastAsiaTheme="minorHAnsi" w:hAnsi="Times New Roman" w:cs="Times New Roman"/>
          <w:sz w:val="22"/>
          <w:szCs w:val="22"/>
        </w:rPr>
        <w:t xml:space="preserve"> followed by the </w:t>
      </w:r>
      <w:r w:rsidR="00E62FF3" w:rsidRPr="002F4E96">
        <w:rPr>
          <w:rFonts w:ascii="Times New Roman" w:eastAsiaTheme="minorHAnsi" w:hAnsi="Times New Roman" w:cs="Times New Roman"/>
          <w:sz w:val="22"/>
          <w:szCs w:val="22"/>
        </w:rPr>
        <w:t xml:space="preserve">lead-based eutectic </w:t>
      </w:r>
      <w:r w:rsidR="008401A7" w:rsidRPr="002F4E96">
        <w:rPr>
          <w:rFonts w:ascii="Times New Roman" w:eastAsiaTheme="minorHAnsi" w:hAnsi="Times New Roman" w:cs="Times New Roman"/>
          <w:sz w:val="22"/>
          <w:szCs w:val="22"/>
        </w:rPr>
        <w:t>Sn63Pb37 at 5</w:t>
      </w:r>
      <w:r w:rsidR="00B419C3" w:rsidRPr="002F4E96">
        <w:rPr>
          <w:rFonts w:ascii="Times New Roman" w:eastAsiaTheme="minorHAnsi" w:hAnsi="Times New Roman" w:cs="Times New Roman"/>
          <w:sz w:val="22"/>
          <w:szCs w:val="22"/>
        </w:rPr>
        <w:t>7</w:t>
      </w:r>
      <w:r w:rsidR="008401A7" w:rsidRPr="002F4E96">
        <w:rPr>
          <w:rFonts w:ascii="Times New Roman" w:eastAsiaTheme="minorHAnsi" w:hAnsi="Times New Roman" w:cs="Times New Roman"/>
          <w:sz w:val="22"/>
          <w:szCs w:val="22"/>
        </w:rPr>
        <w:t xml:space="preserve"> </w:t>
      </w:r>
      <w:r w:rsidR="00F54AE7" w:rsidRPr="002F4E96">
        <w:rPr>
          <w:rFonts w:ascii="Times New Roman" w:eastAsiaTheme="minorHAnsi" w:hAnsi="Times New Roman" w:cs="Times New Roman"/>
          <w:sz w:val="22"/>
          <w:szCs w:val="22"/>
        </w:rPr>
        <w:t>MPA</w:t>
      </w:r>
      <w:r w:rsidR="008401A7" w:rsidRPr="002F4E96">
        <w:rPr>
          <w:rFonts w:ascii="Times New Roman" w:eastAsiaTheme="minorHAnsi" w:hAnsi="Times New Roman" w:cs="Times New Roman"/>
          <w:sz w:val="22"/>
          <w:szCs w:val="22"/>
        </w:rPr>
        <w:t xml:space="preserve">. The SAC405 acquired the </w:t>
      </w:r>
      <w:r w:rsidR="005124E0" w:rsidRPr="002F4E96">
        <w:rPr>
          <w:rFonts w:ascii="Times New Roman" w:eastAsiaTheme="minorHAnsi" w:hAnsi="Times New Roman" w:cs="Times New Roman"/>
          <w:sz w:val="22"/>
          <w:szCs w:val="22"/>
        </w:rPr>
        <w:t>most negligible</w:t>
      </w:r>
      <w:r w:rsidR="008401A7" w:rsidRPr="002F4E96">
        <w:rPr>
          <w:rFonts w:ascii="Times New Roman" w:eastAsiaTheme="minorHAnsi" w:hAnsi="Times New Roman" w:cs="Times New Roman"/>
          <w:sz w:val="22"/>
          <w:szCs w:val="22"/>
        </w:rPr>
        <w:t xml:space="preserve"> yield stress of 2</w:t>
      </w:r>
      <w:r w:rsidR="00B419C3" w:rsidRPr="002F4E96">
        <w:rPr>
          <w:rFonts w:ascii="Times New Roman" w:eastAsiaTheme="minorHAnsi" w:hAnsi="Times New Roman" w:cs="Times New Roman"/>
          <w:sz w:val="22"/>
          <w:szCs w:val="22"/>
        </w:rPr>
        <w:t>3</w:t>
      </w:r>
      <w:r w:rsidR="008401A7" w:rsidRPr="002F4E96">
        <w:rPr>
          <w:rFonts w:ascii="Times New Roman" w:eastAsiaTheme="minorHAnsi" w:hAnsi="Times New Roman" w:cs="Times New Roman"/>
          <w:sz w:val="22"/>
          <w:szCs w:val="22"/>
        </w:rPr>
        <w:t xml:space="preserve"> MPa magnitude</w:t>
      </w:r>
      <w:r w:rsidR="005124E0" w:rsidRPr="002F4E96">
        <w:rPr>
          <w:rFonts w:ascii="Times New Roman" w:eastAsiaTheme="minorHAnsi" w:hAnsi="Times New Roman" w:cs="Times New Roman"/>
          <w:sz w:val="22"/>
          <w:szCs w:val="22"/>
        </w:rPr>
        <w:t>,</w:t>
      </w:r>
      <w:r w:rsidR="008401A7" w:rsidRPr="002F4E96">
        <w:rPr>
          <w:rFonts w:ascii="Times New Roman" w:eastAsiaTheme="minorHAnsi" w:hAnsi="Times New Roman" w:cs="Times New Roman"/>
          <w:sz w:val="22"/>
          <w:szCs w:val="22"/>
        </w:rPr>
        <w:t xml:space="preserve"> while</w:t>
      </w:r>
      <w:r w:rsidR="00B419C3" w:rsidRPr="002F4E96">
        <w:rPr>
          <w:rFonts w:ascii="Times New Roman" w:eastAsiaTheme="minorHAnsi" w:hAnsi="Times New Roman" w:cs="Times New Roman"/>
          <w:sz w:val="22"/>
          <w:szCs w:val="22"/>
        </w:rPr>
        <w:t xml:space="preserve"> SAC305 and SAC396 </w:t>
      </w:r>
      <w:r w:rsidR="005124E0" w:rsidRPr="002F4E96">
        <w:rPr>
          <w:rFonts w:ascii="Times New Roman" w:eastAsiaTheme="minorHAnsi" w:hAnsi="Times New Roman" w:cs="Times New Roman"/>
          <w:sz w:val="22"/>
          <w:szCs w:val="22"/>
        </w:rPr>
        <w:t>have</w:t>
      </w:r>
      <w:r w:rsidR="00B419C3" w:rsidRPr="002F4E96">
        <w:rPr>
          <w:rFonts w:ascii="Times New Roman" w:eastAsiaTheme="minorHAnsi" w:hAnsi="Times New Roman" w:cs="Times New Roman"/>
          <w:sz w:val="22"/>
          <w:szCs w:val="22"/>
        </w:rPr>
        <w:t xml:space="preserve"> each 34</w:t>
      </w:r>
      <w:r w:rsidR="008401A7" w:rsidRPr="002F4E96">
        <w:rPr>
          <w:rFonts w:ascii="Times New Roman" w:eastAsiaTheme="minorHAnsi" w:hAnsi="Times New Roman" w:cs="Times New Roman"/>
          <w:sz w:val="22"/>
          <w:szCs w:val="22"/>
        </w:rPr>
        <w:t xml:space="preserve"> MPa and 30 MPa yield stress magnitudes, respectively. After cycle 2, the profile p</w:t>
      </w:r>
      <w:r w:rsidR="005C258F" w:rsidRPr="002F4E96">
        <w:rPr>
          <w:rFonts w:ascii="Times New Roman" w:eastAsiaTheme="minorHAnsi" w:hAnsi="Times New Roman" w:cs="Times New Roman"/>
          <w:sz w:val="22"/>
          <w:szCs w:val="22"/>
        </w:rPr>
        <w:t>lateaus</w:t>
      </w:r>
      <w:r w:rsidR="008401A7" w:rsidRPr="002F4E96">
        <w:rPr>
          <w:rFonts w:ascii="Times New Roman" w:eastAsiaTheme="minorHAnsi" w:hAnsi="Times New Roman" w:cs="Times New Roman"/>
          <w:sz w:val="22"/>
          <w:szCs w:val="22"/>
        </w:rPr>
        <w:t xml:space="preserve"> and remain relatively steady for the remainder of the cycle. The </w:t>
      </w:r>
      <w:r w:rsidR="003871B1" w:rsidRPr="002F4E96">
        <w:rPr>
          <w:rFonts w:ascii="Times New Roman" w:eastAsiaTheme="minorHAnsi" w:hAnsi="Times New Roman" w:cs="Times New Roman"/>
          <w:sz w:val="22"/>
          <w:szCs w:val="22"/>
        </w:rPr>
        <w:t xml:space="preserve">plastic deformation region </w:t>
      </w:r>
      <w:r w:rsidR="008401A7" w:rsidRPr="002F4E96">
        <w:rPr>
          <w:rFonts w:ascii="Times New Roman" w:eastAsiaTheme="minorHAnsi" w:hAnsi="Times New Roman" w:cs="Times New Roman"/>
          <w:sz w:val="22"/>
          <w:szCs w:val="22"/>
        </w:rPr>
        <w:t xml:space="preserve">starts from the yield stress point and covers 75% of the temperature cycling test. </w:t>
      </w:r>
      <w:r w:rsidR="005124E0" w:rsidRPr="002F4E96">
        <w:rPr>
          <w:rFonts w:ascii="Times New Roman" w:eastAsiaTheme="minorHAnsi" w:hAnsi="Times New Roman" w:cs="Times New Roman"/>
          <w:sz w:val="22"/>
          <w:szCs w:val="22"/>
        </w:rPr>
        <w:t>This study's inference</w:t>
      </w:r>
      <w:r w:rsidR="008401A7" w:rsidRPr="002F4E96">
        <w:rPr>
          <w:rFonts w:ascii="Times New Roman" w:eastAsiaTheme="minorHAnsi" w:hAnsi="Times New Roman" w:cs="Times New Roman"/>
          <w:sz w:val="22"/>
          <w:szCs w:val="22"/>
        </w:rPr>
        <w:t xml:space="preserve"> </w:t>
      </w:r>
      <w:r w:rsidR="007A50A0" w:rsidRPr="002F4E96">
        <w:rPr>
          <w:rFonts w:ascii="Times New Roman" w:eastAsiaTheme="minorHAnsi" w:hAnsi="Times New Roman" w:cs="Times New Roman"/>
          <w:sz w:val="22"/>
          <w:szCs w:val="22"/>
        </w:rPr>
        <w:t>is</w:t>
      </w:r>
      <w:r w:rsidR="008401A7" w:rsidRPr="002F4E96">
        <w:rPr>
          <w:rFonts w:ascii="Times New Roman" w:eastAsiaTheme="minorHAnsi" w:hAnsi="Times New Roman" w:cs="Times New Roman"/>
          <w:sz w:val="22"/>
          <w:szCs w:val="22"/>
        </w:rPr>
        <w:t xml:space="preserve"> th</w:t>
      </w:r>
      <w:r w:rsidR="007A50A0" w:rsidRPr="002F4E96">
        <w:rPr>
          <w:rFonts w:ascii="Times New Roman" w:eastAsiaTheme="minorHAnsi" w:hAnsi="Times New Roman" w:cs="Times New Roman"/>
          <w:sz w:val="22"/>
          <w:szCs w:val="22"/>
        </w:rPr>
        <w:t>at</w:t>
      </w:r>
      <w:r w:rsidR="008401A7" w:rsidRPr="002F4E96">
        <w:rPr>
          <w:rFonts w:ascii="Times New Roman" w:eastAsiaTheme="minorHAnsi" w:hAnsi="Times New Roman" w:cs="Times New Roman"/>
          <w:sz w:val="22"/>
          <w:szCs w:val="22"/>
        </w:rPr>
        <w:t xml:space="preserve"> the solder</w:t>
      </w:r>
      <w:r w:rsidR="007A50A0" w:rsidRPr="002F4E96">
        <w:rPr>
          <w:rFonts w:ascii="Times New Roman" w:eastAsiaTheme="minorHAnsi" w:hAnsi="Times New Roman" w:cs="Times New Roman"/>
          <w:sz w:val="22"/>
          <w:szCs w:val="22"/>
        </w:rPr>
        <w:t xml:space="preserve"> joints experience shock thermal load</w:t>
      </w:r>
      <w:r w:rsidR="005124E0" w:rsidRPr="002F4E96">
        <w:rPr>
          <w:rFonts w:ascii="Times New Roman" w:eastAsiaTheme="minorHAnsi" w:hAnsi="Times New Roman" w:cs="Times New Roman"/>
          <w:sz w:val="22"/>
          <w:szCs w:val="22"/>
        </w:rPr>
        <w:t>,</w:t>
      </w:r>
      <w:r w:rsidR="007A50A0" w:rsidRPr="002F4E96">
        <w:rPr>
          <w:rFonts w:ascii="Times New Roman" w:eastAsiaTheme="minorHAnsi" w:hAnsi="Times New Roman" w:cs="Times New Roman"/>
          <w:sz w:val="22"/>
          <w:szCs w:val="22"/>
        </w:rPr>
        <w:t xml:space="preserve"> </w:t>
      </w:r>
      <w:r w:rsidR="003709D2" w:rsidRPr="002F4E96">
        <w:rPr>
          <w:rFonts w:ascii="Times New Roman" w:eastAsiaTheme="minorHAnsi" w:hAnsi="Times New Roman" w:cs="Times New Roman"/>
          <w:sz w:val="22"/>
          <w:szCs w:val="22"/>
        </w:rPr>
        <w:t>making</w:t>
      </w:r>
      <w:r w:rsidR="007A50A0" w:rsidRPr="002F4E96">
        <w:rPr>
          <w:rFonts w:ascii="Times New Roman" w:eastAsiaTheme="minorHAnsi" w:hAnsi="Times New Roman" w:cs="Times New Roman"/>
          <w:sz w:val="22"/>
          <w:szCs w:val="22"/>
        </w:rPr>
        <w:t xml:space="preserve"> early infant mortality failure </w:t>
      </w:r>
      <w:r w:rsidR="006B7BC7" w:rsidRPr="002F4E96">
        <w:rPr>
          <w:rFonts w:ascii="Times New Roman" w:eastAsiaTheme="minorHAnsi" w:hAnsi="Times New Roman" w:cs="Times New Roman"/>
          <w:sz w:val="22"/>
          <w:szCs w:val="22"/>
        </w:rPr>
        <w:t xml:space="preserve">mode </w:t>
      </w:r>
      <w:r w:rsidR="007A50A0" w:rsidRPr="002F4E96">
        <w:rPr>
          <w:rFonts w:ascii="Times New Roman" w:eastAsiaTheme="minorHAnsi" w:hAnsi="Times New Roman" w:cs="Times New Roman"/>
          <w:sz w:val="22"/>
          <w:szCs w:val="22"/>
        </w:rPr>
        <w:t xml:space="preserve">more critical than any other failure </w:t>
      </w:r>
      <w:r w:rsidR="006B7BC7" w:rsidRPr="002F4E96">
        <w:rPr>
          <w:rFonts w:ascii="Times New Roman" w:eastAsiaTheme="minorHAnsi" w:hAnsi="Times New Roman" w:cs="Times New Roman"/>
          <w:sz w:val="22"/>
          <w:szCs w:val="22"/>
        </w:rPr>
        <w:t>rate mode</w:t>
      </w:r>
      <w:r w:rsidR="007A50A0" w:rsidRPr="002F4E96">
        <w:rPr>
          <w:rFonts w:ascii="Times New Roman" w:eastAsiaTheme="minorHAnsi" w:hAnsi="Times New Roman" w:cs="Times New Roman"/>
          <w:sz w:val="22"/>
          <w:szCs w:val="22"/>
        </w:rPr>
        <w:t xml:space="preserve"> in the bathtub</w:t>
      </w:r>
      <w:r w:rsidR="006B7BC7" w:rsidRPr="002F4E96">
        <w:rPr>
          <w:rFonts w:ascii="Times New Roman" w:eastAsiaTheme="minorHAnsi" w:hAnsi="Times New Roman" w:cs="Times New Roman"/>
          <w:sz w:val="22"/>
          <w:szCs w:val="22"/>
        </w:rPr>
        <w:t>’s</w:t>
      </w:r>
      <w:r w:rsidR="007A50A0" w:rsidRPr="002F4E96">
        <w:rPr>
          <w:rFonts w:ascii="Times New Roman" w:eastAsiaTheme="minorHAnsi" w:hAnsi="Times New Roman" w:cs="Times New Roman"/>
          <w:sz w:val="22"/>
          <w:szCs w:val="22"/>
        </w:rPr>
        <w:t xml:space="preserve"> curve failure rate</w:t>
      </w:r>
      <w:r w:rsidR="00F15397" w:rsidRPr="002F4E96">
        <w:rPr>
          <w:rFonts w:ascii="Times New Roman" w:eastAsiaTheme="minorHAnsi" w:hAnsi="Times New Roman" w:cs="Times New Roman"/>
          <w:sz w:val="22"/>
          <w:szCs w:val="22"/>
        </w:rPr>
        <w:t xml:space="preserve"> classification</w:t>
      </w:r>
      <w:r w:rsidR="007A50A0" w:rsidRPr="002F4E96">
        <w:rPr>
          <w:rFonts w:ascii="Times New Roman" w:eastAsiaTheme="minorHAnsi" w:hAnsi="Times New Roman" w:cs="Times New Roman"/>
          <w:sz w:val="22"/>
          <w:szCs w:val="22"/>
        </w:rPr>
        <w:t xml:space="preserve">. </w:t>
      </w:r>
      <w:r w:rsidR="00E06B26" w:rsidRPr="002F4E96">
        <w:rPr>
          <w:rFonts w:ascii="Times New Roman" w:eastAsiaTheme="minorHAnsi" w:hAnsi="Times New Roman" w:cs="Times New Roman"/>
          <w:sz w:val="22"/>
          <w:szCs w:val="22"/>
        </w:rPr>
        <w:t>It could be</w:t>
      </w:r>
      <w:r w:rsidR="005124E0" w:rsidRPr="002F4E96">
        <w:rPr>
          <w:rFonts w:ascii="Times New Roman" w:eastAsiaTheme="minorHAnsi" w:hAnsi="Times New Roman" w:cs="Times New Roman"/>
          <w:sz w:val="22"/>
          <w:szCs w:val="22"/>
        </w:rPr>
        <w:t xml:space="preserve"> observed</w:t>
      </w:r>
      <w:r w:rsidR="00E06B26" w:rsidRPr="002F4E96">
        <w:rPr>
          <w:rFonts w:ascii="Times New Roman" w:eastAsiaTheme="minorHAnsi" w:hAnsi="Times New Roman" w:cs="Times New Roman"/>
          <w:sz w:val="22"/>
          <w:szCs w:val="22"/>
        </w:rPr>
        <w:t xml:space="preserve"> from the plot that </w:t>
      </w:r>
      <w:r w:rsidR="005124E0" w:rsidRPr="002F4E96">
        <w:rPr>
          <w:rFonts w:ascii="Times New Roman" w:eastAsiaTheme="minorHAnsi" w:hAnsi="Times New Roman" w:cs="Times New Roman"/>
          <w:sz w:val="22"/>
          <w:szCs w:val="22"/>
        </w:rPr>
        <w:t>actual</w:t>
      </w:r>
      <w:r w:rsidR="006B7BC7" w:rsidRPr="002F4E96">
        <w:rPr>
          <w:rFonts w:ascii="Times New Roman" w:eastAsiaTheme="minorHAnsi" w:hAnsi="Times New Roman" w:cs="Times New Roman"/>
          <w:sz w:val="22"/>
          <w:szCs w:val="22"/>
        </w:rPr>
        <w:t xml:space="preserve"> life </w:t>
      </w:r>
      <w:r w:rsidR="00E06B26" w:rsidRPr="002F4E96">
        <w:rPr>
          <w:rFonts w:ascii="Times New Roman" w:eastAsiaTheme="minorHAnsi" w:hAnsi="Times New Roman" w:cs="Times New Roman"/>
          <w:sz w:val="22"/>
          <w:szCs w:val="22"/>
        </w:rPr>
        <w:t>operat</w:t>
      </w:r>
      <w:r w:rsidR="006B7BC7" w:rsidRPr="002F4E96">
        <w:rPr>
          <w:rFonts w:ascii="Times New Roman" w:eastAsiaTheme="minorHAnsi" w:hAnsi="Times New Roman" w:cs="Times New Roman"/>
          <w:sz w:val="22"/>
          <w:szCs w:val="22"/>
        </w:rPr>
        <w:t>ion</w:t>
      </w:r>
      <w:r w:rsidR="00F15397" w:rsidRPr="002F4E96">
        <w:rPr>
          <w:rFonts w:ascii="Times New Roman" w:eastAsiaTheme="minorHAnsi" w:hAnsi="Times New Roman" w:cs="Times New Roman"/>
          <w:sz w:val="22"/>
          <w:szCs w:val="22"/>
        </w:rPr>
        <w:t>s</w:t>
      </w:r>
      <w:r w:rsidR="006B7BC7" w:rsidRPr="002F4E96">
        <w:rPr>
          <w:rFonts w:ascii="Times New Roman" w:eastAsiaTheme="minorHAnsi" w:hAnsi="Times New Roman" w:cs="Times New Roman"/>
          <w:sz w:val="22"/>
          <w:szCs w:val="22"/>
        </w:rPr>
        <w:t xml:space="preserve"> </w:t>
      </w:r>
      <w:r w:rsidR="00F15397" w:rsidRPr="002F4E96">
        <w:rPr>
          <w:rFonts w:ascii="Times New Roman" w:eastAsiaTheme="minorHAnsi" w:hAnsi="Times New Roman" w:cs="Times New Roman"/>
          <w:sz w:val="22"/>
          <w:szCs w:val="22"/>
        </w:rPr>
        <w:t xml:space="preserve">of solder </w:t>
      </w:r>
      <w:r w:rsidR="00F15397" w:rsidRPr="002F4E96">
        <w:rPr>
          <w:rFonts w:ascii="Times New Roman" w:eastAsiaTheme="minorHAnsi" w:hAnsi="Times New Roman" w:cs="Times New Roman"/>
          <w:sz w:val="22"/>
          <w:szCs w:val="22"/>
        </w:rPr>
        <w:lastRenderedPageBreak/>
        <w:t xml:space="preserve">joints </w:t>
      </w:r>
      <w:r w:rsidR="006619FE" w:rsidRPr="002F4E96">
        <w:rPr>
          <w:rFonts w:ascii="Times New Roman" w:eastAsiaTheme="minorHAnsi" w:hAnsi="Times New Roman" w:cs="Times New Roman"/>
          <w:sz w:val="22"/>
          <w:szCs w:val="22"/>
        </w:rPr>
        <w:t>are</w:t>
      </w:r>
      <w:r w:rsidR="006B7BC7" w:rsidRPr="002F4E96">
        <w:rPr>
          <w:rFonts w:ascii="Times New Roman" w:eastAsiaTheme="minorHAnsi" w:hAnsi="Times New Roman" w:cs="Times New Roman"/>
          <w:sz w:val="22"/>
          <w:szCs w:val="22"/>
        </w:rPr>
        <w:t xml:space="preserve"> </w:t>
      </w:r>
      <w:r w:rsidR="008C1931" w:rsidRPr="002F4E96">
        <w:rPr>
          <w:rFonts w:ascii="Times New Roman" w:eastAsiaTheme="minorHAnsi" w:hAnsi="Times New Roman" w:cs="Times New Roman"/>
          <w:sz w:val="22"/>
          <w:szCs w:val="22"/>
        </w:rPr>
        <w:t>mainly</w:t>
      </w:r>
      <w:r w:rsidR="006B7BC7" w:rsidRPr="002F4E96">
        <w:rPr>
          <w:rFonts w:ascii="Times New Roman" w:eastAsiaTheme="minorHAnsi" w:hAnsi="Times New Roman" w:cs="Times New Roman"/>
          <w:sz w:val="22"/>
          <w:szCs w:val="22"/>
        </w:rPr>
        <w:t xml:space="preserve"> within </w:t>
      </w:r>
      <w:r w:rsidR="00E06B26" w:rsidRPr="002F4E96">
        <w:rPr>
          <w:rFonts w:ascii="Times New Roman" w:eastAsiaTheme="minorHAnsi" w:hAnsi="Times New Roman" w:cs="Times New Roman"/>
          <w:sz w:val="22"/>
          <w:szCs w:val="22"/>
        </w:rPr>
        <w:t>the</w:t>
      </w:r>
      <w:r w:rsidR="006B7BC7" w:rsidRPr="002F4E96">
        <w:rPr>
          <w:rFonts w:ascii="Times New Roman" w:eastAsiaTheme="minorHAnsi" w:hAnsi="Times New Roman" w:cs="Times New Roman"/>
          <w:sz w:val="22"/>
          <w:szCs w:val="22"/>
        </w:rPr>
        <w:t xml:space="preserve"> plastic range. </w:t>
      </w:r>
      <w:r w:rsidR="0000347C" w:rsidRPr="002F4E96">
        <w:rPr>
          <w:rFonts w:ascii="Times New Roman" w:eastAsiaTheme="minorHAnsi" w:hAnsi="Times New Roman" w:cs="Times New Roman"/>
          <w:sz w:val="22"/>
          <w:szCs w:val="22"/>
        </w:rPr>
        <w:t xml:space="preserve">The distribution of </w:t>
      </w:r>
      <w:r w:rsidR="00AA0CC7" w:rsidRPr="002F4E96">
        <w:rPr>
          <w:rFonts w:ascii="Times New Roman" w:eastAsiaTheme="minorHAnsi" w:hAnsi="Times New Roman" w:cs="Times New Roman"/>
          <w:sz w:val="22"/>
          <w:szCs w:val="22"/>
        </w:rPr>
        <w:t xml:space="preserve">stress in </w:t>
      </w:r>
      <w:r w:rsidR="0000347C" w:rsidRPr="002F4E96">
        <w:rPr>
          <w:rFonts w:ascii="Times New Roman" w:eastAsiaTheme="minorHAnsi" w:hAnsi="Times New Roman" w:cs="Times New Roman"/>
          <w:sz w:val="22"/>
          <w:szCs w:val="22"/>
        </w:rPr>
        <w:t xml:space="preserve">the solder joints is </w:t>
      </w:r>
      <w:r w:rsidR="00AA0CC7" w:rsidRPr="002F4E96">
        <w:rPr>
          <w:rFonts w:ascii="Times New Roman" w:eastAsiaTheme="minorHAnsi" w:hAnsi="Times New Roman" w:cs="Times New Roman"/>
          <w:sz w:val="22"/>
          <w:szCs w:val="22"/>
        </w:rPr>
        <w:t xml:space="preserve">shown in Fig 8. </w:t>
      </w:r>
      <w:r w:rsidR="005124E0" w:rsidRPr="002F4E96">
        <w:rPr>
          <w:rFonts w:ascii="Times New Roman" w:eastAsiaTheme="minorHAnsi" w:hAnsi="Times New Roman" w:cs="Times New Roman"/>
          <w:sz w:val="22"/>
          <w:szCs w:val="22"/>
        </w:rPr>
        <w:t>The highest</w:t>
      </w:r>
      <w:r w:rsidR="00AA0CC7" w:rsidRPr="002F4E96">
        <w:rPr>
          <w:rFonts w:ascii="Times New Roman" w:eastAsiaTheme="minorHAnsi" w:hAnsi="Times New Roman" w:cs="Times New Roman"/>
          <w:sz w:val="22"/>
          <w:szCs w:val="22"/>
        </w:rPr>
        <w:t xml:space="preserve"> damage is located at the </w:t>
      </w:r>
      <w:r w:rsidR="005124E0" w:rsidRPr="002F4E96">
        <w:rPr>
          <w:rFonts w:ascii="Times New Roman" w:eastAsiaTheme="minorHAnsi" w:hAnsi="Times New Roman" w:cs="Times New Roman"/>
          <w:sz w:val="22"/>
          <w:szCs w:val="22"/>
        </w:rPr>
        <w:t>balls' top surface,</w:t>
      </w:r>
      <w:r w:rsidR="00AA0CC7" w:rsidRPr="002F4E96">
        <w:rPr>
          <w:rFonts w:ascii="Times New Roman" w:eastAsiaTheme="minorHAnsi" w:hAnsi="Times New Roman" w:cs="Times New Roman"/>
          <w:sz w:val="22"/>
          <w:szCs w:val="22"/>
        </w:rPr>
        <w:t xml:space="preserve"> where </w:t>
      </w:r>
      <w:r w:rsidR="0000347C" w:rsidRPr="002F4E96">
        <w:rPr>
          <w:rFonts w:ascii="Times New Roman" w:eastAsiaTheme="minorHAnsi" w:hAnsi="Times New Roman" w:cs="Times New Roman"/>
          <w:sz w:val="22"/>
          <w:szCs w:val="22"/>
        </w:rPr>
        <w:t xml:space="preserve">they </w:t>
      </w:r>
      <w:r w:rsidR="00AA0CC7" w:rsidRPr="002F4E96">
        <w:rPr>
          <w:rFonts w:ascii="Times New Roman" w:eastAsiaTheme="minorHAnsi" w:hAnsi="Times New Roman" w:cs="Times New Roman"/>
          <w:sz w:val="22"/>
          <w:szCs w:val="22"/>
        </w:rPr>
        <w:t>interconnect with the chip.</w:t>
      </w:r>
      <w:r w:rsidR="0000347C" w:rsidRPr="002F4E96">
        <w:rPr>
          <w:rFonts w:ascii="Times New Roman" w:eastAsiaTheme="minorHAnsi" w:hAnsi="Times New Roman" w:cs="Times New Roman"/>
          <w:sz w:val="22"/>
          <w:szCs w:val="22"/>
        </w:rPr>
        <w:t xml:space="preserve"> The periphery of the top surface is critical. This is the site for c</w:t>
      </w:r>
      <w:r w:rsidR="008639D6" w:rsidRPr="002F4E96">
        <w:rPr>
          <w:rFonts w:ascii="Times New Roman" w:eastAsiaTheme="minorHAnsi" w:hAnsi="Times New Roman" w:cs="Times New Roman"/>
          <w:sz w:val="22"/>
          <w:szCs w:val="22"/>
        </w:rPr>
        <w:t xml:space="preserve">racks </w:t>
      </w:r>
      <w:r w:rsidR="009B7B8D" w:rsidRPr="002F4E96">
        <w:rPr>
          <w:rFonts w:ascii="Times New Roman" w:eastAsiaTheme="minorHAnsi" w:hAnsi="Times New Roman" w:cs="Times New Roman"/>
          <w:sz w:val="22"/>
          <w:szCs w:val="22"/>
        </w:rPr>
        <w:t>initiation, propagation</w:t>
      </w:r>
      <w:r w:rsidR="004A0F82" w:rsidRPr="002F4E96">
        <w:rPr>
          <w:rFonts w:ascii="Times New Roman" w:eastAsiaTheme="minorHAnsi" w:hAnsi="Times New Roman" w:cs="Times New Roman"/>
          <w:sz w:val="22"/>
          <w:szCs w:val="22"/>
        </w:rPr>
        <w:t>,</w:t>
      </w:r>
      <w:r w:rsidR="009B7B8D" w:rsidRPr="002F4E96">
        <w:rPr>
          <w:rFonts w:ascii="Times New Roman" w:eastAsiaTheme="minorHAnsi" w:hAnsi="Times New Roman" w:cs="Times New Roman"/>
          <w:sz w:val="22"/>
          <w:szCs w:val="22"/>
        </w:rPr>
        <w:t xml:space="preserve"> and then failure</w:t>
      </w:r>
      <w:r w:rsidR="00EA3FC0" w:rsidRPr="002F4E96">
        <w:rPr>
          <w:rFonts w:ascii="Times New Roman" w:eastAsiaTheme="minorHAnsi" w:hAnsi="Times New Roman" w:cs="Times New Roman"/>
          <w:sz w:val="22"/>
          <w:szCs w:val="22"/>
        </w:rPr>
        <w:t xml:space="preserve"> occurs</w:t>
      </w:r>
      <w:r w:rsidR="009B7B8D" w:rsidRPr="002F4E96">
        <w:rPr>
          <w:rFonts w:ascii="Times New Roman" w:eastAsiaTheme="minorHAnsi" w:hAnsi="Times New Roman" w:cs="Times New Roman"/>
          <w:sz w:val="22"/>
          <w:szCs w:val="22"/>
        </w:rPr>
        <w:t>.</w:t>
      </w:r>
    </w:p>
    <w:p w14:paraId="284C1131" w14:textId="3EBB7EE6" w:rsidR="008B3A4C" w:rsidRPr="002F4E96" w:rsidRDefault="008D3740" w:rsidP="00B22DCE">
      <w:pPr>
        <w:spacing w:line="360" w:lineRule="auto"/>
        <w:jc w:val="center"/>
        <w:rPr>
          <w:rFonts w:ascii="Times New Roman" w:hAnsi="Times New Roman" w:cs="Times New Roman"/>
          <w:bCs/>
        </w:rPr>
      </w:pPr>
      <w:r w:rsidRPr="002F4E96">
        <w:rPr>
          <w:rFonts w:ascii="Times New Roman" w:hAnsi="Times New Roman" w:cs="Times New Roman"/>
          <w:bCs/>
          <w:noProof/>
          <w:sz w:val="28"/>
          <w:szCs w:val="28"/>
          <w:lang w:eastAsia="en-GB"/>
        </w:rPr>
        <w:drawing>
          <wp:inline distT="0" distB="0" distL="0" distR="0" wp14:anchorId="3A000F74" wp14:editId="268E7D54">
            <wp:extent cx="4346917" cy="2817839"/>
            <wp:effectExtent l="0" t="0" r="0" b="190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8"/>
                    <a:stretch>
                      <a:fillRect/>
                    </a:stretch>
                  </pic:blipFill>
                  <pic:spPr>
                    <a:xfrm>
                      <a:off x="0" y="0"/>
                      <a:ext cx="4372784" cy="2834607"/>
                    </a:xfrm>
                    <a:prstGeom prst="rect">
                      <a:avLst/>
                    </a:prstGeom>
                  </pic:spPr>
                </pic:pic>
              </a:graphicData>
            </a:graphic>
          </wp:inline>
        </w:drawing>
      </w:r>
    </w:p>
    <w:p w14:paraId="093C5115" w14:textId="12A25492" w:rsidR="008B3A4C" w:rsidRPr="002F4E96" w:rsidRDefault="00CE0374" w:rsidP="00CE0374">
      <w:pPr>
        <w:pStyle w:val="Caption"/>
        <w:jc w:val="center"/>
        <w:rPr>
          <w:rFonts w:ascii="Times New Roman" w:hAnsi="Times New Roman" w:cs="Times New Roman"/>
          <w:b w:val="0"/>
          <w:color w:val="auto"/>
          <w:sz w:val="22"/>
          <w:szCs w:val="22"/>
        </w:rPr>
      </w:pPr>
      <w:r w:rsidRPr="002F4E96">
        <w:rPr>
          <w:rFonts w:ascii="Times New Roman" w:hAnsi="Times New Roman" w:cs="Times New Roman"/>
          <w:b w:val="0"/>
          <w:color w:val="auto"/>
          <w:sz w:val="22"/>
          <w:szCs w:val="22"/>
        </w:rPr>
        <w:t>Fig</w:t>
      </w:r>
      <w:r w:rsidR="00D131A1" w:rsidRPr="002F4E96">
        <w:rPr>
          <w:rFonts w:ascii="Times New Roman" w:hAnsi="Times New Roman" w:cs="Times New Roman"/>
          <w:b w:val="0"/>
          <w:color w:val="auto"/>
          <w:sz w:val="22"/>
          <w:szCs w:val="22"/>
        </w:rPr>
        <w:t xml:space="preserve">. </w:t>
      </w:r>
      <w:r w:rsidR="00207A76" w:rsidRPr="002F4E96">
        <w:rPr>
          <w:rFonts w:ascii="Times New Roman" w:hAnsi="Times New Roman" w:cs="Times New Roman"/>
          <w:b w:val="0"/>
          <w:color w:val="auto"/>
          <w:sz w:val="22"/>
          <w:szCs w:val="22"/>
        </w:rPr>
        <w:t>7</w:t>
      </w:r>
      <w:r w:rsidR="008B3A4C" w:rsidRPr="002F4E96">
        <w:rPr>
          <w:rFonts w:ascii="Times New Roman" w:hAnsi="Times New Roman" w:cs="Times New Roman"/>
          <w:b w:val="0"/>
          <w:color w:val="auto"/>
          <w:sz w:val="22"/>
          <w:szCs w:val="22"/>
        </w:rPr>
        <w:t xml:space="preserve">: Plot of Von mises stress vs </w:t>
      </w:r>
      <w:r w:rsidR="00F66D68" w:rsidRPr="002F4E96">
        <w:rPr>
          <w:rFonts w:ascii="Times New Roman" w:hAnsi="Times New Roman" w:cs="Times New Roman"/>
          <w:b w:val="0"/>
          <w:color w:val="auto"/>
          <w:sz w:val="22"/>
          <w:szCs w:val="22"/>
        </w:rPr>
        <w:t>time</w:t>
      </w:r>
      <w:r w:rsidR="008B3A4C" w:rsidRPr="002F4E96">
        <w:rPr>
          <w:rFonts w:ascii="Times New Roman" w:hAnsi="Times New Roman" w:cs="Times New Roman"/>
          <w:b w:val="0"/>
          <w:color w:val="auto"/>
          <w:sz w:val="22"/>
          <w:szCs w:val="22"/>
        </w:rPr>
        <w:t xml:space="preserve"> for solder alloy materials</w:t>
      </w:r>
    </w:p>
    <w:p w14:paraId="0A82801B" w14:textId="607319EB" w:rsidR="008B3A4C" w:rsidRPr="002F4E96" w:rsidRDefault="008B3A4C" w:rsidP="008B3A4C">
      <w:pPr>
        <w:tabs>
          <w:tab w:val="left" w:pos="1560"/>
        </w:tabs>
        <w:spacing w:before="125" w:line="360" w:lineRule="auto"/>
        <w:ind w:right="38"/>
        <w:jc w:val="center"/>
        <w:rPr>
          <w:rFonts w:ascii="Times New Roman" w:hAnsi="Times New Roman" w:cs="Times New Roman"/>
          <w:bCs/>
        </w:rPr>
      </w:pPr>
      <w:r w:rsidRPr="002F4E96">
        <w:rPr>
          <w:rFonts w:ascii="Times New Roman" w:hAnsi="Times New Roman" w:cs="Times New Roman"/>
          <w:bCs/>
          <w:noProof/>
          <w:lang w:eastAsia="en-GB"/>
        </w:rPr>
        <w:drawing>
          <wp:inline distT="0" distB="0" distL="0" distR="0" wp14:anchorId="73DC4B30" wp14:editId="60C386B1">
            <wp:extent cx="4191570" cy="2996697"/>
            <wp:effectExtent l="0" t="0" r="0" b="635"/>
            <wp:docPr id="63" name="Picture 63" descr="A picture containing colorful, green, colored,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7383" cy="3086645"/>
                    </a:xfrm>
                    <a:prstGeom prst="rect">
                      <a:avLst/>
                    </a:prstGeom>
                  </pic:spPr>
                </pic:pic>
              </a:graphicData>
            </a:graphic>
          </wp:inline>
        </w:drawing>
      </w:r>
    </w:p>
    <w:p w14:paraId="6594D3CD" w14:textId="71E8147D" w:rsidR="00F13DC8" w:rsidRPr="002F4E96" w:rsidRDefault="00CE0374" w:rsidP="003F7977">
      <w:pPr>
        <w:pStyle w:val="Caption"/>
        <w:jc w:val="center"/>
        <w:rPr>
          <w:rFonts w:ascii="Times New Roman" w:hAnsi="Times New Roman" w:cs="Times New Roman"/>
          <w:b w:val="0"/>
          <w:color w:val="auto"/>
          <w:sz w:val="22"/>
          <w:szCs w:val="22"/>
        </w:rPr>
      </w:pPr>
      <w:r w:rsidRPr="002F4E96">
        <w:rPr>
          <w:rFonts w:ascii="Times New Roman" w:hAnsi="Times New Roman" w:cs="Times New Roman"/>
          <w:b w:val="0"/>
          <w:color w:val="auto"/>
          <w:sz w:val="22"/>
          <w:szCs w:val="22"/>
        </w:rPr>
        <w:t>Fig</w:t>
      </w:r>
      <w:r w:rsidR="00D131A1" w:rsidRPr="002F4E96">
        <w:rPr>
          <w:rFonts w:ascii="Times New Roman" w:hAnsi="Times New Roman" w:cs="Times New Roman"/>
          <w:b w:val="0"/>
          <w:color w:val="auto"/>
          <w:sz w:val="22"/>
          <w:szCs w:val="22"/>
        </w:rPr>
        <w:t xml:space="preserve">. </w:t>
      </w:r>
      <w:r w:rsidR="00207A76" w:rsidRPr="002F4E96">
        <w:rPr>
          <w:rFonts w:ascii="Times New Roman" w:hAnsi="Times New Roman" w:cs="Times New Roman"/>
          <w:b w:val="0"/>
          <w:color w:val="auto"/>
          <w:sz w:val="22"/>
          <w:szCs w:val="22"/>
        </w:rPr>
        <w:t>8</w:t>
      </w:r>
      <w:r w:rsidR="008B3A4C" w:rsidRPr="002F4E96">
        <w:rPr>
          <w:rFonts w:ascii="Times New Roman" w:hAnsi="Times New Roman" w:cs="Times New Roman"/>
          <w:b w:val="0"/>
          <w:color w:val="auto"/>
          <w:sz w:val="22"/>
          <w:szCs w:val="22"/>
        </w:rPr>
        <w:t xml:space="preserve">: Schematics showing areas of maximum </w:t>
      </w:r>
      <w:r w:rsidR="003A65A4" w:rsidRPr="002F4E96">
        <w:rPr>
          <w:rFonts w:ascii="Times New Roman" w:hAnsi="Times New Roman" w:cs="Times New Roman"/>
          <w:b w:val="0"/>
          <w:color w:val="auto"/>
          <w:sz w:val="22"/>
          <w:szCs w:val="22"/>
        </w:rPr>
        <w:t>(</w:t>
      </w:r>
      <w:r w:rsidR="008B3A4C" w:rsidRPr="002F4E96">
        <w:rPr>
          <w:rFonts w:ascii="Times New Roman" w:hAnsi="Times New Roman" w:cs="Times New Roman"/>
          <w:b w:val="0"/>
          <w:color w:val="auto"/>
          <w:sz w:val="22"/>
          <w:szCs w:val="22"/>
        </w:rPr>
        <w:t>Von mises</w:t>
      </w:r>
      <w:r w:rsidR="003A65A4" w:rsidRPr="002F4E96">
        <w:rPr>
          <w:rFonts w:ascii="Times New Roman" w:hAnsi="Times New Roman" w:cs="Times New Roman"/>
          <w:b w:val="0"/>
          <w:color w:val="auto"/>
          <w:sz w:val="22"/>
          <w:szCs w:val="22"/>
        </w:rPr>
        <w:t>)</w:t>
      </w:r>
      <w:r w:rsidR="008B3A4C" w:rsidRPr="002F4E96">
        <w:rPr>
          <w:rFonts w:ascii="Times New Roman" w:hAnsi="Times New Roman" w:cs="Times New Roman"/>
          <w:b w:val="0"/>
          <w:color w:val="auto"/>
          <w:sz w:val="22"/>
          <w:szCs w:val="22"/>
        </w:rPr>
        <w:t xml:space="preserve"> stress on solder joints</w:t>
      </w:r>
    </w:p>
    <w:p w14:paraId="33AE3770" w14:textId="02D7459B" w:rsidR="003B607F" w:rsidRPr="002F4E96" w:rsidRDefault="003B607F" w:rsidP="000D7411">
      <w:pPr>
        <w:pStyle w:val="Heading3"/>
        <w:spacing w:line="360" w:lineRule="auto"/>
        <w:rPr>
          <w:rFonts w:ascii="Times New Roman" w:hAnsi="Times New Roman" w:cs="Times New Roman"/>
          <w:i/>
          <w:iCs/>
          <w:color w:val="auto"/>
          <w:sz w:val="22"/>
          <w:szCs w:val="22"/>
        </w:rPr>
      </w:pPr>
      <w:r w:rsidRPr="002F4E96">
        <w:rPr>
          <w:rFonts w:ascii="Times New Roman" w:hAnsi="Times New Roman" w:cs="Times New Roman"/>
          <w:color w:val="auto"/>
          <w:sz w:val="22"/>
          <w:szCs w:val="22"/>
        </w:rPr>
        <w:t>3.</w:t>
      </w:r>
      <w:r w:rsidR="00F13DC8" w:rsidRPr="002F4E96">
        <w:rPr>
          <w:rFonts w:ascii="Times New Roman" w:hAnsi="Times New Roman" w:cs="Times New Roman"/>
          <w:color w:val="auto"/>
          <w:sz w:val="22"/>
          <w:szCs w:val="22"/>
        </w:rPr>
        <w:t>2</w:t>
      </w:r>
      <w:r w:rsidRPr="002F4E96">
        <w:rPr>
          <w:rFonts w:ascii="Times New Roman" w:hAnsi="Times New Roman" w:cs="Times New Roman"/>
          <w:color w:val="auto"/>
          <w:sz w:val="22"/>
          <w:szCs w:val="22"/>
        </w:rPr>
        <w:t xml:space="preserve"> </w:t>
      </w:r>
      <w:r w:rsidR="0099731C" w:rsidRPr="002F4E96">
        <w:rPr>
          <w:rFonts w:ascii="Times New Roman" w:hAnsi="Times New Roman" w:cs="Times New Roman"/>
          <w:color w:val="auto"/>
          <w:sz w:val="22"/>
          <w:szCs w:val="22"/>
        </w:rPr>
        <w:t xml:space="preserve">Study of </w:t>
      </w:r>
      <w:r w:rsidRPr="002F4E96">
        <w:rPr>
          <w:rFonts w:ascii="Times New Roman" w:hAnsi="Times New Roman" w:cs="Times New Roman"/>
          <w:color w:val="auto"/>
          <w:sz w:val="22"/>
          <w:szCs w:val="22"/>
        </w:rPr>
        <w:t>Plastic Strain</w:t>
      </w:r>
      <w:r w:rsidR="0099731C" w:rsidRPr="002F4E96">
        <w:rPr>
          <w:rFonts w:ascii="Times New Roman" w:hAnsi="Times New Roman" w:cs="Times New Roman"/>
          <w:color w:val="auto"/>
          <w:sz w:val="22"/>
          <w:szCs w:val="22"/>
        </w:rPr>
        <w:t xml:space="preserve"> on the solder joint</w:t>
      </w:r>
    </w:p>
    <w:p w14:paraId="5625E0F6" w14:textId="33067F6D" w:rsidR="00CE0770" w:rsidRPr="002F4E96" w:rsidRDefault="004B260F" w:rsidP="003B607F">
      <w:pPr>
        <w:spacing w:line="360" w:lineRule="auto"/>
        <w:jc w:val="both"/>
        <w:rPr>
          <w:rFonts w:ascii="Times New Roman" w:hAnsi="Times New Roman" w:cs="Times New Roman"/>
        </w:rPr>
      </w:pPr>
      <w:r w:rsidRPr="002F4E96">
        <w:rPr>
          <w:rFonts w:ascii="Times New Roman" w:hAnsi="Times New Roman" w:cs="Times New Roman"/>
        </w:rPr>
        <w:t>The plastic strain is one of the root causes of cracking of solder joints which culminate in failure. Thus, it is studied</w:t>
      </w:r>
      <w:r w:rsidR="00463259" w:rsidRPr="002F4E96">
        <w:rPr>
          <w:rFonts w:ascii="Times New Roman" w:hAnsi="Times New Roman" w:cs="Times New Roman"/>
        </w:rPr>
        <w:t xml:space="preserve"> in this work</w:t>
      </w:r>
      <w:r w:rsidRPr="002F4E96">
        <w:rPr>
          <w:rFonts w:ascii="Times New Roman" w:hAnsi="Times New Roman" w:cs="Times New Roman"/>
        </w:rPr>
        <w:t>. T</w:t>
      </w:r>
      <w:r w:rsidR="007162CF" w:rsidRPr="002F4E96">
        <w:rPr>
          <w:rFonts w:ascii="Times New Roman" w:hAnsi="Times New Roman" w:cs="Times New Roman"/>
        </w:rPr>
        <w:t xml:space="preserve">he </w:t>
      </w:r>
      <w:r w:rsidR="004A0F82" w:rsidRPr="002F4E96">
        <w:rPr>
          <w:rFonts w:ascii="Times New Roman" w:hAnsi="Times New Roman" w:cs="Times New Roman"/>
        </w:rPr>
        <w:t>FE simulation outputs</w:t>
      </w:r>
      <w:r w:rsidR="007162CF" w:rsidRPr="002F4E96">
        <w:rPr>
          <w:rFonts w:ascii="Times New Roman" w:hAnsi="Times New Roman" w:cs="Times New Roman"/>
        </w:rPr>
        <w:t xml:space="preserve"> of the f</w:t>
      </w:r>
      <w:r w:rsidR="0066409E" w:rsidRPr="002F4E96">
        <w:rPr>
          <w:rFonts w:ascii="Times New Roman" w:hAnsi="Times New Roman" w:cs="Times New Roman"/>
        </w:rPr>
        <w:t>ive types of solders</w:t>
      </w:r>
      <w:r w:rsidR="003B607F" w:rsidRPr="002F4E96">
        <w:rPr>
          <w:rFonts w:ascii="Times New Roman" w:hAnsi="Times New Roman" w:cs="Times New Roman"/>
        </w:rPr>
        <w:t xml:space="preserve"> </w:t>
      </w:r>
      <w:r w:rsidR="007162CF" w:rsidRPr="002F4E96">
        <w:rPr>
          <w:rFonts w:ascii="Times New Roman" w:hAnsi="Times New Roman" w:cs="Times New Roman"/>
        </w:rPr>
        <w:t xml:space="preserve">in the BGA joints to plastic strain </w:t>
      </w:r>
      <w:r w:rsidR="004A0F82" w:rsidRPr="002F4E96">
        <w:rPr>
          <w:rFonts w:ascii="Times New Roman" w:hAnsi="Times New Roman" w:cs="Times New Roman"/>
        </w:rPr>
        <w:t>are</w:t>
      </w:r>
      <w:r w:rsidR="007162CF" w:rsidRPr="002F4E96">
        <w:rPr>
          <w:rFonts w:ascii="Times New Roman" w:hAnsi="Times New Roman" w:cs="Times New Roman"/>
        </w:rPr>
        <w:t xml:space="preserve"> discussed in this session. </w:t>
      </w:r>
      <w:r w:rsidR="003B607F" w:rsidRPr="002F4E96">
        <w:rPr>
          <w:rFonts w:ascii="Times New Roman" w:hAnsi="Times New Roman" w:cs="Times New Roman"/>
        </w:rPr>
        <w:t xml:space="preserve">The </w:t>
      </w:r>
      <w:r w:rsidR="007162CF" w:rsidRPr="002F4E96">
        <w:rPr>
          <w:rFonts w:ascii="Times New Roman" w:hAnsi="Times New Roman" w:cs="Times New Roman"/>
        </w:rPr>
        <w:t xml:space="preserve">simulation output </w:t>
      </w:r>
      <w:r w:rsidR="00BD3410" w:rsidRPr="002F4E96">
        <w:rPr>
          <w:rFonts w:ascii="Times New Roman" w:hAnsi="Times New Roman" w:cs="Times New Roman"/>
        </w:rPr>
        <w:t xml:space="preserve">is </w:t>
      </w:r>
      <w:r w:rsidR="005124E0" w:rsidRPr="002F4E96">
        <w:rPr>
          <w:rFonts w:ascii="Times New Roman" w:hAnsi="Times New Roman" w:cs="Times New Roman"/>
        </w:rPr>
        <w:t xml:space="preserve">a </w:t>
      </w:r>
      <w:r w:rsidR="003B607F" w:rsidRPr="002F4E96">
        <w:rPr>
          <w:rFonts w:ascii="Times New Roman" w:hAnsi="Times New Roman" w:cs="Times New Roman"/>
        </w:rPr>
        <w:t xml:space="preserve">plot in Fig. </w:t>
      </w:r>
      <w:r w:rsidR="00C95412" w:rsidRPr="002F4E96">
        <w:rPr>
          <w:rFonts w:ascii="Times New Roman" w:hAnsi="Times New Roman" w:cs="Times New Roman"/>
        </w:rPr>
        <w:t>9</w:t>
      </w:r>
      <w:r w:rsidR="005124E0" w:rsidRPr="002F4E96">
        <w:rPr>
          <w:rFonts w:ascii="Times New Roman" w:hAnsi="Times New Roman" w:cs="Times New Roman"/>
        </w:rPr>
        <w:t>,</w:t>
      </w:r>
      <w:r w:rsidR="007162CF" w:rsidRPr="002F4E96">
        <w:rPr>
          <w:rFonts w:ascii="Times New Roman" w:hAnsi="Times New Roman" w:cs="Times New Roman"/>
        </w:rPr>
        <w:t xml:space="preserve"> while Fig</w:t>
      </w:r>
      <w:r w:rsidR="00213F71" w:rsidRPr="002F4E96">
        <w:rPr>
          <w:rFonts w:ascii="Times New Roman" w:hAnsi="Times New Roman" w:cs="Times New Roman"/>
        </w:rPr>
        <w:t>s.</w:t>
      </w:r>
      <w:r w:rsidR="007162CF" w:rsidRPr="002F4E96">
        <w:rPr>
          <w:rFonts w:ascii="Times New Roman" w:hAnsi="Times New Roman" w:cs="Times New Roman"/>
        </w:rPr>
        <w:t xml:space="preserve"> 1</w:t>
      </w:r>
      <w:r w:rsidR="00C95412" w:rsidRPr="002F4E96">
        <w:rPr>
          <w:rFonts w:ascii="Times New Roman" w:hAnsi="Times New Roman" w:cs="Times New Roman"/>
        </w:rPr>
        <w:t>0</w:t>
      </w:r>
      <w:r w:rsidR="007162CF" w:rsidRPr="002F4E96">
        <w:rPr>
          <w:rFonts w:ascii="Times New Roman" w:hAnsi="Times New Roman" w:cs="Times New Roman"/>
        </w:rPr>
        <w:t xml:space="preserve"> </w:t>
      </w:r>
      <w:r w:rsidR="00213F71" w:rsidRPr="002F4E96">
        <w:rPr>
          <w:rFonts w:ascii="Times New Roman" w:hAnsi="Times New Roman" w:cs="Times New Roman"/>
        </w:rPr>
        <w:t>and 1</w:t>
      </w:r>
      <w:r w:rsidR="00C95412" w:rsidRPr="002F4E96">
        <w:rPr>
          <w:rFonts w:ascii="Times New Roman" w:hAnsi="Times New Roman" w:cs="Times New Roman"/>
        </w:rPr>
        <w:t>1</w:t>
      </w:r>
      <w:r w:rsidR="00213F71" w:rsidRPr="002F4E96">
        <w:rPr>
          <w:rFonts w:ascii="Times New Roman" w:hAnsi="Times New Roman" w:cs="Times New Roman"/>
        </w:rPr>
        <w:t xml:space="preserve"> </w:t>
      </w:r>
      <w:r w:rsidR="005124E0" w:rsidRPr="002F4E96">
        <w:rPr>
          <w:rFonts w:ascii="Times New Roman" w:hAnsi="Times New Roman" w:cs="Times New Roman"/>
        </w:rPr>
        <w:t>present</w:t>
      </w:r>
      <w:r w:rsidR="007162CF" w:rsidRPr="002F4E96">
        <w:rPr>
          <w:rFonts w:ascii="Times New Roman" w:hAnsi="Times New Roman" w:cs="Times New Roman"/>
        </w:rPr>
        <w:t xml:space="preserve"> the</w:t>
      </w:r>
      <w:r w:rsidR="00BD3410" w:rsidRPr="002F4E96">
        <w:rPr>
          <w:rFonts w:ascii="Times New Roman" w:hAnsi="Times New Roman" w:cs="Times New Roman"/>
        </w:rPr>
        <w:t xml:space="preserve"> </w:t>
      </w:r>
      <w:r w:rsidR="005124E0" w:rsidRPr="002F4E96">
        <w:rPr>
          <w:rFonts w:ascii="Times New Roman" w:hAnsi="Times New Roman" w:cs="Times New Roman"/>
        </w:rPr>
        <w:t>damage distribution schematic</w:t>
      </w:r>
      <w:r w:rsidR="00EB5BA4" w:rsidRPr="002F4E96">
        <w:rPr>
          <w:rFonts w:ascii="Times New Roman" w:hAnsi="Times New Roman" w:cs="Times New Roman"/>
        </w:rPr>
        <w:t xml:space="preserve"> on </w:t>
      </w:r>
      <w:r w:rsidR="005124E0" w:rsidRPr="002F4E96">
        <w:rPr>
          <w:rFonts w:ascii="Times New Roman" w:hAnsi="Times New Roman" w:cs="Times New Roman"/>
        </w:rPr>
        <w:t xml:space="preserve">the </w:t>
      </w:r>
      <w:r w:rsidR="00EB5BA4" w:rsidRPr="002F4E96">
        <w:rPr>
          <w:rFonts w:ascii="Times New Roman" w:hAnsi="Times New Roman" w:cs="Times New Roman"/>
        </w:rPr>
        <w:t xml:space="preserve">different types of BGA solder </w:t>
      </w:r>
      <w:r w:rsidR="003709D2" w:rsidRPr="002F4E96">
        <w:rPr>
          <w:rFonts w:ascii="Times New Roman" w:hAnsi="Times New Roman" w:cs="Times New Roman"/>
        </w:rPr>
        <w:t>joints' critical joint</w:t>
      </w:r>
      <w:r w:rsidR="00EB5BA4" w:rsidRPr="002F4E96">
        <w:rPr>
          <w:rFonts w:ascii="Times New Roman" w:hAnsi="Times New Roman" w:cs="Times New Roman"/>
        </w:rPr>
        <w:t>.</w:t>
      </w:r>
      <w:r w:rsidRPr="002F4E96">
        <w:rPr>
          <w:rFonts w:ascii="Times New Roman" w:hAnsi="Times New Roman" w:cs="Times New Roman"/>
        </w:rPr>
        <w:t xml:space="preserve"> T</w:t>
      </w:r>
      <w:r w:rsidR="00EB5BA4" w:rsidRPr="002F4E96">
        <w:rPr>
          <w:rFonts w:ascii="Times New Roman" w:hAnsi="Times New Roman" w:cs="Times New Roman"/>
        </w:rPr>
        <w:t xml:space="preserve">he plastic strain profile is identical for all the joints </w:t>
      </w:r>
      <w:r w:rsidR="0066409E" w:rsidRPr="002F4E96">
        <w:rPr>
          <w:rFonts w:ascii="Times New Roman" w:hAnsi="Times New Roman" w:cs="Times New Roman"/>
        </w:rPr>
        <w:t xml:space="preserve">up to cycle </w:t>
      </w:r>
      <w:r w:rsidR="00E55089" w:rsidRPr="002F4E96">
        <w:rPr>
          <w:rFonts w:ascii="Times New Roman" w:hAnsi="Times New Roman" w:cs="Times New Roman"/>
        </w:rPr>
        <w:t xml:space="preserve">2. After cycle 2, </w:t>
      </w:r>
      <w:r w:rsidR="005124E0" w:rsidRPr="002F4E96">
        <w:rPr>
          <w:rFonts w:ascii="Times New Roman" w:hAnsi="Times New Roman" w:cs="Times New Roman"/>
        </w:rPr>
        <w:t xml:space="preserve">a </w:t>
      </w:r>
      <w:r w:rsidR="00E55089" w:rsidRPr="002F4E96">
        <w:rPr>
          <w:rFonts w:ascii="Times New Roman" w:hAnsi="Times New Roman" w:cs="Times New Roman"/>
        </w:rPr>
        <w:t xml:space="preserve">significant difference </w:t>
      </w:r>
      <w:r w:rsidR="00E55089" w:rsidRPr="002F4E96">
        <w:rPr>
          <w:rFonts w:ascii="Times New Roman" w:hAnsi="Times New Roman" w:cs="Times New Roman"/>
        </w:rPr>
        <w:lastRenderedPageBreak/>
        <w:t xml:space="preserve">in the profile is recorded. The </w:t>
      </w:r>
      <w:r w:rsidR="00D825F1" w:rsidRPr="002F4E96">
        <w:rPr>
          <w:rFonts w:ascii="Times New Roman" w:hAnsi="Times New Roman" w:cs="Times New Roman"/>
        </w:rPr>
        <w:t xml:space="preserve">plastic strain of </w:t>
      </w:r>
      <w:r w:rsidR="00E55089" w:rsidRPr="002F4E96">
        <w:rPr>
          <w:rFonts w:ascii="Times New Roman" w:hAnsi="Times New Roman" w:cs="Times New Roman"/>
        </w:rPr>
        <w:t xml:space="preserve">SAC387 </w:t>
      </w:r>
      <w:r w:rsidR="00A913F4" w:rsidRPr="002F4E96">
        <w:rPr>
          <w:rFonts w:ascii="Times New Roman" w:hAnsi="Times New Roman" w:cs="Times New Roman"/>
        </w:rPr>
        <w:t>and</w:t>
      </w:r>
      <w:r w:rsidR="00D825F1" w:rsidRPr="002F4E96">
        <w:rPr>
          <w:rFonts w:ascii="Times New Roman" w:hAnsi="Times New Roman" w:cs="Times New Roman"/>
        </w:rPr>
        <w:t xml:space="preserve"> SAC4</w:t>
      </w:r>
      <w:r w:rsidR="00A913F4" w:rsidRPr="002F4E96">
        <w:rPr>
          <w:rFonts w:ascii="Times New Roman" w:hAnsi="Times New Roman" w:cs="Times New Roman"/>
        </w:rPr>
        <w:t xml:space="preserve">05 </w:t>
      </w:r>
      <w:r w:rsidR="00E55089" w:rsidRPr="002F4E96">
        <w:rPr>
          <w:rFonts w:ascii="Times New Roman" w:hAnsi="Times New Roman" w:cs="Times New Roman"/>
        </w:rPr>
        <w:t>increase</w:t>
      </w:r>
      <w:r w:rsidR="00F05B4A" w:rsidRPr="002F4E96">
        <w:rPr>
          <w:rFonts w:ascii="Times New Roman" w:hAnsi="Times New Roman" w:cs="Times New Roman"/>
        </w:rPr>
        <w:t xml:space="preserve"> at </w:t>
      </w:r>
      <w:r w:rsidR="00EB04D8" w:rsidRPr="002F4E96">
        <w:rPr>
          <w:rFonts w:ascii="Times New Roman" w:hAnsi="Times New Roman" w:cs="Times New Roman"/>
        </w:rPr>
        <w:t>steady gradients</w:t>
      </w:r>
      <w:r w:rsidR="009C4652" w:rsidRPr="002F4E96">
        <w:rPr>
          <w:rFonts w:ascii="Times New Roman" w:hAnsi="Times New Roman" w:cs="Times New Roman"/>
        </w:rPr>
        <w:t xml:space="preserve"> of </w:t>
      </w:r>
      <w:r w:rsidR="00704B25" w:rsidRPr="002F4E96">
        <w:rPr>
          <w:rFonts w:ascii="Times New Roman" w:hAnsi="Times New Roman" w:cs="Times New Roman"/>
        </w:rPr>
        <w:t xml:space="preserve">0.00305/cycle </w:t>
      </w:r>
      <w:r w:rsidR="009C4652" w:rsidRPr="002F4E96">
        <w:rPr>
          <w:rFonts w:ascii="Times New Roman" w:hAnsi="Times New Roman" w:cs="Times New Roman"/>
        </w:rPr>
        <w:t xml:space="preserve">and </w:t>
      </w:r>
      <w:r w:rsidR="00704B25" w:rsidRPr="002F4E96">
        <w:rPr>
          <w:rFonts w:ascii="Times New Roman" w:hAnsi="Times New Roman" w:cs="Times New Roman"/>
        </w:rPr>
        <w:t>0.000734/cycle</w:t>
      </w:r>
      <w:r w:rsidR="009C4652" w:rsidRPr="002F4E96">
        <w:rPr>
          <w:rFonts w:ascii="Times New Roman" w:hAnsi="Times New Roman" w:cs="Times New Roman"/>
        </w:rPr>
        <w:t>, respectively. The SAC305</w:t>
      </w:r>
      <w:r w:rsidR="00A913F4" w:rsidRPr="002F4E96">
        <w:rPr>
          <w:rFonts w:ascii="Times New Roman" w:hAnsi="Times New Roman" w:cs="Times New Roman"/>
        </w:rPr>
        <w:t xml:space="preserve"> </w:t>
      </w:r>
      <w:r w:rsidR="00E55089" w:rsidRPr="002F4E96">
        <w:rPr>
          <w:rFonts w:ascii="Times New Roman" w:hAnsi="Times New Roman" w:cs="Times New Roman"/>
        </w:rPr>
        <w:t>plastic strain</w:t>
      </w:r>
      <w:r w:rsidR="0046136C" w:rsidRPr="002F4E96">
        <w:rPr>
          <w:rFonts w:ascii="Times New Roman" w:hAnsi="Times New Roman" w:cs="Times New Roman"/>
        </w:rPr>
        <w:t xml:space="preserve"> decreases with</w:t>
      </w:r>
      <w:r w:rsidR="009C4652" w:rsidRPr="002F4E96">
        <w:rPr>
          <w:rFonts w:ascii="Times New Roman" w:hAnsi="Times New Roman" w:cs="Times New Roman"/>
        </w:rPr>
        <w:t xml:space="preserve"> </w:t>
      </w:r>
      <w:r w:rsidR="00EB04D8" w:rsidRPr="002F4E96">
        <w:rPr>
          <w:rFonts w:ascii="Times New Roman" w:hAnsi="Times New Roman" w:cs="Times New Roman"/>
        </w:rPr>
        <w:t>a slope</w:t>
      </w:r>
      <w:r w:rsidR="009C4652" w:rsidRPr="002F4E96">
        <w:rPr>
          <w:rFonts w:ascii="Times New Roman" w:hAnsi="Times New Roman" w:cs="Times New Roman"/>
        </w:rPr>
        <w:t xml:space="preserve"> of </w:t>
      </w:r>
      <w:r w:rsidR="00356CA8" w:rsidRPr="002F4E96">
        <w:rPr>
          <w:rFonts w:ascii="Times New Roman" w:hAnsi="Times New Roman" w:cs="Times New Roman"/>
        </w:rPr>
        <w:t xml:space="preserve">- </w:t>
      </w:r>
      <w:r w:rsidR="00704B25" w:rsidRPr="002F4E96">
        <w:rPr>
          <w:rFonts w:ascii="Times New Roman" w:hAnsi="Times New Roman" w:cs="Times New Roman"/>
        </w:rPr>
        <w:t>0.000215/cycle</w:t>
      </w:r>
      <w:r w:rsidR="0046136C" w:rsidRPr="002F4E96">
        <w:rPr>
          <w:rFonts w:ascii="Times New Roman" w:hAnsi="Times New Roman" w:cs="Times New Roman"/>
        </w:rPr>
        <w:t xml:space="preserve">. </w:t>
      </w:r>
      <w:r w:rsidR="009C4652" w:rsidRPr="002F4E96">
        <w:rPr>
          <w:rFonts w:ascii="Times New Roman" w:hAnsi="Times New Roman" w:cs="Times New Roman"/>
        </w:rPr>
        <w:t>The plastic strain</w:t>
      </w:r>
      <w:r w:rsidR="0046136C" w:rsidRPr="002F4E96">
        <w:rPr>
          <w:rFonts w:ascii="Times New Roman" w:hAnsi="Times New Roman" w:cs="Times New Roman"/>
        </w:rPr>
        <w:t xml:space="preserve"> of </w:t>
      </w:r>
      <w:r w:rsidR="00211384" w:rsidRPr="002F4E96">
        <w:rPr>
          <w:rFonts w:ascii="Times New Roman" w:hAnsi="Times New Roman" w:cs="Times New Roman"/>
        </w:rPr>
        <w:t xml:space="preserve">eutectic </w:t>
      </w:r>
      <w:r w:rsidR="0046136C" w:rsidRPr="002F4E96">
        <w:rPr>
          <w:rFonts w:ascii="Times New Roman" w:hAnsi="Times New Roman" w:cs="Times New Roman"/>
        </w:rPr>
        <w:t>Sn63Pb37</w:t>
      </w:r>
      <w:r w:rsidR="009C4652" w:rsidRPr="002F4E96">
        <w:rPr>
          <w:rFonts w:ascii="Times New Roman" w:hAnsi="Times New Roman" w:cs="Times New Roman"/>
        </w:rPr>
        <w:t xml:space="preserve"> decrease</w:t>
      </w:r>
      <w:r w:rsidR="0046136C" w:rsidRPr="002F4E96">
        <w:rPr>
          <w:rFonts w:ascii="Times New Roman" w:hAnsi="Times New Roman" w:cs="Times New Roman"/>
        </w:rPr>
        <w:t>s</w:t>
      </w:r>
      <w:r w:rsidR="009C4652" w:rsidRPr="002F4E96">
        <w:rPr>
          <w:rFonts w:ascii="Times New Roman" w:hAnsi="Times New Roman" w:cs="Times New Roman"/>
        </w:rPr>
        <w:t xml:space="preserve"> to cycle 4 and increases afterwards with </w:t>
      </w:r>
      <w:r w:rsidR="00EB04D8" w:rsidRPr="002F4E96">
        <w:rPr>
          <w:rFonts w:ascii="Times New Roman" w:hAnsi="Times New Roman" w:cs="Times New Roman"/>
        </w:rPr>
        <w:t xml:space="preserve">a </w:t>
      </w:r>
      <w:r w:rsidR="009C4652" w:rsidRPr="002F4E96">
        <w:rPr>
          <w:rFonts w:ascii="Times New Roman" w:hAnsi="Times New Roman" w:cs="Times New Roman"/>
        </w:rPr>
        <w:t>positive gradient of</w:t>
      </w:r>
      <w:r w:rsidR="00356CA8" w:rsidRPr="002F4E96">
        <w:rPr>
          <w:rFonts w:ascii="Times New Roman" w:hAnsi="Times New Roman" w:cs="Times New Roman"/>
        </w:rPr>
        <w:t xml:space="preserve"> 0.00168/cycle</w:t>
      </w:r>
      <w:r w:rsidR="0046136C" w:rsidRPr="002F4E96">
        <w:rPr>
          <w:rFonts w:ascii="Times New Roman" w:hAnsi="Times New Roman" w:cs="Times New Roman"/>
        </w:rPr>
        <w:t>.</w:t>
      </w:r>
    </w:p>
    <w:p w14:paraId="3D918985" w14:textId="116E9CF8" w:rsidR="003B607F" w:rsidRPr="002F4E96" w:rsidRDefault="0046136C" w:rsidP="003B607F">
      <w:pPr>
        <w:spacing w:line="360" w:lineRule="auto"/>
        <w:jc w:val="both"/>
        <w:rPr>
          <w:rFonts w:ascii="Times New Roman" w:hAnsi="Times New Roman" w:cs="Times New Roman"/>
        </w:rPr>
      </w:pPr>
      <w:r w:rsidRPr="002F4E96">
        <w:rPr>
          <w:rFonts w:ascii="Times New Roman" w:hAnsi="Times New Roman" w:cs="Times New Roman"/>
        </w:rPr>
        <w:t>Similarly, t</w:t>
      </w:r>
      <w:r w:rsidR="009C4652" w:rsidRPr="002F4E96">
        <w:rPr>
          <w:rFonts w:ascii="Times New Roman" w:hAnsi="Times New Roman" w:cs="Times New Roman"/>
        </w:rPr>
        <w:t xml:space="preserve">he </w:t>
      </w:r>
      <w:r w:rsidRPr="002F4E96">
        <w:rPr>
          <w:rFonts w:ascii="Times New Roman" w:hAnsi="Times New Roman" w:cs="Times New Roman"/>
        </w:rPr>
        <w:t xml:space="preserve">plastic strain of </w:t>
      </w:r>
      <w:r w:rsidR="009C4652" w:rsidRPr="002F4E96">
        <w:rPr>
          <w:rFonts w:ascii="Times New Roman" w:hAnsi="Times New Roman" w:cs="Times New Roman"/>
        </w:rPr>
        <w:t xml:space="preserve">SAC396 </w:t>
      </w:r>
      <w:r w:rsidR="00EB04D8" w:rsidRPr="002F4E96">
        <w:rPr>
          <w:rFonts w:ascii="Times New Roman" w:hAnsi="Times New Roman" w:cs="Times New Roman"/>
        </w:rPr>
        <w:t>decreases</w:t>
      </w:r>
      <w:r w:rsidR="00A42365" w:rsidRPr="002F4E96">
        <w:rPr>
          <w:rFonts w:ascii="Times New Roman" w:hAnsi="Times New Roman" w:cs="Times New Roman"/>
        </w:rPr>
        <w:t xml:space="preserve"> up to cycle 5 and increases </w:t>
      </w:r>
      <w:r w:rsidR="005124E0" w:rsidRPr="002F4E96">
        <w:rPr>
          <w:rFonts w:ascii="Times New Roman" w:hAnsi="Times New Roman" w:cs="Times New Roman"/>
        </w:rPr>
        <w:t>after that</w:t>
      </w:r>
      <w:r w:rsidR="00A42365" w:rsidRPr="002F4E96">
        <w:rPr>
          <w:rFonts w:ascii="Times New Roman" w:hAnsi="Times New Roman" w:cs="Times New Roman"/>
        </w:rPr>
        <w:t xml:space="preserve"> with </w:t>
      </w:r>
      <w:r w:rsidR="005124E0" w:rsidRPr="002F4E96">
        <w:rPr>
          <w:rFonts w:ascii="Times New Roman" w:hAnsi="Times New Roman" w:cs="Times New Roman"/>
        </w:rPr>
        <w:t xml:space="preserve">a </w:t>
      </w:r>
      <w:r w:rsidR="00A42365" w:rsidRPr="002F4E96">
        <w:rPr>
          <w:rFonts w:ascii="Times New Roman" w:hAnsi="Times New Roman" w:cs="Times New Roman"/>
        </w:rPr>
        <w:t xml:space="preserve">positive gradient of </w:t>
      </w:r>
      <w:r w:rsidR="00356CA8" w:rsidRPr="002F4E96">
        <w:rPr>
          <w:rFonts w:ascii="Times New Roman" w:hAnsi="Times New Roman" w:cs="Times New Roman"/>
        </w:rPr>
        <w:t>0.00053/cycle</w:t>
      </w:r>
      <w:r w:rsidR="00A42365" w:rsidRPr="002F4E96">
        <w:rPr>
          <w:rFonts w:ascii="Times New Roman" w:hAnsi="Times New Roman" w:cs="Times New Roman"/>
        </w:rPr>
        <w:t>.</w:t>
      </w:r>
      <w:r w:rsidR="003B11A0" w:rsidRPr="002F4E96">
        <w:rPr>
          <w:rFonts w:ascii="Times New Roman" w:hAnsi="Times New Roman" w:cs="Times New Roman"/>
        </w:rPr>
        <w:t xml:space="preserve"> </w:t>
      </w:r>
      <w:r w:rsidRPr="002F4E96">
        <w:rPr>
          <w:rFonts w:ascii="Times New Roman" w:hAnsi="Times New Roman" w:cs="Times New Roman"/>
        </w:rPr>
        <w:t xml:space="preserve">Since damage is driven by </w:t>
      </w:r>
      <w:r w:rsidR="00DC46AB" w:rsidRPr="002F4E96">
        <w:rPr>
          <w:rFonts w:ascii="Times New Roman" w:hAnsi="Times New Roman" w:cs="Times New Roman"/>
        </w:rPr>
        <w:t xml:space="preserve">the positive </w:t>
      </w:r>
      <w:r w:rsidR="00CE0770" w:rsidRPr="002F4E96">
        <w:rPr>
          <w:rFonts w:ascii="Times New Roman" w:hAnsi="Times New Roman" w:cs="Times New Roman"/>
        </w:rPr>
        <w:t>slope</w:t>
      </w:r>
      <w:r w:rsidR="008B0527" w:rsidRPr="002F4E96">
        <w:rPr>
          <w:rFonts w:ascii="Times New Roman" w:hAnsi="Times New Roman" w:cs="Times New Roman"/>
        </w:rPr>
        <w:t xml:space="preserve"> of plastic strain/cycle </w:t>
      </w:r>
      <w:r w:rsidR="00486936" w:rsidRPr="002F4E96">
        <w:rPr>
          <w:rFonts w:ascii="Times New Roman" w:hAnsi="Times New Roman" w:cs="Times New Roman"/>
        </w:rPr>
        <w:t>cum the</w:t>
      </w:r>
      <w:r w:rsidR="008B0527" w:rsidRPr="002F4E96">
        <w:rPr>
          <w:rFonts w:ascii="Times New Roman" w:hAnsi="Times New Roman" w:cs="Times New Roman"/>
        </w:rPr>
        <w:t xml:space="preserve"> </w:t>
      </w:r>
      <w:r w:rsidR="00975937" w:rsidRPr="002F4E96">
        <w:rPr>
          <w:rFonts w:ascii="Times New Roman" w:hAnsi="Times New Roman" w:cs="Times New Roman"/>
        </w:rPr>
        <w:t>rate of energy dissipation</w:t>
      </w:r>
      <w:r w:rsidR="003B11A0" w:rsidRPr="002F4E96">
        <w:rPr>
          <w:rFonts w:ascii="Times New Roman" w:hAnsi="Times New Roman" w:cs="Times New Roman"/>
        </w:rPr>
        <w:t xml:space="preserve"> (</w:t>
      </w:r>
      <w:r w:rsidR="00975937" w:rsidRPr="002F4E96">
        <w:rPr>
          <w:rFonts w:ascii="Times New Roman" w:hAnsi="Times New Roman" w:cs="Times New Roman"/>
        </w:rPr>
        <w:t xml:space="preserve">which is </w:t>
      </w:r>
      <w:r w:rsidR="00486936" w:rsidRPr="002F4E96">
        <w:rPr>
          <w:rFonts w:ascii="Times New Roman" w:hAnsi="Times New Roman" w:cs="Times New Roman"/>
        </w:rPr>
        <w:t xml:space="preserve">quantified </w:t>
      </w:r>
      <w:r w:rsidR="00975937" w:rsidRPr="002F4E96">
        <w:rPr>
          <w:rFonts w:ascii="Times New Roman" w:hAnsi="Times New Roman" w:cs="Times New Roman"/>
        </w:rPr>
        <w:t xml:space="preserve">in part by </w:t>
      </w:r>
      <w:r w:rsidR="00486936" w:rsidRPr="002F4E96">
        <w:rPr>
          <w:rFonts w:ascii="Times New Roman" w:hAnsi="Times New Roman" w:cs="Times New Roman"/>
        </w:rPr>
        <w:t xml:space="preserve">the </w:t>
      </w:r>
      <w:r w:rsidR="00975937" w:rsidRPr="002F4E96">
        <w:rPr>
          <w:rFonts w:ascii="Times New Roman" w:hAnsi="Times New Roman" w:cs="Times New Roman"/>
        </w:rPr>
        <w:t>area under the plot</w:t>
      </w:r>
      <w:r w:rsidR="003B11A0" w:rsidRPr="002F4E96">
        <w:rPr>
          <w:rFonts w:ascii="Times New Roman" w:hAnsi="Times New Roman" w:cs="Times New Roman"/>
        </w:rPr>
        <w:t xml:space="preserve">), </w:t>
      </w:r>
      <w:r w:rsidR="00DC46AB" w:rsidRPr="002F4E96">
        <w:rPr>
          <w:rFonts w:ascii="Times New Roman" w:hAnsi="Times New Roman" w:cs="Times New Roman"/>
        </w:rPr>
        <w:t xml:space="preserve">SAC387 </w:t>
      </w:r>
      <w:r w:rsidR="003B11A0" w:rsidRPr="002F4E96">
        <w:rPr>
          <w:rFonts w:ascii="Times New Roman" w:hAnsi="Times New Roman" w:cs="Times New Roman"/>
        </w:rPr>
        <w:t xml:space="preserve">joints </w:t>
      </w:r>
      <w:r w:rsidR="00EB04D8" w:rsidRPr="002F4E96">
        <w:rPr>
          <w:rFonts w:ascii="Times New Roman" w:hAnsi="Times New Roman" w:cs="Times New Roman"/>
        </w:rPr>
        <w:t>accumulate the most severe damage</w:t>
      </w:r>
      <w:r w:rsidR="00DC46AB" w:rsidRPr="002F4E96">
        <w:rPr>
          <w:rFonts w:ascii="Times New Roman" w:hAnsi="Times New Roman" w:cs="Times New Roman"/>
        </w:rPr>
        <w:t xml:space="preserve"> </w:t>
      </w:r>
      <w:r w:rsidR="004A0F82" w:rsidRPr="002F4E96">
        <w:rPr>
          <w:rFonts w:ascii="Times New Roman" w:hAnsi="Times New Roman" w:cs="Times New Roman"/>
        </w:rPr>
        <w:t>with</w:t>
      </w:r>
      <w:r w:rsidR="00F979C5" w:rsidRPr="002F4E96">
        <w:rPr>
          <w:rFonts w:ascii="Times New Roman" w:hAnsi="Times New Roman" w:cs="Times New Roman"/>
        </w:rPr>
        <w:t xml:space="preserve"> </w:t>
      </w:r>
      <w:r w:rsidR="00975937" w:rsidRPr="002F4E96">
        <w:rPr>
          <w:rFonts w:ascii="Times New Roman" w:hAnsi="Times New Roman" w:cs="Times New Roman"/>
        </w:rPr>
        <w:t>SAC4</w:t>
      </w:r>
      <w:r w:rsidR="00DC46AB" w:rsidRPr="002F4E96">
        <w:rPr>
          <w:rFonts w:ascii="Times New Roman" w:hAnsi="Times New Roman" w:cs="Times New Roman"/>
        </w:rPr>
        <w:t>05</w:t>
      </w:r>
      <w:r w:rsidR="00F979C5" w:rsidRPr="002F4E96">
        <w:rPr>
          <w:rFonts w:ascii="Times New Roman" w:hAnsi="Times New Roman" w:cs="Times New Roman"/>
        </w:rPr>
        <w:t xml:space="preserve"> solder</w:t>
      </w:r>
      <w:r w:rsidR="00DC46AB" w:rsidRPr="002F4E96">
        <w:rPr>
          <w:rFonts w:ascii="Times New Roman" w:hAnsi="Times New Roman" w:cs="Times New Roman"/>
        </w:rPr>
        <w:t xml:space="preserve"> </w:t>
      </w:r>
      <w:r w:rsidR="003B11A0" w:rsidRPr="002F4E96">
        <w:rPr>
          <w:rFonts w:ascii="Times New Roman" w:hAnsi="Times New Roman" w:cs="Times New Roman"/>
        </w:rPr>
        <w:t>joint</w:t>
      </w:r>
      <w:r w:rsidR="00F979C5" w:rsidRPr="002F4E96">
        <w:rPr>
          <w:rFonts w:ascii="Times New Roman" w:hAnsi="Times New Roman" w:cs="Times New Roman"/>
        </w:rPr>
        <w:t xml:space="preserve"> alloy</w:t>
      </w:r>
      <w:r w:rsidR="003B11A0" w:rsidRPr="002F4E96">
        <w:rPr>
          <w:rFonts w:ascii="Times New Roman" w:hAnsi="Times New Roman" w:cs="Times New Roman"/>
        </w:rPr>
        <w:t xml:space="preserve">s </w:t>
      </w:r>
      <w:r w:rsidR="00EB04D8" w:rsidRPr="002F4E96">
        <w:rPr>
          <w:rFonts w:ascii="Times New Roman" w:hAnsi="Times New Roman" w:cs="Times New Roman"/>
        </w:rPr>
        <w:t>gather</w:t>
      </w:r>
      <w:r w:rsidR="004A0F82" w:rsidRPr="002F4E96">
        <w:rPr>
          <w:rFonts w:ascii="Times New Roman" w:hAnsi="Times New Roman" w:cs="Times New Roman"/>
        </w:rPr>
        <w:t>ing</w:t>
      </w:r>
      <w:r w:rsidR="003B11A0" w:rsidRPr="002F4E96">
        <w:rPr>
          <w:rFonts w:ascii="Times New Roman" w:hAnsi="Times New Roman" w:cs="Times New Roman"/>
        </w:rPr>
        <w:t xml:space="preserve"> </w:t>
      </w:r>
      <w:r w:rsidR="00EB04D8" w:rsidRPr="002F4E96">
        <w:rPr>
          <w:rFonts w:ascii="Times New Roman" w:hAnsi="Times New Roman" w:cs="Times New Roman"/>
        </w:rPr>
        <w:t>minor</w:t>
      </w:r>
      <w:r w:rsidR="00486936" w:rsidRPr="002F4E96">
        <w:rPr>
          <w:rFonts w:ascii="Times New Roman" w:hAnsi="Times New Roman" w:cs="Times New Roman"/>
        </w:rPr>
        <w:t xml:space="preserve"> </w:t>
      </w:r>
      <w:r w:rsidR="003B11A0" w:rsidRPr="002F4E96">
        <w:rPr>
          <w:rFonts w:ascii="Times New Roman" w:hAnsi="Times New Roman" w:cs="Times New Roman"/>
        </w:rPr>
        <w:t>degradation</w:t>
      </w:r>
      <w:r w:rsidR="00486936" w:rsidRPr="002F4E96">
        <w:rPr>
          <w:rFonts w:ascii="Times New Roman" w:hAnsi="Times New Roman" w:cs="Times New Roman"/>
        </w:rPr>
        <w:t>.</w:t>
      </w:r>
      <w:r w:rsidR="004B260F" w:rsidRPr="002F4E96">
        <w:rPr>
          <w:rFonts w:ascii="Times New Roman" w:hAnsi="Times New Roman" w:cs="Times New Roman"/>
        </w:rPr>
        <w:t xml:space="preserve"> </w:t>
      </w:r>
      <w:r w:rsidR="00302433" w:rsidRPr="002F4E96">
        <w:rPr>
          <w:rFonts w:ascii="Times New Roman" w:hAnsi="Times New Roman" w:cs="Times New Roman"/>
        </w:rPr>
        <w:t>The schematic</w:t>
      </w:r>
      <w:r w:rsidR="00486936" w:rsidRPr="002F4E96">
        <w:rPr>
          <w:rFonts w:ascii="Times New Roman" w:hAnsi="Times New Roman" w:cs="Times New Roman"/>
        </w:rPr>
        <w:t xml:space="preserve"> distribution of damage </w:t>
      </w:r>
      <w:r w:rsidR="00EB04D8" w:rsidRPr="002F4E96">
        <w:rPr>
          <w:rFonts w:ascii="Times New Roman" w:hAnsi="Times New Roman" w:cs="Times New Roman"/>
        </w:rPr>
        <w:t>to</w:t>
      </w:r>
      <w:r w:rsidR="00486936" w:rsidRPr="002F4E96">
        <w:rPr>
          <w:rFonts w:ascii="Times New Roman" w:hAnsi="Times New Roman" w:cs="Times New Roman"/>
        </w:rPr>
        <w:t xml:space="preserve"> the solder joints shown in Fig</w:t>
      </w:r>
      <w:r w:rsidR="00213F71" w:rsidRPr="002F4E96">
        <w:rPr>
          <w:rFonts w:ascii="Times New Roman" w:hAnsi="Times New Roman" w:cs="Times New Roman"/>
        </w:rPr>
        <w:t xml:space="preserve">s. </w:t>
      </w:r>
      <w:r w:rsidR="00486936" w:rsidRPr="002F4E96">
        <w:rPr>
          <w:rFonts w:ascii="Times New Roman" w:hAnsi="Times New Roman" w:cs="Times New Roman"/>
        </w:rPr>
        <w:t>1</w:t>
      </w:r>
      <w:r w:rsidR="00C95412" w:rsidRPr="002F4E96">
        <w:rPr>
          <w:rFonts w:ascii="Times New Roman" w:hAnsi="Times New Roman" w:cs="Times New Roman"/>
        </w:rPr>
        <w:t>0</w:t>
      </w:r>
      <w:r w:rsidR="00213F71" w:rsidRPr="002F4E96">
        <w:rPr>
          <w:rFonts w:ascii="Times New Roman" w:hAnsi="Times New Roman" w:cs="Times New Roman"/>
        </w:rPr>
        <w:t xml:space="preserve"> and 1</w:t>
      </w:r>
      <w:r w:rsidR="00C95412" w:rsidRPr="002F4E96">
        <w:rPr>
          <w:rFonts w:ascii="Times New Roman" w:hAnsi="Times New Roman" w:cs="Times New Roman"/>
        </w:rPr>
        <w:t>1</w:t>
      </w:r>
      <w:r w:rsidR="00486936" w:rsidRPr="002F4E96">
        <w:rPr>
          <w:rFonts w:ascii="Times New Roman" w:hAnsi="Times New Roman" w:cs="Times New Roman"/>
        </w:rPr>
        <w:t xml:space="preserve"> </w:t>
      </w:r>
      <w:r w:rsidR="00EB04D8" w:rsidRPr="002F4E96">
        <w:rPr>
          <w:rFonts w:ascii="Times New Roman" w:hAnsi="Times New Roman" w:cs="Times New Roman"/>
        </w:rPr>
        <w:t>depict</w:t>
      </w:r>
      <w:r w:rsidR="00385539" w:rsidRPr="002F4E96">
        <w:rPr>
          <w:rFonts w:ascii="Times New Roman" w:hAnsi="Times New Roman" w:cs="Times New Roman"/>
        </w:rPr>
        <w:t xml:space="preserve"> significant damage at both the top and bottom interfaces</w:t>
      </w:r>
      <w:r w:rsidR="00EB04D8" w:rsidRPr="002F4E96">
        <w:rPr>
          <w:rFonts w:ascii="Times New Roman" w:hAnsi="Times New Roman" w:cs="Times New Roman"/>
        </w:rPr>
        <w:t>,</w:t>
      </w:r>
      <w:r w:rsidR="00385539" w:rsidRPr="002F4E96">
        <w:rPr>
          <w:rFonts w:ascii="Times New Roman" w:hAnsi="Times New Roman" w:cs="Times New Roman"/>
        </w:rPr>
        <w:t xml:space="preserve"> with the top dominating.   </w:t>
      </w:r>
      <w:r w:rsidR="00302433" w:rsidRPr="002F4E96">
        <w:rPr>
          <w:rFonts w:ascii="Times New Roman" w:hAnsi="Times New Roman" w:cs="Times New Roman"/>
        </w:rPr>
        <w:t xml:space="preserve"> </w:t>
      </w:r>
    </w:p>
    <w:p w14:paraId="55BE7610" w14:textId="48D3765F" w:rsidR="003B607F" w:rsidRPr="002F4E96" w:rsidRDefault="00FE46C7" w:rsidP="003B607F">
      <w:pPr>
        <w:spacing w:line="360" w:lineRule="auto"/>
        <w:jc w:val="center"/>
        <w:rPr>
          <w:rFonts w:ascii="Times New Roman" w:hAnsi="Times New Roman" w:cs="Times New Roman"/>
          <w:b/>
          <w:bCs/>
        </w:rPr>
      </w:pPr>
      <w:r w:rsidRPr="002F4E96">
        <w:rPr>
          <w:rFonts w:ascii="Times New Roman" w:hAnsi="Times New Roman" w:cs="Times New Roman"/>
          <w:noProof/>
          <w:sz w:val="28"/>
          <w:szCs w:val="28"/>
          <w:lang w:eastAsia="en-GB"/>
        </w:rPr>
        <w:drawing>
          <wp:inline distT="0" distB="0" distL="0" distR="0" wp14:anchorId="5BB3CA05" wp14:editId="7370F3C0">
            <wp:extent cx="5164667" cy="3466380"/>
            <wp:effectExtent l="0" t="0" r="4445" b="127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0"/>
                    <a:stretch>
                      <a:fillRect/>
                    </a:stretch>
                  </pic:blipFill>
                  <pic:spPr>
                    <a:xfrm>
                      <a:off x="0" y="0"/>
                      <a:ext cx="5171599" cy="3471033"/>
                    </a:xfrm>
                    <a:prstGeom prst="rect">
                      <a:avLst/>
                    </a:prstGeom>
                  </pic:spPr>
                </pic:pic>
              </a:graphicData>
            </a:graphic>
          </wp:inline>
        </w:drawing>
      </w:r>
    </w:p>
    <w:p w14:paraId="01C6CC0E" w14:textId="54A1AA7B" w:rsidR="00007106" w:rsidRPr="002F4E96" w:rsidRDefault="003B607F" w:rsidP="00213F71">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C95412" w:rsidRPr="002F4E96">
        <w:rPr>
          <w:rFonts w:ascii="Times New Roman" w:hAnsi="Times New Roman" w:cs="Times New Roman"/>
          <w:b w:val="0"/>
          <w:bCs w:val="0"/>
          <w:color w:val="auto"/>
          <w:sz w:val="22"/>
          <w:szCs w:val="22"/>
        </w:rPr>
        <w:t>9</w:t>
      </w:r>
      <w:r w:rsidRPr="002F4E96">
        <w:rPr>
          <w:rFonts w:ascii="Times New Roman" w:hAnsi="Times New Roman" w:cs="Times New Roman"/>
          <w:b w:val="0"/>
          <w:bCs w:val="0"/>
          <w:color w:val="auto"/>
          <w:sz w:val="22"/>
          <w:szCs w:val="22"/>
        </w:rPr>
        <w:t xml:space="preserve">: </w:t>
      </w:r>
      <w:r w:rsidR="001E37E7" w:rsidRPr="002F4E96">
        <w:rPr>
          <w:rFonts w:ascii="Times New Roman" w:hAnsi="Times New Roman" w:cs="Times New Roman"/>
          <w:b w:val="0"/>
          <w:bCs w:val="0"/>
          <w:color w:val="auto"/>
          <w:sz w:val="22"/>
          <w:szCs w:val="22"/>
        </w:rPr>
        <w:t>P</w:t>
      </w:r>
      <w:r w:rsidRPr="002F4E96">
        <w:rPr>
          <w:rFonts w:ascii="Times New Roman" w:hAnsi="Times New Roman" w:cs="Times New Roman"/>
          <w:b w:val="0"/>
          <w:bCs w:val="0"/>
          <w:color w:val="auto"/>
          <w:sz w:val="22"/>
          <w:szCs w:val="22"/>
        </w:rPr>
        <w:t xml:space="preserve">lastic strain </w:t>
      </w:r>
      <w:r w:rsidR="00F778C4" w:rsidRPr="002F4E96">
        <w:rPr>
          <w:rFonts w:ascii="Times New Roman" w:hAnsi="Times New Roman" w:cs="Times New Roman"/>
          <w:b w:val="0"/>
          <w:bCs w:val="0"/>
          <w:color w:val="auto"/>
          <w:sz w:val="22"/>
          <w:szCs w:val="22"/>
        </w:rPr>
        <w:t xml:space="preserve">rate </w:t>
      </w:r>
      <w:r w:rsidRPr="002F4E96">
        <w:rPr>
          <w:rFonts w:ascii="Times New Roman" w:hAnsi="Times New Roman" w:cs="Times New Roman"/>
          <w:b w:val="0"/>
          <w:bCs w:val="0"/>
          <w:color w:val="auto"/>
          <w:sz w:val="22"/>
          <w:szCs w:val="22"/>
        </w:rPr>
        <w:t>results for six complete cycles of solder joints</w:t>
      </w:r>
    </w:p>
    <w:p w14:paraId="05187FA8" w14:textId="17E605FB" w:rsidR="00213F71" w:rsidRPr="002F4E96" w:rsidRDefault="00213F71" w:rsidP="00007106">
      <w:pPr>
        <w:jc w:val="center"/>
        <w:rPr>
          <w:rFonts w:ascii="Times New Roman" w:hAnsi="Times New Roman" w:cs="Times New Roman"/>
        </w:rPr>
      </w:pPr>
    </w:p>
    <w:p w14:paraId="5B723478" w14:textId="5691F5D3" w:rsidR="00D50CC4" w:rsidRPr="002F4E96" w:rsidRDefault="00213F71" w:rsidP="00213F71">
      <w:pPr>
        <w:jc w:val="center"/>
        <w:rPr>
          <w:rFonts w:ascii="Times New Roman" w:hAnsi="Times New Roman" w:cs="Times New Roman"/>
        </w:rPr>
      </w:pPr>
      <w:r w:rsidRPr="002F4E96">
        <w:rPr>
          <w:rFonts w:ascii="Times New Roman" w:hAnsi="Times New Roman" w:cs="Times New Roman"/>
          <w:noProof/>
        </w:rPr>
        <w:lastRenderedPageBreak/>
        <w:drawing>
          <wp:inline distT="0" distB="0" distL="0" distR="0" wp14:anchorId="33A0CE53" wp14:editId="0B716235">
            <wp:extent cx="5731510" cy="250634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506345"/>
                    </a:xfrm>
                    <a:prstGeom prst="rect">
                      <a:avLst/>
                    </a:prstGeom>
                  </pic:spPr>
                </pic:pic>
              </a:graphicData>
            </a:graphic>
          </wp:inline>
        </w:drawing>
      </w:r>
    </w:p>
    <w:p w14:paraId="38907A51" w14:textId="3E25A246" w:rsidR="00213F71" w:rsidRPr="002F4E96" w:rsidRDefault="00213F71" w:rsidP="00213F71">
      <w:pPr>
        <w:jc w:val="center"/>
        <w:rPr>
          <w:rFonts w:ascii="Times New Roman" w:hAnsi="Times New Roman" w:cs="Times New Roman"/>
        </w:rPr>
      </w:pPr>
      <w:r w:rsidRPr="002F4E96">
        <w:rPr>
          <w:rFonts w:ascii="Times New Roman" w:hAnsi="Times New Roman" w:cs="Times New Roman"/>
        </w:rPr>
        <w:t>Fig. 1</w:t>
      </w:r>
      <w:r w:rsidR="00C95412" w:rsidRPr="002F4E96">
        <w:rPr>
          <w:rFonts w:ascii="Times New Roman" w:hAnsi="Times New Roman" w:cs="Times New Roman"/>
        </w:rPr>
        <w:t>0</w:t>
      </w:r>
      <w:r w:rsidRPr="002F4E96">
        <w:rPr>
          <w:rFonts w:ascii="Times New Roman" w:hAnsi="Times New Roman" w:cs="Times New Roman"/>
        </w:rPr>
        <w:t>: Schematic of Sn63Pb37 showing solder joint with maximum plastic strain</w:t>
      </w:r>
    </w:p>
    <w:p w14:paraId="750877F1" w14:textId="77777777" w:rsidR="00D50CC4" w:rsidRPr="002F4E96" w:rsidRDefault="00D50CC4" w:rsidP="00D50CC4">
      <w:pPr>
        <w:rPr>
          <w:rFonts w:ascii="Times New Roman" w:hAnsi="Times New Roman" w:cs="Times New Roman"/>
        </w:rPr>
      </w:pPr>
    </w:p>
    <w:p w14:paraId="56444E8E" w14:textId="3D3F16E3" w:rsidR="00EE60D1" w:rsidRPr="002F4E96" w:rsidRDefault="00213F71" w:rsidP="00213F71">
      <w:pPr>
        <w:spacing w:before="125" w:line="360" w:lineRule="auto"/>
        <w:ind w:right="38"/>
        <w:jc w:val="center"/>
        <w:rPr>
          <w:rFonts w:ascii="Times New Roman" w:hAnsi="Times New Roman" w:cs="Times New Roman"/>
        </w:rPr>
      </w:pPr>
      <w:r w:rsidRPr="002F4E96">
        <w:rPr>
          <w:rFonts w:ascii="Times New Roman" w:hAnsi="Times New Roman" w:cs="Times New Roman"/>
          <w:noProof/>
        </w:rPr>
        <w:drawing>
          <wp:inline distT="0" distB="0" distL="0" distR="0" wp14:anchorId="2A0471CA" wp14:editId="32432D09">
            <wp:extent cx="4517679" cy="2967073"/>
            <wp:effectExtent l="0" t="0" r="3810" b="5080"/>
            <wp:docPr id="4" name="Picture 4" descr="A picture containing colorful, balloon, aircraf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 balloon, aircraft, colo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27355" cy="2973428"/>
                    </a:xfrm>
                    <a:prstGeom prst="rect">
                      <a:avLst/>
                    </a:prstGeom>
                  </pic:spPr>
                </pic:pic>
              </a:graphicData>
            </a:graphic>
          </wp:inline>
        </w:drawing>
      </w:r>
    </w:p>
    <w:p w14:paraId="22F426F8" w14:textId="7E5863A9" w:rsidR="003B607F" w:rsidRPr="002F4E96" w:rsidRDefault="003B607F" w:rsidP="003B607F">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 xml:space="preserve">Fig. </w:t>
      </w:r>
      <w:r w:rsidR="00C95412" w:rsidRPr="002F4E96">
        <w:rPr>
          <w:rFonts w:ascii="Times New Roman" w:hAnsi="Times New Roman" w:cs="Times New Roman"/>
          <w:b w:val="0"/>
          <w:bCs w:val="0"/>
          <w:color w:val="auto"/>
          <w:sz w:val="22"/>
          <w:szCs w:val="22"/>
        </w:rPr>
        <w:t>11</w:t>
      </w:r>
      <w:r w:rsidRPr="002F4E96">
        <w:rPr>
          <w:rFonts w:ascii="Times New Roman" w:hAnsi="Times New Roman" w:cs="Times New Roman"/>
          <w:b w:val="0"/>
          <w:bCs w:val="0"/>
          <w:color w:val="auto"/>
          <w:sz w:val="22"/>
          <w:szCs w:val="22"/>
        </w:rPr>
        <w:t>: Schematics showing areas of maximum plastic strain</w:t>
      </w:r>
    </w:p>
    <w:p w14:paraId="074313F0" w14:textId="519D94D2" w:rsidR="0099731C" w:rsidRPr="002F4E96" w:rsidRDefault="0099731C" w:rsidP="000D7411">
      <w:pPr>
        <w:pStyle w:val="Heading3"/>
        <w:spacing w:line="360" w:lineRule="auto"/>
        <w:rPr>
          <w:rFonts w:ascii="Times New Roman" w:hAnsi="Times New Roman" w:cs="Times New Roman"/>
          <w:i/>
          <w:iCs/>
          <w:color w:val="auto"/>
          <w:sz w:val="22"/>
          <w:szCs w:val="22"/>
        </w:rPr>
      </w:pPr>
      <w:r w:rsidRPr="002F4E96">
        <w:rPr>
          <w:rFonts w:ascii="Times New Roman" w:hAnsi="Times New Roman" w:cs="Times New Roman"/>
          <w:color w:val="auto"/>
          <w:sz w:val="22"/>
          <w:szCs w:val="22"/>
        </w:rPr>
        <w:t>3.</w:t>
      </w:r>
      <w:r w:rsidR="003464A3" w:rsidRPr="002F4E96">
        <w:rPr>
          <w:rFonts w:ascii="Times New Roman" w:hAnsi="Times New Roman" w:cs="Times New Roman"/>
          <w:color w:val="auto"/>
          <w:sz w:val="22"/>
          <w:szCs w:val="22"/>
        </w:rPr>
        <w:t>3</w:t>
      </w:r>
      <w:r w:rsidRPr="002F4E96">
        <w:rPr>
          <w:rFonts w:ascii="Times New Roman" w:hAnsi="Times New Roman" w:cs="Times New Roman"/>
          <w:color w:val="auto"/>
          <w:sz w:val="22"/>
          <w:szCs w:val="22"/>
        </w:rPr>
        <w:t xml:space="preserve"> Study of Shear Strain on the solder joints</w:t>
      </w:r>
    </w:p>
    <w:p w14:paraId="3CA2B4C0" w14:textId="2B57F5F6" w:rsidR="00073850" w:rsidRPr="002F4E96" w:rsidRDefault="005E4D27" w:rsidP="00341149">
      <w:pPr>
        <w:pStyle w:val="NoSpacing"/>
        <w:spacing w:line="360" w:lineRule="auto"/>
        <w:jc w:val="both"/>
        <w:rPr>
          <w:rFonts w:ascii="Times New Roman" w:hAnsi="Times New Roman" w:cs="Times New Roman"/>
          <w:sz w:val="22"/>
          <w:szCs w:val="22"/>
        </w:rPr>
      </w:pPr>
      <w:r w:rsidRPr="002F4E96">
        <w:rPr>
          <w:rFonts w:ascii="Times New Roman" w:hAnsi="Times New Roman" w:cs="Times New Roman"/>
          <w:sz w:val="22"/>
          <w:szCs w:val="22"/>
        </w:rPr>
        <w:t>The shear strain of the five solder joint</w:t>
      </w:r>
      <w:r w:rsidR="009F21D4" w:rsidRPr="002F4E96">
        <w:rPr>
          <w:rFonts w:ascii="Times New Roman" w:hAnsi="Times New Roman" w:cs="Times New Roman"/>
          <w:sz w:val="22"/>
          <w:szCs w:val="22"/>
        </w:rPr>
        <w:t xml:space="preserve"> alloys</w:t>
      </w:r>
      <w:r w:rsidRPr="002F4E96">
        <w:rPr>
          <w:rFonts w:ascii="Times New Roman" w:hAnsi="Times New Roman" w:cs="Times New Roman"/>
          <w:sz w:val="22"/>
          <w:szCs w:val="22"/>
        </w:rPr>
        <w:t xml:space="preserve"> considered in this work </w:t>
      </w:r>
      <w:r w:rsidR="009F21D4" w:rsidRPr="002F4E96">
        <w:rPr>
          <w:rFonts w:ascii="Times New Roman" w:hAnsi="Times New Roman" w:cs="Times New Roman"/>
          <w:sz w:val="22"/>
          <w:szCs w:val="22"/>
        </w:rPr>
        <w:t>are</w:t>
      </w:r>
      <w:r w:rsidRPr="002F4E96">
        <w:rPr>
          <w:rFonts w:ascii="Times New Roman" w:hAnsi="Times New Roman" w:cs="Times New Roman"/>
          <w:sz w:val="22"/>
          <w:szCs w:val="22"/>
        </w:rPr>
        <w:t xml:space="preserve"> lead-based eutectic Sn63Pb37 (0.001115), SAC305 (0.000609), SAC387 (0.00177), SAC396 (0.000261) and SAC405 (0.00111) respectively. </w:t>
      </w:r>
      <w:r w:rsidR="00A32C73" w:rsidRPr="002F4E96">
        <w:rPr>
          <w:rFonts w:ascii="Times New Roman" w:hAnsi="Times New Roman" w:cs="Times New Roman"/>
          <w:sz w:val="22"/>
          <w:szCs w:val="22"/>
        </w:rPr>
        <w:t>The shear strain is</w:t>
      </w:r>
      <w:r w:rsidR="0097119D" w:rsidRPr="002F4E96">
        <w:rPr>
          <w:rFonts w:ascii="Times New Roman" w:hAnsi="Times New Roman" w:cs="Times New Roman"/>
          <w:sz w:val="22"/>
          <w:szCs w:val="22"/>
        </w:rPr>
        <w:t xml:space="preserve"> referred to the</w:t>
      </w:r>
      <w:r w:rsidR="00A32C73" w:rsidRPr="002F4E96">
        <w:rPr>
          <w:rFonts w:ascii="Times New Roman" w:hAnsi="Times New Roman" w:cs="Times New Roman"/>
          <w:sz w:val="22"/>
          <w:szCs w:val="22"/>
        </w:rPr>
        <w:t xml:space="preserve"> change in the deformation to its original length of the solder joint</w:t>
      </w:r>
      <w:r w:rsidR="0097119D" w:rsidRPr="002F4E96">
        <w:rPr>
          <w:rFonts w:ascii="Times New Roman" w:hAnsi="Times New Roman" w:cs="Times New Roman"/>
          <w:sz w:val="22"/>
          <w:szCs w:val="22"/>
        </w:rPr>
        <w:t xml:space="preserve"> alloys</w:t>
      </w:r>
      <w:r w:rsidR="00A32C73" w:rsidRPr="002F4E96">
        <w:rPr>
          <w:rFonts w:ascii="Times New Roman" w:hAnsi="Times New Roman" w:cs="Times New Roman"/>
          <w:sz w:val="22"/>
          <w:szCs w:val="22"/>
        </w:rPr>
        <w:t xml:space="preserve"> perpendicular to the axes as a result of shear stress. </w:t>
      </w:r>
      <w:r w:rsidRPr="002F4E96">
        <w:rPr>
          <w:rFonts w:ascii="Times New Roman" w:hAnsi="Times New Roman" w:cs="Times New Roman"/>
          <w:sz w:val="22"/>
          <w:szCs w:val="22"/>
        </w:rPr>
        <w:t xml:space="preserve">The fatigue life of the solder joints is </w:t>
      </w:r>
      <w:r w:rsidR="0097119D" w:rsidRPr="002F4E96">
        <w:rPr>
          <w:rFonts w:ascii="Times New Roman" w:hAnsi="Times New Roman" w:cs="Times New Roman"/>
          <w:sz w:val="22"/>
          <w:szCs w:val="22"/>
        </w:rPr>
        <w:t>computed</w:t>
      </w:r>
      <w:r w:rsidRPr="002F4E96">
        <w:rPr>
          <w:rFonts w:ascii="Times New Roman" w:hAnsi="Times New Roman" w:cs="Times New Roman"/>
          <w:sz w:val="22"/>
          <w:szCs w:val="22"/>
        </w:rPr>
        <w:t xml:space="preserve"> using </w:t>
      </w:r>
      <w:r w:rsidR="0097119D" w:rsidRPr="002F4E96">
        <w:rPr>
          <w:rFonts w:ascii="Times New Roman" w:hAnsi="Times New Roman" w:cs="Times New Roman"/>
          <w:sz w:val="22"/>
          <w:szCs w:val="22"/>
        </w:rPr>
        <w:t xml:space="preserve">the </w:t>
      </w:r>
      <w:r w:rsidR="00AB1A13" w:rsidRPr="002F4E96">
        <w:rPr>
          <w:rFonts w:ascii="Times New Roman" w:hAnsi="Times New Roman" w:cs="Times New Roman"/>
          <w:sz w:val="22"/>
          <w:szCs w:val="22"/>
        </w:rPr>
        <w:t>s</w:t>
      </w:r>
      <w:r w:rsidRPr="002F4E96">
        <w:rPr>
          <w:rFonts w:ascii="Times New Roman" w:hAnsi="Times New Roman" w:cs="Times New Roman"/>
          <w:sz w:val="22"/>
          <w:szCs w:val="22"/>
        </w:rPr>
        <w:t xml:space="preserve">hear strain value determined from the </w:t>
      </w:r>
      <w:r w:rsidR="00F54AE7" w:rsidRPr="002F4E96">
        <w:rPr>
          <w:rFonts w:ascii="Times New Roman" w:hAnsi="Times New Roman" w:cs="Times New Roman"/>
          <w:sz w:val="22"/>
          <w:szCs w:val="22"/>
        </w:rPr>
        <w:t>FEA</w:t>
      </w:r>
      <w:r w:rsidRPr="002F4E96">
        <w:rPr>
          <w:rFonts w:ascii="Times New Roman" w:hAnsi="Times New Roman" w:cs="Times New Roman"/>
          <w:sz w:val="22"/>
          <w:szCs w:val="22"/>
        </w:rPr>
        <w:t xml:space="preserve"> simulation</w:t>
      </w:r>
      <w:r w:rsidR="00EB04D8" w:rsidRPr="002F4E96">
        <w:rPr>
          <w:rFonts w:ascii="Times New Roman" w:hAnsi="Times New Roman" w:cs="Times New Roman"/>
          <w:sz w:val="22"/>
          <w:szCs w:val="22"/>
        </w:rPr>
        <w:t xml:space="preserve"> </w:t>
      </w:r>
      <w:r w:rsidRPr="002F4E96">
        <w:rPr>
          <w:rFonts w:ascii="Times New Roman" w:hAnsi="Times New Roman" w:cs="Times New Roman"/>
          <w:sz w:val="22"/>
          <w:szCs w:val="22"/>
        </w:rPr>
        <w:t xml:space="preserve">and inputting the values into </w:t>
      </w:r>
      <w:r w:rsidRPr="002F4E96">
        <w:rPr>
          <w:rFonts w:ascii="Times New Roman" w:hAnsi="Times New Roman" w:cs="Times New Roman"/>
          <w:bCs/>
          <w:sz w:val="22"/>
          <w:szCs w:val="22"/>
        </w:rPr>
        <w:t xml:space="preserve">equation 1 </w:t>
      </w:r>
      <w:r w:rsidR="00AB1A13" w:rsidRPr="002F4E96">
        <w:rPr>
          <w:rFonts w:ascii="Times New Roman" w:hAnsi="Times New Roman" w:cs="Times New Roman"/>
          <w:bCs/>
          <w:sz w:val="22"/>
          <w:szCs w:val="22"/>
        </w:rPr>
        <w:t>(</w:t>
      </w:r>
      <w:r w:rsidRPr="002F4E96">
        <w:rPr>
          <w:rFonts w:ascii="Times New Roman" w:hAnsi="Times New Roman" w:cs="Times New Roman"/>
          <w:bCs/>
          <w:sz w:val="22"/>
          <w:szCs w:val="22"/>
        </w:rPr>
        <w:t>Engelmaier</w:t>
      </w:r>
      <w:r w:rsidR="00AB1A13" w:rsidRPr="002F4E96">
        <w:rPr>
          <w:rFonts w:ascii="Times New Roman" w:hAnsi="Times New Roman" w:cs="Times New Roman"/>
          <w:bCs/>
          <w:sz w:val="22"/>
          <w:szCs w:val="22"/>
        </w:rPr>
        <w:t>)</w:t>
      </w:r>
      <w:r w:rsidRPr="002F4E96">
        <w:rPr>
          <w:rFonts w:ascii="Times New Roman" w:hAnsi="Times New Roman" w:cs="Times New Roman"/>
          <w:sz w:val="22"/>
          <w:szCs w:val="22"/>
        </w:rPr>
        <w:t xml:space="preserve"> to </w:t>
      </w:r>
      <w:r w:rsidR="00AB1A13" w:rsidRPr="002F4E96">
        <w:rPr>
          <w:rFonts w:ascii="Times New Roman" w:hAnsi="Times New Roman" w:cs="Times New Roman"/>
          <w:sz w:val="22"/>
          <w:szCs w:val="22"/>
        </w:rPr>
        <w:t>acquire</w:t>
      </w:r>
      <w:r w:rsidRPr="002F4E96">
        <w:rPr>
          <w:rFonts w:ascii="Times New Roman" w:hAnsi="Times New Roman" w:cs="Times New Roman"/>
          <w:sz w:val="22"/>
          <w:szCs w:val="22"/>
        </w:rPr>
        <w:t xml:space="preserve"> the fatigue life cycle</w:t>
      </w:r>
      <w:r w:rsidR="0097119D" w:rsidRPr="002F4E96">
        <w:rPr>
          <w:rFonts w:ascii="Times New Roman" w:hAnsi="Times New Roman" w:cs="Times New Roman"/>
          <w:sz w:val="22"/>
          <w:szCs w:val="22"/>
        </w:rPr>
        <w:t xml:space="preserve">. </w:t>
      </w:r>
      <w:r w:rsidRPr="002F4E96">
        <w:rPr>
          <w:rFonts w:ascii="Times New Roman" w:hAnsi="Times New Roman" w:cs="Times New Roman"/>
          <w:sz w:val="22"/>
          <w:szCs w:val="22"/>
        </w:rPr>
        <w:t xml:space="preserve">The plot </w:t>
      </w:r>
      <w:r w:rsidR="0097119D" w:rsidRPr="002F4E96">
        <w:rPr>
          <w:rFonts w:ascii="Times New Roman" w:hAnsi="Times New Roman" w:cs="Times New Roman"/>
          <w:sz w:val="22"/>
          <w:szCs w:val="22"/>
        </w:rPr>
        <w:t>presented</w:t>
      </w:r>
      <w:r w:rsidRPr="002F4E96">
        <w:rPr>
          <w:rFonts w:ascii="Times New Roman" w:hAnsi="Times New Roman" w:cs="Times New Roman"/>
          <w:sz w:val="22"/>
          <w:szCs w:val="22"/>
        </w:rPr>
        <w:t xml:space="preserve"> in Fig</w:t>
      </w:r>
      <w:r w:rsidR="00EC74C1" w:rsidRPr="002F4E96">
        <w:rPr>
          <w:rFonts w:ascii="Times New Roman" w:hAnsi="Times New Roman" w:cs="Times New Roman"/>
          <w:sz w:val="22"/>
          <w:szCs w:val="22"/>
        </w:rPr>
        <w:t>. 1</w:t>
      </w:r>
      <w:r w:rsidR="00D07364" w:rsidRPr="002F4E96">
        <w:rPr>
          <w:rFonts w:ascii="Times New Roman" w:hAnsi="Times New Roman" w:cs="Times New Roman"/>
          <w:sz w:val="22"/>
          <w:szCs w:val="22"/>
        </w:rPr>
        <w:t>2</w:t>
      </w:r>
      <w:r w:rsidRPr="002F4E96">
        <w:rPr>
          <w:rFonts w:ascii="Times New Roman" w:hAnsi="Times New Roman" w:cs="Times New Roman"/>
          <w:sz w:val="22"/>
          <w:szCs w:val="22"/>
        </w:rPr>
        <w:t xml:space="preserve"> shows that SAC396 has the lowest shear strain</w:t>
      </w:r>
      <w:r w:rsidR="00EB04D8" w:rsidRPr="002F4E96">
        <w:rPr>
          <w:rFonts w:ascii="Times New Roman" w:hAnsi="Times New Roman" w:cs="Times New Roman"/>
          <w:sz w:val="22"/>
          <w:szCs w:val="22"/>
        </w:rPr>
        <w:t>,</w:t>
      </w:r>
      <w:r w:rsidRPr="002F4E96">
        <w:rPr>
          <w:rFonts w:ascii="Times New Roman" w:hAnsi="Times New Roman" w:cs="Times New Roman"/>
          <w:sz w:val="22"/>
          <w:szCs w:val="22"/>
        </w:rPr>
        <w:t xml:space="preserve"> followed by eutectic Sn63Pb37, SAC305, SAC405 and SAC387</w:t>
      </w:r>
      <w:r w:rsidR="00EB04D8" w:rsidRPr="002F4E96">
        <w:rPr>
          <w:rFonts w:ascii="Times New Roman" w:hAnsi="Times New Roman" w:cs="Times New Roman"/>
          <w:sz w:val="22"/>
          <w:szCs w:val="22"/>
        </w:rPr>
        <w:t>,</w:t>
      </w:r>
      <w:r w:rsidR="0097119D" w:rsidRPr="002F4E96">
        <w:rPr>
          <w:rFonts w:ascii="Times New Roman" w:hAnsi="Times New Roman" w:cs="Times New Roman"/>
          <w:sz w:val="22"/>
          <w:szCs w:val="22"/>
        </w:rPr>
        <w:t xml:space="preserve"> respectively</w:t>
      </w:r>
      <w:r w:rsidRPr="002F4E96">
        <w:rPr>
          <w:rFonts w:ascii="Times New Roman" w:hAnsi="Times New Roman" w:cs="Times New Roman"/>
          <w:sz w:val="22"/>
          <w:szCs w:val="22"/>
        </w:rPr>
        <w:t xml:space="preserve">. The schematic presented in Fig. </w:t>
      </w:r>
      <w:r w:rsidR="00EC74C1" w:rsidRPr="002F4E96">
        <w:rPr>
          <w:rFonts w:ascii="Times New Roman" w:hAnsi="Times New Roman" w:cs="Times New Roman"/>
          <w:sz w:val="22"/>
          <w:szCs w:val="22"/>
        </w:rPr>
        <w:t>1</w:t>
      </w:r>
      <w:r w:rsidR="00D07364" w:rsidRPr="002F4E96">
        <w:rPr>
          <w:rFonts w:ascii="Times New Roman" w:hAnsi="Times New Roman" w:cs="Times New Roman"/>
          <w:sz w:val="22"/>
          <w:szCs w:val="22"/>
        </w:rPr>
        <w:t>3</w:t>
      </w:r>
      <w:r w:rsidR="00EC74C1" w:rsidRPr="002F4E96">
        <w:rPr>
          <w:rFonts w:ascii="Times New Roman" w:hAnsi="Times New Roman" w:cs="Times New Roman"/>
          <w:sz w:val="22"/>
          <w:szCs w:val="22"/>
        </w:rPr>
        <w:t xml:space="preserve"> </w:t>
      </w:r>
      <w:r w:rsidRPr="002F4E96">
        <w:rPr>
          <w:rFonts w:ascii="Times New Roman" w:hAnsi="Times New Roman" w:cs="Times New Roman"/>
          <w:sz w:val="22"/>
          <w:szCs w:val="22"/>
        </w:rPr>
        <w:t>shows th</w:t>
      </w:r>
      <w:r w:rsidR="0097119D" w:rsidRPr="002F4E96">
        <w:rPr>
          <w:rFonts w:ascii="Times New Roman" w:hAnsi="Times New Roman" w:cs="Times New Roman"/>
          <w:sz w:val="22"/>
          <w:szCs w:val="22"/>
        </w:rPr>
        <w:t xml:space="preserve">e </w:t>
      </w:r>
      <w:r w:rsidRPr="002F4E96">
        <w:rPr>
          <w:rFonts w:ascii="Times New Roman" w:hAnsi="Times New Roman" w:cs="Times New Roman"/>
          <w:sz w:val="22"/>
          <w:szCs w:val="22"/>
        </w:rPr>
        <w:t xml:space="preserve">areas </w:t>
      </w:r>
      <w:r w:rsidR="0097119D" w:rsidRPr="002F4E96">
        <w:rPr>
          <w:rFonts w:ascii="Times New Roman" w:hAnsi="Times New Roman" w:cs="Times New Roman"/>
          <w:sz w:val="22"/>
          <w:szCs w:val="22"/>
        </w:rPr>
        <w:t xml:space="preserve">susceptible to crack </w:t>
      </w:r>
      <w:r w:rsidRPr="002F4E96">
        <w:rPr>
          <w:rFonts w:ascii="Times New Roman" w:hAnsi="Times New Roman" w:cs="Times New Roman"/>
          <w:sz w:val="22"/>
          <w:szCs w:val="22"/>
        </w:rPr>
        <w:t xml:space="preserve">on the solder joint near the substrate with the maximum </w:t>
      </w:r>
      <w:r w:rsidR="0097119D" w:rsidRPr="002F4E96">
        <w:rPr>
          <w:rFonts w:ascii="Times New Roman" w:hAnsi="Times New Roman" w:cs="Times New Roman"/>
          <w:sz w:val="22"/>
          <w:szCs w:val="22"/>
        </w:rPr>
        <w:t xml:space="preserve">shear </w:t>
      </w:r>
      <w:r w:rsidRPr="002F4E96">
        <w:rPr>
          <w:rFonts w:ascii="Times New Roman" w:hAnsi="Times New Roman" w:cs="Times New Roman"/>
          <w:sz w:val="22"/>
          <w:szCs w:val="22"/>
        </w:rPr>
        <w:t>strain</w:t>
      </w:r>
      <w:r w:rsidR="0097119D" w:rsidRPr="002F4E96">
        <w:rPr>
          <w:rFonts w:ascii="Times New Roman" w:hAnsi="Times New Roman" w:cs="Times New Roman"/>
          <w:sz w:val="22"/>
          <w:szCs w:val="22"/>
        </w:rPr>
        <w:t>.</w:t>
      </w:r>
    </w:p>
    <w:p w14:paraId="38CBBB97" w14:textId="1A050165" w:rsidR="00073850" w:rsidRPr="002F4E96" w:rsidRDefault="00A8575C" w:rsidP="00E95410">
      <w:pPr>
        <w:pStyle w:val="NoSpacing"/>
        <w:spacing w:line="360" w:lineRule="auto"/>
        <w:jc w:val="center"/>
        <w:rPr>
          <w:rFonts w:ascii="Times New Roman" w:hAnsi="Times New Roman" w:cs="Times New Roman"/>
          <w:sz w:val="22"/>
          <w:szCs w:val="22"/>
        </w:rPr>
      </w:pPr>
      <w:r w:rsidRPr="002F4E96">
        <w:rPr>
          <w:rFonts w:ascii="Times New Roman" w:hAnsi="Times New Roman" w:cs="Times New Roman"/>
          <w:noProof/>
        </w:rPr>
        <w:lastRenderedPageBreak/>
        <w:drawing>
          <wp:inline distT="0" distB="0" distL="0" distR="0" wp14:anchorId="4D135050" wp14:editId="5D050B89">
            <wp:extent cx="4354717" cy="3111786"/>
            <wp:effectExtent l="0" t="0" r="1905"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23"/>
                    <a:stretch>
                      <a:fillRect/>
                    </a:stretch>
                  </pic:blipFill>
                  <pic:spPr>
                    <a:xfrm>
                      <a:off x="0" y="0"/>
                      <a:ext cx="4369504" cy="3122352"/>
                    </a:xfrm>
                    <a:prstGeom prst="rect">
                      <a:avLst/>
                    </a:prstGeom>
                  </pic:spPr>
                </pic:pic>
              </a:graphicData>
            </a:graphic>
          </wp:inline>
        </w:drawing>
      </w:r>
    </w:p>
    <w:p w14:paraId="37D290AA" w14:textId="381CAA72" w:rsidR="007C0BDB" w:rsidRPr="002F4E96" w:rsidRDefault="007C0BDB" w:rsidP="007C0BDB">
      <w:pPr>
        <w:jc w:val="center"/>
        <w:rPr>
          <w:rFonts w:ascii="Times New Roman" w:hAnsi="Times New Roman" w:cs="Times New Roman"/>
        </w:rPr>
      </w:pPr>
      <w:r w:rsidRPr="002F4E96">
        <w:rPr>
          <w:rFonts w:ascii="Times New Roman" w:hAnsi="Times New Roman" w:cs="Times New Roman"/>
        </w:rPr>
        <w:t>Fig. 1</w:t>
      </w:r>
      <w:r w:rsidR="00D07364" w:rsidRPr="002F4E96">
        <w:rPr>
          <w:rFonts w:ascii="Times New Roman" w:hAnsi="Times New Roman" w:cs="Times New Roman"/>
        </w:rPr>
        <w:t>2</w:t>
      </w:r>
      <w:r w:rsidRPr="002F4E96">
        <w:rPr>
          <w:rFonts w:ascii="Times New Roman" w:hAnsi="Times New Roman" w:cs="Times New Roman"/>
        </w:rPr>
        <w:t>: Shear strain rate results for six complete cycles of solder joint alloys</w:t>
      </w:r>
    </w:p>
    <w:p w14:paraId="50A9EC7E" w14:textId="77777777" w:rsidR="007C0BDB" w:rsidRPr="002F4E96" w:rsidRDefault="00F778C4" w:rsidP="007C0BDB">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noProof/>
          <w:color w:val="auto"/>
          <w:sz w:val="22"/>
          <w:szCs w:val="22"/>
          <w:lang w:eastAsia="en-GB"/>
        </w:rPr>
        <w:drawing>
          <wp:inline distT="0" distB="0" distL="0" distR="0" wp14:anchorId="6BD8412E" wp14:editId="59595E33">
            <wp:extent cx="4304574" cy="2770360"/>
            <wp:effectExtent l="0" t="0" r="1270" b="0"/>
            <wp:docPr id="2" name="Picture 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4574" cy="2770360"/>
                    </a:xfrm>
                    <a:prstGeom prst="rect">
                      <a:avLst/>
                    </a:prstGeom>
                  </pic:spPr>
                </pic:pic>
              </a:graphicData>
            </a:graphic>
          </wp:inline>
        </w:drawing>
      </w:r>
      <w:r w:rsidR="007C0BDB" w:rsidRPr="002F4E96">
        <w:rPr>
          <w:rFonts w:ascii="Times New Roman" w:hAnsi="Times New Roman" w:cs="Times New Roman"/>
          <w:b w:val="0"/>
          <w:bCs w:val="0"/>
          <w:color w:val="auto"/>
          <w:sz w:val="22"/>
          <w:szCs w:val="22"/>
        </w:rPr>
        <w:t xml:space="preserve"> </w:t>
      </w:r>
    </w:p>
    <w:p w14:paraId="278A111C" w14:textId="717A1E8E" w:rsidR="007C0BDB" w:rsidRPr="002F4E96" w:rsidRDefault="007C0BDB" w:rsidP="007C0BDB">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Fig. 1</w:t>
      </w:r>
      <w:r w:rsidR="00D07364" w:rsidRPr="002F4E96">
        <w:rPr>
          <w:rFonts w:ascii="Times New Roman" w:hAnsi="Times New Roman" w:cs="Times New Roman"/>
          <w:b w:val="0"/>
          <w:bCs w:val="0"/>
          <w:color w:val="auto"/>
          <w:sz w:val="22"/>
          <w:szCs w:val="22"/>
        </w:rPr>
        <w:t>3</w:t>
      </w:r>
      <w:r w:rsidRPr="002F4E96">
        <w:rPr>
          <w:rFonts w:ascii="Times New Roman" w:hAnsi="Times New Roman" w:cs="Times New Roman"/>
          <w:b w:val="0"/>
          <w:bCs w:val="0"/>
          <w:color w:val="auto"/>
          <w:sz w:val="22"/>
          <w:szCs w:val="22"/>
        </w:rPr>
        <w:t>: Schematics showing areas of maximum shear strain</w:t>
      </w:r>
    </w:p>
    <w:p w14:paraId="47D0ABCD" w14:textId="40A81876" w:rsidR="00453D4F" w:rsidRPr="002F4E96" w:rsidRDefault="00453D4F" w:rsidP="000D7411">
      <w:pPr>
        <w:pStyle w:val="Heading3"/>
        <w:spacing w:line="360" w:lineRule="auto"/>
        <w:rPr>
          <w:rFonts w:ascii="Times New Roman" w:hAnsi="Times New Roman" w:cs="Times New Roman"/>
          <w:i/>
          <w:iCs/>
          <w:color w:val="auto"/>
          <w:sz w:val="22"/>
          <w:szCs w:val="22"/>
        </w:rPr>
      </w:pPr>
      <w:r w:rsidRPr="002F4E96">
        <w:rPr>
          <w:rFonts w:ascii="Times New Roman" w:hAnsi="Times New Roman" w:cs="Times New Roman"/>
          <w:color w:val="auto"/>
          <w:sz w:val="22"/>
          <w:szCs w:val="22"/>
        </w:rPr>
        <w:t>3.</w:t>
      </w:r>
      <w:r w:rsidR="00F10CD8" w:rsidRPr="002F4E96">
        <w:rPr>
          <w:rFonts w:ascii="Times New Roman" w:hAnsi="Times New Roman" w:cs="Times New Roman"/>
          <w:color w:val="auto"/>
          <w:sz w:val="22"/>
          <w:szCs w:val="22"/>
        </w:rPr>
        <w:t>4</w:t>
      </w:r>
      <w:r w:rsidRPr="002F4E96">
        <w:rPr>
          <w:rFonts w:ascii="Times New Roman" w:hAnsi="Times New Roman" w:cs="Times New Roman"/>
          <w:color w:val="auto"/>
          <w:sz w:val="22"/>
          <w:szCs w:val="22"/>
        </w:rPr>
        <w:t xml:space="preserve"> Study of Plastic Shear Strain on the solder joints</w:t>
      </w:r>
    </w:p>
    <w:p w14:paraId="2B14A918" w14:textId="46F37022" w:rsidR="00097E5F" w:rsidRPr="002F4E96" w:rsidRDefault="00097E5F" w:rsidP="00453D4F">
      <w:pPr>
        <w:spacing w:line="360" w:lineRule="auto"/>
        <w:jc w:val="both"/>
        <w:rPr>
          <w:rFonts w:ascii="Times New Roman" w:hAnsi="Times New Roman" w:cs="Times New Roman"/>
        </w:rPr>
      </w:pPr>
      <w:r w:rsidRPr="002F4E96">
        <w:rPr>
          <w:rFonts w:ascii="Times New Roman" w:hAnsi="Times New Roman" w:cs="Times New Roman"/>
        </w:rPr>
        <w:t>The maximum plastic shear strain of solder joint for eutectic Sn63Pb37 (0.0455), SAC305 (0.0536), SAC387 (0.0909), SAC396 (0.0431) and SAC405 (0.0727) are presented in Fig 1</w:t>
      </w:r>
      <w:r w:rsidR="00D07364" w:rsidRPr="002F4E96">
        <w:rPr>
          <w:rFonts w:ascii="Times New Roman" w:hAnsi="Times New Roman" w:cs="Times New Roman"/>
        </w:rPr>
        <w:t>4</w:t>
      </w:r>
      <w:r w:rsidRPr="002F4E96">
        <w:rPr>
          <w:rFonts w:ascii="Times New Roman" w:hAnsi="Times New Roman" w:cs="Times New Roman"/>
        </w:rPr>
        <w:t xml:space="preserve">. The </w:t>
      </w:r>
      <w:r w:rsidRPr="002F4E96">
        <w:rPr>
          <w:rFonts w:ascii="Times New Roman" w:hAnsi="Times New Roman" w:cs="Times New Roman"/>
          <w:bCs/>
        </w:rPr>
        <w:t>Solomon model</w:t>
      </w:r>
      <w:r w:rsidRPr="002F4E96">
        <w:rPr>
          <w:rFonts w:ascii="Times New Roman" w:hAnsi="Times New Roman" w:cs="Times New Roman"/>
        </w:rPr>
        <w:t xml:space="preserve"> for low cycle fatigue (</w:t>
      </w:r>
      <w:r w:rsidR="00F54AE7" w:rsidRPr="002F4E96">
        <w:rPr>
          <w:rFonts w:ascii="Times New Roman" w:hAnsi="Times New Roman" w:cs="Times New Roman"/>
        </w:rPr>
        <w:t>LCF</w:t>
      </w:r>
      <w:r w:rsidRPr="002F4E96">
        <w:rPr>
          <w:rFonts w:ascii="Times New Roman" w:hAnsi="Times New Roman" w:cs="Times New Roman"/>
        </w:rPr>
        <w:t>) in equation 3 is employed to determine the fatigue life cycle values for the solder joints using the equivalent plastic shear strain in equation 14. The outcome shows that SAC405 has the highest fatigue life, followed by SAC396, SAC305, Sn63Pb37 and SAC387, respectively</w:t>
      </w:r>
      <w:r w:rsidR="00EB04D8" w:rsidRPr="002F4E96">
        <w:rPr>
          <w:rFonts w:ascii="Times New Roman" w:hAnsi="Times New Roman" w:cs="Times New Roman"/>
        </w:rPr>
        <w:t>,</w:t>
      </w:r>
      <w:r w:rsidRPr="002F4E96">
        <w:rPr>
          <w:rFonts w:ascii="Times New Roman" w:hAnsi="Times New Roman" w:cs="Times New Roman"/>
        </w:rPr>
        <w:t xml:space="preserve"> using the </w:t>
      </w:r>
      <w:r w:rsidR="0014327F" w:rsidRPr="002F4E96">
        <w:rPr>
          <w:rFonts w:ascii="Times New Roman" w:hAnsi="Times New Roman" w:cs="Times New Roman"/>
        </w:rPr>
        <w:t>Engelmaier</w:t>
      </w:r>
      <w:r w:rsidRPr="002F4E96">
        <w:rPr>
          <w:rFonts w:ascii="Times New Roman" w:hAnsi="Times New Roman" w:cs="Times New Roman"/>
        </w:rPr>
        <w:t>, Coffin-Manson and Solomon</w:t>
      </w:r>
      <w:r w:rsidR="00084426" w:rsidRPr="002F4E96">
        <w:rPr>
          <w:rFonts w:ascii="Times New Roman" w:hAnsi="Times New Roman" w:cs="Times New Roman"/>
        </w:rPr>
        <w:t xml:space="preserve"> empirical models</w:t>
      </w:r>
      <w:r w:rsidRPr="002F4E96">
        <w:rPr>
          <w:rFonts w:ascii="Times New Roman" w:hAnsi="Times New Roman" w:cs="Times New Roman"/>
        </w:rPr>
        <w:t>. The result shows that SAC396 has the lowest plastic shear strain why SAC387 has the highest of all the solder alloys considered in this work, indicating that it will fail first on the solder alloys in BGA electronic components.</w:t>
      </w:r>
      <w:r w:rsidR="00874AB7" w:rsidRPr="002F4E96">
        <w:rPr>
          <w:rFonts w:ascii="Times New Roman" w:hAnsi="Times New Roman" w:cs="Times New Roman"/>
        </w:rPr>
        <w:t xml:space="preserve"> The schematic is presented in Fig. </w:t>
      </w:r>
      <w:r w:rsidR="00ED3E3E" w:rsidRPr="002F4E96">
        <w:rPr>
          <w:rFonts w:ascii="Times New Roman" w:hAnsi="Times New Roman" w:cs="Times New Roman"/>
        </w:rPr>
        <w:t>1</w:t>
      </w:r>
      <w:r w:rsidR="00D07364" w:rsidRPr="002F4E96">
        <w:rPr>
          <w:rFonts w:ascii="Times New Roman" w:hAnsi="Times New Roman" w:cs="Times New Roman"/>
        </w:rPr>
        <w:t>5</w:t>
      </w:r>
      <w:r w:rsidR="00EB04D8" w:rsidRPr="002F4E96">
        <w:rPr>
          <w:rFonts w:ascii="Times New Roman" w:hAnsi="Times New Roman" w:cs="Times New Roman"/>
        </w:rPr>
        <w:t>,</w:t>
      </w:r>
      <w:r w:rsidR="00ED3E3E" w:rsidRPr="002F4E96">
        <w:rPr>
          <w:rFonts w:ascii="Times New Roman" w:hAnsi="Times New Roman" w:cs="Times New Roman"/>
        </w:rPr>
        <w:t xml:space="preserve"> showing areas of maximum plastic shear strain on the solder joint alloys.</w:t>
      </w:r>
    </w:p>
    <w:p w14:paraId="796E878E" w14:textId="17664F90" w:rsidR="00453D4F" w:rsidRPr="002F4E96" w:rsidRDefault="0008232B" w:rsidP="00453D4F">
      <w:pPr>
        <w:spacing w:line="360" w:lineRule="auto"/>
        <w:jc w:val="center"/>
        <w:rPr>
          <w:rFonts w:ascii="Times New Roman" w:hAnsi="Times New Roman" w:cs="Times New Roman"/>
        </w:rPr>
      </w:pPr>
      <w:r w:rsidRPr="002F4E96">
        <w:rPr>
          <w:rFonts w:ascii="Times New Roman" w:hAnsi="Times New Roman" w:cs="Times New Roman"/>
          <w:noProof/>
          <w:lang w:eastAsia="en-GB"/>
        </w:rPr>
        <w:lastRenderedPageBreak/>
        <w:drawing>
          <wp:inline distT="0" distB="0" distL="0" distR="0" wp14:anchorId="4B06FC96" wp14:editId="2AC43493">
            <wp:extent cx="4744015" cy="3060011"/>
            <wp:effectExtent l="0" t="0" r="0" b="127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9025" cy="3069693"/>
                    </a:xfrm>
                    <a:prstGeom prst="rect">
                      <a:avLst/>
                    </a:prstGeom>
                  </pic:spPr>
                </pic:pic>
              </a:graphicData>
            </a:graphic>
          </wp:inline>
        </w:drawing>
      </w:r>
    </w:p>
    <w:p w14:paraId="6662A4E0" w14:textId="3D431652" w:rsidR="000F0595" w:rsidRPr="002F4E96" w:rsidRDefault="00453D4F" w:rsidP="000F0595">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Fig. 1</w:t>
      </w:r>
      <w:r w:rsidR="00D07364" w:rsidRPr="002F4E96">
        <w:rPr>
          <w:rFonts w:ascii="Times New Roman" w:hAnsi="Times New Roman" w:cs="Times New Roman"/>
          <w:b w:val="0"/>
          <w:bCs w:val="0"/>
          <w:color w:val="auto"/>
          <w:sz w:val="22"/>
          <w:szCs w:val="22"/>
        </w:rPr>
        <w:t>4</w:t>
      </w:r>
      <w:r w:rsidRPr="002F4E96">
        <w:rPr>
          <w:rFonts w:ascii="Times New Roman" w:hAnsi="Times New Roman" w:cs="Times New Roman"/>
          <w:b w:val="0"/>
          <w:bCs w:val="0"/>
          <w:color w:val="auto"/>
          <w:sz w:val="22"/>
          <w:szCs w:val="22"/>
        </w:rPr>
        <w:t>: Plastic shear strain rate results for six complete cycles of solder joints</w:t>
      </w:r>
    </w:p>
    <w:p w14:paraId="73C7FE86" w14:textId="60585998" w:rsidR="009A14E4" w:rsidRPr="002F4E96" w:rsidRDefault="009A14E4" w:rsidP="009A14E4">
      <w:pPr>
        <w:jc w:val="center"/>
        <w:rPr>
          <w:rFonts w:ascii="Times New Roman" w:hAnsi="Times New Roman" w:cs="Times New Roman"/>
        </w:rPr>
      </w:pPr>
      <w:r w:rsidRPr="002F4E96">
        <w:rPr>
          <w:rFonts w:ascii="Times New Roman" w:hAnsi="Times New Roman" w:cs="Times New Roman"/>
          <w:noProof/>
        </w:rPr>
        <w:drawing>
          <wp:inline distT="0" distB="0" distL="0" distR="0" wp14:anchorId="4BB6B43E" wp14:editId="68465C58">
            <wp:extent cx="4445251" cy="3045583"/>
            <wp:effectExtent l="0" t="0" r="0" b="254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48112" cy="3047543"/>
                    </a:xfrm>
                    <a:prstGeom prst="rect">
                      <a:avLst/>
                    </a:prstGeom>
                  </pic:spPr>
                </pic:pic>
              </a:graphicData>
            </a:graphic>
          </wp:inline>
        </w:drawing>
      </w:r>
    </w:p>
    <w:p w14:paraId="726366B4" w14:textId="36551256" w:rsidR="00572D91" w:rsidRPr="002F4E96" w:rsidRDefault="009A14E4" w:rsidP="00E95410">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Fig. 1</w:t>
      </w:r>
      <w:r w:rsidR="00D07364" w:rsidRPr="002F4E96">
        <w:rPr>
          <w:rFonts w:ascii="Times New Roman" w:hAnsi="Times New Roman" w:cs="Times New Roman"/>
          <w:b w:val="0"/>
          <w:bCs w:val="0"/>
          <w:color w:val="auto"/>
          <w:sz w:val="22"/>
          <w:szCs w:val="22"/>
        </w:rPr>
        <w:t>5</w:t>
      </w:r>
      <w:r w:rsidRPr="002F4E96">
        <w:rPr>
          <w:rFonts w:ascii="Times New Roman" w:hAnsi="Times New Roman" w:cs="Times New Roman"/>
          <w:b w:val="0"/>
          <w:bCs w:val="0"/>
          <w:color w:val="auto"/>
          <w:sz w:val="22"/>
          <w:szCs w:val="22"/>
        </w:rPr>
        <w:t>: Schematics showing areas of maximum plastic shear strain</w:t>
      </w:r>
    </w:p>
    <w:p w14:paraId="73D780C9" w14:textId="413F4727" w:rsidR="000F0595" w:rsidRPr="002F4E96" w:rsidRDefault="00AE0FED" w:rsidP="000F0595">
      <w:pPr>
        <w:pStyle w:val="Heading3"/>
        <w:spacing w:line="360" w:lineRule="auto"/>
        <w:jc w:val="both"/>
        <w:rPr>
          <w:rFonts w:ascii="Times New Roman" w:hAnsi="Times New Roman" w:cs="Times New Roman"/>
          <w:color w:val="auto"/>
          <w:sz w:val="22"/>
          <w:szCs w:val="22"/>
        </w:rPr>
      </w:pPr>
      <w:r w:rsidRPr="002F4E96">
        <w:rPr>
          <w:rFonts w:ascii="Times New Roman" w:hAnsi="Times New Roman" w:cs="Times New Roman"/>
          <w:color w:val="auto"/>
          <w:sz w:val="22"/>
          <w:szCs w:val="22"/>
        </w:rPr>
        <w:t>3.</w:t>
      </w:r>
      <w:r w:rsidR="00F10CD8" w:rsidRPr="002F4E96">
        <w:rPr>
          <w:rFonts w:ascii="Times New Roman" w:hAnsi="Times New Roman" w:cs="Times New Roman"/>
          <w:color w:val="auto"/>
          <w:sz w:val="22"/>
          <w:szCs w:val="22"/>
        </w:rPr>
        <w:t>5</w:t>
      </w:r>
      <w:r w:rsidR="000F0595" w:rsidRPr="002F4E96">
        <w:rPr>
          <w:rFonts w:ascii="Times New Roman" w:hAnsi="Times New Roman" w:cs="Times New Roman"/>
          <w:color w:val="auto"/>
          <w:sz w:val="22"/>
          <w:szCs w:val="22"/>
        </w:rPr>
        <w:t xml:space="preserve"> Study of Creep Energy Density on the Solder Joint Alloys</w:t>
      </w:r>
    </w:p>
    <w:p w14:paraId="766DF832" w14:textId="1E776A35" w:rsidR="000F0595" w:rsidRPr="002F4E96" w:rsidRDefault="00FC3217" w:rsidP="000F0595">
      <w:pPr>
        <w:spacing w:line="360" w:lineRule="auto"/>
        <w:jc w:val="both"/>
        <w:rPr>
          <w:rFonts w:ascii="Times New Roman" w:hAnsi="Times New Roman" w:cs="Times New Roman"/>
        </w:rPr>
      </w:pPr>
      <w:r w:rsidRPr="002F4E96">
        <w:rPr>
          <w:rFonts w:ascii="Times New Roman" w:hAnsi="Times New Roman" w:cs="Times New Roman"/>
        </w:rPr>
        <w:t xml:space="preserve">The creep energy density </w:t>
      </w:r>
      <w:r w:rsidR="004A0F82" w:rsidRPr="002F4E96">
        <w:rPr>
          <w:rFonts w:ascii="Times New Roman" w:hAnsi="Times New Roman" w:cs="Times New Roman"/>
        </w:rPr>
        <w:t>indicates</w:t>
      </w:r>
      <w:r w:rsidRPr="002F4E96">
        <w:rPr>
          <w:rFonts w:ascii="Times New Roman" w:hAnsi="Times New Roman" w:cs="Times New Roman"/>
        </w:rPr>
        <w:t xml:space="preserve"> that eutectic Sn63Pb37 and</w:t>
      </w:r>
      <w:r w:rsidR="00084426" w:rsidRPr="002F4E96">
        <w:rPr>
          <w:rFonts w:ascii="Times New Roman" w:hAnsi="Times New Roman" w:cs="Times New Roman"/>
        </w:rPr>
        <w:t xml:space="preserve"> </w:t>
      </w:r>
      <w:r w:rsidRPr="002F4E96">
        <w:rPr>
          <w:rFonts w:ascii="Times New Roman" w:hAnsi="Times New Roman" w:cs="Times New Roman"/>
        </w:rPr>
        <w:t xml:space="preserve">SAC405 has the lowest strain energy density of </w:t>
      </w:r>
      <m:oMath>
        <m:sSup>
          <m:sSupPr>
            <m:ctrlPr>
              <w:rPr>
                <w:rFonts w:ascii="Cambria Math" w:hAnsi="Cambria Math" w:cs="Times New Roman"/>
                <w:i/>
              </w:rPr>
            </m:ctrlPr>
          </m:sSupPr>
          <m:e>
            <m:r>
              <w:rPr>
                <w:rFonts w:ascii="Cambria Math" w:hAnsi="Cambria Math" w:cs="Times New Roman"/>
              </w:rPr>
              <m:t>2.50×10</m:t>
            </m:r>
          </m:e>
          <m:sup>
            <m:r>
              <w:rPr>
                <w:rFonts w:ascii="Cambria Math" w:hAnsi="Cambria Math" w:cs="Times New Roman"/>
              </w:rPr>
              <m:t>-6</m:t>
            </m:r>
          </m:sup>
        </m:sSup>
        <m:sSup>
          <m:sSupPr>
            <m:ctrlPr>
              <w:rPr>
                <w:rFonts w:ascii="Cambria Math"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oMath>
      <w:r w:rsidRPr="002F4E96">
        <w:rPr>
          <w:rFonts w:ascii="Times New Roman" w:hAnsi="Times New Roman" w:cs="Times New Roman"/>
          <w:iCs/>
        </w:rPr>
        <w:t xml:space="preserve"> and</w:t>
      </w:r>
      <w:r w:rsidRPr="002F4E96">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2.48×10</m:t>
            </m:r>
          </m:e>
          <m:sup>
            <m:r>
              <w:rPr>
                <w:rFonts w:ascii="Cambria Math" w:hAnsi="Cambria Math" w:cs="Times New Roman"/>
              </w:rPr>
              <m:t>-7</m:t>
            </m:r>
          </m:sup>
        </m:sSup>
        <m:sSup>
          <m:sSupPr>
            <m:ctrlPr>
              <w:rPr>
                <w:rFonts w:ascii="Cambria Math"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oMath>
      <w:r w:rsidRPr="002F4E96">
        <w:rPr>
          <w:rFonts w:ascii="Times New Roman" w:hAnsi="Times New Roman" w:cs="Times New Roman"/>
        </w:rPr>
        <w:t xml:space="preserve"> with the highest been on SAC387 </w:t>
      </w:r>
      <m:oMath>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1.33×10</m:t>
                </m:r>
              </m:e>
              <m:sup>
                <m:r>
                  <w:rPr>
                    <w:rFonts w:ascii="Cambria Math" w:hAnsi="Cambria Math" w:cs="Times New Roman"/>
                  </w:rPr>
                  <m:t>-6</m:t>
                </m:r>
              </m:sup>
            </m:sSup>
            <m:sSup>
              <m:sSupPr>
                <m:ctrlPr>
                  <w:rPr>
                    <w:rFonts w:ascii="Cambria Math"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e>
        </m:d>
      </m:oMath>
      <w:r w:rsidRPr="002F4E96">
        <w:rPr>
          <w:rFonts w:ascii="Times New Roman" w:hAnsi="Times New Roman" w:cs="Times New Roman"/>
        </w:rPr>
        <w:t xml:space="preserve">. The other solder alloys are SAC305 </w:t>
      </w:r>
      <m:oMath>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8.76×10</m:t>
                </m:r>
              </m:e>
              <m:sup>
                <m:r>
                  <w:rPr>
                    <w:rFonts w:ascii="Cambria Math" w:hAnsi="Cambria Math" w:cs="Times New Roman"/>
                  </w:rPr>
                  <m:t>-6</m:t>
                </m:r>
              </m:sup>
            </m:sSup>
            <m:sSup>
              <m:sSupPr>
                <m:ctrlPr>
                  <w:rPr>
                    <w:rFonts w:ascii="Cambria Math"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e>
        </m:d>
      </m:oMath>
      <w:r w:rsidRPr="002F4E96">
        <w:rPr>
          <w:rFonts w:ascii="Times New Roman" w:hAnsi="Times New Roman" w:cs="Times New Roman"/>
        </w:rPr>
        <w:t xml:space="preserve"> and SAC396 </w:t>
      </w:r>
      <m:oMath>
        <m:d>
          <m:dPr>
            <m:ctrlPr>
              <w:rPr>
                <w:rFonts w:ascii="Cambria Math" w:hAnsi="Cambria Math" w:cs="Times New Roman"/>
                <w:i/>
              </w:rPr>
            </m:ctrlPr>
          </m:dPr>
          <m:e>
            <m:r>
              <w:rPr>
                <w:rFonts w:ascii="Cambria Math" w:hAnsi="Cambria Math" w:cs="Times New Roman"/>
              </w:rPr>
              <m:t>2.98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sSup>
              <m:sSupPr>
                <m:ctrlPr>
                  <w:rPr>
                    <w:rFonts w:ascii="Cambria Math"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e>
        </m:d>
      </m:oMath>
      <w:r w:rsidRPr="002F4E96">
        <w:rPr>
          <w:rFonts w:ascii="Times New Roman" w:hAnsi="Times New Roman" w:cs="Times New Roman"/>
        </w:rPr>
        <w:t xml:space="preserve">, respectively. </w:t>
      </w:r>
      <w:r w:rsidR="000F0595" w:rsidRPr="002F4E96">
        <w:rPr>
          <w:rFonts w:ascii="Times New Roman" w:hAnsi="Times New Roman" w:cs="Times New Roman"/>
        </w:rPr>
        <w:t>The accumulated creep energy density per cycle (</w:t>
      </w:r>
      <m:oMath>
        <m:sSup>
          <m:sSupPr>
            <m:ctrlPr>
              <w:rPr>
                <w:rFonts w:ascii="Cambria Math" w:eastAsia="Times New Roman" w:hAnsi="Cambria Math" w:cs="Times New Roman"/>
                <w:iCs/>
              </w:rPr>
            </m:ctrlPr>
          </m:sSupPr>
          <m:e>
            <m:r>
              <m:rPr>
                <m:sty m:val="p"/>
              </m:rPr>
              <w:rPr>
                <w:rFonts w:ascii="Cambria Math" w:hAnsi="Cambria Math" w:cs="Times New Roman"/>
              </w:rPr>
              <m:t>J/m</m:t>
            </m:r>
          </m:e>
          <m:sup>
            <m:r>
              <m:rPr>
                <m:sty m:val="p"/>
              </m:rPr>
              <w:rPr>
                <w:rFonts w:ascii="Cambria Math" w:hAnsi="Cambria Math" w:cs="Times New Roman"/>
              </w:rPr>
              <m:t>3</m:t>
            </m:r>
          </m:sup>
        </m:sSup>
        <m:r>
          <w:rPr>
            <w:rFonts w:ascii="Cambria Math" w:hAnsi="Cambria Math" w:cs="Times New Roman"/>
          </w:rPr>
          <m:t>)</m:t>
        </m:r>
      </m:oMath>
      <w:r w:rsidR="000F0595" w:rsidRPr="002F4E96">
        <w:rPr>
          <w:rFonts w:ascii="Times New Roman" w:hAnsi="Times New Roman" w:cs="Times New Roman"/>
        </w:rPr>
        <w:t xml:space="preserve"> is calculated using equation 18 – 20 with equation </w:t>
      </w:r>
      <w:r w:rsidR="0070142F" w:rsidRPr="002F4E96">
        <w:rPr>
          <w:rFonts w:ascii="Times New Roman" w:hAnsi="Times New Roman" w:cs="Times New Roman"/>
        </w:rPr>
        <w:t>16</w:t>
      </w:r>
      <w:r w:rsidR="000F0595" w:rsidRPr="002F4E96">
        <w:rPr>
          <w:rFonts w:ascii="Times New Roman" w:hAnsi="Times New Roman" w:cs="Times New Roman"/>
        </w:rPr>
        <w:t xml:space="preserve"> employed in the computation of the </w:t>
      </w:r>
      <w:r w:rsidR="000F0595" w:rsidRPr="002F4E96">
        <w:rPr>
          <w:rFonts w:ascii="Times New Roman" w:hAnsi="Times New Roman" w:cs="Times New Roman"/>
          <w:bCs/>
        </w:rPr>
        <w:t>number of repetitions or cycles to failure for the solder alloys.</w:t>
      </w:r>
      <w:r w:rsidR="000F0595" w:rsidRPr="002F4E96">
        <w:rPr>
          <w:rFonts w:ascii="Times New Roman" w:hAnsi="Times New Roman" w:cs="Times New Roman"/>
        </w:rPr>
        <w:t xml:space="preserve"> The results show that </w:t>
      </w:r>
      <w:r w:rsidR="00EB04D8" w:rsidRPr="002F4E96">
        <w:rPr>
          <w:rFonts w:ascii="Times New Roman" w:hAnsi="Times New Roman" w:cs="Times New Roman"/>
        </w:rPr>
        <w:t xml:space="preserve">the </w:t>
      </w:r>
      <w:r w:rsidR="000F0595" w:rsidRPr="002F4E96">
        <w:rPr>
          <w:rFonts w:ascii="Times New Roman" w:hAnsi="Times New Roman" w:cs="Times New Roman"/>
        </w:rPr>
        <w:t>total energy dissipated is lowest on SAC396 and highest on SAC387. The damage parameter for the life prediction is observed to be highest on SAC405 with ~11.32 years and SAC396 with ~9.</w:t>
      </w:r>
      <w:r w:rsidR="00D07364" w:rsidRPr="002F4E96">
        <w:rPr>
          <w:rFonts w:ascii="Times New Roman" w:hAnsi="Times New Roman" w:cs="Times New Roman"/>
        </w:rPr>
        <w:t xml:space="preserve">7 </w:t>
      </w:r>
      <w:r w:rsidR="000F0595" w:rsidRPr="002F4E96">
        <w:rPr>
          <w:rFonts w:ascii="Times New Roman" w:hAnsi="Times New Roman" w:cs="Times New Roman"/>
        </w:rPr>
        <w:t xml:space="preserve"> years. The lowest life prediction was estimated on the SAC387 </w:t>
      </w:r>
      <w:r w:rsidR="000F0595" w:rsidRPr="002F4E96">
        <w:rPr>
          <w:rFonts w:ascii="Times New Roman" w:hAnsi="Times New Roman" w:cs="Times New Roman"/>
        </w:rPr>
        <w:lastRenderedPageBreak/>
        <w:t>with ~1.</w:t>
      </w:r>
      <w:r w:rsidR="00F4719C" w:rsidRPr="002F4E96">
        <w:rPr>
          <w:rFonts w:ascii="Times New Roman" w:hAnsi="Times New Roman" w:cs="Times New Roman"/>
        </w:rPr>
        <w:t>74</w:t>
      </w:r>
      <w:r w:rsidR="000F0595" w:rsidRPr="002F4E96">
        <w:rPr>
          <w:rFonts w:ascii="Times New Roman" w:hAnsi="Times New Roman" w:cs="Times New Roman"/>
        </w:rPr>
        <w:t xml:space="preserve"> years</w:t>
      </w:r>
      <w:r w:rsidR="00CE0770" w:rsidRPr="002F4E96">
        <w:rPr>
          <w:rFonts w:ascii="Times New Roman" w:hAnsi="Times New Roman" w:cs="Times New Roman"/>
        </w:rPr>
        <w:t>,</w:t>
      </w:r>
      <w:r w:rsidR="000F0595" w:rsidRPr="002F4E96">
        <w:rPr>
          <w:rFonts w:ascii="Times New Roman" w:hAnsi="Times New Roman" w:cs="Times New Roman"/>
        </w:rPr>
        <w:t xml:space="preserve"> as presented in Fig. </w:t>
      </w:r>
      <w:r w:rsidR="006937F7" w:rsidRPr="002F4E96">
        <w:rPr>
          <w:rFonts w:ascii="Times New Roman" w:hAnsi="Times New Roman" w:cs="Times New Roman"/>
        </w:rPr>
        <w:t>2</w:t>
      </w:r>
      <w:r w:rsidR="00F4719C" w:rsidRPr="002F4E96">
        <w:rPr>
          <w:rFonts w:ascii="Times New Roman" w:hAnsi="Times New Roman" w:cs="Times New Roman"/>
        </w:rPr>
        <w:t>1</w:t>
      </w:r>
      <w:r w:rsidR="000F0595" w:rsidRPr="002F4E96">
        <w:rPr>
          <w:rFonts w:ascii="Times New Roman" w:hAnsi="Times New Roman" w:cs="Times New Roman"/>
        </w:rPr>
        <w:t xml:space="preserve">. This result is vital in maintaining the solder durability and safety </w:t>
      </w:r>
      <w:r w:rsidR="00EB04D8" w:rsidRPr="002F4E96">
        <w:rPr>
          <w:rFonts w:ascii="Times New Roman" w:hAnsi="Times New Roman" w:cs="Times New Roman"/>
        </w:rPr>
        <w:t>of</w:t>
      </w:r>
      <w:r w:rsidR="000F0595" w:rsidRPr="002F4E96">
        <w:rPr>
          <w:rFonts w:ascii="Times New Roman" w:hAnsi="Times New Roman" w:cs="Times New Roman"/>
        </w:rPr>
        <w:t xml:space="preserve"> the BGA electronic components.</w:t>
      </w:r>
    </w:p>
    <w:p w14:paraId="257BC807" w14:textId="7C38FF21" w:rsidR="003F7977" w:rsidRPr="002F4E96" w:rsidRDefault="003F7977" w:rsidP="003F7977">
      <w:pPr>
        <w:spacing w:line="360" w:lineRule="auto"/>
        <w:jc w:val="both"/>
        <w:rPr>
          <w:rFonts w:ascii="Times New Roman" w:hAnsi="Times New Roman" w:cs="Times New Roman"/>
        </w:rPr>
      </w:pPr>
      <w:r w:rsidRPr="002F4E96">
        <w:rPr>
          <w:rFonts w:ascii="Times New Roman" w:hAnsi="Times New Roman" w:cs="Times New Roman"/>
        </w:rPr>
        <w:t xml:space="preserve">The results in Fig. </w:t>
      </w:r>
      <w:r w:rsidR="00995B63" w:rsidRPr="002F4E96">
        <w:rPr>
          <w:rFonts w:ascii="Times New Roman" w:hAnsi="Times New Roman" w:cs="Times New Roman"/>
        </w:rPr>
        <w:t>1</w:t>
      </w:r>
      <w:r w:rsidR="00BB0B9E" w:rsidRPr="002F4E96">
        <w:rPr>
          <w:rFonts w:ascii="Times New Roman" w:hAnsi="Times New Roman" w:cs="Times New Roman"/>
        </w:rPr>
        <w:t>6</w:t>
      </w:r>
      <w:r w:rsidR="00995B63" w:rsidRPr="002F4E96">
        <w:rPr>
          <w:rFonts w:ascii="Times New Roman" w:hAnsi="Times New Roman" w:cs="Times New Roman"/>
        </w:rPr>
        <w:t xml:space="preserve"> </w:t>
      </w:r>
      <w:r w:rsidRPr="002F4E96">
        <w:rPr>
          <w:rFonts w:ascii="Times New Roman" w:hAnsi="Times New Roman" w:cs="Times New Roman"/>
        </w:rPr>
        <w:t xml:space="preserve"> show a stable and identical creep energy density on Sn63Pb37, SAC396 and SAC405 solder alloys. Only the SAC387 increases up cycle 2 and then sharply decrease with a negative gradient of </w:t>
      </w:r>
      <m:oMath>
        <m:sSup>
          <m:sSupPr>
            <m:ctrlPr>
              <w:rPr>
                <w:rFonts w:ascii="Cambria Math" w:hAnsi="Cambria Math" w:cs="Times New Roman"/>
              </w:rPr>
            </m:ctrlPr>
          </m:sSupPr>
          <m:e>
            <m:r>
              <m:rPr>
                <m:sty m:val="p"/>
              </m:rPr>
              <w:rPr>
                <w:rFonts w:ascii="Cambria Math" w:hAnsi="Cambria Math" w:cs="Times New Roman"/>
              </w:rPr>
              <m:t>1.4×10</m:t>
            </m:r>
          </m:e>
          <m:sup>
            <m:r>
              <m:rPr>
                <m:sty m:val="p"/>
              </m:rPr>
              <w:rPr>
                <w:rFonts w:ascii="Cambria Math" w:hAnsi="Cambria Math" w:cs="Times New Roman"/>
              </w:rPr>
              <m:t>-8</m:t>
            </m:r>
          </m:sup>
        </m:sSup>
        <m:sSup>
          <m:sSupPr>
            <m:ctrlPr>
              <w:rPr>
                <w:rFonts w:ascii="Cambria Math" w:hAnsi="Cambria Math" w:cs="Times New Roman"/>
              </w:rPr>
            </m:ctrlPr>
          </m:sSupPr>
          <m:e>
            <m:r>
              <m:rPr>
                <m:sty m:val="p"/>
              </m:rPr>
              <w:rPr>
                <w:rFonts w:ascii="Cambria Math" w:hAnsi="Cambria Math" w:cs="Times New Roman"/>
              </w:rPr>
              <m:t>J/m</m:t>
            </m:r>
          </m:e>
          <m:sup>
            <m:r>
              <m:rPr>
                <m:sty m:val="p"/>
              </m:rPr>
              <w:rPr>
                <w:rFonts w:ascii="Cambria Math" w:hAnsi="Cambria Math" w:cs="Times New Roman"/>
              </w:rPr>
              <m:t>3</m:t>
            </m:r>
          </m:sup>
        </m:sSup>
      </m:oMath>
      <w:r w:rsidRPr="002F4E96">
        <w:rPr>
          <w:rFonts w:ascii="Times New Roman" w:hAnsi="Times New Roman" w:cs="Times New Roman"/>
        </w:rPr>
        <w:t xml:space="preserve"> and </w:t>
      </w:r>
      <m:oMath>
        <m:sSup>
          <m:sSupPr>
            <m:ctrlPr>
              <w:rPr>
                <w:rFonts w:ascii="Cambria Math" w:hAnsi="Cambria Math" w:cs="Times New Roman"/>
              </w:rPr>
            </m:ctrlPr>
          </m:sSupPr>
          <m:e>
            <m:r>
              <m:rPr>
                <m:sty m:val="p"/>
              </m:rPr>
              <w:rPr>
                <w:rFonts w:ascii="Cambria Math" w:hAnsi="Cambria Math" w:cs="Times New Roman"/>
              </w:rPr>
              <m:t>4.08×10</m:t>
            </m:r>
          </m:e>
          <m:sup>
            <m:r>
              <m:rPr>
                <m:sty m:val="p"/>
              </m:rPr>
              <w:rPr>
                <w:rFonts w:ascii="Cambria Math" w:hAnsi="Cambria Math" w:cs="Times New Roman"/>
              </w:rPr>
              <m:t>-9</m:t>
            </m:r>
          </m:sup>
        </m:sSup>
        <m:sSup>
          <m:sSupPr>
            <m:ctrlPr>
              <w:rPr>
                <w:rFonts w:ascii="Cambria Math" w:hAnsi="Cambria Math" w:cs="Times New Roman"/>
              </w:rPr>
            </m:ctrlPr>
          </m:sSupPr>
          <m:e>
            <m:r>
              <m:rPr>
                <m:sty m:val="p"/>
              </m:rPr>
              <w:rPr>
                <w:rFonts w:ascii="Cambria Math" w:hAnsi="Cambria Math" w:cs="Times New Roman"/>
              </w:rPr>
              <m:t>J/m</m:t>
            </m:r>
          </m:e>
          <m:sup>
            <m:r>
              <m:rPr>
                <m:sty m:val="p"/>
              </m:rPr>
              <w:rPr>
                <w:rFonts w:ascii="Cambria Math" w:hAnsi="Cambria Math" w:cs="Times New Roman"/>
              </w:rPr>
              <m:t>3</m:t>
            </m:r>
          </m:sup>
        </m:sSup>
      </m:oMath>
      <w:r w:rsidRPr="002F4E96">
        <w:rPr>
          <w:rFonts w:ascii="Times New Roman" w:hAnsi="Times New Roman" w:cs="Times New Roman"/>
        </w:rPr>
        <w:t xml:space="preserve"> on the SAC305 solder alloy. The damage on the solder alloy is highest on SAC387 and lowest on the lead-based eutectic Sn63Pb37 and lead-free SAC405 and SAC396, respectively.</w:t>
      </w:r>
    </w:p>
    <w:p w14:paraId="02F3E020" w14:textId="77777777" w:rsidR="003F7977" w:rsidRPr="002F4E96" w:rsidRDefault="003F7977" w:rsidP="000F0595">
      <w:pPr>
        <w:spacing w:line="360" w:lineRule="auto"/>
        <w:jc w:val="both"/>
        <w:rPr>
          <w:rFonts w:ascii="Times New Roman" w:hAnsi="Times New Roman" w:cs="Times New Roman"/>
        </w:rPr>
      </w:pPr>
    </w:p>
    <w:p w14:paraId="579F6271" w14:textId="629FAFDA" w:rsidR="00EA3586" w:rsidRPr="002F4E96" w:rsidRDefault="00EA3586" w:rsidP="008E342E">
      <w:pPr>
        <w:spacing w:line="360" w:lineRule="auto"/>
        <w:jc w:val="center"/>
        <w:rPr>
          <w:rFonts w:ascii="Times New Roman" w:hAnsi="Times New Roman" w:cs="Times New Roman"/>
        </w:rPr>
      </w:pPr>
      <w:r w:rsidRPr="002F4E96">
        <w:rPr>
          <w:rFonts w:ascii="Times New Roman" w:hAnsi="Times New Roman" w:cs="Times New Roman"/>
          <w:noProof/>
          <w:lang w:eastAsia="en-GB"/>
        </w:rPr>
        <w:drawing>
          <wp:inline distT="0" distB="0" distL="0" distR="0" wp14:anchorId="4B4156ED" wp14:editId="712FAAAF">
            <wp:extent cx="4906978" cy="3204268"/>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3495" cy="3215054"/>
                    </a:xfrm>
                    <a:prstGeom prst="rect">
                      <a:avLst/>
                    </a:prstGeom>
                  </pic:spPr>
                </pic:pic>
              </a:graphicData>
            </a:graphic>
          </wp:inline>
        </w:drawing>
      </w:r>
    </w:p>
    <w:p w14:paraId="2C62119C" w14:textId="67CB9D0B" w:rsidR="00EA3586" w:rsidRPr="002F4E96" w:rsidRDefault="00EA3586" w:rsidP="00EA3586">
      <w:pPr>
        <w:spacing w:line="360" w:lineRule="auto"/>
        <w:jc w:val="center"/>
        <w:rPr>
          <w:rFonts w:ascii="Times New Roman" w:hAnsi="Times New Roman" w:cs="Times New Roman"/>
        </w:rPr>
      </w:pPr>
      <w:r w:rsidRPr="002F4E96">
        <w:rPr>
          <w:rFonts w:ascii="Times New Roman" w:hAnsi="Times New Roman" w:cs="Times New Roman"/>
        </w:rPr>
        <w:t>Fig.</w:t>
      </w:r>
      <w:r w:rsidR="00995B63" w:rsidRPr="002F4E96">
        <w:rPr>
          <w:rFonts w:ascii="Times New Roman" w:hAnsi="Times New Roman" w:cs="Times New Roman"/>
        </w:rPr>
        <w:t xml:space="preserve"> 1</w:t>
      </w:r>
      <w:r w:rsidR="00D07364" w:rsidRPr="002F4E96">
        <w:rPr>
          <w:rFonts w:ascii="Times New Roman" w:hAnsi="Times New Roman" w:cs="Times New Roman"/>
        </w:rPr>
        <w:t>6</w:t>
      </w:r>
      <w:r w:rsidRPr="002F4E96">
        <w:rPr>
          <w:rFonts w:ascii="Times New Roman" w:hAnsi="Times New Roman" w:cs="Times New Roman"/>
        </w:rPr>
        <w:t xml:space="preserve">: Creep </w:t>
      </w:r>
      <w:r w:rsidR="00E95410" w:rsidRPr="002F4E96">
        <w:rPr>
          <w:rFonts w:ascii="Times New Roman" w:hAnsi="Times New Roman" w:cs="Times New Roman"/>
        </w:rPr>
        <w:t>energy density vs cycle time for solder joint alloys</w:t>
      </w:r>
    </w:p>
    <w:p w14:paraId="14360D91" w14:textId="22914513" w:rsidR="00C27E4A" w:rsidRPr="002F4E96" w:rsidRDefault="00C27E4A" w:rsidP="004A65BF">
      <w:pPr>
        <w:pStyle w:val="Heading3"/>
        <w:spacing w:line="360" w:lineRule="auto"/>
        <w:jc w:val="both"/>
        <w:rPr>
          <w:rFonts w:ascii="Times New Roman" w:hAnsi="Times New Roman" w:cs="Times New Roman"/>
          <w:color w:val="auto"/>
          <w:sz w:val="22"/>
          <w:szCs w:val="22"/>
        </w:rPr>
      </w:pPr>
      <w:bookmarkStart w:id="19" w:name="_Toc33286861"/>
      <w:r w:rsidRPr="002F4E96">
        <w:rPr>
          <w:rFonts w:ascii="Times New Roman" w:hAnsi="Times New Roman" w:cs="Times New Roman"/>
          <w:color w:val="auto"/>
          <w:sz w:val="22"/>
          <w:szCs w:val="22"/>
        </w:rPr>
        <w:t>3.</w:t>
      </w:r>
      <w:r w:rsidR="00F10CD8" w:rsidRPr="002F4E96">
        <w:rPr>
          <w:rFonts w:ascii="Times New Roman" w:hAnsi="Times New Roman" w:cs="Times New Roman"/>
          <w:color w:val="auto"/>
          <w:sz w:val="22"/>
          <w:szCs w:val="22"/>
        </w:rPr>
        <w:t>6</w:t>
      </w:r>
      <w:r w:rsidRPr="002F4E96">
        <w:rPr>
          <w:rFonts w:ascii="Times New Roman" w:hAnsi="Times New Roman" w:cs="Times New Roman"/>
          <w:color w:val="auto"/>
          <w:sz w:val="22"/>
          <w:szCs w:val="22"/>
        </w:rPr>
        <w:t xml:space="preserve"> Study of Stress and Strain Relationship</w:t>
      </w:r>
      <w:bookmarkEnd w:id="19"/>
    </w:p>
    <w:p w14:paraId="0510D116" w14:textId="075D8A7D" w:rsidR="00CC3219" w:rsidRPr="002F4E96" w:rsidRDefault="00C27E4A" w:rsidP="00E25989">
      <w:pPr>
        <w:pStyle w:val="NoSpacing"/>
        <w:spacing w:line="360" w:lineRule="auto"/>
        <w:jc w:val="both"/>
        <w:rPr>
          <w:rFonts w:ascii="Times New Roman" w:hAnsi="Times New Roman" w:cs="Times New Roman"/>
          <w:sz w:val="22"/>
          <w:szCs w:val="22"/>
        </w:rPr>
      </w:pPr>
      <w:r w:rsidRPr="002F4E96">
        <w:rPr>
          <w:rFonts w:ascii="Times New Roman" w:hAnsi="Times New Roman" w:cs="Times New Roman"/>
          <w:sz w:val="22"/>
          <w:szCs w:val="22"/>
        </w:rPr>
        <w:t>The plots for the stress-strain relationships for the lead-based eutectic Sn63Pb37 and four SnAgCu (</w:t>
      </w:r>
      <w:r w:rsidR="00F54AE7" w:rsidRPr="002F4E96">
        <w:rPr>
          <w:rFonts w:ascii="Times New Roman" w:hAnsi="Times New Roman" w:cs="Times New Roman"/>
          <w:sz w:val="22"/>
          <w:szCs w:val="22"/>
        </w:rPr>
        <w:t>SAC</w:t>
      </w:r>
      <w:r w:rsidRPr="002F4E96">
        <w:rPr>
          <w:rFonts w:ascii="Times New Roman" w:hAnsi="Times New Roman" w:cs="Times New Roman"/>
          <w:sz w:val="22"/>
          <w:szCs w:val="22"/>
        </w:rPr>
        <w:t>) solder alloys is presented in Fig. 1</w:t>
      </w:r>
      <w:r w:rsidR="00BB0B9E" w:rsidRPr="002F4E96">
        <w:rPr>
          <w:rFonts w:ascii="Times New Roman" w:hAnsi="Times New Roman" w:cs="Times New Roman"/>
          <w:sz w:val="22"/>
          <w:szCs w:val="22"/>
        </w:rPr>
        <w:t>7</w:t>
      </w:r>
      <w:r w:rsidRPr="002F4E96">
        <w:rPr>
          <w:rFonts w:ascii="Times New Roman" w:hAnsi="Times New Roman" w:cs="Times New Roman"/>
          <w:sz w:val="22"/>
          <w:szCs w:val="22"/>
        </w:rPr>
        <w:t xml:space="preserve">. It is vital to assess the stress-strain distribution in the solder joints as the </w:t>
      </w:r>
      <w:r w:rsidR="00714F64" w:rsidRPr="002F4E96">
        <w:rPr>
          <w:rFonts w:ascii="Times New Roman" w:hAnsi="Times New Roman" w:cs="Times New Roman"/>
          <w:sz w:val="22"/>
          <w:szCs w:val="22"/>
        </w:rPr>
        <w:t>assembly's weakest part</w:t>
      </w:r>
      <w:r w:rsidRPr="002F4E96">
        <w:rPr>
          <w:rFonts w:ascii="Times New Roman" w:hAnsi="Times New Roman" w:cs="Times New Roman"/>
          <w:sz w:val="22"/>
          <w:szCs w:val="22"/>
        </w:rPr>
        <w:t>. The plot values of eutectic Sn63Pb37 and lead-free SAC305, SAC387, SAC396 and SAC405 solder alloys stress magnitude and strain rate</w:t>
      </w:r>
      <w:r w:rsidR="00722674" w:rsidRPr="002F4E96">
        <w:rPr>
          <w:rFonts w:ascii="Times New Roman" w:hAnsi="Times New Roman" w:cs="Times New Roman"/>
          <w:sz w:val="22"/>
          <w:szCs w:val="22"/>
        </w:rPr>
        <w:t xml:space="preserve"> are presented</w:t>
      </w:r>
      <w:r w:rsidRPr="002F4E96">
        <w:rPr>
          <w:rFonts w:ascii="Times New Roman" w:hAnsi="Times New Roman" w:cs="Times New Roman"/>
          <w:sz w:val="22"/>
          <w:szCs w:val="22"/>
        </w:rPr>
        <w:t xml:space="preserve">. It is </w:t>
      </w:r>
      <w:r w:rsidR="00F54AE7" w:rsidRPr="002F4E96">
        <w:rPr>
          <w:rFonts w:ascii="Times New Roman" w:hAnsi="Times New Roman" w:cs="Times New Roman"/>
          <w:sz w:val="22"/>
          <w:szCs w:val="22"/>
        </w:rPr>
        <w:t>recognised</w:t>
      </w:r>
      <w:r w:rsidRPr="002F4E96">
        <w:rPr>
          <w:rFonts w:ascii="Times New Roman" w:hAnsi="Times New Roman" w:cs="Times New Roman"/>
          <w:sz w:val="22"/>
          <w:szCs w:val="22"/>
        </w:rPr>
        <w:t xml:space="preserve"> that at the same load and boundary conditions, SAC405 shows the highest stress magnitude</w:t>
      </w:r>
      <w:r w:rsidR="00714F64" w:rsidRPr="002F4E96">
        <w:rPr>
          <w:rFonts w:ascii="Times New Roman" w:hAnsi="Times New Roman" w:cs="Times New Roman"/>
          <w:sz w:val="22"/>
          <w:szCs w:val="22"/>
        </w:rPr>
        <w:t>,</w:t>
      </w:r>
      <w:r w:rsidRPr="002F4E96">
        <w:rPr>
          <w:rFonts w:ascii="Times New Roman" w:hAnsi="Times New Roman" w:cs="Times New Roman"/>
          <w:sz w:val="22"/>
          <w:szCs w:val="22"/>
        </w:rPr>
        <w:t xml:space="preserve"> followed by SAC387 with the maximum strain rate. The lowest strain rate was noticed for Sn63Pb37, SAC405, and SAC305, with the highest been SAC387. The stress-strain curve further reveals a concave downward with one tangent. The </w:t>
      </w:r>
      <w:r w:rsidR="00714F64" w:rsidRPr="002F4E96">
        <w:rPr>
          <w:rFonts w:ascii="Times New Roman" w:hAnsi="Times New Roman" w:cs="Times New Roman"/>
          <w:sz w:val="22"/>
          <w:szCs w:val="22"/>
        </w:rPr>
        <w:t>secant line slope</w:t>
      </w:r>
      <w:r w:rsidRPr="002F4E96">
        <w:rPr>
          <w:rFonts w:ascii="Times New Roman" w:hAnsi="Times New Roman" w:cs="Times New Roman"/>
          <w:sz w:val="22"/>
          <w:szCs w:val="22"/>
        </w:rPr>
        <w:t xml:space="preserve"> </w:t>
      </w:r>
      <w:r w:rsidR="00E93FC7" w:rsidRPr="002F4E96">
        <w:rPr>
          <w:rFonts w:ascii="Times New Roman" w:hAnsi="Times New Roman" w:cs="Times New Roman"/>
          <w:sz w:val="22"/>
          <w:szCs w:val="22"/>
        </w:rPr>
        <w:t>describes</w:t>
      </w:r>
      <w:r w:rsidRPr="002F4E96">
        <w:rPr>
          <w:rFonts w:ascii="Times New Roman" w:hAnsi="Times New Roman" w:cs="Times New Roman"/>
          <w:sz w:val="22"/>
          <w:szCs w:val="22"/>
        </w:rPr>
        <w:t xml:space="preserve"> a fall in the stress, which </w:t>
      </w:r>
      <w:r w:rsidR="00E93FC7" w:rsidRPr="002F4E96">
        <w:rPr>
          <w:rFonts w:ascii="Times New Roman" w:hAnsi="Times New Roman" w:cs="Times New Roman"/>
          <w:sz w:val="22"/>
          <w:szCs w:val="22"/>
        </w:rPr>
        <w:t>shows</w:t>
      </w:r>
      <w:r w:rsidRPr="002F4E96">
        <w:rPr>
          <w:rFonts w:ascii="Times New Roman" w:hAnsi="Times New Roman" w:cs="Times New Roman"/>
          <w:sz w:val="22"/>
          <w:szCs w:val="22"/>
        </w:rPr>
        <w:t xml:space="preserve"> a decreasing resistance, leading to inevitable failure in the solder</w:t>
      </w:r>
      <w:r w:rsidR="00E93FC7" w:rsidRPr="002F4E96">
        <w:rPr>
          <w:rFonts w:ascii="Times New Roman" w:hAnsi="Times New Roman" w:cs="Times New Roman"/>
          <w:sz w:val="22"/>
          <w:szCs w:val="22"/>
        </w:rPr>
        <w:t xml:space="preserve"> joint</w:t>
      </w:r>
      <w:r w:rsidRPr="002F4E96">
        <w:rPr>
          <w:rFonts w:ascii="Times New Roman" w:hAnsi="Times New Roman" w:cs="Times New Roman"/>
          <w:sz w:val="22"/>
          <w:szCs w:val="22"/>
        </w:rPr>
        <w:t xml:space="preserve"> material. As the induced strain increases, deformation of the solder alloys is</w:t>
      </w:r>
      <w:r w:rsidR="00F50D57" w:rsidRPr="002F4E96">
        <w:rPr>
          <w:rFonts w:ascii="Times New Roman" w:hAnsi="Times New Roman" w:cs="Times New Roman"/>
          <w:sz w:val="22"/>
          <w:szCs w:val="22"/>
        </w:rPr>
        <w:t xml:space="preserve"> likely to </w:t>
      </w:r>
      <w:r w:rsidR="00046624" w:rsidRPr="002F4E96">
        <w:rPr>
          <w:rFonts w:ascii="Times New Roman" w:hAnsi="Times New Roman" w:cs="Times New Roman"/>
          <w:sz w:val="22"/>
          <w:szCs w:val="22"/>
        </w:rPr>
        <w:t>occur,</w:t>
      </w:r>
      <w:r w:rsidR="00F50D57" w:rsidRPr="002F4E96">
        <w:rPr>
          <w:rFonts w:ascii="Times New Roman" w:hAnsi="Times New Roman" w:cs="Times New Roman"/>
          <w:sz w:val="22"/>
          <w:szCs w:val="22"/>
        </w:rPr>
        <w:t xml:space="preserve"> and crack initiation </w:t>
      </w:r>
      <w:r w:rsidR="001C0F63" w:rsidRPr="002F4E96">
        <w:rPr>
          <w:rFonts w:ascii="Times New Roman" w:hAnsi="Times New Roman" w:cs="Times New Roman"/>
          <w:sz w:val="22"/>
          <w:szCs w:val="22"/>
        </w:rPr>
        <w:t>begins</w:t>
      </w:r>
      <w:r w:rsidR="00714F64" w:rsidRPr="002F4E96">
        <w:rPr>
          <w:rFonts w:ascii="Times New Roman" w:hAnsi="Times New Roman" w:cs="Times New Roman"/>
          <w:sz w:val="22"/>
          <w:szCs w:val="22"/>
        </w:rPr>
        <w:t>,</w:t>
      </w:r>
      <w:r w:rsidR="001C0F63" w:rsidRPr="002F4E96">
        <w:rPr>
          <w:rFonts w:ascii="Times New Roman" w:hAnsi="Times New Roman" w:cs="Times New Roman"/>
          <w:sz w:val="22"/>
          <w:szCs w:val="22"/>
        </w:rPr>
        <w:t xml:space="preserve"> especially on the SAC387 and SAC305.</w:t>
      </w:r>
      <w:r w:rsidR="00E25989" w:rsidRPr="002F4E96">
        <w:rPr>
          <w:rFonts w:ascii="Times New Roman" w:hAnsi="Times New Roman" w:cs="Times New Roman"/>
          <w:sz w:val="22"/>
          <w:szCs w:val="22"/>
        </w:rPr>
        <w:t xml:space="preserve"> </w:t>
      </w:r>
      <w:r w:rsidRPr="002F4E96">
        <w:rPr>
          <w:rFonts w:ascii="Times New Roman" w:hAnsi="Times New Roman" w:cs="Times New Roman"/>
          <w:sz w:val="22"/>
          <w:szCs w:val="22"/>
        </w:rPr>
        <w:t xml:space="preserve">The </w:t>
      </w:r>
      <w:r w:rsidR="00E93FC7" w:rsidRPr="002F4E96">
        <w:rPr>
          <w:rFonts w:ascii="Times New Roman" w:hAnsi="Times New Roman" w:cs="Times New Roman"/>
          <w:sz w:val="22"/>
          <w:szCs w:val="22"/>
        </w:rPr>
        <w:t>plot</w:t>
      </w:r>
      <w:r w:rsidRPr="002F4E96">
        <w:rPr>
          <w:rFonts w:ascii="Times New Roman" w:hAnsi="Times New Roman" w:cs="Times New Roman"/>
          <w:sz w:val="22"/>
          <w:szCs w:val="22"/>
        </w:rPr>
        <w:t xml:space="preserve"> also shows that SAC405 has the lowest stress magnitude, followed by SAC396 and eutectic Sn63Pb37. The higher the strain rate these</w:t>
      </w:r>
      <w:r w:rsidR="00BB3361" w:rsidRPr="002F4E96">
        <w:rPr>
          <w:rFonts w:ascii="Times New Roman" w:hAnsi="Times New Roman" w:cs="Times New Roman"/>
          <w:sz w:val="22"/>
          <w:szCs w:val="22"/>
        </w:rPr>
        <w:t xml:space="preserve"> solder</w:t>
      </w:r>
      <w:r w:rsidRPr="002F4E96">
        <w:rPr>
          <w:rFonts w:ascii="Times New Roman" w:hAnsi="Times New Roman" w:cs="Times New Roman"/>
          <w:sz w:val="22"/>
          <w:szCs w:val="22"/>
        </w:rPr>
        <w:t xml:space="preserve"> materials are subjected </w:t>
      </w:r>
      <w:r w:rsidRPr="002F4E96">
        <w:rPr>
          <w:rFonts w:ascii="Times New Roman" w:hAnsi="Times New Roman" w:cs="Times New Roman"/>
          <w:sz w:val="22"/>
          <w:szCs w:val="22"/>
        </w:rPr>
        <w:lastRenderedPageBreak/>
        <w:t xml:space="preserve">beyond its yield strength point sets in plastic deformation in the solder alloys. It could </w:t>
      </w:r>
      <w:r w:rsidR="00BB3361" w:rsidRPr="002F4E96">
        <w:rPr>
          <w:rFonts w:ascii="Times New Roman" w:hAnsi="Times New Roman" w:cs="Times New Roman"/>
          <w:sz w:val="22"/>
          <w:szCs w:val="22"/>
        </w:rPr>
        <w:t xml:space="preserve">be </w:t>
      </w:r>
      <w:r w:rsidRPr="002F4E96">
        <w:rPr>
          <w:rFonts w:ascii="Times New Roman" w:hAnsi="Times New Roman" w:cs="Times New Roman"/>
          <w:sz w:val="22"/>
          <w:szCs w:val="22"/>
        </w:rPr>
        <w:t>observe</w:t>
      </w:r>
      <w:r w:rsidR="00BB3361" w:rsidRPr="002F4E96">
        <w:rPr>
          <w:rFonts w:ascii="Times New Roman" w:hAnsi="Times New Roman" w:cs="Times New Roman"/>
          <w:sz w:val="22"/>
          <w:szCs w:val="22"/>
        </w:rPr>
        <w:t>d</w:t>
      </w:r>
      <w:r w:rsidRPr="002F4E96">
        <w:rPr>
          <w:rFonts w:ascii="Times New Roman" w:hAnsi="Times New Roman" w:cs="Times New Roman"/>
          <w:sz w:val="22"/>
          <w:szCs w:val="22"/>
        </w:rPr>
        <w:t xml:space="preserve"> that the maximum stress magnitude and strain rate of the solder alloys investigated are SAC387 (strain rate = 0.</w:t>
      </w:r>
      <w:r w:rsidR="009B00D5" w:rsidRPr="002F4E96">
        <w:rPr>
          <w:rFonts w:ascii="Times New Roman" w:hAnsi="Times New Roman" w:cs="Times New Roman"/>
          <w:sz w:val="22"/>
          <w:szCs w:val="22"/>
        </w:rPr>
        <w:t>09</w:t>
      </w:r>
      <w:r w:rsidRPr="002F4E96">
        <w:rPr>
          <w:rFonts w:ascii="Times New Roman" w:hAnsi="Times New Roman" w:cs="Times New Roman"/>
          <w:sz w:val="22"/>
          <w:szCs w:val="22"/>
        </w:rPr>
        <w:t>, stress = 63.7</w:t>
      </w:r>
      <w:r w:rsidR="00865455" w:rsidRPr="002F4E96">
        <w:rPr>
          <w:rFonts w:ascii="Times New Roman" w:hAnsi="Times New Roman" w:cs="Times New Roman"/>
          <w:sz w:val="22"/>
          <w:szCs w:val="22"/>
        </w:rPr>
        <w:t xml:space="preserve"> </w:t>
      </w:r>
      <w:r w:rsidRPr="002F4E96">
        <w:rPr>
          <w:rFonts w:ascii="Times New Roman" w:hAnsi="Times New Roman" w:cs="Times New Roman"/>
          <w:sz w:val="22"/>
          <w:szCs w:val="22"/>
        </w:rPr>
        <w:t>MPa), SAC305 (strain rate =</w:t>
      </w:r>
      <w:r w:rsidR="009B00D5" w:rsidRPr="002F4E96">
        <w:rPr>
          <w:rFonts w:ascii="Times New Roman" w:hAnsi="Times New Roman" w:cs="Times New Roman"/>
          <w:sz w:val="22"/>
          <w:szCs w:val="22"/>
        </w:rPr>
        <w:t xml:space="preserve"> 0.034</w:t>
      </w:r>
      <w:r w:rsidRPr="002F4E96">
        <w:rPr>
          <w:rFonts w:ascii="Times New Roman" w:hAnsi="Times New Roman" w:cs="Times New Roman"/>
          <w:sz w:val="22"/>
          <w:szCs w:val="22"/>
        </w:rPr>
        <w:t>, stress = 57.1</w:t>
      </w:r>
      <w:r w:rsidR="00865455" w:rsidRPr="002F4E96">
        <w:rPr>
          <w:rFonts w:ascii="Times New Roman" w:hAnsi="Times New Roman" w:cs="Times New Roman"/>
          <w:sz w:val="22"/>
          <w:szCs w:val="22"/>
        </w:rPr>
        <w:t xml:space="preserve"> </w:t>
      </w:r>
      <w:r w:rsidRPr="002F4E96">
        <w:rPr>
          <w:rFonts w:ascii="Times New Roman" w:hAnsi="Times New Roman" w:cs="Times New Roman"/>
          <w:sz w:val="22"/>
          <w:szCs w:val="22"/>
        </w:rPr>
        <w:t>MPa), eutectic Sn63Pb37 (strain rate = 0.</w:t>
      </w:r>
      <w:r w:rsidR="009B00D5" w:rsidRPr="002F4E96">
        <w:rPr>
          <w:rFonts w:ascii="Times New Roman" w:hAnsi="Times New Roman" w:cs="Times New Roman"/>
          <w:sz w:val="22"/>
          <w:szCs w:val="22"/>
        </w:rPr>
        <w:t>0</w:t>
      </w:r>
      <w:r w:rsidRPr="002F4E96">
        <w:rPr>
          <w:rFonts w:ascii="Times New Roman" w:hAnsi="Times New Roman" w:cs="Times New Roman"/>
          <w:sz w:val="22"/>
          <w:szCs w:val="22"/>
        </w:rPr>
        <w:t>8, stress = 35.7</w:t>
      </w:r>
      <w:r w:rsidR="00865455" w:rsidRPr="002F4E96">
        <w:rPr>
          <w:rFonts w:ascii="Times New Roman" w:hAnsi="Times New Roman" w:cs="Times New Roman"/>
          <w:sz w:val="22"/>
          <w:szCs w:val="22"/>
        </w:rPr>
        <w:t xml:space="preserve"> </w:t>
      </w:r>
      <w:r w:rsidRPr="002F4E96">
        <w:rPr>
          <w:rFonts w:ascii="Times New Roman" w:hAnsi="Times New Roman" w:cs="Times New Roman"/>
          <w:sz w:val="22"/>
          <w:szCs w:val="22"/>
        </w:rPr>
        <w:t xml:space="preserve">MPa), SAC396 (strain rate = </w:t>
      </w:r>
      <w:r w:rsidR="009B00D5" w:rsidRPr="002F4E96">
        <w:rPr>
          <w:rFonts w:ascii="Times New Roman" w:hAnsi="Times New Roman" w:cs="Times New Roman"/>
          <w:sz w:val="22"/>
          <w:szCs w:val="22"/>
        </w:rPr>
        <w:t>0.0</w:t>
      </w:r>
      <w:r w:rsidRPr="002F4E96">
        <w:rPr>
          <w:rFonts w:ascii="Times New Roman" w:hAnsi="Times New Roman" w:cs="Times New Roman"/>
          <w:sz w:val="22"/>
          <w:szCs w:val="22"/>
        </w:rPr>
        <w:t>13, stress = 34.7</w:t>
      </w:r>
      <w:r w:rsidR="00865455" w:rsidRPr="002F4E96">
        <w:rPr>
          <w:rFonts w:ascii="Times New Roman" w:hAnsi="Times New Roman" w:cs="Times New Roman"/>
          <w:sz w:val="22"/>
          <w:szCs w:val="22"/>
        </w:rPr>
        <w:t xml:space="preserve"> </w:t>
      </w:r>
      <w:r w:rsidRPr="002F4E96">
        <w:rPr>
          <w:rFonts w:ascii="Times New Roman" w:hAnsi="Times New Roman" w:cs="Times New Roman"/>
          <w:sz w:val="22"/>
          <w:szCs w:val="22"/>
        </w:rPr>
        <w:t xml:space="preserve">MPa) and SAC405 (strain rate = </w:t>
      </w:r>
      <w:r w:rsidR="009B00D5" w:rsidRPr="002F4E96">
        <w:rPr>
          <w:rFonts w:ascii="Times New Roman" w:hAnsi="Times New Roman" w:cs="Times New Roman"/>
          <w:sz w:val="22"/>
          <w:szCs w:val="22"/>
        </w:rPr>
        <w:t>0.0</w:t>
      </w:r>
      <w:r w:rsidRPr="002F4E96">
        <w:rPr>
          <w:rFonts w:ascii="Times New Roman" w:hAnsi="Times New Roman" w:cs="Times New Roman"/>
          <w:sz w:val="22"/>
          <w:szCs w:val="22"/>
        </w:rPr>
        <w:t>15, stress = 22.3</w:t>
      </w:r>
      <w:r w:rsidR="00865455" w:rsidRPr="002F4E96">
        <w:rPr>
          <w:rFonts w:ascii="Times New Roman" w:hAnsi="Times New Roman" w:cs="Times New Roman"/>
          <w:sz w:val="22"/>
          <w:szCs w:val="22"/>
        </w:rPr>
        <w:t xml:space="preserve"> </w:t>
      </w:r>
      <w:r w:rsidRPr="002F4E96">
        <w:rPr>
          <w:rFonts w:ascii="Times New Roman" w:hAnsi="Times New Roman" w:cs="Times New Roman"/>
          <w:sz w:val="22"/>
          <w:szCs w:val="22"/>
        </w:rPr>
        <w:t>MPa) respectively.</w:t>
      </w:r>
    </w:p>
    <w:p w14:paraId="632E351B" w14:textId="1B53433B" w:rsidR="00DC0CC7" w:rsidRPr="002F4E96" w:rsidRDefault="00016D4C" w:rsidP="003A00A9">
      <w:pPr>
        <w:spacing w:line="360" w:lineRule="auto"/>
        <w:jc w:val="both"/>
        <w:rPr>
          <w:rFonts w:ascii="Times New Roman" w:hAnsi="Times New Roman" w:cs="Times New Roman"/>
        </w:rPr>
      </w:pPr>
      <w:r w:rsidRPr="002F4E96">
        <w:rPr>
          <w:rFonts w:ascii="Times New Roman" w:hAnsi="Times New Roman" w:cs="Times New Roman"/>
        </w:rPr>
        <w:t xml:space="preserve">The plot </w:t>
      </w:r>
      <w:r w:rsidR="003F7E18" w:rsidRPr="002F4E96">
        <w:rPr>
          <w:rFonts w:ascii="Times New Roman" w:hAnsi="Times New Roman" w:cs="Times New Roman"/>
        </w:rPr>
        <w:t>comparably</w:t>
      </w:r>
      <w:r w:rsidRPr="002F4E96">
        <w:rPr>
          <w:rFonts w:ascii="Times New Roman" w:hAnsi="Times New Roman" w:cs="Times New Roman"/>
        </w:rPr>
        <w:t xml:space="preserve"> </w:t>
      </w:r>
      <w:r w:rsidR="003F7E18" w:rsidRPr="002F4E96">
        <w:rPr>
          <w:rFonts w:ascii="Times New Roman" w:hAnsi="Times New Roman" w:cs="Times New Roman"/>
        </w:rPr>
        <w:t>illustrates</w:t>
      </w:r>
      <w:r w:rsidRPr="002F4E96">
        <w:rPr>
          <w:rFonts w:ascii="Times New Roman" w:hAnsi="Times New Roman" w:cs="Times New Roman"/>
        </w:rPr>
        <w:t xml:space="preserve"> that the highest stress magnitude was </w:t>
      </w:r>
      <w:r w:rsidR="003F7E18" w:rsidRPr="002F4E96">
        <w:rPr>
          <w:rFonts w:ascii="Times New Roman" w:hAnsi="Times New Roman" w:cs="Times New Roman"/>
        </w:rPr>
        <w:t>seen</w:t>
      </w:r>
      <w:r w:rsidRPr="002F4E96">
        <w:rPr>
          <w:rFonts w:ascii="Times New Roman" w:hAnsi="Times New Roman" w:cs="Times New Roman"/>
        </w:rPr>
        <w:t xml:space="preserve"> with SAC387 and SAC305 solder alloys and occurred at the </w:t>
      </w:r>
      <w:r w:rsidR="00714F64" w:rsidRPr="002F4E96">
        <w:rPr>
          <w:rFonts w:ascii="Times New Roman" w:hAnsi="Times New Roman" w:cs="Times New Roman"/>
        </w:rPr>
        <w:t>outer corner</w:t>
      </w:r>
      <w:r w:rsidRPr="002F4E96">
        <w:rPr>
          <w:rFonts w:ascii="Times New Roman" w:hAnsi="Times New Roman" w:cs="Times New Roman"/>
        </w:rPr>
        <w:t xml:space="preserve"> for the solder</w:t>
      </w:r>
      <w:r w:rsidR="003F7E18" w:rsidRPr="002F4E96">
        <w:rPr>
          <w:rFonts w:ascii="Times New Roman" w:hAnsi="Times New Roman" w:cs="Times New Roman"/>
        </w:rPr>
        <w:t xml:space="preserve"> balls</w:t>
      </w:r>
      <w:r w:rsidRPr="002F4E96">
        <w:rPr>
          <w:rFonts w:ascii="Times New Roman" w:hAnsi="Times New Roman" w:cs="Times New Roman"/>
        </w:rPr>
        <w:t xml:space="preserve"> spreading to the centre. The results </w:t>
      </w:r>
      <w:r w:rsidR="003F7E18" w:rsidRPr="002F4E96">
        <w:rPr>
          <w:rFonts w:ascii="Times New Roman" w:hAnsi="Times New Roman" w:cs="Times New Roman"/>
        </w:rPr>
        <w:t>indicate</w:t>
      </w:r>
      <w:r w:rsidRPr="002F4E96">
        <w:rPr>
          <w:rFonts w:ascii="Times New Roman" w:hAnsi="Times New Roman" w:cs="Times New Roman"/>
        </w:rPr>
        <w:t xml:space="preserve"> that SAC387 and SAC305 solder alloys are more vulnerable</w:t>
      </w:r>
      <w:r w:rsidR="00714F64" w:rsidRPr="002F4E96">
        <w:rPr>
          <w:rFonts w:ascii="Times New Roman" w:hAnsi="Times New Roman" w:cs="Times New Roman"/>
        </w:rPr>
        <w:t>. The</w:t>
      </w:r>
      <w:r w:rsidRPr="002F4E96">
        <w:rPr>
          <w:rFonts w:ascii="Times New Roman" w:hAnsi="Times New Roman" w:cs="Times New Roman"/>
        </w:rPr>
        <w:t xml:space="preserve"> BGA solder balls on the </w:t>
      </w:r>
      <w:r w:rsidR="00F54AE7" w:rsidRPr="002F4E96">
        <w:rPr>
          <w:rFonts w:ascii="Times New Roman" w:hAnsi="Times New Roman" w:cs="Times New Roman"/>
        </w:rPr>
        <w:t>PCB</w:t>
      </w:r>
      <w:r w:rsidRPr="002F4E96">
        <w:rPr>
          <w:rFonts w:ascii="Times New Roman" w:hAnsi="Times New Roman" w:cs="Times New Roman"/>
        </w:rPr>
        <w:t xml:space="preserve"> </w:t>
      </w:r>
      <w:r w:rsidR="00714F64" w:rsidRPr="002F4E96">
        <w:rPr>
          <w:rFonts w:ascii="Times New Roman" w:hAnsi="Times New Roman" w:cs="Times New Roman"/>
        </w:rPr>
        <w:t>represent</w:t>
      </w:r>
      <w:r w:rsidRPr="002F4E96">
        <w:rPr>
          <w:rFonts w:ascii="Times New Roman" w:hAnsi="Times New Roman" w:cs="Times New Roman"/>
        </w:rPr>
        <w:t xml:space="preserve"> an essential function in the failure </w:t>
      </w:r>
      <w:r w:rsidR="003709D2" w:rsidRPr="002F4E96">
        <w:rPr>
          <w:rFonts w:ascii="Times New Roman" w:hAnsi="Times New Roman" w:cs="Times New Roman"/>
        </w:rPr>
        <w:t>per component assembly's failure performance</w:t>
      </w:r>
      <w:r w:rsidR="002B2980" w:rsidRPr="002F4E96">
        <w:rPr>
          <w:rFonts w:ascii="Times New Roman" w:hAnsi="Times New Roman" w:cs="Times New Roman"/>
        </w:rPr>
        <w:t>. The</w:t>
      </w:r>
      <w:r w:rsidRPr="002F4E96">
        <w:rPr>
          <w:rFonts w:ascii="Times New Roman" w:hAnsi="Times New Roman" w:cs="Times New Roman"/>
        </w:rPr>
        <w:t xml:space="preserve"> deformation rate on substrates on the corners edges must be considered in addition to the stress magnitude presented in the ANSYS FEA simulation. The behaviour of solder alloys degradation in the simulation analyses is </w:t>
      </w:r>
      <w:r w:rsidR="003F7E18" w:rsidRPr="002F4E96">
        <w:rPr>
          <w:rFonts w:ascii="Times New Roman" w:hAnsi="Times New Roman" w:cs="Times New Roman"/>
        </w:rPr>
        <w:t>indisputably</w:t>
      </w:r>
      <w:r w:rsidRPr="002F4E96">
        <w:rPr>
          <w:rFonts w:ascii="Times New Roman" w:hAnsi="Times New Roman" w:cs="Times New Roman"/>
        </w:rPr>
        <w:t xml:space="preserve"> different </w:t>
      </w:r>
      <w:r w:rsidR="003F7E18" w:rsidRPr="002F4E96">
        <w:rPr>
          <w:rFonts w:ascii="Times New Roman" w:hAnsi="Times New Roman" w:cs="Times New Roman"/>
        </w:rPr>
        <w:t>regarding</w:t>
      </w:r>
      <w:r w:rsidRPr="002F4E96">
        <w:rPr>
          <w:rFonts w:ascii="Times New Roman" w:hAnsi="Times New Roman" w:cs="Times New Roman"/>
        </w:rPr>
        <w:t xml:space="preserve"> </w:t>
      </w:r>
      <w:r w:rsidR="003F7E18" w:rsidRPr="002F4E96">
        <w:rPr>
          <w:rFonts w:ascii="Times New Roman" w:hAnsi="Times New Roman" w:cs="Times New Roman"/>
        </w:rPr>
        <w:t xml:space="preserve">the </w:t>
      </w:r>
      <w:r w:rsidRPr="002F4E96">
        <w:rPr>
          <w:rFonts w:ascii="Times New Roman" w:hAnsi="Times New Roman" w:cs="Times New Roman"/>
        </w:rPr>
        <w:t xml:space="preserve">solder alloys and testing conditions. </w:t>
      </w:r>
      <w:r w:rsidR="003F7E18" w:rsidRPr="002F4E96">
        <w:rPr>
          <w:rFonts w:ascii="Times New Roman" w:hAnsi="Times New Roman" w:cs="Times New Roman"/>
        </w:rPr>
        <w:t>Accordingly</w:t>
      </w:r>
      <w:r w:rsidRPr="002F4E96">
        <w:rPr>
          <w:rFonts w:ascii="Times New Roman" w:hAnsi="Times New Roman" w:cs="Times New Roman"/>
        </w:rPr>
        <w:t xml:space="preserve">, the more elastoplastic the solder </w:t>
      </w:r>
      <w:r w:rsidR="003F7E18" w:rsidRPr="002F4E96">
        <w:rPr>
          <w:rFonts w:ascii="Times New Roman" w:hAnsi="Times New Roman" w:cs="Times New Roman"/>
        </w:rPr>
        <w:t xml:space="preserve">alloy </w:t>
      </w:r>
      <w:r w:rsidRPr="002F4E96">
        <w:rPr>
          <w:rFonts w:ascii="Times New Roman" w:hAnsi="Times New Roman" w:cs="Times New Roman"/>
        </w:rPr>
        <w:t>material is</w:t>
      </w:r>
      <w:r w:rsidR="008C1931" w:rsidRPr="002F4E96">
        <w:rPr>
          <w:rFonts w:ascii="Times New Roman" w:hAnsi="Times New Roman" w:cs="Times New Roman"/>
        </w:rPr>
        <w:t>,</w:t>
      </w:r>
      <w:r w:rsidRPr="002F4E96">
        <w:rPr>
          <w:rFonts w:ascii="Times New Roman" w:hAnsi="Times New Roman" w:cs="Times New Roman"/>
        </w:rPr>
        <w:t xml:space="preserve"> the more </w:t>
      </w:r>
      <w:r w:rsidR="00714F64" w:rsidRPr="002F4E96">
        <w:rPr>
          <w:rFonts w:ascii="Times New Roman" w:hAnsi="Times New Roman" w:cs="Times New Roman"/>
        </w:rPr>
        <w:t>acceptable</w:t>
      </w:r>
      <w:r w:rsidRPr="002F4E96">
        <w:rPr>
          <w:rFonts w:ascii="Times New Roman" w:hAnsi="Times New Roman" w:cs="Times New Roman"/>
        </w:rPr>
        <w:t xml:space="preserve"> applications where soldering connections are applied to </w:t>
      </w:r>
      <w:r w:rsidR="003F7E18" w:rsidRPr="002F4E96">
        <w:rPr>
          <w:rFonts w:ascii="Times New Roman" w:hAnsi="Times New Roman" w:cs="Times New Roman"/>
        </w:rPr>
        <w:t>the</w:t>
      </w:r>
      <w:r w:rsidRPr="002F4E96">
        <w:rPr>
          <w:rFonts w:ascii="Times New Roman" w:hAnsi="Times New Roman" w:cs="Times New Roman"/>
        </w:rPr>
        <w:t xml:space="preserve"> thermal cycles with small temperature and </w:t>
      </w:r>
      <w:r w:rsidR="00F54AE7" w:rsidRPr="002F4E96">
        <w:rPr>
          <w:rFonts w:ascii="Times New Roman" w:hAnsi="Times New Roman" w:cs="Times New Roman"/>
        </w:rPr>
        <w:t>CTE</w:t>
      </w:r>
      <w:r w:rsidRPr="002F4E96">
        <w:rPr>
          <w:rFonts w:ascii="Times New Roman" w:hAnsi="Times New Roman" w:cs="Times New Roman"/>
        </w:rPr>
        <w:t xml:space="preserve"> mismatch of the joining materials. </w:t>
      </w:r>
      <w:r w:rsidR="003F7E18" w:rsidRPr="002F4E96">
        <w:rPr>
          <w:rFonts w:ascii="Times New Roman" w:hAnsi="Times New Roman" w:cs="Times New Roman"/>
        </w:rPr>
        <w:t>It is</w:t>
      </w:r>
      <w:r w:rsidRPr="002F4E96">
        <w:rPr>
          <w:rFonts w:ascii="Times New Roman" w:hAnsi="Times New Roman" w:cs="Times New Roman"/>
        </w:rPr>
        <w:t xml:space="preserve"> conclude</w:t>
      </w:r>
      <w:r w:rsidR="003F7E18" w:rsidRPr="002F4E96">
        <w:rPr>
          <w:rFonts w:ascii="Times New Roman" w:hAnsi="Times New Roman" w:cs="Times New Roman"/>
        </w:rPr>
        <w:t>d</w:t>
      </w:r>
      <w:r w:rsidRPr="002F4E96">
        <w:rPr>
          <w:rFonts w:ascii="Times New Roman" w:hAnsi="Times New Roman" w:cs="Times New Roman"/>
        </w:rPr>
        <w:t xml:space="preserve"> that SAC396 and SAC405 represent the best solder alloys, and the results are </w:t>
      </w:r>
      <w:r w:rsidR="003F7E18" w:rsidRPr="002F4E96">
        <w:rPr>
          <w:rFonts w:ascii="Times New Roman" w:hAnsi="Times New Roman" w:cs="Times New Roman"/>
        </w:rPr>
        <w:t>additionally</w:t>
      </w:r>
      <w:r w:rsidRPr="002F4E96">
        <w:rPr>
          <w:rFonts w:ascii="Times New Roman" w:hAnsi="Times New Roman" w:cs="Times New Roman"/>
        </w:rPr>
        <w:t xml:space="preserve"> enhanced with the fatigue life prediction and stress-strain hysteresis loop in section 3</w:t>
      </w:r>
      <w:r w:rsidR="00DC0CC7" w:rsidRPr="002F4E96">
        <w:rPr>
          <w:rFonts w:ascii="Times New Roman" w:hAnsi="Times New Roman" w:cs="Times New Roman"/>
        </w:rPr>
        <w:t>.</w:t>
      </w:r>
      <w:r w:rsidR="00F10CD8" w:rsidRPr="002F4E96">
        <w:rPr>
          <w:rFonts w:ascii="Times New Roman" w:hAnsi="Times New Roman" w:cs="Times New Roman"/>
        </w:rPr>
        <w:t>7</w:t>
      </w:r>
      <w:r w:rsidR="00BB0B9E" w:rsidRPr="002F4E96">
        <w:rPr>
          <w:rFonts w:ascii="Times New Roman" w:hAnsi="Times New Roman" w:cs="Times New Roman"/>
        </w:rPr>
        <w:t xml:space="preserve"> and 3.</w:t>
      </w:r>
      <w:r w:rsidR="00F10CD8" w:rsidRPr="002F4E96">
        <w:rPr>
          <w:rFonts w:ascii="Times New Roman" w:hAnsi="Times New Roman" w:cs="Times New Roman"/>
        </w:rPr>
        <w:t>8</w:t>
      </w:r>
      <w:r w:rsidR="004A0F82" w:rsidRPr="002F4E96">
        <w:rPr>
          <w:rFonts w:ascii="Times New Roman" w:hAnsi="Times New Roman" w:cs="Times New Roman"/>
        </w:rPr>
        <w:t>,</w:t>
      </w:r>
      <w:r w:rsidR="003F7E18" w:rsidRPr="002F4E96">
        <w:rPr>
          <w:rFonts w:ascii="Times New Roman" w:hAnsi="Times New Roman" w:cs="Times New Roman"/>
        </w:rPr>
        <w:t xml:space="preserve"> respectively.</w:t>
      </w:r>
    </w:p>
    <w:p w14:paraId="389CE729" w14:textId="629164B9" w:rsidR="00DC0CC7" w:rsidRPr="002F4E96" w:rsidRDefault="00DC0CC7" w:rsidP="00DC0CC7">
      <w:pPr>
        <w:spacing w:line="360" w:lineRule="auto"/>
        <w:jc w:val="center"/>
        <w:rPr>
          <w:rFonts w:ascii="Times New Roman" w:hAnsi="Times New Roman" w:cs="Times New Roman"/>
        </w:rPr>
      </w:pPr>
      <w:r w:rsidRPr="002F4E96">
        <w:rPr>
          <w:rFonts w:ascii="Times New Roman" w:hAnsi="Times New Roman" w:cs="Times New Roman"/>
          <w:bCs/>
          <w:noProof/>
          <w:lang w:eastAsia="en-GB"/>
        </w:rPr>
        <w:drawing>
          <wp:inline distT="0" distB="0" distL="0" distR="0" wp14:anchorId="7B674C30" wp14:editId="69FA56E8">
            <wp:extent cx="4448163" cy="3009140"/>
            <wp:effectExtent l="0" t="0" r="0" b="127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0971" cy="3017804"/>
                    </a:xfrm>
                    <a:prstGeom prst="rect">
                      <a:avLst/>
                    </a:prstGeom>
                  </pic:spPr>
                </pic:pic>
              </a:graphicData>
            </a:graphic>
          </wp:inline>
        </w:drawing>
      </w:r>
    </w:p>
    <w:p w14:paraId="483BB512" w14:textId="1542AA79" w:rsidR="00DC0CC7" w:rsidRPr="002F4E96" w:rsidRDefault="00DC0CC7" w:rsidP="00DC0CC7">
      <w:pPr>
        <w:pStyle w:val="Caption"/>
        <w:jc w:val="center"/>
        <w:rPr>
          <w:rFonts w:ascii="Times New Roman" w:hAnsi="Times New Roman" w:cs="Times New Roman"/>
          <w:b w:val="0"/>
          <w:color w:val="auto"/>
          <w:sz w:val="22"/>
          <w:szCs w:val="22"/>
        </w:rPr>
      </w:pPr>
      <w:r w:rsidRPr="002F4E96">
        <w:rPr>
          <w:rFonts w:ascii="Times New Roman" w:hAnsi="Times New Roman" w:cs="Times New Roman"/>
          <w:b w:val="0"/>
          <w:color w:val="auto"/>
          <w:sz w:val="22"/>
          <w:szCs w:val="22"/>
        </w:rPr>
        <w:t>Fig. 1</w:t>
      </w:r>
      <w:r w:rsidR="00BB0B9E" w:rsidRPr="002F4E96">
        <w:rPr>
          <w:rFonts w:ascii="Times New Roman" w:hAnsi="Times New Roman" w:cs="Times New Roman"/>
          <w:b w:val="0"/>
          <w:color w:val="auto"/>
          <w:sz w:val="22"/>
          <w:szCs w:val="22"/>
        </w:rPr>
        <w:t>7</w:t>
      </w:r>
      <w:r w:rsidRPr="002F4E96">
        <w:rPr>
          <w:rFonts w:ascii="Times New Roman" w:hAnsi="Times New Roman" w:cs="Times New Roman"/>
          <w:b w:val="0"/>
          <w:color w:val="auto"/>
          <w:sz w:val="22"/>
          <w:szCs w:val="22"/>
        </w:rPr>
        <w:t>: Stress vs strain plot for solder alloys</w:t>
      </w:r>
    </w:p>
    <w:p w14:paraId="359E49A2" w14:textId="51988771" w:rsidR="00DC0CC7" w:rsidRPr="002F4E96" w:rsidRDefault="00DC0CC7" w:rsidP="00CA16DE">
      <w:pPr>
        <w:pStyle w:val="Heading3"/>
        <w:spacing w:line="360" w:lineRule="auto"/>
        <w:jc w:val="both"/>
        <w:rPr>
          <w:rFonts w:ascii="Times New Roman" w:hAnsi="Times New Roman" w:cs="Times New Roman"/>
          <w:color w:val="auto"/>
          <w:sz w:val="22"/>
          <w:szCs w:val="22"/>
        </w:rPr>
      </w:pPr>
      <w:bookmarkStart w:id="20" w:name="_Toc33286862"/>
      <w:r w:rsidRPr="002F4E96">
        <w:rPr>
          <w:rFonts w:ascii="Times New Roman" w:hAnsi="Times New Roman" w:cs="Times New Roman"/>
          <w:color w:val="auto"/>
          <w:sz w:val="22"/>
          <w:szCs w:val="22"/>
        </w:rPr>
        <w:t>3.</w:t>
      </w:r>
      <w:r w:rsidR="00F10CD8" w:rsidRPr="002F4E96">
        <w:rPr>
          <w:rFonts w:ascii="Times New Roman" w:hAnsi="Times New Roman" w:cs="Times New Roman"/>
          <w:color w:val="auto"/>
          <w:sz w:val="22"/>
          <w:szCs w:val="22"/>
        </w:rPr>
        <w:t>7</w:t>
      </w:r>
      <w:r w:rsidRPr="002F4E96">
        <w:rPr>
          <w:rFonts w:ascii="Times New Roman" w:hAnsi="Times New Roman" w:cs="Times New Roman"/>
          <w:color w:val="auto"/>
          <w:sz w:val="22"/>
          <w:szCs w:val="22"/>
        </w:rPr>
        <w:t xml:space="preserve"> Study of Stress-Strain Hysteresis loop </w:t>
      </w:r>
      <w:bookmarkEnd w:id="20"/>
    </w:p>
    <w:p w14:paraId="72E429ED" w14:textId="3BD5EC62" w:rsidR="00BF56FB" w:rsidRPr="002F4E96" w:rsidRDefault="00BF56FB" w:rsidP="00BF56FB">
      <w:pPr>
        <w:spacing w:line="360" w:lineRule="auto"/>
        <w:jc w:val="both"/>
        <w:rPr>
          <w:rFonts w:ascii="Times New Roman" w:hAnsi="Times New Roman" w:cs="Times New Roman"/>
        </w:rPr>
      </w:pPr>
      <w:r w:rsidRPr="002F4E96">
        <w:rPr>
          <w:rFonts w:ascii="Times New Roman" w:hAnsi="Times New Roman" w:cs="Times New Roman"/>
        </w:rPr>
        <w:t xml:space="preserve">During thermal loading, the stress-strain hysteresis loop area is the strain energy per unit volume absorbed by the solder alloys. Under other conditions, the unloading curve area is described as the solder alloy materials' energy. During the elastic range on the curve, these areas are equal, and no net energy is consumed. If the material is loaded in the plastic field in a different circumstance, as presented </w:t>
      </w:r>
      <w:r w:rsidRPr="002F4E96">
        <w:rPr>
          <w:rFonts w:ascii="Times New Roman" w:hAnsi="Times New Roman" w:cs="Times New Roman"/>
        </w:rPr>
        <w:lastRenderedPageBreak/>
        <w:t xml:space="preserve">in Fig. 18, the energy utilised surpasses the energy released. </w:t>
      </w:r>
      <w:r w:rsidR="004A0F82" w:rsidRPr="002F4E96">
        <w:rPr>
          <w:rFonts w:ascii="Times New Roman" w:hAnsi="Times New Roman" w:cs="Times New Roman"/>
        </w:rPr>
        <w:t>Superior</w:t>
      </w:r>
      <w:r w:rsidRPr="002F4E96">
        <w:rPr>
          <w:rFonts w:ascii="Times New Roman" w:hAnsi="Times New Roman" w:cs="Times New Roman"/>
        </w:rPr>
        <w:t xml:space="preserve"> elastic materials maintain </w:t>
      </w:r>
      <w:r w:rsidR="004A0F82" w:rsidRPr="002F4E96">
        <w:rPr>
          <w:rFonts w:ascii="Times New Roman" w:hAnsi="Times New Roman" w:cs="Times New Roman"/>
        </w:rPr>
        <w:t>ideal linear stress-strain properties</w:t>
      </w:r>
      <w:r w:rsidRPr="002F4E96">
        <w:rPr>
          <w:rFonts w:ascii="Times New Roman" w:hAnsi="Times New Roman" w:cs="Times New Roman"/>
        </w:rPr>
        <w:t>.</w:t>
      </w:r>
    </w:p>
    <w:p w14:paraId="6390E0A0" w14:textId="67AB9246" w:rsidR="00BF56FB" w:rsidRPr="002F4E96" w:rsidRDefault="00BF56FB" w:rsidP="00BF56FB">
      <w:pPr>
        <w:spacing w:line="360" w:lineRule="auto"/>
        <w:jc w:val="both"/>
        <w:rPr>
          <w:rFonts w:ascii="Times New Roman" w:hAnsi="Times New Roman" w:cs="Times New Roman"/>
        </w:rPr>
      </w:pPr>
      <w:r w:rsidRPr="002F4E96">
        <w:rPr>
          <w:rFonts w:ascii="Times New Roman" w:hAnsi="Times New Roman" w:cs="Times New Roman"/>
        </w:rPr>
        <w:t>On the other hand, cyclic stress creates a strain in the solder joint alloys, a cyclical variable and phase with the equivalent stress. Solder joint alloy cracking is constrained in loading because cracks will be closed rather than opened by the stress state. The solder alloy materials loaded cyclically</w:t>
      </w:r>
      <w:r w:rsidR="004A0F82" w:rsidRPr="002F4E96">
        <w:rPr>
          <w:rFonts w:ascii="Times New Roman" w:hAnsi="Times New Roman" w:cs="Times New Roman"/>
        </w:rPr>
        <w:t>,</w:t>
      </w:r>
      <w:r w:rsidRPr="002F4E96">
        <w:rPr>
          <w:rFonts w:ascii="Times New Roman" w:hAnsi="Times New Roman" w:cs="Times New Roman"/>
        </w:rPr>
        <w:t xml:space="preserve"> alternating between loading and unloading and show </w:t>
      </w:r>
      <w:r w:rsidR="001765DE" w:rsidRPr="002F4E96">
        <w:rPr>
          <w:rFonts w:ascii="Times New Roman" w:hAnsi="Times New Roman" w:cs="Times New Roman"/>
        </w:rPr>
        <w:t xml:space="preserve">the area in the </w:t>
      </w:r>
      <w:r w:rsidRPr="002F4E96">
        <w:rPr>
          <w:rFonts w:ascii="Times New Roman" w:hAnsi="Times New Roman" w:cs="Times New Roman"/>
        </w:rPr>
        <w:t>hysteresis loops because the load is high</w:t>
      </w:r>
      <w:r w:rsidR="001765DE" w:rsidRPr="002F4E96">
        <w:rPr>
          <w:rFonts w:ascii="Times New Roman" w:hAnsi="Times New Roman" w:cs="Times New Roman"/>
        </w:rPr>
        <w:t xml:space="preserve"> and</w:t>
      </w:r>
      <w:r w:rsidR="004A0F82" w:rsidRPr="002F4E96">
        <w:rPr>
          <w:rFonts w:ascii="Times New Roman" w:hAnsi="Times New Roman" w:cs="Times New Roman"/>
        </w:rPr>
        <w:t xml:space="preserve"> </w:t>
      </w:r>
      <w:r w:rsidRPr="002F4E96">
        <w:rPr>
          <w:rFonts w:ascii="Times New Roman" w:hAnsi="Times New Roman" w:cs="Times New Roman"/>
        </w:rPr>
        <w:t>sufficient to cause plastic flow (above the yield stress). The hysteresis loop's surface always equals the amount dissipated in the material upon the loading and unloading cycle.</w:t>
      </w:r>
    </w:p>
    <w:p w14:paraId="73D9772D" w14:textId="69CA30EA" w:rsidR="00DC0CC7" w:rsidRPr="002F4E96" w:rsidRDefault="00CA16DE" w:rsidP="003A00A9">
      <w:pPr>
        <w:spacing w:line="360" w:lineRule="auto"/>
        <w:jc w:val="both"/>
        <w:rPr>
          <w:rFonts w:ascii="Times New Roman" w:hAnsi="Times New Roman" w:cs="Times New Roman"/>
        </w:rPr>
      </w:pPr>
      <w:r w:rsidRPr="002F4E96">
        <w:rPr>
          <w:rFonts w:ascii="Times New Roman" w:hAnsi="Times New Roman" w:cs="Times New Roman"/>
        </w:rPr>
        <w:t xml:space="preserve">On the contrary, the hysteresis loop yields information on fatigue degree and a stress-strain characteristics curve. This </w:t>
      </w:r>
      <w:r w:rsidR="00101E01" w:rsidRPr="002F4E96">
        <w:rPr>
          <w:rFonts w:ascii="Times New Roman" w:hAnsi="Times New Roman" w:cs="Times New Roman"/>
        </w:rPr>
        <w:t>establishes</w:t>
      </w:r>
      <w:r w:rsidRPr="002F4E96">
        <w:rPr>
          <w:rFonts w:ascii="Times New Roman" w:hAnsi="Times New Roman" w:cs="Times New Roman"/>
        </w:rPr>
        <w:t xml:space="preserve"> that the solder</w:t>
      </w:r>
      <w:r w:rsidR="00101E01" w:rsidRPr="002F4E96">
        <w:rPr>
          <w:rFonts w:ascii="Times New Roman" w:hAnsi="Times New Roman" w:cs="Times New Roman"/>
        </w:rPr>
        <w:t xml:space="preserve"> joint alloy</w:t>
      </w:r>
      <w:r w:rsidRPr="002F4E96">
        <w:rPr>
          <w:rFonts w:ascii="Times New Roman" w:hAnsi="Times New Roman" w:cs="Times New Roman"/>
        </w:rPr>
        <w:t xml:space="preserve"> materials stress variations result in </w:t>
      </w:r>
      <w:r w:rsidR="004A0F82" w:rsidRPr="002F4E96">
        <w:rPr>
          <w:rFonts w:ascii="Times New Roman" w:hAnsi="Times New Roman" w:cs="Times New Roman"/>
        </w:rPr>
        <w:t>increased fatigue degrees</w:t>
      </w:r>
      <w:r w:rsidRPr="002F4E96">
        <w:rPr>
          <w:rFonts w:ascii="Times New Roman" w:hAnsi="Times New Roman" w:cs="Times New Roman"/>
        </w:rPr>
        <w:t xml:space="preserve"> and reduced mechanical strength. The stress-strain hysteresis loop shows that SAC405 has the lowest strain energy per unit volume absorbed, followed by SAC396, </w:t>
      </w:r>
      <w:r w:rsidR="00120ECF" w:rsidRPr="002F4E96">
        <w:rPr>
          <w:rFonts w:ascii="Times New Roman" w:hAnsi="Times New Roman" w:cs="Times New Roman"/>
        </w:rPr>
        <w:t>eutectic</w:t>
      </w:r>
      <w:r w:rsidRPr="002F4E96">
        <w:rPr>
          <w:rFonts w:ascii="Times New Roman" w:hAnsi="Times New Roman" w:cs="Times New Roman"/>
        </w:rPr>
        <w:t xml:space="preserve"> Sn63Pb37</w:t>
      </w:r>
      <w:r w:rsidR="00120ECF" w:rsidRPr="002F4E96">
        <w:rPr>
          <w:rFonts w:ascii="Times New Roman" w:hAnsi="Times New Roman" w:cs="Times New Roman"/>
        </w:rPr>
        <w:t>,</w:t>
      </w:r>
      <w:r w:rsidRPr="002F4E96">
        <w:rPr>
          <w:rFonts w:ascii="Times New Roman" w:hAnsi="Times New Roman" w:cs="Times New Roman"/>
        </w:rPr>
        <w:t xml:space="preserve"> </w:t>
      </w:r>
      <w:r w:rsidR="00120ECF" w:rsidRPr="002F4E96">
        <w:rPr>
          <w:rFonts w:ascii="Times New Roman" w:hAnsi="Times New Roman" w:cs="Times New Roman"/>
        </w:rPr>
        <w:t xml:space="preserve">and </w:t>
      </w:r>
      <w:r w:rsidRPr="002F4E96">
        <w:rPr>
          <w:rFonts w:ascii="Times New Roman" w:hAnsi="Times New Roman" w:cs="Times New Roman"/>
        </w:rPr>
        <w:t>SAC305</w:t>
      </w:r>
      <w:r w:rsidR="00120ECF" w:rsidRPr="002F4E96">
        <w:rPr>
          <w:rFonts w:ascii="Times New Roman" w:hAnsi="Times New Roman" w:cs="Times New Roman"/>
        </w:rPr>
        <w:t xml:space="preserve">. </w:t>
      </w:r>
      <w:r w:rsidRPr="002F4E96">
        <w:rPr>
          <w:rFonts w:ascii="Times New Roman" w:hAnsi="Times New Roman" w:cs="Times New Roman"/>
        </w:rPr>
        <w:t xml:space="preserve">SAC387 has the highest strain energy per unit volume. </w:t>
      </w:r>
      <w:r w:rsidR="00120ECF" w:rsidRPr="002F4E96">
        <w:rPr>
          <w:rFonts w:ascii="Times New Roman" w:hAnsi="Times New Roman" w:cs="Times New Roman"/>
        </w:rPr>
        <w:t>Therefore</w:t>
      </w:r>
      <w:r w:rsidRPr="002F4E96">
        <w:rPr>
          <w:rFonts w:ascii="Times New Roman" w:hAnsi="Times New Roman" w:cs="Times New Roman"/>
        </w:rPr>
        <w:t xml:space="preserve">, it is </w:t>
      </w:r>
      <w:r w:rsidR="00120ECF" w:rsidRPr="002F4E96">
        <w:rPr>
          <w:rFonts w:ascii="Times New Roman" w:hAnsi="Times New Roman" w:cs="Times New Roman"/>
        </w:rPr>
        <w:t>recommended</w:t>
      </w:r>
      <w:r w:rsidRPr="002F4E96">
        <w:rPr>
          <w:rFonts w:ascii="Times New Roman" w:hAnsi="Times New Roman" w:cs="Times New Roman"/>
        </w:rPr>
        <w:t xml:space="preserve"> that SAC405 and SAC396 are the preferred SAC solder alloys to replace lead-based </w:t>
      </w:r>
      <w:r w:rsidR="00120ECF" w:rsidRPr="002F4E96">
        <w:rPr>
          <w:rFonts w:ascii="Times New Roman" w:hAnsi="Times New Roman" w:cs="Times New Roman"/>
        </w:rPr>
        <w:t xml:space="preserve">eutectic </w:t>
      </w:r>
      <w:r w:rsidRPr="002F4E96">
        <w:rPr>
          <w:rFonts w:ascii="Times New Roman" w:hAnsi="Times New Roman" w:cs="Times New Roman"/>
        </w:rPr>
        <w:t>Sn63Pb37 based on the fatigue degree when subjected to thermo-mechanical loading conditions.</w:t>
      </w:r>
    </w:p>
    <w:p w14:paraId="24DACAAF" w14:textId="71A0D9F6" w:rsidR="00CA16DE" w:rsidRPr="002F4E96" w:rsidRDefault="00CA16DE" w:rsidP="007803A4">
      <w:pPr>
        <w:spacing w:line="360" w:lineRule="auto"/>
        <w:jc w:val="center"/>
        <w:rPr>
          <w:rFonts w:ascii="Times New Roman" w:hAnsi="Times New Roman" w:cs="Times New Roman"/>
        </w:rPr>
      </w:pPr>
      <w:r w:rsidRPr="002F4E96">
        <w:rPr>
          <w:rFonts w:ascii="Times New Roman" w:hAnsi="Times New Roman" w:cs="Times New Roman"/>
          <w:bCs/>
          <w:noProof/>
          <w:lang w:eastAsia="en-GB"/>
        </w:rPr>
        <w:drawing>
          <wp:inline distT="0" distB="0" distL="0" distR="0" wp14:anchorId="0F407A11" wp14:editId="400C98E8">
            <wp:extent cx="5221871" cy="3386667"/>
            <wp:effectExtent l="0" t="0" r="0" b="444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9"/>
                    <a:stretch>
                      <a:fillRect/>
                    </a:stretch>
                  </pic:blipFill>
                  <pic:spPr>
                    <a:xfrm>
                      <a:off x="0" y="0"/>
                      <a:ext cx="5260407" cy="3411660"/>
                    </a:xfrm>
                    <a:prstGeom prst="rect">
                      <a:avLst/>
                    </a:prstGeom>
                  </pic:spPr>
                </pic:pic>
              </a:graphicData>
            </a:graphic>
          </wp:inline>
        </w:drawing>
      </w:r>
    </w:p>
    <w:p w14:paraId="62ABD8A1" w14:textId="7505C6CE" w:rsidR="00CA16DE" w:rsidRPr="002F4E96" w:rsidRDefault="00CA16DE" w:rsidP="00CA16DE">
      <w:pPr>
        <w:pStyle w:val="Caption"/>
        <w:jc w:val="center"/>
        <w:rPr>
          <w:rFonts w:ascii="Times New Roman" w:hAnsi="Times New Roman" w:cs="Times New Roman"/>
          <w:b w:val="0"/>
          <w:bCs w:val="0"/>
          <w:color w:val="auto"/>
          <w:sz w:val="22"/>
          <w:szCs w:val="22"/>
        </w:rPr>
      </w:pPr>
      <w:r w:rsidRPr="002F4E96">
        <w:rPr>
          <w:rFonts w:ascii="Times New Roman" w:hAnsi="Times New Roman" w:cs="Times New Roman"/>
          <w:b w:val="0"/>
          <w:bCs w:val="0"/>
          <w:color w:val="auto"/>
          <w:sz w:val="22"/>
          <w:szCs w:val="22"/>
        </w:rPr>
        <w:t>Fig. 18: Stress-strain hysteresis loop for solder alloys</w:t>
      </w:r>
    </w:p>
    <w:p w14:paraId="75A278EB" w14:textId="7A53D3DD" w:rsidR="00CA16DE" w:rsidRPr="002F4E96" w:rsidRDefault="00913566" w:rsidP="00CA16DE">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An et al. </w:t>
      </w:r>
      <w:r w:rsidRPr="002F4E96">
        <w:rPr>
          <w:rFonts w:ascii="Times New Roman" w:hAnsi="Times New Roman" w:cs="Times New Roman"/>
          <w:bCs/>
        </w:rPr>
        <w:fldChar w:fldCharType="begin" w:fldLock="1"/>
      </w:r>
      <w:r w:rsidR="007803A4" w:rsidRPr="002F4E96">
        <w:rPr>
          <w:rFonts w:ascii="Times New Roman" w:hAnsi="Times New Roman" w:cs="Times New Roman"/>
          <w:bCs/>
        </w:rPr>
        <w:instrText>ADDIN CSL_CITATION {"citationItems":[{"id":"ITEM-1","itemData":{"DOI":"10.1016/j.microrel.2018.10.003","ISSN":"00262714","abstract":"In this paper, the tin-lead (Sn-37wt%Pb) eutectic solder joints of plastic ball grid array (PBGA) assemblies are tested using temperature cycling, random vibrations, and combined temperature cycling and vibration loading conditions. The fatigue lives, failure modes for the solder joints and the typical locations of the failed solder joints for single-variable loading and combined loading conditions are compared and analyzed. The results show much earlier solder joint failure for combined loading than that for either temperature cycling or pure vibration loading at room temperature. The primary failure mode is cracking within the bulk solder under temperature cycling, whereas the crack propagation path is along the intermetallic compound (IMC) layer for vibration loading. The solder joints subjected to combined loading exhibit both types of failure modes observed for temperature cycling and vibration loading; in addition, cracking through the IMC and the bulk solder is observed in the combined test. For temperature cycling and vibration loading, the components in the central region of the printed circuit board (PCB) have more failed solder joints than other components, whereas for combined loading, the number of failed solder joints in the components in different locations of the PCB is approximately the same.","author":[{"dropping-particle":"","family":"An","given":"Tong","non-dropping-particle":"","parse-names":false,"suffix":""},{"dropping-particle":"","family":"Fang","given":"Chao","non-dropping-particle":"","parse-names":false,"suffix":""},{"dropping-particle":"","family":"Qin","given":"Fei","non-dropping-particle":"","parse-names":false,"suffix":""},{"dropping-particle":"","family":"Li","given":"Huaicheng","non-dropping-particle":"","parse-names":false,"suffix":""},{"dropping-particle":"","family":"Tang","given":"Tao","non-dropping-particle":"","parse-names":false,"suffix":""},{"dropping-particle":"","family":"Chen","given":"Pei","non-dropping-particle":"","parse-names":false,"suffix":""}],"container-title":"Microelectronics Reliability","id":"ITEM-1","issued":{"date-parts":[["2018"]]},"title":"Failure study of Sn37Pb PBGA solder joints using temperature cycling, random vibration and combined temperature cycling and random vibration tests","type":"article-journal"},"uris":["http://www.mendeley.com/documents/?uuid=0e096bbe-0a7b-4775-805b-159ccbe6daad"]}],"mendeley":{"formattedCitation":"[108]","plainTextFormattedCitation":"[108]","previouslyFormattedCitation":"[108]"},"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[108]</w:t>
      </w:r>
      <w:r w:rsidRPr="002F4E96">
        <w:rPr>
          <w:rFonts w:ascii="Times New Roman" w:hAnsi="Times New Roman" w:cs="Times New Roman"/>
          <w:bCs/>
        </w:rPr>
        <w:fldChar w:fldCharType="end"/>
      </w:r>
      <w:r w:rsidRPr="002F4E96">
        <w:rPr>
          <w:rFonts w:ascii="Times New Roman" w:hAnsi="Times New Roman" w:cs="Times New Roman"/>
          <w:bCs/>
        </w:rPr>
        <w:t xml:space="preserve"> carried out </w:t>
      </w:r>
      <w:r w:rsidR="00CA16DE" w:rsidRPr="002F4E96">
        <w:rPr>
          <w:rFonts w:ascii="Times New Roman" w:hAnsi="Times New Roman" w:cs="Times New Roman"/>
          <w:bCs/>
        </w:rPr>
        <w:t xml:space="preserve">experimental and simulation </w:t>
      </w:r>
      <w:r w:rsidRPr="002F4E96">
        <w:rPr>
          <w:rFonts w:ascii="Times New Roman" w:hAnsi="Times New Roman" w:cs="Times New Roman"/>
          <w:bCs/>
        </w:rPr>
        <w:t>analyses</w:t>
      </w:r>
      <w:r w:rsidR="00CA16DE" w:rsidRPr="002F4E96">
        <w:rPr>
          <w:rFonts w:ascii="Times New Roman" w:hAnsi="Times New Roman" w:cs="Times New Roman"/>
          <w:bCs/>
        </w:rPr>
        <w:t xml:space="preserve"> </w:t>
      </w:r>
      <w:r w:rsidRPr="002F4E96">
        <w:rPr>
          <w:rFonts w:ascii="Times New Roman" w:hAnsi="Times New Roman" w:cs="Times New Roman"/>
          <w:bCs/>
        </w:rPr>
        <w:t xml:space="preserve">which </w:t>
      </w:r>
      <w:r w:rsidR="00CA16DE" w:rsidRPr="002F4E96">
        <w:rPr>
          <w:rFonts w:ascii="Times New Roman" w:hAnsi="Times New Roman" w:cs="Times New Roman"/>
          <w:bCs/>
        </w:rPr>
        <w:t xml:space="preserve">investigated the failure study of lead-based eutectic Sn63Pb37, PBGA solder joints using temperature cycling, random vibration and combined temperature cycling and random vibration tests. Thermal cycling </w:t>
      </w:r>
      <m:oMath>
        <m:d>
          <m:dPr>
            <m:ctrlPr>
              <w:rPr>
                <w:rFonts w:ascii="Cambria Math" w:hAnsi="Cambria Math" w:cs="Times New Roman"/>
                <w:bCs/>
                <w:iCs/>
              </w:rPr>
            </m:ctrlPr>
          </m:dPr>
          <m:e>
            <m:r>
              <m:rPr>
                <m:sty m:val="p"/>
              </m:rPr>
              <w:rPr>
                <w:rFonts w:ascii="Cambria Math" w:hAnsi="Cambria Math" w:cs="Times New Roman"/>
              </w:rPr>
              <m:t>-55℃ to 125℃</m:t>
            </m:r>
            <m:r>
              <w:rPr>
                <w:rFonts w:ascii="Cambria Math" w:hAnsi="Cambria Math" w:cs="Times New Roman"/>
              </w:rPr>
              <m:t xml:space="preserve"> </m:t>
            </m:r>
          </m:e>
        </m:d>
      </m:oMath>
      <w:r w:rsidR="00CA16DE" w:rsidRPr="002F4E96">
        <w:rPr>
          <w:rFonts w:ascii="Times New Roman" w:hAnsi="Times New Roman" w:cs="Times New Roman"/>
          <w:bCs/>
          <w:iCs/>
        </w:rPr>
        <w:t xml:space="preserve"> </w:t>
      </w:r>
      <w:r w:rsidR="00CA16DE" w:rsidRPr="002F4E96">
        <w:rPr>
          <w:rFonts w:ascii="Times New Roman" w:hAnsi="Times New Roman" w:cs="Times New Roman"/>
          <w:bCs/>
        </w:rPr>
        <w:t xml:space="preserve">and vibration studies conducted for </w:t>
      </w:r>
      <w:r w:rsidR="00B655D2" w:rsidRPr="002F4E96">
        <w:rPr>
          <w:rFonts w:ascii="Times New Roman" w:hAnsi="Times New Roman" w:cs="Times New Roman"/>
          <w:bCs/>
        </w:rPr>
        <w:t xml:space="preserve">the </w:t>
      </w:r>
      <w:r w:rsidR="00CA16DE" w:rsidRPr="002F4E96">
        <w:rPr>
          <w:rFonts w:ascii="Times New Roman" w:hAnsi="Times New Roman" w:cs="Times New Roman"/>
          <w:bCs/>
        </w:rPr>
        <w:t>Sn63Pb37</w:t>
      </w:r>
      <w:r w:rsidRPr="002F4E96">
        <w:rPr>
          <w:rFonts w:ascii="Times New Roman" w:hAnsi="Times New Roman" w:cs="Times New Roman"/>
          <w:bCs/>
        </w:rPr>
        <w:t xml:space="preserve"> </w:t>
      </w:r>
      <w:r w:rsidR="00CA16DE" w:rsidRPr="002F4E96">
        <w:rPr>
          <w:rFonts w:ascii="Times New Roman" w:hAnsi="Times New Roman" w:cs="Times New Roman"/>
          <w:bCs/>
        </w:rPr>
        <w:t xml:space="preserve">solder joint. The </w:t>
      </w:r>
      <w:r w:rsidRPr="002F4E96">
        <w:rPr>
          <w:rFonts w:ascii="Times New Roman" w:hAnsi="Times New Roman" w:cs="Times New Roman"/>
          <w:bCs/>
        </w:rPr>
        <w:t>results</w:t>
      </w:r>
      <w:r w:rsidR="00CA16DE" w:rsidRPr="002F4E96">
        <w:rPr>
          <w:rFonts w:ascii="Times New Roman" w:hAnsi="Times New Roman" w:cs="Times New Roman"/>
          <w:bCs/>
        </w:rPr>
        <w:t xml:space="preserve"> from their</w:t>
      </w:r>
      <w:r w:rsidRPr="002F4E96">
        <w:rPr>
          <w:rFonts w:ascii="Times New Roman" w:hAnsi="Times New Roman" w:cs="Times New Roman"/>
          <w:bCs/>
        </w:rPr>
        <w:t xml:space="preserve"> research</w:t>
      </w:r>
      <w:r w:rsidR="00B655D2" w:rsidRPr="002F4E96">
        <w:rPr>
          <w:rFonts w:ascii="Times New Roman" w:hAnsi="Times New Roman" w:cs="Times New Roman"/>
          <w:bCs/>
        </w:rPr>
        <w:t xml:space="preserve"> </w:t>
      </w:r>
      <w:r w:rsidRPr="002F4E96">
        <w:rPr>
          <w:rFonts w:ascii="Times New Roman" w:hAnsi="Times New Roman" w:cs="Times New Roman"/>
          <w:bCs/>
        </w:rPr>
        <w:t>demonstrate</w:t>
      </w:r>
      <w:r w:rsidR="00CA16DE" w:rsidRPr="002F4E96">
        <w:rPr>
          <w:rFonts w:ascii="Times New Roman" w:hAnsi="Times New Roman" w:cs="Times New Roman"/>
          <w:bCs/>
        </w:rPr>
        <w:t xml:space="preserve"> that </w:t>
      </w:r>
      <w:r w:rsidRPr="002F4E96">
        <w:rPr>
          <w:rFonts w:ascii="Times New Roman" w:hAnsi="Times New Roman" w:cs="Times New Roman"/>
          <w:bCs/>
        </w:rPr>
        <w:t xml:space="preserve">the </w:t>
      </w:r>
      <w:r w:rsidR="00CA16DE" w:rsidRPr="002F4E96">
        <w:rPr>
          <w:rFonts w:ascii="Times New Roman" w:hAnsi="Times New Roman" w:cs="Times New Roman"/>
          <w:bCs/>
        </w:rPr>
        <w:t xml:space="preserve">solder joint failure for the combined loading in </w:t>
      </w:r>
      <w:r w:rsidRPr="002F4E96">
        <w:rPr>
          <w:rFonts w:ascii="Times New Roman" w:hAnsi="Times New Roman" w:cs="Times New Roman"/>
          <w:bCs/>
        </w:rPr>
        <w:t xml:space="preserve">an </w:t>
      </w:r>
      <w:r w:rsidR="00CA16DE" w:rsidRPr="002F4E96">
        <w:rPr>
          <w:rFonts w:ascii="Times New Roman" w:hAnsi="Times New Roman" w:cs="Times New Roman"/>
          <w:bCs/>
        </w:rPr>
        <w:t>electronic device</w:t>
      </w:r>
      <w:r w:rsidRPr="002F4E96">
        <w:rPr>
          <w:rFonts w:ascii="Times New Roman" w:hAnsi="Times New Roman" w:cs="Times New Roman"/>
          <w:bCs/>
        </w:rPr>
        <w:t xml:space="preserve"> is more</w:t>
      </w:r>
      <w:r w:rsidR="00CA16DE" w:rsidRPr="002F4E96">
        <w:rPr>
          <w:rFonts w:ascii="Times New Roman" w:hAnsi="Times New Roman" w:cs="Times New Roman"/>
          <w:bCs/>
        </w:rPr>
        <w:t xml:space="preserve"> for either thermal </w:t>
      </w:r>
      <w:r w:rsidR="00CA16DE" w:rsidRPr="002F4E96">
        <w:rPr>
          <w:rFonts w:ascii="Times New Roman" w:hAnsi="Times New Roman" w:cs="Times New Roman"/>
          <w:bCs/>
        </w:rPr>
        <w:lastRenderedPageBreak/>
        <w:t xml:space="preserve">cycling or pure vibration loading at room temperature. The result also ascertains the </w:t>
      </w:r>
      <w:r w:rsidR="00B655D2" w:rsidRPr="002F4E96">
        <w:rPr>
          <w:rFonts w:ascii="Times New Roman" w:hAnsi="Times New Roman" w:cs="Times New Roman"/>
          <w:bCs/>
        </w:rPr>
        <w:t>primary</w:t>
      </w:r>
      <w:r w:rsidR="00CA16DE" w:rsidRPr="002F4E96">
        <w:rPr>
          <w:rFonts w:ascii="Times New Roman" w:hAnsi="Times New Roman" w:cs="Times New Roman"/>
          <w:bCs/>
        </w:rPr>
        <w:t xml:space="preserve"> failure mode as cracking </w:t>
      </w:r>
      <w:r w:rsidRPr="002F4E96">
        <w:rPr>
          <w:rFonts w:ascii="Times New Roman" w:hAnsi="Times New Roman" w:cs="Times New Roman"/>
          <w:bCs/>
        </w:rPr>
        <w:t>in</w:t>
      </w:r>
      <w:r w:rsidR="00CA16DE" w:rsidRPr="002F4E96">
        <w:rPr>
          <w:rFonts w:ascii="Times New Roman" w:hAnsi="Times New Roman" w:cs="Times New Roman"/>
          <w:bCs/>
        </w:rPr>
        <w:t xml:space="preserve"> the bulk solder</w:t>
      </w:r>
      <w:r w:rsidRPr="002F4E96">
        <w:rPr>
          <w:rFonts w:ascii="Times New Roman" w:hAnsi="Times New Roman" w:cs="Times New Roman"/>
          <w:bCs/>
        </w:rPr>
        <w:t xml:space="preserve"> joint</w:t>
      </w:r>
      <w:r w:rsidR="00CA16DE" w:rsidRPr="002F4E96">
        <w:rPr>
          <w:rFonts w:ascii="Times New Roman" w:hAnsi="Times New Roman" w:cs="Times New Roman"/>
          <w:bCs/>
        </w:rPr>
        <w:t xml:space="preserve"> under t</w:t>
      </w:r>
      <w:r w:rsidRPr="002F4E96">
        <w:rPr>
          <w:rFonts w:ascii="Times New Roman" w:hAnsi="Times New Roman" w:cs="Times New Roman"/>
          <w:bCs/>
        </w:rPr>
        <w:t>hermal</w:t>
      </w:r>
      <w:r w:rsidR="00DA1E7E" w:rsidRPr="002F4E96">
        <w:rPr>
          <w:rFonts w:ascii="Times New Roman" w:hAnsi="Times New Roman" w:cs="Times New Roman"/>
          <w:bCs/>
        </w:rPr>
        <w:t xml:space="preserve"> </w:t>
      </w:r>
      <w:r w:rsidR="00CA16DE" w:rsidRPr="002F4E96">
        <w:rPr>
          <w:rFonts w:ascii="Times New Roman" w:hAnsi="Times New Roman" w:cs="Times New Roman"/>
          <w:bCs/>
        </w:rPr>
        <w:t>cycling.</w:t>
      </w:r>
    </w:p>
    <w:p w14:paraId="25E03A6E" w14:textId="0DD6FF03" w:rsidR="00CA16DE" w:rsidRPr="002F4E96" w:rsidRDefault="00CA16DE" w:rsidP="00CA16DE">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In contrast, the crack propagation path is </w:t>
      </w:r>
      <w:r w:rsidR="00DA1E7E" w:rsidRPr="002F4E96">
        <w:rPr>
          <w:rFonts w:ascii="Times New Roman" w:hAnsi="Times New Roman" w:cs="Times New Roman"/>
          <w:bCs/>
        </w:rPr>
        <w:t xml:space="preserve">shown to be </w:t>
      </w:r>
      <w:r w:rsidRPr="002F4E96">
        <w:rPr>
          <w:rFonts w:ascii="Times New Roman" w:hAnsi="Times New Roman" w:cs="Times New Roman"/>
          <w:bCs/>
        </w:rPr>
        <w:t xml:space="preserve">along with the IMC layer for vibration loading. Fig. 19 </w:t>
      </w:r>
      <w:r w:rsidR="00DA1E7E" w:rsidRPr="002F4E96">
        <w:rPr>
          <w:rFonts w:ascii="Times New Roman" w:hAnsi="Times New Roman" w:cs="Times New Roman"/>
          <w:bCs/>
        </w:rPr>
        <w:t>presents</w:t>
      </w:r>
      <w:r w:rsidRPr="002F4E96">
        <w:rPr>
          <w:rFonts w:ascii="Times New Roman" w:hAnsi="Times New Roman" w:cs="Times New Roman"/>
          <w:bCs/>
        </w:rPr>
        <w:t xml:space="preserve"> a </w:t>
      </w:r>
      <w:r w:rsidR="00DA1E7E" w:rsidRPr="002F4E96">
        <w:rPr>
          <w:rFonts w:ascii="Times New Roman" w:hAnsi="Times New Roman" w:cs="Times New Roman"/>
          <w:bCs/>
        </w:rPr>
        <w:t>standard</w:t>
      </w:r>
      <w:r w:rsidRPr="002F4E96">
        <w:rPr>
          <w:rFonts w:ascii="Times New Roman" w:hAnsi="Times New Roman" w:cs="Times New Roman"/>
          <w:bCs/>
        </w:rPr>
        <w:t xml:space="preserve"> failure mode when the components are subjected to thermal cycling loading. The </w:t>
      </w:r>
      <w:r w:rsidR="00DA1E7E" w:rsidRPr="002F4E96">
        <w:rPr>
          <w:rFonts w:ascii="Times New Roman" w:hAnsi="Times New Roman" w:cs="Times New Roman"/>
          <w:bCs/>
        </w:rPr>
        <w:t>outcomes</w:t>
      </w:r>
      <w:r w:rsidRPr="002F4E96">
        <w:rPr>
          <w:rFonts w:ascii="Times New Roman" w:hAnsi="Times New Roman" w:cs="Times New Roman"/>
          <w:bCs/>
        </w:rPr>
        <w:t xml:space="preserve"> </w:t>
      </w:r>
      <w:r w:rsidR="00DA1E7E" w:rsidRPr="002F4E96">
        <w:rPr>
          <w:rFonts w:ascii="Times New Roman" w:hAnsi="Times New Roman" w:cs="Times New Roman"/>
          <w:bCs/>
        </w:rPr>
        <w:t>imply</w:t>
      </w:r>
      <w:r w:rsidRPr="002F4E96">
        <w:rPr>
          <w:rFonts w:ascii="Times New Roman" w:hAnsi="Times New Roman" w:cs="Times New Roman"/>
          <w:bCs/>
        </w:rPr>
        <w:t xml:space="preserve"> that </w:t>
      </w:r>
      <w:r w:rsidR="00DA1E7E" w:rsidRPr="002F4E96">
        <w:rPr>
          <w:rFonts w:ascii="Times New Roman" w:hAnsi="Times New Roman" w:cs="Times New Roman"/>
          <w:bCs/>
        </w:rPr>
        <w:t>t</w:t>
      </w:r>
      <w:r w:rsidRPr="002F4E96">
        <w:rPr>
          <w:rFonts w:ascii="Times New Roman" w:hAnsi="Times New Roman" w:cs="Times New Roman"/>
          <w:bCs/>
        </w:rPr>
        <w:t xml:space="preserve">he investigators located most of the failed solder joints' cracks on the component side. During </w:t>
      </w:r>
      <w:r w:rsidR="00DA1E7E" w:rsidRPr="002F4E96">
        <w:rPr>
          <w:rFonts w:ascii="Times New Roman" w:hAnsi="Times New Roman" w:cs="Times New Roman"/>
          <w:bCs/>
        </w:rPr>
        <w:t>the t</w:t>
      </w:r>
      <w:r w:rsidRPr="002F4E96">
        <w:rPr>
          <w:rFonts w:ascii="Times New Roman" w:hAnsi="Times New Roman" w:cs="Times New Roman"/>
          <w:bCs/>
        </w:rPr>
        <w:t>hermal cycling</w:t>
      </w:r>
      <w:r w:rsidR="00DA1E7E" w:rsidRPr="002F4E96">
        <w:rPr>
          <w:rFonts w:ascii="Times New Roman" w:hAnsi="Times New Roman" w:cs="Times New Roman"/>
          <w:bCs/>
        </w:rPr>
        <w:t xml:space="preserve"> phase</w:t>
      </w:r>
      <w:r w:rsidRPr="002F4E96">
        <w:rPr>
          <w:rFonts w:ascii="Times New Roman" w:hAnsi="Times New Roman" w:cs="Times New Roman"/>
          <w:bCs/>
        </w:rPr>
        <w:t xml:space="preserve">, the solder joint experiences alternating stresses during the heating and cooling </w:t>
      </w:r>
      <w:r w:rsidR="00DA1E7E" w:rsidRPr="002F4E96">
        <w:rPr>
          <w:rFonts w:ascii="Times New Roman" w:hAnsi="Times New Roman" w:cs="Times New Roman"/>
          <w:bCs/>
        </w:rPr>
        <w:t>period</w:t>
      </w:r>
      <w:r w:rsidRPr="002F4E96">
        <w:rPr>
          <w:rFonts w:ascii="Times New Roman" w:hAnsi="Times New Roman" w:cs="Times New Roman"/>
          <w:bCs/>
        </w:rPr>
        <w:t xml:space="preserve"> and this </w:t>
      </w:r>
      <w:r w:rsidR="00DA1E7E" w:rsidRPr="002F4E96">
        <w:rPr>
          <w:rFonts w:ascii="Times New Roman" w:hAnsi="Times New Roman" w:cs="Times New Roman"/>
          <w:bCs/>
        </w:rPr>
        <w:t>produces</w:t>
      </w:r>
      <w:r w:rsidRPr="002F4E96">
        <w:rPr>
          <w:rFonts w:ascii="Times New Roman" w:hAnsi="Times New Roman" w:cs="Times New Roman"/>
          <w:bCs/>
        </w:rPr>
        <w:t xml:space="preserve"> accumulated plastic deformation and </w:t>
      </w:r>
      <w:r w:rsidR="00DA1E7E" w:rsidRPr="002F4E96">
        <w:rPr>
          <w:rFonts w:ascii="Times New Roman" w:hAnsi="Times New Roman" w:cs="Times New Roman"/>
          <w:bCs/>
        </w:rPr>
        <w:t>triggers</w:t>
      </w:r>
      <w:r w:rsidRPr="002F4E96">
        <w:rPr>
          <w:rFonts w:ascii="Times New Roman" w:hAnsi="Times New Roman" w:cs="Times New Roman"/>
          <w:bCs/>
        </w:rPr>
        <w:t xml:space="preserve"> the cracks to open, </w:t>
      </w:r>
      <w:r w:rsidR="008C1931" w:rsidRPr="002F4E96">
        <w:rPr>
          <w:rFonts w:ascii="Times New Roman" w:hAnsi="Times New Roman" w:cs="Times New Roman"/>
          <w:bCs/>
        </w:rPr>
        <w:t>mainly</w:t>
      </w:r>
      <w:r w:rsidRPr="002F4E96">
        <w:rPr>
          <w:rFonts w:ascii="Times New Roman" w:hAnsi="Times New Roman" w:cs="Times New Roman"/>
          <w:bCs/>
        </w:rPr>
        <w:t xml:space="preserve"> </w:t>
      </w:r>
      <w:r w:rsidR="00DA1E7E" w:rsidRPr="002F4E96">
        <w:rPr>
          <w:rFonts w:ascii="Times New Roman" w:hAnsi="Times New Roman" w:cs="Times New Roman"/>
          <w:bCs/>
        </w:rPr>
        <w:t>since</w:t>
      </w:r>
      <w:r w:rsidRPr="002F4E96">
        <w:rPr>
          <w:rFonts w:ascii="Times New Roman" w:hAnsi="Times New Roman" w:cs="Times New Roman"/>
          <w:bCs/>
        </w:rPr>
        <w:t xml:space="preserve"> the inelastic strain is </w:t>
      </w:r>
      <w:r w:rsidR="00B655D2" w:rsidRPr="002F4E96">
        <w:rPr>
          <w:rFonts w:ascii="Times New Roman" w:hAnsi="Times New Roman" w:cs="Times New Roman"/>
          <w:bCs/>
        </w:rPr>
        <w:t xml:space="preserve">a </w:t>
      </w:r>
      <w:r w:rsidR="00DA1E7E" w:rsidRPr="002F4E96">
        <w:rPr>
          <w:rFonts w:ascii="Times New Roman" w:hAnsi="Times New Roman" w:cs="Times New Roman"/>
          <w:bCs/>
        </w:rPr>
        <w:t>peak</w:t>
      </w:r>
      <w:r w:rsidRPr="002F4E96">
        <w:rPr>
          <w:rFonts w:ascii="Times New Roman" w:hAnsi="Times New Roman" w:cs="Times New Roman"/>
          <w:bCs/>
        </w:rPr>
        <w:t xml:space="preserve"> near the </w:t>
      </w:r>
      <w:r w:rsidR="00541376" w:rsidRPr="002F4E96">
        <w:rPr>
          <w:rFonts w:ascii="Times New Roman" w:hAnsi="Times New Roman" w:cs="Times New Roman"/>
          <w:bCs/>
        </w:rPr>
        <w:t>Silicon</w:t>
      </w:r>
      <w:r w:rsidRPr="002F4E96">
        <w:rPr>
          <w:rFonts w:ascii="Times New Roman" w:hAnsi="Times New Roman" w:cs="Times New Roman"/>
          <w:bCs/>
        </w:rPr>
        <w:t xml:space="preserve"> die; </w:t>
      </w:r>
      <w:r w:rsidR="00DA1E7E" w:rsidRPr="002F4E96">
        <w:rPr>
          <w:rFonts w:ascii="Times New Roman" w:hAnsi="Times New Roman" w:cs="Times New Roman"/>
          <w:bCs/>
        </w:rPr>
        <w:t>thus</w:t>
      </w:r>
      <w:r w:rsidRPr="002F4E96">
        <w:rPr>
          <w:rFonts w:ascii="Times New Roman" w:hAnsi="Times New Roman" w:cs="Times New Roman"/>
          <w:bCs/>
        </w:rPr>
        <w:t xml:space="preserve">, the solder joint </w:t>
      </w:r>
      <w:r w:rsidR="00DA1E7E" w:rsidRPr="002F4E96">
        <w:rPr>
          <w:rFonts w:ascii="Times New Roman" w:hAnsi="Times New Roman" w:cs="Times New Roman"/>
          <w:bCs/>
        </w:rPr>
        <w:t xml:space="preserve">is shown to </w:t>
      </w:r>
      <w:r w:rsidRPr="002F4E96">
        <w:rPr>
          <w:rFonts w:ascii="Times New Roman" w:hAnsi="Times New Roman" w:cs="Times New Roman"/>
          <w:bCs/>
        </w:rPr>
        <w:t>fail at this critical solder joint</w:t>
      </w:r>
      <w:r w:rsidR="00DA1E7E" w:rsidRPr="002F4E96">
        <w:rPr>
          <w:rFonts w:ascii="Times New Roman" w:hAnsi="Times New Roman" w:cs="Times New Roman"/>
          <w:bCs/>
        </w:rPr>
        <w:t>.</w:t>
      </w:r>
    </w:p>
    <w:p w14:paraId="262E4DBA" w14:textId="77777777" w:rsidR="00CA16DE" w:rsidRPr="002F4E96" w:rsidRDefault="00CA16DE" w:rsidP="00CA16DE">
      <w:pPr>
        <w:spacing w:before="125" w:line="360" w:lineRule="auto"/>
        <w:ind w:right="38"/>
        <w:jc w:val="center"/>
        <w:rPr>
          <w:rFonts w:ascii="Times New Roman" w:hAnsi="Times New Roman" w:cs="Times New Roman"/>
        </w:rPr>
      </w:pPr>
      <w:r w:rsidRPr="002F4E96">
        <w:rPr>
          <w:rFonts w:ascii="Times New Roman" w:hAnsi="Times New Roman" w:cs="Times New Roman"/>
          <w:noProof/>
          <w:lang w:eastAsia="en-GB"/>
        </w:rPr>
        <w:drawing>
          <wp:inline distT="0" distB="0" distL="0" distR="0" wp14:anchorId="0467640C" wp14:editId="021626CD">
            <wp:extent cx="4075028" cy="1462332"/>
            <wp:effectExtent l="0" t="0" r="1905" b="0"/>
            <wp:docPr id="3" name="Picture 3"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8504" cy="1567646"/>
                    </a:xfrm>
                    <a:prstGeom prst="rect">
                      <a:avLst/>
                    </a:prstGeom>
                  </pic:spPr>
                </pic:pic>
              </a:graphicData>
            </a:graphic>
          </wp:inline>
        </w:drawing>
      </w:r>
    </w:p>
    <w:p w14:paraId="5968A226" w14:textId="1261BD31" w:rsidR="00CA16DE" w:rsidRPr="002F4E96" w:rsidRDefault="00CA16DE" w:rsidP="00CA16DE">
      <w:pPr>
        <w:pStyle w:val="Caption"/>
        <w:jc w:val="center"/>
        <w:rPr>
          <w:rFonts w:ascii="Times New Roman" w:hAnsi="Times New Roman" w:cs="Times New Roman"/>
          <w:b w:val="0"/>
          <w:bCs w:val="0"/>
          <w:color w:val="auto"/>
          <w:sz w:val="22"/>
          <w:szCs w:val="22"/>
          <w:shd w:val="clear" w:color="auto" w:fill="FFFFFF"/>
        </w:rPr>
      </w:pPr>
      <w:r w:rsidRPr="002F4E96">
        <w:rPr>
          <w:rFonts w:ascii="Times New Roman" w:hAnsi="Times New Roman" w:cs="Times New Roman"/>
          <w:b w:val="0"/>
          <w:bCs w:val="0"/>
          <w:color w:val="auto"/>
          <w:sz w:val="22"/>
          <w:szCs w:val="22"/>
        </w:rPr>
        <w:t xml:space="preserve">Fig. 19: SEM image of solder joint </w:t>
      </w:r>
      <w:r w:rsidRPr="002F4E96">
        <w:rPr>
          <w:rFonts w:ascii="Times New Roman" w:hAnsi="Times New Roman" w:cs="Times New Roman"/>
          <w:b w:val="0"/>
          <w:bCs w:val="0"/>
          <w:color w:val="auto"/>
          <w:sz w:val="22"/>
          <w:szCs w:val="22"/>
          <w:shd w:val="clear" w:color="auto" w:fill="FFFFFF"/>
        </w:rPr>
        <w:t xml:space="preserve">failure modes of the solder joints during temperature cycling showing cracked at the component interface of lead-based eutectic </w:t>
      </w:r>
      <w:r w:rsidRPr="002F4E96">
        <w:rPr>
          <w:rFonts w:ascii="Times New Roman" w:hAnsi="Times New Roman" w:cs="Times New Roman"/>
          <w:b w:val="0"/>
          <w:bCs w:val="0"/>
          <w:color w:val="auto"/>
          <w:sz w:val="22"/>
          <w:szCs w:val="22"/>
        </w:rPr>
        <w:t>Sn63Pb37</w:t>
      </w:r>
      <w:r w:rsidRPr="002F4E96">
        <w:rPr>
          <w:rFonts w:ascii="Times New Roman" w:hAnsi="Times New Roman" w:cs="Times New Roman"/>
          <w:b w:val="0"/>
          <w:bCs w:val="0"/>
          <w:color w:val="auto"/>
          <w:sz w:val="22"/>
          <w:szCs w:val="22"/>
          <w:shd w:val="clear" w:color="auto" w:fill="FFFFFF"/>
        </w:rPr>
        <w:t xml:space="preserve">solder (Adapted Ref. </w:t>
      </w:r>
      <w:r w:rsidRPr="002F4E96">
        <w:rPr>
          <w:rFonts w:ascii="Times New Roman" w:hAnsi="Times New Roman" w:cs="Times New Roman"/>
          <w:b w:val="0"/>
          <w:bCs w:val="0"/>
          <w:color w:val="auto"/>
          <w:sz w:val="22"/>
          <w:szCs w:val="22"/>
        </w:rPr>
        <w:fldChar w:fldCharType="begin" w:fldLock="1"/>
      </w:r>
      <w:r w:rsidR="007803A4" w:rsidRPr="002F4E96">
        <w:rPr>
          <w:rFonts w:ascii="Times New Roman" w:hAnsi="Times New Roman" w:cs="Times New Roman"/>
          <w:b w:val="0"/>
          <w:bCs w:val="0"/>
          <w:color w:val="auto"/>
          <w:sz w:val="22"/>
          <w:szCs w:val="22"/>
        </w:rPr>
        <w:instrText>ADDIN CSL_CITATION {"citationItems":[{"id":"ITEM-1","itemData":{"DOI":"10.1016/j.microrel.2018.10.003","ISSN":"00262714","abstract":"In this paper, the tin-lead (Sn-37wt%Pb) eutectic solder joints of plastic ball grid array (PBGA) assemblies are tested using temperature cycling, random vibrations, and combined temperature cycling and vibration loading conditions. The fatigue lives, failure modes for the solder joints and the typical locations of the failed solder joints for single-variable loading and combined loading conditions are compared and analyzed. The results show much earlier solder joint failure for combined loading than that for either temperature cycling or pure vibration loading at room temperature. The primary failure mode is cracking within the bulk solder under temperature cycling, whereas the crack propagation path is along the intermetallic compound (IMC) layer for vibration loading. The solder joints subjected to combined loading exhibit both types of failure modes observed for temperature cycling and vibration loading; in addition, cracking through the IMC and the bulk solder is observed in the combined test. For temperature cycling and vibration loading, the components in the central region of the printed circuit board (PCB) have more failed solder joints than other components, whereas for combined loading, the number of failed solder joints in the components in different locations of the PCB is approximately the same.","author":[{"dropping-particle":"","family":"An","given":"Tong","non-dropping-particle":"","parse-names":false,"suffix":""},{"dropping-particle":"","family":"Fang","given":"Chao","non-dropping-particle":"","parse-names":false,"suffix":""},{"dropping-particle":"","family":"Qin","given":"Fei","non-dropping-particle":"","parse-names":false,"suffix":""},{"dropping-particle":"","family":"Li","given":"Huaicheng","non-dropping-particle":"","parse-names":false,"suffix":""},{"dropping-particle":"","family":"Tang","given":"Tao","non-dropping-particle":"","parse-names":false,"suffix":""},{"dropping-particle":"","family":"Chen","given":"Pei","non-dropping-particle":"","parse-names":false,"suffix":""}],"container-title":"Microelectronics Reliability","id":"ITEM-1","issued":{"date-parts":[["2018"]]},"title":"Failure study of Sn37Pb PBGA solder joints using temperature cycling, random vibration and combined temperature cycling and random vibration tests","type":"article-journal"},"uris":["http://www.mendeley.com/documents/?uuid=0e096bbe-0a7b-4775-805b-159ccbe6daad"]}],"mendeley":{"formattedCitation":"[108]","plainTextFormattedCitation":"[108]","previouslyFormattedCitation":"[108]"},"properties":{"noteIndex":0},"schema":"https://github.com/citation-style-language/schema/raw/master/csl-citation.json"}</w:instrText>
      </w:r>
      <w:r w:rsidRPr="002F4E96">
        <w:rPr>
          <w:rFonts w:ascii="Times New Roman" w:hAnsi="Times New Roman" w:cs="Times New Roman"/>
          <w:b w:val="0"/>
          <w:bCs w:val="0"/>
          <w:color w:val="auto"/>
          <w:sz w:val="22"/>
          <w:szCs w:val="22"/>
        </w:rPr>
        <w:fldChar w:fldCharType="separate"/>
      </w:r>
      <w:r w:rsidR="0039530C" w:rsidRPr="002F4E96">
        <w:rPr>
          <w:rFonts w:ascii="Times New Roman" w:hAnsi="Times New Roman" w:cs="Times New Roman"/>
          <w:b w:val="0"/>
          <w:bCs w:val="0"/>
          <w:noProof/>
          <w:color w:val="auto"/>
          <w:sz w:val="22"/>
          <w:szCs w:val="22"/>
        </w:rPr>
        <w:t>[108]</w:t>
      </w:r>
      <w:r w:rsidRPr="002F4E96">
        <w:rPr>
          <w:rFonts w:ascii="Times New Roman" w:hAnsi="Times New Roman" w:cs="Times New Roman"/>
          <w:b w:val="0"/>
          <w:bCs w:val="0"/>
          <w:color w:val="auto"/>
          <w:sz w:val="22"/>
          <w:szCs w:val="22"/>
        </w:rPr>
        <w:fldChar w:fldCharType="end"/>
      </w:r>
      <w:r w:rsidRPr="002F4E96">
        <w:rPr>
          <w:rFonts w:ascii="Times New Roman" w:hAnsi="Times New Roman" w:cs="Times New Roman"/>
          <w:b w:val="0"/>
          <w:bCs w:val="0"/>
          <w:color w:val="auto"/>
          <w:sz w:val="22"/>
          <w:szCs w:val="22"/>
        </w:rPr>
        <w:t>)</w:t>
      </w:r>
    </w:p>
    <w:p w14:paraId="66AE2787" w14:textId="43066986" w:rsidR="00207250" w:rsidRPr="002F4E96" w:rsidRDefault="00207250" w:rsidP="00207250">
      <w:pPr>
        <w:spacing w:before="125" w:line="360" w:lineRule="auto"/>
        <w:ind w:right="38"/>
        <w:jc w:val="both"/>
        <w:rPr>
          <w:rFonts w:ascii="Times New Roman" w:hAnsi="Times New Roman" w:cs="Times New Roman"/>
        </w:rPr>
      </w:pPr>
      <w:r w:rsidRPr="002F4E96">
        <w:rPr>
          <w:rFonts w:ascii="Times New Roman" w:hAnsi="Times New Roman" w:cs="Times New Roman"/>
        </w:rPr>
        <w:t xml:space="preserve">Hsieh and Tzeng [109] investigated the solder joint fatigue life prediction in large size and low-cost wafer-level chip-scale electronic packages. The researchers evaluated the fatigue life of substantial size and low-cost WLCSP with SAC105 solder joint alloy. The board-level reliability (BLR) thermal cycling test follows JEDEC models. The failure results of SAC105 in the BLR thermal cycling test for 185 and 188 cycles are shown in Fig. 20. In summary, the researchers produced a modified Coffin-Manson equation for SAC105 solder joint fatigue life. With the current equations, the solder joint simulations without experimental evaluations can determine fatigue life in a large and low-cost WLCSP can be achieved are essential and </w:t>
      </w:r>
      <w:r w:rsidR="00B655D2" w:rsidRPr="002F4E96">
        <w:rPr>
          <w:rFonts w:ascii="Times New Roman" w:hAnsi="Times New Roman" w:cs="Times New Roman"/>
        </w:rPr>
        <w:t>valuable</w:t>
      </w:r>
      <w:r w:rsidRPr="002F4E96">
        <w:rPr>
          <w:rFonts w:ascii="Times New Roman" w:hAnsi="Times New Roman" w:cs="Times New Roman"/>
        </w:rPr>
        <w:t xml:space="preserve"> if high reliability and cost reduction in large die size and low-cost WLCSP are required. Fig. 20 show the reliability of SEM outcomes for the WLCSPs. By analysing the SEM images, the investigators show that the solder crack initially occurred near the corner of the pad and solder ball. The solder cracks then propagate along with the top IMC layer below the pad and the PCB Cu pad's top surface.</w:t>
      </w:r>
    </w:p>
    <w:p w14:paraId="33F53DA3" w14:textId="75AF71D0" w:rsidR="00CA16DE" w:rsidRPr="002F4E96" w:rsidRDefault="00CA16DE" w:rsidP="00207250">
      <w:pPr>
        <w:spacing w:before="125" w:line="360" w:lineRule="auto"/>
        <w:ind w:right="38"/>
        <w:jc w:val="center"/>
        <w:rPr>
          <w:rFonts w:ascii="Times New Roman" w:hAnsi="Times New Roman" w:cs="Times New Roman"/>
          <w:bCs/>
        </w:rPr>
      </w:pPr>
      <w:r w:rsidRPr="002F4E96">
        <w:rPr>
          <w:rFonts w:ascii="Times New Roman" w:hAnsi="Times New Roman" w:cs="Times New Roman"/>
          <w:bCs/>
          <w:noProof/>
          <w:color w:val="000000" w:themeColor="text1"/>
          <w:lang w:eastAsia="en-GB"/>
        </w:rPr>
        <w:lastRenderedPageBreak/>
        <w:drawing>
          <wp:inline distT="0" distB="0" distL="0" distR="0" wp14:anchorId="5A07B9CB" wp14:editId="26CF5742">
            <wp:extent cx="3971615" cy="1639846"/>
            <wp:effectExtent l="0" t="0" r="3810" b="0"/>
            <wp:docPr id="8" name="Picture 8" descr="A picture containing photo, monitor, clo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39070" cy="1708987"/>
                    </a:xfrm>
                    <a:prstGeom prst="rect">
                      <a:avLst/>
                    </a:prstGeom>
                  </pic:spPr>
                </pic:pic>
              </a:graphicData>
            </a:graphic>
          </wp:inline>
        </w:drawing>
      </w:r>
    </w:p>
    <w:p w14:paraId="624A5E12" w14:textId="4DEC6712" w:rsidR="00CA16DE" w:rsidRPr="002F4E96" w:rsidRDefault="00CA16DE" w:rsidP="00207250">
      <w:pPr>
        <w:pStyle w:val="Caption"/>
        <w:jc w:val="center"/>
        <w:rPr>
          <w:rFonts w:ascii="Times New Roman" w:hAnsi="Times New Roman" w:cs="Times New Roman"/>
          <w:b w:val="0"/>
          <w:color w:val="auto"/>
          <w:sz w:val="22"/>
          <w:szCs w:val="22"/>
        </w:rPr>
      </w:pPr>
      <w:r w:rsidRPr="002F4E96">
        <w:rPr>
          <w:rFonts w:ascii="Times New Roman" w:hAnsi="Times New Roman" w:cs="Times New Roman"/>
          <w:b w:val="0"/>
          <w:color w:val="auto"/>
          <w:sz w:val="22"/>
          <w:szCs w:val="22"/>
        </w:rPr>
        <w:t xml:space="preserve">Fig. 20: Failure results of SAC105 solder joint in board-level reliability (BLR) thermal cycling test (TCT) in test vehicle (a) more significant redistribution layer (RDL) pad size and (b) smaller redistribution layer (RDL) pad size (Adapted Ref. </w:t>
      </w:r>
      <w:r w:rsidRPr="002F4E96">
        <w:rPr>
          <w:rFonts w:ascii="Times New Roman" w:hAnsi="Times New Roman" w:cs="Times New Roman"/>
          <w:b w:val="0"/>
          <w:color w:val="auto"/>
          <w:sz w:val="22"/>
          <w:szCs w:val="22"/>
        </w:rPr>
        <w:fldChar w:fldCharType="begin" w:fldLock="1"/>
      </w:r>
      <w:r w:rsidR="007803A4" w:rsidRPr="002F4E96">
        <w:rPr>
          <w:rFonts w:ascii="Times New Roman" w:hAnsi="Times New Roman" w:cs="Times New Roman"/>
          <w:b w:val="0"/>
          <w:color w:val="auto"/>
          <w:sz w:val="22"/>
          <w:szCs w:val="22"/>
        </w:rPr>
        <w:instrText>ADDIN CSL_CITATION {"citationItems":[{"id":"ITEM-1","itemData":{"DOI":"10.1109/ICEPT.2014.6922704","ISBN":"9781479947072","abstract":"With the highly insatiable demands of higher performance and lower cost requirements for handheld and portable electronic devices in the semiconductor industry, the wafer level chip scale package (WLCSP) is widely used in integrated circuit (1S;) fabrication today with rapidly growing demands. Recently, WLCSP without utilization of an under-bump metallization (UBM) layer has been proposed for cost reduction purposes, eliminating the process of electroplating the UBM layer as compared to conventional WLCSP processes. For applications with larger than 5×5 mm2 die sizes, the die I/O can be increased to enhance the corresponding performance. With the increasing requirements of multifunctional, smaller form factor, lower cost and fine pitch package designs in WLCSPs, a number of challenges need to be overcome, especially in terms of preventing possible failures and enhancing reliability. It is well known that the empirical Coffin-Manson equation has been widely adopted to evaluate the thermal fatigue life of the solder joint in electronic packages. For the sake of understanding the thermal fatigue life of a large size and low cost WLCSP with Snl.0Ag0.5Cu (SAC105) solder joints, the board level reliability (BLR) thermal cycling test (TCT) that follows JEDEC standards was evaluated. The solder joint characteristic life in a large size and low cost WLCSP can be obtained by Weibull analysis according to the experimental result. The three-dimensional (3D) finite element analysis (FEA) with rate dependent nonlinearity material properties was utilized to study the solder joint creep behaviors. With the correlation of experimental and simulation results, the modified Coffin-Manson equation for SAC105 solder joint fatigue life estimation in a large size and low cost WLCSP can be established. Based on the present equations, the thermal fatigue life for the utilization of SAC105 solder joints in a large size and low cost WLCSP can be effectively estimated through the numerical modeling without any experimental evaluation. This study will be useful if high reliability and cost reduction in a large size and low cost WLCSP is required.","author":[{"dropping-particle":"","family":"Hsieh","given":"Ming Che","non-dropping-particle":"","parse-names":false,"suffix":""},{"dropping-particle":"","family":"Tzeng","given":"Su Lan","non-dropping-particle":"","parse-names":false,"suffix":""}],"container-title":"Proceedings of the Electronic Packaging Technology Conference, EPTC","id":"ITEM-1","issued":{"date-parts":[["2014"]]},"title":"Solder joint fatigue life prediction in large size and low cost wafer-level chip scale packages","type":"paper-conference"},"uris":["http://www.mendeley.com/documents/?uuid=e99ffdeb-e39e-4d0d-8713-9428b8d2e17d"]}],"mendeley":{"formattedCitation":"[109]","plainTextFormattedCitation":"[109]","previouslyFormattedCitation":"[109]"},"properties":{"noteIndex":0},"schema":"https://github.com/citation-style-language/schema/raw/master/csl-citation.json"}</w:instrText>
      </w:r>
      <w:r w:rsidRPr="002F4E96">
        <w:rPr>
          <w:rFonts w:ascii="Times New Roman" w:hAnsi="Times New Roman" w:cs="Times New Roman"/>
          <w:b w:val="0"/>
          <w:color w:val="auto"/>
          <w:sz w:val="22"/>
          <w:szCs w:val="22"/>
        </w:rPr>
        <w:fldChar w:fldCharType="separate"/>
      </w:r>
      <w:r w:rsidR="0039530C" w:rsidRPr="002F4E96">
        <w:rPr>
          <w:rFonts w:ascii="Times New Roman" w:hAnsi="Times New Roman" w:cs="Times New Roman"/>
          <w:b w:val="0"/>
          <w:noProof/>
          <w:color w:val="auto"/>
          <w:sz w:val="22"/>
          <w:szCs w:val="22"/>
        </w:rPr>
        <w:t>[109]</w:t>
      </w:r>
      <w:r w:rsidRPr="002F4E96">
        <w:rPr>
          <w:rFonts w:ascii="Times New Roman" w:hAnsi="Times New Roman" w:cs="Times New Roman"/>
          <w:b w:val="0"/>
          <w:color w:val="auto"/>
          <w:sz w:val="22"/>
          <w:szCs w:val="22"/>
        </w:rPr>
        <w:fldChar w:fldCharType="end"/>
      </w:r>
      <w:r w:rsidRPr="002F4E96">
        <w:rPr>
          <w:rFonts w:ascii="Times New Roman" w:hAnsi="Times New Roman" w:cs="Times New Roman"/>
          <w:b w:val="0"/>
          <w:color w:val="auto"/>
          <w:sz w:val="22"/>
          <w:szCs w:val="22"/>
        </w:rPr>
        <w:t>)</w:t>
      </w:r>
    </w:p>
    <w:p w14:paraId="47431854" w14:textId="77777777" w:rsidR="00CA16DE" w:rsidRPr="002F4E96" w:rsidRDefault="00CA16DE" w:rsidP="00CA16DE">
      <w:pPr>
        <w:spacing w:before="125" w:line="360" w:lineRule="auto"/>
        <w:ind w:right="38"/>
        <w:jc w:val="both"/>
        <w:rPr>
          <w:rFonts w:ascii="Times New Roman" w:hAnsi="Times New Roman" w:cs="Times New Roman"/>
        </w:rPr>
      </w:pPr>
    </w:p>
    <w:p w14:paraId="1A0F84BE" w14:textId="56CE927E" w:rsidR="007803A4" w:rsidRPr="002F4E96" w:rsidRDefault="007803A4" w:rsidP="00CA16DE">
      <w:pPr>
        <w:spacing w:before="125" w:line="360" w:lineRule="auto"/>
        <w:ind w:right="38"/>
        <w:jc w:val="both"/>
        <w:rPr>
          <w:rFonts w:ascii="Times New Roman" w:hAnsi="Times New Roman" w:cs="Times New Roman"/>
          <w:bCs/>
          <w:iCs/>
        </w:rPr>
      </w:pPr>
      <w:r w:rsidRPr="002F4E96">
        <w:rPr>
          <w:rFonts w:ascii="Times New Roman" w:hAnsi="Times New Roman" w:cs="Times New Roman"/>
          <w:bCs/>
        </w:rPr>
        <w:t xml:space="preserve">Furthermore, a study conducted by George et al.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{"citationItems":[{"id":"ITEM-1","itemData":{"DOI":"10.1109/TDMR.2011.2134100","ISSN":"15304388","abstract":"Applications with temperatures higher than the melting point of eutectic tinlead solder (183 °C) require high-melting-point solders. However, they are expensive and not widely available. With the adoption of lead-free legislation, first in Europe and then in many other countries, the electronics industry has transitioned from eutectic tinlead to lead-free solders that have higher melting points. This higher melting point presents an opportunity for the manufacturers of high-temperature electronics to shift to mainstream lead-free solders. In this paper, ball grid arrays (BGAs), quad flat packages, and surface mount resistors assembled with SAC305 (96.5%Sn+3.0%Ag+0.5Cu) and Sn3.5Ag (96.5%Sn+3.5%Ag) solder pastes were subjected to thermal cycling from 40°C to 185 ° C. Commercially available electroless nickel immersion gold board finish was compared to custom Sn-based board finish designed for high temperatures. The data analysis showed that the type of solder paste and board finish used did not have an impact on the reliability of BGA solder joints. The failure analysis revealed the failure site to be on the package side of the solder joint. The evolution of intermetallic compounds after thermal cycling was analyzed. © 2011 IEEE.","author":[{"dropping-particle":"","family":"George","given":"Elviz","non-dropping-particle":"","parse-names":false,"suffix":""},{"dropping-particle":"","family":"Das","given":"Diganta","non-dropping-particle":"","parse-names":false,"suffix":""},{"dropping-particle":"","family":"Osterman","given":"Michael","non-dropping-particle":"","parse-names":false,"suffix":""},{"dropping-particle":"","family":"Pecht","given":"Michael","non-dropping-particle":"","parse-names":false,"suffix":""}],"container-title":"IEEE Transactions on Device and Materials Reliability","id":"ITEM-1","issued":{"date-parts":[["2011"]]},"title":"Thermal cycling reliability of lead-free solders (SAC305 and Sn3.5Ag) for high-temperature applications","type":"article-journal"},"uris":["http://www.mendeley.com/documents/?uuid=55181fb0-6ccc-432b-86a6-ada899575071"]}],"mendeley":{"formattedCitation":"[110]","plainTextFormattedCitation":"[110]","previouslyFormattedCitation":"[110]"},"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[110]</w:t>
      </w:r>
      <w:r w:rsidRPr="002F4E96">
        <w:rPr>
          <w:rFonts w:ascii="Times New Roman" w:hAnsi="Times New Roman" w:cs="Times New Roman"/>
          <w:bCs/>
        </w:rPr>
        <w:fldChar w:fldCharType="end"/>
      </w:r>
      <w:r w:rsidRPr="002F4E96">
        <w:rPr>
          <w:rFonts w:ascii="Times New Roman" w:hAnsi="Times New Roman" w:cs="Times New Roman"/>
          <w:bCs/>
        </w:rPr>
        <w:t xml:space="preserve"> on the thermal cycling reliability of lead-free solders (SAC305 and Sn3.5Ag) for high-temperature applications presents comparable deformation outcomes. In their research,  quad flat packages (QFP), ball grid arrays (BGA), and surface mount resistors assembled with SAC305 and Sn3.5Ag solder pastes were subjected to thermal cycling from </w:t>
      </w:r>
      <m:oMath>
        <m:r>
          <m:rPr>
            <m:sty m:val="p"/>
          </m:rPr>
          <w:rPr>
            <w:rFonts w:ascii="Cambria Math" w:hAnsi="Cambria Math" w:cs="Times New Roman"/>
          </w:rPr>
          <m:t>-40℃ to 185℃</m:t>
        </m:r>
      </m:oMath>
      <w:r w:rsidRPr="002F4E96">
        <w:rPr>
          <w:rFonts w:ascii="Times New Roman" w:hAnsi="Times New Roman" w:cs="Times New Roman"/>
          <w:bCs/>
          <w:iCs/>
        </w:rPr>
        <w:t xml:space="preserve">. The result of their work shows that the failure was concentrated on the package side of the solder joint, which is comparable to results obtained from FEM. Their study's outcome reveals that the failure was centred on the package side of the solder joint, similar to the results achieved from FEM. Several investigators, such as Xie et al. </w:t>
      </w:r>
      <w:r w:rsidRPr="002F4E96">
        <w:rPr>
          <w:rFonts w:ascii="Times New Roman" w:hAnsi="Times New Roman" w:cs="Times New Roman"/>
          <w:bCs/>
          <w:iCs/>
        </w:rPr>
        <w:fldChar w:fldCharType="begin" w:fldLock="1"/>
      </w:r>
      <w:r w:rsidRPr="002F4E96">
        <w:rPr>
          <w:rFonts w:ascii="Times New Roman" w:hAnsi="Times New Roman" w:cs="Times New Roman"/>
          <w:bCs/>
          <w:iCs/>
        </w:rPr>
        <w:instrText>ADDIN CSL_CITATION {"citationItems":[{"id":"ITEM-1","itemData":{"DOI":"10.1109/ECTC.2010.5490777","ISBN":"9781424464104","ISSN":"05695503","abstract":"Chip-scale package (CSP) is commonly seen on high density boards as it minimizes the foot print while packed more functionality into one component. Board level reliability concern over CSPs is that finer pitch limits the solder ball size attached and the stencil thickness used in assembly which leads to much smaller joint volume and standoff while larger die-to-package ratio typically means higher stress level caused by the CTE mismatch. Prior studies have shown that the grain orientation may impact SnAgCu solder joint reliability. With less solder volume, the joint reliability of fine pitch SnAgCu solder may be more sensitive to the grain size, grain orientation, and IMC formation within the bulk solder. The purpose of the study is to evaluate the board level reliability of Pb-free ball grid array (BGA) packages with ball pitch smaller than 0.5mm under different packaging and assembly conditions. Based on a test vehicle with 0.4mm pitch daisy-chained CVBGA, the impact on solder joint reliability from a wide spectrum of variables such as PCB thickness, SMT configuration, die size, package pad finish, and mini cycle profiling has been investigated. The results of this study enable us to better understand the Pb-free fine pitch joint behaviors under different conditions and the factors that have significant impact on joint reliability. Isothermal aging effect has also been studied, will be presented in a separated paper, which demonstrated that isothermal aging could significantly degrade joint reliability for fine pitch packages. The ATC results proved that the fine pitch packages may underperform the components with regular 0.8-1.0mm pitch therefore extra attention needs to be paid on fine pitch components while converting high reliability products to Pb-free. © 2010 IEEE.","author":[{"dropping-particle":"","family":"Xie","given":"Weidong","non-dropping-particle":"","parse-names":false,"suffix":""},{"dropping-particle":"","family":"Lee","given":"Tae Kyu","non-dropping-particle":"","parse-names":false,"suffix":""},{"dropping-particle":"","family":"Liu","given":"Kuo Chuan","non-dropping-particle":"","parse-names":false,"suffix":""},{"dropping-particle":"","family":"Xue","given":"Jie","non-dropping-particle":"","parse-names":false,"suffix":""}],"container-title":"Proceedings - Electronic Components and Technology Conference","id":"ITEM-1","issued":{"date-parts":[["2010"]]},"title":"Pb-Free solder joint reliability of fine pitch chip-scale packages","type":"paper-conference"},"uris":["http://www.mendeley.com/documents/?uuid=513b01ea-d601-4f23-bbb7-0959fc8be8a2"]}],"mendeley":{"formattedCitation":"[111]","manualFormatting":"[111],","plainTextFormattedCitation":"[111]","previouslyFormattedCitation":"[111]"},"properties":{"noteIndex":0},"schema":"https://github.com/citation-style-language/schema/raw/master/csl-citation.json"}</w:instrText>
      </w:r>
      <w:r w:rsidRPr="002F4E96">
        <w:rPr>
          <w:rFonts w:ascii="Times New Roman" w:hAnsi="Times New Roman" w:cs="Times New Roman"/>
          <w:bCs/>
          <w:iCs/>
        </w:rPr>
        <w:fldChar w:fldCharType="separate"/>
      </w:r>
      <w:r w:rsidRPr="002F4E96">
        <w:rPr>
          <w:rFonts w:ascii="Times New Roman" w:hAnsi="Times New Roman" w:cs="Times New Roman"/>
          <w:bCs/>
          <w:iCs/>
          <w:noProof/>
        </w:rPr>
        <w:t>[111],</w:t>
      </w:r>
      <w:r w:rsidRPr="002F4E96">
        <w:rPr>
          <w:rFonts w:ascii="Times New Roman" w:hAnsi="Times New Roman" w:cs="Times New Roman"/>
          <w:bCs/>
          <w:iCs/>
        </w:rPr>
        <w:fldChar w:fldCharType="end"/>
      </w:r>
      <w:r w:rsidRPr="002F4E96">
        <w:rPr>
          <w:rFonts w:ascii="Times New Roman" w:hAnsi="Times New Roman" w:cs="Times New Roman"/>
          <w:bCs/>
          <w:iCs/>
        </w:rPr>
        <w:t xml:space="preserve"> have published a crack in the specific area except in particular circumstances that fatigue failure is seen on the component's PCB side. The additional investigations by Che, Arulvanan, Lall, Lee and Zhang </w:t>
      </w:r>
      <w:r w:rsidRPr="002F4E96">
        <w:rPr>
          <w:rFonts w:ascii="Times New Roman" w:hAnsi="Times New Roman" w:cs="Times New Roman"/>
          <w:bCs/>
          <w:iCs/>
        </w:rPr>
        <w:fldChar w:fldCharType="begin" w:fldLock="1"/>
      </w:r>
      <w:r w:rsidRPr="002F4E96">
        <w:rPr>
          <w:rFonts w:ascii="Times New Roman" w:hAnsi="Times New Roman" w:cs="Times New Roman"/>
          <w:bCs/>
          <w:iCs/>
        </w:rPr>
        <w:instrText>ADDIN CSL_CITATION {"citationItems":[{"id":"ITEM-1","itemData":{"DOI":"10.1109/ITHERM.2006.1645456","ISBN":"0780395247","abstract":"Thermal cycling reliability test and analysis for PBGA components with Sn-3.8Ag-0.7Cu Pb-free solder joints with Cu-OSP and ENIG surface finish were conducted. Failure mode after test was analyzed using cross section and optical microscope. From the test result, a two-parameter Weibull distribution failure model was used to determine the mean-time-to-failure (MTTF) for the PBGA solder joints. FEA simulation using quarter model and submodeling method was implemented to study stress strain behavior of Pb-free solder joints. In this study, finite element analysis modeling of solder joint reliability has been developed to model the effect of intermetallic compound (IMC) layer on solder joint fatigue behavior. Nano-indentation material properties for IMC layer and advanced material constitutive models such as viscoplastic model and the elastic-plastic-creep (EPC) model for lead-free solder are employed. Intermetallic compound (IMC) properties such as Cu6Sn5, CuNiSn and Ni3Sn4 were modeled with different IMC layer thicknesses in order to study the effect of IMC layer on fatigue life of the solder joint. It is shown that the IMC layer reduces the fatigue life of solder joints compared to the case without considering IMC layer. Thicker IMC layer leads to less fatigue life prediction than thinner IMC layer. The effect of Young's modulus of IMC on stress strain behavior of solder was also carried out. © 2006 IEEE.","author":[{"dropping-particle":"","family":"Che","given":"Fa Xing","non-dropping-particle":"","parse-names":false,"suffix":""},{"dropping-particle":"","family":"Pang","given":"John H.L.","non-dropping-particle":"","parse-names":false,"suffix":""},{"dropping-particle":"","family":"Xu","given":"L. H.","non-dropping-particle":"","parse-names":false,"suffix":""}],"container-title":"Thermomechanical Phenomena in Electronic Systems -Proceedings of the Intersociety Conference","id":"ITEM-1","issued":{"date-parts":[["2006"]]},"title":"IMC consideration in FEA simulation for PB-free solder joint reliability","type":"paper-conference"},"uris":["http://www.mendeley.com/documents/?uuid=03aa817a-e85c-4e5a-8f1b-cf51168672c1"]},{"id":"ITEM-2","itemData":{"DOI":"10.1016/j.microrel.2005.05.005","ISSN":"00262714","abstract":"In this study, microstructure evolution at intermetallic interfaces in SnAgCu solder joints of an area array component was investigated at various stages of a thermal cycling test. Failure modes of solder joints were analyzed to determine the effects of process conditions on crack propagation. Lead-free printed-circuit-board (PCB) assemblies were carried out using different foot print designs on PCBs, solder paste deposition volume and reflow profiles. Lead-free SnAgCu plastic-ball-grid-array (PBGA) components were assembled onto PCBs using SnAgCu solder paste. The assembled boards were subjected to the thermal cycling test (-40 °C/+125 °C), and crack initiation and crack propagation during the test were studied. Microstructure analysis and measurements of interface intermetallic growth were conducted using samples after 0, 1000, 2000 and 3000 thermal cycles. Failures were not found before 5700 thermal cycles and the characteristic lives of all solder joints produced using different process and design parameters were more than 7200 thermal cycles, indicating robust solder joints produced with a wide process window. In addition, the intermetallic interfaces were found to have Sn-Ni-Cu. The solder joints consisted of two Ag-Sn compounds exhibiting unique structures of Sn-rich and Ag-rich compounds. A crystalline star-shaped structure of Sn-Ni-Cu-P was also observed in a solder joint. The intermetallic thicknesses were less than 3 μm. The intermetallics growth was about 10% after 3000 thermal cycles. However, these compounds did not affect the reliability of the solder joints. Furthermore, findings in this study were compared with those in previous studies, and the comparison proved the validity of this study. © 2005 Elsevier Ltd. All rights reserved.","author":[{"dropping-particle":"","family":"Arulvanan","given":"Periannan","non-dropping-particle":"","parse-names":false,"suffix":""},{"dropping-particle":"","family":"Zhong","given":"Zhaowei","non-dropping-particle":"","parse-names":false,"suffix":""},{"dropping-particle":"","family":"Shi","given":"Xunqing","non-dropping-particle":"","parse-names":false,"suffix":""}],"container-title":"Microelectronics Reliability","id":"ITEM-2","issued":{"date-parts":[["2006"]]},"title":"Effects of process conditions on reliability, microstructure evolution and failure modes of SnAgCu solder joints","type":"article-journal"},"uris":["http://www.mendeley.com/documents/?uuid=9e29e79a-c30c-4601-88be-4f9ebec28c40"]},{"id":"ITEM-3","itemData":{"DOI":"10.1115/IPACK2015-48389","ISBN":"9780791856895","abstract":"Electronics products may often be exposed to high temperature during storage, operation and handling in addition to high strain rate transient dynamic loads during drop-impact. Electronics subjected to drop-impact, shock and vibration may experience strain rates of 1-100 per sec. There are no material properties available in published literature at high strain rate at elevated temperature. High temperature and vibrations can contribute to the failures of electronic system. The reliability of electronic products can be improved through a thorough understanding of the weakest link in the electronic systems which is the solder interconnects. The solder interconnects accrue damage much faster when subjected to Shock and vibration at elevated temperatures. There is lack of fundamental understanding of reliability of electronic systems subjected to thermal loads. Previous studies have showed the effect of high strain rates and thermal aging on the mechanical properties of leadfree alloys including elastic modulus and the ultimate tensile strength. Extended period of thermal aging has been shown to affect the mechanical properties of lead free alloys including elastic modulus and the ultimate tensile strength at low strain rates representative of thermal fatigue [Lee 2012, Motalab 2012]. Previously, the microstructure, mechanical response and failure behavior of leadfree solder alloys when subjected to elevated isothermal aging and/or thermal cycling [Darveaux 2005, Ding 2007, Pang 2004] have been measured. Pang [1998] has showed that young's modulus and yield stress of Sn-Pb are highly depending on strain rate and temperature. The Anand viscoplastic constitutive model has been widely used to describe the inelastic deformation behavior of solders in electronic components. Previously, Mechanical properties of lead-free alloys, at different high strain rates (10, 35, 50, 75 /sec) and elevated temperature (25 C-125 C) for pristine samples have been studied [Lall 2012 and Lall 2014]. Previous researchers [Suh 2007 and Jenq 2009] have determined the mechanical properties of SAC105 at very high strain rate (Above 1000 per sec) using compression testing. But there is no data available in published literature at high strain rate and at elevated temperature for aged conditions. In this study, mechanical properties of lead free SAC105 has been determined for high strain rate at elevated temperature for aged samples. Effect of aging on mechanical properties of SAC105 all…","author":[{"dropping-particle":"","family":"Lall","given":"Pradeep","non-dropping-particle":"","parse-names":false,"suffix":""},{"dropping-particle":"","family":"Yadav","given":"Vikas","non-dropping-particle":"","parse-names":false,"suffix":""},{"dropping-particle":"","family":"Suhling","given":"Jeff","non-dropping-particle":"","parse-names":false,"suffix":""},{"dropping-particle":"","family":"Locker","given":"David","non-dropping-particle":"","parse-names":false,"suffix":""}],"container-title":"ASME 2015 International Technical Conference and Exhibition on Packaging and Integration of Electronic and Photonic Microsystems, InterPACK 2015, collocated with the ASME 2015 13th International Conference on Nanochannels, Microchannels, and Minichannels","id":"ITEM-3","issued":{"date-parts":[["2015"]]},"title":"A study on the evolution of the high strain rate mechanical properties of SAC105 lead free alloy at high operating temperatures","type":"paper-conference"},"uris":["http://www.mendeley.com/documents/?uuid=1f3a25ff-d168-4869-bc27-e50fb1269702"]},{"id":"ITEM-4","itemData":{"DOI":"10.1109/esime.2004.1304030","ISBN":"0780384202","abstract":"A previous experimental study was conducted to characterize the thermal fatigue life of PBGA solder joints under temperature cycling condition. The temperature cycling profile was one-hour cycles with a temperature range from -40°C to 125°C. The thermal cycling test lasted for more than 3,000 cycles and the Weibull characteristics were obtained. In the present study, a computational model is established for the analysis of solder joint thermal fatigue life. The current approach is a finite element based analysis and the previous experimental data are used for model validation. In this paper, the results from two types of plastic ball grid array assemblies are presented. Both eutectic Sn-Pb and Pb-free solders are studied. The comparison between computational and experimental results shows that the two dimensional finite element analysis appears to be sufficient for estimating the thermal fatigue life of solder joints in plastic ball grid array assemblies.","author":[{"dropping-particle":"","family":"Lee","given":"S. W.Ricky","non-dropping-particle":"","parse-names":false,"suffix":""},{"dropping-particle":"","family":"Lau","given":"Dennis","non-dropping-particle":"","parse-names":false,"suffix":""}],"container-title":"Proceedings of the 5th International Conference on Thermal and Mechanical Simulation and Experiments in Microelectronics and Microsystems, EuroSimE 2004","id":"ITEM-4","issued":{"date-parts":[["2004"]]},"title":"Computational model validation with experimental data from temperature cycling tests of PBGA assemblies for the analysis of board level solder joint reliability","type":"paper-conference"},"uris":["http://www.mendeley.com/documents/?uuid=d6281296-71c0-4033-8c61-f252708c5903"]},{"id":"ITEM-5","itemData":{"DOI":"10.1109/ectc.2003.1216338","ISSN":"05695503","abstract":"Historically, energy-bound solder fatigue life models have been used primarily for PBGA or similar package configurations. In this paper, we extend the energy-based method to newly emerged Wafer Level, Chip Scale Package (WL-CSP). National Semiconductor's micro SMD package family was chosen as the test vehicle. Among all energy-based methods. Darveaux's model is arguably the most popular one due to its well-documented good correlation with the actual tests. To maintain consistency in results, Darveaux suggested that the solder joint be meshed such that the element size in its height direction has fixed value. However, we found in our study that Darveaux's model faired poorly in capturing the package fatigue life, even though the mesh size issue was carefully addressed. In view of the drastic difference in solder ball size between WL-CSP and PBGA, on which Darveaux's model is based, we argue that in addition to the element size in the solder height direction, the finite element calculation of inelastic dissipation may also depend on other meshing parameters, which may vary depending on the specific geometry of the solder bump. Consequently, we proposed a revised empirical equation to calculate the package fatigue life for micro SMD. The new equation is derived from correlating the simulation results with the test data. We also demonstrated that the new equation was capable of achieving a similar accuracy level as compared with Darveaux's model for PBGA packages. The study also provided for the first time a good parametric model scalable to larger micro SMD I/O count. In addition, the impact of different modeling schemes was also evaluated in terms of their accuracy and efficiency.","author":[{"dropping-particle":"","family":"Zhang","given":"L.","non-dropping-particle":"","parse-names":false,"suffix":""},{"dropping-particle":"","family":"Sitaraman","given":"R.","non-dropping-particle":"","parse-names":false,"suffix":""},{"dropping-particle":"","family":"Patwardhan","given":"V.","non-dropping-particle":"","parse-names":false,"suffix":""},{"dropping-particle":"","family":"Nguyen","given":"L.","non-dropping-particle":"","parse-names":false,"suffix":""},{"dropping-particle":"","family":"Kelkar","given":"N.","non-dropping-particle":"","parse-names":false,"suffix":""}],"container-title":"Proceedings - Electronic Components and Technology Conference","id":"ITEM-5","issued":{"date-parts":[["2003"]]},"title":"Solder joint reliability model with modified Darveaux's equations for the micro SMD wafer level-chip scale package family","type":"paper-conference"},"uris":["http://www.mendeley.com/documents/?uuid=360174c4-456b-4370-b00e-68f09121af3e"]}],"mendeley":{"formattedCitation":"[112]–[116]","plainTextFormattedCitation":"[112]–[116]","previouslyFormattedCitation":"[112]–[116]"},"properties":{"noteIndex":0},"schema":"https://github.com/citation-style-language/schema/raw/master/csl-citation.json"}</w:instrText>
      </w:r>
      <w:r w:rsidRPr="002F4E96">
        <w:rPr>
          <w:rFonts w:ascii="Times New Roman" w:hAnsi="Times New Roman" w:cs="Times New Roman"/>
          <w:bCs/>
          <w:iCs/>
        </w:rPr>
        <w:fldChar w:fldCharType="separate"/>
      </w:r>
      <w:r w:rsidRPr="002F4E96">
        <w:rPr>
          <w:rFonts w:ascii="Times New Roman" w:hAnsi="Times New Roman" w:cs="Times New Roman"/>
          <w:bCs/>
          <w:iCs/>
          <w:noProof/>
        </w:rPr>
        <w:t>[112]–[116]</w:t>
      </w:r>
      <w:r w:rsidRPr="002F4E96">
        <w:rPr>
          <w:rFonts w:ascii="Times New Roman" w:hAnsi="Times New Roman" w:cs="Times New Roman"/>
          <w:bCs/>
          <w:iCs/>
        </w:rPr>
        <w:fldChar w:fldCharType="end"/>
      </w:r>
      <w:r w:rsidRPr="002F4E96">
        <w:rPr>
          <w:rFonts w:ascii="Times New Roman" w:hAnsi="Times New Roman" w:cs="Times New Roman"/>
          <w:bCs/>
          <w:iCs/>
        </w:rPr>
        <w:t xml:space="preserve"> described the exact crack location on the electronics package in the components section. </w:t>
      </w:r>
    </w:p>
    <w:p w14:paraId="60642152" w14:textId="77777777" w:rsidR="007803A4" w:rsidRPr="002F4E96" w:rsidRDefault="007803A4" w:rsidP="007803A4">
      <w:pPr>
        <w:pStyle w:val="Heading3"/>
        <w:spacing w:line="360" w:lineRule="auto"/>
        <w:jc w:val="both"/>
        <w:rPr>
          <w:rFonts w:ascii="Times New Roman" w:hAnsi="Times New Roman" w:cs="Times New Roman"/>
          <w:color w:val="auto"/>
          <w:sz w:val="22"/>
          <w:szCs w:val="22"/>
        </w:rPr>
      </w:pPr>
      <w:r w:rsidRPr="002F4E96">
        <w:rPr>
          <w:rFonts w:ascii="Times New Roman" w:hAnsi="Times New Roman" w:cs="Times New Roman"/>
          <w:color w:val="auto"/>
          <w:sz w:val="22"/>
          <w:szCs w:val="22"/>
        </w:rPr>
        <w:t>3.8 Prediction of the Fatigue Life of Solder Joints</w:t>
      </w:r>
    </w:p>
    <w:p w14:paraId="7C5F3EBF" w14:textId="77777777" w:rsidR="007803A4" w:rsidRPr="002F4E96" w:rsidRDefault="007803A4" w:rsidP="007803A4">
      <w:pPr>
        <w:spacing w:line="360" w:lineRule="auto"/>
        <w:jc w:val="both"/>
        <w:rPr>
          <w:rFonts w:ascii="Times New Roman" w:hAnsi="Times New Roman" w:cs="Times New Roman"/>
        </w:rPr>
      </w:pPr>
      <w:r w:rsidRPr="002F4E96">
        <w:rPr>
          <w:rFonts w:ascii="Times New Roman" w:hAnsi="Times New Roman" w:cs="Times New Roman"/>
        </w:rPr>
        <w:t xml:space="preserve">The fatigue life of various solders considered in this work is presented in Figs. 21 – 24. The figures show the fatigue life cycle of solder joints using four models: Engelmaier, Coffin-Manson, Solomon (low cycle fatigue) and Syed (creep energy density), indicating that SAC405 and SAC396 have the highest number of cycles and duration before been prone to fatigue failure. SAC387 and lead-based eutectic Sn63Pb37 has the lowest fatigue life cycle under thermal cycling. The plot of the number of cycles and duration to failure are presented in Fig. 16. The fatigue failure of the solder joint is vital in the design consideration for various engineering industries. It is also noted that taking a stepwise approach to improve performance are recommended using the fatigue models used in this work. This model takes the temperature and frequency into account, making it easier to get a more accurate result. The relationship is presented in equation 12, and the value of </w:t>
      </w:r>
      <w:r w:rsidRPr="002F4E96">
        <w:rPr>
          <w:rFonts w:ascii="Times New Roman" w:hAnsi="Times New Roman" w:cs="Times New Roman"/>
          <w:i/>
          <w:iCs/>
        </w:rPr>
        <w:t xml:space="preserve">c </w:t>
      </w:r>
      <w:r w:rsidRPr="002F4E96">
        <w:rPr>
          <w:rFonts w:ascii="Times New Roman" w:hAnsi="Times New Roman" w:cs="Times New Roman"/>
        </w:rPr>
        <w:t>is obtained from equation 13, which form the Engelmaier equation.</w:t>
      </w:r>
    </w:p>
    <w:p w14:paraId="6CF71E2B" w14:textId="77777777" w:rsidR="007803A4" w:rsidRPr="002F4E96" w:rsidRDefault="00B205D3" w:rsidP="007803A4">
      <w:pPr>
        <w:spacing w:after="200" w:line="240" w:lineRule="auto"/>
        <w:rPr>
          <w:rFonts w:ascii="Times New Roman" w:eastAsia="Times New Roman" w:hAnsi="Times New Roman" w:cs="Times New Roman"/>
          <w:bCs/>
        </w:rPr>
      </w:pP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N</m:t>
            </m:r>
          </m:e>
          <m:sub>
            <m:r>
              <m:rPr>
                <m:sty m:val="bi"/>
              </m:rPr>
              <w:rPr>
                <w:rFonts w:ascii="Cambria Math" w:eastAsia="Times New Roman" w:hAnsi="Cambria Math" w:cs="Times New Roman"/>
              </w:rPr>
              <m:t>f</m:t>
            </m:r>
          </m:sub>
        </m:sSub>
        <m:r>
          <m:rPr>
            <m:sty m:val="bi"/>
          </m:rPr>
          <w:rPr>
            <w:rFonts w:ascii="Cambria Math" w:eastAsia="Times New Roman" w:hAnsi="Cambria Math" w:cs="Times New Roman"/>
          </w:rPr>
          <m:t>=</m:t>
        </m:r>
        <m:f>
          <m:fPr>
            <m:ctrlPr>
              <w:rPr>
                <w:rFonts w:ascii="Cambria Math" w:eastAsia="Times New Roman" w:hAnsi="Cambria Math" w:cs="Times New Roman"/>
                <w:b/>
                <w:i/>
              </w:rPr>
            </m:ctrlPr>
          </m:fPr>
          <m:num>
            <m:r>
              <m:rPr>
                <m:sty m:val="bi"/>
              </m:rPr>
              <w:rPr>
                <w:rFonts w:ascii="Cambria Math" w:eastAsia="Times New Roman" w:hAnsi="Cambria Math" w:cs="Times New Roman"/>
              </w:rPr>
              <m:t>1</m:t>
            </m:r>
          </m:num>
          <m:den>
            <m:r>
              <m:rPr>
                <m:sty m:val="bi"/>
              </m:rPr>
              <w:rPr>
                <w:rFonts w:ascii="Cambria Math" w:eastAsia="Times New Roman" w:hAnsi="Cambria Math" w:cs="Times New Roman"/>
              </w:rPr>
              <m:t>2</m:t>
            </m:r>
          </m:den>
        </m:f>
        <m:sSup>
          <m:sSupPr>
            <m:ctrlPr>
              <w:rPr>
                <w:rFonts w:ascii="Cambria Math" w:eastAsia="Times New Roman" w:hAnsi="Cambria Math" w:cs="Times New Roman"/>
                <w:b/>
                <w:i/>
              </w:rPr>
            </m:ctrlPr>
          </m:sSupPr>
          <m:e>
            <m:d>
              <m:dPr>
                <m:ctrlPr>
                  <w:rPr>
                    <w:rFonts w:ascii="Cambria Math" w:eastAsia="Times New Roman" w:hAnsi="Cambria Math" w:cs="Times New Roman"/>
                    <w:b/>
                    <w:i/>
                  </w:rPr>
                </m:ctrlPr>
              </m:dPr>
              <m:e>
                <m:f>
                  <m:fPr>
                    <m:ctrlPr>
                      <w:rPr>
                        <w:rFonts w:ascii="Cambria Math" w:eastAsia="Times New Roman" w:hAnsi="Cambria Math" w:cs="Times New Roman"/>
                        <w:b/>
                        <w:i/>
                      </w:rPr>
                    </m:ctrlPr>
                  </m:fPr>
                  <m:num>
                    <m:r>
                      <m:rPr>
                        <m:sty m:val="bi"/>
                      </m:rPr>
                      <w:rPr>
                        <w:rFonts w:ascii="Cambria Math" w:eastAsia="Times New Roman" w:hAnsi="Cambria Math" w:cs="Times New Roman"/>
                      </w:rPr>
                      <m:t>∆γ</m:t>
                    </m:r>
                  </m:num>
                  <m:den>
                    <m:sSubSup>
                      <m:sSubSupPr>
                        <m:ctrlPr>
                          <w:rPr>
                            <w:rFonts w:ascii="Cambria Math" w:eastAsia="Times New Roman" w:hAnsi="Cambria Math" w:cs="Times New Roman"/>
                            <w:b/>
                            <w:i/>
                          </w:rPr>
                        </m:ctrlPr>
                      </m:sSubSupPr>
                      <m:e>
                        <m:r>
                          <m:rPr>
                            <m:sty m:val="bi"/>
                          </m:rPr>
                          <w:rPr>
                            <w:rFonts w:ascii="Cambria Math" w:eastAsia="Times New Roman" w:hAnsi="Cambria Math" w:cs="Times New Roman"/>
                          </w:rPr>
                          <m:t>2</m:t>
                        </m:r>
                        <m:r>
                          <m:rPr>
                            <m:sty m:val="bi"/>
                          </m:rPr>
                          <w:rPr>
                            <w:rFonts w:ascii="Cambria Math" w:eastAsia="Times New Roman" w:hAnsi="Cambria Math" w:cs="Times New Roman"/>
                          </w:rPr>
                          <m:t>ε</m:t>
                        </m:r>
                      </m:e>
                      <m:sub>
                        <m:r>
                          <m:rPr>
                            <m:sty m:val="bi"/>
                          </m:rPr>
                          <w:rPr>
                            <w:rFonts w:ascii="Cambria Math" w:eastAsia="Times New Roman" w:hAnsi="Cambria Math" w:cs="Times New Roman"/>
                          </w:rPr>
                          <m:t>f</m:t>
                        </m:r>
                      </m:sub>
                      <m:sup>
                        <m:r>
                          <m:rPr>
                            <m:sty m:val="bi"/>
                          </m:rPr>
                          <w:rPr>
                            <w:rFonts w:ascii="Cambria Math" w:eastAsia="Times New Roman" w:hAnsi="Cambria Math" w:cs="Times New Roman"/>
                          </w:rPr>
                          <m:t>'</m:t>
                        </m:r>
                      </m:sup>
                    </m:sSubSup>
                  </m:den>
                </m:f>
              </m:e>
            </m:d>
          </m:e>
          <m:sup>
            <m:f>
              <m:fPr>
                <m:ctrlPr>
                  <w:rPr>
                    <w:rFonts w:ascii="Cambria Math" w:eastAsia="Times New Roman" w:hAnsi="Cambria Math" w:cs="Times New Roman"/>
                    <w:b/>
                    <w:i/>
                  </w:rPr>
                </m:ctrlPr>
              </m:fPr>
              <m:num>
                <m:r>
                  <m:rPr>
                    <m:sty m:val="bi"/>
                  </m:rPr>
                  <w:rPr>
                    <w:rFonts w:ascii="Cambria Math" w:eastAsia="Times New Roman" w:hAnsi="Cambria Math" w:cs="Times New Roman"/>
                  </w:rPr>
                  <m:t>1</m:t>
                </m:r>
              </m:num>
              <m:den>
                <m:r>
                  <m:rPr>
                    <m:sty m:val="bi"/>
                  </m:rPr>
                  <w:rPr>
                    <w:rFonts w:ascii="Cambria Math" w:eastAsia="Times New Roman" w:hAnsi="Cambria Math" w:cs="Times New Roman"/>
                  </w:rPr>
                  <m:t>c</m:t>
                </m:r>
              </m:den>
            </m:f>
          </m:sup>
        </m:sSup>
      </m:oMath>
      <w:r w:rsidR="007803A4" w:rsidRPr="002F4E96">
        <w:rPr>
          <w:rFonts w:ascii="Times New Roman" w:eastAsia="Times New Roman" w:hAnsi="Times New Roman" w:cs="Times New Roman"/>
          <w:b/>
        </w:rPr>
        <w:t xml:space="preserve">                                                                                                      </w:t>
      </w:r>
      <w:r w:rsidR="007803A4" w:rsidRPr="002F4E96">
        <w:rPr>
          <w:rFonts w:ascii="Times New Roman" w:eastAsia="Times New Roman" w:hAnsi="Times New Roman" w:cs="Times New Roman"/>
          <w:b/>
          <w:bCs/>
        </w:rPr>
        <w:t xml:space="preserve">                            (</w:t>
      </w:r>
      <w:r w:rsidR="007803A4" w:rsidRPr="002F4E96">
        <w:rPr>
          <w:rFonts w:ascii="Times New Roman" w:eastAsia="Times New Roman" w:hAnsi="Times New Roman" w:cs="Times New Roman"/>
        </w:rPr>
        <w:t>12)</w:t>
      </w:r>
    </w:p>
    <w:p w14:paraId="5F4D5054" w14:textId="77777777" w:rsidR="007803A4" w:rsidRPr="002F4E96" w:rsidRDefault="007803A4" w:rsidP="007803A4">
      <w:pPr>
        <w:spacing w:before="125" w:after="0" w:line="360" w:lineRule="auto"/>
        <w:ind w:right="38"/>
        <w:jc w:val="both"/>
        <w:rPr>
          <w:rFonts w:ascii="Times New Roman" w:eastAsia="Times New Roman" w:hAnsi="Times New Roman" w:cs="Times New Roman"/>
        </w:rPr>
      </w:pPr>
      <w:r w:rsidRPr="002F4E96">
        <w:rPr>
          <w:rFonts w:ascii="Times New Roman" w:eastAsia="Times New Roman" w:hAnsi="Times New Roman" w:cs="Times New Roman"/>
          <w:bCs/>
        </w:rPr>
        <w:lastRenderedPageBreak/>
        <w:t xml:space="preserve">Where </w:t>
      </w:r>
      <m:oMath>
        <m:sSub>
          <m:sSubPr>
            <m:ctrlPr>
              <w:rPr>
                <w:rFonts w:ascii="Cambria Math" w:eastAsia="Times New Roman" w:hAnsi="Cambria Math" w:cs="Times New Roman"/>
                <w:bCs/>
              </w:rPr>
            </m:ctrlPr>
          </m:sSubPr>
          <m:e>
            <m:r>
              <m:rPr>
                <m:sty m:val="p"/>
              </m:rPr>
              <w:rPr>
                <w:rFonts w:ascii="Cambria Math" w:eastAsia="Times New Roman" w:hAnsi="Cambria Math" w:cs="Times New Roman"/>
              </w:rPr>
              <m:t>N</m:t>
            </m:r>
          </m:e>
          <m:sub>
            <m:r>
              <m:rPr>
                <m:sty m:val="p"/>
              </m:rPr>
              <w:rPr>
                <w:rFonts w:ascii="Cambria Math" w:eastAsia="Times New Roman" w:hAnsi="Cambria Math" w:cs="Times New Roman"/>
              </w:rPr>
              <m:t>f</m:t>
            </m:r>
          </m:sub>
        </m:sSub>
      </m:oMath>
      <w:r w:rsidRPr="002F4E96">
        <w:rPr>
          <w:rFonts w:ascii="Times New Roman" w:eastAsia="Times New Roman" w:hAnsi="Times New Roman" w:cs="Times New Roman"/>
          <w:bCs/>
        </w:rPr>
        <w:t xml:space="preserve"> is the mean cycle to failure, </w:t>
      </w:r>
      <m:oMath>
        <m:r>
          <m:rPr>
            <m:sty m:val="p"/>
          </m:rPr>
          <w:rPr>
            <w:rFonts w:ascii="Cambria Math" w:eastAsia="Times New Roman" w:hAnsi="Cambria Math" w:cs="Times New Roman"/>
          </w:rPr>
          <m:t>∆γ</m:t>
        </m:r>
      </m:oMath>
      <w:r w:rsidRPr="002F4E96">
        <w:rPr>
          <w:rFonts w:ascii="Times New Roman" w:eastAsia="Times New Roman" w:hAnsi="Times New Roman" w:cs="Times New Roman"/>
          <w:bCs/>
        </w:rPr>
        <w:t xml:space="preserve"> is the cyclic shear strain range, </w:t>
      </w:r>
      <m:oMath>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ε</m:t>
            </m:r>
          </m:e>
          <m:sub>
            <m:r>
              <m:rPr>
                <m:sty m:val="p"/>
              </m:rPr>
              <w:rPr>
                <w:rFonts w:ascii="Cambria Math" w:eastAsia="Times New Roman" w:hAnsi="Cambria Math" w:cs="Times New Roman"/>
              </w:rPr>
              <m:t>f</m:t>
            </m:r>
          </m:sub>
          <m:sup>
            <m:r>
              <m:rPr>
                <m:sty m:val="p"/>
              </m:rPr>
              <w:rPr>
                <w:rFonts w:ascii="Cambria Math" w:eastAsia="Times New Roman" w:hAnsi="Cambria Math" w:cs="Times New Roman"/>
              </w:rPr>
              <m:t>'</m:t>
            </m:r>
          </m:sup>
        </m:sSubSup>
      </m:oMath>
      <w:r w:rsidRPr="002F4E96">
        <w:rPr>
          <w:rFonts w:ascii="Times New Roman" w:eastAsia="Times New Roman" w:hAnsi="Times New Roman" w:cs="Times New Roman"/>
          <w:bCs/>
        </w:rPr>
        <w:t xml:space="preserve"> is the fatigue ductility coefficient </w:t>
      </w:r>
      <m:oMath>
        <m:r>
          <m:rPr>
            <m:sty m:val="p"/>
          </m:rPr>
          <w:rPr>
            <w:rFonts w:ascii="Cambria Math" w:eastAsia="Times New Roman" w:hAnsi="Cambria Math" w:cs="Times New Roman"/>
          </w:rPr>
          <m:t>(2</m:t>
        </m:r>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ε</m:t>
            </m:r>
          </m:e>
          <m:sub>
            <m:r>
              <m:rPr>
                <m:sty m:val="p"/>
              </m:rPr>
              <w:rPr>
                <w:rFonts w:ascii="Cambria Math" w:eastAsia="Times New Roman" w:hAnsi="Cambria Math" w:cs="Times New Roman"/>
              </w:rPr>
              <m:t>f</m:t>
            </m:r>
          </m:sub>
          <m:sup>
            <m:r>
              <m:rPr>
                <m:sty m:val="p"/>
              </m:rPr>
              <w:rPr>
                <w:rFonts w:ascii="Cambria Math" w:eastAsia="Times New Roman" w:hAnsi="Cambria Math" w:cs="Times New Roman"/>
              </w:rPr>
              <m:t>'</m:t>
            </m:r>
          </m:sup>
        </m:sSubSup>
        <m:r>
          <m:rPr>
            <m:sty m:val="p"/>
          </m:rPr>
          <w:rPr>
            <w:rFonts w:ascii="Cambria Math" w:eastAsia="Times New Roman" w:hAnsi="Cambria Math" w:cs="Times New Roman"/>
          </w:rPr>
          <m:t xml:space="preserve"> =0.65</m:t>
        </m:r>
      </m:oMath>
      <w:r w:rsidRPr="002F4E96">
        <w:rPr>
          <w:rFonts w:ascii="Times New Roman" w:eastAsia="Times New Roman" w:hAnsi="Times New Roman" w:cs="Times New Roman"/>
        </w:rPr>
        <w:t xml:space="preserve"> lead-based eutectic solder alloys and </w:t>
      </w:r>
      <m:oMath>
        <m:r>
          <m:rPr>
            <m:sty m:val="p"/>
          </m:rPr>
          <w:rPr>
            <w:rFonts w:ascii="Cambria Math" w:eastAsia="Times New Roman" w:hAnsi="Cambria Math" w:cs="Times New Roman"/>
          </w:rPr>
          <m:t>2</m:t>
        </m:r>
        <m:sSubSup>
          <m:sSubSupPr>
            <m:ctrlPr>
              <w:rPr>
                <w:rFonts w:ascii="Cambria Math" w:eastAsia="Times New Roman" w:hAnsi="Cambria Math" w:cs="Times New Roman"/>
                <w:bCs/>
              </w:rPr>
            </m:ctrlPr>
          </m:sSubSupPr>
          <m:e>
            <m:r>
              <m:rPr>
                <m:sty m:val="p"/>
              </m:rPr>
              <w:rPr>
                <w:rFonts w:ascii="Cambria Math" w:eastAsia="Times New Roman" w:hAnsi="Cambria Math" w:cs="Times New Roman"/>
              </w:rPr>
              <m:t>ε</m:t>
            </m:r>
          </m:e>
          <m:sub>
            <m:r>
              <m:rPr>
                <m:sty m:val="p"/>
              </m:rPr>
              <w:rPr>
                <w:rFonts w:ascii="Cambria Math" w:eastAsia="Times New Roman" w:hAnsi="Cambria Math" w:cs="Times New Roman"/>
              </w:rPr>
              <m:t>f</m:t>
            </m:r>
          </m:sub>
          <m:sup>
            <m:r>
              <m:rPr>
                <m:sty m:val="p"/>
              </m:rPr>
              <w:rPr>
                <w:rFonts w:ascii="Cambria Math" w:eastAsia="Times New Roman" w:hAnsi="Cambria Math" w:cs="Times New Roman"/>
              </w:rPr>
              <m:t>'</m:t>
            </m:r>
          </m:sup>
        </m:sSubSup>
        <m:r>
          <m:rPr>
            <m:sty m:val="p"/>
          </m:rPr>
          <w:rPr>
            <w:rFonts w:ascii="Cambria Math" w:eastAsia="Times New Roman" w:hAnsi="Cambria Math" w:cs="Times New Roman"/>
          </w:rPr>
          <m:t xml:space="preserve">  =0.48</m:t>
        </m:r>
      </m:oMath>
      <w:r w:rsidRPr="002F4E96">
        <w:rPr>
          <w:rFonts w:ascii="Times New Roman" w:eastAsia="Times New Roman" w:hAnsi="Times New Roman" w:cs="Times New Roman"/>
        </w:rPr>
        <w:t xml:space="preserve"> for SAC solder alloys) </w:t>
      </w:r>
      <w:r w:rsidRPr="002F4E96">
        <w:rPr>
          <w:rFonts w:ascii="Times New Roman" w:eastAsia="Times New Roman" w:hAnsi="Times New Roman" w:cs="Times New Roman"/>
        </w:rPr>
        <w:fldChar w:fldCharType="begin" w:fldLock="1"/>
      </w:r>
      <w:r w:rsidRPr="002F4E96">
        <w:rPr>
          <w:rFonts w:ascii="Times New Roman" w:eastAsia="Times New Roman" w:hAnsi="Times New Roman" w:cs="Times New Roman"/>
        </w:rPr>
        <w:instrText>ADDIN CSL_CITATION {"citationItems":[{"id":"ITEM-1","itemData":{"DOI":"10.1007/s11837-018-3003-0","ISSN":"15431851","abstract":"Acceleration factors and predictive life models are of use to build-in board assembly reliability and estimate solder joint life at the design stage. They allow designers to answer management and end-users’ reliability questions. This paper reviews the grand families of solder joint reliability models that can help answer these types of questions. Different categories of models were reviewed, examples were provided and model limitations were discussed. Emphasis is on engineering models for Sn-Pb and Pb-free assemblies. Differences in the microstructure and failure mechanisms of near-eutectic Sn-Ag-Cu solders versus Sn-Pb are also reviewed, as they present new challenges to the development of thermo-mechanical models for surface mount assembly reliability assurance.","author":[{"dropping-particle":"","family":"Clech","given":"Jean Paul M.","non-dropping-particle":"","parse-names":false,"suffix":""},{"dropping-particle":"","family":"Coyle","given":"Richard J.","non-dropping-particle":"","parse-names":false,"suffix":""},{"dropping-particle":"","family":"Arfaei","given":"Babak","non-dropping-particle":"","parse-names":false,"suffix":""}],"container-title":"JOM","id":"ITEM-1","issued":{"date-parts":[["2019"]]},"title":"Pb-Free Solder Joint Thermo-Mechanical Modeling: State of the Art and Challenges","type":"article-journal"},"uris":["http://www.mendeley.com/documents/?uuid=55d45d6b-a3d9-4f9a-ab4d-83c9e9557d4f"]}],"mendeley":{"formattedCitation":"[117]","plainTextFormattedCitation":"[117]","previouslyFormattedCitation":"[117]"},"properties":{"noteIndex":0},"schema":"https://github.com/citation-style-language/schema/raw/master/csl-citation.json"}</w:instrText>
      </w:r>
      <w:r w:rsidRPr="002F4E96">
        <w:rPr>
          <w:rFonts w:ascii="Times New Roman" w:eastAsia="Times New Roman" w:hAnsi="Times New Roman" w:cs="Times New Roman"/>
        </w:rPr>
        <w:fldChar w:fldCharType="separate"/>
      </w:r>
      <w:r w:rsidRPr="002F4E96">
        <w:rPr>
          <w:rFonts w:ascii="Times New Roman" w:eastAsia="Times New Roman" w:hAnsi="Times New Roman" w:cs="Times New Roman"/>
          <w:noProof/>
        </w:rPr>
        <w:t>[117]</w:t>
      </w:r>
      <w:r w:rsidRPr="002F4E96">
        <w:rPr>
          <w:rFonts w:ascii="Times New Roman" w:eastAsia="Times New Roman" w:hAnsi="Times New Roman" w:cs="Times New Roman"/>
        </w:rPr>
        <w:fldChar w:fldCharType="end"/>
      </w:r>
      <w:r w:rsidRPr="002F4E96">
        <w:rPr>
          <w:rFonts w:ascii="Times New Roman" w:eastAsia="Times New Roman" w:hAnsi="Times New Roman" w:cs="Times New Roman"/>
        </w:rPr>
        <w:t xml:space="preserve"> </w:t>
      </w:r>
      <w:r w:rsidRPr="002F4E96">
        <w:rPr>
          <w:rFonts w:ascii="Times New Roman" w:eastAsia="Times New Roman" w:hAnsi="Times New Roman" w:cs="Times New Roman"/>
          <w:bCs/>
        </w:rPr>
        <w:t xml:space="preserve">and </w:t>
      </w:r>
      <w:r w:rsidRPr="002F4E96">
        <w:rPr>
          <w:rFonts w:ascii="Times New Roman" w:eastAsia="Times New Roman" w:hAnsi="Times New Roman" w:cs="Times New Roman"/>
          <w:bCs/>
          <w:i/>
          <w:iCs/>
        </w:rPr>
        <w:t xml:space="preserve">c </w:t>
      </w:r>
      <w:r w:rsidRPr="002F4E96">
        <w:rPr>
          <w:rFonts w:ascii="Times New Roman" w:eastAsia="Times New Roman" w:hAnsi="Times New Roman" w:cs="Times New Roman"/>
          <w:bCs/>
        </w:rPr>
        <w:t xml:space="preserve">is the fatigue ductility exponent (c = -0.442 for eutectic and 0.5708 for SAC solder alloys). </w:t>
      </w:r>
    </w:p>
    <w:p w14:paraId="340F9855" w14:textId="77777777" w:rsidR="007803A4" w:rsidRPr="002F4E96" w:rsidRDefault="007803A4" w:rsidP="007803A4">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When solder joints are at extremely high temperature, creep failure dominates; and when exposed to temperature cycling, fatigue failure dominates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{"citationItems":[{"id":"ITEM-1","itemData":{"DOI":"10.1007/s11664-018-6121-0","ISSN":"03615235","abstract":"The present work offers both a complete, quantitative model and a conservative acceleration factor expression for the life span of SnAgCu solder joints in thermal cycling. A broad range of thermal cycling experiments, conducted over many years, has revealed a series of systematic trends that are not compatible with common damage functions or constitutive relations. Complementary mechanical testing and systematic studies of the evolution of the microstructure and damage have led to a fundamental understanding of the progression of thermal fatigue and failure. A special experiment was developed to allow the effective deconstruction of conventional thermal cycling experiments and the finalization of our model. According to this model, the evolution of damage and failure in thermal cycling is controlled by a continuous recrystallization process which is dominated by the coalescence and rotation of dislocation cell structures continuously added to during the high-temperature dwell. The dominance of this dynamic recrystallization contribution is not consistent with the common assumption of a correlation between the number of cycles to failure and the total work done on the solder joint in question in each cycle. It is, however, consistent with an apparent dependence on the work done during the high-temperature dwell. Importantly, the onset of this recrystallization is delayed by pinning on the Ag3Sn precipitates until these have coarsened sufficiently, leading to a model with two terms where one tends to dominate in service and the other in accelerated thermal cycling tests. Accumulation of damage under realistic service conditions with varying dwell temperatures and times is also addressed.","author":[{"dropping-particle":"","family":"Borgesen","given":"Peter","non-dropping-particle":"","parse-names":false,"suffix":""},{"dropping-particle":"","family":"Wentlent","given":"Luke","non-dropping-particle":"","parse-names":false,"suffix":""},{"dropping-particle":"","family":"Hamasha","given":"Sa’d","non-dropping-particle":"","parse-names":false,"suffix":""},{"dropping-particle":"","family":"Khasawneh","given":"Saif","non-dropping-particle":"","parse-names":false,"suffix":""},{"dropping-particle":"","family":"Shirazi","given":"Sam","non-dropping-particle":"","parse-names":false,"suffix":""},{"dropping-particle":"","family":"Schmitz","given":"Debora","non-dropping-particle":"","parse-names":false,"suffix":""},{"dropping-particle":"","family":"Alghoul","given":"Thaer","non-dropping-particle":"","parse-names":false,"suffix":""},{"dropping-particle":"","family":"Greene","given":"Chris","non-dropping-particle":"","parse-names":false,"suffix":""},{"dropping-particle":"","family":"Yin","given":"Liang","non-dropping-particle":"","parse-names":false,"suffix":""}],"container-title":"Journal of Electronic Materials","id":"ITEM-1","issue":"5","issued":{"date-parts":[["2018"]]},"page":"2526-2544","publisher":"Springer US","title":"A Mechanistic Thermal Fatigue Model for SnAgCu Solder Joints","type":"article-journal","volume":"47"},"uris":["http://www.mendeley.com/documents/?uuid=ecee8f28-a72f-4160-a922-5fff0d2f00c3"]},{"id":"ITEM-2","itemData":{"DOI":"10.1109/ITHERM.2017.7992636","ISBN":"9781509029945","abstract":"Realistic service conditions of electronic assemblies tend to involve significant variations in loading. However, reliability prediction of solder joints relies on conducting accelerated tests with fixed amplitudes and extrapolating results to service conditions. This can be very misleading without proper constitutive relations and without understanding the interacting effects of cycling parameters under realistic service conditions. In this work, the effects of amplitude variations and strain rate on solder joint fatigue life are studied. Individual SnAgCu solder joints with two different Ag contents (SAC305 and SAC105) were tested in low cycling shear fatigue under single and varying stress amplitudes with different strain rates. Work accumulation and the evolution of solder deformation properties during cycling were measured. The results showed that cycling with a higher strain rate at fixed stress causes less damage per cycle and thus longer fatigue life. Alternating between high and low stress at a fixed strain rate leads to damage acceleration and rapid failure. In addition, alternating between low stress at a high strain rate and high stress at a low strain rate leads to ongoing increases in the rate of damage at the mild amplitude and thus relatively rapid failure. In comparing SAC305 with SAC105, SAC305 is more fatigue resistant than SAC105 in single and varying amplitude cycling. However, the effect of strain rate on both alloys is almost the same.","author":[{"dropping-particle":"","family":"Hamasha","given":"Sa'D","non-dropping-particle":"","parse-names":false,"suffix":""},{"dropping-particle":"","family":"Su","given":"Sinan","non-dropping-particle":"","parse-names":false,"suffix":""},{"dropping-particle":"","family":"Akkara","given":"Francy","non-dropping-particle":"","parse-names":false,"suffix":""},{"dropping-particle":"","family":"Dawahdeh","given":"Ahmad","non-dropping-particle":"","parse-names":false,"suffix":""},{"dropping-particle":"","family":"Borgesen","given":"Peter","non-dropping-particle":"","parse-names":false,"suffix":""},{"dropping-particle":"","family":"Qasaimeh","given":"Awni","non-dropping-particle":"","parse-names":false,"suffix":""}],"container-title":"Proceedings of the 16th InterSociety Conference on Thermal and Thermomechanical Phenomena in Electronic Systems, ITherm 2017","id":"ITEM-2","issued":{"date-parts":[["2017"]]},"page":"1331-1336","title":"Solder joint reliability in isothermal varying load cycling","type":"paper-conference"},"uris":["http://www.mendeley.com/documents/?uuid=de09b48a-88bd-4606-ab90-ea45398c0b4e"]},{"id":"ITEM-3","itemData":{"DOI":"10.1115/1.4043405","ISSN":"15289044","abstract":"Fatigue failure of solder joints is one of the major causes of failure in electronic devices. Fatigue life prediction models of solder joints were first put forward in the early 1960s, and since then, numbers of methods were used to model the fatigue mechanism of solder joints. In this article, the majority fatigue life models are summarized, with emphasis on the latest developments in the fatigue life prediction methods. All the models reviewed are grouped into four categories based on the factors affecting the fatigue life of solder joints, which are: plastic strain-based fatigue models, creep damage-based fatigue models, energy-based fatigue models, and damage accumulation-based fatigue models. The models that do not fit any of the above categories are grouped into \"other models.\" Applications and potential limitations for those models are also discussed.","author":[{"dropping-particle":"","family":"Su","given":"Sinan","non-dropping-particle":"","parse-names":false,"suffix":""},{"dropping-particle":"","family":"Akkara","given":"Francy John John","non-dropping-particle":"","parse-names":false,"suffix":""},{"dropping-particle":"","family":"Thaper","given":"Ravinder","non-dropping-particle":"","parse-names":false,"suffix":""},{"dropping-particle":"","family":"Alkhazali","given":"Atif","non-dropping-particle":"","parse-names":false,"suffix":""},{"dropping-particle":"","family":"Hamasha","given":"Mohammad","non-dropping-particle":"","parse-names":false,"suffix":""},{"dropping-particle":"","family":"Hamasha","given":"Sa'D","non-dropping-particle":"","parse-names":false,"suffix":""}],"container-title":"Journal of Electronic Packaging, Transactions of the ASME","id":"ITEM-3","issue":"4","issued":{"date-parts":[["2019"]]},"title":"A state-of-the-art review of fatigue life prediction models for solder joint","type":"article-journal","volume":"141"},"uris":["http://www.mendeley.com/documents/?uuid=e7bb2815-3358-4353-b4c9-e3619f8739fb"]},{"id":"ITEM-4","itemData":{"DOI":"10.1115/1.4032881","ISSN":"15289044","abstract":"The behavior of lead-free solder alloys under realistic service conditions is still not well understood. Life prediction of solder joints relies on conducting accelerated tests and extrapolating results to service conditions. This can be very misleading without proper constitutive relations and without understanding the effects of cycling parameter variations common under realistic service conditions. It has been shown that the fatigue life depends on the inelastic work accumulation, independently of cycling-induced material property variations, which explains the breakdown of damage accumulation rules and allows the development of a modified Miner's rule. This paper discusses the interacting effects of strain rate and amplitude variations on solder joint fatigue life. Individual SnAgCu solder joints with two different Ag contents (SAC305 and SAC105) were tested in low cycling shear fatigue under single and varying amplitudes with different strain rates. Such a shear fatigue experiment allows the measurement of work accumulation and the evolution of solder deformation properties during cycling. The results showed that cycling with a lower strain rate at fixed amplitude causes more damage per cycle. Alternating between mild amplitude at a high strain rate and harsh amplitude at a low strain rate leads to ongoing increases in the rate of damage at the mild amplitude and thus relatively rapid failure. In comparing SAC305 with SAC105, the effect of strain rate on both alloys is almost the same, and SAC305 is still more fatigue resistant than SAC105 in varying amplitude cycling with any strain rate.","author":[{"dropping-particle":"","family":"Hamasha","given":"Sa'd","non-dropping-particle":"","parse-names":false,"suffix":""},{"dropping-particle":"","family":"Borgesen","given":"Peter","non-dropping-particle":"","parse-names":false,"suffix":""}],"container-title":"Journal of Electronic Packaging, Transactions of the ASME","id":"ITEM-4","issued":{"date-parts":[["2016"]]},"title":"Effects of strain rate and amplitude variations on solder joint fatigue life in isothermal cycling","type":"article-journal"},"uris":["http://www.mendeley.com/documents/?uuid=cc548a94-f2a8-40e8-8ed1-c227db4066a6"]},{"id":"ITEM-5","itemData":{"DOI":"10.1109/TCPMT.2015.2453989","ISSN":"21563950","abstract":"The fatigue behavior of solder joints in realistic service applications is still not well understood. Service life prediction based on conducting accelerated tests and extrapolating test results therefore involves a high potential for error. Understanding both the evolution of solder joint properties and the damage accumulation has proved to be critical to reliability modeling. Damage accumulation in isothermal cycling is shown to scale with the accumulated inelastic work even in complex cycling scenarios, so that the life of a solder joint ends upon accumulation of a given amount of work. Individual ball grid array solder joints were cycled in shear fatigue experiments with different load amplitudes and strain rates. The effects of load amplitudes and strain rates on the work accumulation and fatigue life were systematically addressed. The correlation between different loading scenarios and the accumulated work to failure was also discussed. The results showed that the accumulated work until the development of a major crack is constant regardless of the load amplitude. After that the accumulated work to failure is lower for larger load amplitudes. For some reason, a larger fraction of the work appears to be dissipating as heat at lower load amplitude, but only during crack growth. On the other hand, the strain rate affects the fraction of the work going to heat even before the development of a major crack.","author":[{"dropping-particle":"","family":"Hamasha","given":"Sa'd","non-dropping-particle":"","parse-names":false,"suffix":""},{"dropping-particle":"","family":"Qasaimeh","given":"Awni","non-dropping-particle":"","parse-names":false,"suffix":""},{"dropping-particle":"","family":"Jaradat","given":"Younis","non-dropping-particle":"","parse-names":false,"suffix":""},{"dropping-particle":"","family":"Borgesen","given":"Peter","non-dropping-particle":"","parse-names":false,"suffix":""}],"container-title":"IEEE Transactions on Components, Packaging and Manufacturing Technology","id":"ITEM-5","issued":{"date-parts":[["2015"]]},"title":"Correlation Between Solder Joint Fatigue Life and Accumulated Work in Isothermal Cycling","type":"article-journal"},"uris":["http://www.mendeley.com/documents/?uuid=ae68dcdb-17b3-49c4-a7ce-70298ddd9176"]},{"id":"ITEM-6","itemData":{"DOI":"10.1115/1.4029441","ISSN":"15289044","abstract":"The extrapolation and generalization of accelerated test results for lead free solder joints require the identification of a damage function that can be counted on to apply beyond the region of the test. Individual ball grid array (BGA) scale Sn3Ag0.5Cu (SAC305) solder joints were subjected to isothermal shear fatigue testing at room temperature and 65 °C. The resulting mechanical response degradation and crack behavior, including strain hardening, crack initiation, and propagation, were correlated with the inelastic work and effective stiffness derived from load-displacement hysteresis loops. Crack initiation was found to scale with the accumulated work, independently of cycling amplitude and strain rate. The subsequent damage rate varied slightly with amplitude.","author":[{"dropping-particle":"","family":"Qasaimeh","given":"Awni","non-dropping-particle":"","parse-names":false,"suffix":""},{"dropping-particle":"","family":"Hamasha","given":"Sa'd","non-dropping-particle":"","parse-names":false,"suffix":""},{"dropping-particle":"","family":"Jaradat","given":"Younis","non-dropping-particle":"","parse-names":false,"suffix":""},{"dropping-particle":"","family":"Borgesen","given":"Peter","non-dropping-particle":"","parse-names":false,"suffix":""}],"container-title":"Journal of Electronic Packaging, Transactions of the ASME","id":"ITEM-6","issued":{"date-parts":[["2015"]]},"title":"Damage evolution in lead free solder joints in isothermal fatigue","type":"article-journal"},"uris":["http://www.mendeley.com/documents/?uuid=efd8c582-2dca-492a-bfa8-f7bf190fe842"]},{"id":"ITEM-7","itemData":{"DOI":"10.1109/ECTC.2013.6575741","ISBN":"9781479902330","ISSN":"05695503","abstract":"Realistic manufacturing, test, handling and service conditions tend to involve significant variations in loading of microelectronics assemblies. However, assessments of reliability are commonly based on accelerated cycling tests with fixed amplitudes and effects of variations are estimated assuming a damage accumulation rule such as Miner's rule. These rules may overestimate the life of lead free solder joints under realistic conditions by orders of magnitude. The severity of such errors is not likely to be captured in accelerated testing with combinations of amplitudes selected at random or based on convenience. Brief exposure to one or more high strain rate loading cycles may significantly reduce the effective stiffness of typical lead free solder joints in subsequent cycling at lower amplitudes and strain rates. This may greatly complicate modeling and generalization of test results whether failure occurs through the solder or the intermetallic bond to the contact pad, or by pad cratering. Systematic studies of individual SAC305 joints inisothermal fatigue led to an approach to the determination of 'worst case' scenarios and the prediction of effects of amplitude variations on solder failure. Preliminary results on lower-Ag alloys and the MaxRel™ alloy are presented as well. © 2013 IEEE.","author":[{"dropping-particle":"","family":"Obaidat","given":"M.","non-dropping-particle":"","parse-names":false,"suffix":""},{"dropping-particle":"","family":"Hamasha","given":"S.","non-dropping-particle":"","parse-names":false,"suffix":""},{"dropping-particle":"","family":"Jaradat","given":"Y.","non-dropping-particle":"","parse-names":false,"suffix":""},{"dropping-particle":"","family":"Qasaimeh","given":"A.","non-dropping-particle":"","parse-names":false,"suffix":""},{"dropping-particle":"","family":"Arfaei","given":"B.","non-dropping-particle":"","parse-names":false,"suffix":""},{"dropping-particle":"","family":"Anselm","given":"M.","non-dropping-particle":"","parse-names":false,"suffix":""},{"dropping-particle":"","family":"Borgesen","given":"P.","non-dropping-particle":"","parse-names":false,"suffix":""}],"container-title":"Proceedings - Electronic Components and Technology Conference","id":"ITEM-7","issued":{"date-parts":[["2013"]]},"title":"Effects of varying amplitudes on the fatigue life of lead free solder joints","type":"paper-conference"},"uris":["http://www.mendeley.com/documents/?uuid=9c6fc785-5f80-4723-8500-08a634e291cf"]},{"id":"ITEM-8","itemData":{"DOI":"10.1109/ECTC.2015.7159804","ISBN":"9781479986095","ISSN":"05695503","abstract":"In the absence of manufacturing defects the ultimate life of a microelectronics assembly in long-term vibration is likely to be limited by solder joint fatigue. So far relatively limited efforts have been dedicated to the quantitative prediction of this life. However, even day to day 'engineering tests' may not be very useful if they do not offer at least a ranking of alternative materials, designs or processes in terms of performance in service. The assessment of solder joint life in long term vibration under realistic service conditions is complicated by effects of cyclic loading on the solder and, in accelerated testing, the PCB deformation properties. Cycling induced damage to the PCB often goes unnoticed but may have profound consequences for the solder fatigue. Also, preliminary isothermal cycling results suggest that variations in cycling amplitude may lead to a change in creep properties. This would invalidate attempts at Finite Element Modeling and is believed to be the reason for the dramatic break-down of Miner's Rule of linear damage accumulation. A preliminary test was conducted to show that this applies to vibration to millions of cycles, at least. These issues are of major concern for the ESS testing commonly required in military and aerospace electronics manufacturing, and they may have consequences for the interpretation of random vibration test results.","author":[{"dropping-particle":"","family":"Batieha","given":"F.","non-dropping-particle":"","parse-names":false,"suffix":""},{"dropping-particle":"","family":"Hamasha","given":"S.","non-dropping-particle":"","parse-names":false,"suffix":""},{"dropping-particle":"","family":"Jaradat","given":"Y.","non-dropping-particle":"","parse-names":false,"suffix":""},{"dropping-particle":"","family":"Wentlent","given":"L.","non-dropping-particle":"","parse-names":false,"suffix":""},{"dropping-particle":"","family":"Qasaimeh","given":"A.","non-dropping-particle":"","parse-names":false,"suffix":""},{"dropping-particle":"","family":"Borgesen","given":"P.","non-dropping-particle":"","parse-names":false,"suffix":""}],"container-title":"Proceedings - Electronic Components and Technology Conference","id":"ITEM-8","issued":{"date-parts":[["2015"]]},"title":"Challenges for the prediction of solder joint life in long term vibration","type":"paper-conference"},"uris":["http://www.mendeley.com/documents/?uuid=8ab11657-8cc0-4a48-8df3-f9fd1209c1fe"]},{"id":"ITEM-9","itemData":{"author":[{"dropping-particle":"","family":"Su","given":"Sinan","non-dropping-particle":"","parse-names":false,"suffix":""},{"dropping-particle":"","family":"Jian","given":"Minghong","non-dropping-particle":"","parse-names":false,"suffix":""},{"dropping-particle":"","family":"Akkara","given":"Francy John","non-dropping-particle":"","parse-names":false,"suffix":""},{"dropping-particle":"","family":"Hamasha","given":"Sa","non-dropping-particle":"","parse-names":false,"suffix":""},{"dropping-particle":"","family":"Suhling","given":"Jeff","non-dropping-particle":"","parse-names":false,"suffix":""},{"dropping-particle":"","family":"Lall","given":"Pradeep","non-dropping-particle":"","parse-names":false,"suffix":""}],"id":"ITEM-9","issued":{"date-parts":[["2018"]]},"title":"FATIGUE AND SHEAR PROPERTIES OF HIGH RELIABLE SOLDER JOINTS FOR HARSH APPLICATIONS Department of Industrial and Systems Engineering Department of Mechanical Engineering","type":"article-journal"},"uris":["http://www.mendeley.com/documents/?uuid=ab5cb74f-9100-4de2-a9ee-9c6ca79a5e9d"]}],"mendeley":{"formattedCitation":"[7]–[14], [118]","plainTextFormattedCitation":"[7]–[14], [118]","previouslyFormattedCitation":"[7]–[14], [118]"},"properties":{"noteIndex":0},"schema":"https://github.com/citation-style-language/schema/raw/master/csl-citation.json"}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[7]–[14], [118]</w:t>
      </w:r>
      <w:r w:rsidRPr="002F4E96">
        <w:rPr>
          <w:rFonts w:ascii="Times New Roman" w:hAnsi="Times New Roman" w:cs="Times New Roman"/>
          <w:bCs/>
        </w:rPr>
        <w:fldChar w:fldCharType="end"/>
      </w:r>
      <w:r w:rsidRPr="002F4E96">
        <w:rPr>
          <w:rFonts w:ascii="Times New Roman" w:hAnsi="Times New Roman" w:cs="Times New Roman"/>
          <w:bCs/>
        </w:rPr>
        <w:t xml:space="preserve">. Suppose the failure mechanism is generally referred to as creep-fatigue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{"citationItems":[{"id":"ITEM-1","itemData":{"abstract":"Tools for fatigue life prediction of solder joints are developed. This report consists of two parts. In Part One, the creep and plastic deformations stored in a solder joint are calculated by implementing appropriate plastic and creep constitutive models in a nonlinear finite element program. The calculated damage in each cycle is then related to the life of the material using two failure criteria: strain-life and energy-partitioning. The importance of parameters affecting the fatigue life of solders are evaluated. In Part Two, the finite element analysis is combined with x-ray and laser imaging systems, from which real solder joint geometries can be constructed. The approaches presented herein provide a useful tool in the design and manufacturing of surface-mount assemblies.","author":[{"dropping-particle":"","family":"Paydar","given":"NH","non-dropping-particle":"","parse-names":false,"suffix":""},{"dropping-particle":"","family":"Tong","given":"Y","non-dropping-particle":"","parse-names":false,"suffix":""},{"dropping-particle":"","family":"Akay","given":"HU","non-dropping-particle":"","parse-names":false,"suffix":""},{"dropping-particle":"","family":"Boehmer","given":"W","non-dropping-particle":"","parse-names":false,"suffix":""}],"container-title":"Mechanical Engineering","id":"ITEM-1","issued":{"date-parts":[["1993"]]},"page":"179","title":"Finite Element Mesh Generation and Analysis of Solder Joints for Fatigue Life Predictions","type":"article-journal"},"uris":["http://www.mendeley.com/documents/?uuid=e11f8c6a-2224-432a-b520-073fe1209bc6"]},{"id":"ITEM-2","itemData":{"DOI":"10.1115/1.2792241","ISSN":"15289044","abstract":"Fatigue lives of thermally loaded solder joints are predicted using the finite element method. An appropriate constitutive relation to model the time-dependent inelastic deformation of the near-eutectic solder is implemented into a commercial finite element code, and the stress-strain responses of different electronic assemblies under the applied temperature cycles are calculated. The finite element analysis results are coupled with a newly developed approach for fatigue life predictions by using a volume-weighted averaging technique instead of an approach based on the maximum stress and strain locations in the solder joint. Volume-weighted average stress and strain results of three electronic assemblies are related to the corresponding experimental fatigue data through least-squares curve-fitting analyses for determination of the empirical coefficients of two fatigue life prediction criteria. The coefficients thus determined predict the mean cycles-to-failure value of the solder joints. Among the two prediction criteria, the strain range criterion uses the inelastic shear strain range and the total strain energy criterion uses the total inelastic strain energy calculated over a stabilized loading cycle. The obtained coefficients of the two fatigue criteria are applied to the finite element analysis results of two additional cases obtained from the literature. Good predictions are achieved using the total strain energy criterion, however, the strain range criterion underestimated the fatigue life. It is concluded that the strain information alone is not sufficient to model the fatigue behavior but a combination of stress and strain information is required, as in the case of total inelastic strain energy. The superiority of the volume-weighted averaging technique over the maximum stress and strain location approach is discussed. © 1997 ASME.","author":[{"dropping-particle":"","family":"Akay","given":"H. U.","non-dropping-particle":"","parse-names":false,"suffix":""},{"dropping-particle":"","family":"Paydar","given":"N. H.","non-dropping-particle":"","parse-names":false,"suffix":""},{"dropping-particle":"","family":"Bilgic","given":"A.","non-dropping-particle":"","parse-names":false,"suffix":""}],"container-title":"Journal of Electronic Packaging, Transactions of the ASME","id":"ITEM-2","issued":{"date-parts":[["1997"]]},"title":"Fatigue life predictions for thermally loaded solder joints using a volume-weighted averaging technique","type":"article-journal"},"uris":["http://www.mendeley.com/documents/?uuid=c9be6a25-9a8e-4397-a7d4-4e5ca8ec5dfc"]}],"mendeley":{"formattedCitation":"[119], [120]","plainTextFormattedCitation":"[119], [120]","previouslyFormattedCitation":"[119], [120]"},"properties":{"noteIndex":0},"schema":"https://github.com/citation-style-language/schema/raw/master/csl-citation.json"}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[119], [120]</w:t>
      </w:r>
      <w:r w:rsidRPr="002F4E96">
        <w:rPr>
          <w:rFonts w:ascii="Times New Roman" w:hAnsi="Times New Roman" w:cs="Times New Roman"/>
          <w:bCs/>
        </w:rPr>
        <w:fldChar w:fldCharType="end"/>
      </w:r>
      <w:r w:rsidRPr="002F4E96">
        <w:rPr>
          <w:rFonts w:ascii="Times New Roman" w:hAnsi="Times New Roman" w:cs="Times New Roman"/>
          <w:bCs/>
        </w:rPr>
        <w:t xml:space="preserve">, the creep and fatigue of solder joints are primarily due to the mismatch of thermal extension (CTE) coefficient between electronics component and PCB. LCF is associated with shorter fatigue life and higher stress, where stress level usually steps into the plastic strain range. Coffin-Manson model equation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{"citationItems":[{"id":"ITEM-1","itemData":{"ISSN":"0011-3395","abstract":"The results of a study of cyclic strain and fatigue failure arising from cyclic\"ther:mal stresses are reported. By means of ~ test apparatus described in a companion paper, a cyclic te:mperature is imposed on a thin tubular test specimen' subjected to complete longitudinal oonstraint. Hence, the cyclic strain is the independent variable. The following studies are reported: (a) Effect of thermal-stress cycling on strain hardening' and life-tofailure for a fixed mean temperature, (b) effect of degree and kind of previous cold work on strain hardening and cyoles-to-fedlure, (c) effect of mean temperature on thermal- stress cycling, (d) effect of period of cycle on cyclesto- failure, and (e) effect of prior strain cycling on stressstrain characteristics. The significance of factors such as hysteresis, Bauschfnger effect, strain hardening, strain aging, and fatigue-crack formation is discussed, and a mechanism is described to relate these factors. Evidence is presented to show that strain hardening is not an Important factor in the problem. The concept of total plastic strain is discussed","author":[{"dropping-particle":"","family":"Coffin","given":"L.F.","non-dropping-particle":"","parse-names":false,"suffix":""}],"container-title":"Transactions of the American Society of Mechanical Engineers","id":"ITEM-1","issued":{"date-parts":[["1954"]]},"title":"A study of the effects of cyclic thermal stresses on a ductile metal","type":"article"},"uris":["http://www.mendeley.com/documents/?uuid=eb171864-d064-4699-a13e-e1c6d0a00916"]}],"mendeley":{"formattedCitation":"[82]","plainTextFormattedCitation":"[82]","previouslyFormattedCitation":"[82]"},"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[82]</w:t>
      </w:r>
      <w:r w:rsidRPr="002F4E96">
        <w:rPr>
          <w:rFonts w:ascii="Times New Roman" w:hAnsi="Times New Roman" w:cs="Times New Roman"/>
          <w:bCs/>
        </w:rPr>
        <w:fldChar w:fldCharType="end"/>
      </w:r>
      <w:r w:rsidRPr="002F4E96">
        <w:rPr>
          <w:rFonts w:ascii="Times New Roman" w:hAnsi="Times New Roman" w:cs="Times New Roman"/>
          <w:bCs/>
        </w:rPr>
        <w:t xml:space="preserve"> is widely used to predict the low-cycle fatigue life </w:t>
      </w: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f</m:t>
            </m:r>
          </m:sub>
        </m:sSub>
      </m:oMath>
      <w:r w:rsidRPr="002F4E96">
        <w:rPr>
          <w:rFonts w:ascii="Times New Roman" w:hAnsi="Times New Roman" w:cs="Times New Roman"/>
          <w:bCs/>
        </w:rPr>
        <w:t xml:space="preserve"> as a function of plastic strain range </w:t>
      </w:r>
      <m:oMath>
        <m:sSub>
          <m:sSubPr>
            <m:ctrlPr>
              <w:rPr>
                <w:rFonts w:ascii="Cambria Math" w:hAnsi="Cambria Math" w:cs="Times New Roman"/>
                <w:bCs/>
                <w:i/>
              </w:rPr>
            </m:ctrlPr>
          </m:sSubPr>
          <m:e>
            <m:r>
              <w:rPr>
                <w:rFonts w:ascii="Cambria Math" w:hAnsi="Cambria Math" w:cs="Times New Roman"/>
              </w:rPr>
              <m:t>∆ε</m:t>
            </m:r>
          </m:e>
          <m:sub>
            <m:r>
              <w:rPr>
                <w:rFonts w:ascii="Cambria Math" w:hAnsi="Cambria Math" w:cs="Times New Roman"/>
              </w:rPr>
              <m:t>p</m:t>
            </m:r>
          </m:sub>
        </m:sSub>
      </m:oMath>
      <w:r w:rsidRPr="002F4E96">
        <w:rPr>
          <w:rFonts w:ascii="Times New Roman" w:hAnsi="Times New Roman" w:cs="Times New Roman"/>
          <w:bCs/>
        </w:rPr>
        <w:t xml:space="preserve"> for solder alloys:</w:t>
      </w:r>
    </w:p>
    <w:p w14:paraId="5553CB58" w14:textId="77777777" w:rsidR="007803A4" w:rsidRPr="002F4E96" w:rsidRDefault="00B205D3" w:rsidP="007803A4">
      <w:pPr>
        <w:pStyle w:val="Caption"/>
        <w:rPr>
          <w:rFonts w:ascii="Times New Roman" w:hAnsi="Times New Roman" w:cs="Times New Roman"/>
          <w:b w:val="0"/>
          <w:color w:val="auto"/>
          <w:sz w:val="22"/>
          <w:szCs w:val="22"/>
        </w:rPr>
      </w:pPr>
      <m:oMath>
        <m:sSub>
          <m:sSubPr>
            <m:ctrlPr>
              <w:rPr>
                <w:rFonts w:ascii="Cambria Math" w:hAnsi="Cambria Math" w:cs="Times New Roman"/>
                <w:b w:val="0"/>
                <w:i/>
                <w:color w:val="auto"/>
                <w:sz w:val="22"/>
                <w:szCs w:val="22"/>
              </w:rPr>
            </m:ctrlPr>
          </m:sSubPr>
          <m:e>
            <m:sSubSup>
              <m:sSubSupPr>
                <m:ctrlPr>
                  <w:rPr>
                    <w:rFonts w:ascii="Cambria Math" w:hAnsi="Cambria Math" w:cs="Times New Roman"/>
                    <w:b w:val="0"/>
                    <w:i/>
                    <w:color w:val="auto"/>
                    <w:sz w:val="22"/>
                    <w:szCs w:val="22"/>
                  </w:rPr>
                </m:ctrlPr>
              </m:sSubSup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up>
                <m:r>
                  <m:rPr>
                    <m:sty m:val="bi"/>
                  </m:rPr>
                  <w:rPr>
                    <w:rFonts w:ascii="Cambria Math" w:hAnsi="Cambria Math" w:cs="Times New Roman"/>
                    <w:color w:val="auto"/>
                    <w:sz w:val="22"/>
                    <w:szCs w:val="22"/>
                  </w:rPr>
                  <m:t>m</m:t>
                </m:r>
              </m:sup>
            </m:sSubSup>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p</m:t>
            </m:r>
          </m:sub>
        </m:sSub>
        <m:r>
          <m:rPr>
            <m:sty m:val="bi"/>
          </m:rPr>
          <w:rPr>
            <w:rFonts w:ascii="Cambria Math" w:hAnsi="Cambria Math" w:cs="Times New Roman"/>
            <w:color w:val="auto"/>
            <w:sz w:val="22"/>
            <w:szCs w:val="22"/>
          </w:rPr>
          <m:t>=c</m:t>
        </m:r>
      </m:oMath>
      <w:r w:rsidR="007803A4" w:rsidRPr="002F4E96">
        <w:rPr>
          <w:rFonts w:ascii="Times New Roman" w:hAnsi="Times New Roman" w:cs="Times New Roman"/>
          <w:b w:val="0"/>
          <w:color w:val="auto"/>
          <w:sz w:val="22"/>
          <w:szCs w:val="22"/>
        </w:rPr>
        <w:t xml:space="preserve">                                                                                                                                       (13)</w:t>
      </w:r>
    </w:p>
    <w:p w14:paraId="0AACE057" w14:textId="77777777" w:rsidR="007803A4" w:rsidRPr="002F4E96" w:rsidRDefault="007803A4" w:rsidP="007803A4">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where </w:t>
      </w:r>
      <m:oMath>
        <m:r>
          <w:rPr>
            <w:rFonts w:ascii="Cambria Math" w:hAnsi="Cambria Math" w:cs="Times New Roman"/>
          </w:rPr>
          <m:t>m</m:t>
        </m:r>
      </m:oMath>
      <w:r w:rsidRPr="002F4E96">
        <w:rPr>
          <w:rFonts w:ascii="Times New Roman" w:hAnsi="Times New Roman" w:cs="Times New Roman"/>
          <w:bCs/>
        </w:rPr>
        <w:t xml:space="preserve"> is the fatigue exponent, and </w:t>
      </w:r>
      <m:oMath>
        <m:r>
          <w:rPr>
            <w:rFonts w:ascii="Cambria Math" w:hAnsi="Cambria Math" w:cs="Times New Roman"/>
          </w:rPr>
          <m:t>c</m:t>
        </m:r>
      </m:oMath>
      <w:r w:rsidRPr="002F4E96">
        <w:rPr>
          <w:rFonts w:ascii="Times New Roman" w:hAnsi="Times New Roman" w:cs="Times New Roman"/>
          <w:bCs/>
        </w:rPr>
        <w:t xml:space="preserve"> is the ductility coefficient.</w:t>
      </w:r>
    </w:p>
    <w:p w14:paraId="25271644" w14:textId="77777777" w:rsidR="007803A4" w:rsidRPr="002F4E96" w:rsidRDefault="007803A4" w:rsidP="007803A4">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Solomon proposed an LCF model (Eq. 14) that relates the plastic shear strain to the fatigue life cycles for near eutectic solder joints at four different temperatures </w:t>
      </w:r>
      <m:oMath>
        <m:r>
          <w:rPr>
            <w:rFonts w:ascii="Cambria Math" w:hAnsi="Cambria Math" w:cs="Times New Roman"/>
          </w:rPr>
          <m:t xml:space="preserve">-50℃, 35℃,125℃ </m:t>
        </m:r>
        <m:r>
          <m:rPr>
            <m:sty m:val="p"/>
          </m:rPr>
          <w:rPr>
            <w:rFonts w:ascii="Cambria Math" w:hAnsi="Cambria Math" w:cs="Times New Roman"/>
          </w:rPr>
          <m:t>and</m:t>
        </m:r>
        <m:r>
          <w:rPr>
            <w:rFonts w:ascii="Cambria Math" w:hAnsi="Cambria Math" w:cs="Times New Roman"/>
          </w:rPr>
          <m:t xml:space="preserve"> 150℃</m:t>
        </m:r>
      </m:oMath>
      <w:r w:rsidRPr="002F4E96">
        <w:rPr>
          <w:rFonts w:ascii="Times New Roman" w:hAnsi="Times New Roman" w:cs="Times New Roman"/>
          <w:bCs/>
        </w:rPr>
        <w:t xml:space="preserve">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{"citationItems":[{"id":"ITEM-1","itemData":{"author":[{"dropping-particle":"","family":"Solomon","given":"Harvey D","non-dropping-particle":"","parse-names":false,"suffix":""}],"id":"ITEM-1","issue":"4","issued":{"date-parts":[["1987"]]},"page":"423-432","title":"Fatigue of 60 / 40 Solder","type":"article-journal","volume":"C"},"uris":["http://www.mendeley.com/documents/?uuid=f9024aa3-df97-49ba-afc7-d9eacd836d42"]},{"id":"ITEM-2","itemData":{"author":[{"dropping-particle":"","family":"Solomon","given":"Harvey D","non-dropping-particle":"","parse-names":false,"suffix":""}],"container-title":"38th Electronics Components Conference 1988., Proceedings","id":"ITEM-2","issued":{"date-parts":[["1988"]]},"page":"7-12","publisher-place":"Los Angeles, CA, USA","title":"The influence of hold time and fatigue cycle wave shape on the-low cycle fatigue of 60:40 solder.pdf","type":"paper-conference"},"uris":["http://www.mendeley.com/documents/?uuid=85b590fa-bb93-468d-ab7e-fb57bd257d38"]}],"mendeley":{"formattedCitation":"[121], [122]","plainTextFormattedCitation":"[121], [122]","previouslyFormattedCitation":"[121], [122]"},"properties":{"noteIndex":0},"schema":"https://github.com/citation-style-language/schema/raw/master/csl-citation.json"}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[121], [122]</w:t>
      </w:r>
      <w:r w:rsidRPr="002F4E96">
        <w:rPr>
          <w:rFonts w:ascii="Times New Roman" w:hAnsi="Times New Roman" w:cs="Times New Roman"/>
          <w:bCs/>
        </w:rPr>
        <w:fldChar w:fldCharType="end"/>
      </w:r>
      <w:r w:rsidRPr="002F4E96">
        <w:rPr>
          <w:rFonts w:ascii="Times New Roman" w:hAnsi="Times New Roman" w:cs="Times New Roman"/>
          <w:bCs/>
        </w:rPr>
        <w:t xml:space="preserve">. </w:t>
      </w:r>
    </w:p>
    <w:p w14:paraId="678DEC11" w14:textId="77777777" w:rsidR="007803A4" w:rsidRPr="002F4E96" w:rsidRDefault="007803A4" w:rsidP="007803A4">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The equivalent plastic shear strain range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DOI":"10.21203/rs.2.23255/v1","author":[{"dropping-particle":"","family":"Yang","given":"Hui","non-dropping-particle":"","parse-names":false,"suffix":""},{"dropping-particle":"","family":"Wu","given":"Jihui","non-dropping-particle":"","parse-names":false,"suffix":""}],"id":"ITEM-1","issued":{"date-parts":[["2020"]]},"page":"1-14","title":"Prediction of mechanical properties and fatigue life of nano silver paste in chip interconnection","type":"article-journal"},"uris":["http://www.mendeley.com/documents/?uuid=f66b7300-f31a-41c7-83e3-4468b7da8e8a"]}],"mendeley":{"formattedCitation":"[123]","plainTextFormattedCitation":"[123]","previouslyFormattedCitation":"[123]"},"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[123]</w:t>
      </w:r>
      <w:r w:rsidRPr="002F4E96">
        <w:rPr>
          <w:rFonts w:ascii="Times New Roman" w:hAnsi="Times New Roman" w:cs="Times New Roman"/>
          <w:bCs/>
        </w:rPr>
        <w:fldChar w:fldCharType="end"/>
      </w:r>
      <w:r w:rsidRPr="002F4E96">
        <w:rPr>
          <w:rFonts w:ascii="Times New Roman" w:hAnsi="Times New Roman" w:cs="Times New Roman"/>
          <w:bCs/>
        </w:rPr>
        <w:t xml:space="preserve"> is determined by </w:t>
      </w:r>
      <m:oMath>
        <m:r>
          <w:rPr>
            <w:rFonts w:ascii="Cambria Math" w:hAnsi="Cambria Math" w:cs="Times New Roman"/>
          </w:rPr>
          <m:t>∆γ=</m:t>
        </m:r>
        <m:rad>
          <m:radPr>
            <m:degHide m:val="1"/>
            <m:ctrlPr>
              <w:rPr>
                <w:rFonts w:ascii="Cambria Math" w:hAnsi="Cambria Math" w:cs="Times New Roman"/>
                <w:bCs/>
                <w:i/>
              </w:rPr>
            </m:ctrlPr>
          </m:radPr>
          <m:deg/>
          <m:e>
            <m:r>
              <w:rPr>
                <w:rFonts w:ascii="Cambria Math" w:hAnsi="Cambria Math" w:cs="Times New Roman"/>
              </w:rPr>
              <m:t>3∆ε</m:t>
            </m:r>
          </m:e>
        </m:rad>
      </m:oMath>
      <w:r w:rsidRPr="002F4E96">
        <w:rPr>
          <w:rFonts w:ascii="Times New Roman" w:hAnsi="Times New Roman" w:cs="Times New Roman"/>
          <w:bCs/>
        </w:rPr>
        <w:t xml:space="preserve">                                  (14)</w:t>
      </w:r>
    </w:p>
    <w:p w14:paraId="4AA63F50" w14:textId="77777777" w:rsidR="007803A4" w:rsidRPr="002F4E96" w:rsidRDefault="00B205D3" w:rsidP="007803A4">
      <w:pPr>
        <w:pStyle w:val="Caption"/>
        <w:rPr>
          <w:rFonts w:ascii="Times New Roman" w:hAnsi="Times New Roman" w:cs="Times New Roman"/>
          <w:b w:val="0"/>
          <w:color w:val="auto"/>
          <w:sz w:val="22"/>
          <w:szCs w:val="22"/>
        </w:rPr>
      </w:pPr>
      <m:oMath>
        <m:sSub>
          <m:sSubPr>
            <m:ctrlPr>
              <w:rPr>
                <w:rFonts w:ascii="Cambria Math" w:hAnsi="Cambria Math" w:cs="Times New Roman"/>
                <w:b w:val="0"/>
                <w:i/>
                <w:color w:val="auto"/>
                <w:sz w:val="22"/>
                <w:szCs w:val="22"/>
              </w:rPr>
            </m:ctrlPr>
          </m:sSubPr>
          <m:e>
            <m:r>
              <m:rPr>
                <m:sty m:val="bi"/>
              </m:rPr>
              <w:rPr>
                <w:rFonts w:ascii="Cambria Math" w:hAnsi="Cambria Math" w:cs="Times New Roman"/>
                <w:color w:val="auto"/>
                <w:sz w:val="22"/>
                <w:szCs w:val="22"/>
              </w:rPr>
              <m:t>∆γ</m:t>
            </m:r>
          </m:e>
          <m:sub>
            <m:r>
              <m:rPr>
                <m:sty m:val="bi"/>
              </m:rPr>
              <w:rPr>
                <w:rFonts w:ascii="Cambria Math" w:hAnsi="Cambria Math" w:cs="Times New Roman"/>
                <w:color w:val="auto"/>
                <w:sz w:val="22"/>
                <w:szCs w:val="22"/>
              </w:rPr>
              <m:t>p</m:t>
            </m:r>
          </m:sub>
        </m:sSub>
        <m:sSubSup>
          <m:sSubSupPr>
            <m:ctrlPr>
              <w:rPr>
                <w:rFonts w:ascii="Cambria Math" w:hAnsi="Cambria Math" w:cs="Times New Roman"/>
                <w:b w:val="0"/>
                <w:i/>
                <w:color w:val="auto"/>
                <w:sz w:val="22"/>
                <w:szCs w:val="22"/>
              </w:rPr>
            </m:ctrlPr>
          </m:sSubSup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up>
            <m:r>
              <m:rPr>
                <m:sty m:val="bi"/>
              </m:rPr>
              <w:rPr>
                <w:rFonts w:ascii="Cambria Math" w:hAnsi="Cambria Math" w:cs="Times New Roman"/>
                <w:color w:val="auto"/>
                <w:sz w:val="22"/>
                <w:szCs w:val="22"/>
              </w:rPr>
              <m:t>α</m:t>
            </m:r>
          </m:sup>
        </m:sSubSup>
        <m:r>
          <m:rPr>
            <m:sty m:val="bi"/>
          </m:rPr>
          <w:rPr>
            <w:rFonts w:ascii="Cambria Math" w:hAnsi="Cambria Math" w:cs="Times New Roman"/>
            <w:color w:val="auto"/>
            <w:sz w:val="22"/>
            <w:szCs w:val="22"/>
          </w:rPr>
          <m:t>=θ</m:t>
        </m:r>
      </m:oMath>
      <w:r w:rsidR="007803A4" w:rsidRPr="002F4E96">
        <w:rPr>
          <w:rFonts w:ascii="Times New Roman" w:hAnsi="Times New Roman" w:cs="Times New Roman"/>
          <w:b w:val="0"/>
          <w:color w:val="auto"/>
          <w:sz w:val="22"/>
          <w:szCs w:val="22"/>
        </w:rPr>
        <w:t xml:space="preserve">                                                                                                                                        (15)</w:t>
      </w:r>
    </w:p>
    <w:p w14:paraId="66D7B28E" w14:textId="77777777" w:rsidR="007803A4" w:rsidRPr="002F4E96" w:rsidRDefault="007803A4" w:rsidP="007803A4">
      <w:pPr>
        <w:spacing w:before="125" w:line="360" w:lineRule="auto"/>
        <w:ind w:right="38"/>
        <w:jc w:val="both"/>
        <w:rPr>
          <w:rFonts w:ascii="Times New Roman" w:hAnsi="Times New Roman" w:cs="Times New Roman"/>
          <w:bCs/>
        </w:rPr>
      </w:pPr>
      <w:r w:rsidRPr="002F4E96">
        <w:rPr>
          <w:rFonts w:ascii="Times New Roman" w:hAnsi="Times New Roman" w:cs="Times New Roman"/>
          <w:bCs/>
        </w:rPr>
        <w:t xml:space="preserve">where </w:t>
      </w:r>
      <m:oMath>
        <m:sSub>
          <m:sSubPr>
            <m:ctrlPr>
              <w:rPr>
                <w:rFonts w:ascii="Cambria Math" w:hAnsi="Cambria Math" w:cs="Times New Roman"/>
                <w:bCs/>
                <w:i/>
              </w:rPr>
            </m:ctrlPr>
          </m:sSubPr>
          <m:e>
            <m:r>
              <w:rPr>
                <w:rFonts w:ascii="Cambria Math" w:hAnsi="Cambria Math" w:cs="Times New Roman"/>
              </w:rPr>
              <m:t>∆γ</m:t>
            </m:r>
          </m:e>
          <m:sub>
            <m:r>
              <w:rPr>
                <w:rFonts w:ascii="Cambria Math" w:hAnsi="Cambria Math" w:cs="Times New Roman"/>
              </w:rPr>
              <m:t>p</m:t>
            </m:r>
          </m:sub>
        </m:sSub>
      </m:oMath>
      <w:r w:rsidRPr="002F4E96">
        <w:rPr>
          <w:rFonts w:ascii="Times New Roman" w:hAnsi="Times New Roman" w:cs="Times New Roman"/>
          <w:bCs/>
        </w:rPr>
        <w:t xml:space="preserve"> are the plastic shear strain range, and </w:t>
      </w:r>
      <m:oMath>
        <m:r>
          <w:rPr>
            <w:rFonts w:ascii="Cambria Math" w:hAnsi="Cambria Math" w:cs="Times New Roman"/>
          </w:rPr>
          <m:t>α</m:t>
        </m:r>
      </m:oMath>
      <w:r w:rsidRPr="002F4E96">
        <w:rPr>
          <w:rFonts w:ascii="Times New Roman" w:hAnsi="Times New Roman" w:cs="Times New Roman"/>
          <w:bCs/>
        </w:rPr>
        <w:t xml:space="preserve"> and </w:t>
      </w:r>
      <m:oMath>
        <m:r>
          <w:rPr>
            <w:rFonts w:ascii="Cambria Math" w:hAnsi="Cambria Math" w:cs="Times New Roman"/>
          </w:rPr>
          <m:t>θ</m:t>
        </m:r>
      </m:oMath>
      <w:r w:rsidRPr="002F4E96">
        <w:rPr>
          <w:rFonts w:ascii="Times New Roman" w:hAnsi="Times New Roman" w:cs="Times New Roman"/>
          <w:bCs/>
        </w:rPr>
        <w:t xml:space="preserve"> are constants. For 60/40 Tin-lead solder material from </w:t>
      </w:r>
      <m:oMath>
        <m:r>
          <w:rPr>
            <w:rFonts w:ascii="Cambria Math" w:hAnsi="Cambria Math" w:cs="Times New Roman"/>
          </w:rPr>
          <m:t xml:space="preserve">-50℃ </m:t>
        </m:r>
        <m:r>
          <m:rPr>
            <m:sty m:val="p"/>
          </m:rPr>
          <w:rPr>
            <w:rFonts w:ascii="Cambria Math" w:hAnsi="Cambria Math" w:cs="Times New Roman"/>
          </w:rPr>
          <m:t xml:space="preserve">to </m:t>
        </m:r>
        <m:r>
          <w:rPr>
            <w:rFonts w:ascii="Cambria Math" w:hAnsi="Cambria Math" w:cs="Times New Roman"/>
          </w:rPr>
          <m:t>150℃</m:t>
        </m:r>
      </m:oMath>
      <w:r w:rsidRPr="002F4E96">
        <w:rPr>
          <w:rFonts w:ascii="Times New Roman" w:hAnsi="Times New Roman" w:cs="Times New Roman"/>
          <w:bCs/>
        </w:rPr>
        <w:t xml:space="preserve">, </w:t>
      </w:r>
      <m:oMath>
        <m:r>
          <w:rPr>
            <w:rFonts w:ascii="Cambria Math" w:hAnsi="Cambria Math" w:cs="Times New Roman"/>
          </w:rPr>
          <m:t>α</m:t>
        </m:r>
      </m:oMath>
      <w:r w:rsidRPr="002F4E96">
        <w:rPr>
          <w:rFonts w:ascii="Times New Roman" w:hAnsi="Times New Roman" w:cs="Times New Roman"/>
          <w:bCs/>
        </w:rPr>
        <w:t xml:space="preserve"> and </w:t>
      </w:r>
      <m:oMath>
        <m:r>
          <w:rPr>
            <w:rFonts w:ascii="Cambria Math" w:hAnsi="Cambria Math" w:cs="Times New Roman"/>
          </w:rPr>
          <m:t>θ</m:t>
        </m:r>
      </m:oMath>
      <w:r w:rsidRPr="002F4E96">
        <w:rPr>
          <w:rFonts w:ascii="Times New Roman" w:hAnsi="Times New Roman" w:cs="Times New Roman"/>
          <w:bCs/>
        </w:rPr>
        <w:t xml:space="preserve"> are estimated to be 0.51 and 1.14, respectively </w:t>
      </w:r>
      <w:r w:rsidRPr="002F4E96">
        <w:rPr>
          <w:rFonts w:ascii="Times New Roman" w:hAnsi="Times New Roman" w:cs="Times New Roman"/>
          <w:bCs/>
        </w:rPr>
        <w:fldChar w:fldCharType="begin" w:fldLock="1"/>
      </w:r>
      <w:r w:rsidRPr="002F4E96">
        <w:rPr>
          <w:rFonts w:ascii="Times New Roman" w:hAnsi="Times New Roman" w:cs="Times New Roman"/>
          <w:bCs/>
        </w:rPr>
        <w:instrText>ADDIN CSL_CITATION {"citationItems":[{"id":"ITEM-1","itemData":{"DOI":"10.1109/adhes.1998.742055","abstract":"A critical review of the life prediction and accelerated testing of solder joints, including the role of constitutive modeling and the factors of accelerated testing, is presented in this paper. As a perfect example, Ford solder joint specimen was used to investigate accelerated testing factors under various accelerated testing conditions in terms of thermal fatigue life. Moreover, a typical PQFP (Plastic Quad Flat Pack) package was chosen to clarify the significance of fatigue life prediction in terms of different finite element models and unified and separated constitutive models. Thermal fatigue life prediction of flip chip packages with ball pitch sizes from 250 micron to 50 micron has been performed to illustrate underfill strengthening mechanisms and obtain an upper bound of accelerated testing factors, which can reduce testing time from three years to one week. Rate/temperature-dependent nonlinear properties of both eutectic solder and underfill FP4526 have been embedded in the ABAQUS finite element analysis for flip chip packages. All those examples enlighten key points addressed in this report.","author":[{"dropping-particle":"","family":"Qian","given":"Zhengfang","non-dropping-particle":"","parse-names":false,"suffix":""},{"dropping-particle":"","family":"Liu","given":"Sheng","non-dropping-particle":"","parse-names":false,"suffix":""}],"container-title":"American Society of Mechanical Engineers, EEP","id":"ITEM-1","issued":{"date-parts":[["1998"]]},"title":"On the life prediction and accelerated testing of solder joints","type":"paper-conference"},"uris":["http://www.mendeley.com/documents/?uuid=2ad6af36-65b2-4ca6-9049-c9d8cf1aa1e3"]},{"id":"ITEM-2","itemData":{"DOI":"10.1115/1.4043405","ISSN":"15289044","abstract":"Fatigue failure of solder joints is one of the major causes of failure in electronic devices. Fatigue life prediction models of solder joints were first put forward in the early 1960s, and since then, numbers of methods were used to model the fatigue mechanism of solder joints. In this article, the majority fatigue life models are summarized, with emphasis on the latest developments in the fatigue life prediction methods. All the models reviewed are grouped into four categories based on the factors affecting the fatigue life of solder joints, which are: plastic strain-based fatigue models, creep damage-based fatigue models, energy-based fatigue models, and damage accumulation-based fatigue models. The models that do not fit any of the above categories are grouped into \"other models.\" Applications and potential limitations for those models are also discussed.","author":[{"dropping-particle":"","family":"Su","given":"Sinan","non-dropping-particle":"","parse-names":false,"suffix":""},{"dropping-particle":"","family":"Akkara","given":"Francy John John","non-dropping-particle":"","parse-names":false,"suffix":""},{"dropping-particle":"","family":"Thaper","given":"Ravinder","non-dropping-particle":"","parse-names":false,"suffix":""},{"dropping-particle":"","family":"Alkhazali","given":"Atif","non-dropping-particle":"","parse-names":false,"suffix":""},{"dropping-particle":"","family":"Hamasha","given":"Mohammad","non-dropping-particle":"","parse-names":false,"suffix":""},{"dropping-particle":"","family":"Hamasha","given":"Sa'D","non-dropping-particle":"","parse-names":false,"suffix":""}],"container-title":"Journal of Electronic Packaging, Transactions of the ASME","id":"ITEM-2","issue":"4","issued":{"date-parts":[["2019"]]},"title":"A state-of-the-art review of fatigue life prediction models for solder joint","type":"article-journal","volume":"141"},"uris":["http://www.mendeley.com/documents/?uuid=e7bb2815-3358-4353-b4c9-e3619f8739fb"]}],"mendeley":{"formattedCitation":"[118], [124]","plainTextFormattedCitation":"[118], [124]","previouslyFormattedCitation":"[118], [124]"},"properties":{"noteIndex":0},"schema":"https://github.com/citation-style-language/schema/raw/master/csl-citation.json"}</w:instrText>
      </w:r>
      <w:r w:rsidRPr="002F4E96">
        <w:rPr>
          <w:rFonts w:ascii="Times New Roman" w:hAnsi="Times New Roman" w:cs="Times New Roman"/>
          <w:bCs/>
        </w:rPr>
        <w:fldChar w:fldCharType="separate"/>
      </w:r>
      <w:r w:rsidRPr="002F4E96">
        <w:rPr>
          <w:rFonts w:ascii="Times New Roman" w:hAnsi="Times New Roman" w:cs="Times New Roman"/>
          <w:bCs/>
          <w:noProof/>
        </w:rPr>
        <w:t>[118], [124]</w:t>
      </w:r>
      <w:r w:rsidRPr="002F4E96">
        <w:rPr>
          <w:rFonts w:ascii="Times New Roman" w:hAnsi="Times New Roman" w:cs="Times New Roman"/>
          <w:bCs/>
        </w:rPr>
        <w:fldChar w:fldCharType="end"/>
      </w:r>
      <w:r w:rsidRPr="002F4E96">
        <w:rPr>
          <w:rFonts w:ascii="Times New Roman" w:hAnsi="Times New Roman" w:cs="Times New Roman"/>
          <w:bCs/>
        </w:rPr>
        <w:t>.</w:t>
      </w:r>
    </w:p>
    <w:bookmarkStart w:id="21" w:name="_Hlk55644513"/>
    <w:p w14:paraId="7BE9F143" w14:textId="77777777" w:rsidR="007803A4" w:rsidRPr="002F4E96" w:rsidRDefault="00B205D3" w:rsidP="007803A4">
      <w:pPr>
        <w:pStyle w:val="Caption"/>
        <w:rPr>
          <w:rFonts w:ascii="Times New Roman" w:hAnsi="Times New Roman" w:cs="Times New Roman"/>
          <w:b w:val="0"/>
          <w:color w:val="auto"/>
          <w:sz w:val="22"/>
          <w:szCs w:val="22"/>
        </w:rPr>
      </w:pPr>
      <m:oMath>
        <m:sSub>
          <m:sSubPr>
            <m:ctrlPr>
              <w:rPr>
                <w:rFonts w:ascii="Cambria Math" w:hAnsi="Cambria Math" w:cs="Times New Roman"/>
                <w:b w:val="0"/>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Sub>
        <m:r>
          <m:rPr>
            <m:sty m:val="bi"/>
          </m:rPr>
          <w:rPr>
            <w:rFonts w:ascii="Cambria Math" w:hAnsi="Cambria Math" w:cs="Times New Roman"/>
            <w:color w:val="auto"/>
            <w:sz w:val="22"/>
            <w:szCs w:val="22"/>
          </w:rPr>
          <m:t>=</m:t>
        </m:r>
        <m:sSup>
          <m:sSupPr>
            <m:ctrlPr>
              <w:rPr>
                <w:rFonts w:ascii="Cambria Math" w:hAnsi="Cambria Math" w:cs="Times New Roman"/>
                <w:b w:val="0"/>
                <w:i/>
                <w:color w:val="auto"/>
                <w:sz w:val="22"/>
                <w:szCs w:val="22"/>
              </w:rPr>
            </m:ctrlPr>
          </m:sSupPr>
          <m:e>
            <m:d>
              <m:dPr>
                <m:ctrlPr>
                  <w:rPr>
                    <w:rFonts w:ascii="Cambria Math" w:hAnsi="Cambria Math" w:cs="Times New Roman"/>
                    <w:b w:val="0"/>
                    <w:i/>
                    <w:color w:val="auto"/>
                    <w:sz w:val="22"/>
                    <w:szCs w:val="22"/>
                  </w:rPr>
                </m:ctrlPr>
              </m:dPr>
              <m:e>
                <m:sSup>
                  <m:sSupPr>
                    <m:ctrlPr>
                      <w:rPr>
                        <w:rFonts w:ascii="Cambria Math" w:hAnsi="Cambria Math" w:cs="Times New Roman"/>
                        <w:b w:val="0"/>
                        <w:i/>
                        <w:color w:val="auto"/>
                        <w:sz w:val="22"/>
                        <w:szCs w:val="22"/>
                      </w:rPr>
                    </m:ctrlPr>
                  </m:sSupPr>
                  <m:e>
                    <m:r>
                      <m:rPr>
                        <m:sty m:val="bi"/>
                      </m:rPr>
                      <w:rPr>
                        <w:rFonts w:ascii="Cambria Math" w:hAnsi="Cambria Math" w:cs="Times New Roman"/>
                        <w:color w:val="auto"/>
                        <w:sz w:val="22"/>
                        <w:szCs w:val="22"/>
                      </w:rPr>
                      <m:t>W</m:t>
                    </m:r>
                  </m:e>
                  <m:sup>
                    <m:r>
                      <m:rPr>
                        <m:sty m:val="bi"/>
                      </m:rPr>
                      <w:rPr>
                        <w:rFonts w:ascii="Cambria Math" w:hAnsi="Cambria Math" w:cs="Times New Roman"/>
                        <w:color w:val="auto"/>
                        <w:sz w:val="22"/>
                        <w:szCs w:val="22"/>
                      </w:rPr>
                      <m:t>'</m:t>
                    </m:r>
                  </m:sup>
                </m:sSup>
                <m:sSub>
                  <m:sSubPr>
                    <m:ctrlPr>
                      <w:rPr>
                        <w:rFonts w:ascii="Cambria Math" w:hAnsi="Cambria Math" w:cs="Times New Roman"/>
                        <w:b w:val="0"/>
                        <w:i/>
                        <w:color w:val="auto"/>
                        <w:sz w:val="22"/>
                        <w:szCs w:val="22"/>
                      </w:rPr>
                    </m:ctrlPr>
                  </m:sSubPr>
                  <m:e>
                    <m:r>
                      <m:rPr>
                        <m:sty m:val="bi"/>
                      </m:rPr>
                      <w:rPr>
                        <w:rFonts w:ascii="Cambria Math" w:hAnsi="Cambria Math" w:cs="Times New Roman"/>
                        <w:color w:val="auto"/>
                        <w:sz w:val="22"/>
                        <w:szCs w:val="22"/>
                      </w:rPr>
                      <m:t>ω</m:t>
                    </m:r>
                  </m:e>
                  <m:sub>
                    <m:r>
                      <m:rPr>
                        <m:sty m:val="bi"/>
                      </m:rPr>
                      <w:rPr>
                        <w:rFonts w:ascii="Cambria Math" w:hAnsi="Cambria Math" w:cs="Times New Roman"/>
                        <w:color w:val="auto"/>
                        <w:sz w:val="22"/>
                        <w:szCs w:val="22"/>
                      </w:rPr>
                      <m:t>acc</m:t>
                    </m:r>
                  </m:sub>
                </m:sSub>
              </m:e>
            </m:d>
          </m:e>
          <m:sup>
            <m:r>
              <m:rPr>
                <m:sty m:val="bi"/>
              </m:rPr>
              <w:rPr>
                <w:rFonts w:ascii="Cambria Math" w:hAnsi="Cambria Math" w:cs="Times New Roman"/>
                <w:color w:val="auto"/>
                <w:sz w:val="22"/>
                <w:szCs w:val="22"/>
              </w:rPr>
              <m:t>-1</m:t>
            </m:r>
          </m:sup>
        </m:sSup>
      </m:oMath>
      <w:r w:rsidR="007803A4" w:rsidRPr="002F4E96">
        <w:rPr>
          <w:rFonts w:ascii="Times New Roman" w:hAnsi="Times New Roman" w:cs="Times New Roman"/>
          <w:b w:val="0"/>
          <w:color w:val="auto"/>
          <w:sz w:val="22"/>
          <w:szCs w:val="22"/>
        </w:rPr>
        <w:t xml:space="preserve">                                                                                                                             (16)</w:t>
      </w:r>
    </w:p>
    <w:p w14:paraId="58D984F5" w14:textId="77777777" w:rsidR="007803A4" w:rsidRPr="002F4E96" w:rsidRDefault="007803A4" w:rsidP="007803A4">
      <w:pPr>
        <w:spacing w:line="360" w:lineRule="auto"/>
        <w:jc w:val="both"/>
        <w:rPr>
          <w:rFonts w:ascii="Times New Roman" w:hAnsi="Times New Roman" w:cs="Times New Roman"/>
          <w:bCs/>
        </w:rPr>
      </w:pPr>
      <w:r w:rsidRPr="002F4E96">
        <w:rPr>
          <w:rFonts w:ascii="Times New Roman" w:hAnsi="Times New Roman" w:cs="Times New Roman"/>
          <w:bCs/>
        </w:rPr>
        <w:t xml:space="preserve">Where </w:t>
      </w:r>
      <m:oMath>
        <m:sSub>
          <m:sSubPr>
            <m:ctrlPr>
              <w:rPr>
                <w:rFonts w:ascii="Cambria Math" w:hAnsi="Cambria Math" w:cs="Times New Roman"/>
                <w:bCs/>
                <w:i/>
              </w:rPr>
            </m:ctrlPr>
          </m:sSubPr>
          <m:e>
            <m:r>
              <w:rPr>
                <w:rFonts w:ascii="Cambria Math" w:hAnsi="Cambria Math" w:cs="Times New Roman"/>
              </w:rPr>
              <m:t>N</m:t>
            </m:r>
          </m:e>
          <m:sub>
            <m:r>
              <w:rPr>
                <w:rFonts w:ascii="Cambria Math" w:hAnsi="Cambria Math" w:cs="Times New Roman"/>
              </w:rPr>
              <m:t>f</m:t>
            </m:r>
          </m:sub>
        </m:sSub>
      </m:oMath>
      <w:r w:rsidRPr="002F4E96">
        <w:rPr>
          <w:rFonts w:ascii="Times New Roman" w:hAnsi="Times New Roman" w:cs="Times New Roman"/>
          <w:bCs/>
        </w:rPr>
        <w:t xml:space="preserve"> = number of repetitions or cycles to failure; </w:t>
      </w:r>
      <m:oMath>
        <m:sSub>
          <m:sSubPr>
            <m:ctrlPr>
              <w:rPr>
                <w:rFonts w:ascii="Cambria Math" w:hAnsi="Cambria Math" w:cs="Times New Roman"/>
                <w:bCs/>
                <w:i/>
              </w:rPr>
            </m:ctrlPr>
          </m:sSubPr>
          <m:e>
            <m:r>
              <w:rPr>
                <w:rFonts w:ascii="Cambria Math" w:hAnsi="Cambria Math" w:cs="Times New Roman"/>
              </w:rPr>
              <m:t>ω</m:t>
            </m:r>
          </m:e>
          <m:sub>
            <m:r>
              <w:rPr>
                <w:rFonts w:ascii="Cambria Math" w:hAnsi="Cambria Math" w:cs="Times New Roman"/>
              </w:rPr>
              <m:t>acc</m:t>
            </m:r>
          </m:sub>
        </m:sSub>
      </m:oMath>
      <w:r w:rsidRPr="002F4E96">
        <w:rPr>
          <w:rFonts w:ascii="Times New Roman" w:hAnsi="Times New Roman" w:cs="Times New Roman"/>
          <w:bCs/>
        </w:rPr>
        <w:t xml:space="preserve"> = Accumulated creep energy density per cycle; </w:t>
      </w:r>
      <m:oMath>
        <m:sSup>
          <m:sSupPr>
            <m:ctrlPr>
              <w:rPr>
                <w:rFonts w:ascii="Cambria Math" w:hAnsi="Cambria Math" w:cs="Times New Roman"/>
                <w:bCs/>
                <w:i/>
              </w:rPr>
            </m:ctrlPr>
          </m:sSupPr>
          <m:e>
            <m:r>
              <w:rPr>
                <w:rFonts w:ascii="Cambria Math" w:hAnsi="Cambria Math" w:cs="Times New Roman"/>
              </w:rPr>
              <m:t>W</m:t>
            </m:r>
          </m:e>
          <m:sup>
            <m:r>
              <w:rPr>
                <w:rFonts w:ascii="Cambria Math" w:hAnsi="Cambria Math" w:cs="Times New Roman"/>
              </w:rPr>
              <m:t>'</m:t>
            </m:r>
          </m:sup>
        </m:sSup>
      </m:oMath>
      <w:r w:rsidRPr="002F4E96">
        <w:rPr>
          <w:rFonts w:ascii="Times New Roman" w:hAnsi="Times New Roman" w:cs="Times New Roman"/>
          <w:bCs/>
        </w:rPr>
        <w:t xml:space="preserve"> = Creep energy density for failure</w:t>
      </w:r>
    </w:p>
    <w:p w14:paraId="2BCEA151" w14:textId="77777777" w:rsidR="007803A4" w:rsidRPr="002F4E96" w:rsidRDefault="007803A4" w:rsidP="007803A4">
      <w:pPr>
        <w:spacing w:line="360" w:lineRule="auto"/>
        <w:jc w:val="both"/>
        <w:rPr>
          <w:rFonts w:ascii="Times New Roman" w:hAnsi="Times New Roman" w:cs="Times New Roman"/>
          <w:bCs/>
        </w:rPr>
      </w:pPr>
      <w:r w:rsidRPr="002F4E96">
        <w:rPr>
          <w:rFonts w:ascii="Times New Roman" w:hAnsi="Times New Roman" w:cs="Times New Roman"/>
          <w:bCs/>
        </w:rPr>
        <w:t>Equation 16 gives cyclic creep (fatigue) life due to varying and repeated stresses for a single creep mechanism.</w:t>
      </w:r>
    </w:p>
    <w:p w14:paraId="310F72FF" w14:textId="77777777" w:rsidR="007803A4" w:rsidRPr="002F4E96" w:rsidRDefault="007803A4" w:rsidP="007803A4">
      <w:pPr>
        <w:spacing w:line="360" w:lineRule="auto"/>
        <w:jc w:val="both"/>
        <w:rPr>
          <w:rFonts w:ascii="Times New Roman" w:hAnsi="Times New Roman" w:cs="Times New Roman"/>
        </w:rPr>
      </w:pPr>
      <w:r w:rsidRPr="002F4E96">
        <w:rPr>
          <w:rFonts w:ascii="Times New Roman" w:hAnsi="Times New Roman" w:cs="Times New Roman"/>
        </w:rPr>
        <w:t xml:space="preserve">The values of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acc</m:t>
            </m:r>
          </m:sub>
        </m:sSub>
      </m:oMath>
      <w:r w:rsidRPr="002F4E96">
        <w:rPr>
          <w:rFonts w:ascii="Times New Roman" w:hAnsi="Times New Roman" w:cs="Times New Roman"/>
        </w:rPr>
        <w:t xml:space="preserve"> are calculated and used to determine the number of cycles to failure. Syed </w:t>
      </w:r>
      <w:r w:rsidRPr="002F4E96">
        <w:rPr>
          <w:rFonts w:ascii="Times New Roman" w:hAnsi="Times New Roman" w:cs="Times New Roman"/>
        </w:rPr>
        <w:fldChar w:fldCharType="begin" w:fldLock="1"/>
      </w:r>
      <w:r w:rsidRPr="002F4E96">
        <w:rPr>
          <w:rFonts w:ascii="Times New Roman" w:hAnsi="Times New Roman" w:cs="Times New Roman"/>
        </w:rPr>
        <w:instrText>ADDIN CSL_CITATION {"citationItems":[{"id":"ITEM-1","itemData":{"DOI":"10.1109/ESIME.2006.1644010","ISBN":"1424402751","abstract":"There are two sources of errors in any finite element based life prediction model: the finite element mesh and assumptions, and the material properties used - specifically the constitutive model used to describe the behavior of solder joints during temperature cycling. The use of these assumptions may prohibit the application of life prediction model to conditions beyond the ones used to develop the model. The author has previously proposed life prediction models for SnPb and SnAgCu solder joints using advanced finite element modeling techniques such as sub-structuring and multi-point constraints. The assumptions were necessary to increase the efficiency of solution with available computing power. With the advances in computing technology, these assumptions are no longer necessary, and more accurate life prediction can be achieved by eliminating most of the modeling assumptions. In this paper, the updated life prediction model parameters for SnAgCu solder joints are presented without the use of sub-structuring and multi-point constraints. All joints for a particular package-board interconnection are modeled as having non-linear properties. In addition, a detailed mesh refinement study is done to determine the minimum mesh density required to yield near mesh-independent results. In addition to modeling assumptions, the constitutive equation used for solder joints may also influence the life prediction model parameters. To investigate this further, the creep behavior of SnAgCu solder joints is represented by using published constitutive equations (double power law creep and hyperbolic sine equation). The results show a significant influence of constitutive equation on creep strain based life prediction model but minimum impact when energy density based approach is used. © 2006 IEEE.","author":[{"dropping-particle":"","family":"Syed","given":"Ahmer","non-dropping-particle":"","parse-names":false,"suffix":""}],"container-title":"7th International Conference on Thermal, Mechanical and Multiphysics Simulation and Experiments in Micro-Electronics and Micro-Systems, EuroSimE 2006","id":"ITEM-1","issued":{"date-parts":[["2006"]]},"title":"Updated life prediction models for solder joints with removal of modeling assumptions and effect of constitutive equations","type":"paper-conference"},"uris":["http://www.mendeley.com/documents/?uuid=70d09b0c-8d64-47b3-9746-0343dc967df2"]}],"mendeley":{"formattedCitation":"[125]","plainTextFormattedCitation":"[125]","previouslyFormattedCitation":"[125]"},"properties":{"noteIndex":0},"schema":"https://github.com/citation-style-language/schema/raw/master/csl-citation.json"}</w:instrText>
      </w:r>
      <w:r w:rsidRPr="002F4E96">
        <w:rPr>
          <w:rFonts w:ascii="Times New Roman" w:hAnsi="Times New Roman" w:cs="Times New Roman"/>
        </w:rPr>
        <w:fldChar w:fldCharType="separate"/>
      </w:r>
      <w:r w:rsidRPr="002F4E96">
        <w:rPr>
          <w:rFonts w:ascii="Times New Roman" w:hAnsi="Times New Roman" w:cs="Times New Roman"/>
          <w:noProof/>
        </w:rPr>
        <w:t>[125]</w:t>
      </w:r>
      <w:r w:rsidRPr="002F4E96">
        <w:rPr>
          <w:rFonts w:ascii="Times New Roman" w:hAnsi="Times New Roman" w:cs="Times New Roman"/>
        </w:rPr>
        <w:fldChar w:fldCharType="end"/>
      </w:r>
      <w:r w:rsidRPr="002F4E96">
        <w:rPr>
          <w:rFonts w:ascii="Times New Roman" w:hAnsi="Times New Roman" w:cs="Times New Roman"/>
        </w:rPr>
        <w:t xml:space="preserve"> has determined the values of </w:t>
      </w:r>
      <m:oMath>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oMath>
      <w:r w:rsidRPr="002F4E96">
        <w:rPr>
          <w:rFonts w:ascii="Times New Roman" w:hAnsi="Times New Roman" w:cs="Times New Roman"/>
        </w:rPr>
        <w:t xml:space="preserve"> experimentally to be 0.0019, respectively. </w:t>
      </w:r>
      <w:bookmarkEnd w:id="21"/>
      <w:r w:rsidRPr="002F4E96">
        <w:rPr>
          <w:rFonts w:ascii="Times New Roman" w:hAnsi="Times New Roman" w:cs="Times New Roman"/>
        </w:rPr>
        <w:t>The mean fatigue life is given as:</w:t>
      </w:r>
    </w:p>
    <w:p w14:paraId="38BB80EC" w14:textId="77777777" w:rsidR="007803A4" w:rsidRPr="002F4E96" w:rsidRDefault="007803A4" w:rsidP="007803A4">
      <w:pPr>
        <w:spacing w:line="360" w:lineRule="auto"/>
        <w:jc w:val="both"/>
        <w:rPr>
          <w:rFonts w:ascii="Times New Roman" w:hAnsi="Times New Roman" w:cs="Times New Roman"/>
        </w:rPr>
      </w:pPr>
      <m:oMath>
        <m:r>
          <m:rPr>
            <m:sty m:val="bi"/>
          </m:rPr>
          <w:rPr>
            <w:rFonts w:ascii="Cambria Math" w:hAnsi="Cambria Math" w:cs="Times New Roman"/>
          </w:rPr>
          <m:t>L=</m:t>
        </m:r>
        <m:d>
          <m:dPr>
            <m:ctrlPr>
              <w:rPr>
                <w:rFonts w:ascii="Cambria Math" w:hAnsi="Cambria Math" w:cs="Times New Roman"/>
                <w:b/>
                <w:bCs/>
                <w:i/>
              </w:rPr>
            </m:ctrlPr>
          </m:dPr>
          <m:e>
            <m:f>
              <m:fPr>
                <m:ctrlPr>
                  <w:rPr>
                    <w:rFonts w:ascii="Cambria Math" w:hAnsi="Cambria Math" w:cs="Times New Roman"/>
                    <w:b/>
                    <w:bCs/>
                    <w:i/>
                  </w:rPr>
                </m:ctrlPr>
              </m:fPr>
              <m:num>
                <m:sSub>
                  <m:sSubPr>
                    <m:ctrlPr>
                      <w:rPr>
                        <w:rFonts w:ascii="Cambria Math" w:hAnsi="Cambria Math" w:cs="Times New Roman"/>
                        <w:b/>
                        <w:bCs/>
                        <w:i/>
                      </w:rPr>
                    </m:ctrlPr>
                  </m:sSubPr>
                  <m:e>
                    <m:r>
                      <m:rPr>
                        <m:sty m:val="bi"/>
                      </m:rPr>
                      <w:rPr>
                        <w:rFonts w:ascii="Cambria Math" w:hAnsi="Cambria Math" w:cs="Times New Roman"/>
                      </w:rPr>
                      <m:t>t</m:t>
                    </m:r>
                  </m:e>
                  <m:sub>
                    <m:r>
                      <m:rPr>
                        <m:sty m:val="bi"/>
                      </m:rPr>
                      <w:rPr>
                        <w:rFonts w:ascii="Cambria Math" w:hAnsi="Cambria Math" w:cs="Times New Roman"/>
                      </w:rPr>
                      <m:t>c</m:t>
                    </m:r>
                  </m:sub>
                </m:sSub>
              </m:num>
              <m:den>
                <m:r>
                  <m:rPr>
                    <m:sty m:val="bi"/>
                  </m:rPr>
                  <w:rPr>
                    <w:rFonts w:ascii="Cambria Math" w:hAnsi="Cambria Math" w:cs="Times New Roman"/>
                  </w:rPr>
                  <m:t>y</m:t>
                </m:r>
              </m:den>
            </m:f>
          </m:e>
        </m:d>
        <m:sSub>
          <m:sSubPr>
            <m:ctrlPr>
              <w:rPr>
                <w:rFonts w:ascii="Cambria Math" w:hAnsi="Cambria Math" w:cs="Times New Roman"/>
                <w:b/>
                <w:bCs/>
                <w:i/>
              </w:rPr>
            </m:ctrlPr>
          </m:sSubPr>
          <m:e>
            <m:r>
              <m:rPr>
                <m:sty m:val="bi"/>
              </m:rPr>
              <w:rPr>
                <w:rFonts w:ascii="Cambria Math" w:hAnsi="Cambria Math" w:cs="Times New Roman"/>
              </w:rPr>
              <m:t>N</m:t>
            </m:r>
          </m:e>
          <m:sub>
            <m:r>
              <m:rPr>
                <m:sty m:val="bi"/>
              </m:rPr>
              <w:rPr>
                <w:rFonts w:ascii="Cambria Math" w:hAnsi="Cambria Math" w:cs="Times New Roman"/>
              </w:rPr>
              <m:t>f</m:t>
            </m:r>
          </m:sub>
        </m:sSub>
      </m:oMath>
      <w:r w:rsidRPr="002F4E96">
        <w:rPr>
          <w:rFonts w:ascii="Times New Roman" w:eastAsiaTheme="minorEastAsia" w:hAnsi="Times New Roman" w:cs="Times New Roman"/>
        </w:rPr>
        <w:t xml:space="preserve">                                                                                                                                      (17)</w:t>
      </w:r>
    </w:p>
    <w:p w14:paraId="0C4DA0E0"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hAnsi="Times New Roman" w:cs="Times New Roman"/>
        </w:rPr>
        <w:t xml:space="preserve">Where L is the mean fatigue life (in years),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f</m:t>
            </m:r>
          </m:sub>
        </m:sSub>
      </m:oMath>
      <w:r w:rsidRPr="002F4E96">
        <w:rPr>
          <w:rFonts w:ascii="Times New Roman" w:eastAsiaTheme="minorEastAsia" w:hAnsi="Times New Roman" w:cs="Times New Roman"/>
        </w:rPr>
        <w:t xml:space="preserve"> is the mean fatigue life (in cycles),</w:t>
      </w:r>
      <w:r w:rsidRPr="002F4E9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oMath>
      <w:r w:rsidRPr="002F4E96">
        <w:rPr>
          <w:rFonts w:ascii="Times New Roman" w:eastAsiaTheme="minorEastAsia" w:hAnsi="Times New Roman" w:cs="Times New Roman"/>
        </w:rPr>
        <w:t xml:space="preserve"> is the time per cycle (in seconds), and </w:t>
      </w:r>
      <m:oMath>
        <m:r>
          <w:rPr>
            <w:rFonts w:ascii="Cambria Math" w:hAnsi="Cambria Math" w:cs="Times New Roman"/>
          </w:rPr>
          <m:t>y</m:t>
        </m:r>
      </m:oMath>
      <w:r w:rsidRPr="002F4E96">
        <w:rPr>
          <w:rFonts w:ascii="Times New Roman" w:eastAsiaTheme="minorEastAsia" w:hAnsi="Times New Roman" w:cs="Times New Roman"/>
        </w:rPr>
        <w:t xml:space="preserve"> is one year (in seconds).</w:t>
      </w:r>
    </w:p>
    <w:p w14:paraId="19215B43"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eastAsiaTheme="minorEastAsia" w:hAnsi="Times New Roman" w:cs="Times New Roman"/>
        </w:rPr>
        <w:t>The relationship between creep strain energy and creep strain energy density is given as:</w:t>
      </w:r>
    </w:p>
    <w:p w14:paraId="2FB6E16C" w14:textId="77777777" w:rsidR="007803A4" w:rsidRPr="002F4E96" w:rsidRDefault="007803A4" w:rsidP="007803A4">
      <w:pPr>
        <w:spacing w:line="360" w:lineRule="auto"/>
        <w:jc w:val="both"/>
        <w:rPr>
          <w:rFonts w:ascii="Times New Roman" w:eastAsiaTheme="minorEastAsia" w:hAnsi="Times New Roman" w:cs="Times New Roman"/>
        </w:rPr>
      </w:pPr>
      <m:oMath>
        <m:r>
          <m:rPr>
            <m:sty m:val="bi"/>
          </m:rPr>
          <w:rPr>
            <w:rFonts w:ascii="Cambria Math" w:eastAsiaTheme="minorEastAsia" w:hAnsi="Cambria Math" w:cs="Times New Roman"/>
          </w:rPr>
          <w:lastRenderedPageBreak/>
          <m:t>E=</m:t>
        </m:r>
        <m:f>
          <m:fPr>
            <m:ctrlPr>
              <w:rPr>
                <w:rFonts w:ascii="Cambria Math" w:eastAsiaTheme="minorEastAsia" w:hAnsi="Cambria Math" w:cs="Times New Roman"/>
                <w:b/>
                <w:bCs/>
                <w:i/>
              </w:rPr>
            </m:ctrlPr>
          </m:fPr>
          <m:num>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c</m:t>
                </m:r>
              </m:sub>
            </m:sSub>
          </m:num>
          <m:den>
            <m:r>
              <m:rPr>
                <m:sty m:val="bi"/>
              </m:rPr>
              <w:rPr>
                <w:rFonts w:ascii="Cambria Math" w:eastAsiaTheme="minorEastAsia" w:hAnsi="Cambria Math" w:cs="Times New Roman"/>
              </w:rPr>
              <m:t>V</m:t>
            </m:r>
          </m:den>
        </m:f>
      </m:oMath>
      <w:r w:rsidRPr="002F4E96">
        <w:rPr>
          <w:rFonts w:ascii="Times New Roman" w:eastAsiaTheme="minorEastAsia" w:hAnsi="Times New Roman" w:cs="Times New Roman"/>
        </w:rPr>
        <w:t xml:space="preserve">                                                                                                                                                   (18)</w:t>
      </w:r>
    </w:p>
    <w:p w14:paraId="15F2BC09"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eastAsiaTheme="minorEastAsia" w:hAnsi="Times New Roman" w:cs="Times New Roman"/>
        </w:rPr>
        <w:t xml:space="preserve">Where E is the maximum creep strain energy density (Pa),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c</m:t>
            </m:r>
          </m:sub>
        </m:sSub>
      </m:oMath>
      <w:r w:rsidRPr="002F4E96">
        <w:rPr>
          <w:rFonts w:ascii="Times New Roman" w:eastAsiaTheme="minorEastAsia" w:hAnsi="Times New Roman" w:cs="Times New Roman"/>
        </w:rPr>
        <w:t xml:space="preserve"> is the maximum creep strain energy per cycle (Joule) and V is the solder volume </w:t>
      </w:r>
      <m:oMath>
        <m:d>
          <m:dPr>
            <m:ctrlPr>
              <w:rPr>
                <w:rFonts w:ascii="Cambria Math" w:eastAsiaTheme="minorEastAsia" w:hAnsi="Cambria Math" w:cs="Times New Roman"/>
                <w:i/>
              </w:rPr>
            </m:ctrlPr>
          </m:dPr>
          <m:e>
            <m:sSup>
              <m:sSupPr>
                <m:ctrlPr>
                  <w:rPr>
                    <w:rFonts w:ascii="Cambria Math" w:eastAsiaTheme="minorEastAsia" w:hAnsi="Cambria Math" w:cs="Times New Roman"/>
                    <w:iCs/>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e>
        </m:d>
      </m:oMath>
      <w:r w:rsidRPr="002F4E96">
        <w:rPr>
          <w:rFonts w:ascii="Times New Roman" w:eastAsiaTheme="minorEastAsia" w:hAnsi="Times New Roman" w:cs="Times New Roman"/>
        </w:rPr>
        <w:t>.</w:t>
      </w:r>
    </w:p>
    <w:p w14:paraId="1C2469E8"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eastAsiaTheme="minorEastAsia" w:hAnsi="Times New Roman" w:cs="Times New Roman"/>
        </w:rPr>
        <w:t>The accumulated creep strain energy density (that is a measure of solder damage) is derived from the relationships in equations (19) and (20).</w:t>
      </w:r>
    </w:p>
    <w:p w14:paraId="3BFFAB72" w14:textId="77777777" w:rsidR="007803A4" w:rsidRPr="002F4E96" w:rsidRDefault="00B205D3" w:rsidP="007803A4">
      <w:pPr>
        <w:spacing w:line="360" w:lineRule="auto"/>
        <w:jc w:val="both"/>
        <w:rPr>
          <w:rFonts w:ascii="Times New Roman" w:eastAsiaTheme="minorEastAsia" w:hAnsi="Times New Roman" w:cs="Times New Roman"/>
        </w:rPr>
      </w:pPr>
      <m:oMath>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A</m:t>
            </m:r>
          </m:sub>
        </m:sSub>
        <m:r>
          <m:rPr>
            <m:sty m:val="bi"/>
          </m:rPr>
          <w:rPr>
            <w:rFonts w:ascii="Cambria Math" w:eastAsiaTheme="minorEastAsia" w:hAnsi="Cambria Math" w:cs="Times New Roman"/>
          </w:rPr>
          <m:t>=</m:t>
        </m:r>
        <m:nary>
          <m:naryPr>
            <m:chr m:val="∑"/>
            <m:limLoc m:val="undOvr"/>
            <m:ctrlPr>
              <w:rPr>
                <w:rFonts w:ascii="Cambria Math" w:eastAsiaTheme="minorEastAsia" w:hAnsi="Cambria Math" w:cs="Times New Roman"/>
                <w:b/>
                <w:bCs/>
                <w:i/>
              </w:rPr>
            </m:ctrlPr>
          </m:naryPr>
          <m:sub>
            <m:r>
              <m:rPr>
                <m:sty m:val="bi"/>
              </m:rPr>
              <w:rPr>
                <w:rFonts w:ascii="Cambria Math" w:eastAsiaTheme="minorEastAsia" w:hAnsi="Cambria Math" w:cs="Times New Roman"/>
              </w:rPr>
              <m:t>t=1</m:t>
            </m:r>
          </m:sub>
          <m:sup>
            <m:r>
              <m:rPr>
                <m:sty m:val="bi"/>
              </m:rPr>
              <w:rPr>
                <w:rFonts w:ascii="Cambria Math" w:eastAsiaTheme="minorEastAsia" w:hAnsi="Cambria Math" w:cs="Times New Roman"/>
              </w:rPr>
              <m:t>n</m:t>
            </m:r>
          </m:sup>
          <m:e>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i</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i+1</m:t>
                    </m:r>
                  </m:sub>
                </m:sSub>
              </m:e>
            </m:d>
          </m:e>
        </m:nary>
      </m:oMath>
      <w:r w:rsidR="007803A4" w:rsidRPr="002F4E96">
        <w:rPr>
          <w:rFonts w:ascii="Times New Roman" w:eastAsiaTheme="minorEastAsia" w:hAnsi="Times New Roman" w:cs="Times New Roman"/>
          <w:b/>
          <w:bCs/>
        </w:rPr>
        <w:t xml:space="preserve"> </w:t>
      </w:r>
      <w:r w:rsidR="007803A4" w:rsidRPr="002F4E96">
        <w:rPr>
          <w:rFonts w:ascii="Times New Roman" w:eastAsiaTheme="minorEastAsia" w:hAnsi="Times New Roman" w:cs="Times New Roman"/>
        </w:rPr>
        <w:t xml:space="preserve">                                                                                                                      (19)</w:t>
      </w:r>
    </w:p>
    <w:p w14:paraId="5A60F6CD" w14:textId="77777777" w:rsidR="007803A4" w:rsidRPr="002F4E96" w:rsidRDefault="00B205D3" w:rsidP="007803A4">
      <w:pPr>
        <w:spacing w:line="360" w:lineRule="auto"/>
        <w:jc w:val="both"/>
        <w:rPr>
          <w:rFonts w:ascii="Times New Roman" w:eastAsiaTheme="minorEastAsia" w:hAnsi="Times New Roman" w:cs="Times New Roman"/>
        </w:rPr>
      </w:pPr>
      <m:oMath>
        <m:nary>
          <m:naryPr>
            <m:chr m:val="∑"/>
            <m:limLoc m:val="undOvr"/>
            <m:ctrlPr>
              <w:rPr>
                <w:rFonts w:ascii="Cambria Math" w:eastAsiaTheme="minorEastAsia" w:hAnsi="Cambria Math" w:cs="Times New Roman"/>
                <w:b/>
                <w:bCs/>
                <w:i/>
              </w:rPr>
            </m:ctrlPr>
          </m:naryPr>
          <m:sub>
            <m:r>
              <m:rPr>
                <m:sty m:val="bi"/>
              </m:rPr>
              <w:rPr>
                <w:rFonts w:ascii="Cambria Math" w:eastAsiaTheme="minorEastAsia" w:hAnsi="Cambria Math" w:cs="Times New Roman"/>
              </w:rPr>
              <m:t>t=1</m:t>
            </m:r>
          </m:sub>
          <m:sup>
            <m:r>
              <m:rPr>
                <m:sty m:val="bi"/>
              </m:rPr>
              <w:rPr>
                <w:rFonts w:ascii="Cambria Math" w:eastAsiaTheme="minorEastAsia" w:hAnsi="Cambria Math" w:cs="Times New Roman"/>
              </w:rPr>
              <m:t>n</m:t>
            </m:r>
          </m:sup>
          <m:e>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i</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i+1</m:t>
                    </m:r>
                  </m:sub>
                </m:sSub>
              </m:e>
            </m:d>
          </m:e>
        </m:nary>
        <m:r>
          <m:rPr>
            <m:sty m:val="bi"/>
          </m:rPr>
          <w:rPr>
            <w:rFonts w:ascii="Cambria Math" w:eastAsiaTheme="minorEastAsia" w:hAnsi="Cambria Math" w:cs="Times New Roman"/>
          </w:rPr>
          <m:t>=</m:t>
        </m:r>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1</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2</m:t>
                </m:r>
              </m:sub>
            </m:sSub>
          </m:e>
        </m:d>
        <m:r>
          <m:rPr>
            <m:sty m:val="bi"/>
          </m:rPr>
          <w:rPr>
            <w:rFonts w:ascii="Cambria Math" w:eastAsiaTheme="minorEastAsia" w:hAnsi="Cambria Math" w:cs="Times New Roman"/>
          </w:rPr>
          <m:t>+</m:t>
        </m:r>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2</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3</m:t>
                </m:r>
              </m:sub>
            </m:sSub>
          </m:e>
        </m:d>
        <m:r>
          <m:rPr>
            <m:sty m:val="bi"/>
          </m:rPr>
          <w:rPr>
            <w:rFonts w:ascii="Cambria Math" w:eastAsiaTheme="minorEastAsia" w:hAnsi="Cambria Math" w:cs="Times New Roman"/>
          </w:rPr>
          <m:t>+</m:t>
        </m:r>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3</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4</m:t>
                </m:r>
              </m:sub>
            </m:sSub>
          </m:e>
        </m:d>
        <m:r>
          <m:rPr>
            <m:sty m:val="bi"/>
          </m:rPr>
          <w:rPr>
            <w:rFonts w:ascii="Cambria Math" w:eastAsiaTheme="minorEastAsia" w:hAnsi="Cambria Math" w:cs="Times New Roman"/>
          </w:rPr>
          <m:t>+…+</m:t>
        </m:r>
        <m:d>
          <m:dPr>
            <m:begChr m:val="|"/>
            <m:endChr m:val="|"/>
            <m:ctrlPr>
              <w:rPr>
                <w:rFonts w:ascii="Cambria Math" w:eastAsiaTheme="minorEastAsia" w:hAnsi="Cambria Math" w:cs="Times New Roman"/>
                <w:b/>
                <w:bCs/>
                <w:i/>
              </w:rPr>
            </m:ctrlPr>
          </m:dPr>
          <m:e>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n-1</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rPr>
                </m:ctrlPr>
              </m:sSubPr>
              <m:e>
                <m:r>
                  <m:rPr>
                    <m:sty m:val="bi"/>
                  </m:rPr>
                  <w:rPr>
                    <w:rFonts w:ascii="Cambria Math" w:eastAsiaTheme="minorEastAsia" w:hAnsi="Cambria Math" w:cs="Times New Roman"/>
                  </w:rPr>
                  <m:t>E</m:t>
                </m:r>
              </m:e>
              <m:sub>
                <m:r>
                  <m:rPr>
                    <m:sty m:val="bi"/>
                  </m:rPr>
                  <w:rPr>
                    <w:rFonts w:ascii="Cambria Math" w:eastAsiaTheme="minorEastAsia" w:hAnsi="Cambria Math" w:cs="Times New Roman"/>
                  </w:rPr>
                  <m:t>n</m:t>
                </m:r>
              </m:sub>
            </m:sSub>
          </m:e>
        </m:d>
      </m:oMath>
      <w:r w:rsidR="007803A4" w:rsidRPr="002F4E96">
        <w:rPr>
          <w:rFonts w:ascii="Times New Roman" w:eastAsiaTheme="minorEastAsia" w:hAnsi="Times New Roman" w:cs="Times New Roman"/>
        </w:rPr>
        <w:t xml:space="preserve">                                (20)</w:t>
      </w:r>
    </w:p>
    <w:p w14:paraId="54E8EDC3"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eastAsiaTheme="minorEastAsia" w:hAnsi="Times New Roman" w:cs="Times New Roman"/>
        </w:rPr>
        <w:t xml:space="preserve">Equation 19 and 20 show the accumulated creep strain energy density, where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A</m:t>
            </m:r>
          </m:sub>
        </m:sSub>
      </m:oMath>
      <w:r w:rsidRPr="002F4E96">
        <w:rPr>
          <w:rFonts w:ascii="Times New Roman" w:eastAsiaTheme="minorEastAsia" w:hAnsi="Times New Roman" w:cs="Times New Roman"/>
        </w:rPr>
        <w:t xml:space="preserve"> summarises the absolute difference between the highest creep strain energy density in a cycle and the successive cycle, and n is the number of cycles.</w:t>
      </w:r>
    </w:p>
    <w:p w14:paraId="06F64323" w14:textId="77777777" w:rsidR="007803A4" w:rsidRPr="002F4E96" w:rsidRDefault="007803A4" w:rsidP="007803A4">
      <w:pPr>
        <w:spacing w:line="360" w:lineRule="auto"/>
        <w:jc w:val="both"/>
        <w:rPr>
          <w:rFonts w:ascii="Times New Roman" w:eastAsiaTheme="minorEastAsia" w:hAnsi="Times New Roman" w:cs="Times New Roman"/>
        </w:rPr>
      </w:pPr>
      <w:r w:rsidRPr="002F4E96">
        <w:rPr>
          <w:rFonts w:ascii="Times New Roman" w:eastAsiaTheme="minorEastAsia" w:hAnsi="Times New Roman" w:cs="Times New Roman"/>
        </w:rPr>
        <w:t xml:space="preserve">The results obtained in this work for the four fatigue life models (Engelmaier, Coffin-Manson, Solomon and Syed) investigated for the five solder joint alloys agrees with the study carried out by Ekpu et al. [126] and Hamasha et al. [128] for SAC305 solder alloys (Fig. 24). The outcomes show that SAC305 solder joint alloy has a margin of error </w:t>
      </w:r>
      <m:oMath>
        <m:r>
          <w:rPr>
            <w:rFonts w:ascii="Cambria Math" w:eastAsiaTheme="minorEastAsia" w:hAnsi="Cambria Math" w:cs="Times New Roman"/>
          </w:rPr>
          <m:t>12%</m:t>
        </m:r>
      </m:oMath>
      <w:r w:rsidRPr="002F4E96">
        <w:rPr>
          <w:rFonts w:ascii="Times New Roman" w:eastAsiaTheme="minorEastAsia" w:hAnsi="Times New Roman" w:cs="Times New Roman"/>
        </w:rPr>
        <w:t xml:space="preserve"> higher than those reported by the investigators why SAC387 is within the margin of error of </w:t>
      </w:r>
      <m:oMath>
        <m:r>
          <w:rPr>
            <w:rFonts w:ascii="Cambria Math" w:eastAsiaTheme="minorEastAsia" w:hAnsi="Cambria Math" w:cs="Times New Roman"/>
          </w:rPr>
          <m:t>18.5%</m:t>
        </m:r>
      </m:oMath>
      <w:r w:rsidRPr="002F4E96">
        <w:rPr>
          <w:rFonts w:ascii="Times New Roman" w:eastAsiaTheme="minorEastAsia" w:hAnsi="Times New Roman" w:cs="Times New Roman"/>
        </w:rPr>
        <w:t xml:space="preserve"> lower than the result obtained by Tao et al. [127] for the SAC387 solder alloys in this work </w:t>
      </w:r>
      <w:r w:rsidRPr="002F4E96">
        <w:rPr>
          <w:rFonts w:ascii="Times New Roman" w:eastAsiaTheme="minorEastAsia" w:hAnsi="Times New Roman" w:cs="Times New Roman"/>
        </w:rPr>
        <w:fldChar w:fldCharType="begin" w:fldLock="1"/>
      </w:r>
      <w:r w:rsidRPr="002F4E96">
        <w:rPr>
          <w:rFonts w:ascii="Times New Roman" w:eastAsiaTheme="minorEastAsia" w:hAnsi="Times New Roman" w:cs="Times New Roman"/>
        </w:rPr>
        <w:instrText>ADDIN CSL_CITATION {"citationItems":[{"id":"ITEM-1","itemData":{"DOI":"10.1016/j.microrel.2013.08.006","ISSN":"00262714","abstract":"Microelectronics failure during operation is commonly attributed to ineffective heat management within the system. Hence, reliability of such devices becomes a challenge area. The use of lead-free solders as thermal interface materials to improve the heat conduction between a chip level device and a heat sink is becoming popular due to their promising thermal and mechanical material properties. Finite element modelling was employed in the analysis of the fatigue life of three lead-free solders (SAC105, SAC305, and SAC405) under commercial thermal cycling load (between -40 C and 85 C). This paper presents the results of the simulation work focusing on the effect of varying the solder thermal interface thickness (or bond line thickness) on the reliability of the microelectronic device. The results obtained were based on stress, strain, deformation, and plastic work density. The results showed that the fatigue life of the three solders increases as the solder thermal interface thickness increases. Also, the stresses, strains, and deformation were highest around the edges and vertices of the solder interface. In addition, the optimal solder material of choice based on the criteria of this research is given as SAC405. It has higher operational life span and good reliability capabilities. © 2013 Elsevier Ltd. All rights reserved.","author":[{"dropping-particle":"","family":"Ekpu","given":"Mathias","non-dropping-particle":"","parse-names":false,"suffix":""},{"dropping-particle":"","family":"Bhatti","given":"Raj","non-dropping-particle":"","parse-names":false,"suffix":""},{"dropping-particle":"","family":"Okereke","given":"Michael I.","non-dropping-particle":"","parse-names":false,"suffix":""},{"dropping-particle":"","family":"Mallik","given":"Sabuj","non-dropping-particle":"","parse-names":false,"suffix":""},{"dropping-particle":"","family":"Otiaba","given":"Kenny","non-dropping-particle":"","parse-names":false,"suffix":""}],"container-title":"Microelectronics Reliability","id":"ITEM-1","issue":"1","issued":{"date-parts":[["2014"]]},"page":"239-244","title":"Fatigue life of lead-free solder thermal interface materials at varying bond line thickness in microelectronics","type":"article-journal","volume":"54"},"uris":["http://www.mendeley.com/documents/?uuid=c8e9cf9b-f98e-4782-ad77-eeda68600e95"]},{"id":"ITEM-2","itemData":{"DOI":"https://doi.org/10.1111/ffe.13313","abstract":"Low‐cycle fatigue testing of a lead‐free solder (InnoLot) based on Sn‐3.8Ag‐0.7Cu (SAC387) with three simultaneous additions of bismuth, nickel and antimony was conducted using miniature‐sized fatigue specimens at different temperatures and strain amplitudes. The experiments show a decline of the load capacity of the solder alloy with the number of loading cycles. The fatigue life of the solder is also decreased by the level of imposed temperature. The temperature‐modified Coffin‐Manson and Morrow models were used to analyse the behaviour under fatigue and predict lifetime. The parameters in the two fatigue models were determined by considering experiments at different temperatures and total strain amplitudes. In comparison with other reference lead‐free solders, the InnoLot solder shows much better fatigue strength. The better fatigue strength is found to result from the effect of BiNiSb elements. Also, lifetime predictions were made with both models for the solder alloy under different conditions.","author":[{"dropping-particle":"","family":"Tao","given":"Q.B.","non-dropping-particle":"","parse-names":false,"suffix":""},{"dropping-particle":"","family":"Benabou","given":"L.","non-dropping-particle":"","parse-names":false,"suffix":""},{"dropping-particle":"","family":"Le","given":"Van Nhat","non-dropping-particle":"","parse-names":false,"suffix":""},{"dropping-particle":"","family":"Anh","given":"Ngoc Nguyen‐Xuan","non-dropping-particle":"","parse-names":false,"suffix":""},{"dropping-particle":"","family":"Hung","given":"Thi Nguyen","non-dropping-particle":"","parse-names":false,"suffix":""}],"container-title":"Fatigue and Fracture of Engineering Materials and Structures","id":"ITEM-2","issue":"12","issued":{"date-parts":[["2020"]]},"page":"2883-2891","title":"Temperature‐dependent fatigue modelling of a novel Ni, Bi and Sb containing Sn‐3.8Ag‐0.7Cu lead‐free solder alloy","type":"article-journal","volume":"43"},"uris":["http://www.mendeley.com/documents/?uuid=bcb85090-5d5b-4173-8935-fe77a66915ed"]},{"id":"ITEM-3","itemData":{"DOI":"10.1109/TCPMT.2015.2460244","ISSN":"21563950","abstract":"Common damage accumulation rules fail to predict the fatigue life of solder joints under realistic service conditions where cycling amplitudes vary over time. A modification of Miner's rule of linear damage accumulation has been proposed that accounts for effects of amplitude variations in, for example, the vibration of microelectronic assemblies with lead-free solder joints on the average or characteristic fatigue life. We are, however, obviously much more concerned with the first failure across a very large sample set. Prediction of, say, the first failure out of 10000 or a million would require the extrapolation of experimental failure distributions and the assumption of a shape of this distribution. Even qualitative comparisons of accelerated test results and their scatter should account for effects of amplitude variations. We have argued that the long-term life of solder joints in vibration or cyclic bending is limited by the accumulation of inelastic work, and that much can be learned from the low cycle fatigue behavior in shear. Individual ball grid array scale SAC305 and SAC105 solder joints were cycled in shear at room temperature with combinations of two different stress amplitudes. Relying on our modified Miner's rule and the associated understanding of the effects of amplitude variations, we show that the statistical uncertainty in the fatigue life of solder joints under a specific set of realistic service conditions must be significantly greater than measured in fixed amplitude cycling tests. The predicted failure distribution was best fit by a Weibull distribution over a limited range, but we argue that the assumption of such a distribution is likely to be increasingly conservative when it comes to the prediction of earlier failure. Estimates are provided for the potential errors.","author":[{"dropping-particle":"","family":"Hamasha","given":"Sa'd","non-dropping-particle":"","parse-names":false,"suffix":""},{"dropping-particle":"","family":"Wentlent","given":"Luke","non-dropping-particle":"","parse-names":false,"suffix":""},{"dropping-particle":"","family":"Borgesen","given":"Peter","non-dropping-particle":"","parse-names":false,"suffix":""}],"container-title":"IEEE Transactions on Components, Packaging and Manufacturing Technology","id":"ITEM-3","issued":{"date-parts":[["2015"]]},"title":"Statistical Variations of Solder Joint Fatigue Life Under Realistic Service Conditions","type":"article-journal"},"uris":["http://www.mendeley.com/documents/?uuid=b63d817f-80c3-4339-8241-fdc0ca9e8594"]}],"mendeley":{"formattedCitation":"[126]–[128]","plainTextFormattedCitation":"[126]–[128]","previouslyFormattedCitation":"[126]–[128]"},"properties":{"noteIndex":0},"schema":"https://github.com/citation-style-language/schema/raw/master/csl-citation.json"}</w:instrText>
      </w:r>
      <w:r w:rsidRPr="002F4E96">
        <w:rPr>
          <w:rFonts w:ascii="Times New Roman" w:eastAsiaTheme="minorEastAsia" w:hAnsi="Times New Roman" w:cs="Times New Roman"/>
        </w:rPr>
        <w:fldChar w:fldCharType="separate"/>
      </w:r>
      <w:r w:rsidRPr="002F4E96">
        <w:rPr>
          <w:rFonts w:ascii="Times New Roman" w:eastAsiaTheme="minorEastAsia" w:hAnsi="Times New Roman" w:cs="Times New Roman"/>
          <w:noProof/>
        </w:rPr>
        <w:t>[126]–[128]</w:t>
      </w:r>
      <w:r w:rsidRPr="002F4E96">
        <w:rPr>
          <w:rFonts w:ascii="Times New Roman" w:eastAsiaTheme="minorEastAsia" w:hAnsi="Times New Roman" w:cs="Times New Roman"/>
        </w:rPr>
        <w:fldChar w:fldCharType="end"/>
      </w:r>
      <w:r w:rsidRPr="002F4E96">
        <w:rPr>
          <w:rFonts w:ascii="Times New Roman" w:eastAsiaTheme="minorEastAsia" w:hAnsi="Times New Roman" w:cs="Times New Roman"/>
        </w:rPr>
        <w:t>. This investigation results in a new finding for the five solder joint alloys' fatigue life predictions. The author concludes that this research provides a new method for determining BGA components' preventive maintenance time in mission-critical systems such as under the hood of an automobile, aerospace etc.</w:t>
      </w:r>
    </w:p>
    <w:p w14:paraId="307A3B68" w14:textId="77777777" w:rsidR="007803A4" w:rsidRPr="002F4E96" w:rsidRDefault="007803A4" w:rsidP="007803A4">
      <w:pPr>
        <w:spacing w:before="125" w:line="360" w:lineRule="auto"/>
        <w:ind w:right="38"/>
        <w:jc w:val="both"/>
        <w:rPr>
          <w:rFonts w:ascii="Times New Roman" w:hAnsi="Times New Roman" w:cs="Times New Roman"/>
          <w:bCs/>
          <w:iCs/>
        </w:rPr>
      </w:pPr>
      <w:r w:rsidRPr="002F4E96">
        <w:rPr>
          <w:rFonts w:ascii="Times New Roman" w:hAnsi="Times New Roman" w:cs="Times New Roman"/>
          <w:noProof/>
        </w:rPr>
        <w:drawing>
          <wp:inline distT="0" distB="0" distL="0" distR="0" wp14:anchorId="5B91BEB6" wp14:editId="014E2057">
            <wp:extent cx="5731510" cy="3725024"/>
            <wp:effectExtent l="0" t="0" r="0" b="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rotWithShape="1">
                    <a:blip r:embed="rId32"/>
                    <a:srcRect r="1410" b="-1"/>
                    <a:stretch/>
                  </pic:blipFill>
                  <pic:spPr bwMode="auto">
                    <a:xfrm>
                      <a:off x="0" y="0"/>
                      <a:ext cx="5731510" cy="3725024"/>
                    </a:xfrm>
                    <a:prstGeom prst="rect">
                      <a:avLst/>
                    </a:prstGeom>
                    <a:ln>
                      <a:noFill/>
                    </a:ln>
                    <a:extLst>
                      <a:ext uri="{53640926-AAD7-44D8-BBD7-CCE9431645EC}">
                        <a14:shadowObscured xmlns:a14="http://schemas.microsoft.com/office/drawing/2010/main"/>
                      </a:ext>
                    </a:extLst>
                  </pic:spPr>
                </pic:pic>
              </a:graphicData>
            </a:graphic>
          </wp:inline>
        </w:drawing>
      </w:r>
    </w:p>
    <w:p w14:paraId="5C45C644" w14:textId="77777777" w:rsidR="007803A4" w:rsidRPr="002F4E96" w:rsidRDefault="007803A4" w:rsidP="007803A4">
      <w:pPr>
        <w:spacing w:before="125" w:line="360" w:lineRule="auto"/>
        <w:ind w:right="38"/>
        <w:jc w:val="center"/>
        <w:rPr>
          <w:rFonts w:ascii="Times New Roman" w:hAnsi="Times New Roman" w:cs="Times New Roman"/>
          <w:bCs/>
          <w:iCs/>
        </w:rPr>
      </w:pPr>
      <w:r w:rsidRPr="002F4E96">
        <w:rPr>
          <w:rFonts w:ascii="Times New Roman" w:hAnsi="Times New Roman" w:cs="Times New Roman"/>
        </w:rPr>
        <w:lastRenderedPageBreak/>
        <w:t>Fig. 21: Fatigue life of BGA solder joints</w:t>
      </w:r>
    </w:p>
    <w:p w14:paraId="7BD41576" w14:textId="7497AF67" w:rsidR="007803A4" w:rsidRPr="002F4E96" w:rsidRDefault="007803A4" w:rsidP="007803A4">
      <w:pPr>
        <w:jc w:val="center"/>
        <w:rPr>
          <w:rFonts w:ascii="Times New Roman" w:hAnsi="Times New Roman" w:cs="Times New Roman"/>
        </w:rPr>
      </w:pPr>
      <w:r w:rsidRPr="002F4E96">
        <w:rPr>
          <w:rFonts w:ascii="Times New Roman" w:hAnsi="Times New Roman" w:cs="Times New Roman"/>
        </w:rPr>
        <w:t xml:space="preserve">                 </w:t>
      </w:r>
      <w:r w:rsidRPr="002F4E96">
        <w:rPr>
          <w:rFonts w:ascii="Times New Roman" w:hAnsi="Times New Roman" w:cs="Times New Roman"/>
          <w:bCs/>
          <w:iCs/>
          <w:noProof/>
        </w:rPr>
        <w:drawing>
          <wp:inline distT="0" distB="0" distL="0" distR="0" wp14:anchorId="2D3B6360" wp14:editId="69A4DBF8">
            <wp:extent cx="5017763" cy="3218623"/>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33"/>
                    <a:stretch>
                      <a:fillRect/>
                    </a:stretch>
                  </pic:blipFill>
                  <pic:spPr>
                    <a:xfrm>
                      <a:off x="0" y="0"/>
                      <a:ext cx="5047852" cy="3237924"/>
                    </a:xfrm>
                    <a:prstGeom prst="rect">
                      <a:avLst/>
                    </a:prstGeom>
                  </pic:spPr>
                </pic:pic>
              </a:graphicData>
            </a:graphic>
          </wp:inline>
        </w:drawing>
      </w:r>
    </w:p>
    <w:p w14:paraId="12484C40" w14:textId="77777777" w:rsidR="007803A4" w:rsidRPr="002F4E96" w:rsidRDefault="007803A4" w:rsidP="007803A4">
      <w:pPr>
        <w:spacing w:before="125" w:line="360" w:lineRule="auto"/>
        <w:ind w:right="38"/>
        <w:jc w:val="center"/>
        <w:rPr>
          <w:rFonts w:ascii="Times New Roman" w:hAnsi="Times New Roman" w:cs="Times New Roman"/>
          <w:bCs/>
          <w:iCs/>
        </w:rPr>
      </w:pPr>
      <w:r w:rsidRPr="002F4E96">
        <w:rPr>
          <w:rFonts w:ascii="Times New Roman" w:hAnsi="Times New Roman" w:cs="Times New Roman"/>
        </w:rPr>
        <w:t>Fig. 22: Plot of fatigue lives of solder joint alloys using the four life prediction models</w:t>
      </w:r>
    </w:p>
    <w:p w14:paraId="7AA1FACE" w14:textId="77777777" w:rsidR="007803A4" w:rsidRPr="002F4E96" w:rsidRDefault="007803A4" w:rsidP="007803A4">
      <w:pPr>
        <w:spacing w:before="125" w:line="360" w:lineRule="auto"/>
        <w:ind w:right="38"/>
        <w:jc w:val="both"/>
        <w:rPr>
          <w:rFonts w:ascii="Times New Roman" w:hAnsi="Times New Roman" w:cs="Times New Roman"/>
          <w:bCs/>
          <w:iCs/>
        </w:rPr>
      </w:pPr>
    </w:p>
    <w:p w14:paraId="331F9C95" w14:textId="77777777" w:rsidR="007803A4" w:rsidRPr="002F4E96" w:rsidRDefault="007803A4" w:rsidP="007803A4">
      <w:pPr>
        <w:spacing w:before="125" w:line="360" w:lineRule="auto"/>
        <w:ind w:right="38"/>
        <w:jc w:val="center"/>
        <w:rPr>
          <w:rFonts w:ascii="Times New Roman" w:hAnsi="Times New Roman" w:cs="Times New Roman"/>
          <w:bCs/>
          <w:iCs/>
        </w:rPr>
      </w:pPr>
      <w:r w:rsidRPr="002F4E96">
        <w:rPr>
          <w:rFonts w:ascii="Times New Roman" w:hAnsi="Times New Roman" w:cs="Times New Roman"/>
          <w:bCs/>
          <w:iCs/>
          <w:noProof/>
        </w:rPr>
        <w:drawing>
          <wp:inline distT="0" distB="0" distL="0" distR="0" wp14:anchorId="37EEEDAE" wp14:editId="51B020F0">
            <wp:extent cx="5486400" cy="3317501"/>
            <wp:effectExtent l="0" t="0" r="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rotWithShape="1">
                    <a:blip r:embed="rId34"/>
                    <a:srcRect t="6387" r="974"/>
                    <a:stretch/>
                  </pic:blipFill>
                  <pic:spPr bwMode="auto">
                    <a:xfrm>
                      <a:off x="0" y="0"/>
                      <a:ext cx="5500015" cy="3325734"/>
                    </a:xfrm>
                    <a:prstGeom prst="rect">
                      <a:avLst/>
                    </a:prstGeom>
                    <a:ln>
                      <a:noFill/>
                    </a:ln>
                    <a:extLst>
                      <a:ext uri="{53640926-AAD7-44D8-BBD7-CCE9431645EC}">
                        <a14:shadowObscured xmlns:a14="http://schemas.microsoft.com/office/drawing/2010/main"/>
                      </a:ext>
                    </a:extLst>
                  </pic:spPr>
                </pic:pic>
              </a:graphicData>
            </a:graphic>
          </wp:inline>
        </w:drawing>
      </w:r>
    </w:p>
    <w:p w14:paraId="5EC6E1C2" w14:textId="77777777" w:rsidR="007803A4" w:rsidRPr="002F4E96" w:rsidRDefault="007803A4" w:rsidP="007803A4">
      <w:pPr>
        <w:spacing w:before="125" w:line="360" w:lineRule="auto"/>
        <w:ind w:right="38"/>
        <w:jc w:val="center"/>
        <w:rPr>
          <w:rFonts w:ascii="Times New Roman" w:hAnsi="Times New Roman" w:cs="Times New Roman"/>
          <w:bCs/>
          <w:iCs/>
        </w:rPr>
      </w:pPr>
      <w:r w:rsidRPr="002F4E96">
        <w:rPr>
          <w:rFonts w:ascii="Times New Roman" w:hAnsi="Times New Roman" w:cs="Times New Roman"/>
          <w:bCs/>
          <w:iCs/>
        </w:rPr>
        <w:t>Fig. 23: Plot of the percentage change in predicted life and range of predicted life against solder alloys</w:t>
      </w:r>
    </w:p>
    <w:p w14:paraId="0ECFC352" w14:textId="77777777" w:rsidR="007803A4" w:rsidRPr="002F4E96" w:rsidRDefault="007803A4" w:rsidP="007803A4">
      <w:pPr>
        <w:jc w:val="center"/>
        <w:rPr>
          <w:rFonts w:ascii="Times New Roman" w:hAnsi="Times New Roman" w:cs="Times New Roman"/>
        </w:rPr>
      </w:pPr>
      <w:r w:rsidRPr="002F4E96">
        <w:rPr>
          <w:rFonts w:ascii="Times New Roman" w:hAnsi="Times New Roman" w:cs="Times New Roman"/>
          <w:noProof/>
        </w:rPr>
        <w:lastRenderedPageBreak/>
        <w:drawing>
          <wp:inline distT="0" distB="0" distL="0" distR="0" wp14:anchorId="615F58FD" wp14:editId="21E5CDA9">
            <wp:extent cx="5822262" cy="3947311"/>
            <wp:effectExtent l="0" t="0" r="0" b="2540"/>
            <wp:docPr id="64" name="Picture 6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bar chart&#10;&#10;Description automatically generated"/>
                    <pic:cNvPicPr/>
                  </pic:nvPicPr>
                  <pic:blipFill>
                    <a:blip r:embed="rId35"/>
                    <a:stretch>
                      <a:fillRect/>
                    </a:stretch>
                  </pic:blipFill>
                  <pic:spPr>
                    <a:xfrm>
                      <a:off x="0" y="0"/>
                      <a:ext cx="5853359" cy="3968394"/>
                    </a:xfrm>
                    <a:prstGeom prst="rect">
                      <a:avLst/>
                    </a:prstGeom>
                  </pic:spPr>
                </pic:pic>
              </a:graphicData>
            </a:graphic>
          </wp:inline>
        </w:drawing>
      </w:r>
    </w:p>
    <w:p w14:paraId="5384CD38" w14:textId="77777777" w:rsidR="007803A4" w:rsidRPr="002F4E96" w:rsidRDefault="007803A4" w:rsidP="007803A4">
      <w:pPr>
        <w:pStyle w:val="Caption"/>
        <w:jc w:val="center"/>
        <w:rPr>
          <w:rFonts w:ascii="Times New Roman" w:hAnsi="Times New Roman" w:cs="Times New Roman"/>
          <w:b w:val="0"/>
          <w:bCs w:val="0"/>
          <w:color w:val="000000" w:themeColor="text1"/>
          <w:sz w:val="22"/>
          <w:szCs w:val="22"/>
        </w:rPr>
      </w:pPr>
      <w:bookmarkStart w:id="22" w:name="_Toc67264518"/>
      <w:r w:rsidRPr="002F4E96">
        <w:rPr>
          <w:rFonts w:ascii="Times New Roman" w:hAnsi="Times New Roman" w:cs="Times New Roman"/>
          <w:b w:val="0"/>
          <w:bCs w:val="0"/>
          <w:color w:val="000000" w:themeColor="text1"/>
          <w:sz w:val="22"/>
          <w:szCs w:val="22"/>
        </w:rPr>
        <w:t>Figure 24: Comparison of the fatigue lives of solder joint alloys from this work with data from peer-reviewed literature</w:t>
      </w:r>
      <w:bookmarkEnd w:id="22"/>
    </w:p>
    <w:p w14:paraId="28C1D289" w14:textId="77777777" w:rsidR="007803A4" w:rsidRPr="002F4E96" w:rsidRDefault="007803A4" w:rsidP="007803A4">
      <w:pPr>
        <w:spacing w:before="125" w:line="360" w:lineRule="auto"/>
        <w:ind w:right="38"/>
        <w:jc w:val="center"/>
        <w:rPr>
          <w:rFonts w:ascii="Times New Roman" w:hAnsi="Times New Roman" w:cs="Times New Roman"/>
          <w:bCs/>
          <w:iCs/>
        </w:rPr>
      </w:pPr>
    </w:p>
    <w:p w14:paraId="2EB6888B" w14:textId="77777777" w:rsidR="007803A4" w:rsidRPr="002F4E96" w:rsidRDefault="007803A4" w:rsidP="007803A4">
      <w:pPr>
        <w:pStyle w:val="Heading2"/>
      </w:pPr>
      <w:bookmarkStart w:id="23" w:name="_Toc33286865"/>
      <w:r w:rsidRPr="002F4E96">
        <w:t xml:space="preserve">4.0 </w:t>
      </w:r>
      <w:bookmarkEnd w:id="23"/>
      <w:r w:rsidRPr="002F4E96">
        <w:t>Conclusions</w:t>
      </w:r>
    </w:p>
    <w:p w14:paraId="2BA10DDF" w14:textId="77777777" w:rsidR="007803A4" w:rsidRPr="002F4E96" w:rsidRDefault="007803A4" w:rsidP="007803A4">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This research provides a method of determining the preventive maintenance time of BGA components in mission-critical systems. It proposes developing a new life prediction model based on a combination of the damage parameters for improved prediction.  </w:t>
      </w:r>
    </w:p>
    <w:p w14:paraId="5C9DE187" w14:textId="77777777" w:rsidR="007803A4" w:rsidRPr="002F4E96" w:rsidRDefault="007803A4" w:rsidP="007803A4">
      <w:p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Specific conclusions from this study include:</w:t>
      </w:r>
    </w:p>
    <w:p w14:paraId="2FE1D6C1" w14:textId="77777777" w:rsidR="007803A4" w:rsidRPr="002F4E96" w:rsidRDefault="007803A4" w:rsidP="007803A4">
      <w:pPr>
        <w:numPr>
          <w:ilvl w:val="0"/>
          <w:numId w:val="40"/>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BGA joints made of SAC387 solder accumulated the highest stress, strain energy density, plastic strain, shear strain, plastic shear strain, and creep energy density magnitudes. Consequently, it has the lowest fatigue life across all prediction models. </w:t>
      </w:r>
    </w:p>
    <w:p w14:paraId="05F8745F" w14:textId="77777777" w:rsidR="007803A4" w:rsidRPr="002F4E96" w:rsidRDefault="007803A4" w:rsidP="007803A4">
      <w:pPr>
        <w:numPr>
          <w:ilvl w:val="0"/>
          <w:numId w:val="40"/>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The SAC405 solder joints accumulated the lowest stress, plastic strain and creep energy density magnitude and the highest fatigue life. </w:t>
      </w:r>
    </w:p>
    <w:p w14:paraId="27951437" w14:textId="77777777" w:rsidR="007803A4" w:rsidRPr="002F4E96" w:rsidRDefault="007803A4" w:rsidP="007803A4">
      <w:pPr>
        <w:numPr>
          <w:ilvl w:val="0"/>
          <w:numId w:val="40"/>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The SAC405 joints have the highest predicted TFL of circa 13.2 years, while SAC387 joints have the least life of circa 1.4 years. The predicted lives are inversely proportional to the magnitude of the areas of stress-strain hysteresis loops of the solder joints. </w:t>
      </w:r>
    </w:p>
    <w:p w14:paraId="1D354232" w14:textId="77777777" w:rsidR="007803A4" w:rsidRPr="002F4E96" w:rsidRDefault="007803A4" w:rsidP="007803A4">
      <w:pPr>
        <w:numPr>
          <w:ilvl w:val="0"/>
          <w:numId w:val="40"/>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t>The prediction models are significantly consistent in predicted magnitudes across the solder joints irrespective of the damage parameters used. The observation recognises a significant variation in the models' predicted values - justifying that several failure modes drive solder joints' damage mechanics. </w:t>
      </w:r>
    </w:p>
    <w:p w14:paraId="1F394531" w14:textId="77777777" w:rsidR="007803A4" w:rsidRPr="002F4E96" w:rsidRDefault="007803A4" w:rsidP="007803A4">
      <w:pPr>
        <w:numPr>
          <w:ilvl w:val="0"/>
          <w:numId w:val="40"/>
        </w:numPr>
        <w:spacing w:after="0" w:line="360" w:lineRule="auto"/>
        <w:jc w:val="both"/>
        <w:rPr>
          <w:rFonts w:ascii="Times New Roman" w:eastAsia="Times New Roman" w:hAnsi="Times New Roman" w:cs="Times New Roman"/>
          <w:lang w:eastAsia="en-GB"/>
        </w:rPr>
      </w:pPr>
      <w:r w:rsidRPr="002F4E96">
        <w:rPr>
          <w:rFonts w:ascii="Times New Roman" w:eastAsia="Times New Roman" w:hAnsi="Times New Roman" w:cs="Times New Roman"/>
          <w:lang w:eastAsia="en-GB"/>
        </w:rPr>
        <w:lastRenderedPageBreak/>
        <w:t>It is concluded that shear strain range, fatigue ductility, plastic shear strain, accumulated creep energy density, and creep energy density for failure are damage parameters used to determine the solder's thermal fatigue lives joints in electronic assemblies. </w:t>
      </w:r>
    </w:p>
    <w:p w14:paraId="73203826" w14:textId="77777777" w:rsidR="007803A4" w:rsidRPr="002F4E96" w:rsidRDefault="007803A4" w:rsidP="007803A4">
      <w:pPr>
        <w:pStyle w:val="Heading2"/>
      </w:pPr>
      <w:r w:rsidRPr="002F4E96">
        <w:t>Acknowledgement</w:t>
      </w:r>
    </w:p>
    <w:p w14:paraId="3616F15B" w14:textId="77777777" w:rsidR="007803A4" w:rsidRPr="002F4E96" w:rsidRDefault="007803A4" w:rsidP="007803A4">
      <w:pPr>
        <w:pStyle w:val="Heading2"/>
        <w:rPr>
          <w:rFonts w:eastAsiaTheme="minorHAnsi"/>
          <w:b w:val="0"/>
        </w:rPr>
      </w:pPr>
      <w:r w:rsidRPr="002F4E96">
        <w:rPr>
          <w:rFonts w:eastAsiaTheme="minorHAnsi"/>
          <w:b w:val="0"/>
        </w:rPr>
        <w:t>The study published in part in this report is funded by the School of Mechanical Engineering &amp; the Built Environment, College of Engineering &amp; Technology, University of Derby, UK.</w:t>
      </w:r>
    </w:p>
    <w:p w14:paraId="29360B19" w14:textId="77777777" w:rsidR="007803A4" w:rsidRPr="002F4E96" w:rsidRDefault="007803A4" w:rsidP="007803A4">
      <w:pPr>
        <w:pStyle w:val="Heading2"/>
      </w:pPr>
      <w:r w:rsidRPr="002F4E96">
        <w:t>Conflict of Interest</w:t>
      </w:r>
    </w:p>
    <w:p w14:paraId="62D540CD" w14:textId="48AC2EEF" w:rsidR="004A042D" w:rsidRDefault="007803A4" w:rsidP="00D7303D">
      <w:pPr>
        <w:spacing w:before="125" w:line="360" w:lineRule="auto"/>
        <w:ind w:right="38"/>
        <w:jc w:val="both"/>
        <w:rPr>
          <w:rFonts w:ascii="Times New Roman" w:hAnsi="Times New Roman" w:cs="Times New Roman"/>
          <w:bCs/>
        </w:rPr>
      </w:pPr>
      <w:r w:rsidRPr="002F4E96">
        <w:rPr>
          <w:rFonts w:ascii="Times New Roman" w:hAnsi="Times New Roman" w:cs="Times New Roman"/>
          <w:bCs/>
        </w:rPr>
        <w:t>The authors declare that they have no conflict of interest.</w:t>
      </w:r>
    </w:p>
    <w:p w14:paraId="10916A68" w14:textId="58E0CA91" w:rsidR="00D7303D" w:rsidRDefault="00D7303D" w:rsidP="00D7303D">
      <w:pPr>
        <w:spacing w:before="125" w:line="360" w:lineRule="auto"/>
        <w:ind w:right="38"/>
        <w:jc w:val="both"/>
        <w:rPr>
          <w:rFonts w:ascii="Times New Roman" w:hAnsi="Times New Roman" w:cs="Times New Roman"/>
          <w:b/>
        </w:rPr>
      </w:pPr>
      <w:r w:rsidRPr="00D7303D">
        <w:rPr>
          <w:rFonts w:ascii="Times New Roman" w:hAnsi="Times New Roman" w:cs="Times New Roman"/>
          <w:b/>
        </w:rPr>
        <w:t>References</w:t>
      </w:r>
    </w:p>
    <w:p w14:paraId="11B56CC0" w14:textId="2136D1F1"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b/>
        </w:rPr>
        <w:fldChar w:fldCharType="begin" w:fldLock="1"/>
      </w:r>
      <w:r w:rsidRPr="00D7303D">
        <w:rPr>
          <w:rFonts w:ascii="Times New Roman" w:hAnsi="Times New Roman" w:cs="Times New Roman"/>
          <w:b/>
        </w:rPr>
        <w:instrText xml:space="preserve">ADDIN Mendeley Bibliography CSL_BIBLIOGRAPHY </w:instrText>
      </w:r>
      <w:r w:rsidRPr="00D7303D">
        <w:rPr>
          <w:rFonts w:ascii="Times New Roman" w:hAnsi="Times New Roman" w:cs="Times New Roman"/>
          <w:b/>
        </w:rPr>
        <w:fldChar w:fldCharType="separate"/>
      </w:r>
      <w:r w:rsidRPr="00D7303D">
        <w:rPr>
          <w:rFonts w:ascii="Times New Roman" w:hAnsi="Times New Roman" w:cs="Times New Roman"/>
          <w:noProof/>
        </w:rPr>
        <w:t>[1]</w:t>
      </w:r>
      <w:r w:rsidRPr="00D7303D">
        <w:rPr>
          <w:rFonts w:ascii="Times New Roman" w:hAnsi="Times New Roman" w:cs="Times New Roman"/>
          <w:noProof/>
        </w:rPr>
        <w:tab/>
        <w:t xml:space="preserve">J. H. Lau and Y. Pao, </w:t>
      </w:r>
      <w:r w:rsidRPr="00D7303D">
        <w:rPr>
          <w:rFonts w:ascii="Times New Roman" w:hAnsi="Times New Roman" w:cs="Times New Roman"/>
          <w:i/>
          <w:iCs/>
          <w:noProof/>
        </w:rPr>
        <w:t>Solder joint reliability of BGA, CSP, Flip Cip, and fine pitch SMT assemblies</w:t>
      </w:r>
      <w:r w:rsidRPr="00D7303D">
        <w:rPr>
          <w:rFonts w:ascii="Times New Roman" w:hAnsi="Times New Roman" w:cs="Times New Roman"/>
          <w:noProof/>
        </w:rPr>
        <w:t>. 1997.</w:t>
      </w:r>
    </w:p>
    <w:p w14:paraId="7819CCE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w:t>
      </w:r>
      <w:r w:rsidRPr="00D7303D">
        <w:rPr>
          <w:rFonts w:ascii="Times New Roman" w:hAnsi="Times New Roman" w:cs="Times New Roman"/>
          <w:noProof/>
        </w:rPr>
        <w:tab/>
        <w:t xml:space="preserve">Lau John; Wong C P; Lee Ning-Cheng, </w:t>
      </w:r>
      <w:r w:rsidRPr="00D7303D">
        <w:rPr>
          <w:rFonts w:ascii="Times New Roman" w:hAnsi="Times New Roman" w:cs="Times New Roman"/>
          <w:i/>
          <w:iCs/>
          <w:noProof/>
        </w:rPr>
        <w:t>Electronics Manufacturing: With Lead-Free, Halogen-Free, and Conductive-Adhesive Materials</w:t>
      </w:r>
      <w:r w:rsidRPr="00D7303D">
        <w:rPr>
          <w:rFonts w:ascii="Times New Roman" w:hAnsi="Times New Roman" w:cs="Times New Roman"/>
          <w:noProof/>
        </w:rPr>
        <w:t>. The McGraw-Hill Companies, Inc., 2003.</w:t>
      </w:r>
    </w:p>
    <w:p w14:paraId="10D69AE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w:t>
      </w:r>
      <w:r w:rsidRPr="00D7303D">
        <w:rPr>
          <w:rFonts w:ascii="Times New Roman" w:hAnsi="Times New Roman" w:cs="Times New Roman"/>
          <w:noProof/>
        </w:rPr>
        <w:tab/>
        <w:t>J. Wang, Y. Niu, S. Park, and A. Yatskov, “Modeling and design of 2.5D package with mitigated warpage and enhanced thermo-mechanical reliability,” 2018, doi: 10.1109/ECTC.2018.00373.</w:t>
      </w:r>
    </w:p>
    <w:p w14:paraId="14005F04"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w:t>
      </w:r>
      <w:r w:rsidRPr="00D7303D">
        <w:rPr>
          <w:rFonts w:ascii="Times New Roman" w:hAnsi="Times New Roman" w:cs="Times New Roman"/>
          <w:noProof/>
        </w:rPr>
        <w:tab/>
        <w:t xml:space="preserve">S. Shao </w:t>
      </w:r>
      <w:r w:rsidRPr="00D7303D">
        <w:rPr>
          <w:rFonts w:ascii="Times New Roman" w:hAnsi="Times New Roman" w:cs="Times New Roman"/>
          <w:i/>
          <w:iCs/>
          <w:noProof/>
        </w:rPr>
        <w:t>et al.</w:t>
      </w:r>
      <w:r w:rsidRPr="00D7303D">
        <w:rPr>
          <w:rFonts w:ascii="Times New Roman" w:hAnsi="Times New Roman" w:cs="Times New Roman"/>
          <w:noProof/>
        </w:rPr>
        <w:t>, “Comprehensive study on 2.5D package design for board-level reliability in thermal cycling and power cycling,” 2018, doi: 10.1109/ECTC.2018.00251.</w:t>
      </w:r>
    </w:p>
    <w:p w14:paraId="6D49D58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w:t>
      </w:r>
      <w:r w:rsidRPr="00D7303D">
        <w:rPr>
          <w:rFonts w:ascii="Times New Roman" w:hAnsi="Times New Roman" w:cs="Times New Roman"/>
          <w:noProof/>
        </w:rPr>
        <w:tab/>
        <w:t>X. C. Tong, “Thermal Management Fundamentals and Design Guides in Electronic Packaging,” 2011.</w:t>
      </w:r>
    </w:p>
    <w:p w14:paraId="4492456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w:t>
      </w:r>
      <w:r w:rsidRPr="00D7303D">
        <w:rPr>
          <w:rFonts w:ascii="Times New Roman" w:hAnsi="Times New Roman" w:cs="Times New Roman"/>
          <w:noProof/>
        </w:rPr>
        <w:tab/>
        <w:t>J. Adeniyi Depiver, S. Mallik, and E. H. Amalu, “Comparing and benchmarking fatigue behaviours of various SAC solders under thermo-mechanical loading,” 2020, doi: 10.1109/ESTC48849.2020.9229699.</w:t>
      </w:r>
    </w:p>
    <w:p w14:paraId="3A7E8A9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w:t>
      </w:r>
      <w:r w:rsidRPr="00D7303D">
        <w:rPr>
          <w:rFonts w:ascii="Times New Roman" w:hAnsi="Times New Roman" w:cs="Times New Roman"/>
          <w:noProof/>
        </w:rPr>
        <w:tab/>
        <w:t xml:space="preserve">S. Hamasha, A. Qasaimeh, Y. Jaradat, and P. Borgesen, “Correlation Between Solder Joint Fatigue Life and Accumulated Work in Isothermal Cycling,” </w:t>
      </w:r>
      <w:r w:rsidRPr="00D7303D">
        <w:rPr>
          <w:rFonts w:ascii="Times New Roman" w:hAnsi="Times New Roman" w:cs="Times New Roman"/>
          <w:i/>
          <w:iCs/>
          <w:noProof/>
        </w:rPr>
        <w:t>IEEE Trans. Components, Packag. Manuf. Technol.</w:t>
      </w:r>
      <w:r w:rsidRPr="00D7303D">
        <w:rPr>
          <w:rFonts w:ascii="Times New Roman" w:hAnsi="Times New Roman" w:cs="Times New Roman"/>
          <w:noProof/>
        </w:rPr>
        <w:t>, 2015, doi: 10.1109/TCPMT.2015.2453989.</w:t>
      </w:r>
    </w:p>
    <w:p w14:paraId="23989A54"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w:t>
      </w:r>
      <w:r w:rsidRPr="00D7303D">
        <w:rPr>
          <w:rFonts w:ascii="Times New Roman" w:hAnsi="Times New Roman" w:cs="Times New Roman"/>
          <w:noProof/>
        </w:rPr>
        <w:tab/>
        <w:t xml:space="preserve">A. Qasaimeh, S. Hamasha, Y. Jaradat, and P. Borgesen, “Damage evolution in lead free solder joints in isothermal fatigue,” </w:t>
      </w:r>
      <w:r w:rsidRPr="00D7303D">
        <w:rPr>
          <w:rFonts w:ascii="Times New Roman" w:hAnsi="Times New Roman" w:cs="Times New Roman"/>
          <w:i/>
          <w:iCs/>
          <w:noProof/>
        </w:rPr>
        <w:t>J. Electron. Packag. Trans. ASME</w:t>
      </w:r>
      <w:r w:rsidRPr="00D7303D">
        <w:rPr>
          <w:rFonts w:ascii="Times New Roman" w:hAnsi="Times New Roman" w:cs="Times New Roman"/>
          <w:noProof/>
        </w:rPr>
        <w:t>, 2015, doi: 10.1115/1.4029441.</w:t>
      </w:r>
    </w:p>
    <w:p w14:paraId="3065549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w:t>
      </w:r>
      <w:r w:rsidRPr="00D7303D">
        <w:rPr>
          <w:rFonts w:ascii="Times New Roman" w:hAnsi="Times New Roman" w:cs="Times New Roman"/>
          <w:noProof/>
        </w:rPr>
        <w:tab/>
        <w:t xml:space="preserve">M. Obaidat </w:t>
      </w:r>
      <w:r w:rsidRPr="00D7303D">
        <w:rPr>
          <w:rFonts w:ascii="Times New Roman" w:hAnsi="Times New Roman" w:cs="Times New Roman"/>
          <w:i/>
          <w:iCs/>
          <w:noProof/>
        </w:rPr>
        <w:t>et al.</w:t>
      </w:r>
      <w:r w:rsidRPr="00D7303D">
        <w:rPr>
          <w:rFonts w:ascii="Times New Roman" w:hAnsi="Times New Roman" w:cs="Times New Roman"/>
          <w:noProof/>
        </w:rPr>
        <w:t>, “Effects of varying amplitudes on the fatigue life of lead free solder joints,” 2013, doi: 10.1109/ECTC.2013.6575741.</w:t>
      </w:r>
    </w:p>
    <w:p w14:paraId="3A6A268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w:t>
      </w:r>
      <w:r w:rsidRPr="00D7303D">
        <w:rPr>
          <w:rFonts w:ascii="Times New Roman" w:hAnsi="Times New Roman" w:cs="Times New Roman"/>
          <w:noProof/>
        </w:rPr>
        <w:tab/>
        <w:t>F. Batieha, S. Hamasha, Y. Jaradat, L. Wentlent, A. Qasaimeh, and P. Borgesen, “Challenges for the prediction of solder joint life in long term vibration,” 2015, doi: 10.1109/ECTC.2015.7159804.</w:t>
      </w:r>
    </w:p>
    <w:p w14:paraId="1554D97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[11]</w:t>
      </w:r>
      <w:r w:rsidRPr="00D7303D">
        <w:rPr>
          <w:rFonts w:ascii="Times New Roman" w:hAnsi="Times New Roman" w:cs="Times New Roman"/>
          <w:noProof/>
        </w:rPr>
        <w:tab/>
        <w:t xml:space="preserve">P. Borgesen </w:t>
      </w:r>
      <w:r w:rsidRPr="00D7303D">
        <w:rPr>
          <w:rFonts w:ascii="Times New Roman" w:hAnsi="Times New Roman" w:cs="Times New Roman"/>
          <w:i/>
          <w:iCs/>
          <w:noProof/>
        </w:rPr>
        <w:t>et al.</w:t>
      </w:r>
      <w:r w:rsidRPr="00D7303D">
        <w:rPr>
          <w:rFonts w:ascii="Times New Roman" w:hAnsi="Times New Roman" w:cs="Times New Roman"/>
          <w:noProof/>
        </w:rPr>
        <w:t xml:space="preserve">, “A Mechanistic Thermal Fatigue Model for SnAgCu Solder Joints,” </w:t>
      </w:r>
      <w:r w:rsidRPr="00D7303D">
        <w:rPr>
          <w:rFonts w:ascii="Times New Roman" w:hAnsi="Times New Roman" w:cs="Times New Roman"/>
          <w:i/>
          <w:iCs/>
          <w:noProof/>
        </w:rPr>
        <w:t>J. Electron. Mater.</w:t>
      </w:r>
      <w:r w:rsidRPr="00D7303D">
        <w:rPr>
          <w:rFonts w:ascii="Times New Roman" w:hAnsi="Times New Roman" w:cs="Times New Roman"/>
          <w:noProof/>
        </w:rPr>
        <w:t>, vol. 47, no. 5, pp. 2526–2544, 2018, doi: 10.1007/s11664-018-6121-0.</w:t>
      </w:r>
    </w:p>
    <w:p w14:paraId="73269A1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w:t>
      </w:r>
      <w:r w:rsidRPr="00D7303D">
        <w:rPr>
          <w:rFonts w:ascii="Times New Roman" w:hAnsi="Times New Roman" w:cs="Times New Roman"/>
          <w:noProof/>
        </w:rPr>
        <w:tab/>
        <w:t xml:space="preserve">S. Hamasha and P. Borgesen, “Effects of strain rate and amplitude variations on solder joint fatigue life in isothermal cycling,” </w:t>
      </w:r>
      <w:r w:rsidRPr="00D7303D">
        <w:rPr>
          <w:rFonts w:ascii="Times New Roman" w:hAnsi="Times New Roman" w:cs="Times New Roman"/>
          <w:i/>
          <w:iCs/>
          <w:noProof/>
        </w:rPr>
        <w:t>J. Electron. Packag. Trans. ASME</w:t>
      </w:r>
      <w:r w:rsidRPr="00D7303D">
        <w:rPr>
          <w:rFonts w:ascii="Times New Roman" w:hAnsi="Times New Roman" w:cs="Times New Roman"/>
          <w:noProof/>
        </w:rPr>
        <w:t>, 2016, doi: 10.1115/1.4032881.</w:t>
      </w:r>
    </w:p>
    <w:p w14:paraId="2AF16C1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[13]</w:t>
      </w:r>
      <w:r w:rsidRPr="00D7303D">
        <w:rPr>
          <w:rFonts w:ascii="Times New Roman" w:hAnsi="Times New Roman" w:cs="Times New Roman"/>
          <w:noProof/>
        </w:rPr>
        <w:tab/>
        <w:t xml:space="preserve">S. Hamasha, S. Su, F. Akkara, A. Dawahdeh, P. Borgesen, and A. Qasaimeh, “Solder joint reliability in isothermal varying load cycling,” in </w:t>
      </w:r>
      <w:r w:rsidRPr="00D7303D">
        <w:rPr>
          <w:rFonts w:ascii="Times New Roman" w:hAnsi="Times New Roman" w:cs="Times New Roman"/>
          <w:i/>
          <w:iCs/>
          <w:noProof/>
        </w:rPr>
        <w:t>Proceedings of the 16th InterSociety Conference on Thermal and Thermomechanical Phenomena in Electronic Systems, ITherm 2017</w:t>
      </w:r>
      <w:r w:rsidRPr="00D7303D">
        <w:rPr>
          <w:rFonts w:ascii="Times New Roman" w:hAnsi="Times New Roman" w:cs="Times New Roman"/>
          <w:noProof/>
        </w:rPr>
        <w:t>, 2017, pp. 1331–1336, doi: 10.1109/ITHERM.2017.7992636.</w:t>
      </w:r>
    </w:p>
    <w:p w14:paraId="0ACCC08B" w14:textId="5DE0FB5C"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[14]</w:t>
      </w:r>
      <w:r w:rsidRPr="00D7303D">
        <w:rPr>
          <w:rFonts w:ascii="Times New Roman" w:hAnsi="Times New Roman" w:cs="Times New Roman"/>
          <w:noProof/>
        </w:rPr>
        <w:tab/>
        <w:t>S. Su, M. Jian, F. J. Akkara, S. Hamasha, J. Suhling, and P. Lall, “</w:t>
      </w:r>
      <w:r w:rsidR="001C3944" w:rsidRPr="00D7303D">
        <w:rPr>
          <w:rFonts w:ascii="Times New Roman" w:hAnsi="Times New Roman" w:cs="Times New Roman"/>
          <w:noProof/>
        </w:rPr>
        <w:t xml:space="preserve">Fatigue </w:t>
      </w:r>
      <w:r w:rsidR="001C3944">
        <w:rPr>
          <w:rFonts w:ascii="Times New Roman" w:hAnsi="Times New Roman" w:cs="Times New Roman"/>
          <w:noProof/>
        </w:rPr>
        <w:t>a</w:t>
      </w:r>
      <w:r w:rsidR="001C3944" w:rsidRPr="00D7303D">
        <w:rPr>
          <w:rFonts w:ascii="Times New Roman" w:hAnsi="Times New Roman" w:cs="Times New Roman"/>
          <w:noProof/>
        </w:rPr>
        <w:t xml:space="preserve">nd Shear Properties </w:t>
      </w:r>
      <w:r w:rsidR="001C3944">
        <w:rPr>
          <w:rFonts w:ascii="Times New Roman" w:hAnsi="Times New Roman" w:cs="Times New Roman"/>
          <w:noProof/>
        </w:rPr>
        <w:t>o</w:t>
      </w:r>
      <w:r w:rsidR="001C3944" w:rsidRPr="00D7303D">
        <w:rPr>
          <w:rFonts w:ascii="Times New Roman" w:hAnsi="Times New Roman" w:cs="Times New Roman"/>
          <w:noProof/>
        </w:rPr>
        <w:t xml:space="preserve">f High Reliable Solder Joints </w:t>
      </w:r>
      <w:r w:rsidR="001C3944">
        <w:rPr>
          <w:rFonts w:ascii="Times New Roman" w:hAnsi="Times New Roman" w:cs="Times New Roman"/>
          <w:noProof/>
        </w:rPr>
        <w:t>f</w:t>
      </w:r>
      <w:r w:rsidR="001C3944" w:rsidRPr="00D7303D">
        <w:rPr>
          <w:rFonts w:ascii="Times New Roman" w:hAnsi="Times New Roman" w:cs="Times New Roman"/>
          <w:noProof/>
        </w:rPr>
        <w:t>or Harsh Applications</w:t>
      </w:r>
      <w:r w:rsidRPr="00D7303D">
        <w:rPr>
          <w:rFonts w:ascii="Times New Roman" w:hAnsi="Times New Roman" w:cs="Times New Roman"/>
          <w:noProof/>
        </w:rPr>
        <w:t xml:space="preserve"> Department of Industrial and Systems Engineering Department of Mechanical Engineering,” 2018.</w:t>
      </w:r>
    </w:p>
    <w:p w14:paraId="6C03569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[15]</w:t>
      </w:r>
      <w:r w:rsidRPr="00D7303D">
        <w:rPr>
          <w:rFonts w:ascii="Times New Roman" w:hAnsi="Times New Roman" w:cs="Times New Roman"/>
          <w:noProof/>
        </w:rPr>
        <w:tab/>
        <w:t xml:space="preserve">W. B. Green, “A fatigue-free silicon device structure,” </w:t>
      </w:r>
      <w:r w:rsidRPr="00D7303D">
        <w:rPr>
          <w:rFonts w:ascii="Times New Roman" w:hAnsi="Times New Roman" w:cs="Times New Roman"/>
          <w:i/>
          <w:iCs/>
          <w:noProof/>
        </w:rPr>
        <w:t>Trans. Am. Inst. Electr. Eng. Part I Commun. Electron.</w:t>
      </w:r>
      <w:r w:rsidRPr="00D7303D">
        <w:rPr>
          <w:rFonts w:ascii="Times New Roman" w:hAnsi="Times New Roman" w:cs="Times New Roman"/>
          <w:noProof/>
        </w:rPr>
        <w:t>, vol. 80, no. 2, pp. 186–192, 2013, doi: 10.1109/tce.1961.6373099.</w:t>
      </w:r>
    </w:p>
    <w:p w14:paraId="571D73E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[16]</w:t>
      </w:r>
      <w:r w:rsidRPr="00D7303D">
        <w:rPr>
          <w:rFonts w:ascii="Times New Roman" w:hAnsi="Times New Roman" w:cs="Times New Roman"/>
          <w:noProof/>
        </w:rPr>
        <w:tab/>
        <w:t xml:space="preserve">L. Zhang and K. N. Tu, “Structure and properties of lead-free solders bearing micro and nano particles,” </w:t>
      </w:r>
      <w:r w:rsidRPr="00D7303D">
        <w:rPr>
          <w:rFonts w:ascii="Times New Roman" w:hAnsi="Times New Roman" w:cs="Times New Roman"/>
          <w:i/>
          <w:iCs/>
          <w:noProof/>
        </w:rPr>
        <w:t>Materials Science and Engineering R: Reports</w:t>
      </w:r>
      <w:r w:rsidRPr="00D7303D">
        <w:rPr>
          <w:rFonts w:ascii="Times New Roman" w:hAnsi="Times New Roman" w:cs="Times New Roman"/>
          <w:noProof/>
        </w:rPr>
        <w:t>. 2014, doi: 10.1016/j.mser.2014.06.001.</w:t>
      </w:r>
    </w:p>
    <w:p w14:paraId="1FF48D2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[17]</w:t>
      </w:r>
      <w:r w:rsidRPr="00D7303D">
        <w:rPr>
          <w:rFonts w:ascii="Times New Roman" w:hAnsi="Times New Roman" w:cs="Times New Roman"/>
          <w:noProof/>
        </w:rPr>
        <w:tab/>
        <w:t xml:space="preserve">K. Kanlayasiri and K. Sukpimai, “Effects of indium on the intermetallic layer between low-Ag SAC0307-xIn lead-free solders and Cu substrate,” </w:t>
      </w:r>
      <w:r w:rsidRPr="00D7303D">
        <w:rPr>
          <w:rFonts w:ascii="Times New Roman" w:hAnsi="Times New Roman" w:cs="Times New Roman"/>
          <w:i/>
          <w:iCs/>
          <w:noProof/>
        </w:rPr>
        <w:t>J. Alloys Compd.</w:t>
      </w:r>
      <w:r w:rsidRPr="00D7303D">
        <w:rPr>
          <w:rFonts w:ascii="Times New Roman" w:hAnsi="Times New Roman" w:cs="Times New Roman"/>
          <w:noProof/>
        </w:rPr>
        <w:t>, 2016, doi: 10.1016/j.jallcom.2016.01.231.</w:t>
      </w:r>
    </w:p>
    <w:p w14:paraId="03D722E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[18]</w:t>
      </w:r>
      <w:r w:rsidRPr="00D7303D">
        <w:rPr>
          <w:rFonts w:ascii="Times New Roman" w:hAnsi="Times New Roman" w:cs="Times New Roman"/>
          <w:noProof/>
        </w:rPr>
        <w:tab/>
        <w:t xml:space="preserve">R. J. Coyle, K. Sweatman, and B. Arfaei, “Thermal Fatigue Evaluation of Pb-Free Solder Joints: Results, Lessons Learned, and Future Trends,” </w:t>
      </w:r>
      <w:r w:rsidRPr="00D7303D">
        <w:rPr>
          <w:rFonts w:ascii="Times New Roman" w:hAnsi="Times New Roman" w:cs="Times New Roman"/>
          <w:i/>
          <w:iCs/>
          <w:noProof/>
        </w:rPr>
        <w:t>JOM</w:t>
      </w:r>
      <w:r w:rsidRPr="00D7303D">
        <w:rPr>
          <w:rFonts w:ascii="Times New Roman" w:hAnsi="Times New Roman" w:cs="Times New Roman"/>
          <w:noProof/>
        </w:rPr>
        <w:t>, vol. 67, no. 10, pp. 2394–2415, 2015, doi: 10.1007/s11837-015-1595-1.</w:t>
      </w:r>
    </w:p>
    <w:p w14:paraId="6F61B6D3" w14:textId="6BCECCA9"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[19]</w:t>
      </w:r>
      <w:r w:rsidRPr="00D7303D">
        <w:rPr>
          <w:rFonts w:ascii="Times New Roman" w:hAnsi="Times New Roman" w:cs="Times New Roman"/>
          <w:noProof/>
        </w:rPr>
        <w:tab/>
        <w:t xml:space="preserve">R. Schueller </w:t>
      </w:r>
      <w:r w:rsidRPr="00D7303D">
        <w:rPr>
          <w:rFonts w:ascii="Times New Roman" w:hAnsi="Times New Roman" w:cs="Times New Roman"/>
          <w:i/>
          <w:iCs/>
          <w:noProof/>
        </w:rPr>
        <w:t>et al.</w:t>
      </w:r>
      <w:r w:rsidRPr="00D7303D">
        <w:rPr>
          <w:rFonts w:ascii="Times New Roman" w:hAnsi="Times New Roman" w:cs="Times New Roman"/>
          <w:noProof/>
        </w:rPr>
        <w:t>, “</w:t>
      </w:r>
      <w:r w:rsidR="00527A40" w:rsidRPr="00D7303D">
        <w:rPr>
          <w:rFonts w:ascii="Times New Roman" w:hAnsi="Times New Roman" w:cs="Times New Roman"/>
          <w:noProof/>
        </w:rPr>
        <w:t>Second Generation Pb-</w:t>
      </w:r>
      <w:r w:rsidR="00527A40">
        <w:rPr>
          <w:rFonts w:ascii="Times New Roman" w:hAnsi="Times New Roman" w:cs="Times New Roman"/>
          <w:noProof/>
        </w:rPr>
        <w:t>f</w:t>
      </w:r>
      <w:r w:rsidR="00527A40" w:rsidRPr="00D7303D">
        <w:rPr>
          <w:rFonts w:ascii="Times New Roman" w:hAnsi="Times New Roman" w:cs="Times New Roman"/>
          <w:noProof/>
        </w:rPr>
        <w:t>ree Alloys,</w:t>
      </w:r>
      <w:r w:rsidRPr="00D7303D">
        <w:rPr>
          <w:rFonts w:ascii="Times New Roman" w:hAnsi="Times New Roman" w:cs="Times New Roman"/>
          <w:noProof/>
        </w:rPr>
        <w:t>” 2003.</w:t>
      </w:r>
    </w:p>
    <w:p w14:paraId="12AFB97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[20]</w:t>
      </w:r>
      <w:r w:rsidRPr="00D7303D">
        <w:rPr>
          <w:rFonts w:ascii="Times New Roman" w:hAnsi="Times New Roman" w:cs="Times New Roman"/>
          <w:noProof/>
        </w:rPr>
        <w:tab/>
        <w:t>W. J. Plumbridge, “Second generation lead-free solder alloys - A challenge to thermodynamics,” 2005, doi: 10.1007/s00706-005-0377-9.</w:t>
      </w:r>
    </w:p>
    <w:p w14:paraId="7A6B953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[21]</w:t>
      </w:r>
      <w:r w:rsidRPr="00D7303D">
        <w:rPr>
          <w:rFonts w:ascii="Times New Roman" w:hAnsi="Times New Roman" w:cs="Times New Roman"/>
          <w:noProof/>
        </w:rPr>
        <w:tab/>
        <w:t xml:space="preserve">F. Ji, S. Xue, L. Zhang, L. Gao, Z. Sheng, and W. Dai, “Reliability evaluation of QFN devices soldered joints with creep model,” </w:t>
      </w:r>
      <w:r w:rsidRPr="00D7303D">
        <w:rPr>
          <w:rFonts w:ascii="Times New Roman" w:hAnsi="Times New Roman" w:cs="Times New Roman"/>
          <w:i/>
          <w:iCs/>
          <w:noProof/>
        </w:rPr>
        <w:t>Chinese J. Mech. Eng. (English Ed.</w:t>
      </w:r>
      <w:r w:rsidRPr="00D7303D">
        <w:rPr>
          <w:rFonts w:ascii="Times New Roman" w:hAnsi="Times New Roman" w:cs="Times New Roman"/>
          <w:noProof/>
        </w:rPr>
        <w:t>, 2011, doi: 10.3901/CJME.2011.03.428.</w:t>
      </w:r>
    </w:p>
    <w:p w14:paraId="0C47A67D"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[22]</w:t>
      </w:r>
      <w:r w:rsidRPr="00D7303D">
        <w:rPr>
          <w:rFonts w:ascii="Times New Roman" w:hAnsi="Times New Roman" w:cs="Times New Roman"/>
          <w:noProof/>
        </w:rPr>
        <w:tab/>
        <w:t xml:space="preserve">L. Sun, L. Zhang, S. juan Zhong, J. Ma, and L. Bao, “Reliability study of industry Sn3.0Ag0.5Cu/Cu lead-free soldered joints in electronic packaging,” </w:t>
      </w:r>
      <w:r w:rsidRPr="00D7303D">
        <w:rPr>
          <w:rFonts w:ascii="Times New Roman" w:hAnsi="Times New Roman" w:cs="Times New Roman"/>
          <w:i/>
          <w:iCs/>
          <w:noProof/>
        </w:rPr>
        <w:t>J. Mater. Sci. Mater. Electron.</w:t>
      </w:r>
      <w:r w:rsidRPr="00D7303D">
        <w:rPr>
          <w:rFonts w:ascii="Times New Roman" w:hAnsi="Times New Roman" w:cs="Times New Roman"/>
          <w:noProof/>
        </w:rPr>
        <w:t>, vol. 26, no. 11, pp. 9164–9170, 2015, doi: 10.1007/s10854-015-3606-y.</w:t>
      </w:r>
    </w:p>
    <w:p w14:paraId="33CABEA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[23]</w:t>
      </w:r>
      <w:r w:rsidRPr="00D7303D">
        <w:rPr>
          <w:rFonts w:ascii="Times New Roman" w:hAnsi="Times New Roman" w:cs="Times New Roman"/>
          <w:noProof/>
        </w:rPr>
        <w:tab/>
        <w:t xml:space="preserve">J. S. Hwang and R. M. Vargas, “Solder joint reliability—can solder creep?,” </w:t>
      </w:r>
      <w:r w:rsidRPr="00D7303D">
        <w:rPr>
          <w:rFonts w:ascii="Times New Roman" w:hAnsi="Times New Roman" w:cs="Times New Roman"/>
          <w:i/>
          <w:iCs/>
          <w:noProof/>
        </w:rPr>
        <w:t xml:space="preserve">Solder. Surf. Mt. </w:t>
      </w:r>
      <w:r w:rsidRPr="00D7303D">
        <w:rPr>
          <w:rFonts w:ascii="Times New Roman" w:hAnsi="Times New Roman" w:cs="Times New Roman"/>
          <w:i/>
          <w:iCs/>
          <w:noProof/>
        </w:rPr>
        <w:lastRenderedPageBreak/>
        <w:t>Technol.</w:t>
      </w:r>
      <w:r w:rsidRPr="00D7303D">
        <w:rPr>
          <w:rFonts w:ascii="Times New Roman" w:hAnsi="Times New Roman" w:cs="Times New Roman"/>
          <w:noProof/>
        </w:rPr>
        <w:t>, vol. 2, no. 2, pp. 38–45, 1990, doi: 10.1108/eb037718.</w:t>
      </w:r>
    </w:p>
    <w:p w14:paraId="04021F0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[24]</w:t>
      </w:r>
      <w:r w:rsidRPr="00D7303D">
        <w:rPr>
          <w:rFonts w:ascii="Times New Roman" w:hAnsi="Times New Roman" w:cs="Times New Roman"/>
          <w:noProof/>
        </w:rPr>
        <w:tab/>
        <w:t xml:space="preserve">A. Syed, “Accumulated creep strain and energy density based thermal fatigue life prediction models for SnAgCu solder joints,” </w:t>
      </w:r>
      <w:r w:rsidRPr="00D7303D">
        <w:rPr>
          <w:rFonts w:ascii="Times New Roman" w:hAnsi="Times New Roman" w:cs="Times New Roman"/>
          <w:i/>
          <w:iCs/>
          <w:noProof/>
        </w:rPr>
        <w:t>2004 Proceedings. 54th Electron. Components Technol. Conf. (IEEE Cat. No.04CH37546)</w:t>
      </w:r>
      <w:r w:rsidRPr="00D7303D">
        <w:rPr>
          <w:rFonts w:ascii="Times New Roman" w:hAnsi="Times New Roman" w:cs="Times New Roman"/>
          <w:noProof/>
        </w:rPr>
        <w:t>, no. February, pp. 737–746, 2016, doi: 10.1109/ECTC.2004.1319419.</w:t>
      </w:r>
    </w:p>
    <w:p w14:paraId="606D5F7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[25]</w:t>
      </w:r>
      <w:r w:rsidRPr="00D7303D">
        <w:rPr>
          <w:rFonts w:ascii="Times New Roman" w:hAnsi="Times New Roman" w:cs="Times New Roman"/>
          <w:noProof/>
        </w:rPr>
        <w:tab/>
        <w:t xml:space="preserve">M. T. Zarmai, N. N. Ekere, C. F. Oduoza, and E. H. Amalu, “Evaluation of thermo-mechanical damage and fatigue life of solar cell solder interconnections,” </w:t>
      </w:r>
      <w:r w:rsidRPr="00D7303D">
        <w:rPr>
          <w:rFonts w:ascii="Times New Roman" w:hAnsi="Times New Roman" w:cs="Times New Roman"/>
          <w:i/>
          <w:iCs/>
          <w:noProof/>
        </w:rPr>
        <w:t>Robot. Comput. Integr. Manuf.</w:t>
      </w:r>
      <w:r w:rsidRPr="00D7303D">
        <w:rPr>
          <w:rFonts w:ascii="Times New Roman" w:hAnsi="Times New Roman" w:cs="Times New Roman"/>
          <w:noProof/>
        </w:rPr>
        <w:t>, vol. 47, no. December 2015, pp. 37–43, 2017, doi: 10.1016/j.rcim.2016.12.008.</w:t>
      </w:r>
    </w:p>
    <w:p w14:paraId="5EF4C8E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[26]</w:t>
      </w:r>
      <w:r w:rsidRPr="00D7303D">
        <w:rPr>
          <w:rFonts w:ascii="Times New Roman" w:hAnsi="Times New Roman" w:cs="Times New Roman"/>
          <w:noProof/>
        </w:rPr>
        <w:tab/>
        <w:t xml:space="preserve">J. a. Depiver, S. Mallik, and D. Harmanto, “Solder joint failures under thermo-mechanical loading conditions–A review,” </w:t>
      </w:r>
      <w:r w:rsidRPr="00D7303D">
        <w:rPr>
          <w:rFonts w:ascii="Times New Roman" w:hAnsi="Times New Roman" w:cs="Times New Roman"/>
          <w:i/>
          <w:iCs/>
          <w:noProof/>
        </w:rPr>
        <w:t>Advances in Materials and Processing Technologies</w:t>
      </w:r>
      <w:r w:rsidRPr="00D7303D">
        <w:rPr>
          <w:rFonts w:ascii="Times New Roman" w:hAnsi="Times New Roman" w:cs="Times New Roman"/>
          <w:noProof/>
        </w:rPr>
        <w:t>. 2020, doi: 10.1080/2374068X.2020.1751514.</w:t>
      </w:r>
    </w:p>
    <w:p w14:paraId="6FCC09E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[27]</w:t>
      </w:r>
      <w:r w:rsidRPr="00D7303D">
        <w:rPr>
          <w:rFonts w:ascii="Times New Roman" w:hAnsi="Times New Roman" w:cs="Times New Roman"/>
          <w:noProof/>
        </w:rPr>
        <w:tab/>
        <w:t xml:space="preserve">J. A. Depiver, S. Mallik, and E. H. Amalu, “Creep Response of Various Solders used in Soldering Ball Grid Array ( BGA ) on Printed,” </w:t>
      </w:r>
      <w:r w:rsidRPr="00D7303D">
        <w:rPr>
          <w:rFonts w:ascii="Times New Roman" w:hAnsi="Times New Roman" w:cs="Times New Roman"/>
          <w:i/>
          <w:iCs/>
          <w:noProof/>
        </w:rPr>
        <w:t>IAENG</w:t>
      </w:r>
      <w:r w:rsidRPr="00D7303D">
        <w:rPr>
          <w:rFonts w:ascii="Times New Roman" w:hAnsi="Times New Roman" w:cs="Times New Roman"/>
          <w:noProof/>
        </w:rPr>
        <w:t>, vol. 0958, 2019.</w:t>
      </w:r>
    </w:p>
    <w:p w14:paraId="01A3CCE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[28]</w:t>
      </w:r>
      <w:r w:rsidRPr="00D7303D">
        <w:rPr>
          <w:rFonts w:ascii="Times New Roman" w:hAnsi="Times New Roman" w:cs="Times New Roman"/>
          <w:noProof/>
        </w:rPr>
        <w:tab/>
        <w:t xml:space="preserve">J. Depiver, S. Mallik, and D. Harmanto, “Creep Damage of BGA Solder Interconnects Subjected to Thermal Cycling and Isothermal Ageing Creep Damage of BGA Solder Interconnects Subjected to Thermal Cycling and Isothermal Ageing,” </w:t>
      </w:r>
      <w:r w:rsidRPr="00D7303D">
        <w:rPr>
          <w:rFonts w:ascii="Times New Roman" w:hAnsi="Times New Roman" w:cs="Times New Roman"/>
          <w:i/>
          <w:iCs/>
          <w:noProof/>
        </w:rPr>
        <w:t>Electron. Packag. Technol. Conf. IEEE</w:t>
      </w:r>
      <w:r w:rsidRPr="00D7303D">
        <w:rPr>
          <w:rFonts w:ascii="Times New Roman" w:hAnsi="Times New Roman" w:cs="Times New Roman"/>
          <w:noProof/>
        </w:rPr>
        <w:t>, no. December, 2019.</w:t>
      </w:r>
    </w:p>
    <w:p w14:paraId="03F8EE4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[29]</w:t>
      </w:r>
      <w:r w:rsidRPr="00D7303D">
        <w:rPr>
          <w:rFonts w:ascii="Times New Roman" w:hAnsi="Times New Roman" w:cs="Times New Roman"/>
          <w:noProof/>
        </w:rPr>
        <w:tab/>
        <w:t xml:space="preserve">P. Chauhan, M. Osterman, S. W. R. Lee, and M. Pecht, “Critical review of the engelmaier model for solder joint creep fatigue reliability,” </w:t>
      </w:r>
      <w:r w:rsidRPr="00D7303D">
        <w:rPr>
          <w:rFonts w:ascii="Times New Roman" w:hAnsi="Times New Roman" w:cs="Times New Roman"/>
          <w:i/>
          <w:iCs/>
          <w:noProof/>
        </w:rPr>
        <w:t>IEEE Transactions on Components and Packaging Technologies</w:t>
      </w:r>
      <w:r w:rsidRPr="00D7303D">
        <w:rPr>
          <w:rFonts w:ascii="Times New Roman" w:hAnsi="Times New Roman" w:cs="Times New Roman"/>
          <w:noProof/>
        </w:rPr>
        <w:t>. 2009, doi: 10.1109/TCAPT.2009.2030983.</w:t>
      </w:r>
    </w:p>
    <w:p w14:paraId="7FD9AEE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[30]</w:t>
      </w:r>
      <w:r w:rsidRPr="00D7303D">
        <w:rPr>
          <w:rFonts w:ascii="Times New Roman" w:hAnsi="Times New Roman" w:cs="Times New Roman"/>
          <w:noProof/>
        </w:rPr>
        <w:tab/>
        <w:t xml:space="preserve">W. Engelmaier and A. I. Attarwala, “Surface-Mount Attachment Reliability of Clip-Leaded Ceramic Chip Carriers on FR-4 Circuit Boards,” </w:t>
      </w:r>
      <w:r w:rsidRPr="00D7303D">
        <w:rPr>
          <w:rFonts w:ascii="Times New Roman" w:hAnsi="Times New Roman" w:cs="Times New Roman"/>
          <w:i/>
          <w:iCs/>
          <w:noProof/>
        </w:rPr>
        <w:t>IEEE Trans. Components, Hybrids, Manuf. Technol.</w:t>
      </w:r>
      <w:r w:rsidRPr="00D7303D">
        <w:rPr>
          <w:rFonts w:ascii="Times New Roman" w:hAnsi="Times New Roman" w:cs="Times New Roman"/>
          <w:noProof/>
        </w:rPr>
        <w:t>, 1989, doi: 10.1109/33.31435.</w:t>
      </w:r>
    </w:p>
    <w:p w14:paraId="5D18819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[31]</w:t>
      </w:r>
      <w:r w:rsidRPr="00D7303D">
        <w:rPr>
          <w:rFonts w:ascii="Times New Roman" w:hAnsi="Times New Roman" w:cs="Times New Roman"/>
          <w:noProof/>
        </w:rPr>
        <w:tab/>
        <w:t>W. Engelmaier, “Solder joints in electronics: Design for Reliability,” 1997.</w:t>
      </w:r>
    </w:p>
    <w:p w14:paraId="1031319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[32]</w:t>
      </w:r>
      <w:r w:rsidRPr="00D7303D">
        <w:rPr>
          <w:rFonts w:ascii="Times New Roman" w:hAnsi="Times New Roman" w:cs="Times New Roman"/>
          <w:noProof/>
        </w:rPr>
        <w:tab/>
        <w:t xml:space="preserve">W. Engelmaier and L. J. Turbini, “Design for reliability in advanced electronic packaging,” </w:t>
      </w:r>
      <w:r w:rsidRPr="00D7303D">
        <w:rPr>
          <w:rFonts w:ascii="Times New Roman" w:hAnsi="Times New Roman" w:cs="Times New Roman"/>
          <w:i/>
          <w:iCs/>
          <w:noProof/>
        </w:rPr>
        <w:t>SMI Surf. Mt. Int. Adv. Electron. Manufactuting Technol. Proc. Tech. ProgramSMI Surf. Mt. Int. Adv. Electron. Manufactuting Technol. Proc. Tech. Progr.</w:t>
      </w:r>
      <w:r w:rsidRPr="00D7303D">
        <w:rPr>
          <w:rFonts w:ascii="Times New Roman" w:hAnsi="Times New Roman" w:cs="Times New Roman"/>
          <w:noProof/>
        </w:rPr>
        <w:t>, 1995.</w:t>
      </w:r>
    </w:p>
    <w:p w14:paraId="4A48214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[33]</w:t>
      </w:r>
      <w:r w:rsidRPr="00D7303D">
        <w:rPr>
          <w:rFonts w:ascii="Times New Roman" w:hAnsi="Times New Roman" w:cs="Times New Roman"/>
          <w:noProof/>
        </w:rPr>
        <w:tab/>
        <w:t xml:space="preserve">W. Engelmaier, “RELIABILITY TEST.,” </w:t>
      </w:r>
      <w:r w:rsidRPr="00D7303D">
        <w:rPr>
          <w:rFonts w:ascii="Times New Roman" w:hAnsi="Times New Roman" w:cs="Times New Roman"/>
          <w:i/>
          <w:iCs/>
          <w:noProof/>
        </w:rPr>
        <w:t>Circuits Manuf.</w:t>
      </w:r>
      <w:r w:rsidRPr="00D7303D">
        <w:rPr>
          <w:rFonts w:ascii="Times New Roman" w:hAnsi="Times New Roman" w:cs="Times New Roman"/>
          <w:noProof/>
        </w:rPr>
        <w:t>, 1988, doi: 10.1007/978-94-011-1928-3_9.</w:t>
      </w:r>
    </w:p>
    <w:p w14:paraId="4C30ABA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[34]</w:t>
      </w:r>
      <w:r w:rsidRPr="00D7303D">
        <w:rPr>
          <w:rFonts w:ascii="Times New Roman" w:hAnsi="Times New Roman" w:cs="Times New Roman"/>
          <w:noProof/>
        </w:rPr>
        <w:tab/>
        <w:t xml:space="preserve">Q. Guo, M. Zhao, and H. Wang, “SMT solder joint’s semi-experimental fatigue model,” </w:t>
      </w:r>
      <w:r w:rsidRPr="00D7303D">
        <w:rPr>
          <w:rFonts w:ascii="Times New Roman" w:hAnsi="Times New Roman" w:cs="Times New Roman"/>
          <w:i/>
          <w:iCs/>
          <w:noProof/>
        </w:rPr>
        <w:t>Mech. Res. Commun.</w:t>
      </w:r>
      <w:r w:rsidRPr="00D7303D">
        <w:rPr>
          <w:rFonts w:ascii="Times New Roman" w:hAnsi="Times New Roman" w:cs="Times New Roman"/>
          <w:noProof/>
        </w:rPr>
        <w:t>, 2005, doi: 10.1016/j.mechrescom.2004.03.011.</w:t>
      </w:r>
    </w:p>
    <w:p w14:paraId="02370FB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[35]</w:t>
      </w:r>
      <w:r w:rsidRPr="00D7303D">
        <w:rPr>
          <w:rFonts w:ascii="Times New Roman" w:hAnsi="Times New Roman" w:cs="Times New Roman"/>
          <w:noProof/>
        </w:rPr>
        <w:tab/>
        <w:t xml:space="preserve">C. Andersson </w:t>
      </w:r>
      <w:r w:rsidRPr="00D7303D">
        <w:rPr>
          <w:rFonts w:ascii="Times New Roman" w:hAnsi="Times New Roman" w:cs="Times New Roman"/>
          <w:i/>
          <w:iCs/>
          <w:noProof/>
        </w:rPr>
        <w:t>et al.</w:t>
      </w:r>
      <w:r w:rsidRPr="00D7303D">
        <w:rPr>
          <w:rFonts w:ascii="Times New Roman" w:hAnsi="Times New Roman" w:cs="Times New Roman"/>
          <w:noProof/>
        </w:rPr>
        <w:t xml:space="preserve">, “Thermal cycling of lead-free Sn-3.8Ag-0.7Cu 388PBGA packages,” </w:t>
      </w:r>
      <w:r w:rsidRPr="00D7303D">
        <w:rPr>
          <w:rFonts w:ascii="Times New Roman" w:hAnsi="Times New Roman" w:cs="Times New Roman"/>
          <w:i/>
          <w:iCs/>
          <w:noProof/>
        </w:rPr>
        <w:t>Solder. Surf. Mt. Technol.</w:t>
      </w:r>
      <w:r w:rsidRPr="00D7303D">
        <w:rPr>
          <w:rFonts w:ascii="Times New Roman" w:hAnsi="Times New Roman" w:cs="Times New Roman"/>
          <w:noProof/>
        </w:rPr>
        <w:t>, 2009, doi: 10.1108/09540910910947453.</w:t>
      </w:r>
    </w:p>
    <w:p w14:paraId="1562FA0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[36]</w:t>
      </w:r>
      <w:r w:rsidRPr="00D7303D">
        <w:rPr>
          <w:rFonts w:ascii="Times New Roman" w:hAnsi="Times New Roman" w:cs="Times New Roman"/>
          <w:noProof/>
        </w:rPr>
        <w:tab/>
        <w:t xml:space="preserve">B. Vandevelde, M. Gonzalez, P. Limaye, P. Ratchev, and E. Beyne, “Thermal cycling reliability of SnAgCu and SnPb solder joints: A comparison for several IC-packages,” </w:t>
      </w:r>
      <w:r w:rsidRPr="00D7303D">
        <w:rPr>
          <w:rFonts w:ascii="Times New Roman" w:hAnsi="Times New Roman" w:cs="Times New Roman"/>
          <w:i/>
          <w:iCs/>
          <w:noProof/>
        </w:rPr>
        <w:t>Microelectron. Reliab.</w:t>
      </w:r>
      <w:r w:rsidRPr="00D7303D">
        <w:rPr>
          <w:rFonts w:ascii="Times New Roman" w:hAnsi="Times New Roman" w:cs="Times New Roman"/>
          <w:noProof/>
        </w:rPr>
        <w:t>, 2007, doi: 10.1016/j.microrel.2006.09.034.</w:t>
      </w:r>
    </w:p>
    <w:p w14:paraId="111FE0B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[37]</w:t>
      </w:r>
      <w:r w:rsidRPr="00D7303D">
        <w:rPr>
          <w:rFonts w:ascii="Times New Roman" w:hAnsi="Times New Roman" w:cs="Times New Roman"/>
          <w:noProof/>
        </w:rPr>
        <w:tab/>
        <w:t xml:space="preserve">M. Gonzalez, B. Vandevelde, J. Vanfleteren, and D. Manessis, “Thermo-mechanical FEM analysis of lead free and lead containing solder for flip chip applications,” in </w:t>
      </w:r>
      <w:r w:rsidRPr="00D7303D">
        <w:rPr>
          <w:rFonts w:ascii="Times New Roman" w:hAnsi="Times New Roman" w:cs="Times New Roman"/>
          <w:i/>
          <w:iCs/>
          <w:noProof/>
        </w:rPr>
        <w:t>15th European Microelectronics and Packaging Conference and Exhibition, EMPC 2005 - Conference Programme and Proceedings</w:t>
      </w:r>
      <w:r w:rsidRPr="00D7303D">
        <w:rPr>
          <w:rFonts w:ascii="Times New Roman" w:hAnsi="Times New Roman" w:cs="Times New Roman"/>
          <w:noProof/>
        </w:rPr>
        <w:t>, 2005, no. May 2014, pp. 440–445.</w:t>
      </w:r>
    </w:p>
    <w:p w14:paraId="0EFD10C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[38]</w:t>
      </w:r>
      <w:r w:rsidRPr="00D7303D">
        <w:rPr>
          <w:rFonts w:ascii="Times New Roman" w:hAnsi="Times New Roman" w:cs="Times New Roman"/>
          <w:noProof/>
        </w:rPr>
        <w:tab/>
        <w:t xml:space="preserve">L. Zhang, J. G. Han, Y. Guo, and C. W. He, “Anand model and FEM analysis of SnAgCuZn lead-free solder joints in wafer level chip scale packaging devices,” </w:t>
      </w:r>
      <w:r w:rsidRPr="00D7303D">
        <w:rPr>
          <w:rFonts w:ascii="Times New Roman" w:hAnsi="Times New Roman" w:cs="Times New Roman"/>
          <w:i/>
          <w:iCs/>
          <w:noProof/>
        </w:rPr>
        <w:t>Microelectron. Reliab.</w:t>
      </w:r>
      <w:r w:rsidRPr="00D7303D">
        <w:rPr>
          <w:rFonts w:ascii="Times New Roman" w:hAnsi="Times New Roman" w:cs="Times New Roman"/>
          <w:noProof/>
        </w:rPr>
        <w:t>, 2014, doi: 10.1016/j.microrel.2013.07.100.</w:t>
      </w:r>
    </w:p>
    <w:p w14:paraId="1D7A11B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[39]</w:t>
      </w:r>
      <w:r w:rsidRPr="00D7303D">
        <w:rPr>
          <w:rFonts w:ascii="Times New Roman" w:hAnsi="Times New Roman" w:cs="Times New Roman"/>
          <w:noProof/>
        </w:rPr>
        <w:tab/>
        <w:t xml:space="preserve">R. Al Athamneh, D. B. Hani, H. Ali, and S. Hamasha, “Fatigue Life Degradation Modeling of SnAgCu Solder Joints after Aging,” </w:t>
      </w:r>
      <w:r w:rsidRPr="00D7303D">
        <w:rPr>
          <w:rFonts w:ascii="Times New Roman" w:hAnsi="Times New Roman" w:cs="Times New Roman"/>
          <w:i/>
          <w:iCs/>
          <w:noProof/>
        </w:rPr>
        <w:t>IEEE Trans. Components, Packag. Manuf. Technol.</w:t>
      </w:r>
      <w:r w:rsidRPr="00D7303D">
        <w:rPr>
          <w:rFonts w:ascii="Times New Roman" w:hAnsi="Times New Roman" w:cs="Times New Roman"/>
          <w:noProof/>
        </w:rPr>
        <w:t>, 2020, doi: 10.1109/TCPMT.2020.3000355.</w:t>
      </w:r>
    </w:p>
    <w:p w14:paraId="6F0573E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[40]</w:t>
      </w:r>
      <w:r w:rsidRPr="00D7303D">
        <w:rPr>
          <w:rFonts w:ascii="Times New Roman" w:hAnsi="Times New Roman" w:cs="Times New Roman"/>
          <w:noProof/>
        </w:rPr>
        <w:tab/>
        <w:t xml:space="preserve">R. C. Weinbel, J. K. Tien, R. A. Pollak, and S. K. Kang, “Creep-fatigue interaction in eutectic lead-tin solder alloy,” </w:t>
      </w:r>
      <w:r w:rsidRPr="00D7303D">
        <w:rPr>
          <w:rFonts w:ascii="Times New Roman" w:hAnsi="Times New Roman" w:cs="Times New Roman"/>
          <w:i/>
          <w:iCs/>
          <w:noProof/>
        </w:rPr>
        <w:t>J. Mater. Sci.</w:t>
      </w:r>
      <w:r w:rsidRPr="00D7303D">
        <w:rPr>
          <w:rFonts w:ascii="Times New Roman" w:hAnsi="Times New Roman" w:cs="Times New Roman"/>
          <w:noProof/>
        </w:rPr>
        <w:t>, 1987, doi: 10.1007/BF01133338.</w:t>
      </w:r>
    </w:p>
    <w:p w14:paraId="3F3BBB5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[41]</w:t>
      </w:r>
      <w:r w:rsidRPr="00D7303D">
        <w:rPr>
          <w:rFonts w:ascii="Times New Roman" w:hAnsi="Times New Roman" w:cs="Times New Roman"/>
          <w:noProof/>
        </w:rPr>
        <w:tab/>
        <w:t xml:space="preserve">R. Darveaux and K. Banerji, “Constitutive Relations for Tin-Based Solder Joints,” </w:t>
      </w:r>
      <w:r w:rsidRPr="00D7303D">
        <w:rPr>
          <w:rFonts w:ascii="Times New Roman" w:hAnsi="Times New Roman" w:cs="Times New Roman"/>
          <w:i/>
          <w:iCs/>
          <w:noProof/>
        </w:rPr>
        <w:t>IEEE Trans. Components, Hybrids, Manuf. Technol.</w:t>
      </w:r>
      <w:r w:rsidRPr="00D7303D">
        <w:rPr>
          <w:rFonts w:ascii="Times New Roman" w:hAnsi="Times New Roman" w:cs="Times New Roman"/>
          <w:noProof/>
        </w:rPr>
        <w:t>, 1992, doi: 10.1109/33.206925.</w:t>
      </w:r>
    </w:p>
    <w:p w14:paraId="718E8D0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[42]</w:t>
      </w:r>
      <w:r w:rsidRPr="00D7303D">
        <w:rPr>
          <w:rFonts w:ascii="Times New Roman" w:hAnsi="Times New Roman" w:cs="Times New Roman"/>
          <w:noProof/>
        </w:rPr>
        <w:tab/>
        <w:t xml:space="preserve">Z. N. Cheng, G. Z. Wang, L. Chen, J. Wilde, and K. Becker, “Viscoelastic tensile and shear properties of the 62wt%Sn-36wt%Pb-2wt%Ag solder alloy,” </w:t>
      </w:r>
      <w:r w:rsidRPr="00D7303D">
        <w:rPr>
          <w:rFonts w:ascii="Times New Roman" w:hAnsi="Times New Roman" w:cs="Times New Roman"/>
          <w:i/>
          <w:iCs/>
          <w:noProof/>
        </w:rPr>
        <w:t>Solder. Surf. Mt. Technol.</w:t>
      </w:r>
      <w:r w:rsidRPr="00D7303D">
        <w:rPr>
          <w:rFonts w:ascii="Times New Roman" w:hAnsi="Times New Roman" w:cs="Times New Roman"/>
          <w:noProof/>
        </w:rPr>
        <w:t>, vol. 12, no. 2, pp. 31–36, 2000.</w:t>
      </w:r>
    </w:p>
    <w:p w14:paraId="04C668D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[43]</w:t>
      </w:r>
      <w:r w:rsidRPr="00D7303D">
        <w:rPr>
          <w:rFonts w:ascii="Times New Roman" w:hAnsi="Times New Roman" w:cs="Times New Roman"/>
          <w:noProof/>
        </w:rPr>
        <w:tab/>
        <w:t xml:space="preserve">S. Knecht and L. R. Fox, “Constitutive Relation and Creep-Fatigue Life Model for Eutectic Tin-Lead Solder,” </w:t>
      </w:r>
      <w:r w:rsidRPr="00D7303D">
        <w:rPr>
          <w:rFonts w:ascii="Times New Roman" w:hAnsi="Times New Roman" w:cs="Times New Roman"/>
          <w:i/>
          <w:iCs/>
          <w:noProof/>
        </w:rPr>
        <w:t>IEEE Trans. Components, Hybrids, Manuf. Technol.</w:t>
      </w:r>
      <w:r w:rsidRPr="00D7303D">
        <w:rPr>
          <w:rFonts w:ascii="Times New Roman" w:hAnsi="Times New Roman" w:cs="Times New Roman"/>
          <w:noProof/>
        </w:rPr>
        <w:t>, 1990, doi: 10.1109/33.56179.</w:t>
      </w:r>
    </w:p>
    <w:p w14:paraId="4AB0EBA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[44]</w:t>
      </w:r>
      <w:r w:rsidRPr="00D7303D">
        <w:rPr>
          <w:rFonts w:ascii="Times New Roman" w:hAnsi="Times New Roman" w:cs="Times New Roman"/>
          <w:noProof/>
        </w:rPr>
        <w:tab/>
        <w:t xml:space="preserve">V. Sarihan, “Temperature dependent viscoplastic simulation of controlled collapse solder joint under thermal cycling,” </w:t>
      </w:r>
      <w:r w:rsidRPr="00D7303D">
        <w:rPr>
          <w:rFonts w:ascii="Times New Roman" w:hAnsi="Times New Roman" w:cs="Times New Roman"/>
          <w:i/>
          <w:iCs/>
          <w:noProof/>
        </w:rPr>
        <w:t>J. Electron. Packag. Trans. ASME</w:t>
      </w:r>
      <w:r w:rsidRPr="00D7303D">
        <w:rPr>
          <w:rFonts w:ascii="Times New Roman" w:hAnsi="Times New Roman" w:cs="Times New Roman"/>
          <w:noProof/>
        </w:rPr>
        <w:t>, 1993, doi: 10.1115/1.2909295.</w:t>
      </w:r>
    </w:p>
    <w:p w14:paraId="004C4C1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[45]</w:t>
      </w:r>
      <w:r w:rsidRPr="00D7303D">
        <w:rPr>
          <w:rFonts w:ascii="Times New Roman" w:hAnsi="Times New Roman" w:cs="Times New Roman"/>
          <w:noProof/>
        </w:rPr>
        <w:tab/>
        <w:t>V. Sarihan, “Energy Based Methodology For Damage And Life Prediction Of Solder Joints Under Thermal Cycling,” 1994, doi: 10.1109/96.338733.</w:t>
      </w:r>
    </w:p>
    <w:p w14:paraId="0A0EF41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[46]</w:t>
      </w:r>
      <w:r w:rsidRPr="00D7303D">
        <w:rPr>
          <w:rFonts w:ascii="Times New Roman" w:hAnsi="Times New Roman" w:cs="Times New Roman"/>
          <w:noProof/>
        </w:rPr>
        <w:tab/>
        <w:t>Q. Zhang, A. Dasgupta, and P. Haswell, “Viscoplastic constitutive properties and energy-partitioning model of lead-free Sn3.9Ag0.6Cu solder alloy,” 2003, doi: 10.1109/ectc.2003.1216558.</w:t>
      </w:r>
    </w:p>
    <w:p w14:paraId="7AB67D2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[47]</w:t>
      </w:r>
      <w:r w:rsidRPr="00D7303D">
        <w:rPr>
          <w:rFonts w:ascii="Times New Roman" w:hAnsi="Times New Roman" w:cs="Times New Roman"/>
          <w:noProof/>
        </w:rPr>
        <w:tab/>
        <w:t xml:space="preserve">Y. H. Pao, S. Badgley, E. Jih, R. Govila, and J. Browning, “Constitutive behavior and low cycle thermal fatigue of 97Sn-3Cu solder joints,” </w:t>
      </w:r>
      <w:r w:rsidRPr="00D7303D">
        <w:rPr>
          <w:rFonts w:ascii="Times New Roman" w:hAnsi="Times New Roman" w:cs="Times New Roman"/>
          <w:i/>
          <w:iCs/>
          <w:noProof/>
        </w:rPr>
        <w:t>J. Electron. Packag. Trans. ASME</w:t>
      </w:r>
      <w:r w:rsidRPr="00D7303D">
        <w:rPr>
          <w:rFonts w:ascii="Times New Roman" w:hAnsi="Times New Roman" w:cs="Times New Roman"/>
          <w:noProof/>
        </w:rPr>
        <w:t>, 1993, doi: 10.1115/1.2909310.</w:t>
      </w:r>
    </w:p>
    <w:p w14:paraId="45ED34B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[48]</w:t>
      </w:r>
      <w:r w:rsidRPr="00D7303D">
        <w:rPr>
          <w:rFonts w:ascii="Times New Roman" w:hAnsi="Times New Roman" w:cs="Times New Roman"/>
          <w:noProof/>
        </w:rPr>
        <w:tab/>
        <w:t xml:space="preserve">Z. N. Cheng, G. Z. Wang, L. Chen, J. Wilde, and K. Becker, “Viscoplastic Anand model for solder alloys and its application,” </w:t>
      </w:r>
      <w:r w:rsidRPr="00D7303D">
        <w:rPr>
          <w:rFonts w:ascii="Times New Roman" w:hAnsi="Times New Roman" w:cs="Times New Roman"/>
          <w:i/>
          <w:iCs/>
          <w:noProof/>
        </w:rPr>
        <w:t>Solder. Surf. Mt. Technol.</w:t>
      </w:r>
      <w:r w:rsidRPr="00D7303D">
        <w:rPr>
          <w:rFonts w:ascii="Times New Roman" w:hAnsi="Times New Roman" w:cs="Times New Roman"/>
          <w:noProof/>
        </w:rPr>
        <w:t>, 2000, doi: 10.1108/09540910010331428.</w:t>
      </w:r>
    </w:p>
    <w:p w14:paraId="380CAB3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[49]</w:t>
      </w:r>
      <w:r w:rsidRPr="00D7303D">
        <w:rPr>
          <w:rFonts w:ascii="Times New Roman" w:hAnsi="Times New Roman" w:cs="Times New Roman"/>
          <w:noProof/>
        </w:rPr>
        <w:tab/>
        <w:t xml:space="preserve">L. Anand, “Constitutive equations for the rate-dependent deformation of metals at elevated temperatures,” </w:t>
      </w:r>
      <w:r w:rsidRPr="00D7303D">
        <w:rPr>
          <w:rFonts w:ascii="Times New Roman" w:hAnsi="Times New Roman" w:cs="Times New Roman"/>
          <w:i/>
          <w:iCs/>
          <w:noProof/>
        </w:rPr>
        <w:t>J. Eng. Mater. Technol. Trans. ASME</w:t>
      </w:r>
      <w:r w:rsidRPr="00D7303D">
        <w:rPr>
          <w:rFonts w:ascii="Times New Roman" w:hAnsi="Times New Roman" w:cs="Times New Roman"/>
          <w:noProof/>
        </w:rPr>
        <w:t>, 1982, doi: 10.1115/1.3225028.</w:t>
      </w:r>
    </w:p>
    <w:p w14:paraId="59107F0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[50]</w:t>
      </w:r>
      <w:r w:rsidRPr="00D7303D">
        <w:rPr>
          <w:rFonts w:ascii="Times New Roman" w:hAnsi="Times New Roman" w:cs="Times New Roman"/>
          <w:noProof/>
        </w:rPr>
        <w:tab/>
        <w:t xml:space="preserve">L. Anand, “Constitutive equations for hot-working of metals,” </w:t>
      </w:r>
      <w:r w:rsidRPr="00D7303D">
        <w:rPr>
          <w:rFonts w:ascii="Times New Roman" w:hAnsi="Times New Roman" w:cs="Times New Roman"/>
          <w:i/>
          <w:iCs/>
          <w:noProof/>
        </w:rPr>
        <w:t>Int. J. Plast.</w:t>
      </w:r>
      <w:r w:rsidRPr="00D7303D">
        <w:rPr>
          <w:rFonts w:ascii="Times New Roman" w:hAnsi="Times New Roman" w:cs="Times New Roman"/>
          <w:noProof/>
        </w:rPr>
        <w:t>, 1985, doi: 10.1016/0749-6419(85)90004-X.</w:t>
      </w:r>
    </w:p>
    <w:p w14:paraId="68E5C53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[51]</w:t>
      </w:r>
      <w:r w:rsidRPr="00D7303D">
        <w:rPr>
          <w:rFonts w:ascii="Times New Roman" w:hAnsi="Times New Roman" w:cs="Times New Roman"/>
          <w:noProof/>
        </w:rPr>
        <w:tab/>
        <w:t xml:space="preserve">S. B. Brown, K. H. Kim, and L. Anand, “An internal variable constitutive model for hot working of metals,” </w:t>
      </w:r>
      <w:r w:rsidRPr="00D7303D">
        <w:rPr>
          <w:rFonts w:ascii="Times New Roman" w:hAnsi="Times New Roman" w:cs="Times New Roman"/>
          <w:i/>
          <w:iCs/>
          <w:noProof/>
        </w:rPr>
        <w:t>Int. J. Plast.</w:t>
      </w:r>
      <w:r w:rsidRPr="00D7303D">
        <w:rPr>
          <w:rFonts w:ascii="Times New Roman" w:hAnsi="Times New Roman" w:cs="Times New Roman"/>
          <w:noProof/>
        </w:rPr>
        <w:t>, 1989, doi: 10.1016/0749-6419(89)90025-9.</w:t>
      </w:r>
    </w:p>
    <w:p w14:paraId="51CAFBF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[52]</w:t>
      </w:r>
      <w:r w:rsidRPr="00D7303D">
        <w:rPr>
          <w:rFonts w:ascii="Times New Roman" w:hAnsi="Times New Roman" w:cs="Times New Roman"/>
          <w:noProof/>
        </w:rPr>
        <w:tab/>
        <w:t xml:space="preserve">R. Darveaux, “Effect of simulation methodology on solder joint crack growth correlation,” </w:t>
      </w:r>
      <w:r w:rsidRPr="00D7303D">
        <w:rPr>
          <w:rFonts w:ascii="Times New Roman" w:hAnsi="Times New Roman" w:cs="Times New Roman"/>
          <w:i/>
          <w:iCs/>
          <w:noProof/>
        </w:rPr>
        <w:t>Proc. - Electron. Components Technol. Conf.</w:t>
      </w:r>
      <w:r w:rsidRPr="00D7303D">
        <w:rPr>
          <w:rFonts w:ascii="Times New Roman" w:hAnsi="Times New Roman" w:cs="Times New Roman"/>
          <w:noProof/>
        </w:rPr>
        <w:t>, 2000, doi: 10.1109/ECTC.2000.853299.</w:t>
      </w:r>
    </w:p>
    <w:p w14:paraId="7330DC5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[53]</w:t>
      </w:r>
      <w:r w:rsidRPr="00D7303D">
        <w:rPr>
          <w:rFonts w:ascii="Times New Roman" w:hAnsi="Times New Roman" w:cs="Times New Roman"/>
          <w:noProof/>
        </w:rPr>
        <w:tab/>
        <w:t xml:space="preserve">R. Darveaux, “Effect of simulation methodology on solder joint crack growth correlation and fatigue life prediction,” </w:t>
      </w:r>
      <w:r w:rsidRPr="00D7303D">
        <w:rPr>
          <w:rFonts w:ascii="Times New Roman" w:hAnsi="Times New Roman" w:cs="Times New Roman"/>
          <w:i/>
          <w:iCs/>
          <w:noProof/>
        </w:rPr>
        <w:t>J. Electron. Packag. Trans. ASME</w:t>
      </w:r>
      <w:r w:rsidRPr="00D7303D">
        <w:rPr>
          <w:rFonts w:ascii="Times New Roman" w:hAnsi="Times New Roman" w:cs="Times New Roman"/>
          <w:noProof/>
        </w:rPr>
        <w:t>, 2002, doi: 10.1115/1.1413764.</w:t>
      </w:r>
    </w:p>
    <w:p w14:paraId="3480E1F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[54]</w:t>
      </w:r>
      <w:r w:rsidRPr="00D7303D">
        <w:rPr>
          <w:rFonts w:ascii="Times New Roman" w:hAnsi="Times New Roman" w:cs="Times New Roman"/>
          <w:noProof/>
        </w:rPr>
        <w:tab/>
        <w:t xml:space="preserve">J. A. Depiver, S. Mallik, and E. H. Amalu, “Effective Solder for Improved Thermo-Mechanical Reliability of Solder Joints in a Ball Grid Array ( BGA ) Soldered on Printed Circuit Board ( PCB ),” </w:t>
      </w:r>
      <w:r w:rsidRPr="00D7303D">
        <w:rPr>
          <w:rFonts w:ascii="Times New Roman" w:hAnsi="Times New Roman" w:cs="Times New Roman"/>
          <w:i/>
          <w:iCs/>
          <w:noProof/>
        </w:rPr>
        <w:t>J. Electron. Mater.</w:t>
      </w:r>
      <w:r w:rsidRPr="00D7303D">
        <w:rPr>
          <w:rFonts w:ascii="Times New Roman" w:hAnsi="Times New Roman" w:cs="Times New Roman"/>
          <w:noProof/>
        </w:rPr>
        <w:t>, 2020, doi: 10.1007/s11664-020-08525-9.</w:t>
      </w:r>
    </w:p>
    <w:p w14:paraId="4F6AD41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[55]</w:t>
      </w:r>
      <w:r w:rsidRPr="00D7303D">
        <w:rPr>
          <w:rFonts w:ascii="Times New Roman" w:hAnsi="Times New Roman" w:cs="Times New Roman"/>
          <w:noProof/>
        </w:rPr>
        <w:tab/>
        <w:t>X. Chen, G. Chen, and M. Sakane, “Modified anand constitutive model for lead-free solder SN-3.5AG,” 2004, doi: 10.1109/itherm.2004.1318317.</w:t>
      </w:r>
    </w:p>
    <w:p w14:paraId="5056879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[56]</w:t>
      </w:r>
      <w:r w:rsidRPr="00D7303D">
        <w:rPr>
          <w:rFonts w:ascii="Times New Roman" w:hAnsi="Times New Roman" w:cs="Times New Roman"/>
          <w:noProof/>
        </w:rPr>
        <w:tab/>
        <w:t>J. H. L. Pang, P. T. H. Low, and B. S. Xiong, “Lead-free 95.5Sn-3.8Ag-0.7Cu solder joint reliability analysis for micro-BGA assembly,” 2004, doi: 10.1109/itherm.2004.1318270.</w:t>
      </w:r>
    </w:p>
    <w:p w14:paraId="229D5A0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[57]</w:t>
      </w:r>
      <w:r w:rsidRPr="00D7303D">
        <w:rPr>
          <w:rFonts w:ascii="Times New Roman" w:hAnsi="Times New Roman" w:cs="Times New Roman"/>
          <w:noProof/>
        </w:rPr>
        <w:tab/>
        <w:t xml:space="preserve">N. Bai, X. Chen, and H. Gao, “Simulation of uniaxial tensile properties for lead-free solders with modified Anand model,” </w:t>
      </w:r>
      <w:r w:rsidRPr="00D7303D">
        <w:rPr>
          <w:rFonts w:ascii="Times New Roman" w:hAnsi="Times New Roman" w:cs="Times New Roman"/>
          <w:i/>
          <w:iCs/>
          <w:noProof/>
        </w:rPr>
        <w:t>Mater. Des.</w:t>
      </w:r>
      <w:r w:rsidRPr="00D7303D">
        <w:rPr>
          <w:rFonts w:ascii="Times New Roman" w:hAnsi="Times New Roman" w:cs="Times New Roman"/>
          <w:noProof/>
        </w:rPr>
        <w:t>, 2009, doi: 10.1016/j.matdes.2008.04.032.</w:t>
      </w:r>
    </w:p>
    <w:p w14:paraId="099420D4"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[58]</w:t>
      </w:r>
      <w:r w:rsidRPr="00D7303D">
        <w:rPr>
          <w:rFonts w:ascii="Times New Roman" w:hAnsi="Times New Roman" w:cs="Times New Roman"/>
          <w:noProof/>
        </w:rPr>
        <w:tab/>
        <w:t xml:space="preserve">B. A. Zahn, “Finite element based solder joint fatigue life predictions for a same die size - Stacked - Chip scale - Ball grid array package,” </w:t>
      </w:r>
      <w:r w:rsidRPr="00D7303D">
        <w:rPr>
          <w:rFonts w:ascii="Times New Roman" w:hAnsi="Times New Roman" w:cs="Times New Roman"/>
          <w:i/>
          <w:iCs/>
          <w:noProof/>
        </w:rPr>
        <w:t>Proc. IEEE/CPMT Int. Electron. Manuf. Technol. Symp.</w:t>
      </w:r>
      <w:r w:rsidRPr="00D7303D">
        <w:rPr>
          <w:rFonts w:ascii="Times New Roman" w:hAnsi="Times New Roman" w:cs="Times New Roman"/>
          <w:noProof/>
        </w:rPr>
        <w:t>, pp. 274–284, 2002, doi: 10.1109/iemt.2002.1032767.</w:t>
      </w:r>
    </w:p>
    <w:p w14:paraId="12BC2DC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[59]</w:t>
      </w:r>
      <w:r w:rsidRPr="00D7303D">
        <w:rPr>
          <w:rFonts w:ascii="Times New Roman" w:hAnsi="Times New Roman" w:cs="Times New Roman"/>
          <w:noProof/>
        </w:rPr>
        <w:tab/>
        <w:t>A. Syed, “Accumulated creep strain and energy density based thermal fatigue life prediction models for SnAgCu solder joints,” 2004, doi: 10.1109/ectc.2004.1319419.</w:t>
      </w:r>
    </w:p>
    <w:p w14:paraId="5834C6B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[60]</w:t>
      </w:r>
      <w:r w:rsidRPr="00D7303D">
        <w:rPr>
          <w:rFonts w:ascii="Times New Roman" w:hAnsi="Times New Roman" w:cs="Times New Roman"/>
          <w:noProof/>
        </w:rPr>
        <w:tab/>
        <w:t xml:space="preserve">J. S. Hwang, “Technology and applications in surface mount, hybrid circuits, and component assembly,” in </w:t>
      </w:r>
      <w:r w:rsidRPr="00D7303D">
        <w:rPr>
          <w:rFonts w:ascii="Times New Roman" w:hAnsi="Times New Roman" w:cs="Times New Roman"/>
          <w:i/>
          <w:iCs/>
          <w:noProof/>
        </w:rPr>
        <w:t>Solder paste in electronics packaging</w:t>
      </w:r>
      <w:r w:rsidRPr="00D7303D">
        <w:rPr>
          <w:rFonts w:ascii="Times New Roman" w:hAnsi="Times New Roman" w:cs="Times New Roman"/>
          <w:noProof/>
        </w:rPr>
        <w:t>, Illustrate., Van Nostrand Reinhold, 1989, 1989, p. 456.</w:t>
      </w:r>
    </w:p>
    <w:p w14:paraId="7BB846C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[61]</w:t>
      </w:r>
      <w:r w:rsidRPr="00D7303D">
        <w:rPr>
          <w:rFonts w:ascii="Times New Roman" w:hAnsi="Times New Roman" w:cs="Times New Roman"/>
          <w:noProof/>
        </w:rPr>
        <w:tab/>
        <w:t xml:space="preserve">P. v. Bolotoff, “Solder Alloys: Physical and Mechanical Properties,” </w:t>
      </w:r>
      <w:r w:rsidRPr="00D7303D">
        <w:rPr>
          <w:rFonts w:ascii="Times New Roman" w:hAnsi="Times New Roman" w:cs="Times New Roman"/>
          <w:i/>
          <w:iCs/>
          <w:noProof/>
        </w:rPr>
        <w:t>Alasir Enterprises, 1999-2019</w:t>
      </w:r>
      <w:r w:rsidRPr="00D7303D">
        <w:rPr>
          <w:rFonts w:ascii="Times New Roman" w:hAnsi="Times New Roman" w:cs="Times New Roman"/>
          <w:noProof/>
        </w:rPr>
        <w:t>, 2010. http://alasir.com/reference/solder_alloys/ (accessed Apr. 30, 2020).</w:t>
      </w:r>
    </w:p>
    <w:p w14:paraId="677F1FA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[62]</w:t>
      </w:r>
      <w:r w:rsidRPr="00D7303D">
        <w:rPr>
          <w:rFonts w:ascii="Times New Roman" w:hAnsi="Times New Roman" w:cs="Times New Roman"/>
          <w:noProof/>
        </w:rPr>
        <w:tab/>
        <w:t>Topline, “BGA,” 2020. https://www.topline.tv/SMD_vrs_NSMD.html (accessed Feb. 20, 2019).</w:t>
      </w:r>
    </w:p>
    <w:p w14:paraId="12EDEC5D"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[63]</w:t>
      </w:r>
      <w:r w:rsidRPr="00D7303D">
        <w:rPr>
          <w:rFonts w:ascii="Times New Roman" w:hAnsi="Times New Roman" w:cs="Times New Roman"/>
          <w:noProof/>
        </w:rPr>
        <w:tab/>
        <w:t xml:space="preserve">J. Depiver, S. Mallik, and D. Harmanto, “Creep Damage of BGA Solder Interconnects Subjected to Thermal Cycling and Isothermal Ageing,” </w:t>
      </w:r>
      <w:r w:rsidRPr="00D7303D">
        <w:rPr>
          <w:rFonts w:ascii="Times New Roman" w:hAnsi="Times New Roman" w:cs="Times New Roman"/>
          <w:i/>
          <w:iCs/>
          <w:noProof/>
        </w:rPr>
        <w:t>Electron. Packag. Technol. Conf. IEEE</w:t>
      </w:r>
      <w:r w:rsidRPr="00D7303D">
        <w:rPr>
          <w:rFonts w:ascii="Times New Roman" w:hAnsi="Times New Roman" w:cs="Times New Roman"/>
          <w:noProof/>
        </w:rPr>
        <w:t>, no. December, 2019.</w:t>
      </w:r>
    </w:p>
    <w:p w14:paraId="4C91631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[64]</w:t>
      </w:r>
      <w:r w:rsidRPr="00D7303D">
        <w:rPr>
          <w:rFonts w:ascii="Times New Roman" w:hAnsi="Times New Roman" w:cs="Times New Roman"/>
          <w:noProof/>
        </w:rPr>
        <w:tab/>
        <w:t>B. A. Zahn, “Impact of ball via configurations on solder joint reliability in tape-based, chip-scale packages,” 2002, doi: 10.1109/ectc.2002.1008301.</w:t>
      </w:r>
    </w:p>
    <w:p w14:paraId="0092F86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[65]</w:t>
      </w:r>
      <w:r w:rsidRPr="00D7303D">
        <w:rPr>
          <w:rFonts w:ascii="Times New Roman" w:hAnsi="Times New Roman" w:cs="Times New Roman"/>
          <w:noProof/>
        </w:rPr>
        <w:tab/>
        <w:t>T. T. Nguyen, D. Lee, J. B. Kwak, and S. Park, “Effect of glue on reliability of flip chip BGA packages under thermal cycling,” 2010, doi: 10.1016/j.microrel.2010.04.003.</w:t>
      </w:r>
    </w:p>
    <w:p w14:paraId="2150E7E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[66]</w:t>
      </w:r>
      <w:r w:rsidRPr="00D7303D">
        <w:rPr>
          <w:rFonts w:ascii="Times New Roman" w:hAnsi="Times New Roman" w:cs="Times New Roman"/>
          <w:noProof/>
        </w:rPr>
        <w:tab/>
        <w:t xml:space="preserve">E. H. Amalu and N. N. Ekere, “Modelling evaluation of Garofalo-Arrhenius creep relation for lead-free solder joints in surface mount electronic component assemblies,” </w:t>
      </w:r>
      <w:r w:rsidRPr="00D7303D">
        <w:rPr>
          <w:rFonts w:ascii="Times New Roman" w:hAnsi="Times New Roman" w:cs="Times New Roman"/>
          <w:i/>
          <w:iCs/>
          <w:noProof/>
        </w:rPr>
        <w:t>J. Manuf. Syst.</w:t>
      </w:r>
      <w:r w:rsidRPr="00D7303D">
        <w:rPr>
          <w:rFonts w:ascii="Times New Roman" w:hAnsi="Times New Roman" w:cs="Times New Roman"/>
          <w:noProof/>
        </w:rPr>
        <w:t>, vol. 39, 2016, doi: 10.1016/j.jmsy.2016.01.002.</w:t>
      </w:r>
    </w:p>
    <w:p w14:paraId="37DD6A4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[67]</w:t>
      </w:r>
      <w:r w:rsidRPr="00D7303D">
        <w:rPr>
          <w:rFonts w:ascii="Times New Roman" w:hAnsi="Times New Roman" w:cs="Times New Roman"/>
          <w:noProof/>
        </w:rPr>
        <w:tab/>
        <w:t xml:space="preserve">X. Long </w:t>
      </w:r>
      <w:r w:rsidRPr="00D7303D">
        <w:rPr>
          <w:rFonts w:ascii="Times New Roman" w:hAnsi="Times New Roman" w:cs="Times New Roman"/>
          <w:i/>
          <w:iCs/>
          <w:noProof/>
        </w:rPr>
        <w:t>et al.</w:t>
      </w:r>
      <w:r w:rsidRPr="00D7303D">
        <w:rPr>
          <w:rFonts w:ascii="Times New Roman" w:hAnsi="Times New Roman" w:cs="Times New Roman"/>
          <w:noProof/>
        </w:rPr>
        <w:t xml:space="preserve">, “Constitutive behaviour and life evaluation of solder joint under the multi-field loadings,” </w:t>
      </w:r>
      <w:r w:rsidRPr="00D7303D">
        <w:rPr>
          <w:rFonts w:ascii="Times New Roman" w:hAnsi="Times New Roman" w:cs="Times New Roman"/>
          <w:i/>
          <w:iCs/>
          <w:noProof/>
        </w:rPr>
        <w:t>AIP Adv.</w:t>
      </w:r>
      <w:r w:rsidRPr="00D7303D">
        <w:rPr>
          <w:rFonts w:ascii="Times New Roman" w:hAnsi="Times New Roman" w:cs="Times New Roman"/>
          <w:noProof/>
        </w:rPr>
        <w:t>, 2018, doi: 10.1063/1.5044446.</w:t>
      </w:r>
    </w:p>
    <w:p w14:paraId="4441FCB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[68]</w:t>
      </w:r>
      <w:r w:rsidRPr="00D7303D">
        <w:rPr>
          <w:rFonts w:ascii="Times New Roman" w:hAnsi="Times New Roman" w:cs="Times New Roman"/>
          <w:noProof/>
        </w:rPr>
        <w:tab/>
        <w:t>H. Beyer, V. Sivasubramaniam, M. Bayer, and S. Hartmann, “Reliability of Lead-free Large Area Solder Joints in IGBT Modules with Respect to Passive and Active Thermal Cycling,” 2019.</w:t>
      </w:r>
    </w:p>
    <w:p w14:paraId="3288EA5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[69]</w:t>
      </w:r>
      <w:r w:rsidRPr="00D7303D">
        <w:rPr>
          <w:rFonts w:ascii="Times New Roman" w:hAnsi="Times New Roman" w:cs="Times New Roman"/>
          <w:noProof/>
        </w:rPr>
        <w:tab/>
        <w:t xml:space="preserve">S. Stoyanov, C. Bailey, and M. Desmulliez, “Optimisation modelling for thermal fatigue reliability of lead-free interconnects in fine-pitch flip-chip packaging,” </w:t>
      </w:r>
      <w:r w:rsidRPr="00D7303D">
        <w:rPr>
          <w:rFonts w:ascii="Times New Roman" w:hAnsi="Times New Roman" w:cs="Times New Roman"/>
          <w:i/>
          <w:iCs/>
          <w:noProof/>
        </w:rPr>
        <w:t>Solder. Surf. Mt. Technol.</w:t>
      </w:r>
      <w:r w:rsidRPr="00D7303D">
        <w:rPr>
          <w:rFonts w:ascii="Times New Roman" w:hAnsi="Times New Roman" w:cs="Times New Roman"/>
          <w:noProof/>
        </w:rPr>
        <w:t>, 2009, doi: 10.1108/09540910910928265.</w:t>
      </w:r>
    </w:p>
    <w:p w14:paraId="49941BF2"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[70]</w:t>
      </w:r>
      <w:r w:rsidRPr="00D7303D">
        <w:rPr>
          <w:rFonts w:ascii="Times New Roman" w:hAnsi="Times New Roman" w:cs="Times New Roman"/>
          <w:noProof/>
        </w:rPr>
        <w:tab/>
        <w:t xml:space="preserve">J. Eckermann </w:t>
      </w:r>
      <w:r w:rsidRPr="00D7303D">
        <w:rPr>
          <w:rFonts w:ascii="Times New Roman" w:hAnsi="Times New Roman" w:cs="Times New Roman"/>
          <w:i/>
          <w:iCs/>
          <w:noProof/>
        </w:rPr>
        <w:t>et al.</w:t>
      </w:r>
      <w:r w:rsidRPr="00D7303D">
        <w:rPr>
          <w:rFonts w:ascii="Times New Roman" w:hAnsi="Times New Roman" w:cs="Times New Roman"/>
          <w:noProof/>
        </w:rPr>
        <w:t xml:space="preserve">, “Computational modeling of creep-based fatigue as a means of selecting lead-free solder alloys,” </w:t>
      </w:r>
      <w:r w:rsidRPr="00D7303D">
        <w:rPr>
          <w:rFonts w:ascii="Times New Roman" w:hAnsi="Times New Roman" w:cs="Times New Roman"/>
          <w:i/>
          <w:iCs/>
          <w:noProof/>
        </w:rPr>
        <w:t>Microelectron. Reliab.</w:t>
      </w:r>
      <w:r w:rsidRPr="00D7303D">
        <w:rPr>
          <w:rFonts w:ascii="Times New Roman" w:hAnsi="Times New Roman" w:cs="Times New Roman"/>
          <w:noProof/>
        </w:rPr>
        <w:t>, 2014, doi: 10.1016/j.microrel.2014.02.017.</w:t>
      </w:r>
    </w:p>
    <w:p w14:paraId="5201002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[71]</w:t>
      </w:r>
      <w:r w:rsidRPr="00D7303D">
        <w:rPr>
          <w:rFonts w:ascii="Times New Roman" w:hAnsi="Times New Roman" w:cs="Times New Roman"/>
          <w:noProof/>
        </w:rPr>
        <w:tab/>
        <w:t xml:space="preserve">X. Chen, G. Chen, and M. Sakane, “Prediction of stress-strain relationship with an improved anand constitutive model for lead-free solder Sn-3.5Ag,” </w:t>
      </w:r>
      <w:r w:rsidRPr="00D7303D">
        <w:rPr>
          <w:rFonts w:ascii="Times New Roman" w:hAnsi="Times New Roman" w:cs="Times New Roman"/>
          <w:i/>
          <w:iCs/>
          <w:noProof/>
        </w:rPr>
        <w:t>IEEE Trans. Components Packag. Technol.</w:t>
      </w:r>
      <w:r w:rsidRPr="00D7303D">
        <w:rPr>
          <w:rFonts w:ascii="Times New Roman" w:hAnsi="Times New Roman" w:cs="Times New Roman"/>
          <w:noProof/>
        </w:rPr>
        <w:t>, vol. 28, no. 1, pp. 111–116, 2005, doi: 10.1109/TCAPT.2004.843157.</w:t>
      </w:r>
    </w:p>
    <w:p w14:paraId="0B6FF84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[72]</w:t>
      </w:r>
      <w:r w:rsidRPr="00D7303D">
        <w:rPr>
          <w:rFonts w:ascii="Times New Roman" w:hAnsi="Times New Roman" w:cs="Times New Roman"/>
          <w:noProof/>
        </w:rPr>
        <w:tab/>
        <w:t xml:space="preserve">J. Chang, L. Wang, J. Dirk, and X. Xie, “Finite element modeling predicts the effects of voids on thermal shock reliability and thermal resistance of power device,” </w:t>
      </w:r>
      <w:r w:rsidRPr="00D7303D">
        <w:rPr>
          <w:rFonts w:ascii="Times New Roman" w:hAnsi="Times New Roman" w:cs="Times New Roman"/>
          <w:i/>
          <w:iCs/>
          <w:noProof/>
        </w:rPr>
        <w:t>Weld. J. (Miami, Fla)</w:t>
      </w:r>
      <w:r w:rsidRPr="00D7303D">
        <w:rPr>
          <w:rFonts w:ascii="Times New Roman" w:hAnsi="Times New Roman" w:cs="Times New Roman"/>
          <w:noProof/>
        </w:rPr>
        <w:t>, 2006.</w:t>
      </w:r>
    </w:p>
    <w:p w14:paraId="61950F1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[73]</w:t>
      </w:r>
      <w:r w:rsidRPr="00D7303D">
        <w:rPr>
          <w:rFonts w:ascii="Times New Roman" w:hAnsi="Times New Roman" w:cs="Times New Roman"/>
          <w:noProof/>
        </w:rPr>
        <w:tab/>
        <w:t xml:space="preserve">Q. Wang </w:t>
      </w:r>
      <w:r w:rsidRPr="00D7303D">
        <w:rPr>
          <w:rFonts w:ascii="Times New Roman" w:hAnsi="Times New Roman" w:cs="Times New Roman"/>
          <w:i/>
          <w:iCs/>
          <w:noProof/>
        </w:rPr>
        <w:t>et al.</w:t>
      </w:r>
      <w:r w:rsidRPr="00D7303D">
        <w:rPr>
          <w:rFonts w:ascii="Times New Roman" w:hAnsi="Times New Roman" w:cs="Times New Roman"/>
          <w:noProof/>
        </w:rPr>
        <w:t>, “Experimental determination and modification of anand model constants for Pb-free material 95-5Sn4.0Ag0.5Cu,” 2007, doi: 10.1109/ESIME.2007.359957.</w:t>
      </w:r>
    </w:p>
    <w:p w14:paraId="2E70C7E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[74]</w:t>
      </w:r>
      <w:r w:rsidRPr="00D7303D">
        <w:rPr>
          <w:rFonts w:ascii="Times New Roman" w:hAnsi="Times New Roman" w:cs="Times New Roman"/>
          <w:noProof/>
        </w:rPr>
        <w:tab/>
        <w:t xml:space="preserve">L. Zhang </w:t>
      </w:r>
      <w:r w:rsidRPr="00D7303D">
        <w:rPr>
          <w:rFonts w:ascii="Times New Roman" w:hAnsi="Times New Roman" w:cs="Times New Roman"/>
          <w:i/>
          <w:iCs/>
          <w:noProof/>
        </w:rPr>
        <w:t>et al.</w:t>
      </w:r>
      <w:r w:rsidRPr="00D7303D">
        <w:rPr>
          <w:rFonts w:ascii="Times New Roman" w:hAnsi="Times New Roman" w:cs="Times New Roman"/>
          <w:noProof/>
        </w:rPr>
        <w:t xml:space="preserve">, “Determination of Anand parameters for SnAgCuCe solder,” </w:t>
      </w:r>
      <w:r w:rsidRPr="00D7303D">
        <w:rPr>
          <w:rFonts w:ascii="Times New Roman" w:hAnsi="Times New Roman" w:cs="Times New Roman"/>
          <w:i/>
          <w:iCs/>
          <w:noProof/>
        </w:rPr>
        <w:t>Model. Simul. Mater. Sci. Eng.</w:t>
      </w:r>
      <w:r w:rsidRPr="00D7303D">
        <w:rPr>
          <w:rFonts w:ascii="Times New Roman" w:hAnsi="Times New Roman" w:cs="Times New Roman"/>
          <w:noProof/>
        </w:rPr>
        <w:t>, 2009, doi: 10.1088/0965-0393/17/7/075014.</w:t>
      </w:r>
    </w:p>
    <w:p w14:paraId="37B123D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[75]</w:t>
      </w:r>
      <w:r w:rsidRPr="00D7303D">
        <w:rPr>
          <w:rFonts w:ascii="Times New Roman" w:hAnsi="Times New Roman" w:cs="Times New Roman"/>
          <w:noProof/>
        </w:rPr>
        <w:tab/>
        <w:t xml:space="preserve">Trina Barua, “A Comparative Study of The Thermo-Mechanical Behavior of WCSP Assembly </w:t>
      </w:r>
      <w:r w:rsidRPr="00D7303D">
        <w:rPr>
          <w:rFonts w:ascii="Times New Roman" w:hAnsi="Times New Roman" w:cs="Times New Roman"/>
          <w:noProof/>
        </w:rPr>
        <w:lastRenderedPageBreak/>
        <w:t>Due to Difference In PCBs’ Layer Thickness,” vol. 8, no. 3, pp. 1–59, 2016.</w:t>
      </w:r>
    </w:p>
    <w:p w14:paraId="21B8907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[76]</w:t>
      </w:r>
      <w:r w:rsidRPr="00D7303D">
        <w:rPr>
          <w:rFonts w:ascii="Times New Roman" w:hAnsi="Times New Roman" w:cs="Times New Roman"/>
          <w:noProof/>
        </w:rPr>
        <w:tab/>
        <w:t>JEDEC-JESD22-A104D, “Temperature Cycling,” 2014.</w:t>
      </w:r>
    </w:p>
    <w:p w14:paraId="408A5F1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[77]</w:t>
      </w:r>
      <w:r w:rsidRPr="00D7303D">
        <w:rPr>
          <w:rFonts w:ascii="Times New Roman" w:hAnsi="Times New Roman" w:cs="Times New Roman"/>
          <w:noProof/>
        </w:rPr>
        <w:tab/>
        <w:t xml:space="preserve">JEDEC Standard, “Power and Temperature Cycling JESD22-A105C,” </w:t>
      </w:r>
      <w:r w:rsidRPr="00D7303D">
        <w:rPr>
          <w:rFonts w:ascii="Times New Roman" w:hAnsi="Times New Roman" w:cs="Times New Roman"/>
          <w:i/>
          <w:iCs/>
          <w:noProof/>
        </w:rPr>
        <w:t>JEDEC SOLID STATE Technol. Assoc.</w:t>
      </w:r>
      <w:r w:rsidRPr="00D7303D">
        <w:rPr>
          <w:rFonts w:ascii="Times New Roman" w:hAnsi="Times New Roman" w:cs="Times New Roman"/>
          <w:noProof/>
        </w:rPr>
        <w:t>, 2004.</w:t>
      </w:r>
    </w:p>
    <w:p w14:paraId="176F1B5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[78]</w:t>
      </w:r>
      <w:r w:rsidRPr="00D7303D">
        <w:rPr>
          <w:rFonts w:ascii="Times New Roman" w:hAnsi="Times New Roman" w:cs="Times New Roman"/>
          <w:noProof/>
        </w:rPr>
        <w:tab/>
        <w:t xml:space="preserve">JEDEC Solid State Technology Association and JEDEC, “JEDEC Standard JESD22-A104D, Temperature Cycling,” </w:t>
      </w:r>
      <w:r w:rsidRPr="00D7303D">
        <w:rPr>
          <w:rFonts w:ascii="Times New Roman" w:hAnsi="Times New Roman" w:cs="Times New Roman"/>
          <w:i/>
          <w:iCs/>
          <w:noProof/>
        </w:rPr>
        <w:t>Jedec.Org</w:t>
      </w:r>
      <w:r w:rsidRPr="00D7303D">
        <w:rPr>
          <w:rFonts w:ascii="Times New Roman" w:hAnsi="Times New Roman" w:cs="Times New Roman"/>
          <w:noProof/>
        </w:rPr>
        <w:t>, 2009.</w:t>
      </w:r>
    </w:p>
    <w:p w14:paraId="1C77FF7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[79]</w:t>
      </w:r>
      <w:r w:rsidRPr="00D7303D">
        <w:rPr>
          <w:rFonts w:ascii="Times New Roman" w:hAnsi="Times New Roman" w:cs="Times New Roman"/>
          <w:noProof/>
        </w:rPr>
        <w:tab/>
        <w:t>S. S. Manson, “Behavior Of Materials Under Conditions Of Thermal Stress,” 1953.</w:t>
      </w:r>
    </w:p>
    <w:p w14:paraId="428F660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[80]</w:t>
      </w:r>
      <w:r w:rsidRPr="00D7303D">
        <w:rPr>
          <w:rFonts w:ascii="Times New Roman" w:hAnsi="Times New Roman" w:cs="Times New Roman"/>
          <w:noProof/>
        </w:rPr>
        <w:tab/>
        <w:t>S. Wiese and S. Rzepka, “Time-independent elastic-plastic behaviour of solder materials,” 2004, doi: 10.1016/j.microrel.2004.04.015.</w:t>
      </w:r>
    </w:p>
    <w:p w14:paraId="124AA59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[81]</w:t>
      </w:r>
      <w:r w:rsidRPr="00D7303D">
        <w:rPr>
          <w:rFonts w:ascii="Times New Roman" w:hAnsi="Times New Roman" w:cs="Times New Roman"/>
          <w:noProof/>
        </w:rPr>
        <w:tab/>
        <w:t xml:space="preserve">D. R. Shirley, H. R. Ghorbani, and J. K. Spelt, “Effect of primary creep and plasticity in the modeling of thermal fatigue of SnPb and SnAgCu solder joints,” </w:t>
      </w:r>
      <w:r w:rsidRPr="00D7303D">
        <w:rPr>
          <w:rFonts w:ascii="Times New Roman" w:hAnsi="Times New Roman" w:cs="Times New Roman"/>
          <w:i/>
          <w:iCs/>
          <w:noProof/>
        </w:rPr>
        <w:t>Microelectron. Reliab.</w:t>
      </w:r>
      <w:r w:rsidRPr="00D7303D">
        <w:rPr>
          <w:rFonts w:ascii="Times New Roman" w:hAnsi="Times New Roman" w:cs="Times New Roman"/>
          <w:noProof/>
        </w:rPr>
        <w:t>, 2008, doi: 10.1016/j.microrel.2007.08.002.</w:t>
      </w:r>
    </w:p>
    <w:p w14:paraId="54BF536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[82]</w:t>
      </w:r>
      <w:r w:rsidRPr="00D7303D">
        <w:rPr>
          <w:rFonts w:ascii="Times New Roman" w:hAnsi="Times New Roman" w:cs="Times New Roman"/>
          <w:noProof/>
        </w:rPr>
        <w:tab/>
        <w:t xml:space="preserve">L. F. Coffin, “A study of the effects of cyclic thermal stresses on a ductile metal,” </w:t>
      </w:r>
      <w:r w:rsidRPr="00D7303D">
        <w:rPr>
          <w:rFonts w:ascii="Times New Roman" w:hAnsi="Times New Roman" w:cs="Times New Roman"/>
          <w:i/>
          <w:iCs/>
          <w:noProof/>
        </w:rPr>
        <w:t>Transactions of the American Society of Mechanical Engineers</w:t>
      </w:r>
      <w:r w:rsidRPr="00D7303D">
        <w:rPr>
          <w:rFonts w:ascii="Times New Roman" w:hAnsi="Times New Roman" w:cs="Times New Roman"/>
          <w:noProof/>
        </w:rPr>
        <w:t>. 1954.</w:t>
      </w:r>
    </w:p>
    <w:p w14:paraId="4AF0073D"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[83]</w:t>
      </w:r>
      <w:r w:rsidRPr="00D7303D">
        <w:rPr>
          <w:rFonts w:ascii="Times New Roman" w:hAnsi="Times New Roman" w:cs="Times New Roman"/>
          <w:noProof/>
        </w:rPr>
        <w:tab/>
        <w:t xml:space="preserve">A. R. Syed, “Creep crack growth prediction of solder joints during temperature cycling- an engineering approach,” </w:t>
      </w:r>
      <w:r w:rsidRPr="00D7303D">
        <w:rPr>
          <w:rFonts w:ascii="Times New Roman" w:hAnsi="Times New Roman" w:cs="Times New Roman"/>
          <w:i/>
          <w:iCs/>
          <w:noProof/>
        </w:rPr>
        <w:t>J. Electron. Packag. Trans. ASME</w:t>
      </w:r>
      <w:r w:rsidRPr="00D7303D">
        <w:rPr>
          <w:rFonts w:ascii="Times New Roman" w:hAnsi="Times New Roman" w:cs="Times New Roman"/>
          <w:noProof/>
        </w:rPr>
        <w:t>, 1995, doi: 10.1115/1.2792077.</w:t>
      </w:r>
    </w:p>
    <w:p w14:paraId="7552810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[84]</w:t>
      </w:r>
      <w:r w:rsidRPr="00D7303D">
        <w:rPr>
          <w:rFonts w:ascii="Times New Roman" w:hAnsi="Times New Roman" w:cs="Times New Roman"/>
          <w:noProof/>
        </w:rPr>
        <w:tab/>
        <w:t xml:space="preserve">B. Wong, D. E. Helling, and R. W. Clark, “A Creep-Rupture Model for Two-Phase Eutectic Solders,” </w:t>
      </w:r>
      <w:r w:rsidRPr="00D7303D">
        <w:rPr>
          <w:rFonts w:ascii="Times New Roman" w:hAnsi="Times New Roman" w:cs="Times New Roman"/>
          <w:i/>
          <w:iCs/>
          <w:noProof/>
        </w:rPr>
        <w:t>IEEE Trans. Components, Hybrids, Manuf. Technol.</w:t>
      </w:r>
      <w:r w:rsidRPr="00D7303D">
        <w:rPr>
          <w:rFonts w:ascii="Times New Roman" w:hAnsi="Times New Roman" w:cs="Times New Roman"/>
          <w:noProof/>
        </w:rPr>
        <w:t>, 1988, doi: 10.1109/33.16655.</w:t>
      </w:r>
    </w:p>
    <w:p w14:paraId="792DE46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[85]</w:t>
      </w:r>
      <w:r w:rsidRPr="00D7303D">
        <w:rPr>
          <w:rFonts w:ascii="Times New Roman" w:hAnsi="Times New Roman" w:cs="Times New Roman"/>
          <w:noProof/>
        </w:rPr>
        <w:tab/>
        <w:t xml:space="preserve">M. M. Hasnine, J. C. Suhling, B. C. Prorok, and M. J. Bozack, “the Mechanical Behavior of Ceramic,” </w:t>
      </w:r>
      <w:r w:rsidRPr="00D7303D">
        <w:rPr>
          <w:rFonts w:ascii="Times New Roman" w:hAnsi="Times New Roman" w:cs="Times New Roman"/>
          <w:i/>
          <w:iCs/>
          <w:noProof/>
        </w:rPr>
        <w:t>2007 Proc. 57th Electron. Components Technol. Conf.</w:t>
      </w:r>
      <w:r w:rsidRPr="00D7303D">
        <w:rPr>
          <w:rFonts w:ascii="Times New Roman" w:hAnsi="Times New Roman" w:cs="Times New Roman"/>
          <w:noProof/>
        </w:rPr>
        <w:t>, vol. 37, no. 7, pp. 49–53, 2014, doi: 10.1109/ECTC.2014.6897315.</w:t>
      </w:r>
    </w:p>
    <w:p w14:paraId="709F457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[86]</w:t>
      </w:r>
      <w:r w:rsidRPr="00D7303D">
        <w:rPr>
          <w:rFonts w:ascii="Times New Roman" w:hAnsi="Times New Roman" w:cs="Times New Roman"/>
          <w:noProof/>
        </w:rPr>
        <w:tab/>
        <w:t xml:space="preserve">R. Darveaux, K. Banerji, A. Mawer, G. Dody, and J. Lau, “Reliability of plastic ball grid array assembly. In Ball grid array technology (Vol. 13, pp. 379-442). McGraw-Hill.,” </w:t>
      </w:r>
      <w:r w:rsidRPr="00D7303D">
        <w:rPr>
          <w:rFonts w:ascii="Times New Roman" w:hAnsi="Times New Roman" w:cs="Times New Roman"/>
          <w:i/>
          <w:iCs/>
          <w:noProof/>
        </w:rPr>
        <w:t>Ball grid array Technol. McGraw-Hill</w:t>
      </w:r>
      <w:r w:rsidRPr="00D7303D">
        <w:rPr>
          <w:rFonts w:ascii="Times New Roman" w:hAnsi="Times New Roman" w:cs="Times New Roman"/>
          <w:noProof/>
        </w:rPr>
        <w:t>, vol. 13, pp. 379–442, 1995.</w:t>
      </w:r>
    </w:p>
    <w:p w14:paraId="2938B32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[87]</w:t>
      </w:r>
      <w:r w:rsidRPr="00D7303D">
        <w:rPr>
          <w:rFonts w:ascii="Times New Roman" w:hAnsi="Times New Roman" w:cs="Times New Roman"/>
          <w:noProof/>
        </w:rPr>
        <w:tab/>
        <w:t xml:space="preserve">Z. P. Wang, Y. M. Tan, and K. M. Chua, “Board level reliability assessment of chip scale packages,” </w:t>
      </w:r>
      <w:r w:rsidRPr="00D7303D">
        <w:rPr>
          <w:rFonts w:ascii="Times New Roman" w:hAnsi="Times New Roman" w:cs="Times New Roman"/>
          <w:i/>
          <w:iCs/>
          <w:noProof/>
        </w:rPr>
        <w:t>Microelectron. Reliab.</w:t>
      </w:r>
      <w:r w:rsidRPr="00D7303D">
        <w:rPr>
          <w:rFonts w:ascii="Times New Roman" w:hAnsi="Times New Roman" w:cs="Times New Roman"/>
          <w:noProof/>
        </w:rPr>
        <w:t>, 1999, doi: 10.1016/S0026-2714(99)00057-8.</w:t>
      </w:r>
    </w:p>
    <w:p w14:paraId="7F3EDA8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[88]</w:t>
      </w:r>
      <w:r w:rsidRPr="00D7303D">
        <w:rPr>
          <w:rFonts w:ascii="Times New Roman" w:hAnsi="Times New Roman" w:cs="Times New Roman"/>
          <w:noProof/>
        </w:rPr>
        <w:tab/>
        <w:t>B. N. Muthuraman and B. Canete, “Board Level Reliability assessment of Wafer Level Chip Scale Packages for SACQ, a lead-free solder with a novel life prediction model,” 2018, doi: 10.1109/ESTC.2018.8546504.</w:t>
      </w:r>
    </w:p>
    <w:p w14:paraId="29525FAF"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[89]</w:t>
      </w:r>
      <w:r w:rsidRPr="00D7303D">
        <w:rPr>
          <w:rFonts w:ascii="Times New Roman" w:hAnsi="Times New Roman" w:cs="Times New Roman"/>
          <w:noProof/>
        </w:rPr>
        <w:tab/>
        <w:t xml:space="preserve">Z. W. Zhong and T. Y. Tee, “Overview of board-level solder joint reliability modeling for single die and stacked die CSPs,” </w:t>
      </w:r>
      <w:r w:rsidRPr="00D7303D">
        <w:rPr>
          <w:rFonts w:ascii="Times New Roman" w:hAnsi="Times New Roman" w:cs="Times New Roman"/>
          <w:i/>
          <w:iCs/>
          <w:noProof/>
        </w:rPr>
        <w:t>Proceedings of the IEEE</w:t>
      </w:r>
      <w:r w:rsidRPr="00D7303D">
        <w:rPr>
          <w:rFonts w:ascii="Times New Roman" w:hAnsi="Times New Roman" w:cs="Times New Roman"/>
          <w:noProof/>
        </w:rPr>
        <w:t>. 2009, doi: 10.1109/JPROC.2009.2014657.</w:t>
      </w:r>
    </w:p>
    <w:p w14:paraId="582D931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[90]</w:t>
      </w:r>
      <w:r w:rsidRPr="00D7303D">
        <w:rPr>
          <w:rFonts w:ascii="Times New Roman" w:hAnsi="Times New Roman" w:cs="Times New Roman"/>
          <w:noProof/>
        </w:rPr>
        <w:tab/>
        <w:t xml:space="preserve">S. W. Yoon, J. K. Hong, H. J. Kim, and K. Y. Byun, “Board-level reliability of Pb-free solder </w:t>
      </w:r>
      <w:r w:rsidRPr="00D7303D">
        <w:rPr>
          <w:rFonts w:ascii="Times New Roman" w:hAnsi="Times New Roman" w:cs="Times New Roman"/>
          <w:noProof/>
        </w:rPr>
        <w:lastRenderedPageBreak/>
        <w:t xml:space="preserve">joints of TSOP and various CSPs,” </w:t>
      </w:r>
      <w:r w:rsidRPr="00D7303D">
        <w:rPr>
          <w:rFonts w:ascii="Times New Roman" w:hAnsi="Times New Roman" w:cs="Times New Roman"/>
          <w:i/>
          <w:iCs/>
          <w:noProof/>
        </w:rPr>
        <w:t>IEEE Trans. Electron. Packag. Manuf.</w:t>
      </w:r>
      <w:r w:rsidRPr="00D7303D">
        <w:rPr>
          <w:rFonts w:ascii="Times New Roman" w:hAnsi="Times New Roman" w:cs="Times New Roman"/>
          <w:noProof/>
        </w:rPr>
        <w:t>, 2005, doi: 10.1109/TEPM.2005.847398.</w:t>
      </w:r>
    </w:p>
    <w:p w14:paraId="6771B7D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[91]</w:t>
      </w:r>
      <w:r w:rsidRPr="00D7303D">
        <w:rPr>
          <w:rFonts w:ascii="Times New Roman" w:hAnsi="Times New Roman" w:cs="Times New Roman"/>
          <w:noProof/>
        </w:rPr>
        <w:tab/>
        <w:t>H. Juso, Y. Yamaji, T. Kimura, K. Fujita, and M. Kada, “Board level reliability of CSP,” 1998, doi: 10.1109/ECTC.1998.678743.</w:t>
      </w:r>
    </w:p>
    <w:p w14:paraId="10A7B4E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[92]</w:t>
      </w:r>
      <w:r w:rsidRPr="00D7303D">
        <w:rPr>
          <w:rFonts w:ascii="Times New Roman" w:hAnsi="Times New Roman" w:cs="Times New Roman"/>
          <w:noProof/>
        </w:rPr>
        <w:tab/>
        <w:t>V. Solberg, “Board level reliability testing of μbGA® packaging with lead-free solder attachment,” 2000, doi: 10.1109/EPTC.2000.906342.</w:t>
      </w:r>
    </w:p>
    <w:p w14:paraId="0CD432C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[93]</w:t>
      </w:r>
      <w:r w:rsidRPr="00D7303D">
        <w:rPr>
          <w:rFonts w:ascii="Times New Roman" w:hAnsi="Times New Roman" w:cs="Times New Roman"/>
          <w:noProof/>
        </w:rPr>
        <w:tab/>
        <w:t xml:space="preserve">C. Shen </w:t>
      </w:r>
      <w:r w:rsidRPr="00D7303D">
        <w:rPr>
          <w:rFonts w:ascii="Times New Roman" w:hAnsi="Times New Roman" w:cs="Times New Roman"/>
          <w:i/>
          <w:iCs/>
          <w:noProof/>
        </w:rPr>
        <w:t>et al.</w:t>
      </w:r>
      <w:r w:rsidRPr="00D7303D">
        <w:rPr>
          <w:rFonts w:ascii="Times New Roman" w:hAnsi="Times New Roman" w:cs="Times New Roman"/>
          <w:noProof/>
        </w:rPr>
        <w:t xml:space="preserve">, “Packaging reliability effect of ENIG and ENEPIG surface finishes in board level thermal test under Long-term Aging and cycling,” </w:t>
      </w:r>
      <w:r w:rsidRPr="00D7303D">
        <w:rPr>
          <w:rFonts w:ascii="Times New Roman" w:hAnsi="Times New Roman" w:cs="Times New Roman"/>
          <w:i/>
          <w:iCs/>
          <w:noProof/>
        </w:rPr>
        <w:t>Materials (Basel).</w:t>
      </w:r>
      <w:r w:rsidRPr="00D7303D">
        <w:rPr>
          <w:rFonts w:ascii="Times New Roman" w:hAnsi="Times New Roman" w:cs="Times New Roman"/>
          <w:noProof/>
        </w:rPr>
        <w:t>, 2017, doi: 10.3390/ma10050451.</w:t>
      </w:r>
    </w:p>
    <w:p w14:paraId="43ABBD0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[94]</w:t>
      </w:r>
      <w:r w:rsidRPr="00D7303D">
        <w:rPr>
          <w:rFonts w:ascii="Times New Roman" w:hAnsi="Times New Roman" w:cs="Times New Roman"/>
          <w:noProof/>
        </w:rPr>
        <w:tab/>
        <w:t xml:space="preserve">C. G. Kuo, S. M. L. Sastry, and K. L. Jerina, “Creep-fatigue life prediction of in situ composite solders,” </w:t>
      </w:r>
      <w:r w:rsidRPr="00D7303D">
        <w:rPr>
          <w:rFonts w:ascii="Times New Roman" w:hAnsi="Times New Roman" w:cs="Times New Roman"/>
          <w:i/>
          <w:iCs/>
          <w:noProof/>
        </w:rPr>
        <w:t>Metall. Mater. Trans. A</w:t>
      </w:r>
      <w:r w:rsidRPr="00D7303D">
        <w:rPr>
          <w:rFonts w:ascii="Times New Roman" w:hAnsi="Times New Roman" w:cs="Times New Roman"/>
          <w:noProof/>
        </w:rPr>
        <w:t>, 1995, doi: 10.1007/BF02669454.</w:t>
      </w:r>
    </w:p>
    <w:p w14:paraId="2E7E8D4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[95]</w:t>
      </w:r>
      <w:r w:rsidRPr="00D7303D">
        <w:rPr>
          <w:rFonts w:ascii="Times New Roman" w:hAnsi="Times New Roman" w:cs="Times New Roman"/>
          <w:noProof/>
        </w:rPr>
        <w:tab/>
        <w:t xml:space="preserve">G. B. Kromann, D. Gerke, and W. Huang, “the C4 / Ceramic-ball-grid Array Interconnect Technology Freescale Semiconductor , I nc ... Semiconductor Products Sector Freescale Semiconductor , I nc ...,” in </w:t>
      </w:r>
      <w:r w:rsidRPr="00D7303D">
        <w:rPr>
          <w:rFonts w:ascii="Times New Roman" w:hAnsi="Times New Roman" w:cs="Times New Roman"/>
          <w:i/>
          <w:iCs/>
          <w:noProof/>
        </w:rPr>
        <w:t>In 1995 Proceedings. 45th Electronic Components and Technology Conference</w:t>
      </w:r>
      <w:r w:rsidRPr="00D7303D">
        <w:rPr>
          <w:rFonts w:ascii="Times New Roman" w:hAnsi="Times New Roman" w:cs="Times New Roman"/>
          <w:noProof/>
        </w:rPr>
        <w:t>, 1995, pp. 1–10.</w:t>
      </w:r>
    </w:p>
    <w:p w14:paraId="47FDD1CD"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[96]</w:t>
      </w:r>
      <w:r w:rsidRPr="00D7303D">
        <w:rPr>
          <w:rFonts w:ascii="Times New Roman" w:hAnsi="Times New Roman" w:cs="Times New Roman"/>
          <w:noProof/>
        </w:rPr>
        <w:tab/>
        <w:t xml:space="preserve">R. Guha </w:t>
      </w:r>
      <w:r w:rsidRPr="00D7303D">
        <w:rPr>
          <w:rFonts w:ascii="Times New Roman" w:hAnsi="Times New Roman" w:cs="Times New Roman"/>
          <w:i/>
          <w:iCs/>
          <w:noProof/>
        </w:rPr>
        <w:t>et al.</w:t>
      </w:r>
      <w:r w:rsidRPr="00D7303D">
        <w:rPr>
          <w:rFonts w:ascii="Times New Roman" w:hAnsi="Times New Roman" w:cs="Times New Roman"/>
          <w:noProof/>
        </w:rPr>
        <w:t xml:space="preserve">, “Plastic ball-grid-arrays (PBGA): Are they ready for environmentally harsh aerospace applications?,” </w:t>
      </w:r>
      <w:r w:rsidRPr="00D7303D">
        <w:rPr>
          <w:rFonts w:ascii="Times New Roman" w:hAnsi="Times New Roman" w:cs="Times New Roman"/>
          <w:i/>
          <w:iCs/>
          <w:noProof/>
        </w:rPr>
        <w:t>SAE Tech. Pap. 2002-01-3011, 2002</w:t>
      </w:r>
      <w:r w:rsidRPr="00D7303D">
        <w:rPr>
          <w:rFonts w:ascii="Times New Roman" w:hAnsi="Times New Roman" w:cs="Times New Roman"/>
          <w:noProof/>
        </w:rPr>
        <w:t>, 2002.</w:t>
      </w:r>
    </w:p>
    <w:p w14:paraId="6F66817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[97]</w:t>
      </w:r>
      <w:r w:rsidRPr="00D7303D">
        <w:rPr>
          <w:rFonts w:ascii="Times New Roman" w:hAnsi="Times New Roman" w:cs="Times New Roman"/>
          <w:noProof/>
        </w:rPr>
        <w:tab/>
        <w:t>D. Barbini and M. Meilunas, “Reliability of lead-free LGAs and BGAs: Effects of solder joint size, cyclic strain and microstructure,” 2013.</w:t>
      </w:r>
    </w:p>
    <w:p w14:paraId="4A824DF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[98]</w:t>
      </w:r>
      <w:r w:rsidRPr="00D7303D">
        <w:rPr>
          <w:rFonts w:ascii="Times New Roman" w:hAnsi="Times New Roman" w:cs="Times New Roman"/>
          <w:noProof/>
        </w:rPr>
        <w:tab/>
        <w:t xml:space="preserve">M. Meilunas, A. Primavera, and S. S. O. S. Dunford, “Reliability and failure analysis of lead-free solder joints,” </w:t>
      </w:r>
      <w:r w:rsidRPr="00D7303D">
        <w:rPr>
          <w:rFonts w:ascii="Times New Roman" w:hAnsi="Times New Roman" w:cs="Times New Roman"/>
          <w:i/>
          <w:iCs/>
          <w:noProof/>
        </w:rPr>
        <w:t>Proc. IPC Annu. …</w:t>
      </w:r>
      <w:r w:rsidRPr="00D7303D">
        <w:rPr>
          <w:rFonts w:ascii="Times New Roman" w:hAnsi="Times New Roman" w:cs="Times New Roman"/>
          <w:noProof/>
        </w:rPr>
        <w:t>, 2002.</w:t>
      </w:r>
    </w:p>
    <w:p w14:paraId="03F6919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[99]</w:t>
      </w:r>
      <w:r w:rsidRPr="00D7303D">
        <w:rPr>
          <w:rFonts w:ascii="Times New Roman" w:hAnsi="Times New Roman" w:cs="Times New Roman"/>
          <w:noProof/>
        </w:rPr>
        <w:tab/>
        <w:t>S. Chaparala, J. M. Pitarresi, and M. Meilunas, “Effect of dwell times and ramp rates on the thermal cycling reliability of Pb-free wafer- level chip scale packages - Experiments and modeling,” 2006, doi: 10.1115/IMECE2006-13376.</w:t>
      </w:r>
    </w:p>
    <w:p w14:paraId="253C2DE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[100]</w:t>
      </w:r>
      <w:r w:rsidRPr="00D7303D">
        <w:rPr>
          <w:rFonts w:ascii="Times New Roman" w:hAnsi="Times New Roman" w:cs="Times New Roman"/>
          <w:noProof/>
        </w:rPr>
        <w:tab/>
        <w:t>T. Baumann, D. Humphrey, and K. Prodromides, “Underfilled PBGA packages and their board level cycling and vibration performance,” 2002.</w:t>
      </w:r>
    </w:p>
    <w:p w14:paraId="10BA3E9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[101]</w:t>
      </w:r>
      <w:r w:rsidRPr="00D7303D">
        <w:rPr>
          <w:rFonts w:ascii="Times New Roman" w:hAnsi="Times New Roman" w:cs="Times New Roman"/>
          <w:noProof/>
        </w:rPr>
        <w:tab/>
        <w:t xml:space="preserve">D. Popps, A. Mawer, and G. Presas, “Flip chip PBGA solder joint reliability: power cycling versus thermal cycling,” </w:t>
      </w:r>
      <w:r w:rsidRPr="00D7303D">
        <w:rPr>
          <w:rFonts w:ascii="Times New Roman" w:hAnsi="Times New Roman" w:cs="Times New Roman"/>
          <w:i/>
          <w:iCs/>
          <w:noProof/>
        </w:rPr>
        <w:t>… Semicond. Prod. Sect. …</w:t>
      </w:r>
      <w:r w:rsidRPr="00D7303D">
        <w:rPr>
          <w:rFonts w:ascii="Times New Roman" w:hAnsi="Times New Roman" w:cs="Times New Roman"/>
          <w:noProof/>
        </w:rPr>
        <w:t>, 2005.</w:t>
      </w:r>
    </w:p>
    <w:p w14:paraId="5400768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[102]</w:t>
      </w:r>
      <w:r w:rsidRPr="00D7303D">
        <w:rPr>
          <w:rFonts w:ascii="Times New Roman" w:hAnsi="Times New Roman" w:cs="Times New Roman"/>
          <w:noProof/>
        </w:rPr>
        <w:tab/>
        <w:t xml:space="preserve">W. Engelmaier, “Guidelines for Accelerated Reliability Testing of Surface Mount Solder Attachments,” </w:t>
      </w:r>
      <w:r w:rsidRPr="00D7303D">
        <w:rPr>
          <w:rFonts w:ascii="Times New Roman" w:hAnsi="Times New Roman" w:cs="Times New Roman"/>
          <w:i/>
          <w:iCs/>
          <w:noProof/>
        </w:rPr>
        <w:t>IPC Guidel. IPC-SM-785</w:t>
      </w:r>
      <w:r w:rsidRPr="00D7303D">
        <w:rPr>
          <w:rFonts w:ascii="Times New Roman" w:hAnsi="Times New Roman" w:cs="Times New Roman"/>
          <w:noProof/>
        </w:rPr>
        <w:t>, 1992.</w:t>
      </w:r>
    </w:p>
    <w:p w14:paraId="30D112E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[103]</w:t>
      </w:r>
      <w:r w:rsidRPr="00D7303D">
        <w:rPr>
          <w:rFonts w:ascii="Times New Roman" w:hAnsi="Times New Roman" w:cs="Times New Roman"/>
          <w:noProof/>
        </w:rPr>
        <w:tab/>
        <w:t xml:space="preserve">JESD22-B111, “Board level drop test method of components for handheld electronic products,” </w:t>
      </w:r>
      <w:r w:rsidRPr="00D7303D">
        <w:rPr>
          <w:rFonts w:ascii="Times New Roman" w:hAnsi="Times New Roman" w:cs="Times New Roman"/>
          <w:i/>
          <w:iCs/>
          <w:noProof/>
        </w:rPr>
        <w:t>JEDEC Solid State Technol. Assoc</w:t>
      </w:r>
      <w:r w:rsidRPr="00D7303D">
        <w:rPr>
          <w:rFonts w:ascii="Times New Roman" w:hAnsi="Times New Roman" w:cs="Times New Roman"/>
          <w:noProof/>
        </w:rPr>
        <w:t>, 2003.</w:t>
      </w:r>
    </w:p>
    <w:p w14:paraId="5FCF28A5"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[104]</w:t>
      </w:r>
      <w:r w:rsidRPr="00D7303D">
        <w:rPr>
          <w:rFonts w:ascii="Times New Roman" w:hAnsi="Times New Roman" w:cs="Times New Roman"/>
          <w:noProof/>
        </w:rPr>
        <w:tab/>
        <w:t xml:space="preserve">IPC/JEDEC-9702, “Monotonic Bend Characterization of Board-level Interconnections,” </w:t>
      </w:r>
      <w:r w:rsidRPr="00D7303D">
        <w:rPr>
          <w:rFonts w:ascii="Times New Roman" w:hAnsi="Times New Roman" w:cs="Times New Roman"/>
          <w:i/>
          <w:iCs/>
          <w:noProof/>
        </w:rPr>
        <w:t>Assoc. Connect. Electron. Ind.</w:t>
      </w:r>
      <w:r w:rsidRPr="00D7303D">
        <w:rPr>
          <w:rFonts w:ascii="Times New Roman" w:hAnsi="Times New Roman" w:cs="Times New Roman"/>
          <w:noProof/>
        </w:rPr>
        <w:t>, 2004.</w:t>
      </w:r>
    </w:p>
    <w:p w14:paraId="29571E0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[105]</w:t>
      </w:r>
      <w:r w:rsidRPr="00D7303D">
        <w:rPr>
          <w:rFonts w:ascii="Times New Roman" w:hAnsi="Times New Roman" w:cs="Times New Roman"/>
          <w:noProof/>
        </w:rPr>
        <w:tab/>
        <w:t xml:space="preserve">IPC-9701, “Performance Test Methods and Qualification Requirements for Surface Mount Solder Attachments,” </w:t>
      </w:r>
      <w:r w:rsidRPr="00D7303D">
        <w:rPr>
          <w:rFonts w:ascii="Times New Roman" w:hAnsi="Times New Roman" w:cs="Times New Roman"/>
          <w:i/>
          <w:iCs/>
          <w:noProof/>
        </w:rPr>
        <w:t>Assoc. Connect. Electron. Ind.</w:t>
      </w:r>
      <w:r w:rsidRPr="00D7303D">
        <w:rPr>
          <w:rFonts w:ascii="Times New Roman" w:hAnsi="Times New Roman" w:cs="Times New Roman"/>
          <w:noProof/>
        </w:rPr>
        <w:t>, 2002.</w:t>
      </w:r>
    </w:p>
    <w:p w14:paraId="0E27D574"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[106]</w:t>
      </w:r>
      <w:r w:rsidRPr="00D7303D">
        <w:rPr>
          <w:rFonts w:ascii="Times New Roman" w:hAnsi="Times New Roman" w:cs="Times New Roman"/>
          <w:noProof/>
        </w:rPr>
        <w:tab/>
        <w:t xml:space="preserve">IPC-9701A, “Performance Test Methods and Qualification Requirements for Surface Mount Solder Attachments,” </w:t>
      </w:r>
      <w:r w:rsidRPr="00D7303D">
        <w:rPr>
          <w:rFonts w:ascii="Times New Roman" w:hAnsi="Times New Roman" w:cs="Times New Roman"/>
          <w:i/>
          <w:iCs/>
          <w:noProof/>
        </w:rPr>
        <w:t>Assoc. Connect. Electron. Ind.</w:t>
      </w:r>
      <w:r w:rsidRPr="00D7303D">
        <w:rPr>
          <w:rFonts w:ascii="Times New Roman" w:hAnsi="Times New Roman" w:cs="Times New Roman"/>
          <w:noProof/>
        </w:rPr>
        <w:t>, 2006.</w:t>
      </w:r>
    </w:p>
    <w:p w14:paraId="29346DA0"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[107]</w:t>
      </w:r>
      <w:r w:rsidRPr="00D7303D">
        <w:rPr>
          <w:rFonts w:ascii="Times New Roman" w:hAnsi="Times New Roman" w:cs="Times New Roman"/>
          <w:noProof/>
        </w:rPr>
        <w:tab/>
        <w:t>H. Qi, N. M. Vichare, M. H. Azarian, and M. Pecht, “Analysis of solder joint failure criteria and measurement techniques in the qualification of electronic products,” 2008, doi: 10.1109/TCAPT.2008.921647.</w:t>
      </w:r>
    </w:p>
    <w:p w14:paraId="5B5E6C9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[108]</w:t>
      </w:r>
      <w:r w:rsidRPr="00D7303D">
        <w:rPr>
          <w:rFonts w:ascii="Times New Roman" w:hAnsi="Times New Roman" w:cs="Times New Roman"/>
          <w:noProof/>
        </w:rPr>
        <w:tab/>
        <w:t xml:space="preserve">T. An, C. Fang, F. Qin, H. Li, T. Tang, and P. Chen, “Failure study of Sn37Pb PBGA solder joints using temperature cycling, random vibration and combined temperature cycling and random vibration tests,” </w:t>
      </w:r>
      <w:r w:rsidRPr="00D7303D">
        <w:rPr>
          <w:rFonts w:ascii="Times New Roman" w:hAnsi="Times New Roman" w:cs="Times New Roman"/>
          <w:i/>
          <w:iCs/>
          <w:noProof/>
        </w:rPr>
        <w:t>Microelectron. Reliab.</w:t>
      </w:r>
      <w:r w:rsidRPr="00D7303D">
        <w:rPr>
          <w:rFonts w:ascii="Times New Roman" w:hAnsi="Times New Roman" w:cs="Times New Roman"/>
          <w:noProof/>
        </w:rPr>
        <w:t>, 2018, doi: 10.1016/j.microrel.2018.10.003.</w:t>
      </w:r>
    </w:p>
    <w:p w14:paraId="5078B20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[109]</w:t>
      </w:r>
      <w:r w:rsidRPr="00D7303D">
        <w:rPr>
          <w:rFonts w:ascii="Times New Roman" w:hAnsi="Times New Roman" w:cs="Times New Roman"/>
          <w:noProof/>
        </w:rPr>
        <w:tab/>
        <w:t>M. C. Hsieh and S. L. Tzeng, “Solder joint fatigue life prediction in large size and low cost wafer-level chip scale packages,” 2014, doi: 10.1109/ICEPT.2014.6922704.</w:t>
      </w:r>
    </w:p>
    <w:p w14:paraId="4153645B"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[110]</w:t>
      </w:r>
      <w:r w:rsidRPr="00D7303D">
        <w:rPr>
          <w:rFonts w:ascii="Times New Roman" w:hAnsi="Times New Roman" w:cs="Times New Roman"/>
          <w:noProof/>
        </w:rPr>
        <w:tab/>
        <w:t xml:space="preserve">E. George, D. Das, M. Osterman, and M. Pecht, “Thermal cycling reliability of lead-free solders (SAC305 and Sn3.5Ag) for high-temperature applications,” </w:t>
      </w:r>
      <w:r w:rsidRPr="00D7303D">
        <w:rPr>
          <w:rFonts w:ascii="Times New Roman" w:hAnsi="Times New Roman" w:cs="Times New Roman"/>
          <w:i/>
          <w:iCs/>
          <w:noProof/>
        </w:rPr>
        <w:t>IEEE Trans. Device Mater. Reliab.</w:t>
      </w:r>
      <w:r w:rsidRPr="00D7303D">
        <w:rPr>
          <w:rFonts w:ascii="Times New Roman" w:hAnsi="Times New Roman" w:cs="Times New Roman"/>
          <w:noProof/>
        </w:rPr>
        <w:t>, 2011, doi: 10.1109/TDMR.2011.2134100.</w:t>
      </w:r>
    </w:p>
    <w:p w14:paraId="373DC369"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[111]</w:t>
      </w:r>
      <w:r w:rsidRPr="00D7303D">
        <w:rPr>
          <w:rFonts w:ascii="Times New Roman" w:hAnsi="Times New Roman" w:cs="Times New Roman"/>
          <w:noProof/>
        </w:rPr>
        <w:tab/>
        <w:t>W. Xie, T. K. Lee, K. C. Liu, and J. Xue, “Pb-Free solder joint reliability of fine pitch chip-scale packages,” 2010, doi: 10.1109/ECTC.2010.5490777.</w:t>
      </w:r>
    </w:p>
    <w:p w14:paraId="577E708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[112]</w:t>
      </w:r>
      <w:r w:rsidRPr="00D7303D">
        <w:rPr>
          <w:rFonts w:ascii="Times New Roman" w:hAnsi="Times New Roman" w:cs="Times New Roman"/>
          <w:noProof/>
        </w:rPr>
        <w:tab/>
        <w:t>F. X. Che, J. H. L. Pang, and L. H. Xu, “IMC consideration in FEA simulation for PB-free solder joint reliability,” 2006, doi: 10.1109/ITHERM.2006.1645456.</w:t>
      </w:r>
    </w:p>
    <w:p w14:paraId="28AEEB24"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[113]</w:t>
      </w:r>
      <w:r w:rsidRPr="00D7303D">
        <w:rPr>
          <w:rFonts w:ascii="Times New Roman" w:hAnsi="Times New Roman" w:cs="Times New Roman"/>
          <w:noProof/>
        </w:rPr>
        <w:tab/>
        <w:t xml:space="preserve">P. Arulvanan, Z. Zhong, and X. Shi, “Effects of process conditions on reliability, microstructure evolution and failure modes of SnAgCu solder joints,” </w:t>
      </w:r>
      <w:r w:rsidRPr="00D7303D">
        <w:rPr>
          <w:rFonts w:ascii="Times New Roman" w:hAnsi="Times New Roman" w:cs="Times New Roman"/>
          <w:i/>
          <w:iCs/>
          <w:noProof/>
        </w:rPr>
        <w:t>Microelectron. Reliab.</w:t>
      </w:r>
      <w:r w:rsidRPr="00D7303D">
        <w:rPr>
          <w:rFonts w:ascii="Times New Roman" w:hAnsi="Times New Roman" w:cs="Times New Roman"/>
          <w:noProof/>
        </w:rPr>
        <w:t>, 2006, doi: 10.1016/j.microrel.2005.05.005.</w:t>
      </w:r>
    </w:p>
    <w:p w14:paraId="597F9B9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[114]</w:t>
      </w:r>
      <w:r w:rsidRPr="00D7303D">
        <w:rPr>
          <w:rFonts w:ascii="Times New Roman" w:hAnsi="Times New Roman" w:cs="Times New Roman"/>
          <w:noProof/>
        </w:rPr>
        <w:tab/>
        <w:t>P. Lall, V. Yadav, J. Suhling, and D. Locker, “A study on the evolution of the high strain rate mechanical properties of SAC105 lead free alloy at high operating temperatures,” 2015, doi: 10.1115/IPACK2015-48389.</w:t>
      </w:r>
    </w:p>
    <w:p w14:paraId="0F80F60E"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[115]</w:t>
      </w:r>
      <w:r w:rsidRPr="00D7303D">
        <w:rPr>
          <w:rFonts w:ascii="Times New Roman" w:hAnsi="Times New Roman" w:cs="Times New Roman"/>
          <w:noProof/>
        </w:rPr>
        <w:tab/>
        <w:t>S. W. R. Lee and D. Lau, “Computational model validation with experimental data from temperature cycling tests of PBGA assemblies for the analysis of board level solder joint reliability,” 2004, doi: 10.1109/esime.2004.1304030.</w:t>
      </w:r>
    </w:p>
    <w:p w14:paraId="616C36C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[116]</w:t>
      </w:r>
      <w:r w:rsidRPr="00D7303D">
        <w:rPr>
          <w:rFonts w:ascii="Times New Roman" w:hAnsi="Times New Roman" w:cs="Times New Roman"/>
          <w:noProof/>
        </w:rPr>
        <w:tab/>
        <w:t>L. Zhang, R. Sitaraman, V. Patwardhan, L. Nguyen, and N. Kelkar, “Solder joint reliability model with modified Darveaux’s equations for the micro SMD wafer level-chip scale package family,” 2003, doi: 10.1109/ectc.2003.1216338.</w:t>
      </w:r>
    </w:p>
    <w:p w14:paraId="0F7E32E8"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lastRenderedPageBreak/>
        <w:t>[117]</w:t>
      </w:r>
      <w:r w:rsidRPr="00D7303D">
        <w:rPr>
          <w:rFonts w:ascii="Times New Roman" w:hAnsi="Times New Roman" w:cs="Times New Roman"/>
          <w:noProof/>
        </w:rPr>
        <w:tab/>
        <w:t xml:space="preserve">J. P. M. Clech, R. J. Coyle, and B. Arfaei, “Pb-Free Solder Joint Thermo-Mechanical Modeling: State of the Art and Challenges,” </w:t>
      </w:r>
      <w:r w:rsidRPr="00D7303D">
        <w:rPr>
          <w:rFonts w:ascii="Times New Roman" w:hAnsi="Times New Roman" w:cs="Times New Roman"/>
          <w:i/>
          <w:iCs/>
          <w:noProof/>
        </w:rPr>
        <w:t>JOM</w:t>
      </w:r>
      <w:r w:rsidRPr="00D7303D">
        <w:rPr>
          <w:rFonts w:ascii="Times New Roman" w:hAnsi="Times New Roman" w:cs="Times New Roman"/>
          <w:noProof/>
        </w:rPr>
        <w:t>, 2019, doi: 10.1007/s11837-018-3003-0.</w:t>
      </w:r>
    </w:p>
    <w:p w14:paraId="7773B41D"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[118]</w:t>
      </w:r>
      <w:r w:rsidRPr="00D7303D">
        <w:rPr>
          <w:rFonts w:ascii="Times New Roman" w:hAnsi="Times New Roman" w:cs="Times New Roman"/>
          <w:noProof/>
        </w:rPr>
        <w:tab/>
        <w:t xml:space="preserve">S. Su, F. J. J. Akkara, R. Thaper, A. Alkhazali, M. Hamasha, and S. Hamasha, “A state-of-the-art review of fatigue life prediction models for solder joint,” </w:t>
      </w:r>
      <w:r w:rsidRPr="00D7303D">
        <w:rPr>
          <w:rFonts w:ascii="Times New Roman" w:hAnsi="Times New Roman" w:cs="Times New Roman"/>
          <w:i/>
          <w:iCs/>
          <w:noProof/>
        </w:rPr>
        <w:t>J. Electron. Packag. Trans. ASME</w:t>
      </w:r>
      <w:r w:rsidRPr="00D7303D">
        <w:rPr>
          <w:rFonts w:ascii="Times New Roman" w:hAnsi="Times New Roman" w:cs="Times New Roman"/>
          <w:noProof/>
        </w:rPr>
        <w:t>, vol. 141, no. 4, 2019, doi: 10.1115/1.4043405.</w:t>
      </w:r>
    </w:p>
    <w:p w14:paraId="2CD1A177"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[119]</w:t>
      </w:r>
      <w:r w:rsidRPr="00D7303D">
        <w:rPr>
          <w:rFonts w:ascii="Times New Roman" w:hAnsi="Times New Roman" w:cs="Times New Roman"/>
          <w:noProof/>
        </w:rPr>
        <w:tab/>
        <w:t xml:space="preserve">N. Paydar, Y. Tong, H. Akay, and W. Boehmer, “Finite Element Mesh Generation and Analysis of Solder Joints for Fatigue Life Predictions,” </w:t>
      </w:r>
      <w:r w:rsidRPr="00D7303D">
        <w:rPr>
          <w:rFonts w:ascii="Times New Roman" w:hAnsi="Times New Roman" w:cs="Times New Roman"/>
          <w:i/>
          <w:iCs/>
          <w:noProof/>
        </w:rPr>
        <w:t>Mech. Eng.</w:t>
      </w:r>
      <w:r w:rsidRPr="00D7303D">
        <w:rPr>
          <w:rFonts w:ascii="Times New Roman" w:hAnsi="Times New Roman" w:cs="Times New Roman"/>
          <w:noProof/>
        </w:rPr>
        <w:t>, p. 179, 1993, [Online]. Available: http://oai.dtic.mil/oai/oai?verb=getRecord&amp;metadataPrefix=html&amp;identifier=ADA271329.</w:t>
      </w:r>
    </w:p>
    <w:p w14:paraId="012C1F7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[120]</w:t>
      </w:r>
      <w:r w:rsidRPr="00D7303D">
        <w:rPr>
          <w:rFonts w:ascii="Times New Roman" w:hAnsi="Times New Roman" w:cs="Times New Roman"/>
          <w:noProof/>
        </w:rPr>
        <w:tab/>
        <w:t xml:space="preserve">H. U. Akay, N. H. Paydar, and A. Bilgic, “Fatigue life predictions for thermally loaded solder joints using a volume-weighted averaging technique,” </w:t>
      </w:r>
      <w:r w:rsidRPr="00D7303D">
        <w:rPr>
          <w:rFonts w:ascii="Times New Roman" w:hAnsi="Times New Roman" w:cs="Times New Roman"/>
          <w:i/>
          <w:iCs/>
          <w:noProof/>
        </w:rPr>
        <w:t>J. Electron. Packag. Trans. ASME</w:t>
      </w:r>
      <w:r w:rsidRPr="00D7303D">
        <w:rPr>
          <w:rFonts w:ascii="Times New Roman" w:hAnsi="Times New Roman" w:cs="Times New Roman"/>
          <w:noProof/>
        </w:rPr>
        <w:t>, 1997, doi: 10.1115/1.2792241.</w:t>
      </w:r>
    </w:p>
    <w:p w14:paraId="14C095F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[121]</w:t>
      </w:r>
      <w:r w:rsidRPr="00D7303D">
        <w:rPr>
          <w:rFonts w:ascii="Times New Roman" w:hAnsi="Times New Roman" w:cs="Times New Roman"/>
          <w:noProof/>
        </w:rPr>
        <w:tab/>
        <w:t>H. D. Solomon, “Fatigue of 60 / 40 Solder,” vol. C, no. 4, pp. 423–432, 1987.</w:t>
      </w:r>
    </w:p>
    <w:p w14:paraId="3B44F361"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[122]</w:t>
      </w:r>
      <w:r w:rsidRPr="00D7303D">
        <w:rPr>
          <w:rFonts w:ascii="Times New Roman" w:hAnsi="Times New Roman" w:cs="Times New Roman"/>
          <w:noProof/>
        </w:rPr>
        <w:tab/>
        <w:t xml:space="preserve">H. D. Solomon, “The influence of hold time and fatigue cycle wave shape on the-low cycle fatigue of 60:40 solder.pdf,” in </w:t>
      </w:r>
      <w:r w:rsidRPr="00D7303D">
        <w:rPr>
          <w:rFonts w:ascii="Times New Roman" w:hAnsi="Times New Roman" w:cs="Times New Roman"/>
          <w:i/>
          <w:iCs/>
          <w:noProof/>
        </w:rPr>
        <w:t>38th Electronics Components Conference 1988., Proceedings</w:t>
      </w:r>
      <w:r w:rsidRPr="00D7303D">
        <w:rPr>
          <w:rFonts w:ascii="Times New Roman" w:hAnsi="Times New Roman" w:cs="Times New Roman"/>
          <w:noProof/>
        </w:rPr>
        <w:t>, 1988, pp. 7–12.</w:t>
      </w:r>
    </w:p>
    <w:p w14:paraId="5F39916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[123]</w:t>
      </w:r>
      <w:r w:rsidRPr="00D7303D">
        <w:rPr>
          <w:rFonts w:ascii="Times New Roman" w:hAnsi="Times New Roman" w:cs="Times New Roman"/>
          <w:noProof/>
        </w:rPr>
        <w:tab/>
        <w:t>H. Yang and J. Wu, “Prediction of mechanical properties and fatigue life of nano silver paste in chip interconnection,” pp. 1–14, 2020, doi: 10.21203/rs.2.23255/v1.</w:t>
      </w:r>
    </w:p>
    <w:p w14:paraId="3E8B6D83"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[124]</w:t>
      </w:r>
      <w:r w:rsidRPr="00D7303D">
        <w:rPr>
          <w:rFonts w:ascii="Times New Roman" w:hAnsi="Times New Roman" w:cs="Times New Roman"/>
          <w:noProof/>
        </w:rPr>
        <w:tab/>
        <w:t>Z. Qian and S. Liu, “On the life prediction and accelerated testing of solder joints,” 1998, doi: 10.1109/adhes.1998.742055.</w:t>
      </w:r>
    </w:p>
    <w:p w14:paraId="05F51FA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[125]</w:t>
      </w:r>
      <w:r w:rsidRPr="00D7303D">
        <w:rPr>
          <w:rFonts w:ascii="Times New Roman" w:hAnsi="Times New Roman" w:cs="Times New Roman"/>
          <w:noProof/>
        </w:rPr>
        <w:tab/>
        <w:t>A. Syed, “Updated life prediction models for solder joints with removal of modeling assumptions and effect of constitutive equations,” 2006, doi: 10.1109/ESIME.2006.1644010.</w:t>
      </w:r>
    </w:p>
    <w:p w14:paraId="27CCBE3C"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[126]</w:t>
      </w:r>
      <w:r w:rsidRPr="00D7303D">
        <w:rPr>
          <w:rFonts w:ascii="Times New Roman" w:hAnsi="Times New Roman" w:cs="Times New Roman"/>
          <w:noProof/>
        </w:rPr>
        <w:tab/>
        <w:t xml:space="preserve">M. Ekpu, R. Bhatti, M. I. Okereke, S. Mallik, and K. Otiaba, “Fatigue life of lead-free solder thermal interface materials at varying bond line thickness in microelectronics,” </w:t>
      </w:r>
      <w:r w:rsidRPr="00D7303D">
        <w:rPr>
          <w:rFonts w:ascii="Times New Roman" w:hAnsi="Times New Roman" w:cs="Times New Roman"/>
          <w:i/>
          <w:iCs/>
          <w:noProof/>
        </w:rPr>
        <w:t>Microelectron. Reliab.</w:t>
      </w:r>
      <w:r w:rsidRPr="00D7303D">
        <w:rPr>
          <w:rFonts w:ascii="Times New Roman" w:hAnsi="Times New Roman" w:cs="Times New Roman"/>
          <w:noProof/>
        </w:rPr>
        <w:t>, vol. 54, no. 1, pp. 239–244, 2014, doi: 10.1016/j.microrel.2013.08.006.</w:t>
      </w:r>
    </w:p>
    <w:p w14:paraId="74AAD8D6"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[127]</w:t>
      </w:r>
      <w:r w:rsidRPr="00D7303D">
        <w:rPr>
          <w:rFonts w:ascii="Times New Roman" w:hAnsi="Times New Roman" w:cs="Times New Roman"/>
          <w:noProof/>
        </w:rPr>
        <w:tab/>
        <w:t xml:space="preserve">Q. B. Tao, L. Benabou, V. N. Le, N. N. Anh, and T. N. Hung, “Temperature‐dependent fatigue modelling of a novel Ni, Bi and Sb containing Sn‐3.8Ag‐0.7Cu lead‐free solder alloy,” </w:t>
      </w:r>
      <w:r w:rsidRPr="00D7303D">
        <w:rPr>
          <w:rFonts w:ascii="Times New Roman" w:hAnsi="Times New Roman" w:cs="Times New Roman"/>
          <w:i/>
          <w:iCs/>
          <w:noProof/>
        </w:rPr>
        <w:t>Fatigue Fract. Eng. Mater. Struct.</w:t>
      </w:r>
      <w:r w:rsidRPr="00D7303D">
        <w:rPr>
          <w:rFonts w:ascii="Times New Roman" w:hAnsi="Times New Roman" w:cs="Times New Roman"/>
          <w:noProof/>
        </w:rPr>
        <w:t>, vol. 43, no. 12, pp. 2883–2891, 2020, doi: https://doi.org/10.1111/ffe.13313.</w:t>
      </w:r>
    </w:p>
    <w:p w14:paraId="594D902A" w14:textId="77777777" w:rsidR="00D7303D" w:rsidRPr="00D7303D" w:rsidRDefault="00D7303D" w:rsidP="00D7303D">
      <w:pPr>
        <w:widowControl w:val="0"/>
        <w:autoSpaceDE w:val="0"/>
        <w:autoSpaceDN w:val="0"/>
        <w:adjustRightInd w:val="0"/>
        <w:spacing w:before="120" w:line="360" w:lineRule="auto"/>
        <w:ind w:left="640" w:hanging="640"/>
        <w:jc w:val="both"/>
        <w:rPr>
          <w:rFonts w:ascii="Times New Roman" w:hAnsi="Times New Roman" w:cs="Times New Roman"/>
          <w:noProof/>
        </w:rPr>
      </w:pPr>
      <w:r w:rsidRPr="00D7303D">
        <w:rPr>
          <w:rFonts w:ascii="Times New Roman" w:hAnsi="Times New Roman" w:cs="Times New Roman"/>
          <w:noProof/>
        </w:rPr>
        <w:t>[128]</w:t>
      </w:r>
      <w:r w:rsidRPr="00D7303D">
        <w:rPr>
          <w:rFonts w:ascii="Times New Roman" w:hAnsi="Times New Roman" w:cs="Times New Roman"/>
          <w:noProof/>
        </w:rPr>
        <w:tab/>
        <w:t xml:space="preserve">S. Hamasha, L. Wentlent, and P. Borgesen, “Statistical Variations of Solder Joint Fatigue Life Under Realistic Service Conditions,” </w:t>
      </w:r>
      <w:r w:rsidRPr="00D7303D">
        <w:rPr>
          <w:rFonts w:ascii="Times New Roman" w:hAnsi="Times New Roman" w:cs="Times New Roman"/>
          <w:i/>
          <w:iCs/>
          <w:noProof/>
        </w:rPr>
        <w:t>IEEE Trans. Components, Packag. Manuf. Technol.</w:t>
      </w:r>
      <w:r w:rsidRPr="00D7303D">
        <w:rPr>
          <w:rFonts w:ascii="Times New Roman" w:hAnsi="Times New Roman" w:cs="Times New Roman"/>
          <w:noProof/>
        </w:rPr>
        <w:t>, 2015, doi: 10.1109/TCPMT.2015.2460244.</w:t>
      </w:r>
    </w:p>
    <w:p w14:paraId="42C80414" w14:textId="0FA07001" w:rsidR="00D7303D" w:rsidRPr="00D7303D" w:rsidRDefault="00D7303D" w:rsidP="00D7303D">
      <w:pPr>
        <w:spacing w:before="125" w:line="360" w:lineRule="auto"/>
        <w:ind w:right="38"/>
        <w:jc w:val="both"/>
        <w:rPr>
          <w:rFonts w:ascii="Times New Roman" w:hAnsi="Times New Roman" w:cs="Times New Roman"/>
          <w:b/>
        </w:rPr>
      </w:pPr>
      <w:r w:rsidRPr="00D7303D">
        <w:rPr>
          <w:rFonts w:ascii="Times New Roman" w:hAnsi="Times New Roman" w:cs="Times New Roman"/>
          <w:b/>
        </w:rPr>
        <w:fldChar w:fldCharType="end"/>
      </w:r>
    </w:p>
    <w:sectPr w:rsidR="00D7303D" w:rsidRPr="00D7303D" w:rsidSect="00790D42">
      <w:footerReference w:type="even" r:id="rId36"/>
      <w:footerReference w:type="default" r:id="rId37"/>
      <w:pgSz w:w="11906" w:h="16838"/>
      <w:pgMar w:top="1028" w:right="1440" w:bottom="128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5CCB7" w14:textId="77777777" w:rsidR="00B205D3" w:rsidRDefault="00B205D3" w:rsidP="00424BF8">
      <w:pPr>
        <w:spacing w:after="0" w:line="240" w:lineRule="auto"/>
      </w:pPr>
      <w:r>
        <w:separator/>
      </w:r>
    </w:p>
  </w:endnote>
  <w:endnote w:type="continuationSeparator" w:id="0">
    <w:p w14:paraId="6AAFE32B" w14:textId="77777777" w:rsidR="00B205D3" w:rsidRDefault="00B205D3" w:rsidP="0042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ᕨ"/>
    <w:panose1 w:val="00000500000000020000"/>
    <w:charset w:val="00"/>
    <w:family w:val="auto"/>
    <w:pitch w:val="variable"/>
    <w:sig w:usb0="E0002EFF" w:usb1="D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2574863"/>
      <w:docPartObj>
        <w:docPartGallery w:val="Page Numbers (Bottom of Page)"/>
        <w:docPartUnique/>
      </w:docPartObj>
    </w:sdtPr>
    <w:sdtEndPr>
      <w:rPr>
        <w:rStyle w:val="PageNumber"/>
      </w:rPr>
    </w:sdtEndPr>
    <w:sdtContent>
      <w:p w14:paraId="1BAE0185" w14:textId="3EE00813" w:rsidR="00CD6E12" w:rsidRDefault="00CD6E12" w:rsidP="00492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7E05B7" w14:textId="77777777" w:rsidR="00CD6E12" w:rsidRDefault="00CD6E12" w:rsidP="001C2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6720181"/>
      <w:docPartObj>
        <w:docPartGallery w:val="Page Numbers (Bottom of Page)"/>
        <w:docPartUnique/>
      </w:docPartObj>
    </w:sdtPr>
    <w:sdtEndPr>
      <w:rPr>
        <w:rStyle w:val="PageNumber"/>
      </w:rPr>
    </w:sdtEndPr>
    <w:sdtContent>
      <w:p w14:paraId="12B289EE" w14:textId="56DF8A9C" w:rsidR="00CD6E12" w:rsidRDefault="00CD6E12" w:rsidP="00492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2B222F8" w14:textId="6030C15A" w:rsidR="00CD6E12" w:rsidRDefault="00CD6E12" w:rsidP="001C2C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A011F" w14:textId="77777777" w:rsidR="00B205D3" w:rsidRDefault="00B205D3" w:rsidP="00424BF8">
      <w:pPr>
        <w:spacing w:after="0" w:line="240" w:lineRule="auto"/>
      </w:pPr>
      <w:r>
        <w:separator/>
      </w:r>
    </w:p>
  </w:footnote>
  <w:footnote w:type="continuationSeparator" w:id="0">
    <w:p w14:paraId="1D467ECC" w14:textId="77777777" w:rsidR="00B205D3" w:rsidRDefault="00B205D3" w:rsidP="00424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78B4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1250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125E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04B1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DAC1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4AF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1C51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0E1B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1A0F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D696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B1A94"/>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80515B"/>
    <w:multiLevelType w:val="hybridMultilevel"/>
    <w:tmpl w:val="939C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26BB4"/>
    <w:multiLevelType w:val="hybridMultilevel"/>
    <w:tmpl w:val="6134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394B0B"/>
    <w:multiLevelType w:val="multilevel"/>
    <w:tmpl w:val="67523436"/>
    <w:lvl w:ilvl="0">
      <w:start w:val="1"/>
      <w:numFmt w:val="bullet"/>
      <w:lvlText w:val=""/>
      <w:lvlJc w:val="left"/>
      <w:pPr>
        <w:ind w:left="720" w:hanging="360"/>
      </w:pPr>
      <w:rPr>
        <w:rFonts w:ascii="Symbol" w:hAnsi="Symbol"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A0D1474"/>
    <w:multiLevelType w:val="hybridMultilevel"/>
    <w:tmpl w:val="9DA0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866148"/>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E41B9F"/>
    <w:multiLevelType w:val="hybridMultilevel"/>
    <w:tmpl w:val="A5B4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6357B7"/>
    <w:multiLevelType w:val="hybridMultilevel"/>
    <w:tmpl w:val="AEAC9B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3E3D14"/>
    <w:multiLevelType w:val="hybridMultilevel"/>
    <w:tmpl w:val="DBCE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9E5A68"/>
    <w:multiLevelType w:val="hybridMultilevel"/>
    <w:tmpl w:val="07E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DB1A76"/>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2D5C12"/>
    <w:multiLevelType w:val="multilevel"/>
    <w:tmpl w:val="AEC07FB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2F05952"/>
    <w:multiLevelType w:val="multilevel"/>
    <w:tmpl w:val="AD58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C6950"/>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C0128"/>
    <w:multiLevelType w:val="hybridMultilevel"/>
    <w:tmpl w:val="2702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F4274C"/>
    <w:multiLevelType w:val="hybridMultilevel"/>
    <w:tmpl w:val="8E8A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B1697"/>
    <w:multiLevelType w:val="hybridMultilevel"/>
    <w:tmpl w:val="9378C9E4"/>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40483"/>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5A4A62"/>
    <w:multiLevelType w:val="hybridMultilevel"/>
    <w:tmpl w:val="9950F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A21C30"/>
    <w:multiLevelType w:val="multilevel"/>
    <w:tmpl w:val="670251F4"/>
    <w:lvl w:ilvl="0">
      <w:start w:val="1"/>
      <w:numFmt w:val="decimal"/>
      <w:lvlText w:val="%1."/>
      <w:lvlJc w:val="left"/>
      <w:pPr>
        <w:ind w:left="720" w:hanging="360"/>
      </w:pPr>
      <w:rPr>
        <w:rFonts w:hint="default"/>
      </w:rPr>
    </w:lvl>
    <w:lvl w:ilvl="1">
      <w:start w:val="5"/>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42420F32"/>
    <w:multiLevelType w:val="hybridMultilevel"/>
    <w:tmpl w:val="44862C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6D14BF"/>
    <w:multiLevelType w:val="multilevel"/>
    <w:tmpl w:val="4014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240D25"/>
    <w:multiLevelType w:val="hybridMultilevel"/>
    <w:tmpl w:val="EFAAD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DE3B28"/>
    <w:multiLevelType w:val="hybridMultilevel"/>
    <w:tmpl w:val="3E8CD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115CB9"/>
    <w:multiLevelType w:val="multilevel"/>
    <w:tmpl w:val="F4389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80414C"/>
    <w:multiLevelType w:val="hybridMultilevel"/>
    <w:tmpl w:val="879C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DF3589"/>
    <w:multiLevelType w:val="hybridMultilevel"/>
    <w:tmpl w:val="1DEC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2134FD"/>
    <w:multiLevelType w:val="multilevel"/>
    <w:tmpl w:val="9B96379E"/>
    <w:lvl w:ilvl="0">
      <w:start w:val="1"/>
      <w:numFmt w:val="decimal"/>
      <w:lvlText w:val="%1."/>
      <w:lvlJc w:val="left"/>
      <w:pPr>
        <w:ind w:left="720" w:hanging="360"/>
      </w:pPr>
    </w:lvl>
    <w:lvl w:ilv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16B17B4"/>
    <w:multiLevelType w:val="hybridMultilevel"/>
    <w:tmpl w:val="27A08E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EE0643"/>
    <w:multiLevelType w:val="multilevel"/>
    <w:tmpl w:val="ECC60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DD4199"/>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E06595"/>
    <w:multiLevelType w:val="hybridMultilevel"/>
    <w:tmpl w:val="95F2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E73DC3"/>
    <w:multiLevelType w:val="hybridMultilevel"/>
    <w:tmpl w:val="093A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4E3858"/>
    <w:multiLevelType w:val="hybridMultilevel"/>
    <w:tmpl w:val="9738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E399B"/>
    <w:multiLevelType w:val="multilevel"/>
    <w:tmpl w:val="AE38262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0D45D7"/>
    <w:multiLevelType w:val="hybridMultilevel"/>
    <w:tmpl w:val="0F3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6C5DF7"/>
    <w:multiLevelType w:val="multilevel"/>
    <w:tmpl w:val="11AE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17"/>
  </w:num>
  <w:num w:numId="13">
    <w:abstractNumId w:val="44"/>
  </w:num>
  <w:num w:numId="14">
    <w:abstractNumId w:val="11"/>
  </w:num>
  <w:num w:numId="15">
    <w:abstractNumId w:val="43"/>
  </w:num>
  <w:num w:numId="16">
    <w:abstractNumId w:val="29"/>
  </w:num>
  <w:num w:numId="17">
    <w:abstractNumId w:val="26"/>
  </w:num>
  <w:num w:numId="18">
    <w:abstractNumId w:val="33"/>
  </w:num>
  <w:num w:numId="19">
    <w:abstractNumId w:val="35"/>
  </w:num>
  <w:num w:numId="20">
    <w:abstractNumId w:val="22"/>
  </w:num>
  <w:num w:numId="21">
    <w:abstractNumId w:val="19"/>
  </w:num>
  <w:num w:numId="22">
    <w:abstractNumId w:val="16"/>
  </w:num>
  <w:num w:numId="23">
    <w:abstractNumId w:val="14"/>
  </w:num>
  <w:num w:numId="24">
    <w:abstractNumId w:val="32"/>
  </w:num>
  <w:num w:numId="25">
    <w:abstractNumId w:val="30"/>
  </w:num>
  <w:num w:numId="26">
    <w:abstractNumId w:val="28"/>
  </w:num>
  <w:num w:numId="27">
    <w:abstractNumId w:val="34"/>
  </w:num>
  <w:num w:numId="28">
    <w:abstractNumId w:val="31"/>
  </w:num>
  <w:num w:numId="29">
    <w:abstractNumId w:val="12"/>
  </w:num>
  <w:num w:numId="30">
    <w:abstractNumId w:val="21"/>
  </w:num>
  <w:num w:numId="31">
    <w:abstractNumId w:val="36"/>
  </w:num>
  <w:num w:numId="32">
    <w:abstractNumId w:val="13"/>
  </w:num>
  <w:num w:numId="33">
    <w:abstractNumId w:val="45"/>
  </w:num>
  <w:num w:numId="34">
    <w:abstractNumId w:val="18"/>
  </w:num>
  <w:num w:numId="35">
    <w:abstractNumId w:val="38"/>
  </w:num>
  <w:num w:numId="36">
    <w:abstractNumId w:val="24"/>
  </w:num>
  <w:num w:numId="37">
    <w:abstractNumId w:val="41"/>
  </w:num>
  <w:num w:numId="38">
    <w:abstractNumId w:val="42"/>
  </w:num>
  <w:num w:numId="39">
    <w:abstractNumId w:val="25"/>
  </w:num>
  <w:num w:numId="40">
    <w:abstractNumId w:val="46"/>
  </w:num>
  <w:num w:numId="41">
    <w:abstractNumId w:val="10"/>
  </w:num>
  <w:num w:numId="42">
    <w:abstractNumId w:val="23"/>
  </w:num>
  <w:num w:numId="43">
    <w:abstractNumId w:val="40"/>
  </w:num>
  <w:num w:numId="44">
    <w:abstractNumId w:val="20"/>
  </w:num>
  <w:num w:numId="45">
    <w:abstractNumId w:val="27"/>
  </w:num>
  <w:num w:numId="46">
    <w:abstractNumId w:val="39"/>
  </w:num>
  <w:num w:numId="4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86"/>
    <w:rsid w:val="00000267"/>
    <w:rsid w:val="000004B0"/>
    <w:rsid w:val="00000F06"/>
    <w:rsid w:val="00002285"/>
    <w:rsid w:val="000022FA"/>
    <w:rsid w:val="00002BCB"/>
    <w:rsid w:val="000030E4"/>
    <w:rsid w:val="0000347C"/>
    <w:rsid w:val="0000448C"/>
    <w:rsid w:val="00004C57"/>
    <w:rsid w:val="0000708C"/>
    <w:rsid w:val="00007106"/>
    <w:rsid w:val="00007446"/>
    <w:rsid w:val="00007A93"/>
    <w:rsid w:val="00010AA6"/>
    <w:rsid w:val="000119EE"/>
    <w:rsid w:val="00012453"/>
    <w:rsid w:val="00016D4C"/>
    <w:rsid w:val="00022BDC"/>
    <w:rsid w:val="00023BB9"/>
    <w:rsid w:val="00025088"/>
    <w:rsid w:val="00025A4F"/>
    <w:rsid w:val="00025EC4"/>
    <w:rsid w:val="00027331"/>
    <w:rsid w:val="000274A1"/>
    <w:rsid w:val="00030C15"/>
    <w:rsid w:val="000322B3"/>
    <w:rsid w:val="00034681"/>
    <w:rsid w:val="000358DB"/>
    <w:rsid w:val="00036713"/>
    <w:rsid w:val="00037139"/>
    <w:rsid w:val="00041C73"/>
    <w:rsid w:val="00041EA4"/>
    <w:rsid w:val="00042171"/>
    <w:rsid w:val="0004270E"/>
    <w:rsid w:val="00042CAF"/>
    <w:rsid w:val="00042EDB"/>
    <w:rsid w:val="00044F0F"/>
    <w:rsid w:val="00046624"/>
    <w:rsid w:val="00046A46"/>
    <w:rsid w:val="00047289"/>
    <w:rsid w:val="000526A9"/>
    <w:rsid w:val="0005323F"/>
    <w:rsid w:val="00054880"/>
    <w:rsid w:val="000559D5"/>
    <w:rsid w:val="00057F2C"/>
    <w:rsid w:val="000630B2"/>
    <w:rsid w:val="00063497"/>
    <w:rsid w:val="00063D5E"/>
    <w:rsid w:val="00064399"/>
    <w:rsid w:val="00065C80"/>
    <w:rsid w:val="00066717"/>
    <w:rsid w:val="00070787"/>
    <w:rsid w:val="000711FA"/>
    <w:rsid w:val="00071AC7"/>
    <w:rsid w:val="00072403"/>
    <w:rsid w:val="00073850"/>
    <w:rsid w:val="000757A7"/>
    <w:rsid w:val="00076A68"/>
    <w:rsid w:val="00077080"/>
    <w:rsid w:val="000815E6"/>
    <w:rsid w:val="0008232B"/>
    <w:rsid w:val="0008399D"/>
    <w:rsid w:val="00084426"/>
    <w:rsid w:val="00084DC8"/>
    <w:rsid w:val="0008718E"/>
    <w:rsid w:val="00093664"/>
    <w:rsid w:val="00094BED"/>
    <w:rsid w:val="00095BFA"/>
    <w:rsid w:val="00096A30"/>
    <w:rsid w:val="00097161"/>
    <w:rsid w:val="00097E5F"/>
    <w:rsid w:val="000A23DF"/>
    <w:rsid w:val="000A2ADA"/>
    <w:rsid w:val="000A3C3B"/>
    <w:rsid w:val="000A4685"/>
    <w:rsid w:val="000B09A3"/>
    <w:rsid w:val="000B143B"/>
    <w:rsid w:val="000B19B3"/>
    <w:rsid w:val="000C0A49"/>
    <w:rsid w:val="000C5B86"/>
    <w:rsid w:val="000C70C6"/>
    <w:rsid w:val="000D5CD5"/>
    <w:rsid w:val="000D6A7F"/>
    <w:rsid w:val="000D7411"/>
    <w:rsid w:val="000D7908"/>
    <w:rsid w:val="000E187B"/>
    <w:rsid w:val="000E1E01"/>
    <w:rsid w:val="000E252F"/>
    <w:rsid w:val="000E3DF9"/>
    <w:rsid w:val="000F0595"/>
    <w:rsid w:val="000F05D0"/>
    <w:rsid w:val="000F1216"/>
    <w:rsid w:val="000F1228"/>
    <w:rsid w:val="000F1C83"/>
    <w:rsid w:val="000F3B11"/>
    <w:rsid w:val="000F5B93"/>
    <w:rsid w:val="000F5EE8"/>
    <w:rsid w:val="00101E01"/>
    <w:rsid w:val="001039AD"/>
    <w:rsid w:val="0010425F"/>
    <w:rsid w:val="00105752"/>
    <w:rsid w:val="0010582A"/>
    <w:rsid w:val="00110046"/>
    <w:rsid w:val="0011102E"/>
    <w:rsid w:val="00112555"/>
    <w:rsid w:val="00112FD3"/>
    <w:rsid w:val="00113509"/>
    <w:rsid w:val="00113E13"/>
    <w:rsid w:val="00114C34"/>
    <w:rsid w:val="00114D24"/>
    <w:rsid w:val="00115AAA"/>
    <w:rsid w:val="00115DE8"/>
    <w:rsid w:val="00120ECF"/>
    <w:rsid w:val="00122188"/>
    <w:rsid w:val="001224D4"/>
    <w:rsid w:val="00124FFB"/>
    <w:rsid w:val="00130801"/>
    <w:rsid w:val="001328E5"/>
    <w:rsid w:val="001408CC"/>
    <w:rsid w:val="00140C89"/>
    <w:rsid w:val="001410BB"/>
    <w:rsid w:val="0014248D"/>
    <w:rsid w:val="00142668"/>
    <w:rsid w:val="0014327F"/>
    <w:rsid w:val="00144428"/>
    <w:rsid w:val="00144C86"/>
    <w:rsid w:val="001470DD"/>
    <w:rsid w:val="00147C7B"/>
    <w:rsid w:val="00150D78"/>
    <w:rsid w:val="00152900"/>
    <w:rsid w:val="001536F1"/>
    <w:rsid w:val="0015456D"/>
    <w:rsid w:val="0015494F"/>
    <w:rsid w:val="00156F73"/>
    <w:rsid w:val="00157071"/>
    <w:rsid w:val="0016366D"/>
    <w:rsid w:val="001648DC"/>
    <w:rsid w:val="00164B70"/>
    <w:rsid w:val="00165437"/>
    <w:rsid w:val="00166353"/>
    <w:rsid w:val="00166773"/>
    <w:rsid w:val="00167C17"/>
    <w:rsid w:val="00171B76"/>
    <w:rsid w:val="00172496"/>
    <w:rsid w:val="00174FC0"/>
    <w:rsid w:val="00175006"/>
    <w:rsid w:val="001758E3"/>
    <w:rsid w:val="00175A42"/>
    <w:rsid w:val="001761F1"/>
    <w:rsid w:val="001765A5"/>
    <w:rsid w:val="001765DE"/>
    <w:rsid w:val="001779C6"/>
    <w:rsid w:val="00180CBE"/>
    <w:rsid w:val="0018380A"/>
    <w:rsid w:val="00184350"/>
    <w:rsid w:val="0018451B"/>
    <w:rsid w:val="00184572"/>
    <w:rsid w:val="00184D00"/>
    <w:rsid w:val="00184DCA"/>
    <w:rsid w:val="00185F97"/>
    <w:rsid w:val="00192E72"/>
    <w:rsid w:val="0019340E"/>
    <w:rsid w:val="001961B5"/>
    <w:rsid w:val="001A3C00"/>
    <w:rsid w:val="001A563B"/>
    <w:rsid w:val="001A7164"/>
    <w:rsid w:val="001B0995"/>
    <w:rsid w:val="001B159E"/>
    <w:rsid w:val="001C0F63"/>
    <w:rsid w:val="001C1560"/>
    <w:rsid w:val="001C280A"/>
    <w:rsid w:val="001C2CBA"/>
    <w:rsid w:val="001C3944"/>
    <w:rsid w:val="001C3D8D"/>
    <w:rsid w:val="001C43F1"/>
    <w:rsid w:val="001C57CB"/>
    <w:rsid w:val="001D215E"/>
    <w:rsid w:val="001D426B"/>
    <w:rsid w:val="001D4FA7"/>
    <w:rsid w:val="001D57AF"/>
    <w:rsid w:val="001D5F14"/>
    <w:rsid w:val="001D7CDD"/>
    <w:rsid w:val="001E1303"/>
    <w:rsid w:val="001E1669"/>
    <w:rsid w:val="001E211E"/>
    <w:rsid w:val="001E2A9D"/>
    <w:rsid w:val="001E37AB"/>
    <w:rsid w:val="001E37E7"/>
    <w:rsid w:val="001E41E1"/>
    <w:rsid w:val="001E469E"/>
    <w:rsid w:val="001E6D73"/>
    <w:rsid w:val="001E7F4C"/>
    <w:rsid w:val="001F11D9"/>
    <w:rsid w:val="001F33CE"/>
    <w:rsid w:val="001F5616"/>
    <w:rsid w:val="001F7B9B"/>
    <w:rsid w:val="0020214B"/>
    <w:rsid w:val="002028E8"/>
    <w:rsid w:val="0020374F"/>
    <w:rsid w:val="002068A2"/>
    <w:rsid w:val="0020707B"/>
    <w:rsid w:val="00207250"/>
    <w:rsid w:val="00207A76"/>
    <w:rsid w:val="00211384"/>
    <w:rsid w:val="002131A6"/>
    <w:rsid w:val="00213F71"/>
    <w:rsid w:val="00213FC1"/>
    <w:rsid w:val="002179D7"/>
    <w:rsid w:val="0022171F"/>
    <w:rsid w:val="00222EC1"/>
    <w:rsid w:val="0022553F"/>
    <w:rsid w:val="00227066"/>
    <w:rsid w:val="00231430"/>
    <w:rsid w:val="00234108"/>
    <w:rsid w:val="00234992"/>
    <w:rsid w:val="002376C8"/>
    <w:rsid w:val="00241B46"/>
    <w:rsid w:val="00242414"/>
    <w:rsid w:val="002448A8"/>
    <w:rsid w:val="002502D2"/>
    <w:rsid w:val="0025037F"/>
    <w:rsid w:val="002509DB"/>
    <w:rsid w:val="00250DE2"/>
    <w:rsid w:val="00252D82"/>
    <w:rsid w:val="00253FA1"/>
    <w:rsid w:val="002541F3"/>
    <w:rsid w:val="00254763"/>
    <w:rsid w:val="00255E1E"/>
    <w:rsid w:val="002616AF"/>
    <w:rsid w:val="00261D43"/>
    <w:rsid w:val="00263198"/>
    <w:rsid w:val="002632A3"/>
    <w:rsid w:val="002644EE"/>
    <w:rsid w:val="00265962"/>
    <w:rsid w:val="00266375"/>
    <w:rsid w:val="00273618"/>
    <w:rsid w:val="00273D3A"/>
    <w:rsid w:val="00277E30"/>
    <w:rsid w:val="00282BAF"/>
    <w:rsid w:val="00285344"/>
    <w:rsid w:val="002875E9"/>
    <w:rsid w:val="002921EC"/>
    <w:rsid w:val="00293223"/>
    <w:rsid w:val="0029562F"/>
    <w:rsid w:val="0029592B"/>
    <w:rsid w:val="002A0086"/>
    <w:rsid w:val="002A0FFA"/>
    <w:rsid w:val="002A2075"/>
    <w:rsid w:val="002A382E"/>
    <w:rsid w:val="002A664C"/>
    <w:rsid w:val="002A6DEF"/>
    <w:rsid w:val="002A706F"/>
    <w:rsid w:val="002A7D4A"/>
    <w:rsid w:val="002B22DF"/>
    <w:rsid w:val="002B2980"/>
    <w:rsid w:val="002B3443"/>
    <w:rsid w:val="002C29F5"/>
    <w:rsid w:val="002C45CE"/>
    <w:rsid w:val="002C7ABE"/>
    <w:rsid w:val="002C7B51"/>
    <w:rsid w:val="002D158E"/>
    <w:rsid w:val="002D343A"/>
    <w:rsid w:val="002D43E3"/>
    <w:rsid w:val="002D5266"/>
    <w:rsid w:val="002D58EF"/>
    <w:rsid w:val="002D7B33"/>
    <w:rsid w:val="002E175B"/>
    <w:rsid w:val="002E42A3"/>
    <w:rsid w:val="002E453A"/>
    <w:rsid w:val="002E6540"/>
    <w:rsid w:val="002E6E32"/>
    <w:rsid w:val="002F1B6D"/>
    <w:rsid w:val="002F29A2"/>
    <w:rsid w:val="002F2D15"/>
    <w:rsid w:val="002F3923"/>
    <w:rsid w:val="002F3A8B"/>
    <w:rsid w:val="002F4E96"/>
    <w:rsid w:val="002F7D71"/>
    <w:rsid w:val="00302433"/>
    <w:rsid w:val="00303719"/>
    <w:rsid w:val="0030760C"/>
    <w:rsid w:val="00307893"/>
    <w:rsid w:val="003079CE"/>
    <w:rsid w:val="00310DB9"/>
    <w:rsid w:val="00315475"/>
    <w:rsid w:val="00317B67"/>
    <w:rsid w:val="00320CB2"/>
    <w:rsid w:val="0032100F"/>
    <w:rsid w:val="003217E1"/>
    <w:rsid w:val="003223F8"/>
    <w:rsid w:val="00323957"/>
    <w:rsid w:val="003265D4"/>
    <w:rsid w:val="00326B0D"/>
    <w:rsid w:val="003275E5"/>
    <w:rsid w:val="003302CD"/>
    <w:rsid w:val="00330682"/>
    <w:rsid w:val="003337E7"/>
    <w:rsid w:val="0033460C"/>
    <w:rsid w:val="00335625"/>
    <w:rsid w:val="0033581F"/>
    <w:rsid w:val="00336069"/>
    <w:rsid w:val="00340D1B"/>
    <w:rsid w:val="00341149"/>
    <w:rsid w:val="003434F5"/>
    <w:rsid w:val="00344EBB"/>
    <w:rsid w:val="003464A3"/>
    <w:rsid w:val="00346877"/>
    <w:rsid w:val="003518EC"/>
    <w:rsid w:val="00352418"/>
    <w:rsid w:val="00352833"/>
    <w:rsid w:val="00354834"/>
    <w:rsid w:val="00354D92"/>
    <w:rsid w:val="00355013"/>
    <w:rsid w:val="0035530C"/>
    <w:rsid w:val="00356CA8"/>
    <w:rsid w:val="003572D5"/>
    <w:rsid w:val="00357F47"/>
    <w:rsid w:val="003609F9"/>
    <w:rsid w:val="0036128B"/>
    <w:rsid w:val="00362BA4"/>
    <w:rsid w:val="0036378D"/>
    <w:rsid w:val="00363B16"/>
    <w:rsid w:val="00364BD1"/>
    <w:rsid w:val="00365E5B"/>
    <w:rsid w:val="003709D2"/>
    <w:rsid w:val="0037493F"/>
    <w:rsid w:val="0037510D"/>
    <w:rsid w:val="003757E0"/>
    <w:rsid w:val="00376BD6"/>
    <w:rsid w:val="00377471"/>
    <w:rsid w:val="003809D4"/>
    <w:rsid w:val="003826A6"/>
    <w:rsid w:val="00385539"/>
    <w:rsid w:val="00386705"/>
    <w:rsid w:val="00386A5C"/>
    <w:rsid w:val="003871B1"/>
    <w:rsid w:val="003872B3"/>
    <w:rsid w:val="003872B7"/>
    <w:rsid w:val="00390721"/>
    <w:rsid w:val="003908C5"/>
    <w:rsid w:val="0039116B"/>
    <w:rsid w:val="0039530C"/>
    <w:rsid w:val="003A00A9"/>
    <w:rsid w:val="003A0349"/>
    <w:rsid w:val="003A39B1"/>
    <w:rsid w:val="003A65A4"/>
    <w:rsid w:val="003A7C17"/>
    <w:rsid w:val="003B097A"/>
    <w:rsid w:val="003B11A0"/>
    <w:rsid w:val="003B2D4A"/>
    <w:rsid w:val="003B4A20"/>
    <w:rsid w:val="003B5C9A"/>
    <w:rsid w:val="003B607F"/>
    <w:rsid w:val="003C1878"/>
    <w:rsid w:val="003C3127"/>
    <w:rsid w:val="003C4656"/>
    <w:rsid w:val="003C5D46"/>
    <w:rsid w:val="003C5F52"/>
    <w:rsid w:val="003C6809"/>
    <w:rsid w:val="003D100C"/>
    <w:rsid w:val="003D3459"/>
    <w:rsid w:val="003D34B6"/>
    <w:rsid w:val="003D4B53"/>
    <w:rsid w:val="003D4DFD"/>
    <w:rsid w:val="003D5565"/>
    <w:rsid w:val="003D588E"/>
    <w:rsid w:val="003D5D1E"/>
    <w:rsid w:val="003D678A"/>
    <w:rsid w:val="003D7262"/>
    <w:rsid w:val="003D7672"/>
    <w:rsid w:val="003E00CB"/>
    <w:rsid w:val="003E21B6"/>
    <w:rsid w:val="003E5979"/>
    <w:rsid w:val="003E6F4F"/>
    <w:rsid w:val="003E7B75"/>
    <w:rsid w:val="003F154F"/>
    <w:rsid w:val="003F2215"/>
    <w:rsid w:val="003F4D28"/>
    <w:rsid w:val="003F4FD8"/>
    <w:rsid w:val="003F5767"/>
    <w:rsid w:val="003F650E"/>
    <w:rsid w:val="003F7977"/>
    <w:rsid w:val="003F7E18"/>
    <w:rsid w:val="00405068"/>
    <w:rsid w:val="00405AED"/>
    <w:rsid w:val="00407878"/>
    <w:rsid w:val="0041079C"/>
    <w:rsid w:val="00410CBB"/>
    <w:rsid w:val="004112C0"/>
    <w:rsid w:val="004117ED"/>
    <w:rsid w:val="00412E56"/>
    <w:rsid w:val="00413B0B"/>
    <w:rsid w:val="00413BD1"/>
    <w:rsid w:val="00416442"/>
    <w:rsid w:val="0041661D"/>
    <w:rsid w:val="0042051A"/>
    <w:rsid w:val="004207C7"/>
    <w:rsid w:val="00424BF8"/>
    <w:rsid w:val="00426782"/>
    <w:rsid w:val="00427289"/>
    <w:rsid w:val="00430661"/>
    <w:rsid w:val="004309B9"/>
    <w:rsid w:val="00431C4E"/>
    <w:rsid w:val="00431DE6"/>
    <w:rsid w:val="0043338B"/>
    <w:rsid w:val="00444110"/>
    <w:rsid w:val="00453522"/>
    <w:rsid w:val="00453D4F"/>
    <w:rsid w:val="0045433E"/>
    <w:rsid w:val="004553C9"/>
    <w:rsid w:val="0046136C"/>
    <w:rsid w:val="00463259"/>
    <w:rsid w:val="0046349F"/>
    <w:rsid w:val="004641B3"/>
    <w:rsid w:val="00464D92"/>
    <w:rsid w:val="00466B91"/>
    <w:rsid w:val="00466D66"/>
    <w:rsid w:val="0046798B"/>
    <w:rsid w:val="00470261"/>
    <w:rsid w:val="004707FB"/>
    <w:rsid w:val="004721BC"/>
    <w:rsid w:val="004721D4"/>
    <w:rsid w:val="00472DB8"/>
    <w:rsid w:val="00472F38"/>
    <w:rsid w:val="004744B1"/>
    <w:rsid w:val="004759F1"/>
    <w:rsid w:val="00483BF1"/>
    <w:rsid w:val="00486936"/>
    <w:rsid w:val="00490DFC"/>
    <w:rsid w:val="004916B6"/>
    <w:rsid w:val="004927DB"/>
    <w:rsid w:val="00492D97"/>
    <w:rsid w:val="00493564"/>
    <w:rsid w:val="004958D6"/>
    <w:rsid w:val="004A042D"/>
    <w:rsid w:val="004A05C5"/>
    <w:rsid w:val="004A0F82"/>
    <w:rsid w:val="004A13AE"/>
    <w:rsid w:val="004A32F7"/>
    <w:rsid w:val="004A65BF"/>
    <w:rsid w:val="004A76B0"/>
    <w:rsid w:val="004B05D8"/>
    <w:rsid w:val="004B06DB"/>
    <w:rsid w:val="004B0D06"/>
    <w:rsid w:val="004B1D61"/>
    <w:rsid w:val="004B1DEC"/>
    <w:rsid w:val="004B260F"/>
    <w:rsid w:val="004B2CCA"/>
    <w:rsid w:val="004B405A"/>
    <w:rsid w:val="004C0DA8"/>
    <w:rsid w:val="004C15C2"/>
    <w:rsid w:val="004C255E"/>
    <w:rsid w:val="004C3E46"/>
    <w:rsid w:val="004C4418"/>
    <w:rsid w:val="004D0C15"/>
    <w:rsid w:val="004D0E6A"/>
    <w:rsid w:val="004D3373"/>
    <w:rsid w:val="004D3928"/>
    <w:rsid w:val="004D3BA3"/>
    <w:rsid w:val="004D5B84"/>
    <w:rsid w:val="004E01F9"/>
    <w:rsid w:val="004E2677"/>
    <w:rsid w:val="004E2DF7"/>
    <w:rsid w:val="004E2FBC"/>
    <w:rsid w:val="004E55D4"/>
    <w:rsid w:val="004E6F91"/>
    <w:rsid w:val="004E7682"/>
    <w:rsid w:val="004F0B4D"/>
    <w:rsid w:val="004F2FF5"/>
    <w:rsid w:val="004F489C"/>
    <w:rsid w:val="004F4B90"/>
    <w:rsid w:val="004F64BE"/>
    <w:rsid w:val="004F6A8C"/>
    <w:rsid w:val="004F751E"/>
    <w:rsid w:val="00502186"/>
    <w:rsid w:val="00503EB0"/>
    <w:rsid w:val="00510B2D"/>
    <w:rsid w:val="005124E0"/>
    <w:rsid w:val="00512F1E"/>
    <w:rsid w:val="00513752"/>
    <w:rsid w:val="0051382A"/>
    <w:rsid w:val="005138E3"/>
    <w:rsid w:val="00516DC8"/>
    <w:rsid w:val="00517B52"/>
    <w:rsid w:val="005214C6"/>
    <w:rsid w:val="00521802"/>
    <w:rsid w:val="00523F57"/>
    <w:rsid w:val="00527A40"/>
    <w:rsid w:val="0053020B"/>
    <w:rsid w:val="00530300"/>
    <w:rsid w:val="0053072B"/>
    <w:rsid w:val="00530880"/>
    <w:rsid w:val="00531336"/>
    <w:rsid w:val="00532728"/>
    <w:rsid w:val="005353DF"/>
    <w:rsid w:val="005364B4"/>
    <w:rsid w:val="0054057D"/>
    <w:rsid w:val="00540681"/>
    <w:rsid w:val="00540FFB"/>
    <w:rsid w:val="00541376"/>
    <w:rsid w:val="00543440"/>
    <w:rsid w:val="005435AF"/>
    <w:rsid w:val="00550D4F"/>
    <w:rsid w:val="00553174"/>
    <w:rsid w:val="00553CC4"/>
    <w:rsid w:val="00555423"/>
    <w:rsid w:val="00557AEF"/>
    <w:rsid w:val="00563B85"/>
    <w:rsid w:val="0056552F"/>
    <w:rsid w:val="005702B1"/>
    <w:rsid w:val="0057115E"/>
    <w:rsid w:val="00572157"/>
    <w:rsid w:val="00572D91"/>
    <w:rsid w:val="00575E41"/>
    <w:rsid w:val="0057610D"/>
    <w:rsid w:val="005766DD"/>
    <w:rsid w:val="00577B8E"/>
    <w:rsid w:val="005815AA"/>
    <w:rsid w:val="005818D3"/>
    <w:rsid w:val="005867BB"/>
    <w:rsid w:val="00587BC0"/>
    <w:rsid w:val="00587FE8"/>
    <w:rsid w:val="00591AAD"/>
    <w:rsid w:val="005924E6"/>
    <w:rsid w:val="00593ACF"/>
    <w:rsid w:val="00595835"/>
    <w:rsid w:val="00596265"/>
    <w:rsid w:val="005977E2"/>
    <w:rsid w:val="005A0B17"/>
    <w:rsid w:val="005A1A93"/>
    <w:rsid w:val="005A562C"/>
    <w:rsid w:val="005A64BD"/>
    <w:rsid w:val="005A7D2D"/>
    <w:rsid w:val="005B284C"/>
    <w:rsid w:val="005B2B81"/>
    <w:rsid w:val="005B300C"/>
    <w:rsid w:val="005B669A"/>
    <w:rsid w:val="005C258F"/>
    <w:rsid w:val="005C27AC"/>
    <w:rsid w:val="005C40D6"/>
    <w:rsid w:val="005C4490"/>
    <w:rsid w:val="005C49B4"/>
    <w:rsid w:val="005C5B7C"/>
    <w:rsid w:val="005D1147"/>
    <w:rsid w:val="005D16E0"/>
    <w:rsid w:val="005D1C6E"/>
    <w:rsid w:val="005D1CC4"/>
    <w:rsid w:val="005D4AD9"/>
    <w:rsid w:val="005D5037"/>
    <w:rsid w:val="005D6B7B"/>
    <w:rsid w:val="005D7AAA"/>
    <w:rsid w:val="005E2FCA"/>
    <w:rsid w:val="005E4D27"/>
    <w:rsid w:val="005E4DD0"/>
    <w:rsid w:val="005E587E"/>
    <w:rsid w:val="005E6E58"/>
    <w:rsid w:val="005E7DED"/>
    <w:rsid w:val="005F0E07"/>
    <w:rsid w:val="005F19D4"/>
    <w:rsid w:val="005F1B55"/>
    <w:rsid w:val="005F1D39"/>
    <w:rsid w:val="005F3F02"/>
    <w:rsid w:val="005F42CC"/>
    <w:rsid w:val="005F493B"/>
    <w:rsid w:val="005F5F7F"/>
    <w:rsid w:val="005F6A2F"/>
    <w:rsid w:val="00601167"/>
    <w:rsid w:val="0060288A"/>
    <w:rsid w:val="006071F1"/>
    <w:rsid w:val="00610558"/>
    <w:rsid w:val="006119F9"/>
    <w:rsid w:val="00612648"/>
    <w:rsid w:val="006130CF"/>
    <w:rsid w:val="00613D14"/>
    <w:rsid w:val="0061440C"/>
    <w:rsid w:val="00614908"/>
    <w:rsid w:val="006202FB"/>
    <w:rsid w:val="006206EF"/>
    <w:rsid w:val="00621B44"/>
    <w:rsid w:val="00622EE0"/>
    <w:rsid w:val="00625388"/>
    <w:rsid w:val="0062596C"/>
    <w:rsid w:val="00625FED"/>
    <w:rsid w:val="00635BDF"/>
    <w:rsid w:val="006362DD"/>
    <w:rsid w:val="0063681C"/>
    <w:rsid w:val="00640B60"/>
    <w:rsid w:val="0064104E"/>
    <w:rsid w:val="00641C55"/>
    <w:rsid w:val="006421C9"/>
    <w:rsid w:val="00642C70"/>
    <w:rsid w:val="00642D1D"/>
    <w:rsid w:val="006444A3"/>
    <w:rsid w:val="00644660"/>
    <w:rsid w:val="00645255"/>
    <w:rsid w:val="00647799"/>
    <w:rsid w:val="00647DBD"/>
    <w:rsid w:val="00647EC3"/>
    <w:rsid w:val="00650C79"/>
    <w:rsid w:val="006512C3"/>
    <w:rsid w:val="006513A7"/>
    <w:rsid w:val="006523D1"/>
    <w:rsid w:val="006538B2"/>
    <w:rsid w:val="006545A1"/>
    <w:rsid w:val="0065671F"/>
    <w:rsid w:val="00656FA6"/>
    <w:rsid w:val="006606E0"/>
    <w:rsid w:val="006619FE"/>
    <w:rsid w:val="0066409E"/>
    <w:rsid w:val="00666870"/>
    <w:rsid w:val="00666A8D"/>
    <w:rsid w:val="00667517"/>
    <w:rsid w:val="0067172E"/>
    <w:rsid w:val="00674684"/>
    <w:rsid w:val="00680981"/>
    <w:rsid w:val="006818FE"/>
    <w:rsid w:val="00684646"/>
    <w:rsid w:val="00684BB0"/>
    <w:rsid w:val="0068764B"/>
    <w:rsid w:val="00692B6F"/>
    <w:rsid w:val="006937F7"/>
    <w:rsid w:val="00693D96"/>
    <w:rsid w:val="00695995"/>
    <w:rsid w:val="006A0930"/>
    <w:rsid w:val="006A24F1"/>
    <w:rsid w:val="006A3132"/>
    <w:rsid w:val="006A456C"/>
    <w:rsid w:val="006B1B66"/>
    <w:rsid w:val="006B25C8"/>
    <w:rsid w:val="006B3088"/>
    <w:rsid w:val="006B42CF"/>
    <w:rsid w:val="006B60B2"/>
    <w:rsid w:val="006B7BC7"/>
    <w:rsid w:val="006C05B2"/>
    <w:rsid w:val="006C52D5"/>
    <w:rsid w:val="006C534D"/>
    <w:rsid w:val="006C6A60"/>
    <w:rsid w:val="006D159A"/>
    <w:rsid w:val="006D378E"/>
    <w:rsid w:val="006D4438"/>
    <w:rsid w:val="006D5337"/>
    <w:rsid w:val="006E26C9"/>
    <w:rsid w:val="006E5229"/>
    <w:rsid w:val="006E5926"/>
    <w:rsid w:val="006E72E4"/>
    <w:rsid w:val="006E7E61"/>
    <w:rsid w:val="006F1124"/>
    <w:rsid w:val="006F1292"/>
    <w:rsid w:val="006F191C"/>
    <w:rsid w:val="006F1ED9"/>
    <w:rsid w:val="006F2C63"/>
    <w:rsid w:val="006F46E6"/>
    <w:rsid w:val="0070142F"/>
    <w:rsid w:val="00701E80"/>
    <w:rsid w:val="00704B25"/>
    <w:rsid w:val="00705D47"/>
    <w:rsid w:val="007076CD"/>
    <w:rsid w:val="00711ADB"/>
    <w:rsid w:val="007127B1"/>
    <w:rsid w:val="00713BBA"/>
    <w:rsid w:val="0071468E"/>
    <w:rsid w:val="00714F64"/>
    <w:rsid w:val="007162CF"/>
    <w:rsid w:val="007165FE"/>
    <w:rsid w:val="00716C22"/>
    <w:rsid w:val="0072095C"/>
    <w:rsid w:val="007224F8"/>
    <w:rsid w:val="00722674"/>
    <w:rsid w:val="00722937"/>
    <w:rsid w:val="00724867"/>
    <w:rsid w:val="0072694D"/>
    <w:rsid w:val="007270F3"/>
    <w:rsid w:val="0072738B"/>
    <w:rsid w:val="00730727"/>
    <w:rsid w:val="00730CED"/>
    <w:rsid w:val="007313C9"/>
    <w:rsid w:val="00732BB4"/>
    <w:rsid w:val="00734CE5"/>
    <w:rsid w:val="00734E33"/>
    <w:rsid w:val="00735C9F"/>
    <w:rsid w:val="00742C05"/>
    <w:rsid w:val="00746267"/>
    <w:rsid w:val="007466AE"/>
    <w:rsid w:val="0074677C"/>
    <w:rsid w:val="0074700A"/>
    <w:rsid w:val="00747244"/>
    <w:rsid w:val="00752843"/>
    <w:rsid w:val="007529A4"/>
    <w:rsid w:val="00752A06"/>
    <w:rsid w:val="00752D3C"/>
    <w:rsid w:val="00754000"/>
    <w:rsid w:val="007563EB"/>
    <w:rsid w:val="00756B2E"/>
    <w:rsid w:val="00756ED0"/>
    <w:rsid w:val="007577CE"/>
    <w:rsid w:val="00764EFE"/>
    <w:rsid w:val="0076636B"/>
    <w:rsid w:val="00772638"/>
    <w:rsid w:val="007743B6"/>
    <w:rsid w:val="00777DFF"/>
    <w:rsid w:val="007803A4"/>
    <w:rsid w:val="0078234C"/>
    <w:rsid w:val="00782A71"/>
    <w:rsid w:val="007832A5"/>
    <w:rsid w:val="0078648F"/>
    <w:rsid w:val="007874D7"/>
    <w:rsid w:val="00787D8F"/>
    <w:rsid w:val="00790655"/>
    <w:rsid w:val="00790D42"/>
    <w:rsid w:val="00791A3D"/>
    <w:rsid w:val="00791F1E"/>
    <w:rsid w:val="0079201A"/>
    <w:rsid w:val="00792152"/>
    <w:rsid w:val="007939EB"/>
    <w:rsid w:val="0079567A"/>
    <w:rsid w:val="00796381"/>
    <w:rsid w:val="007970D4"/>
    <w:rsid w:val="007A2C14"/>
    <w:rsid w:val="007A4245"/>
    <w:rsid w:val="007A4A03"/>
    <w:rsid w:val="007A50A0"/>
    <w:rsid w:val="007A5EDD"/>
    <w:rsid w:val="007B0645"/>
    <w:rsid w:val="007B1B1E"/>
    <w:rsid w:val="007B2466"/>
    <w:rsid w:val="007B43AD"/>
    <w:rsid w:val="007B45C3"/>
    <w:rsid w:val="007B4912"/>
    <w:rsid w:val="007B520F"/>
    <w:rsid w:val="007B5E3C"/>
    <w:rsid w:val="007B6DF9"/>
    <w:rsid w:val="007B72AF"/>
    <w:rsid w:val="007B78EA"/>
    <w:rsid w:val="007C0BDB"/>
    <w:rsid w:val="007C1A57"/>
    <w:rsid w:val="007C2EA0"/>
    <w:rsid w:val="007C4C08"/>
    <w:rsid w:val="007C5C6A"/>
    <w:rsid w:val="007C5D7C"/>
    <w:rsid w:val="007C6DFC"/>
    <w:rsid w:val="007C7E90"/>
    <w:rsid w:val="007D075C"/>
    <w:rsid w:val="007D2065"/>
    <w:rsid w:val="007D227E"/>
    <w:rsid w:val="007D4B4C"/>
    <w:rsid w:val="007D5B08"/>
    <w:rsid w:val="007D6411"/>
    <w:rsid w:val="007E32E8"/>
    <w:rsid w:val="007E42B8"/>
    <w:rsid w:val="007E4539"/>
    <w:rsid w:val="007E483D"/>
    <w:rsid w:val="007E5799"/>
    <w:rsid w:val="007E605C"/>
    <w:rsid w:val="007E732E"/>
    <w:rsid w:val="007E73A9"/>
    <w:rsid w:val="007E74CD"/>
    <w:rsid w:val="007F1562"/>
    <w:rsid w:val="007F17DC"/>
    <w:rsid w:val="007F18DF"/>
    <w:rsid w:val="007F3B32"/>
    <w:rsid w:val="007F43FD"/>
    <w:rsid w:val="007F4E87"/>
    <w:rsid w:val="007F604C"/>
    <w:rsid w:val="007F6374"/>
    <w:rsid w:val="007F7F57"/>
    <w:rsid w:val="008011FC"/>
    <w:rsid w:val="00802C73"/>
    <w:rsid w:val="00807FC4"/>
    <w:rsid w:val="00810D25"/>
    <w:rsid w:val="00811C2C"/>
    <w:rsid w:val="008139B7"/>
    <w:rsid w:val="00813B75"/>
    <w:rsid w:val="00813CA2"/>
    <w:rsid w:val="00813F01"/>
    <w:rsid w:val="008201A6"/>
    <w:rsid w:val="00821F9C"/>
    <w:rsid w:val="0082212F"/>
    <w:rsid w:val="008259AD"/>
    <w:rsid w:val="008357C0"/>
    <w:rsid w:val="008357D0"/>
    <w:rsid w:val="0083591A"/>
    <w:rsid w:val="0083639E"/>
    <w:rsid w:val="008365D2"/>
    <w:rsid w:val="008401A7"/>
    <w:rsid w:val="00840A52"/>
    <w:rsid w:val="008417F9"/>
    <w:rsid w:val="008420BA"/>
    <w:rsid w:val="00844735"/>
    <w:rsid w:val="008449E5"/>
    <w:rsid w:val="00845226"/>
    <w:rsid w:val="00846C3B"/>
    <w:rsid w:val="008472D4"/>
    <w:rsid w:val="00847E39"/>
    <w:rsid w:val="008505FC"/>
    <w:rsid w:val="0085118A"/>
    <w:rsid w:val="00852511"/>
    <w:rsid w:val="00853254"/>
    <w:rsid w:val="00854512"/>
    <w:rsid w:val="00856477"/>
    <w:rsid w:val="00856ECC"/>
    <w:rsid w:val="00862EA0"/>
    <w:rsid w:val="008639D6"/>
    <w:rsid w:val="00864DD7"/>
    <w:rsid w:val="00865455"/>
    <w:rsid w:val="00870A65"/>
    <w:rsid w:val="0087245C"/>
    <w:rsid w:val="00872795"/>
    <w:rsid w:val="008734F7"/>
    <w:rsid w:val="00874AB7"/>
    <w:rsid w:val="00874B8B"/>
    <w:rsid w:val="00876369"/>
    <w:rsid w:val="008802EB"/>
    <w:rsid w:val="008807E7"/>
    <w:rsid w:val="0088244C"/>
    <w:rsid w:val="008829B1"/>
    <w:rsid w:val="00884431"/>
    <w:rsid w:val="00884DD3"/>
    <w:rsid w:val="00887495"/>
    <w:rsid w:val="00891025"/>
    <w:rsid w:val="008938EC"/>
    <w:rsid w:val="008964EB"/>
    <w:rsid w:val="00896F53"/>
    <w:rsid w:val="008A2F59"/>
    <w:rsid w:val="008A3350"/>
    <w:rsid w:val="008A3DEE"/>
    <w:rsid w:val="008A6634"/>
    <w:rsid w:val="008A688A"/>
    <w:rsid w:val="008A77E9"/>
    <w:rsid w:val="008A7CB2"/>
    <w:rsid w:val="008B0527"/>
    <w:rsid w:val="008B2215"/>
    <w:rsid w:val="008B2F16"/>
    <w:rsid w:val="008B3A4C"/>
    <w:rsid w:val="008B444A"/>
    <w:rsid w:val="008C02E8"/>
    <w:rsid w:val="008C1931"/>
    <w:rsid w:val="008C1EB2"/>
    <w:rsid w:val="008C2BF4"/>
    <w:rsid w:val="008C2CB4"/>
    <w:rsid w:val="008C2D14"/>
    <w:rsid w:val="008C5CA9"/>
    <w:rsid w:val="008C63F3"/>
    <w:rsid w:val="008C7397"/>
    <w:rsid w:val="008D172B"/>
    <w:rsid w:val="008D3740"/>
    <w:rsid w:val="008D432C"/>
    <w:rsid w:val="008D563E"/>
    <w:rsid w:val="008D5D29"/>
    <w:rsid w:val="008D6C11"/>
    <w:rsid w:val="008E08F1"/>
    <w:rsid w:val="008E0E90"/>
    <w:rsid w:val="008E2E12"/>
    <w:rsid w:val="008E342E"/>
    <w:rsid w:val="008F2341"/>
    <w:rsid w:val="008F3167"/>
    <w:rsid w:val="008F724C"/>
    <w:rsid w:val="008F787E"/>
    <w:rsid w:val="0090068D"/>
    <w:rsid w:val="00901F33"/>
    <w:rsid w:val="00902B58"/>
    <w:rsid w:val="00902DB3"/>
    <w:rsid w:val="009041AC"/>
    <w:rsid w:val="0091033E"/>
    <w:rsid w:val="00913566"/>
    <w:rsid w:val="00913F8E"/>
    <w:rsid w:val="0091459E"/>
    <w:rsid w:val="00915E87"/>
    <w:rsid w:val="0091773F"/>
    <w:rsid w:val="009230F9"/>
    <w:rsid w:val="0092383C"/>
    <w:rsid w:val="00925F0D"/>
    <w:rsid w:val="00926089"/>
    <w:rsid w:val="0093120F"/>
    <w:rsid w:val="0093336C"/>
    <w:rsid w:val="0093555C"/>
    <w:rsid w:val="00936935"/>
    <w:rsid w:val="0093707E"/>
    <w:rsid w:val="0094006E"/>
    <w:rsid w:val="009415A5"/>
    <w:rsid w:val="00941BC9"/>
    <w:rsid w:val="00941CEB"/>
    <w:rsid w:val="009431C6"/>
    <w:rsid w:val="00945A3F"/>
    <w:rsid w:val="009467AB"/>
    <w:rsid w:val="00950B72"/>
    <w:rsid w:val="00951792"/>
    <w:rsid w:val="00951F49"/>
    <w:rsid w:val="00952D4A"/>
    <w:rsid w:val="009536B6"/>
    <w:rsid w:val="00953D2E"/>
    <w:rsid w:val="00953F0A"/>
    <w:rsid w:val="00956047"/>
    <w:rsid w:val="00960517"/>
    <w:rsid w:val="009613AF"/>
    <w:rsid w:val="009616DE"/>
    <w:rsid w:val="00962598"/>
    <w:rsid w:val="0096297C"/>
    <w:rsid w:val="00963443"/>
    <w:rsid w:val="00963A89"/>
    <w:rsid w:val="00965CC7"/>
    <w:rsid w:val="00966AC3"/>
    <w:rsid w:val="00966DE6"/>
    <w:rsid w:val="0097119D"/>
    <w:rsid w:val="00971954"/>
    <w:rsid w:val="00972440"/>
    <w:rsid w:val="00972DE8"/>
    <w:rsid w:val="009758F3"/>
    <w:rsid w:val="00975937"/>
    <w:rsid w:val="00976945"/>
    <w:rsid w:val="00976AEE"/>
    <w:rsid w:val="009808BE"/>
    <w:rsid w:val="009820AF"/>
    <w:rsid w:val="00982401"/>
    <w:rsid w:val="00987226"/>
    <w:rsid w:val="00987C7B"/>
    <w:rsid w:val="00993D1E"/>
    <w:rsid w:val="009942DF"/>
    <w:rsid w:val="00995B63"/>
    <w:rsid w:val="00996704"/>
    <w:rsid w:val="0099731C"/>
    <w:rsid w:val="00997D40"/>
    <w:rsid w:val="009A14E4"/>
    <w:rsid w:val="009A2DC9"/>
    <w:rsid w:val="009A7857"/>
    <w:rsid w:val="009B00D5"/>
    <w:rsid w:val="009B094A"/>
    <w:rsid w:val="009B0A76"/>
    <w:rsid w:val="009B118D"/>
    <w:rsid w:val="009B13CB"/>
    <w:rsid w:val="009B2E36"/>
    <w:rsid w:val="009B6BAF"/>
    <w:rsid w:val="009B7B8D"/>
    <w:rsid w:val="009C0750"/>
    <w:rsid w:val="009C07F8"/>
    <w:rsid w:val="009C0B4B"/>
    <w:rsid w:val="009C15F6"/>
    <w:rsid w:val="009C17E3"/>
    <w:rsid w:val="009C1978"/>
    <w:rsid w:val="009C38F2"/>
    <w:rsid w:val="009C4652"/>
    <w:rsid w:val="009C75F4"/>
    <w:rsid w:val="009D0944"/>
    <w:rsid w:val="009D0FB4"/>
    <w:rsid w:val="009D24FE"/>
    <w:rsid w:val="009D374F"/>
    <w:rsid w:val="009D401A"/>
    <w:rsid w:val="009D43E7"/>
    <w:rsid w:val="009D4F01"/>
    <w:rsid w:val="009D59A9"/>
    <w:rsid w:val="009D65FE"/>
    <w:rsid w:val="009D6AF4"/>
    <w:rsid w:val="009D72A3"/>
    <w:rsid w:val="009E1146"/>
    <w:rsid w:val="009E2DAC"/>
    <w:rsid w:val="009F0070"/>
    <w:rsid w:val="009F21D4"/>
    <w:rsid w:val="009F2A93"/>
    <w:rsid w:val="009F3023"/>
    <w:rsid w:val="009F482A"/>
    <w:rsid w:val="009F5529"/>
    <w:rsid w:val="009F576B"/>
    <w:rsid w:val="009F5BFF"/>
    <w:rsid w:val="009F62BF"/>
    <w:rsid w:val="009F62C1"/>
    <w:rsid w:val="00A00083"/>
    <w:rsid w:val="00A00527"/>
    <w:rsid w:val="00A02069"/>
    <w:rsid w:val="00A02EC2"/>
    <w:rsid w:val="00A02FF8"/>
    <w:rsid w:val="00A125E1"/>
    <w:rsid w:val="00A12AD8"/>
    <w:rsid w:val="00A13884"/>
    <w:rsid w:val="00A1523B"/>
    <w:rsid w:val="00A16A6E"/>
    <w:rsid w:val="00A26BB3"/>
    <w:rsid w:val="00A3133C"/>
    <w:rsid w:val="00A31755"/>
    <w:rsid w:val="00A32233"/>
    <w:rsid w:val="00A32C73"/>
    <w:rsid w:val="00A33526"/>
    <w:rsid w:val="00A33A0E"/>
    <w:rsid w:val="00A33CE9"/>
    <w:rsid w:val="00A34673"/>
    <w:rsid w:val="00A358F4"/>
    <w:rsid w:val="00A35F4B"/>
    <w:rsid w:val="00A36D25"/>
    <w:rsid w:val="00A40687"/>
    <w:rsid w:val="00A412BA"/>
    <w:rsid w:val="00A415E7"/>
    <w:rsid w:val="00A42365"/>
    <w:rsid w:val="00A42D0D"/>
    <w:rsid w:val="00A4411B"/>
    <w:rsid w:val="00A44889"/>
    <w:rsid w:val="00A47B92"/>
    <w:rsid w:val="00A53180"/>
    <w:rsid w:val="00A53325"/>
    <w:rsid w:val="00A540F1"/>
    <w:rsid w:val="00A551FB"/>
    <w:rsid w:val="00A55C74"/>
    <w:rsid w:val="00A57088"/>
    <w:rsid w:val="00A61020"/>
    <w:rsid w:val="00A630F0"/>
    <w:rsid w:val="00A6359A"/>
    <w:rsid w:val="00A64151"/>
    <w:rsid w:val="00A64D30"/>
    <w:rsid w:val="00A66F0C"/>
    <w:rsid w:val="00A67029"/>
    <w:rsid w:val="00A67D26"/>
    <w:rsid w:val="00A71FC6"/>
    <w:rsid w:val="00A731C0"/>
    <w:rsid w:val="00A748FF"/>
    <w:rsid w:val="00A761F2"/>
    <w:rsid w:val="00A762C4"/>
    <w:rsid w:val="00A76A8F"/>
    <w:rsid w:val="00A80AFA"/>
    <w:rsid w:val="00A81E09"/>
    <w:rsid w:val="00A82D0B"/>
    <w:rsid w:val="00A84E40"/>
    <w:rsid w:val="00A8575C"/>
    <w:rsid w:val="00A85EE4"/>
    <w:rsid w:val="00A87066"/>
    <w:rsid w:val="00A913F4"/>
    <w:rsid w:val="00A920DC"/>
    <w:rsid w:val="00A951A4"/>
    <w:rsid w:val="00A9613D"/>
    <w:rsid w:val="00A9756F"/>
    <w:rsid w:val="00AA0CC7"/>
    <w:rsid w:val="00AA18AB"/>
    <w:rsid w:val="00AA2538"/>
    <w:rsid w:val="00AA2C46"/>
    <w:rsid w:val="00AA4B60"/>
    <w:rsid w:val="00AA534B"/>
    <w:rsid w:val="00AA5ABF"/>
    <w:rsid w:val="00AA5CCE"/>
    <w:rsid w:val="00AA5DA1"/>
    <w:rsid w:val="00AA5E34"/>
    <w:rsid w:val="00AA6C0D"/>
    <w:rsid w:val="00AB0914"/>
    <w:rsid w:val="00AB139C"/>
    <w:rsid w:val="00AB1A13"/>
    <w:rsid w:val="00AB204D"/>
    <w:rsid w:val="00AB4113"/>
    <w:rsid w:val="00AC7FE2"/>
    <w:rsid w:val="00AD0334"/>
    <w:rsid w:val="00AD1722"/>
    <w:rsid w:val="00AD1E88"/>
    <w:rsid w:val="00AD2178"/>
    <w:rsid w:val="00AD30D6"/>
    <w:rsid w:val="00AD5287"/>
    <w:rsid w:val="00AD5861"/>
    <w:rsid w:val="00AD5DB1"/>
    <w:rsid w:val="00AD7E43"/>
    <w:rsid w:val="00AD7EE1"/>
    <w:rsid w:val="00AE0FED"/>
    <w:rsid w:val="00AE299A"/>
    <w:rsid w:val="00AE4719"/>
    <w:rsid w:val="00AE5644"/>
    <w:rsid w:val="00AE6646"/>
    <w:rsid w:val="00AE6923"/>
    <w:rsid w:val="00AF0099"/>
    <w:rsid w:val="00AF0DD3"/>
    <w:rsid w:val="00AF0F42"/>
    <w:rsid w:val="00AF183E"/>
    <w:rsid w:val="00AF4DB5"/>
    <w:rsid w:val="00AF6629"/>
    <w:rsid w:val="00AF680C"/>
    <w:rsid w:val="00AF70A8"/>
    <w:rsid w:val="00B0129A"/>
    <w:rsid w:val="00B02961"/>
    <w:rsid w:val="00B02A06"/>
    <w:rsid w:val="00B03728"/>
    <w:rsid w:val="00B0664F"/>
    <w:rsid w:val="00B07B97"/>
    <w:rsid w:val="00B127EC"/>
    <w:rsid w:val="00B13641"/>
    <w:rsid w:val="00B15748"/>
    <w:rsid w:val="00B166C9"/>
    <w:rsid w:val="00B171D3"/>
    <w:rsid w:val="00B205D3"/>
    <w:rsid w:val="00B20728"/>
    <w:rsid w:val="00B219E2"/>
    <w:rsid w:val="00B22DCE"/>
    <w:rsid w:val="00B233FA"/>
    <w:rsid w:val="00B2407C"/>
    <w:rsid w:val="00B26B8A"/>
    <w:rsid w:val="00B33023"/>
    <w:rsid w:val="00B33979"/>
    <w:rsid w:val="00B36AC3"/>
    <w:rsid w:val="00B41319"/>
    <w:rsid w:val="00B419C3"/>
    <w:rsid w:val="00B41ED3"/>
    <w:rsid w:val="00B42D4B"/>
    <w:rsid w:val="00B442B1"/>
    <w:rsid w:val="00B44B72"/>
    <w:rsid w:val="00B46A6C"/>
    <w:rsid w:val="00B517F3"/>
    <w:rsid w:val="00B51A93"/>
    <w:rsid w:val="00B529E0"/>
    <w:rsid w:val="00B53B3C"/>
    <w:rsid w:val="00B53DB1"/>
    <w:rsid w:val="00B5417E"/>
    <w:rsid w:val="00B54EE8"/>
    <w:rsid w:val="00B619C2"/>
    <w:rsid w:val="00B62CFF"/>
    <w:rsid w:val="00B62EF9"/>
    <w:rsid w:val="00B641CA"/>
    <w:rsid w:val="00B64B2B"/>
    <w:rsid w:val="00B655D2"/>
    <w:rsid w:val="00B66BFF"/>
    <w:rsid w:val="00B674B7"/>
    <w:rsid w:val="00B67FDC"/>
    <w:rsid w:val="00B70D74"/>
    <w:rsid w:val="00B74EEF"/>
    <w:rsid w:val="00B7616D"/>
    <w:rsid w:val="00B7741A"/>
    <w:rsid w:val="00B810CC"/>
    <w:rsid w:val="00B83A50"/>
    <w:rsid w:val="00B860D6"/>
    <w:rsid w:val="00B87F05"/>
    <w:rsid w:val="00B901B3"/>
    <w:rsid w:val="00B92411"/>
    <w:rsid w:val="00B94551"/>
    <w:rsid w:val="00B96214"/>
    <w:rsid w:val="00BA059E"/>
    <w:rsid w:val="00BA286E"/>
    <w:rsid w:val="00BA3C63"/>
    <w:rsid w:val="00BA574C"/>
    <w:rsid w:val="00BA6F06"/>
    <w:rsid w:val="00BA7BC6"/>
    <w:rsid w:val="00BB0B9E"/>
    <w:rsid w:val="00BB182D"/>
    <w:rsid w:val="00BB19F2"/>
    <w:rsid w:val="00BB3361"/>
    <w:rsid w:val="00BB3697"/>
    <w:rsid w:val="00BB3754"/>
    <w:rsid w:val="00BC3471"/>
    <w:rsid w:val="00BC3FF6"/>
    <w:rsid w:val="00BC4999"/>
    <w:rsid w:val="00BC5709"/>
    <w:rsid w:val="00BC5CA2"/>
    <w:rsid w:val="00BC6AE5"/>
    <w:rsid w:val="00BD269C"/>
    <w:rsid w:val="00BD3410"/>
    <w:rsid w:val="00BD3FDE"/>
    <w:rsid w:val="00BD442C"/>
    <w:rsid w:val="00BD6716"/>
    <w:rsid w:val="00BE4769"/>
    <w:rsid w:val="00BE4A61"/>
    <w:rsid w:val="00BE7371"/>
    <w:rsid w:val="00BF3982"/>
    <w:rsid w:val="00BF56FB"/>
    <w:rsid w:val="00BF61C0"/>
    <w:rsid w:val="00BF68D7"/>
    <w:rsid w:val="00C0020D"/>
    <w:rsid w:val="00C00B22"/>
    <w:rsid w:val="00C01EC9"/>
    <w:rsid w:val="00C034E6"/>
    <w:rsid w:val="00C0397B"/>
    <w:rsid w:val="00C078CB"/>
    <w:rsid w:val="00C07984"/>
    <w:rsid w:val="00C079BF"/>
    <w:rsid w:val="00C11880"/>
    <w:rsid w:val="00C11EEE"/>
    <w:rsid w:val="00C13DBB"/>
    <w:rsid w:val="00C15989"/>
    <w:rsid w:val="00C16CD6"/>
    <w:rsid w:val="00C2045D"/>
    <w:rsid w:val="00C22E98"/>
    <w:rsid w:val="00C25B34"/>
    <w:rsid w:val="00C26F11"/>
    <w:rsid w:val="00C279C9"/>
    <w:rsid w:val="00C27E4A"/>
    <w:rsid w:val="00C30D8F"/>
    <w:rsid w:val="00C31EA3"/>
    <w:rsid w:val="00C31F3E"/>
    <w:rsid w:val="00C32017"/>
    <w:rsid w:val="00C36573"/>
    <w:rsid w:val="00C368B2"/>
    <w:rsid w:val="00C37221"/>
    <w:rsid w:val="00C406C7"/>
    <w:rsid w:val="00C410B7"/>
    <w:rsid w:val="00C435EF"/>
    <w:rsid w:val="00C44DA4"/>
    <w:rsid w:val="00C46D3B"/>
    <w:rsid w:val="00C53040"/>
    <w:rsid w:val="00C5498E"/>
    <w:rsid w:val="00C55DCE"/>
    <w:rsid w:val="00C56ABE"/>
    <w:rsid w:val="00C56DBA"/>
    <w:rsid w:val="00C635EF"/>
    <w:rsid w:val="00C6485B"/>
    <w:rsid w:val="00C70E2C"/>
    <w:rsid w:val="00C715BF"/>
    <w:rsid w:val="00C717F4"/>
    <w:rsid w:val="00C72B5C"/>
    <w:rsid w:val="00C76EF4"/>
    <w:rsid w:val="00C8228B"/>
    <w:rsid w:val="00C82847"/>
    <w:rsid w:val="00C92A00"/>
    <w:rsid w:val="00C92E47"/>
    <w:rsid w:val="00C95412"/>
    <w:rsid w:val="00CA0DF9"/>
    <w:rsid w:val="00CA16DE"/>
    <w:rsid w:val="00CA1DD2"/>
    <w:rsid w:val="00CA1ED8"/>
    <w:rsid w:val="00CA256D"/>
    <w:rsid w:val="00CA32CE"/>
    <w:rsid w:val="00CA4224"/>
    <w:rsid w:val="00CA5801"/>
    <w:rsid w:val="00CA5BC6"/>
    <w:rsid w:val="00CB62B9"/>
    <w:rsid w:val="00CC0297"/>
    <w:rsid w:val="00CC08F3"/>
    <w:rsid w:val="00CC1E8B"/>
    <w:rsid w:val="00CC2CA2"/>
    <w:rsid w:val="00CC3219"/>
    <w:rsid w:val="00CC3C2C"/>
    <w:rsid w:val="00CC3E5B"/>
    <w:rsid w:val="00CC617B"/>
    <w:rsid w:val="00CC6882"/>
    <w:rsid w:val="00CD09FB"/>
    <w:rsid w:val="00CD5FC3"/>
    <w:rsid w:val="00CD6E12"/>
    <w:rsid w:val="00CD7154"/>
    <w:rsid w:val="00CE0372"/>
    <w:rsid w:val="00CE0374"/>
    <w:rsid w:val="00CE0770"/>
    <w:rsid w:val="00CE0F1E"/>
    <w:rsid w:val="00CE39AC"/>
    <w:rsid w:val="00CE4149"/>
    <w:rsid w:val="00CF0E41"/>
    <w:rsid w:val="00CF2CA5"/>
    <w:rsid w:val="00CF5EEB"/>
    <w:rsid w:val="00CF72D4"/>
    <w:rsid w:val="00D006C8"/>
    <w:rsid w:val="00D035EF"/>
    <w:rsid w:val="00D06588"/>
    <w:rsid w:val="00D06C9F"/>
    <w:rsid w:val="00D07364"/>
    <w:rsid w:val="00D10758"/>
    <w:rsid w:val="00D112BB"/>
    <w:rsid w:val="00D12E35"/>
    <w:rsid w:val="00D131A1"/>
    <w:rsid w:val="00D14013"/>
    <w:rsid w:val="00D161A0"/>
    <w:rsid w:val="00D20923"/>
    <w:rsid w:val="00D209C7"/>
    <w:rsid w:val="00D20D79"/>
    <w:rsid w:val="00D2240E"/>
    <w:rsid w:val="00D2422B"/>
    <w:rsid w:val="00D24F65"/>
    <w:rsid w:val="00D25A8D"/>
    <w:rsid w:val="00D27E98"/>
    <w:rsid w:val="00D351D8"/>
    <w:rsid w:val="00D35F85"/>
    <w:rsid w:val="00D36EAC"/>
    <w:rsid w:val="00D462FD"/>
    <w:rsid w:val="00D47383"/>
    <w:rsid w:val="00D50CC4"/>
    <w:rsid w:val="00D50F23"/>
    <w:rsid w:val="00D51503"/>
    <w:rsid w:val="00D53739"/>
    <w:rsid w:val="00D540D3"/>
    <w:rsid w:val="00D55606"/>
    <w:rsid w:val="00D564E1"/>
    <w:rsid w:val="00D56B24"/>
    <w:rsid w:val="00D5713B"/>
    <w:rsid w:val="00D57BB5"/>
    <w:rsid w:val="00D605F1"/>
    <w:rsid w:val="00D60C9E"/>
    <w:rsid w:val="00D61336"/>
    <w:rsid w:val="00D61A7E"/>
    <w:rsid w:val="00D6244C"/>
    <w:rsid w:val="00D70697"/>
    <w:rsid w:val="00D718FE"/>
    <w:rsid w:val="00D7303D"/>
    <w:rsid w:val="00D73496"/>
    <w:rsid w:val="00D74FEF"/>
    <w:rsid w:val="00D75192"/>
    <w:rsid w:val="00D75842"/>
    <w:rsid w:val="00D75C05"/>
    <w:rsid w:val="00D75E3C"/>
    <w:rsid w:val="00D760F8"/>
    <w:rsid w:val="00D7700C"/>
    <w:rsid w:val="00D825F1"/>
    <w:rsid w:val="00D843E6"/>
    <w:rsid w:val="00D84644"/>
    <w:rsid w:val="00D86CC6"/>
    <w:rsid w:val="00D87603"/>
    <w:rsid w:val="00D876AF"/>
    <w:rsid w:val="00D91679"/>
    <w:rsid w:val="00D9175B"/>
    <w:rsid w:val="00D9267D"/>
    <w:rsid w:val="00D92B6C"/>
    <w:rsid w:val="00D96AB0"/>
    <w:rsid w:val="00D96CA2"/>
    <w:rsid w:val="00D96F38"/>
    <w:rsid w:val="00D971B4"/>
    <w:rsid w:val="00DA061D"/>
    <w:rsid w:val="00DA140B"/>
    <w:rsid w:val="00DA1E7E"/>
    <w:rsid w:val="00DA2245"/>
    <w:rsid w:val="00DA73AE"/>
    <w:rsid w:val="00DB022E"/>
    <w:rsid w:val="00DB1582"/>
    <w:rsid w:val="00DB7D3F"/>
    <w:rsid w:val="00DC019A"/>
    <w:rsid w:val="00DC0CC7"/>
    <w:rsid w:val="00DC35EF"/>
    <w:rsid w:val="00DC46AB"/>
    <w:rsid w:val="00DC514A"/>
    <w:rsid w:val="00DC5248"/>
    <w:rsid w:val="00DD030B"/>
    <w:rsid w:val="00DD0710"/>
    <w:rsid w:val="00DD1374"/>
    <w:rsid w:val="00DD14C4"/>
    <w:rsid w:val="00DD20F5"/>
    <w:rsid w:val="00DD419D"/>
    <w:rsid w:val="00DD7C39"/>
    <w:rsid w:val="00DE254B"/>
    <w:rsid w:val="00DE3124"/>
    <w:rsid w:val="00DE4926"/>
    <w:rsid w:val="00DF0579"/>
    <w:rsid w:val="00DF06AA"/>
    <w:rsid w:val="00DF0E75"/>
    <w:rsid w:val="00DF1303"/>
    <w:rsid w:val="00DF28D5"/>
    <w:rsid w:val="00DF2FF2"/>
    <w:rsid w:val="00DF62A4"/>
    <w:rsid w:val="00DF7045"/>
    <w:rsid w:val="00E002F7"/>
    <w:rsid w:val="00E02A6A"/>
    <w:rsid w:val="00E03092"/>
    <w:rsid w:val="00E03664"/>
    <w:rsid w:val="00E03A3B"/>
    <w:rsid w:val="00E04664"/>
    <w:rsid w:val="00E04851"/>
    <w:rsid w:val="00E06B26"/>
    <w:rsid w:val="00E12FC7"/>
    <w:rsid w:val="00E14761"/>
    <w:rsid w:val="00E14B25"/>
    <w:rsid w:val="00E150A3"/>
    <w:rsid w:val="00E20E4B"/>
    <w:rsid w:val="00E2262E"/>
    <w:rsid w:val="00E25060"/>
    <w:rsid w:val="00E251F9"/>
    <w:rsid w:val="00E25989"/>
    <w:rsid w:val="00E26DC4"/>
    <w:rsid w:val="00E32957"/>
    <w:rsid w:val="00E32AF3"/>
    <w:rsid w:val="00E32C6B"/>
    <w:rsid w:val="00E3348A"/>
    <w:rsid w:val="00E33644"/>
    <w:rsid w:val="00E35DF0"/>
    <w:rsid w:val="00E36216"/>
    <w:rsid w:val="00E36C66"/>
    <w:rsid w:val="00E403E9"/>
    <w:rsid w:val="00E502CC"/>
    <w:rsid w:val="00E52634"/>
    <w:rsid w:val="00E526C9"/>
    <w:rsid w:val="00E52E52"/>
    <w:rsid w:val="00E55089"/>
    <w:rsid w:val="00E557A3"/>
    <w:rsid w:val="00E55A0B"/>
    <w:rsid w:val="00E567C2"/>
    <w:rsid w:val="00E61F77"/>
    <w:rsid w:val="00E62FF3"/>
    <w:rsid w:val="00E67305"/>
    <w:rsid w:val="00E678D1"/>
    <w:rsid w:val="00E67C50"/>
    <w:rsid w:val="00E70685"/>
    <w:rsid w:val="00E71F5C"/>
    <w:rsid w:val="00E721C0"/>
    <w:rsid w:val="00E72FFE"/>
    <w:rsid w:val="00E7393C"/>
    <w:rsid w:val="00E753CD"/>
    <w:rsid w:val="00E75E23"/>
    <w:rsid w:val="00E76627"/>
    <w:rsid w:val="00E77C3C"/>
    <w:rsid w:val="00E81DCD"/>
    <w:rsid w:val="00E8588A"/>
    <w:rsid w:val="00E86236"/>
    <w:rsid w:val="00E87010"/>
    <w:rsid w:val="00E87F89"/>
    <w:rsid w:val="00E901C9"/>
    <w:rsid w:val="00E90765"/>
    <w:rsid w:val="00E926B9"/>
    <w:rsid w:val="00E92900"/>
    <w:rsid w:val="00E92B95"/>
    <w:rsid w:val="00E9384F"/>
    <w:rsid w:val="00E93FC7"/>
    <w:rsid w:val="00E95410"/>
    <w:rsid w:val="00E95E1F"/>
    <w:rsid w:val="00EA245A"/>
    <w:rsid w:val="00EA285C"/>
    <w:rsid w:val="00EA3586"/>
    <w:rsid w:val="00EA3FC0"/>
    <w:rsid w:val="00EA4B6B"/>
    <w:rsid w:val="00EA590F"/>
    <w:rsid w:val="00EA6E80"/>
    <w:rsid w:val="00EB04D8"/>
    <w:rsid w:val="00EB0A88"/>
    <w:rsid w:val="00EB110C"/>
    <w:rsid w:val="00EB461B"/>
    <w:rsid w:val="00EB5BA4"/>
    <w:rsid w:val="00EC17C0"/>
    <w:rsid w:val="00EC55DB"/>
    <w:rsid w:val="00EC58C3"/>
    <w:rsid w:val="00EC590C"/>
    <w:rsid w:val="00EC6900"/>
    <w:rsid w:val="00EC6EBA"/>
    <w:rsid w:val="00EC74C1"/>
    <w:rsid w:val="00ED04CE"/>
    <w:rsid w:val="00ED0EA1"/>
    <w:rsid w:val="00ED2399"/>
    <w:rsid w:val="00ED2F41"/>
    <w:rsid w:val="00ED366E"/>
    <w:rsid w:val="00ED396F"/>
    <w:rsid w:val="00ED3E3E"/>
    <w:rsid w:val="00ED4C5E"/>
    <w:rsid w:val="00ED66C9"/>
    <w:rsid w:val="00ED6A43"/>
    <w:rsid w:val="00EE0C63"/>
    <w:rsid w:val="00EE332A"/>
    <w:rsid w:val="00EE405D"/>
    <w:rsid w:val="00EE4339"/>
    <w:rsid w:val="00EE4908"/>
    <w:rsid w:val="00EE5371"/>
    <w:rsid w:val="00EE60D1"/>
    <w:rsid w:val="00EE67A6"/>
    <w:rsid w:val="00EE7619"/>
    <w:rsid w:val="00EF02EC"/>
    <w:rsid w:val="00EF0508"/>
    <w:rsid w:val="00EF60A4"/>
    <w:rsid w:val="00EF73A4"/>
    <w:rsid w:val="00F002FD"/>
    <w:rsid w:val="00F007EB"/>
    <w:rsid w:val="00F008E7"/>
    <w:rsid w:val="00F02D87"/>
    <w:rsid w:val="00F03627"/>
    <w:rsid w:val="00F05B4A"/>
    <w:rsid w:val="00F065A4"/>
    <w:rsid w:val="00F07184"/>
    <w:rsid w:val="00F0784E"/>
    <w:rsid w:val="00F10CD8"/>
    <w:rsid w:val="00F12087"/>
    <w:rsid w:val="00F13DC8"/>
    <w:rsid w:val="00F147D2"/>
    <w:rsid w:val="00F15397"/>
    <w:rsid w:val="00F166B3"/>
    <w:rsid w:val="00F16B34"/>
    <w:rsid w:val="00F16C83"/>
    <w:rsid w:val="00F23096"/>
    <w:rsid w:val="00F2520A"/>
    <w:rsid w:val="00F361C6"/>
    <w:rsid w:val="00F41729"/>
    <w:rsid w:val="00F417A4"/>
    <w:rsid w:val="00F43D43"/>
    <w:rsid w:val="00F43F2D"/>
    <w:rsid w:val="00F4719C"/>
    <w:rsid w:val="00F4768E"/>
    <w:rsid w:val="00F4779A"/>
    <w:rsid w:val="00F5017A"/>
    <w:rsid w:val="00F50A9A"/>
    <w:rsid w:val="00F50D57"/>
    <w:rsid w:val="00F514C7"/>
    <w:rsid w:val="00F51D50"/>
    <w:rsid w:val="00F54AE7"/>
    <w:rsid w:val="00F55B3D"/>
    <w:rsid w:val="00F600EB"/>
    <w:rsid w:val="00F60A10"/>
    <w:rsid w:val="00F6355B"/>
    <w:rsid w:val="00F63DAF"/>
    <w:rsid w:val="00F648F7"/>
    <w:rsid w:val="00F6518C"/>
    <w:rsid w:val="00F65CCE"/>
    <w:rsid w:val="00F6615B"/>
    <w:rsid w:val="00F66D1F"/>
    <w:rsid w:val="00F66D68"/>
    <w:rsid w:val="00F66E45"/>
    <w:rsid w:val="00F67BD8"/>
    <w:rsid w:val="00F67BE2"/>
    <w:rsid w:val="00F71431"/>
    <w:rsid w:val="00F727C3"/>
    <w:rsid w:val="00F727CC"/>
    <w:rsid w:val="00F72D85"/>
    <w:rsid w:val="00F73A2D"/>
    <w:rsid w:val="00F74331"/>
    <w:rsid w:val="00F753BF"/>
    <w:rsid w:val="00F778C4"/>
    <w:rsid w:val="00F839A9"/>
    <w:rsid w:val="00F849DB"/>
    <w:rsid w:val="00F855D9"/>
    <w:rsid w:val="00F8676E"/>
    <w:rsid w:val="00F86F70"/>
    <w:rsid w:val="00F87280"/>
    <w:rsid w:val="00F906FA"/>
    <w:rsid w:val="00F91A5A"/>
    <w:rsid w:val="00F93152"/>
    <w:rsid w:val="00F96E7C"/>
    <w:rsid w:val="00F979C5"/>
    <w:rsid w:val="00FA18F7"/>
    <w:rsid w:val="00FA3F7E"/>
    <w:rsid w:val="00FA4DC7"/>
    <w:rsid w:val="00FB2581"/>
    <w:rsid w:val="00FB323C"/>
    <w:rsid w:val="00FB7D5E"/>
    <w:rsid w:val="00FC14AA"/>
    <w:rsid w:val="00FC2676"/>
    <w:rsid w:val="00FC3217"/>
    <w:rsid w:val="00FC3556"/>
    <w:rsid w:val="00FC3E5D"/>
    <w:rsid w:val="00FC4212"/>
    <w:rsid w:val="00FC6ACC"/>
    <w:rsid w:val="00FC73D3"/>
    <w:rsid w:val="00FD0102"/>
    <w:rsid w:val="00FD11BA"/>
    <w:rsid w:val="00FD2535"/>
    <w:rsid w:val="00FD4050"/>
    <w:rsid w:val="00FD43CF"/>
    <w:rsid w:val="00FD56D9"/>
    <w:rsid w:val="00FD6890"/>
    <w:rsid w:val="00FE1311"/>
    <w:rsid w:val="00FE196E"/>
    <w:rsid w:val="00FE3435"/>
    <w:rsid w:val="00FE46C7"/>
    <w:rsid w:val="00FE726D"/>
    <w:rsid w:val="00FE7E01"/>
    <w:rsid w:val="00FF179E"/>
    <w:rsid w:val="00FF2146"/>
    <w:rsid w:val="00FF215B"/>
    <w:rsid w:val="00FF2288"/>
    <w:rsid w:val="00FF2C11"/>
    <w:rsid w:val="00FF3481"/>
    <w:rsid w:val="00FF4F72"/>
    <w:rsid w:val="00FF5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8D032"/>
  <w15:chartTrackingRefBased/>
  <w15:docId w15:val="{287CD3A7-83F8-45B8-8793-922E0379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1B3"/>
    <w:pPr>
      <w:keepNext/>
      <w:keepLines/>
      <w:spacing w:before="480" w:after="0" w:line="240" w:lineRule="auto"/>
      <w:outlineLvl w:val="0"/>
    </w:pPr>
    <w:rPr>
      <w:rFonts w:eastAsiaTheme="majorEastAsia" w:cstheme="majorBidi"/>
      <w:b/>
      <w:bCs/>
      <w:color w:val="2D4F8E" w:themeColor="accent1" w:themeShade="B5"/>
      <w:sz w:val="32"/>
      <w:szCs w:val="32"/>
    </w:rPr>
  </w:style>
  <w:style w:type="paragraph" w:styleId="Heading2">
    <w:name w:val="heading 2"/>
    <w:basedOn w:val="Normal"/>
    <w:next w:val="Normal"/>
    <w:link w:val="Heading2Char"/>
    <w:autoRedefine/>
    <w:uiPriority w:val="9"/>
    <w:unhideWhenUsed/>
    <w:qFormat/>
    <w:rsid w:val="009F3023"/>
    <w:pPr>
      <w:keepNext/>
      <w:keepLines/>
      <w:spacing w:before="200" w:after="0" w:line="360" w:lineRule="auto"/>
      <w:jc w:val="both"/>
      <w:outlineLvl w:val="1"/>
    </w:pPr>
    <w:rPr>
      <w:rFonts w:ascii="Times New Roman" w:eastAsia="Calibri" w:hAnsi="Times New Roman" w:cs="Times New Roman"/>
      <w:b/>
      <w:bCs/>
    </w:rPr>
  </w:style>
  <w:style w:type="paragraph" w:styleId="Heading3">
    <w:name w:val="heading 3"/>
    <w:basedOn w:val="Normal"/>
    <w:next w:val="Normal"/>
    <w:link w:val="Heading3Char"/>
    <w:uiPriority w:val="9"/>
    <w:unhideWhenUsed/>
    <w:qFormat/>
    <w:rsid w:val="00B901B3"/>
    <w:pPr>
      <w:keepNext/>
      <w:keepLines/>
      <w:spacing w:before="200" w:after="0" w:line="240" w:lineRule="auto"/>
      <w:outlineLvl w:val="2"/>
    </w:pPr>
    <w:rPr>
      <w:rFonts w:ascii="Arial" w:eastAsiaTheme="majorEastAsia" w:hAnsi="Arial" w:cstheme="majorBidi"/>
      <w:b/>
      <w:bCs/>
      <w:color w:val="4472C4" w:themeColor="accent1"/>
      <w:sz w:val="24"/>
      <w:szCs w:val="24"/>
    </w:rPr>
  </w:style>
  <w:style w:type="paragraph" w:styleId="Heading4">
    <w:name w:val="heading 4"/>
    <w:basedOn w:val="Normal"/>
    <w:next w:val="Normal"/>
    <w:link w:val="Heading4Char"/>
    <w:uiPriority w:val="9"/>
    <w:unhideWhenUsed/>
    <w:qFormat/>
    <w:rsid w:val="00B901B3"/>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rPr>
  </w:style>
  <w:style w:type="paragraph" w:styleId="Heading5">
    <w:name w:val="heading 5"/>
    <w:basedOn w:val="Normal"/>
    <w:next w:val="Normal"/>
    <w:link w:val="Heading5Char"/>
    <w:uiPriority w:val="9"/>
    <w:unhideWhenUsed/>
    <w:qFormat/>
    <w:rsid w:val="00B901B3"/>
    <w:pPr>
      <w:keepNext/>
      <w:keepLines/>
      <w:spacing w:before="40" w:after="0" w:line="240" w:lineRule="auto"/>
      <w:outlineLvl w:val="4"/>
    </w:pPr>
    <w:rPr>
      <w:rFonts w:ascii="Calibri Light" w:eastAsia="Times New Roman" w:hAnsi="Calibri Light" w:cs="Times New Roman"/>
      <w:color w:val="2F5496"/>
      <w:sz w:val="24"/>
      <w:szCs w:val="24"/>
    </w:rPr>
  </w:style>
  <w:style w:type="paragraph" w:styleId="Heading6">
    <w:name w:val="heading 6"/>
    <w:basedOn w:val="Normal"/>
    <w:next w:val="Normal"/>
    <w:link w:val="Heading6Char"/>
    <w:uiPriority w:val="9"/>
    <w:semiHidden/>
    <w:unhideWhenUsed/>
    <w:qFormat/>
    <w:rsid w:val="00B901B3"/>
    <w:pPr>
      <w:keepNext/>
      <w:keepLines/>
      <w:spacing w:before="40" w:after="0" w:line="240" w:lineRule="auto"/>
      <w:outlineLvl w:val="5"/>
    </w:pPr>
    <w:rPr>
      <w:rFonts w:ascii="Calibri Light" w:eastAsia="Times New Roman" w:hAnsi="Calibri Light" w:cs="Times New Roman"/>
      <w:color w:val="1F3763"/>
      <w:sz w:val="24"/>
      <w:szCs w:val="24"/>
    </w:rPr>
  </w:style>
  <w:style w:type="paragraph" w:styleId="Heading7">
    <w:name w:val="heading 7"/>
    <w:basedOn w:val="Normal"/>
    <w:next w:val="Normal"/>
    <w:link w:val="Heading7Char"/>
    <w:uiPriority w:val="9"/>
    <w:semiHidden/>
    <w:unhideWhenUsed/>
    <w:qFormat/>
    <w:rsid w:val="00B901B3"/>
    <w:pPr>
      <w:keepNext/>
      <w:keepLines/>
      <w:spacing w:before="40" w:after="0" w:line="240" w:lineRule="auto"/>
      <w:outlineLvl w:val="6"/>
    </w:pPr>
    <w:rPr>
      <w:rFonts w:ascii="Calibri Light" w:eastAsia="Times New Roman" w:hAnsi="Calibri Light" w:cs="Times New Roman"/>
      <w:i/>
      <w:iCs/>
      <w:color w:val="1F3763"/>
      <w:sz w:val="24"/>
      <w:szCs w:val="24"/>
    </w:rPr>
  </w:style>
  <w:style w:type="paragraph" w:styleId="Heading8">
    <w:name w:val="heading 8"/>
    <w:basedOn w:val="Normal"/>
    <w:next w:val="Normal"/>
    <w:link w:val="Heading8Char"/>
    <w:uiPriority w:val="9"/>
    <w:semiHidden/>
    <w:unhideWhenUsed/>
    <w:qFormat/>
    <w:rsid w:val="00B901B3"/>
    <w:pPr>
      <w:keepNext/>
      <w:keepLines/>
      <w:spacing w:before="40" w:after="0" w:line="240" w:lineRule="auto"/>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B901B3"/>
    <w:pPr>
      <w:keepNext/>
      <w:keepLines/>
      <w:spacing w:before="40" w:after="0" w:line="240" w:lineRule="auto"/>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4BF8"/>
    <w:rPr>
      <w:color w:val="0563C1" w:themeColor="hyperlink"/>
      <w:u w:val="single"/>
    </w:rPr>
  </w:style>
  <w:style w:type="paragraph" w:customStyle="1" w:styleId="TTPAuthors">
    <w:name w:val="TTP Author(s)"/>
    <w:basedOn w:val="Normal"/>
    <w:next w:val="Normal"/>
    <w:rsid w:val="00424BF8"/>
    <w:pPr>
      <w:autoSpaceDE w:val="0"/>
      <w:autoSpaceDN w:val="0"/>
      <w:spacing w:before="120" w:after="0" w:line="240" w:lineRule="auto"/>
      <w:jc w:val="center"/>
    </w:pPr>
    <w:rPr>
      <w:rFonts w:ascii="Arial" w:eastAsia="Times New Roman" w:hAnsi="Arial" w:cs="Arial"/>
      <w:sz w:val="28"/>
      <w:szCs w:val="28"/>
      <w:lang w:val="en-US"/>
    </w:rPr>
  </w:style>
  <w:style w:type="paragraph" w:customStyle="1" w:styleId="TTPAddress">
    <w:name w:val="TTP Address"/>
    <w:basedOn w:val="Normal"/>
    <w:rsid w:val="00424BF8"/>
    <w:pPr>
      <w:autoSpaceDE w:val="0"/>
      <w:autoSpaceDN w:val="0"/>
      <w:spacing w:before="120" w:after="0" w:line="240" w:lineRule="auto"/>
      <w:jc w:val="center"/>
    </w:pPr>
    <w:rPr>
      <w:rFonts w:ascii="Arial" w:eastAsia="Times New Roman" w:hAnsi="Arial" w:cs="Arial"/>
      <w:lang w:val="en-US"/>
    </w:rPr>
  </w:style>
  <w:style w:type="paragraph" w:styleId="Header">
    <w:name w:val="header"/>
    <w:basedOn w:val="Normal"/>
    <w:link w:val="HeaderChar"/>
    <w:uiPriority w:val="99"/>
    <w:unhideWhenUsed/>
    <w:rsid w:val="00424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BF8"/>
  </w:style>
  <w:style w:type="paragraph" w:styleId="Footer">
    <w:name w:val="footer"/>
    <w:basedOn w:val="Normal"/>
    <w:link w:val="FooterChar"/>
    <w:uiPriority w:val="99"/>
    <w:unhideWhenUsed/>
    <w:rsid w:val="00424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BF8"/>
  </w:style>
  <w:style w:type="paragraph" w:styleId="NoSpacing">
    <w:name w:val="No Spacing"/>
    <w:link w:val="NoSpacingChar"/>
    <w:uiPriority w:val="1"/>
    <w:qFormat/>
    <w:rsid w:val="008A77E9"/>
    <w:pPr>
      <w:spacing w:after="0" w:line="240" w:lineRule="auto"/>
    </w:pPr>
    <w:rPr>
      <w:rFonts w:eastAsiaTheme="minorEastAsia"/>
      <w:sz w:val="24"/>
      <w:szCs w:val="24"/>
    </w:rPr>
  </w:style>
  <w:style w:type="table" w:styleId="PlainTable2">
    <w:name w:val="Plain Table 2"/>
    <w:basedOn w:val="TableNormal"/>
    <w:uiPriority w:val="42"/>
    <w:rsid w:val="008A77E9"/>
    <w:pPr>
      <w:spacing w:after="0" w:line="240" w:lineRule="auto"/>
    </w:pPr>
    <w:rPr>
      <w:rFonts w:eastAsiaTheme="minorEastAsia"/>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8A77E9"/>
    <w:rPr>
      <w:rFonts w:eastAsiaTheme="minorEastAsia"/>
      <w:sz w:val="24"/>
      <w:szCs w:val="24"/>
    </w:rPr>
  </w:style>
  <w:style w:type="paragraph" w:styleId="Caption">
    <w:name w:val="caption"/>
    <w:basedOn w:val="Normal"/>
    <w:next w:val="Normal"/>
    <w:uiPriority w:val="35"/>
    <w:unhideWhenUsed/>
    <w:qFormat/>
    <w:rsid w:val="00DF2FF2"/>
    <w:pPr>
      <w:spacing w:after="200" w:line="240" w:lineRule="auto"/>
    </w:pPr>
    <w:rPr>
      <w:rFonts w:eastAsia="Times New Roman"/>
      <w:b/>
      <w:bCs/>
      <w:color w:val="4472C4" w:themeColor="accent1"/>
      <w:sz w:val="18"/>
      <w:szCs w:val="18"/>
    </w:rPr>
  </w:style>
  <w:style w:type="paragraph" w:styleId="ListParagraph">
    <w:name w:val="List Paragraph"/>
    <w:basedOn w:val="Normal"/>
    <w:uiPriority w:val="34"/>
    <w:qFormat/>
    <w:rsid w:val="00D50F23"/>
    <w:pPr>
      <w:ind w:left="720"/>
      <w:contextualSpacing/>
    </w:pPr>
  </w:style>
  <w:style w:type="character" w:styleId="PlaceholderText">
    <w:name w:val="Placeholder Text"/>
    <w:basedOn w:val="DefaultParagraphFont"/>
    <w:uiPriority w:val="99"/>
    <w:semiHidden/>
    <w:rsid w:val="00F4779A"/>
    <w:rPr>
      <w:color w:val="808080"/>
    </w:rPr>
  </w:style>
  <w:style w:type="paragraph" w:styleId="BalloonText">
    <w:name w:val="Balloon Text"/>
    <w:basedOn w:val="Normal"/>
    <w:link w:val="BalloonTextChar"/>
    <w:uiPriority w:val="99"/>
    <w:semiHidden/>
    <w:unhideWhenUsed/>
    <w:rsid w:val="00B44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2B1"/>
    <w:rPr>
      <w:rFonts w:ascii="Segoe UI" w:hAnsi="Segoe UI" w:cs="Segoe UI"/>
      <w:sz w:val="18"/>
      <w:szCs w:val="18"/>
    </w:rPr>
  </w:style>
  <w:style w:type="character" w:customStyle="1" w:styleId="Heading1Char">
    <w:name w:val="Heading 1 Char"/>
    <w:basedOn w:val="DefaultParagraphFont"/>
    <w:link w:val="Heading1"/>
    <w:uiPriority w:val="9"/>
    <w:rsid w:val="00B901B3"/>
    <w:rPr>
      <w:rFonts w:eastAsiaTheme="majorEastAsia" w:cstheme="majorBidi"/>
      <w:b/>
      <w:bCs/>
      <w:color w:val="2D4F8E" w:themeColor="accent1" w:themeShade="B5"/>
      <w:sz w:val="32"/>
      <w:szCs w:val="32"/>
    </w:rPr>
  </w:style>
  <w:style w:type="character" w:customStyle="1" w:styleId="Heading2Char">
    <w:name w:val="Heading 2 Char"/>
    <w:basedOn w:val="DefaultParagraphFont"/>
    <w:link w:val="Heading2"/>
    <w:uiPriority w:val="9"/>
    <w:rsid w:val="009F3023"/>
    <w:rPr>
      <w:rFonts w:ascii="Times New Roman" w:eastAsia="Calibri" w:hAnsi="Times New Roman" w:cs="Times New Roman"/>
      <w:b/>
      <w:bCs/>
    </w:rPr>
  </w:style>
  <w:style w:type="character" w:customStyle="1" w:styleId="Heading3Char">
    <w:name w:val="Heading 3 Char"/>
    <w:basedOn w:val="DefaultParagraphFont"/>
    <w:link w:val="Heading3"/>
    <w:uiPriority w:val="9"/>
    <w:rsid w:val="00B901B3"/>
    <w:rPr>
      <w:rFonts w:ascii="Arial" w:eastAsiaTheme="majorEastAsia" w:hAnsi="Arial" w:cstheme="majorBidi"/>
      <w:b/>
      <w:bCs/>
      <w:color w:val="4472C4" w:themeColor="accent1"/>
      <w:sz w:val="24"/>
      <w:szCs w:val="24"/>
    </w:rPr>
  </w:style>
  <w:style w:type="character" w:customStyle="1" w:styleId="Heading4Char">
    <w:name w:val="Heading 4 Char"/>
    <w:basedOn w:val="DefaultParagraphFont"/>
    <w:link w:val="Heading4"/>
    <w:uiPriority w:val="9"/>
    <w:rsid w:val="00B901B3"/>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uiPriority w:val="9"/>
    <w:rsid w:val="00B901B3"/>
    <w:rPr>
      <w:rFonts w:ascii="Calibri Light" w:eastAsia="Times New Roman" w:hAnsi="Calibri Light" w:cs="Times New Roman"/>
      <w:color w:val="2F5496"/>
      <w:sz w:val="24"/>
      <w:szCs w:val="24"/>
    </w:rPr>
  </w:style>
  <w:style w:type="character" w:customStyle="1" w:styleId="Heading6Char">
    <w:name w:val="Heading 6 Char"/>
    <w:basedOn w:val="DefaultParagraphFont"/>
    <w:link w:val="Heading6"/>
    <w:uiPriority w:val="9"/>
    <w:semiHidden/>
    <w:rsid w:val="00B901B3"/>
    <w:rPr>
      <w:rFonts w:ascii="Calibri Light" w:eastAsia="Times New Roman" w:hAnsi="Calibri Light" w:cs="Times New Roman"/>
      <w:color w:val="1F3763"/>
      <w:sz w:val="24"/>
      <w:szCs w:val="24"/>
    </w:rPr>
  </w:style>
  <w:style w:type="character" w:customStyle="1" w:styleId="Heading7Char">
    <w:name w:val="Heading 7 Char"/>
    <w:basedOn w:val="DefaultParagraphFont"/>
    <w:link w:val="Heading7"/>
    <w:uiPriority w:val="9"/>
    <w:semiHidden/>
    <w:rsid w:val="00B901B3"/>
    <w:rPr>
      <w:rFonts w:ascii="Calibri Light" w:eastAsia="Times New Roman" w:hAnsi="Calibri Light" w:cs="Times New Roman"/>
      <w:i/>
      <w:iCs/>
      <w:color w:val="1F3763"/>
      <w:sz w:val="24"/>
      <w:szCs w:val="24"/>
    </w:rPr>
  </w:style>
  <w:style w:type="character" w:customStyle="1" w:styleId="Heading8Char">
    <w:name w:val="Heading 8 Char"/>
    <w:basedOn w:val="DefaultParagraphFont"/>
    <w:link w:val="Heading8"/>
    <w:uiPriority w:val="9"/>
    <w:semiHidden/>
    <w:rsid w:val="00B901B3"/>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B901B3"/>
    <w:rPr>
      <w:rFonts w:ascii="Calibri Light" w:eastAsia="Times New Roman" w:hAnsi="Calibri Light" w:cs="Times New Roman"/>
      <w:i/>
      <w:iCs/>
      <w:color w:val="272727"/>
      <w:sz w:val="21"/>
      <w:szCs w:val="21"/>
    </w:rPr>
  </w:style>
  <w:style w:type="paragraph" w:styleId="TOCHeading">
    <w:name w:val="TOC Heading"/>
    <w:basedOn w:val="Heading1"/>
    <w:next w:val="Normal"/>
    <w:uiPriority w:val="39"/>
    <w:unhideWhenUsed/>
    <w:qFormat/>
    <w:rsid w:val="00B901B3"/>
    <w:pPr>
      <w:spacing w:line="276" w:lineRule="auto"/>
      <w:outlineLvl w:val="9"/>
    </w:pPr>
    <w:rPr>
      <w:color w:val="2F5496" w:themeColor="accent1" w:themeShade="BF"/>
      <w:sz w:val="28"/>
      <w:szCs w:val="28"/>
      <w:lang w:val="en-US"/>
    </w:rPr>
  </w:style>
  <w:style w:type="paragraph" w:styleId="TOC1">
    <w:name w:val="toc 1"/>
    <w:basedOn w:val="Normal"/>
    <w:next w:val="Normal"/>
    <w:autoRedefine/>
    <w:uiPriority w:val="39"/>
    <w:unhideWhenUsed/>
    <w:rsid w:val="00B901B3"/>
    <w:pPr>
      <w:spacing w:before="240" w:after="120" w:line="240" w:lineRule="auto"/>
    </w:pPr>
    <w:rPr>
      <w:rFonts w:eastAsia="Times New Roman"/>
      <w:b/>
      <w:bCs/>
      <w:caps/>
      <w:u w:val="single"/>
    </w:rPr>
  </w:style>
  <w:style w:type="paragraph" w:styleId="TOC2">
    <w:name w:val="toc 2"/>
    <w:basedOn w:val="Normal"/>
    <w:next w:val="Normal"/>
    <w:autoRedefine/>
    <w:uiPriority w:val="39"/>
    <w:unhideWhenUsed/>
    <w:rsid w:val="00B901B3"/>
    <w:pPr>
      <w:spacing w:after="0" w:line="240" w:lineRule="auto"/>
    </w:pPr>
    <w:rPr>
      <w:rFonts w:eastAsia="Times New Roman"/>
      <w:b/>
      <w:bCs/>
      <w:smallCaps/>
    </w:rPr>
  </w:style>
  <w:style w:type="paragraph" w:styleId="TOC3">
    <w:name w:val="toc 3"/>
    <w:basedOn w:val="Normal"/>
    <w:next w:val="Normal"/>
    <w:autoRedefine/>
    <w:uiPriority w:val="39"/>
    <w:unhideWhenUsed/>
    <w:rsid w:val="00B901B3"/>
    <w:pPr>
      <w:spacing w:after="0" w:line="240" w:lineRule="auto"/>
    </w:pPr>
    <w:rPr>
      <w:rFonts w:eastAsia="Times New Roman"/>
      <w:smallCaps/>
    </w:rPr>
  </w:style>
  <w:style w:type="paragraph" w:styleId="TOC4">
    <w:name w:val="toc 4"/>
    <w:basedOn w:val="Normal"/>
    <w:next w:val="Normal"/>
    <w:autoRedefine/>
    <w:uiPriority w:val="39"/>
    <w:unhideWhenUsed/>
    <w:rsid w:val="00B901B3"/>
    <w:pPr>
      <w:spacing w:after="0" w:line="240" w:lineRule="auto"/>
    </w:pPr>
    <w:rPr>
      <w:rFonts w:eastAsia="Times New Roman"/>
    </w:rPr>
  </w:style>
  <w:style w:type="paragraph" w:styleId="TOC5">
    <w:name w:val="toc 5"/>
    <w:basedOn w:val="Normal"/>
    <w:next w:val="Normal"/>
    <w:autoRedefine/>
    <w:uiPriority w:val="39"/>
    <w:unhideWhenUsed/>
    <w:rsid w:val="00B901B3"/>
    <w:pPr>
      <w:spacing w:after="0" w:line="240" w:lineRule="auto"/>
    </w:pPr>
    <w:rPr>
      <w:rFonts w:eastAsia="Times New Roman"/>
    </w:rPr>
  </w:style>
  <w:style w:type="paragraph" w:styleId="TOC6">
    <w:name w:val="toc 6"/>
    <w:basedOn w:val="Normal"/>
    <w:next w:val="Normal"/>
    <w:autoRedefine/>
    <w:uiPriority w:val="39"/>
    <w:unhideWhenUsed/>
    <w:rsid w:val="00B901B3"/>
    <w:pPr>
      <w:spacing w:after="0" w:line="240" w:lineRule="auto"/>
    </w:pPr>
    <w:rPr>
      <w:rFonts w:eastAsia="Times New Roman"/>
    </w:rPr>
  </w:style>
  <w:style w:type="paragraph" w:styleId="TOC7">
    <w:name w:val="toc 7"/>
    <w:basedOn w:val="Normal"/>
    <w:next w:val="Normal"/>
    <w:autoRedefine/>
    <w:uiPriority w:val="39"/>
    <w:unhideWhenUsed/>
    <w:rsid w:val="00B901B3"/>
    <w:pPr>
      <w:spacing w:after="0" w:line="240" w:lineRule="auto"/>
    </w:pPr>
    <w:rPr>
      <w:rFonts w:eastAsia="Times New Roman"/>
    </w:rPr>
  </w:style>
  <w:style w:type="paragraph" w:styleId="TOC8">
    <w:name w:val="toc 8"/>
    <w:basedOn w:val="Normal"/>
    <w:next w:val="Normal"/>
    <w:autoRedefine/>
    <w:uiPriority w:val="39"/>
    <w:unhideWhenUsed/>
    <w:rsid w:val="00B901B3"/>
    <w:pPr>
      <w:spacing w:after="0" w:line="240" w:lineRule="auto"/>
    </w:pPr>
    <w:rPr>
      <w:rFonts w:eastAsia="Times New Roman"/>
    </w:rPr>
  </w:style>
  <w:style w:type="paragraph" w:styleId="TOC9">
    <w:name w:val="toc 9"/>
    <w:basedOn w:val="Normal"/>
    <w:next w:val="Normal"/>
    <w:autoRedefine/>
    <w:uiPriority w:val="39"/>
    <w:unhideWhenUsed/>
    <w:rsid w:val="00B901B3"/>
    <w:pPr>
      <w:spacing w:after="0" w:line="240" w:lineRule="auto"/>
    </w:pPr>
    <w:rPr>
      <w:rFonts w:eastAsia="Times New Roman"/>
    </w:rPr>
  </w:style>
  <w:style w:type="paragraph" w:styleId="Bibliography">
    <w:name w:val="Bibliography"/>
    <w:basedOn w:val="Normal"/>
    <w:next w:val="Normal"/>
    <w:uiPriority w:val="37"/>
    <w:unhideWhenUsed/>
    <w:rsid w:val="00B901B3"/>
    <w:pPr>
      <w:spacing w:after="0" w:line="240" w:lineRule="auto"/>
    </w:pPr>
    <w:rPr>
      <w:rFonts w:eastAsia="Times New Roman"/>
      <w:sz w:val="24"/>
      <w:szCs w:val="24"/>
    </w:rPr>
  </w:style>
  <w:style w:type="table" w:styleId="TableGrid">
    <w:name w:val="Table Grid"/>
    <w:basedOn w:val="TableNormal"/>
    <w:uiPriority w:val="39"/>
    <w:rsid w:val="00B901B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B901B3"/>
    <w:pPr>
      <w:spacing w:after="0" w:line="240" w:lineRule="auto"/>
    </w:pPr>
    <w:rPr>
      <w:rFonts w:eastAsiaTheme="minorEastAsia"/>
      <w:sz w:val="24"/>
      <w:szCs w:val="24"/>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olmailmsonospacing">
    <w:name w:val="aolmail_msonospacing"/>
    <w:basedOn w:val="Normal"/>
    <w:rsid w:val="00B901B3"/>
    <w:pPr>
      <w:spacing w:before="100" w:beforeAutospacing="1" w:after="100" w:afterAutospacing="1" w:line="240" w:lineRule="auto"/>
    </w:pPr>
    <w:rPr>
      <w:rFonts w:ascii="Times" w:eastAsia="Times New Roman" w:hAnsi="Times"/>
      <w:sz w:val="20"/>
      <w:szCs w:val="20"/>
    </w:rPr>
  </w:style>
  <w:style w:type="paragraph" w:customStyle="1" w:styleId="aolmailmsonormal">
    <w:name w:val="aolmail_msonormal"/>
    <w:basedOn w:val="Normal"/>
    <w:rsid w:val="00B901B3"/>
    <w:pPr>
      <w:spacing w:before="100" w:beforeAutospacing="1" w:after="100" w:afterAutospacing="1" w:line="240" w:lineRule="auto"/>
    </w:pPr>
    <w:rPr>
      <w:rFonts w:ascii="Times" w:eastAsia="Times New Roman" w:hAnsi="Times"/>
      <w:sz w:val="20"/>
      <w:szCs w:val="20"/>
    </w:rPr>
  </w:style>
  <w:style w:type="table" w:styleId="PlainTable5">
    <w:name w:val="Plain Table 5"/>
    <w:basedOn w:val="TableNormal"/>
    <w:uiPriority w:val="45"/>
    <w:rsid w:val="00B901B3"/>
    <w:pPr>
      <w:spacing w:after="0" w:line="240" w:lineRule="auto"/>
    </w:pPr>
    <w:rPr>
      <w:rFonts w:eastAsiaTheme="minorEastAsia"/>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901B3"/>
    <w:pPr>
      <w:spacing w:after="0" w:line="240" w:lineRule="auto"/>
    </w:pPr>
    <w:rPr>
      <w:rFonts w:eastAsiaTheme="minorEastAsia"/>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901B3"/>
    <w:pPr>
      <w:spacing w:after="0" w:line="240" w:lineRule="auto"/>
    </w:pPr>
    <w:rPr>
      <w:rFonts w:eastAsiaTheme="minorEastAsia"/>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
    <w:name w:val="List Table 7 Colorful"/>
    <w:basedOn w:val="TableNormal"/>
    <w:uiPriority w:val="52"/>
    <w:rsid w:val="00B901B3"/>
    <w:pPr>
      <w:spacing w:after="0" w:line="240" w:lineRule="auto"/>
    </w:pPr>
    <w:rPr>
      <w:rFonts w:eastAsiaTheme="minorEastAsia"/>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B901B3"/>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1">
    <w:name w:val="Grid Table 1 Light Accent 1"/>
    <w:basedOn w:val="TableNormal"/>
    <w:uiPriority w:val="46"/>
    <w:rsid w:val="00B901B3"/>
    <w:pPr>
      <w:spacing w:after="0" w:line="240" w:lineRule="auto"/>
    </w:pPr>
    <w:rPr>
      <w:rFonts w:eastAsiaTheme="minorEastAsia"/>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901B3"/>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B901B3"/>
    <w:pPr>
      <w:spacing w:after="0" w:line="240" w:lineRule="auto"/>
    </w:pPr>
    <w:rPr>
      <w:rFonts w:eastAsiaTheme="minorEastAsia"/>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B901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eviewed-sentence">
    <w:name w:val="previewed-sentence"/>
    <w:basedOn w:val="DefaultParagraphFont"/>
    <w:rsid w:val="00B901B3"/>
  </w:style>
  <w:style w:type="character" w:styleId="PageNumber">
    <w:name w:val="page number"/>
    <w:basedOn w:val="DefaultParagraphFont"/>
    <w:uiPriority w:val="99"/>
    <w:semiHidden/>
    <w:unhideWhenUsed/>
    <w:rsid w:val="00B901B3"/>
  </w:style>
  <w:style w:type="paragraph" w:styleId="TableofFigures">
    <w:name w:val="table of figures"/>
    <w:basedOn w:val="Normal"/>
    <w:next w:val="Normal"/>
    <w:uiPriority w:val="99"/>
    <w:unhideWhenUsed/>
    <w:rsid w:val="00B901B3"/>
    <w:pPr>
      <w:spacing w:after="0"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B901B3"/>
    <w:pPr>
      <w:spacing w:after="0" w:line="240" w:lineRule="auto"/>
    </w:pPr>
    <w:rPr>
      <w:rFonts w:eastAsiaTheme="minorEastAsia"/>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B901B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PlainTable1">
    <w:name w:val="Plain Table 1"/>
    <w:basedOn w:val="TableNormal"/>
    <w:uiPriority w:val="41"/>
    <w:rsid w:val="00B901B3"/>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B901B3"/>
    <w:pPr>
      <w:spacing w:before="100" w:beforeAutospacing="1" w:after="100" w:afterAutospacing="1" w:line="240" w:lineRule="auto"/>
    </w:pPr>
    <w:rPr>
      <w:rFonts w:ascii="Times New Roman" w:eastAsiaTheme="minorEastAsia" w:hAnsi="Times New Roman" w:cs="Times New Roman"/>
      <w:sz w:val="24"/>
      <w:szCs w:val="24"/>
    </w:rPr>
  </w:style>
  <w:style w:type="character" w:styleId="HTMLAcronym">
    <w:name w:val="HTML Acronym"/>
    <w:basedOn w:val="DefaultParagraphFont"/>
    <w:uiPriority w:val="99"/>
    <w:semiHidden/>
    <w:unhideWhenUsed/>
    <w:rsid w:val="00B901B3"/>
  </w:style>
  <w:style w:type="paragraph" w:customStyle="1" w:styleId="Heading51">
    <w:name w:val="Heading 51"/>
    <w:basedOn w:val="Normal"/>
    <w:next w:val="Normal"/>
    <w:uiPriority w:val="9"/>
    <w:semiHidden/>
    <w:unhideWhenUsed/>
    <w:qFormat/>
    <w:rsid w:val="00B901B3"/>
    <w:pPr>
      <w:keepNext/>
      <w:keepLines/>
      <w:spacing w:before="40" w:after="0" w:line="240" w:lineRule="auto"/>
      <w:outlineLvl w:val="4"/>
    </w:pPr>
    <w:rPr>
      <w:rFonts w:ascii="Calibri Light" w:eastAsia="Times New Roman" w:hAnsi="Calibri Light" w:cs="Times New Roman"/>
      <w:color w:val="2F5496"/>
      <w:sz w:val="24"/>
      <w:szCs w:val="24"/>
    </w:rPr>
  </w:style>
  <w:style w:type="paragraph" w:customStyle="1" w:styleId="Heading61">
    <w:name w:val="Heading 61"/>
    <w:basedOn w:val="Normal"/>
    <w:next w:val="Normal"/>
    <w:uiPriority w:val="9"/>
    <w:semiHidden/>
    <w:unhideWhenUsed/>
    <w:qFormat/>
    <w:rsid w:val="00B901B3"/>
    <w:pPr>
      <w:keepNext/>
      <w:keepLines/>
      <w:spacing w:before="40" w:after="0" w:line="240" w:lineRule="auto"/>
      <w:outlineLvl w:val="5"/>
    </w:pPr>
    <w:rPr>
      <w:rFonts w:ascii="Calibri Light" w:eastAsia="Times New Roman" w:hAnsi="Calibri Light" w:cs="Times New Roman"/>
      <w:color w:val="1F3763"/>
      <w:sz w:val="24"/>
      <w:szCs w:val="24"/>
    </w:rPr>
  </w:style>
  <w:style w:type="paragraph" w:customStyle="1" w:styleId="Heading71">
    <w:name w:val="Heading 71"/>
    <w:basedOn w:val="Normal"/>
    <w:next w:val="Normal"/>
    <w:uiPriority w:val="9"/>
    <w:semiHidden/>
    <w:unhideWhenUsed/>
    <w:qFormat/>
    <w:rsid w:val="00B901B3"/>
    <w:pPr>
      <w:keepNext/>
      <w:keepLines/>
      <w:spacing w:before="40" w:after="0" w:line="240" w:lineRule="auto"/>
      <w:outlineLvl w:val="6"/>
    </w:pPr>
    <w:rPr>
      <w:rFonts w:ascii="Calibri Light" w:eastAsia="Times New Roman" w:hAnsi="Calibri Light" w:cs="Times New Roman"/>
      <w:i/>
      <w:iCs/>
      <w:color w:val="1F3763"/>
      <w:sz w:val="24"/>
      <w:szCs w:val="24"/>
    </w:rPr>
  </w:style>
  <w:style w:type="paragraph" w:customStyle="1" w:styleId="Heading81">
    <w:name w:val="Heading 81"/>
    <w:basedOn w:val="Normal"/>
    <w:next w:val="Normal"/>
    <w:uiPriority w:val="9"/>
    <w:semiHidden/>
    <w:unhideWhenUsed/>
    <w:qFormat/>
    <w:rsid w:val="00B901B3"/>
    <w:pPr>
      <w:keepNext/>
      <w:keepLines/>
      <w:spacing w:before="40" w:after="0" w:line="240"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B901B3"/>
    <w:pPr>
      <w:keepNext/>
      <w:keepLines/>
      <w:spacing w:before="40" w:after="0" w:line="240"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B901B3"/>
  </w:style>
  <w:style w:type="table" w:customStyle="1" w:styleId="PlainTable21">
    <w:name w:val="Plain Table 21"/>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39"/>
    <w:rsid w:val="00B901B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Authorities1">
    <w:name w:val="Table of Authorities1"/>
    <w:basedOn w:val="Normal"/>
    <w:next w:val="Normal"/>
    <w:uiPriority w:val="99"/>
    <w:unhideWhenUsed/>
    <w:rsid w:val="00B901B3"/>
    <w:pPr>
      <w:spacing w:after="0" w:line="240" w:lineRule="auto"/>
      <w:ind w:left="240" w:hanging="240"/>
    </w:pPr>
    <w:rPr>
      <w:rFonts w:ascii="Calibri" w:eastAsia="Calibri" w:hAnsi="Calibri" w:cs="Calibri"/>
      <w:sz w:val="20"/>
      <w:szCs w:val="20"/>
    </w:rPr>
  </w:style>
  <w:style w:type="paragraph" w:customStyle="1" w:styleId="TOAHeading1">
    <w:name w:val="TOA Heading1"/>
    <w:basedOn w:val="Normal"/>
    <w:next w:val="Normal"/>
    <w:uiPriority w:val="99"/>
    <w:unhideWhenUsed/>
    <w:rsid w:val="00B901B3"/>
    <w:pPr>
      <w:spacing w:before="240" w:after="120" w:line="240" w:lineRule="auto"/>
      <w:jc w:val="center"/>
    </w:pPr>
    <w:rPr>
      <w:rFonts w:ascii="Calibri" w:eastAsia="Calibri" w:hAnsi="Calibri" w:cs="Calibri"/>
      <w:smallCaps/>
      <w:u w:val="single"/>
    </w:rPr>
  </w:style>
  <w:style w:type="table" w:customStyle="1" w:styleId="PlainTable41">
    <w:name w:val="Plain Table 41"/>
    <w:basedOn w:val="TableNormal"/>
    <w:next w:val="PlainTable4"/>
    <w:uiPriority w:val="44"/>
    <w:rsid w:val="00B901B3"/>
    <w:pPr>
      <w:spacing w:after="0" w:line="240" w:lineRule="auto"/>
    </w:pPr>
    <w:rPr>
      <w:rFonts w:eastAsia="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itle1">
    <w:name w:val="Title1"/>
    <w:basedOn w:val="Normal"/>
    <w:next w:val="Normal"/>
    <w:uiPriority w:val="10"/>
    <w:qFormat/>
    <w:rsid w:val="00B901B3"/>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B901B3"/>
    <w:rPr>
      <w:rFonts w:ascii="Calibri Light" w:eastAsia="Times New Roman" w:hAnsi="Calibri Light" w:cs="Times New Roman"/>
      <w:spacing w:val="-10"/>
      <w:kern w:val="28"/>
      <w:sz w:val="56"/>
      <w:szCs w:val="56"/>
    </w:rPr>
  </w:style>
  <w:style w:type="paragraph" w:customStyle="1" w:styleId="BlockText1">
    <w:name w:val="Block Text1"/>
    <w:basedOn w:val="Normal"/>
    <w:next w:val="BlockText"/>
    <w:uiPriority w:val="99"/>
    <w:semiHidden/>
    <w:unhideWhenUsed/>
    <w:rsid w:val="00B901B3"/>
    <w:pPr>
      <w:pBdr>
        <w:top w:val="single" w:sz="2" w:space="10" w:color="4472C4" w:frame="1"/>
        <w:left w:val="single" w:sz="2" w:space="10" w:color="4472C4" w:frame="1"/>
        <w:bottom w:val="single" w:sz="2" w:space="10" w:color="4472C4" w:frame="1"/>
        <w:right w:val="single" w:sz="2" w:space="10" w:color="4472C4" w:frame="1"/>
      </w:pBdr>
      <w:spacing w:after="0" w:line="240" w:lineRule="auto"/>
      <w:ind w:left="1152" w:right="1152"/>
    </w:pPr>
    <w:rPr>
      <w:rFonts w:ascii="Calibri" w:eastAsia="Times New Roman" w:hAnsi="Calibri" w:cs="Times New Roman"/>
      <w:i/>
      <w:iCs/>
      <w:color w:val="4472C4"/>
      <w:sz w:val="24"/>
      <w:szCs w:val="24"/>
    </w:rPr>
  </w:style>
  <w:style w:type="paragraph" w:styleId="BodyText">
    <w:name w:val="Body Text"/>
    <w:basedOn w:val="Normal"/>
    <w:link w:val="BodyTextChar"/>
    <w:uiPriority w:val="99"/>
    <w:semiHidden/>
    <w:unhideWhenUsed/>
    <w:rsid w:val="00B901B3"/>
    <w:pPr>
      <w:spacing w:after="120" w:line="240" w:lineRule="auto"/>
    </w:pPr>
    <w:rPr>
      <w:rFonts w:ascii="Calibri" w:eastAsia="Calibri" w:hAnsi="Calibri" w:cs="Times New Roman"/>
      <w:sz w:val="24"/>
      <w:szCs w:val="24"/>
    </w:rPr>
  </w:style>
  <w:style w:type="character" w:customStyle="1" w:styleId="BodyTextChar">
    <w:name w:val="Body Text Char"/>
    <w:basedOn w:val="DefaultParagraphFont"/>
    <w:link w:val="BodyText"/>
    <w:uiPriority w:val="99"/>
    <w:semiHidden/>
    <w:rsid w:val="00B901B3"/>
    <w:rPr>
      <w:rFonts w:ascii="Calibri" w:eastAsia="Calibri" w:hAnsi="Calibri" w:cs="Times New Roman"/>
      <w:sz w:val="24"/>
      <w:szCs w:val="24"/>
    </w:rPr>
  </w:style>
  <w:style w:type="paragraph" w:styleId="BodyText2">
    <w:name w:val="Body Text 2"/>
    <w:basedOn w:val="Normal"/>
    <w:link w:val="BodyText2Char"/>
    <w:uiPriority w:val="99"/>
    <w:semiHidden/>
    <w:unhideWhenUsed/>
    <w:rsid w:val="00B901B3"/>
    <w:pPr>
      <w:spacing w:after="120" w:line="480" w:lineRule="auto"/>
    </w:pPr>
    <w:rPr>
      <w:rFonts w:ascii="Calibri" w:eastAsia="Calibri" w:hAnsi="Calibri" w:cs="Times New Roman"/>
      <w:sz w:val="24"/>
      <w:szCs w:val="24"/>
    </w:rPr>
  </w:style>
  <w:style w:type="character" w:customStyle="1" w:styleId="BodyText2Char">
    <w:name w:val="Body Text 2 Char"/>
    <w:basedOn w:val="DefaultParagraphFont"/>
    <w:link w:val="BodyText2"/>
    <w:uiPriority w:val="99"/>
    <w:semiHidden/>
    <w:rsid w:val="00B901B3"/>
    <w:rPr>
      <w:rFonts w:ascii="Calibri" w:eastAsia="Calibri" w:hAnsi="Calibri" w:cs="Times New Roman"/>
      <w:sz w:val="24"/>
      <w:szCs w:val="24"/>
    </w:rPr>
  </w:style>
  <w:style w:type="paragraph" w:styleId="BodyText3">
    <w:name w:val="Body Text 3"/>
    <w:basedOn w:val="Normal"/>
    <w:link w:val="BodyText3Char"/>
    <w:uiPriority w:val="99"/>
    <w:semiHidden/>
    <w:unhideWhenUsed/>
    <w:rsid w:val="00B901B3"/>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B901B3"/>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B901B3"/>
    <w:pPr>
      <w:spacing w:after="0"/>
      <w:ind w:firstLine="360"/>
    </w:pPr>
  </w:style>
  <w:style w:type="character" w:customStyle="1" w:styleId="BodyTextFirstIndentChar">
    <w:name w:val="Body Text First Indent Char"/>
    <w:basedOn w:val="BodyTextChar"/>
    <w:link w:val="BodyTextFirstIndent"/>
    <w:uiPriority w:val="99"/>
    <w:semiHidden/>
    <w:rsid w:val="00B901B3"/>
    <w:rPr>
      <w:rFonts w:ascii="Calibri" w:eastAsia="Calibri" w:hAnsi="Calibri" w:cs="Times New Roman"/>
      <w:sz w:val="24"/>
      <w:szCs w:val="24"/>
    </w:rPr>
  </w:style>
  <w:style w:type="paragraph" w:styleId="BodyTextIndent">
    <w:name w:val="Body Text Indent"/>
    <w:basedOn w:val="Normal"/>
    <w:link w:val="BodyTextIndentChar"/>
    <w:uiPriority w:val="99"/>
    <w:semiHidden/>
    <w:unhideWhenUsed/>
    <w:rsid w:val="00B901B3"/>
    <w:pPr>
      <w:spacing w:after="120" w:line="240" w:lineRule="auto"/>
      <w:ind w:left="283"/>
    </w:pPr>
    <w:rPr>
      <w:rFonts w:ascii="Calibri" w:eastAsia="Calibri" w:hAnsi="Calibri" w:cs="Times New Roman"/>
      <w:sz w:val="24"/>
      <w:szCs w:val="24"/>
    </w:rPr>
  </w:style>
  <w:style w:type="character" w:customStyle="1" w:styleId="BodyTextIndentChar">
    <w:name w:val="Body Text Indent Char"/>
    <w:basedOn w:val="DefaultParagraphFont"/>
    <w:link w:val="BodyTextIndent"/>
    <w:uiPriority w:val="99"/>
    <w:semiHidden/>
    <w:rsid w:val="00B901B3"/>
    <w:rPr>
      <w:rFonts w:ascii="Calibri" w:eastAsia="Calibri" w:hAnsi="Calibri" w:cs="Times New Roman"/>
      <w:sz w:val="24"/>
      <w:szCs w:val="24"/>
    </w:rPr>
  </w:style>
  <w:style w:type="paragraph" w:styleId="BodyTextFirstIndent2">
    <w:name w:val="Body Text First Indent 2"/>
    <w:basedOn w:val="BodyTextIndent"/>
    <w:link w:val="BodyTextFirstIndent2Char"/>
    <w:uiPriority w:val="99"/>
    <w:semiHidden/>
    <w:unhideWhenUsed/>
    <w:rsid w:val="00B901B3"/>
    <w:pPr>
      <w:spacing w:after="0"/>
      <w:ind w:left="360" w:firstLine="360"/>
    </w:pPr>
  </w:style>
  <w:style w:type="character" w:customStyle="1" w:styleId="BodyTextFirstIndent2Char">
    <w:name w:val="Body Text First Indent 2 Char"/>
    <w:basedOn w:val="BodyTextIndentChar"/>
    <w:link w:val="BodyTextFirstIndent2"/>
    <w:uiPriority w:val="99"/>
    <w:semiHidden/>
    <w:rsid w:val="00B901B3"/>
    <w:rPr>
      <w:rFonts w:ascii="Calibri" w:eastAsia="Calibri" w:hAnsi="Calibri" w:cs="Times New Roman"/>
      <w:sz w:val="24"/>
      <w:szCs w:val="24"/>
    </w:rPr>
  </w:style>
  <w:style w:type="paragraph" w:styleId="BodyTextIndent2">
    <w:name w:val="Body Text Indent 2"/>
    <w:basedOn w:val="Normal"/>
    <w:link w:val="BodyTextIndent2Char"/>
    <w:uiPriority w:val="99"/>
    <w:semiHidden/>
    <w:unhideWhenUsed/>
    <w:rsid w:val="00B901B3"/>
    <w:pPr>
      <w:spacing w:after="120" w:line="480" w:lineRule="auto"/>
      <w:ind w:left="283"/>
    </w:pPr>
    <w:rPr>
      <w:rFonts w:ascii="Calibri" w:eastAsia="Calibri" w:hAnsi="Calibri" w:cs="Times New Roman"/>
      <w:sz w:val="24"/>
      <w:szCs w:val="24"/>
    </w:rPr>
  </w:style>
  <w:style w:type="character" w:customStyle="1" w:styleId="BodyTextIndent2Char">
    <w:name w:val="Body Text Indent 2 Char"/>
    <w:basedOn w:val="DefaultParagraphFont"/>
    <w:link w:val="BodyTextIndent2"/>
    <w:uiPriority w:val="99"/>
    <w:semiHidden/>
    <w:rsid w:val="00B901B3"/>
    <w:rPr>
      <w:rFonts w:ascii="Calibri" w:eastAsia="Calibri" w:hAnsi="Calibri" w:cs="Times New Roman"/>
      <w:sz w:val="24"/>
      <w:szCs w:val="24"/>
    </w:rPr>
  </w:style>
  <w:style w:type="paragraph" w:styleId="BodyTextIndent3">
    <w:name w:val="Body Text Indent 3"/>
    <w:basedOn w:val="Normal"/>
    <w:link w:val="BodyTextIndent3Char"/>
    <w:uiPriority w:val="99"/>
    <w:semiHidden/>
    <w:unhideWhenUsed/>
    <w:rsid w:val="00B901B3"/>
    <w:pPr>
      <w:spacing w:after="120" w:line="240"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B901B3"/>
    <w:rPr>
      <w:rFonts w:ascii="Calibri" w:eastAsia="Calibri" w:hAnsi="Calibri" w:cs="Times New Roman"/>
      <w:sz w:val="16"/>
      <w:szCs w:val="16"/>
    </w:rPr>
  </w:style>
  <w:style w:type="paragraph" w:styleId="Closing">
    <w:name w:val="Closing"/>
    <w:basedOn w:val="Normal"/>
    <w:link w:val="ClosingChar"/>
    <w:uiPriority w:val="99"/>
    <w:semiHidden/>
    <w:unhideWhenUsed/>
    <w:rsid w:val="00B901B3"/>
    <w:pPr>
      <w:spacing w:after="0" w:line="240" w:lineRule="auto"/>
      <w:ind w:left="4252"/>
    </w:pPr>
    <w:rPr>
      <w:rFonts w:ascii="Calibri" w:eastAsia="Calibri" w:hAnsi="Calibri" w:cs="Times New Roman"/>
      <w:sz w:val="24"/>
      <w:szCs w:val="24"/>
    </w:rPr>
  </w:style>
  <w:style w:type="character" w:customStyle="1" w:styleId="ClosingChar">
    <w:name w:val="Closing Char"/>
    <w:basedOn w:val="DefaultParagraphFont"/>
    <w:link w:val="Closing"/>
    <w:uiPriority w:val="99"/>
    <w:semiHidden/>
    <w:rsid w:val="00B901B3"/>
    <w:rPr>
      <w:rFonts w:ascii="Calibri" w:eastAsia="Calibri" w:hAnsi="Calibri" w:cs="Times New Roman"/>
      <w:sz w:val="24"/>
      <w:szCs w:val="24"/>
    </w:rPr>
  </w:style>
  <w:style w:type="paragraph" w:styleId="CommentText">
    <w:name w:val="annotation text"/>
    <w:basedOn w:val="Normal"/>
    <w:link w:val="CommentTextChar"/>
    <w:uiPriority w:val="99"/>
    <w:semiHidden/>
    <w:unhideWhenUsed/>
    <w:rsid w:val="00B901B3"/>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901B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901B3"/>
    <w:rPr>
      <w:b/>
      <w:bCs/>
    </w:rPr>
  </w:style>
  <w:style w:type="character" w:customStyle="1" w:styleId="CommentSubjectChar">
    <w:name w:val="Comment Subject Char"/>
    <w:basedOn w:val="CommentTextChar"/>
    <w:link w:val="CommentSubject"/>
    <w:uiPriority w:val="99"/>
    <w:semiHidden/>
    <w:rsid w:val="00B901B3"/>
    <w:rPr>
      <w:rFonts w:ascii="Calibri" w:eastAsia="Calibri" w:hAnsi="Calibri" w:cs="Times New Roman"/>
      <w:b/>
      <w:bCs/>
      <w:sz w:val="20"/>
      <w:szCs w:val="20"/>
    </w:rPr>
  </w:style>
  <w:style w:type="paragraph" w:styleId="Date">
    <w:name w:val="Date"/>
    <w:basedOn w:val="Normal"/>
    <w:next w:val="Normal"/>
    <w:link w:val="DateChar"/>
    <w:uiPriority w:val="99"/>
    <w:semiHidden/>
    <w:unhideWhenUsed/>
    <w:rsid w:val="00B901B3"/>
    <w:pPr>
      <w:spacing w:after="0" w:line="240" w:lineRule="auto"/>
    </w:pPr>
    <w:rPr>
      <w:rFonts w:ascii="Calibri" w:eastAsia="Calibri" w:hAnsi="Calibri" w:cs="Times New Roman"/>
      <w:sz w:val="24"/>
      <w:szCs w:val="24"/>
    </w:rPr>
  </w:style>
  <w:style w:type="character" w:customStyle="1" w:styleId="DateChar">
    <w:name w:val="Date Char"/>
    <w:basedOn w:val="DefaultParagraphFont"/>
    <w:link w:val="Date"/>
    <w:uiPriority w:val="99"/>
    <w:semiHidden/>
    <w:rsid w:val="00B901B3"/>
    <w:rPr>
      <w:rFonts w:ascii="Calibri" w:eastAsia="Calibri" w:hAnsi="Calibri" w:cs="Times New Roman"/>
      <w:sz w:val="24"/>
      <w:szCs w:val="24"/>
    </w:rPr>
  </w:style>
  <w:style w:type="paragraph" w:styleId="DocumentMap">
    <w:name w:val="Document Map"/>
    <w:basedOn w:val="Normal"/>
    <w:link w:val="DocumentMapChar"/>
    <w:uiPriority w:val="99"/>
    <w:semiHidden/>
    <w:unhideWhenUsed/>
    <w:rsid w:val="00B901B3"/>
    <w:pPr>
      <w:spacing w:after="0" w:line="240" w:lineRule="auto"/>
    </w:pPr>
    <w:rPr>
      <w:rFonts w:ascii="Segoe UI" w:eastAsia="Calibri" w:hAnsi="Segoe UI" w:cs="Segoe UI"/>
      <w:sz w:val="16"/>
      <w:szCs w:val="16"/>
    </w:rPr>
  </w:style>
  <w:style w:type="character" w:customStyle="1" w:styleId="DocumentMapChar">
    <w:name w:val="Document Map Char"/>
    <w:basedOn w:val="DefaultParagraphFont"/>
    <w:link w:val="DocumentMap"/>
    <w:uiPriority w:val="99"/>
    <w:semiHidden/>
    <w:rsid w:val="00B901B3"/>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B901B3"/>
    <w:pPr>
      <w:spacing w:after="0" w:line="240" w:lineRule="auto"/>
    </w:pPr>
    <w:rPr>
      <w:rFonts w:ascii="Calibri" w:eastAsia="Calibri" w:hAnsi="Calibri" w:cs="Times New Roman"/>
      <w:sz w:val="24"/>
      <w:szCs w:val="24"/>
    </w:rPr>
  </w:style>
  <w:style w:type="character" w:customStyle="1" w:styleId="EmailSignatureChar">
    <w:name w:val="Email Signature Char"/>
    <w:basedOn w:val="DefaultParagraphFont"/>
    <w:link w:val="EmailSignature"/>
    <w:uiPriority w:val="99"/>
    <w:semiHidden/>
    <w:rsid w:val="00B901B3"/>
    <w:rPr>
      <w:rFonts w:ascii="Calibri" w:eastAsia="Calibri" w:hAnsi="Calibri" w:cs="Times New Roman"/>
      <w:sz w:val="24"/>
      <w:szCs w:val="24"/>
    </w:rPr>
  </w:style>
  <w:style w:type="paragraph" w:styleId="EndnoteText">
    <w:name w:val="endnote text"/>
    <w:basedOn w:val="Normal"/>
    <w:link w:val="EndnoteTextChar"/>
    <w:uiPriority w:val="99"/>
    <w:semiHidden/>
    <w:unhideWhenUsed/>
    <w:rsid w:val="00B901B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B901B3"/>
    <w:rPr>
      <w:rFonts w:ascii="Calibri" w:eastAsia="Calibri" w:hAnsi="Calibri" w:cs="Times New Roman"/>
      <w:sz w:val="20"/>
      <w:szCs w:val="20"/>
    </w:rPr>
  </w:style>
  <w:style w:type="paragraph" w:customStyle="1" w:styleId="EnvelopeAddress1">
    <w:name w:val="Envelope Address1"/>
    <w:basedOn w:val="Normal"/>
    <w:next w:val="EnvelopeAddress"/>
    <w:uiPriority w:val="99"/>
    <w:semiHidden/>
    <w:unhideWhenUsed/>
    <w:rsid w:val="00B901B3"/>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customStyle="1" w:styleId="EnvelopeReturn1">
    <w:name w:val="Envelope Return1"/>
    <w:basedOn w:val="Normal"/>
    <w:next w:val="EnvelopeReturn"/>
    <w:uiPriority w:val="99"/>
    <w:semiHidden/>
    <w:unhideWhenUsed/>
    <w:rsid w:val="00B901B3"/>
    <w:pPr>
      <w:spacing w:after="0" w:line="240" w:lineRule="auto"/>
    </w:pPr>
    <w:rPr>
      <w:rFonts w:ascii="Calibri Light" w:eastAsia="Times New Roman" w:hAnsi="Calibri Light" w:cs="Times New Roman"/>
      <w:sz w:val="20"/>
      <w:szCs w:val="20"/>
    </w:rPr>
  </w:style>
  <w:style w:type="paragraph" w:styleId="FootnoteText">
    <w:name w:val="footnote text"/>
    <w:basedOn w:val="Normal"/>
    <w:link w:val="FootnoteTextChar"/>
    <w:uiPriority w:val="99"/>
    <w:semiHidden/>
    <w:unhideWhenUsed/>
    <w:rsid w:val="00B901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901B3"/>
    <w:rPr>
      <w:rFonts w:ascii="Calibri" w:eastAsia="Calibri" w:hAnsi="Calibri" w:cs="Times New Roman"/>
      <w:sz w:val="20"/>
      <w:szCs w:val="20"/>
    </w:rPr>
  </w:style>
  <w:style w:type="paragraph" w:styleId="HTMLAddress">
    <w:name w:val="HTML Address"/>
    <w:basedOn w:val="Normal"/>
    <w:link w:val="HTMLAddressChar"/>
    <w:uiPriority w:val="99"/>
    <w:semiHidden/>
    <w:unhideWhenUsed/>
    <w:rsid w:val="00B901B3"/>
    <w:pPr>
      <w:spacing w:after="0" w:line="240" w:lineRule="auto"/>
    </w:pPr>
    <w:rPr>
      <w:rFonts w:ascii="Calibri" w:eastAsia="Calibri" w:hAnsi="Calibri" w:cs="Times New Roman"/>
      <w:i/>
      <w:iCs/>
      <w:sz w:val="24"/>
      <w:szCs w:val="24"/>
    </w:rPr>
  </w:style>
  <w:style w:type="character" w:customStyle="1" w:styleId="HTMLAddressChar">
    <w:name w:val="HTML Address Char"/>
    <w:basedOn w:val="DefaultParagraphFont"/>
    <w:link w:val="HTMLAddress"/>
    <w:uiPriority w:val="99"/>
    <w:semiHidden/>
    <w:rsid w:val="00B901B3"/>
    <w:rPr>
      <w:rFonts w:ascii="Calibri" w:eastAsia="Calibri" w:hAnsi="Calibri" w:cs="Times New Roman"/>
      <w:i/>
      <w:iCs/>
      <w:sz w:val="24"/>
      <w:szCs w:val="24"/>
    </w:rPr>
  </w:style>
  <w:style w:type="paragraph" w:styleId="HTMLPreformatted">
    <w:name w:val="HTML Preformatted"/>
    <w:basedOn w:val="Normal"/>
    <w:link w:val="HTMLPreformattedChar"/>
    <w:uiPriority w:val="99"/>
    <w:semiHidden/>
    <w:unhideWhenUsed/>
    <w:rsid w:val="00B901B3"/>
    <w:pPr>
      <w:spacing w:after="0" w:line="240" w:lineRule="auto"/>
    </w:pPr>
    <w:rPr>
      <w:rFonts w:ascii="Consolas" w:eastAsia="Calibri" w:hAnsi="Consolas" w:cs="Times New Roman"/>
      <w:sz w:val="20"/>
      <w:szCs w:val="20"/>
    </w:rPr>
  </w:style>
  <w:style w:type="character" w:customStyle="1" w:styleId="HTMLPreformattedChar">
    <w:name w:val="HTML Preformatted Char"/>
    <w:basedOn w:val="DefaultParagraphFont"/>
    <w:link w:val="HTMLPreformatted"/>
    <w:uiPriority w:val="99"/>
    <w:semiHidden/>
    <w:rsid w:val="00B901B3"/>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B901B3"/>
    <w:pPr>
      <w:spacing w:after="0" w:line="240" w:lineRule="auto"/>
      <w:ind w:left="240" w:hanging="240"/>
    </w:pPr>
    <w:rPr>
      <w:rFonts w:ascii="Calibri" w:eastAsia="Calibri" w:hAnsi="Calibri" w:cs="Times New Roman"/>
      <w:sz w:val="24"/>
      <w:szCs w:val="24"/>
    </w:rPr>
  </w:style>
  <w:style w:type="paragraph" w:styleId="Index2">
    <w:name w:val="index 2"/>
    <w:basedOn w:val="Normal"/>
    <w:next w:val="Normal"/>
    <w:autoRedefine/>
    <w:uiPriority w:val="99"/>
    <w:semiHidden/>
    <w:unhideWhenUsed/>
    <w:rsid w:val="00B901B3"/>
    <w:pPr>
      <w:spacing w:after="0" w:line="240" w:lineRule="auto"/>
      <w:ind w:left="480" w:hanging="240"/>
    </w:pPr>
    <w:rPr>
      <w:rFonts w:ascii="Calibri" w:eastAsia="Calibri" w:hAnsi="Calibri" w:cs="Times New Roman"/>
      <w:sz w:val="24"/>
      <w:szCs w:val="24"/>
    </w:rPr>
  </w:style>
  <w:style w:type="paragraph" w:styleId="Index3">
    <w:name w:val="index 3"/>
    <w:basedOn w:val="Normal"/>
    <w:next w:val="Normal"/>
    <w:autoRedefine/>
    <w:uiPriority w:val="99"/>
    <w:semiHidden/>
    <w:unhideWhenUsed/>
    <w:rsid w:val="00B901B3"/>
    <w:pPr>
      <w:spacing w:after="0" w:line="240" w:lineRule="auto"/>
      <w:ind w:left="720" w:hanging="240"/>
    </w:pPr>
    <w:rPr>
      <w:rFonts w:ascii="Calibri" w:eastAsia="Calibri" w:hAnsi="Calibri" w:cs="Times New Roman"/>
      <w:sz w:val="24"/>
      <w:szCs w:val="24"/>
    </w:rPr>
  </w:style>
  <w:style w:type="paragraph" w:styleId="Index4">
    <w:name w:val="index 4"/>
    <w:basedOn w:val="Normal"/>
    <w:next w:val="Normal"/>
    <w:autoRedefine/>
    <w:uiPriority w:val="99"/>
    <w:semiHidden/>
    <w:unhideWhenUsed/>
    <w:rsid w:val="00B901B3"/>
    <w:pPr>
      <w:spacing w:after="0" w:line="240" w:lineRule="auto"/>
      <w:ind w:left="960" w:hanging="240"/>
    </w:pPr>
    <w:rPr>
      <w:rFonts w:ascii="Calibri" w:eastAsia="Calibri" w:hAnsi="Calibri" w:cs="Times New Roman"/>
      <w:sz w:val="24"/>
      <w:szCs w:val="24"/>
    </w:rPr>
  </w:style>
  <w:style w:type="paragraph" w:styleId="Index5">
    <w:name w:val="index 5"/>
    <w:basedOn w:val="Normal"/>
    <w:next w:val="Normal"/>
    <w:autoRedefine/>
    <w:uiPriority w:val="99"/>
    <w:semiHidden/>
    <w:unhideWhenUsed/>
    <w:rsid w:val="00B901B3"/>
    <w:pPr>
      <w:spacing w:after="0" w:line="240" w:lineRule="auto"/>
      <w:ind w:left="1200" w:hanging="240"/>
    </w:pPr>
    <w:rPr>
      <w:rFonts w:ascii="Calibri" w:eastAsia="Calibri" w:hAnsi="Calibri" w:cs="Times New Roman"/>
      <w:sz w:val="24"/>
      <w:szCs w:val="24"/>
    </w:rPr>
  </w:style>
  <w:style w:type="paragraph" w:styleId="Index6">
    <w:name w:val="index 6"/>
    <w:basedOn w:val="Normal"/>
    <w:next w:val="Normal"/>
    <w:autoRedefine/>
    <w:uiPriority w:val="99"/>
    <w:semiHidden/>
    <w:unhideWhenUsed/>
    <w:rsid w:val="00B901B3"/>
    <w:pPr>
      <w:spacing w:after="0" w:line="240" w:lineRule="auto"/>
      <w:ind w:left="1440" w:hanging="240"/>
    </w:pPr>
    <w:rPr>
      <w:rFonts w:ascii="Calibri" w:eastAsia="Calibri" w:hAnsi="Calibri" w:cs="Times New Roman"/>
      <w:sz w:val="24"/>
      <w:szCs w:val="24"/>
    </w:rPr>
  </w:style>
  <w:style w:type="paragraph" w:styleId="Index7">
    <w:name w:val="index 7"/>
    <w:basedOn w:val="Normal"/>
    <w:next w:val="Normal"/>
    <w:autoRedefine/>
    <w:uiPriority w:val="99"/>
    <w:semiHidden/>
    <w:unhideWhenUsed/>
    <w:rsid w:val="00B901B3"/>
    <w:pPr>
      <w:spacing w:after="0" w:line="240" w:lineRule="auto"/>
      <w:ind w:left="1680" w:hanging="240"/>
    </w:pPr>
    <w:rPr>
      <w:rFonts w:ascii="Calibri" w:eastAsia="Calibri" w:hAnsi="Calibri" w:cs="Times New Roman"/>
      <w:sz w:val="24"/>
      <w:szCs w:val="24"/>
    </w:rPr>
  </w:style>
  <w:style w:type="paragraph" w:styleId="Index8">
    <w:name w:val="index 8"/>
    <w:basedOn w:val="Normal"/>
    <w:next w:val="Normal"/>
    <w:autoRedefine/>
    <w:uiPriority w:val="99"/>
    <w:semiHidden/>
    <w:unhideWhenUsed/>
    <w:rsid w:val="00B901B3"/>
    <w:pPr>
      <w:spacing w:after="0" w:line="240" w:lineRule="auto"/>
      <w:ind w:left="1920" w:hanging="240"/>
    </w:pPr>
    <w:rPr>
      <w:rFonts w:ascii="Calibri" w:eastAsia="Calibri" w:hAnsi="Calibri" w:cs="Times New Roman"/>
      <w:sz w:val="24"/>
      <w:szCs w:val="24"/>
    </w:rPr>
  </w:style>
  <w:style w:type="paragraph" w:styleId="Index9">
    <w:name w:val="index 9"/>
    <w:basedOn w:val="Normal"/>
    <w:next w:val="Normal"/>
    <w:autoRedefine/>
    <w:uiPriority w:val="99"/>
    <w:semiHidden/>
    <w:unhideWhenUsed/>
    <w:rsid w:val="00B901B3"/>
    <w:pPr>
      <w:spacing w:after="0" w:line="240" w:lineRule="auto"/>
      <w:ind w:left="2160" w:hanging="240"/>
    </w:pPr>
    <w:rPr>
      <w:rFonts w:ascii="Calibri" w:eastAsia="Calibri" w:hAnsi="Calibri" w:cs="Times New Roman"/>
      <w:sz w:val="24"/>
      <w:szCs w:val="24"/>
    </w:rPr>
  </w:style>
  <w:style w:type="paragraph" w:customStyle="1" w:styleId="IndexHeading1">
    <w:name w:val="Index Heading1"/>
    <w:basedOn w:val="Normal"/>
    <w:next w:val="Index1"/>
    <w:uiPriority w:val="99"/>
    <w:semiHidden/>
    <w:unhideWhenUsed/>
    <w:rsid w:val="00B901B3"/>
    <w:pPr>
      <w:spacing w:after="0" w:line="240" w:lineRule="auto"/>
    </w:pPr>
    <w:rPr>
      <w:rFonts w:ascii="Calibri Light" w:eastAsia="Times New Roman" w:hAnsi="Calibri Light" w:cs="Times New Roman"/>
      <w:b/>
      <w:bCs/>
      <w:sz w:val="24"/>
      <w:szCs w:val="24"/>
    </w:rPr>
  </w:style>
  <w:style w:type="paragraph" w:customStyle="1" w:styleId="IntenseQuote1">
    <w:name w:val="Intense Quote1"/>
    <w:basedOn w:val="Normal"/>
    <w:next w:val="Normal"/>
    <w:uiPriority w:val="30"/>
    <w:qFormat/>
    <w:rsid w:val="00B901B3"/>
    <w:pPr>
      <w:pBdr>
        <w:top w:val="single" w:sz="4" w:space="10" w:color="4472C4"/>
        <w:bottom w:val="single" w:sz="4" w:space="10" w:color="4472C4"/>
      </w:pBdr>
      <w:spacing w:before="360" w:after="360" w:line="240" w:lineRule="auto"/>
      <w:ind w:left="864" w:right="864"/>
      <w:jc w:val="center"/>
    </w:pPr>
    <w:rPr>
      <w:rFonts w:ascii="Calibri" w:eastAsia="Calibri" w:hAnsi="Calibri" w:cs="Times New Roman"/>
      <w:i/>
      <w:iCs/>
      <w:color w:val="4472C4"/>
      <w:sz w:val="24"/>
      <w:szCs w:val="24"/>
    </w:rPr>
  </w:style>
  <w:style w:type="character" w:customStyle="1" w:styleId="IntenseQuoteChar">
    <w:name w:val="Intense Quote Char"/>
    <w:basedOn w:val="DefaultParagraphFont"/>
    <w:link w:val="IntenseQuote"/>
    <w:uiPriority w:val="30"/>
    <w:rsid w:val="00B901B3"/>
    <w:rPr>
      <w:i/>
      <w:iCs/>
      <w:color w:val="4472C4"/>
    </w:rPr>
  </w:style>
  <w:style w:type="paragraph" w:styleId="List">
    <w:name w:val="List"/>
    <w:basedOn w:val="Normal"/>
    <w:uiPriority w:val="99"/>
    <w:semiHidden/>
    <w:unhideWhenUsed/>
    <w:rsid w:val="00B901B3"/>
    <w:pPr>
      <w:spacing w:after="0" w:line="240" w:lineRule="auto"/>
      <w:ind w:left="283" w:hanging="283"/>
      <w:contextualSpacing/>
    </w:pPr>
    <w:rPr>
      <w:rFonts w:ascii="Calibri" w:eastAsia="Calibri" w:hAnsi="Calibri" w:cs="Times New Roman"/>
      <w:sz w:val="24"/>
      <w:szCs w:val="24"/>
    </w:rPr>
  </w:style>
  <w:style w:type="paragraph" w:styleId="List2">
    <w:name w:val="List 2"/>
    <w:basedOn w:val="Normal"/>
    <w:uiPriority w:val="99"/>
    <w:semiHidden/>
    <w:unhideWhenUsed/>
    <w:rsid w:val="00B901B3"/>
    <w:pPr>
      <w:spacing w:after="0" w:line="240" w:lineRule="auto"/>
      <w:ind w:left="566" w:hanging="283"/>
      <w:contextualSpacing/>
    </w:pPr>
    <w:rPr>
      <w:rFonts w:ascii="Calibri" w:eastAsia="Calibri" w:hAnsi="Calibri" w:cs="Times New Roman"/>
      <w:sz w:val="24"/>
      <w:szCs w:val="24"/>
    </w:rPr>
  </w:style>
  <w:style w:type="paragraph" w:styleId="List3">
    <w:name w:val="List 3"/>
    <w:basedOn w:val="Normal"/>
    <w:uiPriority w:val="99"/>
    <w:semiHidden/>
    <w:unhideWhenUsed/>
    <w:rsid w:val="00B901B3"/>
    <w:pPr>
      <w:spacing w:after="0" w:line="240" w:lineRule="auto"/>
      <w:ind w:left="849" w:hanging="283"/>
      <w:contextualSpacing/>
    </w:pPr>
    <w:rPr>
      <w:rFonts w:ascii="Calibri" w:eastAsia="Calibri" w:hAnsi="Calibri" w:cs="Times New Roman"/>
      <w:sz w:val="24"/>
      <w:szCs w:val="24"/>
    </w:rPr>
  </w:style>
  <w:style w:type="paragraph" w:styleId="List4">
    <w:name w:val="List 4"/>
    <w:basedOn w:val="Normal"/>
    <w:uiPriority w:val="99"/>
    <w:semiHidden/>
    <w:unhideWhenUsed/>
    <w:rsid w:val="00B901B3"/>
    <w:pPr>
      <w:spacing w:after="0" w:line="240" w:lineRule="auto"/>
      <w:ind w:left="1132" w:hanging="283"/>
      <w:contextualSpacing/>
    </w:pPr>
    <w:rPr>
      <w:rFonts w:ascii="Calibri" w:eastAsia="Calibri" w:hAnsi="Calibri" w:cs="Times New Roman"/>
      <w:sz w:val="24"/>
      <w:szCs w:val="24"/>
    </w:rPr>
  </w:style>
  <w:style w:type="paragraph" w:styleId="List5">
    <w:name w:val="List 5"/>
    <w:basedOn w:val="Normal"/>
    <w:uiPriority w:val="99"/>
    <w:semiHidden/>
    <w:unhideWhenUsed/>
    <w:rsid w:val="00B901B3"/>
    <w:pPr>
      <w:spacing w:after="0" w:line="240" w:lineRule="auto"/>
      <w:ind w:left="1415" w:hanging="283"/>
      <w:contextualSpacing/>
    </w:pPr>
    <w:rPr>
      <w:rFonts w:ascii="Calibri" w:eastAsia="Calibri" w:hAnsi="Calibri" w:cs="Times New Roman"/>
      <w:sz w:val="24"/>
      <w:szCs w:val="24"/>
    </w:rPr>
  </w:style>
  <w:style w:type="paragraph" w:styleId="ListBullet">
    <w:name w:val="List Bullet"/>
    <w:basedOn w:val="Normal"/>
    <w:uiPriority w:val="99"/>
    <w:semiHidden/>
    <w:unhideWhenUsed/>
    <w:rsid w:val="00B901B3"/>
    <w:pPr>
      <w:numPr>
        <w:numId w:val="1"/>
      </w:numPr>
      <w:tabs>
        <w:tab w:val="clear" w:pos="360"/>
      </w:tabs>
      <w:spacing w:after="0" w:line="240" w:lineRule="auto"/>
      <w:ind w:left="720"/>
      <w:contextualSpacing/>
    </w:pPr>
    <w:rPr>
      <w:rFonts w:ascii="Calibri" w:eastAsia="Calibri" w:hAnsi="Calibri" w:cs="Times New Roman"/>
      <w:sz w:val="24"/>
      <w:szCs w:val="24"/>
    </w:rPr>
  </w:style>
  <w:style w:type="paragraph" w:styleId="ListBullet2">
    <w:name w:val="List Bullet 2"/>
    <w:basedOn w:val="Normal"/>
    <w:uiPriority w:val="99"/>
    <w:semiHidden/>
    <w:unhideWhenUsed/>
    <w:rsid w:val="00B901B3"/>
    <w:pPr>
      <w:numPr>
        <w:numId w:val="2"/>
      </w:numPr>
      <w:tabs>
        <w:tab w:val="clear" w:pos="643"/>
      </w:tabs>
      <w:spacing w:after="0" w:line="240" w:lineRule="auto"/>
      <w:ind w:left="720"/>
      <w:contextualSpacing/>
    </w:pPr>
    <w:rPr>
      <w:rFonts w:ascii="Calibri" w:eastAsia="Calibri" w:hAnsi="Calibri" w:cs="Times New Roman"/>
      <w:sz w:val="24"/>
      <w:szCs w:val="24"/>
    </w:rPr>
  </w:style>
  <w:style w:type="paragraph" w:styleId="ListBullet3">
    <w:name w:val="List Bullet 3"/>
    <w:basedOn w:val="Normal"/>
    <w:uiPriority w:val="99"/>
    <w:semiHidden/>
    <w:unhideWhenUsed/>
    <w:rsid w:val="00B901B3"/>
    <w:pPr>
      <w:numPr>
        <w:numId w:val="3"/>
      </w:numPr>
      <w:tabs>
        <w:tab w:val="clear" w:pos="926"/>
      </w:tabs>
      <w:spacing w:after="0" w:line="240" w:lineRule="auto"/>
      <w:ind w:left="720"/>
      <w:contextualSpacing/>
    </w:pPr>
    <w:rPr>
      <w:rFonts w:ascii="Calibri" w:eastAsia="Calibri" w:hAnsi="Calibri" w:cs="Times New Roman"/>
      <w:sz w:val="24"/>
      <w:szCs w:val="24"/>
    </w:rPr>
  </w:style>
  <w:style w:type="paragraph" w:styleId="ListBullet4">
    <w:name w:val="List Bullet 4"/>
    <w:basedOn w:val="Normal"/>
    <w:uiPriority w:val="99"/>
    <w:semiHidden/>
    <w:unhideWhenUsed/>
    <w:rsid w:val="00B901B3"/>
    <w:pPr>
      <w:numPr>
        <w:numId w:val="4"/>
      </w:numPr>
      <w:tabs>
        <w:tab w:val="clear" w:pos="1209"/>
      </w:tabs>
      <w:spacing w:after="0" w:line="240" w:lineRule="auto"/>
      <w:ind w:left="720"/>
      <w:contextualSpacing/>
    </w:pPr>
    <w:rPr>
      <w:rFonts w:ascii="Calibri" w:eastAsia="Calibri" w:hAnsi="Calibri" w:cs="Times New Roman"/>
      <w:sz w:val="24"/>
      <w:szCs w:val="24"/>
    </w:rPr>
  </w:style>
  <w:style w:type="paragraph" w:styleId="ListBullet5">
    <w:name w:val="List Bullet 5"/>
    <w:basedOn w:val="Normal"/>
    <w:uiPriority w:val="99"/>
    <w:semiHidden/>
    <w:unhideWhenUsed/>
    <w:rsid w:val="00B901B3"/>
    <w:pPr>
      <w:numPr>
        <w:numId w:val="5"/>
      </w:numPr>
      <w:tabs>
        <w:tab w:val="clear" w:pos="1492"/>
      </w:tabs>
      <w:spacing w:after="0" w:line="240" w:lineRule="auto"/>
      <w:ind w:left="720"/>
      <w:contextualSpacing/>
    </w:pPr>
    <w:rPr>
      <w:rFonts w:ascii="Calibri" w:eastAsia="Calibri" w:hAnsi="Calibri" w:cs="Times New Roman"/>
      <w:sz w:val="24"/>
      <w:szCs w:val="24"/>
    </w:rPr>
  </w:style>
  <w:style w:type="paragraph" w:styleId="ListContinue">
    <w:name w:val="List Continue"/>
    <w:basedOn w:val="Normal"/>
    <w:uiPriority w:val="99"/>
    <w:semiHidden/>
    <w:unhideWhenUsed/>
    <w:rsid w:val="00B901B3"/>
    <w:pPr>
      <w:spacing w:after="120" w:line="240" w:lineRule="auto"/>
      <w:ind w:left="283"/>
      <w:contextualSpacing/>
    </w:pPr>
    <w:rPr>
      <w:rFonts w:ascii="Calibri" w:eastAsia="Calibri" w:hAnsi="Calibri" w:cs="Times New Roman"/>
      <w:sz w:val="24"/>
      <w:szCs w:val="24"/>
    </w:rPr>
  </w:style>
  <w:style w:type="paragraph" w:styleId="ListContinue2">
    <w:name w:val="List Continue 2"/>
    <w:basedOn w:val="Normal"/>
    <w:uiPriority w:val="99"/>
    <w:semiHidden/>
    <w:unhideWhenUsed/>
    <w:rsid w:val="00B901B3"/>
    <w:pPr>
      <w:spacing w:after="120" w:line="240" w:lineRule="auto"/>
      <w:ind w:left="566"/>
      <w:contextualSpacing/>
    </w:pPr>
    <w:rPr>
      <w:rFonts w:ascii="Calibri" w:eastAsia="Calibri" w:hAnsi="Calibri" w:cs="Times New Roman"/>
      <w:sz w:val="24"/>
      <w:szCs w:val="24"/>
    </w:rPr>
  </w:style>
  <w:style w:type="paragraph" w:styleId="ListContinue3">
    <w:name w:val="List Continue 3"/>
    <w:basedOn w:val="Normal"/>
    <w:uiPriority w:val="99"/>
    <w:semiHidden/>
    <w:unhideWhenUsed/>
    <w:rsid w:val="00B901B3"/>
    <w:pPr>
      <w:spacing w:after="120" w:line="240" w:lineRule="auto"/>
      <w:ind w:left="849"/>
      <w:contextualSpacing/>
    </w:pPr>
    <w:rPr>
      <w:rFonts w:ascii="Calibri" w:eastAsia="Calibri" w:hAnsi="Calibri" w:cs="Times New Roman"/>
      <w:sz w:val="24"/>
      <w:szCs w:val="24"/>
    </w:rPr>
  </w:style>
  <w:style w:type="paragraph" w:styleId="ListContinue4">
    <w:name w:val="List Continue 4"/>
    <w:basedOn w:val="Normal"/>
    <w:uiPriority w:val="99"/>
    <w:semiHidden/>
    <w:unhideWhenUsed/>
    <w:rsid w:val="00B901B3"/>
    <w:pPr>
      <w:spacing w:after="120" w:line="240" w:lineRule="auto"/>
      <w:ind w:left="1132"/>
      <w:contextualSpacing/>
    </w:pPr>
    <w:rPr>
      <w:rFonts w:ascii="Calibri" w:eastAsia="Calibri" w:hAnsi="Calibri" w:cs="Times New Roman"/>
      <w:sz w:val="24"/>
      <w:szCs w:val="24"/>
    </w:rPr>
  </w:style>
  <w:style w:type="paragraph" w:styleId="ListContinue5">
    <w:name w:val="List Continue 5"/>
    <w:basedOn w:val="Normal"/>
    <w:uiPriority w:val="99"/>
    <w:semiHidden/>
    <w:unhideWhenUsed/>
    <w:rsid w:val="00B901B3"/>
    <w:pPr>
      <w:spacing w:after="120" w:line="240" w:lineRule="auto"/>
      <w:ind w:left="1415"/>
      <w:contextualSpacing/>
    </w:pPr>
    <w:rPr>
      <w:rFonts w:ascii="Calibri" w:eastAsia="Calibri" w:hAnsi="Calibri" w:cs="Times New Roman"/>
      <w:sz w:val="24"/>
      <w:szCs w:val="24"/>
    </w:rPr>
  </w:style>
  <w:style w:type="paragraph" w:styleId="ListNumber">
    <w:name w:val="List Number"/>
    <w:basedOn w:val="Normal"/>
    <w:uiPriority w:val="99"/>
    <w:semiHidden/>
    <w:unhideWhenUsed/>
    <w:rsid w:val="00B901B3"/>
    <w:pPr>
      <w:numPr>
        <w:numId w:val="6"/>
      </w:numPr>
      <w:tabs>
        <w:tab w:val="clear" w:pos="360"/>
      </w:tabs>
      <w:spacing w:after="0" w:line="240" w:lineRule="auto"/>
      <w:ind w:left="720"/>
      <w:contextualSpacing/>
    </w:pPr>
    <w:rPr>
      <w:rFonts w:ascii="Calibri" w:eastAsia="Calibri" w:hAnsi="Calibri" w:cs="Times New Roman"/>
      <w:sz w:val="24"/>
      <w:szCs w:val="24"/>
    </w:rPr>
  </w:style>
  <w:style w:type="paragraph" w:styleId="ListNumber2">
    <w:name w:val="List Number 2"/>
    <w:basedOn w:val="Normal"/>
    <w:uiPriority w:val="99"/>
    <w:semiHidden/>
    <w:unhideWhenUsed/>
    <w:rsid w:val="00B901B3"/>
    <w:pPr>
      <w:numPr>
        <w:numId w:val="7"/>
      </w:numPr>
      <w:tabs>
        <w:tab w:val="clear" w:pos="643"/>
      </w:tabs>
      <w:spacing w:after="0" w:line="240" w:lineRule="auto"/>
      <w:ind w:left="720"/>
      <w:contextualSpacing/>
    </w:pPr>
    <w:rPr>
      <w:rFonts w:ascii="Calibri" w:eastAsia="Calibri" w:hAnsi="Calibri" w:cs="Times New Roman"/>
      <w:sz w:val="24"/>
      <w:szCs w:val="24"/>
    </w:rPr>
  </w:style>
  <w:style w:type="paragraph" w:styleId="ListNumber3">
    <w:name w:val="List Number 3"/>
    <w:basedOn w:val="Normal"/>
    <w:uiPriority w:val="99"/>
    <w:semiHidden/>
    <w:unhideWhenUsed/>
    <w:rsid w:val="00B901B3"/>
    <w:pPr>
      <w:numPr>
        <w:numId w:val="8"/>
      </w:numPr>
      <w:tabs>
        <w:tab w:val="clear" w:pos="926"/>
      </w:tabs>
      <w:spacing w:after="0" w:line="240" w:lineRule="auto"/>
      <w:ind w:left="720"/>
      <w:contextualSpacing/>
    </w:pPr>
    <w:rPr>
      <w:rFonts w:ascii="Calibri" w:eastAsia="Calibri" w:hAnsi="Calibri" w:cs="Times New Roman"/>
      <w:sz w:val="24"/>
      <w:szCs w:val="24"/>
    </w:rPr>
  </w:style>
  <w:style w:type="paragraph" w:styleId="ListNumber4">
    <w:name w:val="List Number 4"/>
    <w:basedOn w:val="Normal"/>
    <w:uiPriority w:val="99"/>
    <w:semiHidden/>
    <w:unhideWhenUsed/>
    <w:rsid w:val="00B901B3"/>
    <w:pPr>
      <w:numPr>
        <w:numId w:val="9"/>
      </w:numPr>
      <w:tabs>
        <w:tab w:val="clear" w:pos="1209"/>
      </w:tabs>
      <w:spacing w:after="0" w:line="240" w:lineRule="auto"/>
      <w:ind w:left="720"/>
      <w:contextualSpacing/>
    </w:pPr>
    <w:rPr>
      <w:rFonts w:ascii="Calibri" w:eastAsia="Calibri" w:hAnsi="Calibri" w:cs="Times New Roman"/>
      <w:sz w:val="24"/>
      <w:szCs w:val="24"/>
    </w:rPr>
  </w:style>
  <w:style w:type="paragraph" w:styleId="ListNumber5">
    <w:name w:val="List Number 5"/>
    <w:basedOn w:val="Normal"/>
    <w:uiPriority w:val="99"/>
    <w:semiHidden/>
    <w:unhideWhenUsed/>
    <w:rsid w:val="00B901B3"/>
    <w:pPr>
      <w:numPr>
        <w:numId w:val="10"/>
      </w:numPr>
      <w:tabs>
        <w:tab w:val="clear" w:pos="1492"/>
      </w:tabs>
      <w:spacing w:after="0" w:line="240" w:lineRule="auto"/>
      <w:ind w:left="720"/>
      <w:contextualSpacing/>
    </w:pPr>
    <w:rPr>
      <w:rFonts w:ascii="Calibri" w:eastAsia="Calibri" w:hAnsi="Calibri" w:cs="Times New Roman"/>
      <w:sz w:val="24"/>
      <w:szCs w:val="24"/>
    </w:rPr>
  </w:style>
  <w:style w:type="paragraph" w:styleId="MacroText">
    <w:name w:val="macro"/>
    <w:link w:val="MacroTextChar"/>
    <w:uiPriority w:val="99"/>
    <w:semiHidden/>
    <w:unhideWhenUsed/>
    <w:rsid w:val="00B901B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sz w:val="20"/>
      <w:szCs w:val="20"/>
    </w:rPr>
  </w:style>
  <w:style w:type="character" w:customStyle="1" w:styleId="MacroTextChar">
    <w:name w:val="Macro Text Char"/>
    <w:basedOn w:val="DefaultParagraphFont"/>
    <w:link w:val="MacroText"/>
    <w:uiPriority w:val="99"/>
    <w:semiHidden/>
    <w:rsid w:val="00B901B3"/>
    <w:rPr>
      <w:rFonts w:ascii="Consolas" w:eastAsia="Calibri" w:hAnsi="Consolas"/>
      <w:sz w:val="20"/>
      <w:szCs w:val="20"/>
    </w:rPr>
  </w:style>
  <w:style w:type="paragraph" w:customStyle="1" w:styleId="MessageHeader1">
    <w:name w:val="Message Header1"/>
    <w:basedOn w:val="Normal"/>
    <w:next w:val="MessageHeader"/>
    <w:link w:val="MessageHeaderChar"/>
    <w:uiPriority w:val="99"/>
    <w:semiHidden/>
    <w:unhideWhenUsed/>
    <w:rsid w:val="00B901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MessageHeaderChar">
    <w:name w:val="Message Header Char"/>
    <w:basedOn w:val="DefaultParagraphFont"/>
    <w:link w:val="MessageHeader1"/>
    <w:uiPriority w:val="99"/>
    <w:semiHidden/>
    <w:rsid w:val="00B901B3"/>
    <w:rPr>
      <w:rFonts w:ascii="Calibri Light" w:eastAsia="Times New Roman" w:hAnsi="Calibri Light" w:cs="Times New Roman"/>
      <w:sz w:val="24"/>
      <w:szCs w:val="24"/>
      <w:shd w:val="pct20" w:color="auto" w:fill="auto"/>
    </w:rPr>
  </w:style>
  <w:style w:type="paragraph" w:styleId="NormalIndent">
    <w:name w:val="Normal Indent"/>
    <w:basedOn w:val="Normal"/>
    <w:uiPriority w:val="99"/>
    <w:semiHidden/>
    <w:unhideWhenUsed/>
    <w:rsid w:val="00B901B3"/>
    <w:pPr>
      <w:spacing w:after="0" w:line="240" w:lineRule="auto"/>
      <w:ind w:left="720"/>
    </w:pPr>
    <w:rPr>
      <w:rFonts w:ascii="Calibri" w:eastAsia="Calibri" w:hAnsi="Calibri" w:cs="Times New Roman"/>
      <w:sz w:val="24"/>
      <w:szCs w:val="24"/>
    </w:rPr>
  </w:style>
  <w:style w:type="paragraph" w:styleId="NoteHeading">
    <w:name w:val="Note Heading"/>
    <w:basedOn w:val="Normal"/>
    <w:next w:val="Normal"/>
    <w:link w:val="NoteHeadingChar"/>
    <w:uiPriority w:val="99"/>
    <w:semiHidden/>
    <w:unhideWhenUsed/>
    <w:rsid w:val="00B901B3"/>
    <w:pPr>
      <w:spacing w:after="0" w:line="240" w:lineRule="auto"/>
    </w:pPr>
    <w:rPr>
      <w:rFonts w:ascii="Calibri" w:eastAsia="Calibri" w:hAnsi="Calibri" w:cs="Times New Roman"/>
      <w:sz w:val="24"/>
      <w:szCs w:val="24"/>
    </w:rPr>
  </w:style>
  <w:style w:type="character" w:customStyle="1" w:styleId="NoteHeadingChar">
    <w:name w:val="Note Heading Char"/>
    <w:basedOn w:val="DefaultParagraphFont"/>
    <w:link w:val="NoteHeading"/>
    <w:uiPriority w:val="99"/>
    <w:semiHidden/>
    <w:rsid w:val="00B901B3"/>
    <w:rPr>
      <w:rFonts w:ascii="Calibri" w:eastAsia="Calibri" w:hAnsi="Calibri" w:cs="Times New Roman"/>
      <w:sz w:val="24"/>
      <w:szCs w:val="24"/>
    </w:rPr>
  </w:style>
  <w:style w:type="paragraph" w:styleId="PlainText">
    <w:name w:val="Plain Text"/>
    <w:basedOn w:val="Normal"/>
    <w:link w:val="PlainTextChar"/>
    <w:uiPriority w:val="99"/>
    <w:semiHidden/>
    <w:unhideWhenUsed/>
    <w:rsid w:val="00B901B3"/>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B901B3"/>
    <w:rPr>
      <w:rFonts w:ascii="Consolas" w:eastAsia="Calibri" w:hAnsi="Consolas" w:cs="Times New Roman"/>
      <w:sz w:val="21"/>
      <w:szCs w:val="21"/>
    </w:rPr>
  </w:style>
  <w:style w:type="paragraph" w:customStyle="1" w:styleId="Quote1">
    <w:name w:val="Quote1"/>
    <w:basedOn w:val="Normal"/>
    <w:next w:val="Normal"/>
    <w:uiPriority w:val="29"/>
    <w:qFormat/>
    <w:rsid w:val="00B901B3"/>
    <w:pPr>
      <w:spacing w:before="200" w:line="240" w:lineRule="auto"/>
      <w:ind w:left="864" w:right="864"/>
      <w:jc w:val="center"/>
    </w:pPr>
    <w:rPr>
      <w:rFonts w:ascii="Calibri" w:eastAsia="Calibri" w:hAnsi="Calibri" w:cs="Times New Roman"/>
      <w:i/>
      <w:iCs/>
      <w:color w:val="404040"/>
      <w:sz w:val="24"/>
      <w:szCs w:val="24"/>
    </w:rPr>
  </w:style>
  <w:style w:type="character" w:customStyle="1" w:styleId="QuoteChar">
    <w:name w:val="Quote Char"/>
    <w:basedOn w:val="DefaultParagraphFont"/>
    <w:link w:val="Quote"/>
    <w:uiPriority w:val="29"/>
    <w:rsid w:val="00B901B3"/>
    <w:rPr>
      <w:i/>
      <w:iCs/>
      <w:color w:val="404040"/>
    </w:rPr>
  </w:style>
  <w:style w:type="paragraph" w:styleId="Salutation">
    <w:name w:val="Salutation"/>
    <w:basedOn w:val="Normal"/>
    <w:next w:val="Normal"/>
    <w:link w:val="SalutationChar"/>
    <w:uiPriority w:val="99"/>
    <w:semiHidden/>
    <w:unhideWhenUsed/>
    <w:rsid w:val="00B901B3"/>
    <w:pPr>
      <w:spacing w:after="0" w:line="240" w:lineRule="auto"/>
    </w:pPr>
    <w:rPr>
      <w:rFonts w:ascii="Calibri" w:eastAsia="Calibri" w:hAnsi="Calibri" w:cs="Times New Roman"/>
      <w:sz w:val="24"/>
      <w:szCs w:val="24"/>
    </w:rPr>
  </w:style>
  <w:style w:type="character" w:customStyle="1" w:styleId="SalutationChar">
    <w:name w:val="Salutation Char"/>
    <w:basedOn w:val="DefaultParagraphFont"/>
    <w:link w:val="Salutation"/>
    <w:uiPriority w:val="99"/>
    <w:semiHidden/>
    <w:rsid w:val="00B901B3"/>
    <w:rPr>
      <w:rFonts w:ascii="Calibri" w:eastAsia="Calibri" w:hAnsi="Calibri" w:cs="Times New Roman"/>
      <w:sz w:val="24"/>
      <w:szCs w:val="24"/>
    </w:rPr>
  </w:style>
  <w:style w:type="paragraph" w:styleId="Signature">
    <w:name w:val="Signature"/>
    <w:basedOn w:val="Normal"/>
    <w:link w:val="SignatureChar"/>
    <w:uiPriority w:val="99"/>
    <w:semiHidden/>
    <w:unhideWhenUsed/>
    <w:rsid w:val="00B901B3"/>
    <w:pPr>
      <w:spacing w:after="0" w:line="240" w:lineRule="auto"/>
      <w:ind w:left="4252"/>
    </w:pPr>
    <w:rPr>
      <w:rFonts w:ascii="Calibri" w:eastAsia="Calibri" w:hAnsi="Calibri" w:cs="Times New Roman"/>
      <w:sz w:val="24"/>
      <w:szCs w:val="24"/>
    </w:rPr>
  </w:style>
  <w:style w:type="character" w:customStyle="1" w:styleId="SignatureChar">
    <w:name w:val="Signature Char"/>
    <w:basedOn w:val="DefaultParagraphFont"/>
    <w:link w:val="Signature"/>
    <w:uiPriority w:val="99"/>
    <w:semiHidden/>
    <w:rsid w:val="00B901B3"/>
    <w:rPr>
      <w:rFonts w:ascii="Calibri" w:eastAsia="Calibri" w:hAnsi="Calibri" w:cs="Times New Roman"/>
      <w:sz w:val="24"/>
      <w:szCs w:val="24"/>
    </w:rPr>
  </w:style>
  <w:style w:type="paragraph" w:customStyle="1" w:styleId="Subtitle1">
    <w:name w:val="Subtitle1"/>
    <w:basedOn w:val="Normal"/>
    <w:next w:val="Normal"/>
    <w:uiPriority w:val="11"/>
    <w:qFormat/>
    <w:rsid w:val="00B901B3"/>
    <w:pPr>
      <w:numPr>
        <w:ilvl w:val="1"/>
      </w:numPr>
      <w:spacing w:line="240" w:lineRule="auto"/>
    </w:pPr>
    <w:rPr>
      <w:rFonts w:ascii="Calibri" w:eastAsia="Times New Roman" w:hAnsi="Calibri" w:cs="Times New Roman"/>
      <w:color w:val="5A5A5A"/>
      <w:spacing w:val="15"/>
    </w:rPr>
  </w:style>
  <w:style w:type="character" w:customStyle="1" w:styleId="SubtitleChar">
    <w:name w:val="Subtitle Char"/>
    <w:basedOn w:val="DefaultParagraphFont"/>
    <w:link w:val="Subtitle"/>
    <w:uiPriority w:val="11"/>
    <w:rsid w:val="00B901B3"/>
    <w:rPr>
      <w:rFonts w:eastAsia="Times New Roman"/>
      <w:color w:val="5A5A5A"/>
      <w:spacing w:val="15"/>
    </w:rPr>
  </w:style>
  <w:style w:type="table" w:customStyle="1" w:styleId="PlainTable31">
    <w:name w:val="Plain Table 31"/>
    <w:basedOn w:val="TableNormal"/>
    <w:next w:val="PlainTable3"/>
    <w:uiPriority w:val="43"/>
    <w:rsid w:val="00B901B3"/>
    <w:pPr>
      <w:spacing w:after="0" w:line="240"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B901B3"/>
    <w:pPr>
      <w:spacing w:after="0" w:line="240" w:lineRule="auto"/>
    </w:pPr>
    <w:rPr>
      <w:rFonts w:eastAsia="Calibri"/>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ubtle2">
    <w:name w:val="Table Subtle 2"/>
    <w:basedOn w:val="TableNormal"/>
    <w:uiPriority w:val="99"/>
    <w:rsid w:val="00B901B3"/>
    <w:pPr>
      <w:spacing w:after="0" w:line="240" w:lineRule="auto"/>
    </w:pPr>
    <w:rPr>
      <w:rFonts w:eastAsia="Calibri"/>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B901B3"/>
    <w:pPr>
      <w:spacing w:after="0" w:line="240" w:lineRule="auto"/>
    </w:pPr>
    <w:rPr>
      <w:rFonts w:eastAsia="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B901B3"/>
    <w:pPr>
      <w:spacing w:after="0" w:line="240" w:lineRule="auto"/>
    </w:pPr>
    <w:rPr>
      <w:rFonts w:eastAsia="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Normal"/>
    <w:next w:val="Normal"/>
    <w:link w:val="TitleChar"/>
    <w:uiPriority w:val="10"/>
    <w:qFormat/>
    <w:rsid w:val="00B901B3"/>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B901B3"/>
    <w:rPr>
      <w:rFonts w:asciiTheme="majorHAnsi" w:eastAsiaTheme="majorEastAsia" w:hAnsiTheme="majorHAnsi" w:cstheme="majorBidi"/>
      <w:spacing w:val="-10"/>
      <w:kern w:val="28"/>
      <w:sz w:val="56"/>
      <w:szCs w:val="56"/>
    </w:rPr>
  </w:style>
  <w:style w:type="paragraph" w:styleId="BlockText">
    <w:name w:val="Block Text"/>
    <w:basedOn w:val="Normal"/>
    <w:uiPriority w:val="99"/>
    <w:semiHidden/>
    <w:unhideWhenUsed/>
    <w:rsid w:val="00B901B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spacing w:after="0" w:line="240" w:lineRule="auto"/>
      <w:ind w:left="1152" w:right="1152"/>
    </w:pPr>
    <w:rPr>
      <w:rFonts w:eastAsiaTheme="minorEastAsia"/>
      <w:i/>
      <w:iCs/>
      <w:color w:val="4472C4" w:themeColor="accent1"/>
      <w:sz w:val="24"/>
      <w:szCs w:val="24"/>
      <w:lang w:eastAsia="en-GB"/>
    </w:rPr>
  </w:style>
  <w:style w:type="paragraph" w:styleId="EnvelopeAddress">
    <w:name w:val="envelope address"/>
    <w:basedOn w:val="Normal"/>
    <w:uiPriority w:val="99"/>
    <w:semiHidden/>
    <w:unhideWhenUsed/>
    <w:rsid w:val="00B901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en-GB"/>
    </w:rPr>
  </w:style>
  <w:style w:type="paragraph" w:styleId="EnvelopeReturn">
    <w:name w:val="envelope return"/>
    <w:basedOn w:val="Normal"/>
    <w:uiPriority w:val="99"/>
    <w:semiHidden/>
    <w:unhideWhenUsed/>
    <w:rsid w:val="00B901B3"/>
    <w:pPr>
      <w:spacing w:after="0" w:line="240" w:lineRule="auto"/>
    </w:pPr>
    <w:rPr>
      <w:rFonts w:asciiTheme="majorHAnsi" w:eastAsiaTheme="majorEastAsia" w:hAnsiTheme="majorHAnsi" w:cstheme="majorBidi"/>
      <w:sz w:val="20"/>
      <w:szCs w:val="20"/>
      <w:lang w:eastAsia="en-GB"/>
    </w:rPr>
  </w:style>
  <w:style w:type="character" w:customStyle="1" w:styleId="Heading5Char1">
    <w:name w:val="Heading 5 Char1"/>
    <w:basedOn w:val="DefaultParagraphFont"/>
    <w:uiPriority w:val="9"/>
    <w:semiHidden/>
    <w:rsid w:val="00B901B3"/>
    <w:rPr>
      <w:rFonts w:asciiTheme="majorHAnsi" w:eastAsiaTheme="majorEastAsia" w:hAnsiTheme="majorHAnsi" w:cstheme="majorBidi"/>
      <w:color w:val="2F5496" w:themeColor="accent1" w:themeShade="BF"/>
      <w:lang w:eastAsia="en-GB"/>
    </w:rPr>
  </w:style>
  <w:style w:type="character" w:customStyle="1" w:styleId="Heading6Char1">
    <w:name w:val="Heading 6 Char1"/>
    <w:basedOn w:val="DefaultParagraphFont"/>
    <w:uiPriority w:val="9"/>
    <w:semiHidden/>
    <w:rsid w:val="00B901B3"/>
    <w:rPr>
      <w:rFonts w:asciiTheme="majorHAnsi" w:eastAsiaTheme="majorEastAsia" w:hAnsiTheme="majorHAnsi" w:cstheme="majorBidi"/>
      <w:color w:val="1F3763" w:themeColor="accent1" w:themeShade="7F"/>
      <w:lang w:eastAsia="en-GB"/>
    </w:rPr>
  </w:style>
  <w:style w:type="character" w:customStyle="1" w:styleId="Heading7Char1">
    <w:name w:val="Heading 7 Char1"/>
    <w:basedOn w:val="DefaultParagraphFont"/>
    <w:uiPriority w:val="9"/>
    <w:semiHidden/>
    <w:rsid w:val="00B901B3"/>
    <w:rPr>
      <w:rFonts w:asciiTheme="majorHAnsi" w:eastAsiaTheme="majorEastAsia" w:hAnsiTheme="majorHAnsi" w:cstheme="majorBidi"/>
      <w:i/>
      <w:iCs/>
      <w:color w:val="1F3763" w:themeColor="accent1" w:themeShade="7F"/>
      <w:lang w:eastAsia="en-GB"/>
    </w:rPr>
  </w:style>
  <w:style w:type="character" w:customStyle="1" w:styleId="Heading8Char1">
    <w:name w:val="Heading 8 Char1"/>
    <w:basedOn w:val="DefaultParagraphFont"/>
    <w:uiPriority w:val="9"/>
    <w:semiHidden/>
    <w:rsid w:val="00B901B3"/>
    <w:rPr>
      <w:rFonts w:asciiTheme="majorHAnsi" w:eastAsiaTheme="majorEastAsia" w:hAnsiTheme="majorHAnsi" w:cstheme="majorBidi"/>
      <w:color w:val="272727" w:themeColor="text1" w:themeTint="D8"/>
      <w:sz w:val="21"/>
      <w:szCs w:val="21"/>
      <w:lang w:eastAsia="en-GB"/>
    </w:rPr>
  </w:style>
  <w:style w:type="character" w:customStyle="1" w:styleId="Heading9Char1">
    <w:name w:val="Heading 9 Char1"/>
    <w:basedOn w:val="DefaultParagraphFont"/>
    <w:uiPriority w:val="9"/>
    <w:semiHidden/>
    <w:rsid w:val="00B901B3"/>
    <w:rPr>
      <w:rFonts w:asciiTheme="majorHAnsi" w:eastAsiaTheme="majorEastAsia" w:hAnsiTheme="majorHAnsi" w:cstheme="majorBidi"/>
      <w:i/>
      <w:iCs/>
      <w:color w:val="272727" w:themeColor="text1" w:themeTint="D8"/>
      <w:sz w:val="21"/>
      <w:szCs w:val="21"/>
      <w:lang w:eastAsia="en-GB"/>
    </w:rPr>
  </w:style>
  <w:style w:type="paragraph" w:styleId="IntenseQuote">
    <w:name w:val="Intense Quote"/>
    <w:basedOn w:val="Normal"/>
    <w:next w:val="Normal"/>
    <w:link w:val="IntenseQuoteChar"/>
    <w:uiPriority w:val="30"/>
    <w:qFormat/>
    <w:rsid w:val="00B901B3"/>
    <w:pPr>
      <w:pBdr>
        <w:top w:val="single" w:sz="4" w:space="10" w:color="4472C4" w:themeColor="accent1"/>
        <w:bottom w:val="single" w:sz="4" w:space="10" w:color="4472C4" w:themeColor="accent1"/>
      </w:pBdr>
      <w:spacing w:before="360" w:after="360" w:line="240" w:lineRule="auto"/>
      <w:ind w:left="864" w:right="864"/>
      <w:jc w:val="center"/>
    </w:pPr>
    <w:rPr>
      <w:i/>
      <w:iCs/>
      <w:color w:val="4472C4"/>
    </w:rPr>
  </w:style>
  <w:style w:type="character" w:customStyle="1" w:styleId="IntenseQuoteChar1">
    <w:name w:val="Intense Quote Char1"/>
    <w:basedOn w:val="DefaultParagraphFont"/>
    <w:uiPriority w:val="30"/>
    <w:rsid w:val="00B901B3"/>
    <w:rPr>
      <w:i/>
      <w:iCs/>
      <w:color w:val="4472C4" w:themeColor="accent1"/>
    </w:rPr>
  </w:style>
  <w:style w:type="paragraph" w:styleId="MessageHeader">
    <w:name w:val="Message Header"/>
    <w:basedOn w:val="Normal"/>
    <w:link w:val="MessageHeaderChar1"/>
    <w:uiPriority w:val="99"/>
    <w:semiHidden/>
    <w:unhideWhenUsed/>
    <w:rsid w:val="00B901B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n-GB"/>
    </w:rPr>
  </w:style>
  <w:style w:type="character" w:customStyle="1" w:styleId="MessageHeaderChar1">
    <w:name w:val="Message Header Char1"/>
    <w:basedOn w:val="DefaultParagraphFont"/>
    <w:link w:val="MessageHeader"/>
    <w:uiPriority w:val="99"/>
    <w:semiHidden/>
    <w:rsid w:val="00B901B3"/>
    <w:rPr>
      <w:rFonts w:asciiTheme="majorHAnsi" w:eastAsiaTheme="majorEastAsia" w:hAnsiTheme="majorHAnsi" w:cstheme="majorBidi"/>
      <w:sz w:val="24"/>
      <w:szCs w:val="24"/>
      <w:shd w:val="pct20" w:color="auto" w:fill="auto"/>
      <w:lang w:eastAsia="en-GB"/>
    </w:rPr>
  </w:style>
  <w:style w:type="paragraph" w:styleId="Quote">
    <w:name w:val="Quote"/>
    <w:basedOn w:val="Normal"/>
    <w:next w:val="Normal"/>
    <w:link w:val="QuoteChar"/>
    <w:uiPriority w:val="29"/>
    <w:qFormat/>
    <w:rsid w:val="00B901B3"/>
    <w:pPr>
      <w:spacing w:before="200" w:line="240" w:lineRule="auto"/>
      <w:ind w:left="864" w:right="864"/>
      <w:jc w:val="center"/>
    </w:pPr>
    <w:rPr>
      <w:i/>
      <w:iCs/>
      <w:color w:val="404040"/>
    </w:rPr>
  </w:style>
  <w:style w:type="character" w:customStyle="1" w:styleId="QuoteChar1">
    <w:name w:val="Quote Char1"/>
    <w:basedOn w:val="DefaultParagraphFont"/>
    <w:uiPriority w:val="29"/>
    <w:rsid w:val="00B901B3"/>
    <w:rPr>
      <w:i/>
      <w:iCs/>
      <w:color w:val="404040" w:themeColor="text1" w:themeTint="BF"/>
    </w:rPr>
  </w:style>
  <w:style w:type="paragraph" w:styleId="Subtitle">
    <w:name w:val="Subtitle"/>
    <w:basedOn w:val="Normal"/>
    <w:next w:val="Normal"/>
    <w:link w:val="SubtitleChar"/>
    <w:uiPriority w:val="11"/>
    <w:qFormat/>
    <w:rsid w:val="00B901B3"/>
    <w:pPr>
      <w:numPr>
        <w:ilvl w:val="1"/>
      </w:numPr>
      <w:spacing w:line="240" w:lineRule="auto"/>
    </w:pPr>
    <w:rPr>
      <w:rFonts w:eastAsia="Times New Roman"/>
      <w:color w:val="5A5A5A"/>
      <w:spacing w:val="15"/>
    </w:rPr>
  </w:style>
  <w:style w:type="character" w:customStyle="1" w:styleId="SubtitleChar1">
    <w:name w:val="Subtitle Char1"/>
    <w:basedOn w:val="DefaultParagraphFont"/>
    <w:uiPriority w:val="11"/>
    <w:rsid w:val="00B901B3"/>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901B3"/>
    <w:rPr>
      <w:color w:val="954F72" w:themeColor="followedHyperlink"/>
      <w:u w:val="single"/>
    </w:rPr>
  </w:style>
  <w:style w:type="character" w:customStyle="1" w:styleId="UnresolvedMention1">
    <w:name w:val="Unresolved Mention1"/>
    <w:basedOn w:val="DefaultParagraphFont"/>
    <w:uiPriority w:val="99"/>
    <w:semiHidden/>
    <w:unhideWhenUsed/>
    <w:rsid w:val="00B901B3"/>
    <w:rPr>
      <w:color w:val="605E5C"/>
      <w:shd w:val="clear" w:color="auto" w:fill="E1DFDD"/>
    </w:rPr>
  </w:style>
  <w:style w:type="character" w:customStyle="1" w:styleId="UnresolvedMention2">
    <w:name w:val="Unresolved Mention2"/>
    <w:basedOn w:val="DefaultParagraphFont"/>
    <w:uiPriority w:val="99"/>
    <w:semiHidden/>
    <w:unhideWhenUsed/>
    <w:rsid w:val="00B901B3"/>
    <w:rPr>
      <w:color w:val="605E5C"/>
      <w:shd w:val="clear" w:color="auto" w:fill="E1DFDD"/>
    </w:rPr>
  </w:style>
  <w:style w:type="numbering" w:customStyle="1" w:styleId="NoList2">
    <w:name w:val="No List2"/>
    <w:next w:val="NoList"/>
    <w:uiPriority w:val="99"/>
    <w:semiHidden/>
    <w:unhideWhenUsed/>
    <w:rsid w:val="00B901B3"/>
  </w:style>
  <w:style w:type="table" w:customStyle="1" w:styleId="PlainTable22">
    <w:name w:val="Plain Table 22"/>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rontelement">
    <w:name w:val="frontelement"/>
    <w:basedOn w:val="DefaultParagraphFont"/>
    <w:rsid w:val="00B901B3"/>
  </w:style>
  <w:style w:type="table" w:customStyle="1" w:styleId="TableGrid2">
    <w:name w:val="Table Grid2"/>
    <w:basedOn w:val="TableNormal"/>
    <w:next w:val="TableGrid"/>
    <w:uiPriority w:val="39"/>
    <w:rsid w:val="00B901B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B901B3"/>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2">
    <w:name w:val="Plain Table 52"/>
    <w:basedOn w:val="TableNormal"/>
    <w:next w:val="PlainTable5"/>
    <w:uiPriority w:val="45"/>
    <w:rsid w:val="00B901B3"/>
    <w:pPr>
      <w:spacing w:after="0" w:line="240" w:lineRule="auto"/>
    </w:pPr>
    <w:rPr>
      <w:rFonts w:eastAsia="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next w:val="PlainTable3"/>
    <w:uiPriority w:val="43"/>
    <w:rsid w:val="00B901B3"/>
    <w:pPr>
      <w:spacing w:after="0" w:line="240" w:lineRule="auto"/>
    </w:pPr>
    <w:rPr>
      <w:rFonts w:eastAsia="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B901B3"/>
    <w:rPr>
      <w:color w:val="605E5C"/>
      <w:shd w:val="clear" w:color="auto" w:fill="E1DFDD"/>
    </w:rPr>
  </w:style>
  <w:style w:type="table" w:customStyle="1" w:styleId="PlainTable23">
    <w:name w:val="Plain Table 23"/>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B901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06180">
      <w:bodyDiv w:val="1"/>
      <w:marLeft w:val="0"/>
      <w:marRight w:val="0"/>
      <w:marTop w:val="0"/>
      <w:marBottom w:val="0"/>
      <w:divBdr>
        <w:top w:val="none" w:sz="0" w:space="0" w:color="auto"/>
        <w:left w:val="none" w:sz="0" w:space="0" w:color="auto"/>
        <w:bottom w:val="none" w:sz="0" w:space="0" w:color="auto"/>
        <w:right w:val="none" w:sz="0" w:space="0" w:color="auto"/>
      </w:divBdr>
    </w:div>
    <w:div w:id="110512328">
      <w:bodyDiv w:val="1"/>
      <w:marLeft w:val="0"/>
      <w:marRight w:val="0"/>
      <w:marTop w:val="0"/>
      <w:marBottom w:val="0"/>
      <w:divBdr>
        <w:top w:val="none" w:sz="0" w:space="0" w:color="auto"/>
        <w:left w:val="none" w:sz="0" w:space="0" w:color="auto"/>
        <w:bottom w:val="none" w:sz="0" w:space="0" w:color="auto"/>
        <w:right w:val="none" w:sz="0" w:space="0" w:color="auto"/>
      </w:divBdr>
    </w:div>
    <w:div w:id="156699456">
      <w:bodyDiv w:val="1"/>
      <w:marLeft w:val="0"/>
      <w:marRight w:val="0"/>
      <w:marTop w:val="0"/>
      <w:marBottom w:val="0"/>
      <w:divBdr>
        <w:top w:val="none" w:sz="0" w:space="0" w:color="auto"/>
        <w:left w:val="none" w:sz="0" w:space="0" w:color="auto"/>
        <w:bottom w:val="none" w:sz="0" w:space="0" w:color="auto"/>
        <w:right w:val="none" w:sz="0" w:space="0" w:color="auto"/>
      </w:divBdr>
    </w:div>
    <w:div w:id="190581473">
      <w:bodyDiv w:val="1"/>
      <w:marLeft w:val="0"/>
      <w:marRight w:val="0"/>
      <w:marTop w:val="0"/>
      <w:marBottom w:val="0"/>
      <w:divBdr>
        <w:top w:val="none" w:sz="0" w:space="0" w:color="auto"/>
        <w:left w:val="none" w:sz="0" w:space="0" w:color="auto"/>
        <w:bottom w:val="none" w:sz="0" w:space="0" w:color="auto"/>
        <w:right w:val="none" w:sz="0" w:space="0" w:color="auto"/>
      </w:divBdr>
    </w:div>
    <w:div w:id="202788643">
      <w:bodyDiv w:val="1"/>
      <w:marLeft w:val="0"/>
      <w:marRight w:val="0"/>
      <w:marTop w:val="0"/>
      <w:marBottom w:val="0"/>
      <w:divBdr>
        <w:top w:val="none" w:sz="0" w:space="0" w:color="auto"/>
        <w:left w:val="none" w:sz="0" w:space="0" w:color="auto"/>
        <w:bottom w:val="none" w:sz="0" w:space="0" w:color="auto"/>
        <w:right w:val="none" w:sz="0" w:space="0" w:color="auto"/>
      </w:divBdr>
    </w:div>
    <w:div w:id="291401177">
      <w:bodyDiv w:val="1"/>
      <w:marLeft w:val="0"/>
      <w:marRight w:val="0"/>
      <w:marTop w:val="0"/>
      <w:marBottom w:val="0"/>
      <w:divBdr>
        <w:top w:val="none" w:sz="0" w:space="0" w:color="auto"/>
        <w:left w:val="none" w:sz="0" w:space="0" w:color="auto"/>
        <w:bottom w:val="none" w:sz="0" w:space="0" w:color="auto"/>
        <w:right w:val="none" w:sz="0" w:space="0" w:color="auto"/>
      </w:divBdr>
      <w:divsChild>
        <w:div w:id="1187520075">
          <w:marLeft w:val="0"/>
          <w:marRight w:val="0"/>
          <w:marTop w:val="0"/>
          <w:marBottom w:val="0"/>
          <w:divBdr>
            <w:top w:val="none" w:sz="0" w:space="0" w:color="auto"/>
            <w:left w:val="none" w:sz="0" w:space="0" w:color="auto"/>
            <w:bottom w:val="none" w:sz="0" w:space="0" w:color="auto"/>
            <w:right w:val="none" w:sz="0" w:space="0" w:color="auto"/>
          </w:divBdr>
        </w:div>
      </w:divsChild>
    </w:div>
    <w:div w:id="336688172">
      <w:bodyDiv w:val="1"/>
      <w:marLeft w:val="0"/>
      <w:marRight w:val="0"/>
      <w:marTop w:val="0"/>
      <w:marBottom w:val="0"/>
      <w:divBdr>
        <w:top w:val="none" w:sz="0" w:space="0" w:color="auto"/>
        <w:left w:val="none" w:sz="0" w:space="0" w:color="auto"/>
        <w:bottom w:val="none" w:sz="0" w:space="0" w:color="auto"/>
        <w:right w:val="none" w:sz="0" w:space="0" w:color="auto"/>
      </w:divBdr>
    </w:div>
    <w:div w:id="375277322">
      <w:bodyDiv w:val="1"/>
      <w:marLeft w:val="0"/>
      <w:marRight w:val="0"/>
      <w:marTop w:val="0"/>
      <w:marBottom w:val="0"/>
      <w:divBdr>
        <w:top w:val="none" w:sz="0" w:space="0" w:color="auto"/>
        <w:left w:val="none" w:sz="0" w:space="0" w:color="auto"/>
        <w:bottom w:val="none" w:sz="0" w:space="0" w:color="auto"/>
        <w:right w:val="none" w:sz="0" w:space="0" w:color="auto"/>
      </w:divBdr>
    </w:div>
    <w:div w:id="424033413">
      <w:bodyDiv w:val="1"/>
      <w:marLeft w:val="0"/>
      <w:marRight w:val="0"/>
      <w:marTop w:val="0"/>
      <w:marBottom w:val="0"/>
      <w:divBdr>
        <w:top w:val="none" w:sz="0" w:space="0" w:color="auto"/>
        <w:left w:val="none" w:sz="0" w:space="0" w:color="auto"/>
        <w:bottom w:val="none" w:sz="0" w:space="0" w:color="auto"/>
        <w:right w:val="none" w:sz="0" w:space="0" w:color="auto"/>
      </w:divBdr>
    </w:div>
    <w:div w:id="449133713">
      <w:bodyDiv w:val="1"/>
      <w:marLeft w:val="0"/>
      <w:marRight w:val="0"/>
      <w:marTop w:val="0"/>
      <w:marBottom w:val="0"/>
      <w:divBdr>
        <w:top w:val="none" w:sz="0" w:space="0" w:color="auto"/>
        <w:left w:val="none" w:sz="0" w:space="0" w:color="auto"/>
        <w:bottom w:val="none" w:sz="0" w:space="0" w:color="auto"/>
        <w:right w:val="none" w:sz="0" w:space="0" w:color="auto"/>
      </w:divBdr>
    </w:div>
    <w:div w:id="479081930">
      <w:bodyDiv w:val="1"/>
      <w:marLeft w:val="0"/>
      <w:marRight w:val="0"/>
      <w:marTop w:val="0"/>
      <w:marBottom w:val="0"/>
      <w:divBdr>
        <w:top w:val="none" w:sz="0" w:space="0" w:color="auto"/>
        <w:left w:val="none" w:sz="0" w:space="0" w:color="auto"/>
        <w:bottom w:val="none" w:sz="0" w:space="0" w:color="auto"/>
        <w:right w:val="none" w:sz="0" w:space="0" w:color="auto"/>
      </w:divBdr>
    </w:div>
    <w:div w:id="529956032">
      <w:bodyDiv w:val="1"/>
      <w:marLeft w:val="0"/>
      <w:marRight w:val="0"/>
      <w:marTop w:val="0"/>
      <w:marBottom w:val="0"/>
      <w:divBdr>
        <w:top w:val="none" w:sz="0" w:space="0" w:color="auto"/>
        <w:left w:val="none" w:sz="0" w:space="0" w:color="auto"/>
        <w:bottom w:val="none" w:sz="0" w:space="0" w:color="auto"/>
        <w:right w:val="none" w:sz="0" w:space="0" w:color="auto"/>
      </w:divBdr>
    </w:div>
    <w:div w:id="544802256">
      <w:bodyDiv w:val="1"/>
      <w:marLeft w:val="0"/>
      <w:marRight w:val="0"/>
      <w:marTop w:val="0"/>
      <w:marBottom w:val="0"/>
      <w:divBdr>
        <w:top w:val="none" w:sz="0" w:space="0" w:color="auto"/>
        <w:left w:val="none" w:sz="0" w:space="0" w:color="auto"/>
        <w:bottom w:val="none" w:sz="0" w:space="0" w:color="auto"/>
        <w:right w:val="none" w:sz="0" w:space="0" w:color="auto"/>
      </w:divBdr>
    </w:div>
    <w:div w:id="604071452">
      <w:bodyDiv w:val="1"/>
      <w:marLeft w:val="0"/>
      <w:marRight w:val="0"/>
      <w:marTop w:val="0"/>
      <w:marBottom w:val="0"/>
      <w:divBdr>
        <w:top w:val="none" w:sz="0" w:space="0" w:color="auto"/>
        <w:left w:val="none" w:sz="0" w:space="0" w:color="auto"/>
        <w:bottom w:val="none" w:sz="0" w:space="0" w:color="auto"/>
        <w:right w:val="none" w:sz="0" w:space="0" w:color="auto"/>
      </w:divBdr>
    </w:div>
    <w:div w:id="616108169">
      <w:bodyDiv w:val="1"/>
      <w:marLeft w:val="0"/>
      <w:marRight w:val="0"/>
      <w:marTop w:val="0"/>
      <w:marBottom w:val="0"/>
      <w:divBdr>
        <w:top w:val="none" w:sz="0" w:space="0" w:color="auto"/>
        <w:left w:val="none" w:sz="0" w:space="0" w:color="auto"/>
        <w:bottom w:val="none" w:sz="0" w:space="0" w:color="auto"/>
        <w:right w:val="none" w:sz="0" w:space="0" w:color="auto"/>
      </w:divBdr>
    </w:div>
    <w:div w:id="620108169">
      <w:bodyDiv w:val="1"/>
      <w:marLeft w:val="0"/>
      <w:marRight w:val="0"/>
      <w:marTop w:val="0"/>
      <w:marBottom w:val="0"/>
      <w:divBdr>
        <w:top w:val="none" w:sz="0" w:space="0" w:color="auto"/>
        <w:left w:val="none" w:sz="0" w:space="0" w:color="auto"/>
        <w:bottom w:val="none" w:sz="0" w:space="0" w:color="auto"/>
        <w:right w:val="none" w:sz="0" w:space="0" w:color="auto"/>
      </w:divBdr>
    </w:div>
    <w:div w:id="718699966">
      <w:bodyDiv w:val="1"/>
      <w:marLeft w:val="0"/>
      <w:marRight w:val="0"/>
      <w:marTop w:val="0"/>
      <w:marBottom w:val="0"/>
      <w:divBdr>
        <w:top w:val="none" w:sz="0" w:space="0" w:color="auto"/>
        <w:left w:val="none" w:sz="0" w:space="0" w:color="auto"/>
        <w:bottom w:val="none" w:sz="0" w:space="0" w:color="auto"/>
        <w:right w:val="none" w:sz="0" w:space="0" w:color="auto"/>
      </w:divBdr>
    </w:div>
    <w:div w:id="793139483">
      <w:bodyDiv w:val="1"/>
      <w:marLeft w:val="0"/>
      <w:marRight w:val="0"/>
      <w:marTop w:val="0"/>
      <w:marBottom w:val="0"/>
      <w:divBdr>
        <w:top w:val="none" w:sz="0" w:space="0" w:color="auto"/>
        <w:left w:val="none" w:sz="0" w:space="0" w:color="auto"/>
        <w:bottom w:val="none" w:sz="0" w:space="0" w:color="auto"/>
        <w:right w:val="none" w:sz="0" w:space="0" w:color="auto"/>
      </w:divBdr>
    </w:div>
    <w:div w:id="794444332">
      <w:bodyDiv w:val="1"/>
      <w:marLeft w:val="0"/>
      <w:marRight w:val="0"/>
      <w:marTop w:val="0"/>
      <w:marBottom w:val="0"/>
      <w:divBdr>
        <w:top w:val="none" w:sz="0" w:space="0" w:color="auto"/>
        <w:left w:val="none" w:sz="0" w:space="0" w:color="auto"/>
        <w:bottom w:val="none" w:sz="0" w:space="0" w:color="auto"/>
        <w:right w:val="none" w:sz="0" w:space="0" w:color="auto"/>
      </w:divBdr>
    </w:div>
    <w:div w:id="829949448">
      <w:bodyDiv w:val="1"/>
      <w:marLeft w:val="0"/>
      <w:marRight w:val="0"/>
      <w:marTop w:val="0"/>
      <w:marBottom w:val="0"/>
      <w:divBdr>
        <w:top w:val="none" w:sz="0" w:space="0" w:color="auto"/>
        <w:left w:val="none" w:sz="0" w:space="0" w:color="auto"/>
        <w:bottom w:val="none" w:sz="0" w:space="0" w:color="auto"/>
        <w:right w:val="none" w:sz="0" w:space="0" w:color="auto"/>
      </w:divBdr>
    </w:div>
    <w:div w:id="834340438">
      <w:bodyDiv w:val="1"/>
      <w:marLeft w:val="0"/>
      <w:marRight w:val="0"/>
      <w:marTop w:val="0"/>
      <w:marBottom w:val="0"/>
      <w:divBdr>
        <w:top w:val="none" w:sz="0" w:space="0" w:color="auto"/>
        <w:left w:val="none" w:sz="0" w:space="0" w:color="auto"/>
        <w:bottom w:val="none" w:sz="0" w:space="0" w:color="auto"/>
        <w:right w:val="none" w:sz="0" w:space="0" w:color="auto"/>
      </w:divBdr>
      <w:divsChild>
        <w:div w:id="884293924">
          <w:marLeft w:val="0"/>
          <w:marRight w:val="0"/>
          <w:marTop w:val="0"/>
          <w:marBottom w:val="0"/>
          <w:divBdr>
            <w:top w:val="none" w:sz="0" w:space="0" w:color="auto"/>
            <w:left w:val="none" w:sz="0" w:space="0" w:color="auto"/>
            <w:bottom w:val="none" w:sz="0" w:space="0" w:color="auto"/>
            <w:right w:val="none" w:sz="0" w:space="0" w:color="auto"/>
          </w:divBdr>
        </w:div>
      </w:divsChild>
    </w:div>
    <w:div w:id="862481465">
      <w:bodyDiv w:val="1"/>
      <w:marLeft w:val="0"/>
      <w:marRight w:val="0"/>
      <w:marTop w:val="0"/>
      <w:marBottom w:val="0"/>
      <w:divBdr>
        <w:top w:val="none" w:sz="0" w:space="0" w:color="auto"/>
        <w:left w:val="none" w:sz="0" w:space="0" w:color="auto"/>
        <w:bottom w:val="none" w:sz="0" w:space="0" w:color="auto"/>
        <w:right w:val="none" w:sz="0" w:space="0" w:color="auto"/>
      </w:divBdr>
    </w:div>
    <w:div w:id="872112844">
      <w:bodyDiv w:val="1"/>
      <w:marLeft w:val="0"/>
      <w:marRight w:val="0"/>
      <w:marTop w:val="0"/>
      <w:marBottom w:val="0"/>
      <w:divBdr>
        <w:top w:val="none" w:sz="0" w:space="0" w:color="auto"/>
        <w:left w:val="none" w:sz="0" w:space="0" w:color="auto"/>
        <w:bottom w:val="none" w:sz="0" w:space="0" w:color="auto"/>
        <w:right w:val="none" w:sz="0" w:space="0" w:color="auto"/>
      </w:divBdr>
    </w:div>
    <w:div w:id="874779987">
      <w:bodyDiv w:val="1"/>
      <w:marLeft w:val="0"/>
      <w:marRight w:val="0"/>
      <w:marTop w:val="0"/>
      <w:marBottom w:val="0"/>
      <w:divBdr>
        <w:top w:val="none" w:sz="0" w:space="0" w:color="auto"/>
        <w:left w:val="none" w:sz="0" w:space="0" w:color="auto"/>
        <w:bottom w:val="none" w:sz="0" w:space="0" w:color="auto"/>
        <w:right w:val="none" w:sz="0" w:space="0" w:color="auto"/>
      </w:divBdr>
    </w:div>
    <w:div w:id="896084941">
      <w:bodyDiv w:val="1"/>
      <w:marLeft w:val="0"/>
      <w:marRight w:val="0"/>
      <w:marTop w:val="0"/>
      <w:marBottom w:val="0"/>
      <w:divBdr>
        <w:top w:val="none" w:sz="0" w:space="0" w:color="auto"/>
        <w:left w:val="none" w:sz="0" w:space="0" w:color="auto"/>
        <w:bottom w:val="none" w:sz="0" w:space="0" w:color="auto"/>
        <w:right w:val="none" w:sz="0" w:space="0" w:color="auto"/>
      </w:divBdr>
    </w:div>
    <w:div w:id="898249685">
      <w:bodyDiv w:val="1"/>
      <w:marLeft w:val="0"/>
      <w:marRight w:val="0"/>
      <w:marTop w:val="0"/>
      <w:marBottom w:val="0"/>
      <w:divBdr>
        <w:top w:val="none" w:sz="0" w:space="0" w:color="auto"/>
        <w:left w:val="none" w:sz="0" w:space="0" w:color="auto"/>
        <w:bottom w:val="none" w:sz="0" w:space="0" w:color="auto"/>
        <w:right w:val="none" w:sz="0" w:space="0" w:color="auto"/>
      </w:divBdr>
    </w:div>
    <w:div w:id="899901367">
      <w:bodyDiv w:val="1"/>
      <w:marLeft w:val="0"/>
      <w:marRight w:val="0"/>
      <w:marTop w:val="0"/>
      <w:marBottom w:val="0"/>
      <w:divBdr>
        <w:top w:val="none" w:sz="0" w:space="0" w:color="auto"/>
        <w:left w:val="none" w:sz="0" w:space="0" w:color="auto"/>
        <w:bottom w:val="none" w:sz="0" w:space="0" w:color="auto"/>
        <w:right w:val="none" w:sz="0" w:space="0" w:color="auto"/>
      </w:divBdr>
      <w:divsChild>
        <w:div w:id="1627084748">
          <w:marLeft w:val="0"/>
          <w:marRight w:val="0"/>
          <w:marTop w:val="0"/>
          <w:marBottom w:val="0"/>
          <w:divBdr>
            <w:top w:val="none" w:sz="0" w:space="0" w:color="auto"/>
            <w:left w:val="none" w:sz="0" w:space="0" w:color="auto"/>
            <w:bottom w:val="none" w:sz="0" w:space="0" w:color="auto"/>
            <w:right w:val="none" w:sz="0" w:space="0" w:color="auto"/>
          </w:divBdr>
        </w:div>
      </w:divsChild>
    </w:div>
    <w:div w:id="1007250269">
      <w:bodyDiv w:val="1"/>
      <w:marLeft w:val="0"/>
      <w:marRight w:val="0"/>
      <w:marTop w:val="0"/>
      <w:marBottom w:val="0"/>
      <w:divBdr>
        <w:top w:val="none" w:sz="0" w:space="0" w:color="auto"/>
        <w:left w:val="none" w:sz="0" w:space="0" w:color="auto"/>
        <w:bottom w:val="none" w:sz="0" w:space="0" w:color="auto"/>
        <w:right w:val="none" w:sz="0" w:space="0" w:color="auto"/>
      </w:divBdr>
      <w:divsChild>
        <w:div w:id="1732343273">
          <w:marLeft w:val="0"/>
          <w:marRight w:val="0"/>
          <w:marTop w:val="0"/>
          <w:marBottom w:val="0"/>
          <w:divBdr>
            <w:top w:val="none" w:sz="0" w:space="0" w:color="auto"/>
            <w:left w:val="none" w:sz="0" w:space="0" w:color="auto"/>
            <w:bottom w:val="none" w:sz="0" w:space="0" w:color="auto"/>
            <w:right w:val="none" w:sz="0" w:space="0" w:color="auto"/>
          </w:divBdr>
        </w:div>
      </w:divsChild>
    </w:div>
    <w:div w:id="1014067229">
      <w:bodyDiv w:val="1"/>
      <w:marLeft w:val="0"/>
      <w:marRight w:val="0"/>
      <w:marTop w:val="0"/>
      <w:marBottom w:val="0"/>
      <w:divBdr>
        <w:top w:val="none" w:sz="0" w:space="0" w:color="auto"/>
        <w:left w:val="none" w:sz="0" w:space="0" w:color="auto"/>
        <w:bottom w:val="none" w:sz="0" w:space="0" w:color="auto"/>
        <w:right w:val="none" w:sz="0" w:space="0" w:color="auto"/>
      </w:divBdr>
    </w:div>
    <w:div w:id="1053507612">
      <w:bodyDiv w:val="1"/>
      <w:marLeft w:val="0"/>
      <w:marRight w:val="0"/>
      <w:marTop w:val="0"/>
      <w:marBottom w:val="0"/>
      <w:divBdr>
        <w:top w:val="none" w:sz="0" w:space="0" w:color="auto"/>
        <w:left w:val="none" w:sz="0" w:space="0" w:color="auto"/>
        <w:bottom w:val="none" w:sz="0" w:space="0" w:color="auto"/>
        <w:right w:val="none" w:sz="0" w:space="0" w:color="auto"/>
      </w:divBdr>
    </w:div>
    <w:div w:id="1063484279">
      <w:bodyDiv w:val="1"/>
      <w:marLeft w:val="0"/>
      <w:marRight w:val="0"/>
      <w:marTop w:val="0"/>
      <w:marBottom w:val="0"/>
      <w:divBdr>
        <w:top w:val="none" w:sz="0" w:space="0" w:color="auto"/>
        <w:left w:val="none" w:sz="0" w:space="0" w:color="auto"/>
        <w:bottom w:val="none" w:sz="0" w:space="0" w:color="auto"/>
        <w:right w:val="none" w:sz="0" w:space="0" w:color="auto"/>
      </w:divBdr>
    </w:div>
    <w:div w:id="1086462273">
      <w:bodyDiv w:val="1"/>
      <w:marLeft w:val="0"/>
      <w:marRight w:val="0"/>
      <w:marTop w:val="0"/>
      <w:marBottom w:val="0"/>
      <w:divBdr>
        <w:top w:val="none" w:sz="0" w:space="0" w:color="auto"/>
        <w:left w:val="none" w:sz="0" w:space="0" w:color="auto"/>
        <w:bottom w:val="none" w:sz="0" w:space="0" w:color="auto"/>
        <w:right w:val="none" w:sz="0" w:space="0" w:color="auto"/>
      </w:divBdr>
    </w:div>
    <w:div w:id="1225487723">
      <w:bodyDiv w:val="1"/>
      <w:marLeft w:val="0"/>
      <w:marRight w:val="0"/>
      <w:marTop w:val="0"/>
      <w:marBottom w:val="0"/>
      <w:divBdr>
        <w:top w:val="none" w:sz="0" w:space="0" w:color="auto"/>
        <w:left w:val="none" w:sz="0" w:space="0" w:color="auto"/>
        <w:bottom w:val="none" w:sz="0" w:space="0" w:color="auto"/>
        <w:right w:val="none" w:sz="0" w:space="0" w:color="auto"/>
      </w:divBdr>
    </w:div>
    <w:div w:id="1239905374">
      <w:bodyDiv w:val="1"/>
      <w:marLeft w:val="0"/>
      <w:marRight w:val="0"/>
      <w:marTop w:val="0"/>
      <w:marBottom w:val="0"/>
      <w:divBdr>
        <w:top w:val="none" w:sz="0" w:space="0" w:color="auto"/>
        <w:left w:val="none" w:sz="0" w:space="0" w:color="auto"/>
        <w:bottom w:val="none" w:sz="0" w:space="0" w:color="auto"/>
        <w:right w:val="none" w:sz="0" w:space="0" w:color="auto"/>
      </w:divBdr>
    </w:div>
    <w:div w:id="1280993122">
      <w:bodyDiv w:val="1"/>
      <w:marLeft w:val="0"/>
      <w:marRight w:val="0"/>
      <w:marTop w:val="0"/>
      <w:marBottom w:val="0"/>
      <w:divBdr>
        <w:top w:val="none" w:sz="0" w:space="0" w:color="auto"/>
        <w:left w:val="none" w:sz="0" w:space="0" w:color="auto"/>
        <w:bottom w:val="none" w:sz="0" w:space="0" w:color="auto"/>
        <w:right w:val="none" w:sz="0" w:space="0" w:color="auto"/>
      </w:divBdr>
    </w:div>
    <w:div w:id="1282028882">
      <w:bodyDiv w:val="1"/>
      <w:marLeft w:val="0"/>
      <w:marRight w:val="0"/>
      <w:marTop w:val="0"/>
      <w:marBottom w:val="0"/>
      <w:divBdr>
        <w:top w:val="none" w:sz="0" w:space="0" w:color="auto"/>
        <w:left w:val="none" w:sz="0" w:space="0" w:color="auto"/>
        <w:bottom w:val="none" w:sz="0" w:space="0" w:color="auto"/>
        <w:right w:val="none" w:sz="0" w:space="0" w:color="auto"/>
      </w:divBdr>
    </w:div>
    <w:div w:id="1296180509">
      <w:bodyDiv w:val="1"/>
      <w:marLeft w:val="0"/>
      <w:marRight w:val="0"/>
      <w:marTop w:val="0"/>
      <w:marBottom w:val="0"/>
      <w:divBdr>
        <w:top w:val="none" w:sz="0" w:space="0" w:color="auto"/>
        <w:left w:val="none" w:sz="0" w:space="0" w:color="auto"/>
        <w:bottom w:val="none" w:sz="0" w:space="0" w:color="auto"/>
        <w:right w:val="none" w:sz="0" w:space="0" w:color="auto"/>
      </w:divBdr>
    </w:div>
    <w:div w:id="1315984154">
      <w:bodyDiv w:val="1"/>
      <w:marLeft w:val="0"/>
      <w:marRight w:val="0"/>
      <w:marTop w:val="0"/>
      <w:marBottom w:val="0"/>
      <w:divBdr>
        <w:top w:val="none" w:sz="0" w:space="0" w:color="auto"/>
        <w:left w:val="none" w:sz="0" w:space="0" w:color="auto"/>
        <w:bottom w:val="none" w:sz="0" w:space="0" w:color="auto"/>
        <w:right w:val="none" w:sz="0" w:space="0" w:color="auto"/>
      </w:divBdr>
    </w:div>
    <w:div w:id="1319920457">
      <w:bodyDiv w:val="1"/>
      <w:marLeft w:val="0"/>
      <w:marRight w:val="0"/>
      <w:marTop w:val="0"/>
      <w:marBottom w:val="0"/>
      <w:divBdr>
        <w:top w:val="none" w:sz="0" w:space="0" w:color="auto"/>
        <w:left w:val="none" w:sz="0" w:space="0" w:color="auto"/>
        <w:bottom w:val="none" w:sz="0" w:space="0" w:color="auto"/>
        <w:right w:val="none" w:sz="0" w:space="0" w:color="auto"/>
      </w:divBdr>
    </w:div>
    <w:div w:id="1384212507">
      <w:bodyDiv w:val="1"/>
      <w:marLeft w:val="0"/>
      <w:marRight w:val="0"/>
      <w:marTop w:val="0"/>
      <w:marBottom w:val="0"/>
      <w:divBdr>
        <w:top w:val="none" w:sz="0" w:space="0" w:color="auto"/>
        <w:left w:val="none" w:sz="0" w:space="0" w:color="auto"/>
        <w:bottom w:val="none" w:sz="0" w:space="0" w:color="auto"/>
        <w:right w:val="none" w:sz="0" w:space="0" w:color="auto"/>
      </w:divBdr>
    </w:div>
    <w:div w:id="1399747432">
      <w:bodyDiv w:val="1"/>
      <w:marLeft w:val="0"/>
      <w:marRight w:val="0"/>
      <w:marTop w:val="0"/>
      <w:marBottom w:val="0"/>
      <w:divBdr>
        <w:top w:val="none" w:sz="0" w:space="0" w:color="auto"/>
        <w:left w:val="none" w:sz="0" w:space="0" w:color="auto"/>
        <w:bottom w:val="none" w:sz="0" w:space="0" w:color="auto"/>
        <w:right w:val="none" w:sz="0" w:space="0" w:color="auto"/>
      </w:divBdr>
    </w:div>
    <w:div w:id="1400011901">
      <w:bodyDiv w:val="1"/>
      <w:marLeft w:val="0"/>
      <w:marRight w:val="0"/>
      <w:marTop w:val="0"/>
      <w:marBottom w:val="0"/>
      <w:divBdr>
        <w:top w:val="none" w:sz="0" w:space="0" w:color="auto"/>
        <w:left w:val="none" w:sz="0" w:space="0" w:color="auto"/>
        <w:bottom w:val="none" w:sz="0" w:space="0" w:color="auto"/>
        <w:right w:val="none" w:sz="0" w:space="0" w:color="auto"/>
      </w:divBdr>
    </w:div>
    <w:div w:id="1421829661">
      <w:bodyDiv w:val="1"/>
      <w:marLeft w:val="0"/>
      <w:marRight w:val="0"/>
      <w:marTop w:val="0"/>
      <w:marBottom w:val="0"/>
      <w:divBdr>
        <w:top w:val="none" w:sz="0" w:space="0" w:color="auto"/>
        <w:left w:val="none" w:sz="0" w:space="0" w:color="auto"/>
        <w:bottom w:val="none" w:sz="0" w:space="0" w:color="auto"/>
        <w:right w:val="none" w:sz="0" w:space="0" w:color="auto"/>
      </w:divBdr>
    </w:div>
    <w:div w:id="1433355727">
      <w:bodyDiv w:val="1"/>
      <w:marLeft w:val="0"/>
      <w:marRight w:val="0"/>
      <w:marTop w:val="0"/>
      <w:marBottom w:val="0"/>
      <w:divBdr>
        <w:top w:val="none" w:sz="0" w:space="0" w:color="auto"/>
        <w:left w:val="none" w:sz="0" w:space="0" w:color="auto"/>
        <w:bottom w:val="none" w:sz="0" w:space="0" w:color="auto"/>
        <w:right w:val="none" w:sz="0" w:space="0" w:color="auto"/>
      </w:divBdr>
    </w:div>
    <w:div w:id="1457486189">
      <w:bodyDiv w:val="1"/>
      <w:marLeft w:val="0"/>
      <w:marRight w:val="0"/>
      <w:marTop w:val="0"/>
      <w:marBottom w:val="0"/>
      <w:divBdr>
        <w:top w:val="none" w:sz="0" w:space="0" w:color="auto"/>
        <w:left w:val="none" w:sz="0" w:space="0" w:color="auto"/>
        <w:bottom w:val="none" w:sz="0" w:space="0" w:color="auto"/>
        <w:right w:val="none" w:sz="0" w:space="0" w:color="auto"/>
      </w:divBdr>
    </w:div>
    <w:div w:id="1459185495">
      <w:bodyDiv w:val="1"/>
      <w:marLeft w:val="0"/>
      <w:marRight w:val="0"/>
      <w:marTop w:val="0"/>
      <w:marBottom w:val="0"/>
      <w:divBdr>
        <w:top w:val="none" w:sz="0" w:space="0" w:color="auto"/>
        <w:left w:val="none" w:sz="0" w:space="0" w:color="auto"/>
        <w:bottom w:val="none" w:sz="0" w:space="0" w:color="auto"/>
        <w:right w:val="none" w:sz="0" w:space="0" w:color="auto"/>
      </w:divBdr>
    </w:div>
    <w:div w:id="1521041391">
      <w:bodyDiv w:val="1"/>
      <w:marLeft w:val="0"/>
      <w:marRight w:val="0"/>
      <w:marTop w:val="0"/>
      <w:marBottom w:val="0"/>
      <w:divBdr>
        <w:top w:val="none" w:sz="0" w:space="0" w:color="auto"/>
        <w:left w:val="none" w:sz="0" w:space="0" w:color="auto"/>
        <w:bottom w:val="none" w:sz="0" w:space="0" w:color="auto"/>
        <w:right w:val="none" w:sz="0" w:space="0" w:color="auto"/>
      </w:divBdr>
    </w:div>
    <w:div w:id="1543589115">
      <w:bodyDiv w:val="1"/>
      <w:marLeft w:val="0"/>
      <w:marRight w:val="0"/>
      <w:marTop w:val="0"/>
      <w:marBottom w:val="0"/>
      <w:divBdr>
        <w:top w:val="none" w:sz="0" w:space="0" w:color="auto"/>
        <w:left w:val="none" w:sz="0" w:space="0" w:color="auto"/>
        <w:bottom w:val="none" w:sz="0" w:space="0" w:color="auto"/>
        <w:right w:val="none" w:sz="0" w:space="0" w:color="auto"/>
      </w:divBdr>
    </w:div>
    <w:div w:id="1578904685">
      <w:bodyDiv w:val="1"/>
      <w:marLeft w:val="0"/>
      <w:marRight w:val="0"/>
      <w:marTop w:val="0"/>
      <w:marBottom w:val="0"/>
      <w:divBdr>
        <w:top w:val="none" w:sz="0" w:space="0" w:color="auto"/>
        <w:left w:val="none" w:sz="0" w:space="0" w:color="auto"/>
        <w:bottom w:val="none" w:sz="0" w:space="0" w:color="auto"/>
        <w:right w:val="none" w:sz="0" w:space="0" w:color="auto"/>
      </w:divBdr>
      <w:divsChild>
        <w:div w:id="189997327">
          <w:marLeft w:val="0"/>
          <w:marRight w:val="0"/>
          <w:marTop w:val="0"/>
          <w:marBottom w:val="0"/>
          <w:divBdr>
            <w:top w:val="none" w:sz="0" w:space="0" w:color="auto"/>
            <w:left w:val="none" w:sz="0" w:space="0" w:color="auto"/>
            <w:bottom w:val="none" w:sz="0" w:space="0" w:color="auto"/>
            <w:right w:val="none" w:sz="0" w:space="0" w:color="auto"/>
          </w:divBdr>
        </w:div>
      </w:divsChild>
    </w:div>
    <w:div w:id="1741053916">
      <w:bodyDiv w:val="1"/>
      <w:marLeft w:val="0"/>
      <w:marRight w:val="0"/>
      <w:marTop w:val="0"/>
      <w:marBottom w:val="0"/>
      <w:divBdr>
        <w:top w:val="none" w:sz="0" w:space="0" w:color="auto"/>
        <w:left w:val="none" w:sz="0" w:space="0" w:color="auto"/>
        <w:bottom w:val="none" w:sz="0" w:space="0" w:color="auto"/>
        <w:right w:val="none" w:sz="0" w:space="0" w:color="auto"/>
      </w:divBdr>
      <w:divsChild>
        <w:div w:id="408625684">
          <w:marLeft w:val="0"/>
          <w:marRight w:val="0"/>
          <w:marTop w:val="0"/>
          <w:marBottom w:val="0"/>
          <w:divBdr>
            <w:top w:val="none" w:sz="0" w:space="0" w:color="auto"/>
            <w:left w:val="none" w:sz="0" w:space="0" w:color="auto"/>
            <w:bottom w:val="none" w:sz="0" w:space="0" w:color="auto"/>
            <w:right w:val="none" w:sz="0" w:space="0" w:color="auto"/>
          </w:divBdr>
        </w:div>
      </w:divsChild>
    </w:div>
    <w:div w:id="1877354760">
      <w:bodyDiv w:val="1"/>
      <w:marLeft w:val="0"/>
      <w:marRight w:val="0"/>
      <w:marTop w:val="0"/>
      <w:marBottom w:val="0"/>
      <w:divBdr>
        <w:top w:val="none" w:sz="0" w:space="0" w:color="auto"/>
        <w:left w:val="none" w:sz="0" w:space="0" w:color="auto"/>
        <w:bottom w:val="none" w:sz="0" w:space="0" w:color="auto"/>
        <w:right w:val="none" w:sz="0" w:space="0" w:color="auto"/>
      </w:divBdr>
    </w:div>
    <w:div w:id="1881238582">
      <w:bodyDiv w:val="1"/>
      <w:marLeft w:val="0"/>
      <w:marRight w:val="0"/>
      <w:marTop w:val="0"/>
      <w:marBottom w:val="0"/>
      <w:divBdr>
        <w:top w:val="none" w:sz="0" w:space="0" w:color="auto"/>
        <w:left w:val="none" w:sz="0" w:space="0" w:color="auto"/>
        <w:bottom w:val="none" w:sz="0" w:space="0" w:color="auto"/>
        <w:right w:val="none" w:sz="0" w:space="0" w:color="auto"/>
      </w:divBdr>
    </w:div>
    <w:div w:id="2020765660">
      <w:bodyDiv w:val="1"/>
      <w:marLeft w:val="0"/>
      <w:marRight w:val="0"/>
      <w:marTop w:val="0"/>
      <w:marBottom w:val="0"/>
      <w:divBdr>
        <w:top w:val="none" w:sz="0" w:space="0" w:color="auto"/>
        <w:left w:val="none" w:sz="0" w:space="0" w:color="auto"/>
        <w:bottom w:val="none" w:sz="0" w:space="0" w:color="auto"/>
        <w:right w:val="none" w:sz="0" w:space="0" w:color="auto"/>
      </w:divBdr>
      <w:divsChild>
        <w:div w:id="1229656179">
          <w:marLeft w:val="0"/>
          <w:marRight w:val="0"/>
          <w:marTop w:val="0"/>
          <w:marBottom w:val="0"/>
          <w:divBdr>
            <w:top w:val="none" w:sz="0" w:space="0" w:color="auto"/>
            <w:left w:val="none" w:sz="0" w:space="0" w:color="auto"/>
            <w:bottom w:val="none" w:sz="0" w:space="0" w:color="auto"/>
            <w:right w:val="none" w:sz="0" w:space="0" w:color="auto"/>
          </w:divBdr>
        </w:div>
      </w:divsChild>
    </w:div>
    <w:div w:id="2035957285">
      <w:bodyDiv w:val="1"/>
      <w:marLeft w:val="0"/>
      <w:marRight w:val="0"/>
      <w:marTop w:val="0"/>
      <w:marBottom w:val="0"/>
      <w:divBdr>
        <w:top w:val="none" w:sz="0" w:space="0" w:color="auto"/>
        <w:left w:val="none" w:sz="0" w:space="0" w:color="auto"/>
        <w:bottom w:val="none" w:sz="0" w:space="0" w:color="auto"/>
        <w:right w:val="none" w:sz="0" w:space="0" w:color="auto"/>
      </w:divBdr>
    </w:div>
    <w:div w:id="2071226719">
      <w:bodyDiv w:val="1"/>
      <w:marLeft w:val="0"/>
      <w:marRight w:val="0"/>
      <w:marTop w:val="0"/>
      <w:marBottom w:val="0"/>
      <w:divBdr>
        <w:top w:val="none" w:sz="0" w:space="0" w:color="auto"/>
        <w:left w:val="none" w:sz="0" w:space="0" w:color="auto"/>
        <w:bottom w:val="none" w:sz="0" w:space="0" w:color="auto"/>
        <w:right w:val="none" w:sz="0" w:space="0" w:color="auto"/>
      </w:divBdr>
    </w:div>
    <w:div w:id="207593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E.Amalu@tees.ac.u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bs.mallik@derby.ac.u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mailto:aj.depiver@derby.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FBCACF-44CB-AA4C-9C45-5886F8309AEA}">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70BB3-A24B-4D10-ADCD-BEE08DC6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43</Pages>
  <Words>62751</Words>
  <Characters>357681</Characters>
  <Application>Microsoft Office Word</Application>
  <DocSecurity>0</DocSecurity>
  <Lines>2980</Lines>
  <Paragraphs>839</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419593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Adeniyi Depiver</dc:creator>
  <cp:keywords/>
  <dc:description/>
  <cp:lastModifiedBy>JOSHUA DEPIVER</cp:lastModifiedBy>
  <cp:revision>129</cp:revision>
  <cp:lastPrinted>2020-11-23T13:46:00Z</cp:lastPrinted>
  <dcterms:created xsi:type="dcterms:W3CDTF">2021-03-02T19:06:00Z</dcterms:created>
  <dcterms:modified xsi:type="dcterms:W3CDTF">2021-04-21T15:40:00Z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STF3893@derby.ac.uk</vt:lpwstr>
  </property>
  <property fmtid="{D5CDD505-2E9C-101B-9397-08002B2CF9AE}" pid="5" name="MSIP_Label_b47d098f-2640-4837-b575-e0be04df0525_SetDate">
    <vt:lpwstr>2020-02-21T15:49:18.3643519Z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STF3893@derby.ac.uk</vt:lpwstr>
  </property>
  <property fmtid="{D5CDD505-2E9C-101B-9397-08002B2CF9AE}" pid="12" name="MSIP_Label_501a0944-9d81-4c75-b857-2ec7863455b7_SetDate">
    <vt:lpwstr>2020-02-21T15:49:18.3653493Z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Recent Style Id 0_1">
    <vt:lpwstr>http://www.zotero.org/styles/american-medical-association</vt:lpwstr>
  </property>
  <property fmtid="{D5CDD505-2E9C-101B-9397-08002B2CF9AE}" pid="19" name="Mendeley Recent Style Name 0_1">
    <vt:lpwstr>American Medical Association 11th edition</vt:lpwstr>
  </property>
  <property fmtid="{D5CDD505-2E9C-101B-9397-08002B2CF9AE}" pid="20" name="Mendeley Recent Style Id 1_1">
    <vt:lpwstr>http://www.zotero.org/styles/american-political-science-association</vt:lpwstr>
  </property>
  <property fmtid="{D5CDD505-2E9C-101B-9397-08002B2CF9AE}" pid="21" name="Mendeley Recent Style Name 1_1">
    <vt:lpwstr>American Political Science Association</vt:lpwstr>
  </property>
  <property fmtid="{D5CDD505-2E9C-101B-9397-08002B2CF9AE}" pid="22" name="Mendeley Recent Style Id 2_1">
    <vt:lpwstr>http://www.zotero.org/styles/apa</vt:lpwstr>
  </property>
  <property fmtid="{D5CDD505-2E9C-101B-9397-08002B2CF9AE}" pid="23" name="Mendeley Recent Style Name 2_1">
    <vt:lpwstr>American Psychological Association 7th edition</vt:lpwstr>
  </property>
  <property fmtid="{D5CDD505-2E9C-101B-9397-08002B2CF9AE}" pid="24" name="Mendeley Recent Style Id 3_1">
    <vt:lpwstr>http://www.zotero.org/styles/american-sociological-association</vt:lpwstr>
  </property>
  <property fmtid="{D5CDD505-2E9C-101B-9397-08002B2CF9AE}" pid="25" name="Mendeley Recent Style Name 3_1">
    <vt:lpwstr>American Sociological Association 6th edition</vt:lpwstr>
  </property>
  <property fmtid="{D5CDD505-2E9C-101B-9397-08002B2CF9AE}" pid="26" name="Mendeley Recent Style Id 4_1">
    <vt:lpwstr>http://www.zotero.org/styles/chicago-author-date</vt:lpwstr>
  </property>
  <property fmtid="{D5CDD505-2E9C-101B-9397-08002B2CF9AE}" pid="27" name="Mendeley Recent Style Name 4_1">
    <vt:lpwstr>Chicago Manual of Style 17th edition (author-date)</vt:lpwstr>
  </property>
  <property fmtid="{D5CDD505-2E9C-101B-9397-08002B2CF9AE}" pid="28" name="Mendeley Recent Style Id 5_1">
    <vt:lpwstr>http://www.zotero.org/styles/harvard-cite-them-right</vt:lpwstr>
  </property>
  <property fmtid="{D5CDD505-2E9C-101B-9397-08002B2CF9AE}" pid="29" name="Mendeley Recent Style Name 5_1">
    <vt:lpwstr>Cite Them Right 10th edition - Harvard</vt:lpwstr>
  </property>
  <property fmtid="{D5CDD505-2E9C-101B-9397-08002B2CF9AE}" pid="30" name="Mendeley Recent Style Id 6_1">
    <vt:lpwstr>http://www.zotero.org/styles/ieee</vt:lpwstr>
  </property>
  <property fmtid="{D5CDD505-2E9C-101B-9397-08002B2CF9AE}" pid="31" name="Mendeley Recent Style Name 6_1">
    <vt:lpwstr>IEEE</vt:lpwstr>
  </property>
  <property fmtid="{D5CDD505-2E9C-101B-9397-08002B2CF9AE}" pid="32" name="Mendeley Recent Style Id 7_1">
    <vt:lpwstr>http://www.zotero.org/styles/modern-humanities-research-association</vt:lpwstr>
  </property>
  <property fmtid="{D5CDD505-2E9C-101B-9397-08002B2CF9AE}" pid="33" name="Mendeley Recent Style Name 7_1">
    <vt:lpwstr>Modern Humanities Research Association 3rd edition (note with bibliography)</vt:lpwstr>
  </property>
  <property fmtid="{D5CDD505-2E9C-101B-9397-08002B2CF9AE}" pid="34" name="Mendeley Recent Style Id 8_1">
    <vt:lpwstr>http://www.zotero.org/styles/modern-language-association</vt:lpwstr>
  </property>
  <property fmtid="{D5CDD505-2E9C-101B-9397-08002B2CF9AE}" pid="35" name="Mendeley Recent Style Name 8_1">
    <vt:lpwstr>Modern Language Association 8th edition</vt:lpwstr>
  </property>
  <property fmtid="{D5CDD505-2E9C-101B-9397-08002B2CF9AE}" pid="36" name="Mendeley Recent Style Id 9_1">
    <vt:lpwstr>http://www.zotero.org/styles/nature</vt:lpwstr>
  </property>
  <property fmtid="{D5CDD505-2E9C-101B-9397-08002B2CF9AE}" pid="37" name="Mendeley Recent Style Name 9_1">
    <vt:lpwstr>Nature</vt:lpwstr>
  </property>
  <property fmtid="{D5CDD505-2E9C-101B-9397-08002B2CF9AE}" pid="38" name="Mendeley Document_1">
    <vt:lpwstr>True</vt:lpwstr>
  </property>
  <property fmtid="{D5CDD505-2E9C-101B-9397-08002B2CF9AE}" pid="39" name="Mendeley Unique User Id_1">
    <vt:lpwstr>67895874-74be-33e6-a29c-d4e0beabfc38</vt:lpwstr>
  </property>
  <property fmtid="{D5CDD505-2E9C-101B-9397-08002B2CF9AE}" pid="40" name="Mendeley Citation Style_1">
    <vt:lpwstr>http://www.zotero.org/styles/ieee</vt:lpwstr>
  </property>
  <property fmtid="{D5CDD505-2E9C-101B-9397-08002B2CF9AE}" pid="41" name="grammarly_documentId">
    <vt:lpwstr>documentId_3015</vt:lpwstr>
  </property>
  <property fmtid="{D5CDD505-2E9C-101B-9397-08002B2CF9AE}" pid="42" name="grammarly_documentContext">
    <vt:lpwstr>{"goals":[],"domain":"general","emotions":[],"dialect":"british"}</vt:lpwstr>
  </property>
</Properties>
</file>