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AA9DD" w14:textId="1067349C" w:rsidR="00886597" w:rsidRDefault="00886597" w:rsidP="00BA429B">
      <w:pPr>
        <w:pStyle w:val="Subtitle"/>
      </w:pPr>
    </w:p>
    <w:p w14:paraId="0DE7EF2D" w14:textId="77777777" w:rsidR="000A2B57" w:rsidRDefault="000A2B57"/>
    <w:p w14:paraId="32A38563" w14:textId="77777777" w:rsidR="000A2B57" w:rsidRDefault="000A2B57"/>
    <w:p w14:paraId="464102E7" w14:textId="77777777" w:rsidR="000A2B57" w:rsidRDefault="000A2B57"/>
    <w:p w14:paraId="2BDBD98E" w14:textId="5C8C8106" w:rsidR="000A2B57" w:rsidRDefault="00BA429B" w:rsidP="00BA429B">
      <w:pPr>
        <w:tabs>
          <w:tab w:val="left" w:pos="5970"/>
        </w:tabs>
      </w:pPr>
      <w:r>
        <w:tab/>
      </w:r>
    </w:p>
    <w:p w14:paraId="2C35F54D" w14:textId="77777777" w:rsidR="000A2B57" w:rsidRDefault="000A2B57"/>
    <w:p w14:paraId="2D106736" w14:textId="77777777" w:rsidR="000A2B57" w:rsidRDefault="000A2B57"/>
    <w:p w14:paraId="69544D18" w14:textId="77777777" w:rsidR="000A2B57" w:rsidRDefault="000A2B57"/>
    <w:p w14:paraId="19E4B74E" w14:textId="24123272" w:rsidR="00C146F3" w:rsidRPr="00D84682" w:rsidRDefault="00C146F3" w:rsidP="00C146F3">
      <w:pPr>
        <w:pStyle w:val="Heading2"/>
        <w:jc w:val="center"/>
        <w:rPr>
          <w:b/>
          <w:bCs/>
          <w:sz w:val="40"/>
          <w:szCs w:val="40"/>
        </w:rPr>
      </w:pPr>
      <w:r w:rsidRPr="00D84682">
        <w:rPr>
          <w:b/>
          <w:bCs/>
          <w:sz w:val="40"/>
          <w:szCs w:val="40"/>
        </w:rPr>
        <w:t>Pro-environmental business and clean growth trends for the East Midlands 202</w:t>
      </w:r>
      <w:r w:rsidR="00FE50C5">
        <w:rPr>
          <w:b/>
          <w:bCs/>
          <w:sz w:val="40"/>
          <w:szCs w:val="40"/>
        </w:rPr>
        <w:t>1</w:t>
      </w:r>
    </w:p>
    <w:p w14:paraId="621E80B0" w14:textId="77777777" w:rsidR="000A2B57" w:rsidRPr="000A2B57" w:rsidRDefault="000A2B57" w:rsidP="000A2B57">
      <w:pPr>
        <w:jc w:val="center"/>
        <w:rPr>
          <w:b/>
          <w:sz w:val="32"/>
          <w:szCs w:val="32"/>
        </w:rPr>
      </w:pPr>
    </w:p>
    <w:p w14:paraId="75770764" w14:textId="77777777" w:rsidR="000A2B57" w:rsidRDefault="000A2B57">
      <w:pPr>
        <w:rPr>
          <w:b/>
          <w:sz w:val="24"/>
          <w:szCs w:val="24"/>
        </w:rPr>
      </w:pPr>
    </w:p>
    <w:p w14:paraId="4EC17C15" w14:textId="77777777" w:rsidR="000A2B57" w:rsidRDefault="000A2B57">
      <w:pPr>
        <w:rPr>
          <w:b/>
          <w:sz w:val="24"/>
          <w:szCs w:val="24"/>
        </w:rPr>
      </w:pPr>
    </w:p>
    <w:p w14:paraId="6C1C7514" w14:textId="77777777" w:rsidR="000A2B57" w:rsidRDefault="000A2B57">
      <w:pPr>
        <w:rPr>
          <w:b/>
          <w:sz w:val="24"/>
          <w:szCs w:val="24"/>
        </w:rPr>
      </w:pPr>
    </w:p>
    <w:p w14:paraId="1AC48378" w14:textId="77777777" w:rsidR="000A2B57" w:rsidRDefault="000A2B57">
      <w:pPr>
        <w:rPr>
          <w:b/>
          <w:sz w:val="24"/>
          <w:szCs w:val="24"/>
        </w:rPr>
      </w:pPr>
    </w:p>
    <w:p w14:paraId="7FF4482A" w14:textId="77777777" w:rsidR="000A2B57" w:rsidRDefault="000A2B57">
      <w:pPr>
        <w:rPr>
          <w:b/>
          <w:sz w:val="24"/>
          <w:szCs w:val="24"/>
        </w:rPr>
      </w:pPr>
    </w:p>
    <w:p w14:paraId="798D091D" w14:textId="580F5469" w:rsidR="000A2B57" w:rsidRPr="00D84682" w:rsidRDefault="000A2B57" w:rsidP="00D84682">
      <w:pPr>
        <w:pStyle w:val="Heading2"/>
        <w:rPr>
          <w:b/>
          <w:bCs/>
          <w:sz w:val="32"/>
          <w:szCs w:val="32"/>
        </w:rPr>
      </w:pPr>
      <w:r w:rsidRPr="00D84682">
        <w:rPr>
          <w:b/>
          <w:bCs/>
          <w:sz w:val="32"/>
          <w:szCs w:val="32"/>
        </w:rPr>
        <w:t xml:space="preserve">Sustainable Business </w:t>
      </w:r>
      <w:r w:rsidR="005D7647" w:rsidRPr="00D84682">
        <w:rPr>
          <w:b/>
          <w:bCs/>
          <w:sz w:val="32"/>
          <w:szCs w:val="32"/>
        </w:rPr>
        <w:t xml:space="preserve">and </w:t>
      </w:r>
      <w:r w:rsidR="00C146F3" w:rsidRPr="00D84682">
        <w:rPr>
          <w:b/>
          <w:bCs/>
          <w:sz w:val="32"/>
          <w:szCs w:val="32"/>
        </w:rPr>
        <w:t>Clean Growth</w:t>
      </w:r>
      <w:r w:rsidR="005D7647" w:rsidRPr="00D84682">
        <w:rPr>
          <w:b/>
          <w:bCs/>
          <w:sz w:val="32"/>
          <w:szCs w:val="32"/>
        </w:rPr>
        <w:t xml:space="preserve"> </w:t>
      </w:r>
      <w:r w:rsidRPr="00D84682">
        <w:rPr>
          <w:b/>
          <w:bCs/>
          <w:sz w:val="32"/>
          <w:szCs w:val="32"/>
        </w:rPr>
        <w:t>Research Cluster</w:t>
      </w:r>
    </w:p>
    <w:p w14:paraId="34389DFF" w14:textId="3BF125E1" w:rsidR="000A2B57" w:rsidRPr="00D84682" w:rsidRDefault="000A2B57" w:rsidP="00D84682">
      <w:pPr>
        <w:pStyle w:val="Heading2"/>
        <w:rPr>
          <w:b/>
          <w:bCs/>
          <w:sz w:val="32"/>
          <w:szCs w:val="32"/>
        </w:rPr>
      </w:pPr>
      <w:r w:rsidRPr="00D84682">
        <w:rPr>
          <w:b/>
          <w:bCs/>
          <w:sz w:val="32"/>
          <w:szCs w:val="32"/>
        </w:rPr>
        <w:t>Centre for Business Improvement</w:t>
      </w:r>
    </w:p>
    <w:p w14:paraId="1D21FCEF" w14:textId="18CD52D8" w:rsidR="000A2B57" w:rsidRPr="00D84682" w:rsidRDefault="000A2B57" w:rsidP="00D84682">
      <w:pPr>
        <w:pStyle w:val="Heading2"/>
        <w:rPr>
          <w:b/>
          <w:bCs/>
          <w:sz w:val="32"/>
          <w:szCs w:val="32"/>
        </w:rPr>
      </w:pPr>
      <w:r w:rsidRPr="00D84682">
        <w:rPr>
          <w:b/>
          <w:bCs/>
          <w:sz w:val="32"/>
          <w:szCs w:val="32"/>
        </w:rPr>
        <w:t>Derby Business School</w:t>
      </w:r>
    </w:p>
    <w:p w14:paraId="2D470666" w14:textId="6AC3E2D4" w:rsidR="000A2B57" w:rsidRPr="00D84682" w:rsidRDefault="000A2B57" w:rsidP="00D84682">
      <w:pPr>
        <w:pStyle w:val="Heading2"/>
        <w:rPr>
          <w:b/>
          <w:bCs/>
          <w:sz w:val="32"/>
          <w:szCs w:val="32"/>
        </w:rPr>
      </w:pPr>
      <w:r w:rsidRPr="00D84682">
        <w:rPr>
          <w:b/>
          <w:bCs/>
          <w:sz w:val="32"/>
          <w:szCs w:val="32"/>
        </w:rPr>
        <w:t>University of Derby</w:t>
      </w:r>
    </w:p>
    <w:p w14:paraId="17EFEF81" w14:textId="4EEE4931" w:rsidR="000A2B57" w:rsidRDefault="000A2B57">
      <w:pPr>
        <w:rPr>
          <w:b/>
          <w:sz w:val="28"/>
          <w:szCs w:val="28"/>
        </w:rPr>
      </w:pPr>
    </w:p>
    <w:p w14:paraId="267AB285" w14:textId="4C1F6A5D" w:rsidR="00CF2319" w:rsidRDefault="00CF2319">
      <w:pPr>
        <w:rPr>
          <w:b/>
          <w:sz w:val="28"/>
          <w:szCs w:val="28"/>
        </w:rPr>
      </w:pPr>
    </w:p>
    <w:p w14:paraId="6C4047A7" w14:textId="77777777" w:rsidR="00CF2319" w:rsidRPr="000A2B57" w:rsidRDefault="00CF2319">
      <w:pPr>
        <w:rPr>
          <w:b/>
          <w:sz w:val="28"/>
          <w:szCs w:val="28"/>
        </w:rPr>
      </w:pPr>
    </w:p>
    <w:p w14:paraId="09C5D842" w14:textId="77777777" w:rsidR="00FE50C5" w:rsidRPr="00D84682" w:rsidRDefault="00FE50C5" w:rsidP="00FE50C5">
      <w:pPr>
        <w:rPr>
          <w:b/>
          <w:bCs/>
          <w:sz w:val="24"/>
          <w:szCs w:val="24"/>
        </w:rPr>
      </w:pPr>
      <w:r w:rsidRPr="00D84682">
        <w:rPr>
          <w:b/>
          <w:bCs/>
          <w:sz w:val="24"/>
          <w:szCs w:val="24"/>
        </w:rPr>
        <w:t xml:space="preserve">Dr Bruno </w:t>
      </w:r>
      <w:proofErr w:type="spellStart"/>
      <w:r w:rsidRPr="00D84682">
        <w:rPr>
          <w:b/>
          <w:bCs/>
          <w:sz w:val="24"/>
          <w:szCs w:val="24"/>
        </w:rPr>
        <w:t>Gallotta</w:t>
      </w:r>
      <w:proofErr w:type="spellEnd"/>
    </w:p>
    <w:p w14:paraId="389F3DD3" w14:textId="05BEA425" w:rsidR="00CF2319" w:rsidRPr="00D84682" w:rsidRDefault="00CF2319">
      <w:pPr>
        <w:rPr>
          <w:b/>
          <w:bCs/>
          <w:sz w:val="24"/>
          <w:szCs w:val="24"/>
        </w:rPr>
      </w:pPr>
      <w:r w:rsidRPr="00D84682">
        <w:rPr>
          <w:b/>
          <w:bCs/>
          <w:sz w:val="24"/>
          <w:szCs w:val="24"/>
        </w:rPr>
        <w:t>Dr Fred Paterson</w:t>
      </w:r>
    </w:p>
    <w:p w14:paraId="422C4589" w14:textId="77777777" w:rsidR="00C146F3" w:rsidRPr="00D84682" w:rsidRDefault="00C146F3" w:rsidP="00C146F3">
      <w:pPr>
        <w:rPr>
          <w:b/>
          <w:bCs/>
          <w:sz w:val="24"/>
          <w:szCs w:val="24"/>
        </w:rPr>
      </w:pPr>
      <w:r w:rsidRPr="00D84682">
        <w:rPr>
          <w:b/>
          <w:bCs/>
          <w:sz w:val="24"/>
          <w:szCs w:val="24"/>
        </w:rPr>
        <w:t>Dr Polina Baranova</w:t>
      </w:r>
    </w:p>
    <w:p w14:paraId="197B35CB" w14:textId="0335E2AD" w:rsidR="000A2B57" w:rsidRDefault="00C146F3">
      <w:pPr>
        <w:rPr>
          <w:b/>
          <w:sz w:val="24"/>
          <w:szCs w:val="24"/>
        </w:rPr>
      </w:pPr>
      <w:r w:rsidRPr="00D84682">
        <w:rPr>
          <w:b/>
          <w:bCs/>
          <w:sz w:val="24"/>
          <w:szCs w:val="24"/>
        </w:rPr>
        <w:t>June 202</w:t>
      </w:r>
      <w:r w:rsidR="00FE50C5">
        <w:rPr>
          <w:b/>
          <w:bCs/>
          <w:sz w:val="24"/>
          <w:szCs w:val="24"/>
        </w:rPr>
        <w:t>1</w:t>
      </w:r>
      <w:r w:rsidR="000A2B57">
        <w:rPr>
          <w:b/>
          <w:sz w:val="24"/>
          <w:szCs w:val="24"/>
        </w:rPr>
        <w:br w:type="page"/>
      </w:r>
    </w:p>
    <w:p w14:paraId="6D5DB0F9" w14:textId="77777777" w:rsidR="001409DF" w:rsidRDefault="001409DF" w:rsidP="00C146F3">
      <w:pPr>
        <w:pStyle w:val="Heading2"/>
        <w:jc w:val="center"/>
        <w:rPr>
          <w:b/>
          <w:bCs/>
        </w:rPr>
      </w:pPr>
    </w:p>
    <w:p w14:paraId="11E605F3" w14:textId="77777777" w:rsidR="00FE50C5" w:rsidRDefault="00FE50C5" w:rsidP="00FE50C5">
      <w:pPr>
        <w:pStyle w:val="Heading2"/>
        <w:jc w:val="center"/>
      </w:pPr>
      <w:r>
        <w:t>Pro-environmental business and clean growth trends for the East Midlands 2021 Universtiy of Derby – Sustainable Business and Clean Growth Research Group</w:t>
      </w:r>
    </w:p>
    <w:p w14:paraId="407F0289" w14:textId="77777777" w:rsidR="00FE50C5" w:rsidRDefault="00FE50C5" w:rsidP="00FE50C5">
      <w:pPr>
        <w:pStyle w:val="Heading2"/>
        <w:jc w:val="center"/>
      </w:pPr>
      <w:r>
        <w:t>June 2021</w:t>
      </w:r>
    </w:p>
    <w:p w14:paraId="639111A4" w14:textId="77777777" w:rsidR="00FE50C5" w:rsidRDefault="00FE50C5" w:rsidP="00FE50C5"/>
    <w:tbl>
      <w:tblPr>
        <w:tblStyle w:val="TableGrid"/>
        <w:tblW w:w="0" w:type="auto"/>
        <w:tblLook w:val="04A0" w:firstRow="1" w:lastRow="0" w:firstColumn="1" w:lastColumn="0" w:noHBand="0" w:noVBand="1"/>
      </w:tblPr>
      <w:tblGrid>
        <w:gridCol w:w="9016"/>
      </w:tblGrid>
      <w:tr w:rsidR="00FE50C5" w14:paraId="3BD7B90E" w14:textId="77777777" w:rsidTr="00D73042">
        <w:tc>
          <w:tcPr>
            <w:tcW w:w="9016" w:type="dxa"/>
            <w:shd w:val="clear" w:color="auto" w:fill="E7E6E6" w:themeFill="background2"/>
          </w:tcPr>
          <w:p w14:paraId="4F5EB28B" w14:textId="77777777" w:rsidR="00FE50C5" w:rsidRPr="001B110D" w:rsidRDefault="00FE50C5" w:rsidP="00D73042">
            <w:pPr>
              <w:rPr>
                <w:b/>
                <w:bCs/>
              </w:rPr>
            </w:pPr>
            <w:r>
              <w:rPr>
                <w:b/>
                <w:bCs/>
              </w:rPr>
              <w:t>Key Points</w:t>
            </w:r>
          </w:p>
          <w:p w14:paraId="7EF462E6" w14:textId="77777777" w:rsidR="00FE50C5" w:rsidRDefault="00FE50C5" w:rsidP="00D73042">
            <w:r>
              <w:t xml:space="preserve">Based on responses to the East Midlands Chamber (EMC) Quarterly Economic Survey (Feb 2021): </w:t>
            </w:r>
          </w:p>
          <w:p w14:paraId="62961C2C" w14:textId="1740D86D" w:rsidR="00FE50C5" w:rsidRDefault="00FE50C5" w:rsidP="00FE50C5">
            <w:pPr>
              <w:pStyle w:val="ListParagraph"/>
              <w:numPr>
                <w:ilvl w:val="0"/>
                <w:numId w:val="13"/>
              </w:numPr>
            </w:pPr>
            <w:r>
              <w:t xml:space="preserve">The percentage of businesses in the East Midlands deriving turnover from supplying pro-environmental goods or services increased from 16% in 2015 to 37% in 2021. </w:t>
            </w:r>
          </w:p>
          <w:p w14:paraId="748A224D" w14:textId="127E036C" w:rsidR="00FE50C5" w:rsidRDefault="007550CB" w:rsidP="00FE50C5">
            <w:pPr>
              <w:pStyle w:val="ListParagraph"/>
              <w:numPr>
                <w:ilvl w:val="0"/>
                <w:numId w:val="13"/>
              </w:numPr>
            </w:pPr>
            <w:r>
              <w:t>36</w:t>
            </w:r>
            <w:r w:rsidR="00FE50C5">
              <w:t xml:space="preserve">% of the companies surveyed stated that clean growth is already </w:t>
            </w:r>
            <w:r>
              <w:t xml:space="preserve">wholly or </w:t>
            </w:r>
            <w:r w:rsidR="00FE50C5">
              <w:t>part</w:t>
            </w:r>
            <w:r w:rsidR="00B95C99">
              <w:t>ly integrated into their business</w:t>
            </w:r>
            <w:r w:rsidR="00FE50C5">
              <w:t xml:space="preserve"> growth strategies; </w:t>
            </w:r>
            <w:r w:rsidR="00B95C99">
              <w:t>up</w:t>
            </w:r>
            <w:r w:rsidR="00FE50C5">
              <w:t xml:space="preserve"> from </w:t>
            </w:r>
            <w:r w:rsidR="00B95C99">
              <w:t>29</w:t>
            </w:r>
            <w:r w:rsidR="00FE50C5">
              <w:t>% in 2020.</w:t>
            </w:r>
          </w:p>
          <w:p w14:paraId="13C6B000" w14:textId="181D1560" w:rsidR="00FE50C5" w:rsidRDefault="00FE50C5" w:rsidP="00FE50C5">
            <w:pPr>
              <w:pStyle w:val="ListParagraph"/>
              <w:numPr>
                <w:ilvl w:val="0"/>
                <w:numId w:val="13"/>
              </w:numPr>
            </w:pPr>
            <w:r>
              <w:t>Larger companies continue to be more advanced than smaller firms in integrating clean growth in their business strategies.</w:t>
            </w:r>
          </w:p>
          <w:p w14:paraId="0D4F2999" w14:textId="3D23FF54" w:rsidR="00FE50C5" w:rsidRDefault="00B95C99" w:rsidP="00FE50C5">
            <w:pPr>
              <w:pStyle w:val="ListParagraph"/>
              <w:numPr>
                <w:ilvl w:val="0"/>
                <w:numId w:val="13"/>
              </w:numPr>
            </w:pPr>
            <w:r>
              <w:t>However, m</w:t>
            </w:r>
            <w:r w:rsidR="001807D3">
              <w:t xml:space="preserve">ore than four in ten firms (42%) do not feel well informed about support for clean growth and nearly three in ten (29%) are not engaging with the clean growth agenda – </w:t>
            </w:r>
            <w:r w:rsidR="0053739C">
              <w:t>a small decline from</w:t>
            </w:r>
            <w:r w:rsidR="001807D3">
              <w:t xml:space="preserve"> 2020.</w:t>
            </w:r>
          </w:p>
          <w:p w14:paraId="7AD0E286" w14:textId="77777777" w:rsidR="007550CB" w:rsidRDefault="007550CB" w:rsidP="001807D3"/>
          <w:p w14:paraId="30715DBE" w14:textId="75C8EF5E" w:rsidR="001807D3" w:rsidRDefault="001807D3" w:rsidP="001807D3">
            <w:r>
              <w:t xml:space="preserve">This suggests that whilst opportunity in the </w:t>
            </w:r>
            <w:r w:rsidR="0053739C">
              <w:t>Low Carbon and Environmental Goods and Services (</w:t>
            </w:r>
            <w:r>
              <w:t>LCEGS</w:t>
            </w:r>
            <w:r w:rsidR="0053739C">
              <w:t>)</w:t>
            </w:r>
            <w:r>
              <w:t xml:space="preserve"> market is still strong, </w:t>
            </w:r>
            <w:r w:rsidR="00B95C99">
              <w:t>awareness and engagement with</w:t>
            </w:r>
            <w:r>
              <w:t xml:space="preserve"> </w:t>
            </w:r>
            <w:r w:rsidR="00B95C99">
              <w:t>clean growth</w:t>
            </w:r>
            <w:r>
              <w:t xml:space="preserve"> opportunities may have been weakened during the 2020/21 pandemic.</w:t>
            </w:r>
          </w:p>
          <w:p w14:paraId="0082FAAF" w14:textId="21756A07" w:rsidR="0053739C" w:rsidRDefault="0053739C" w:rsidP="001807D3"/>
        </w:tc>
      </w:tr>
    </w:tbl>
    <w:p w14:paraId="191D43E3" w14:textId="77777777" w:rsidR="0053739C" w:rsidRPr="007550CB" w:rsidRDefault="0053739C" w:rsidP="00FE50C5">
      <w:pPr>
        <w:pStyle w:val="Heading2"/>
        <w:rPr>
          <w:sz w:val="10"/>
          <w:szCs w:val="10"/>
        </w:rPr>
      </w:pPr>
    </w:p>
    <w:p w14:paraId="6FF81B4A" w14:textId="2AE47305" w:rsidR="00FE50C5" w:rsidRDefault="00FE50C5" w:rsidP="00FE50C5">
      <w:pPr>
        <w:pStyle w:val="Heading2"/>
      </w:pPr>
      <w:r>
        <w:t>Introduction</w:t>
      </w:r>
    </w:p>
    <w:p w14:paraId="1C3BDAD9" w14:textId="1D8C536C" w:rsidR="00FE50C5" w:rsidRDefault="00FE50C5" w:rsidP="00FE50C5">
      <w:r w:rsidRPr="6406B247">
        <w:t>This</w:t>
      </w:r>
      <w:r>
        <w:t xml:space="preserve"> briefing </w:t>
      </w:r>
      <w:r w:rsidR="00BE08A2">
        <w:t xml:space="preserve">paper </w:t>
      </w:r>
      <w:r>
        <w:t xml:space="preserve">highlights key outcomes </w:t>
      </w:r>
      <w:r w:rsidR="00BE08A2">
        <w:t>from</w:t>
      </w:r>
      <w:r>
        <w:t xml:space="preserve"> a fuller</w:t>
      </w:r>
      <w:r w:rsidRPr="6406B247">
        <w:t xml:space="preserve"> analysis of</w:t>
      </w:r>
      <w:r>
        <w:t xml:space="preserve"> the</w:t>
      </w:r>
      <w:r w:rsidRPr="6406B247">
        <w:t xml:space="preserve"> East Midlands Chamber of Commerce (EMCC)</w:t>
      </w:r>
      <w:r>
        <w:t xml:space="preserve"> Quarterly Economic Survey (QES) from</w:t>
      </w:r>
      <w:r w:rsidRPr="6406B247">
        <w:t xml:space="preserve"> </w:t>
      </w:r>
      <w:r w:rsidR="001807D3" w:rsidRPr="00F33C90">
        <w:rPr>
          <w:color w:val="000000" w:themeColor="text1"/>
        </w:rPr>
        <w:t>February</w:t>
      </w:r>
      <w:r w:rsidRPr="00D552BC">
        <w:rPr>
          <w:color w:val="FF0000"/>
        </w:rPr>
        <w:t xml:space="preserve"> </w:t>
      </w:r>
      <w:r w:rsidRPr="6406B247">
        <w:t>202</w:t>
      </w:r>
      <w:r>
        <w:t xml:space="preserve">1 </w:t>
      </w:r>
      <w:r w:rsidRPr="6406B247">
        <w:t xml:space="preserve">by the University of Derby Business School (DBS). </w:t>
      </w:r>
      <w:r>
        <w:t>Whilst the QES routinely explores</w:t>
      </w:r>
      <w:r w:rsidRPr="6406B247">
        <w:t xml:space="preserve"> a range of business interests, this analysis </w:t>
      </w:r>
      <w:r>
        <w:t xml:space="preserve">refers to </w:t>
      </w:r>
      <w:r w:rsidRPr="6406B247">
        <w:t xml:space="preserve">a series of questions that </w:t>
      </w:r>
      <w:r>
        <w:t>focused on</w:t>
      </w:r>
      <w:r w:rsidRPr="6406B247">
        <w:t xml:space="preserve"> companies’ awareness and engagement with </w:t>
      </w:r>
      <w:r>
        <w:t>the clean growth agenda</w:t>
      </w:r>
      <w:r w:rsidRPr="6406B247">
        <w:t xml:space="preserve"> and the degree to which they supply and benefit from low carbon and environmental goods and services (LCEGS). </w:t>
      </w:r>
    </w:p>
    <w:p w14:paraId="544A0C22" w14:textId="3F4471D5" w:rsidR="00FE50C5" w:rsidRDefault="00FE50C5" w:rsidP="00FE50C5">
      <w:r>
        <w:t>The survey received 451 responses, representing a continuous rise in the number of responses since the survey was fi</w:t>
      </w:r>
      <w:r w:rsidR="001807D3">
        <w:t>rs</w:t>
      </w:r>
      <w:r>
        <w:t>t launched in 2015</w:t>
      </w:r>
      <w:r w:rsidR="004C64A3">
        <w:t xml:space="preserve"> </w:t>
      </w:r>
      <w:r w:rsidR="00BE08A2">
        <w:t>(</w:t>
      </w:r>
      <w:r>
        <w:t>346</w:t>
      </w:r>
      <w:r w:rsidR="004C64A3">
        <w:t xml:space="preserve"> responses)</w:t>
      </w:r>
      <w:r>
        <w:t xml:space="preserve">. </w:t>
      </w:r>
      <w:r w:rsidR="004C64A3">
        <w:t>Respondents represented b</w:t>
      </w:r>
      <w:r>
        <w:t>usiness</w:t>
      </w:r>
      <w:r w:rsidR="004C64A3">
        <w:t>es</w:t>
      </w:r>
      <w:r>
        <w:t xml:space="preserve"> from Derbyshire, Nottinghamshire, Leicestershire, with exactly half of the responses coming from two broad </w:t>
      </w:r>
      <w:proofErr w:type="gramStart"/>
      <w:r>
        <w:t>sectors;</w:t>
      </w:r>
      <w:proofErr w:type="gramEnd"/>
      <w:r>
        <w:t xml:space="preserve"> Engineering &amp; Manufacturing (24%) and Professional Services (26%). </w:t>
      </w:r>
      <w:r w:rsidR="004C64A3">
        <w:t xml:space="preserve"> In 2021, significantly more micro-companies replied</w:t>
      </w:r>
      <w:r w:rsidR="00A142C5">
        <w:t xml:space="preserve"> to the survey</w:t>
      </w:r>
      <w:r w:rsidR="004C64A3">
        <w:t xml:space="preserve"> (47%) compared to 2020 (34%). </w:t>
      </w:r>
    </w:p>
    <w:p w14:paraId="37C044E6" w14:textId="42D1F29F" w:rsidR="00FE50C5" w:rsidRDefault="004C64A3" w:rsidP="00FE50C5">
      <w:r>
        <w:rPr>
          <w:noProof/>
        </w:rPr>
        <w:drawing>
          <wp:anchor distT="0" distB="0" distL="114300" distR="114300" simplePos="0" relativeHeight="251661312" behindDoc="0" locked="0" layoutInCell="1" allowOverlap="1" wp14:anchorId="72EF1E15" wp14:editId="01FE1EF0">
            <wp:simplePos x="0" y="0"/>
            <wp:positionH relativeFrom="column">
              <wp:posOffset>-60960</wp:posOffset>
            </wp:positionH>
            <wp:positionV relativeFrom="paragraph">
              <wp:posOffset>59460</wp:posOffset>
            </wp:positionV>
            <wp:extent cx="2476500" cy="1805940"/>
            <wp:effectExtent l="0" t="0" r="0" b="3810"/>
            <wp:wrapThrough wrapText="bothSides">
              <wp:wrapPolygon edited="0">
                <wp:start x="0" y="0"/>
                <wp:lineTo x="0" y="21418"/>
                <wp:lineTo x="21434" y="21418"/>
                <wp:lineTo x="21434" y="0"/>
                <wp:lineTo x="0" y="0"/>
              </wp:wrapPolygon>
            </wp:wrapThrough>
            <wp:docPr id="14" name="Chart 14">
              <a:extLst xmlns:a="http://schemas.openxmlformats.org/drawingml/2006/main">
                <a:ext uri="{FF2B5EF4-FFF2-40B4-BE49-F238E27FC236}">
                  <a16:creationId xmlns:a16="http://schemas.microsoft.com/office/drawing/2014/main" id="{467B2375-A6BB-4E4A-B964-53DAAB41A5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FE50C5">
        <w:rPr>
          <w:noProof/>
        </w:rPr>
        <mc:AlternateContent>
          <mc:Choice Requires="wps">
            <w:drawing>
              <wp:anchor distT="0" distB="0" distL="114300" distR="114300" simplePos="0" relativeHeight="251662336" behindDoc="0" locked="0" layoutInCell="1" allowOverlap="1" wp14:anchorId="122E6473" wp14:editId="28CD004E">
                <wp:simplePos x="0" y="0"/>
                <wp:positionH relativeFrom="column">
                  <wp:posOffset>-914920</wp:posOffset>
                </wp:positionH>
                <wp:positionV relativeFrom="paragraph">
                  <wp:posOffset>1927860</wp:posOffset>
                </wp:positionV>
                <wp:extent cx="3200400" cy="635"/>
                <wp:effectExtent l="0" t="0" r="0" b="0"/>
                <wp:wrapThrough wrapText="bothSides">
                  <wp:wrapPolygon edited="0">
                    <wp:start x="0" y="0"/>
                    <wp:lineTo x="0" y="21600"/>
                    <wp:lineTo x="21600" y="21600"/>
                    <wp:lineTo x="21600" y="0"/>
                  </wp:wrapPolygon>
                </wp:wrapThrough>
                <wp:docPr id="9" name="Text Box 9"/>
                <wp:cNvGraphicFramePr/>
                <a:graphic xmlns:a="http://schemas.openxmlformats.org/drawingml/2006/main">
                  <a:graphicData uri="http://schemas.microsoft.com/office/word/2010/wordprocessingShape">
                    <wps:wsp>
                      <wps:cNvSpPr txBox="1"/>
                      <wps:spPr>
                        <a:xfrm>
                          <a:off x="0" y="0"/>
                          <a:ext cx="3200400" cy="635"/>
                        </a:xfrm>
                        <a:prstGeom prst="rect">
                          <a:avLst/>
                        </a:prstGeom>
                        <a:solidFill>
                          <a:prstClr val="white"/>
                        </a:solidFill>
                        <a:ln>
                          <a:noFill/>
                        </a:ln>
                      </wps:spPr>
                      <wps:txbx>
                        <w:txbxContent>
                          <w:p w14:paraId="6C0B5A65" w14:textId="058B2E17" w:rsidR="00FE50C5" w:rsidRPr="00475456" w:rsidRDefault="00FE50C5" w:rsidP="00FE50C5">
                            <w:pPr>
                              <w:pStyle w:val="Caption"/>
                            </w:pPr>
                            <w:r>
                              <w:t xml:space="preserve">Figure </w:t>
                            </w:r>
                            <w:r w:rsidR="0053739C">
                              <w:t>1 -</w:t>
                            </w:r>
                            <w:r>
                              <w:t xml:space="preserve"> Companies per size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22E6473" id="_x0000_t202" coordsize="21600,21600" o:spt="202" path="m,l,21600r21600,l21600,xe">
                <v:stroke joinstyle="miter"/>
                <v:path gradientshapeok="t" o:connecttype="rect"/>
              </v:shapetype>
              <v:shape id="Text Box 9" o:spid="_x0000_s1026" type="#_x0000_t202" style="position:absolute;margin-left:-72.05pt;margin-top:151.8pt;width:252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" stroked="f">
                <v:textbox style="mso-fit-shape-to-text:t" inset="0,0,0,0">
                  <w:txbxContent>
                    <w:p w14:paraId="6C0B5A65" w14:textId="058B2E17" w:rsidR="00FE50C5" w:rsidRPr="00475456" w:rsidRDefault="00FE50C5" w:rsidP="00FE50C5">
                      <w:pPr>
                        <w:pStyle w:val="Caption"/>
                      </w:pPr>
                      <w:r>
                        <w:t xml:space="preserve">Figure </w:t>
                      </w:r>
                      <w:r w:rsidR="0053739C">
                        <w:t>1 -</w:t>
                      </w:r>
                      <w:r>
                        <w:t xml:space="preserve"> Companies per size</w:t>
                      </w:r>
                    </w:p>
                  </w:txbxContent>
                </v:textbox>
                <w10:wrap type="through"/>
              </v:shape>
            </w:pict>
          </mc:Fallback>
        </mc:AlternateContent>
      </w:r>
      <w:r w:rsidR="00FE50C5" w:rsidRPr="00EE1DEC">
        <w:t>In this fast-moving arena, the terminology used by economic commentators is shifting. Previously</w:t>
      </w:r>
      <w:r w:rsidR="00FE50C5">
        <w:t>,</w:t>
      </w:r>
      <w:r w:rsidR="00FE50C5" w:rsidRPr="00EE1DEC">
        <w:t xml:space="preserve"> the Department for Business Innovation and Science used ‘LCEGS’ as an umbrella term to capture a range of </w:t>
      </w:r>
      <w:r w:rsidR="00FE50C5">
        <w:t xml:space="preserve">business </w:t>
      </w:r>
      <w:r w:rsidR="00FE50C5" w:rsidRPr="00EE1DEC">
        <w:t>activities</w:t>
      </w:r>
      <w:r w:rsidR="00FE50C5">
        <w:t>,</w:t>
      </w:r>
      <w:r w:rsidR="00FE50C5" w:rsidRPr="00EE1DEC">
        <w:t xml:space="preserve"> spread across many existing sectors </w:t>
      </w:r>
      <w:r w:rsidR="00FE50C5">
        <w:t>(</w:t>
      </w:r>
      <w:r w:rsidR="00FE50C5" w:rsidRPr="00EE1DEC">
        <w:t>like transport, construction, energy etc</w:t>
      </w:r>
      <w:r w:rsidR="00FE50C5">
        <w:t>.) that</w:t>
      </w:r>
      <w:r w:rsidR="00FE50C5" w:rsidRPr="00EE1DEC">
        <w:t xml:space="preserve"> focused upon the common purpose of reducing environmental impact (DBIS, 201</w:t>
      </w:r>
      <w:r w:rsidR="00BE08A2">
        <w:t>5</w:t>
      </w:r>
      <w:r w:rsidR="00FE50C5" w:rsidRPr="00EE1DEC">
        <w:t>). However, the Office for National Statistics (ONS) now distinguishes between the Low Carbon and Renewable Energy Economy (LCRE) and the Environmental Goods and Services Sector (EGSS).</w:t>
      </w:r>
      <w:r w:rsidR="00BE08A2">
        <w:t xml:space="preserve"> </w:t>
      </w:r>
      <w:r w:rsidR="00FE50C5" w:rsidRPr="00EE1DEC">
        <w:lastRenderedPageBreak/>
        <w:t>Throughout this report we refer to ‘pro-environmental business’; a term that reflects the</w:t>
      </w:r>
      <w:r>
        <w:t xml:space="preserve"> </w:t>
      </w:r>
      <w:r w:rsidR="00FE50C5" w:rsidRPr="00EE1DEC">
        <w:t>broadest range of environmentally driven business practices.</w:t>
      </w:r>
    </w:p>
    <w:p w14:paraId="66200F82" w14:textId="77777777" w:rsidR="00FE50C5" w:rsidRDefault="00FE50C5" w:rsidP="00FE50C5">
      <w:pPr>
        <w:pStyle w:val="Heading2"/>
      </w:pPr>
      <w:r>
        <w:t xml:space="preserve">Clean Growth - </w:t>
      </w:r>
      <w:r w:rsidRPr="006A3029">
        <w:t>Turnover generated from low carbon good</w:t>
      </w:r>
      <w:r>
        <w:t>s</w:t>
      </w:r>
      <w:r w:rsidRPr="006A3029">
        <w:t xml:space="preserve"> and services</w:t>
      </w:r>
    </w:p>
    <w:p w14:paraId="448189F2" w14:textId="7D3DBB8C" w:rsidR="00FE50C5" w:rsidRPr="002E6927" w:rsidRDefault="0053739C" w:rsidP="00FE50C5">
      <w:pPr>
        <w:rPr>
          <w:highlight w:val="yellow"/>
        </w:rPr>
      </w:pPr>
      <w:r>
        <w:rPr>
          <w:noProof/>
        </w:rPr>
        <mc:AlternateContent>
          <mc:Choice Requires="wps">
            <w:drawing>
              <wp:anchor distT="0" distB="0" distL="114300" distR="114300" simplePos="0" relativeHeight="251664384" behindDoc="0" locked="0" layoutInCell="1" allowOverlap="1" wp14:anchorId="087D289E" wp14:editId="188D35EE">
                <wp:simplePos x="0" y="0"/>
                <wp:positionH relativeFrom="column">
                  <wp:posOffset>45720</wp:posOffset>
                </wp:positionH>
                <wp:positionV relativeFrom="paragraph">
                  <wp:posOffset>2047875</wp:posOffset>
                </wp:positionV>
                <wp:extent cx="3131820" cy="299085"/>
                <wp:effectExtent l="0" t="0" r="5080" b="5715"/>
                <wp:wrapThrough wrapText="bothSides">
                  <wp:wrapPolygon edited="0">
                    <wp:start x="0" y="0"/>
                    <wp:lineTo x="0" y="21096"/>
                    <wp:lineTo x="21547" y="21096"/>
                    <wp:lineTo x="21547"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3131820" cy="299085"/>
                        </a:xfrm>
                        <a:prstGeom prst="rect">
                          <a:avLst/>
                        </a:prstGeom>
                        <a:solidFill>
                          <a:prstClr val="white"/>
                        </a:solidFill>
                        <a:ln>
                          <a:noFill/>
                        </a:ln>
                      </wps:spPr>
                      <wps:txbx>
                        <w:txbxContent>
                          <w:p w14:paraId="0A97B474" w14:textId="43C24C2B" w:rsidR="00FE50C5" w:rsidRPr="006B608F" w:rsidRDefault="00FE50C5" w:rsidP="00FE50C5">
                            <w:pPr>
                              <w:pStyle w:val="Caption"/>
                              <w:jc w:val="center"/>
                            </w:pPr>
                            <w:r w:rsidRPr="000337D1">
                              <w:t xml:space="preserve">Figure </w:t>
                            </w:r>
                            <w:r w:rsidR="0053739C">
                              <w:t>2</w:t>
                            </w:r>
                            <w:r w:rsidRPr="000337D1">
                              <w:t xml:space="preserve"> </w:t>
                            </w:r>
                            <w:r w:rsidR="0053739C">
                              <w:t xml:space="preserve">- </w:t>
                            </w:r>
                            <w:r w:rsidRPr="000337D1">
                              <w:t>Turnover generated from low carbon goods and services, QES</w:t>
                            </w:r>
                            <w:r w:rsidR="0053739C">
                              <w:t xml:space="preserve">1 </w:t>
                            </w:r>
                            <w:r w:rsidRPr="000337D1">
                              <w:t>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D289E" id="Text Box 13" o:spid="_x0000_s1027" type="#_x0000_t202" style="position:absolute;margin-left:3.6pt;margin-top:161.25pt;width:246.6pt;height:2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" stroked="f">
                <v:textbox inset="0,0,0,0">
                  <w:txbxContent>
                    <w:p w14:paraId="0A97B474" w14:textId="43C24C2B" w:rsidR="00FE50C5" w:rsidRPr="006B608F" w:rsidRDefault="00FE50C5" w:rsidP="00FE50C5">
                      <w:pPr>
                        <w:pStyle w:val="Caption"/>
                        <w:jc w:val="center"/>
                      </w:pPr>
                      <w:r w:rsidRPr="000337D1">
                        <w:t xml:space="preserve">Figure </w:t>
                      </w:r>
                      <w:r w:rsidR="0053739C">
                        <w:t>2</w:t>
                      </w:r>
                      <w:r w:rsidRPr="000337D1">
                        <w:t xml:space="preserve"> </w:t>
                      </w:r>
                      <w:r w:rsidR="0053739C">
                        <w:t xml:space="preserve">- </w:t>
                      </w:r>
                      <w:r w:rsidRPr="000337D1">
                        <w:t>Turnover generated from low carbon goods and services, QES</w:t>
                      </w:r>
                      <w:r w:rsidR="0053739C">
                        <w:t xml:space="preserve">1 </w:t>
                      </w:r>
                      <w:r w:rsidRPr="000337D1">
                        <w:t>2021</w:t>
                      </w:r>
                    </w:p>
                  </w:txbxContent>
                </v:textbox>
                <w10:wrap type="through"/>
              </v:shape>
            </w:pict>
          </mc:Fallback>
        </mc:AlternateContent>
      </w:r>
      <w:r w:rsidR="00FE50C5" w:rsidRPr="00BE08A2">
        <w:t xml:space="preserve">37% of businesses in the study generated part of their turnover from </w:t>
      </w:r>
      <w:r w:rsidR="00AE0D1E" w:rsidRPr="00BE08A2">
        <w:t xml:space="preserve">low carbon and </w:t>
      </w:r>
      <w:r w:rsidR="00FE50C5" w:rsidRPr="00BE08A2">
        <w:t>pro-environmental goods and services in 2020-21,</w:t>
      </w:r>
      <w:r w:rsidR="00EE4003" w:rsidRPr="00BE08A2">
        <w:t xml:space="preserve"> up from 31% in 2020</w:t>
      </w:r>
      <w:r w:rsidR="00AE0D1E" w:rsidRPr="00BE08A2">
        <w:t>.</w:t>
      </w:r>
      <w:r w:rsidR="00FE50C5" w:rsidRPr="00BE08A2">
        <w:t xml:space="preserve"> </w:t>
      </w:r>
      <w:r w:rsidR="00FE50C5">
        <w:rPr>
          <w:noProof/>
        </w:rPr>
        <w:drawing>
          <wp:anchor distT="0" distB="0" distL="114300" distR="114300" simplePos="0" relativeHeight="251663360" behindDoc="0" locked="0" layoutInCell="1" allowOverlap="1" wp14:anchorId="45FEB038" wp14:editId="56BB391F">
            <wp:simplePos x="0" y="0"/>
            <wp:positionH relativeFrom="column">
              <wp:posOffset>0</wp:posOffset>
            </wp:positionH>
            <wp:positionV relativeFrom="paragraph">
              <wp:posOffset>-1905</wp:posOffset>
            </wp:positionV>
            <wp:extent cx="3177540" cy="1935480"/>
            <wp:effectExtent l="0" t="0" r="3810" b="7620"/>
            <wp:wrapThrough wrapText="bothSides">
              <wp:wrapPolygon edited="0">
                <wp:start x="0" y="0"/>
                <wp:lineTo x="0" y="21472"/>
                <wp:lineTo x="21496" y="21472"/>
                <wp:lineTo x="21496" y="0"/>
                <wp:lineTo x="0" y="0"/>
              </wp:wrapPolygon>
            </wp:wrapThrough>
            <wp:docPr id="12" name="Chart 12">
              <a:extLst xmlns:a="http://schemas.openxmlformats.org/drawingml/2006/main">
                <a:ext uri="{FF2B5EF4-FFF2-40B4-BE49-F238E27FC236}">
                  <a16:creationId xmlns:a16="http://schemas.microsoft.com/office/drawing/2014/main" id="{CE915E10-6C2B-4406-9358-231BB66FE8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FE50C5">
        <w:t xml:space="preserve">The data comparing the proportion of the turnover generated from pro-environmental goods and services </w:t>
      </w:r>
      <w:r w:rsidR="00BE08A2">
        <w:t>with reference to</w:t>
      </w:r>
      <w:r w:rsidR="00FE50C5">
        <w:t xml:space="preserve"> company size is presented in Figure </w:t>
      </w:r>
      <w:r w:rsidR="00735688">
        <w:t>3</w:t>
      </w:r>
      <w:r w:rsidR="00FE50C5">
        <w:t xml:space="preserve">. </w:t>
      </w:r>
      <w:r w:rsidR="00AE0D1E">
        <w:t>The table shows</w:t>
      </w:r>
      <w:r w:rsidR="00FE50C5">
        <w:t xml:space="preserve"> that large</w:t>
      </w:r>
      <w:r w:rsidR="00AE0D1E">
        <w:t xml:space="preserve"> and medium sized companies</w:t>
      </w:r>
      <w:r w:rsidR="00FE50C5">
        <w:t xml:space="preserve"> </w:t>
      </w:r>
      <w:r w:rsidR="002E6927">
        <w:t>are more likely to draw turnover from LCEGS</w:t>
      </w:r>
      <w:r w:rsidR="00FE50C5">
        <w:t xml:space="preserve"> (52%</w:t>
      </w:r>
      <w:r w:rsidR="00AE0D1E">
        <w:t xml:space="preserve"> &amp; 51</w:t>
      </w:r>
      <w:r w:rsidR="002E6927">
        <w:t>%) than micro and small businesses (31% &amp; 36% respectively)</w:t>
      </w:r>
      <w:r w:rsidR="00FE50C5">
        <w:t xml:space="preserve">. </w:t>
      </w:r>
      <w:r w:rsidR="002E6927" w:rsidRPr="00BE08A2">
        <w:t>Whilst there was a 3% decline in the 80-100% turnover category</w:t>
      </w:r>
      <w:r w:rsidR="002E6927">
        <w:t xml:space="preserve"> overall, it</w:t>
      </w:r>
      <w:r w:rsidR="00FE50C5">
        <w:t xml:space="preserve"> is interesting to </w:t>
      </w:r>
      <w:r w:rsidR="002E6927">
        <w:t>note</w:t>
      </w:r>
      <w:r w:rsidR="00FE50C5">
        <w:t xml:space="preserve"> that 14% of large businesses responded that </w:t>
      </w:r>
      <w:r w:rsidR="00FE50C5" w:rsidRPr="00DF77B7">
        <w:t xml:space="preserve">80-100% of their turnover came from </w:t>
      </w:r>
      <w:r w:rsidR="00FE50C5">
        <w:t>pro-environmental goods and services</w:t>
      </w:r>
      <w:r w:rsidR="00AE0D1E">
        <w:t xml:space="preserve">, up significantly from </w:t>
      </w:r>
      <w:r w:rsidR="002E6927">
        <w:t xml:space="preserve">only 4% in </w:t>
      </w:r>
      <w:r w:rsidR="00AE0D1E">
        <w:t>2020</w:t>
      </w:r>
      <w:r w:rsidR="002E6927">
        <w:t>.</w:t>
      </w:r>
      <w:r w:rsidR="00FE50C5" w:rsidRPr="00DF77B7">
        <w:t xml:space="preserve"> </w:t>
      </w:r>
    </w:p>
    <w:p w14:paraId="3895EBF8" w14:textId="77777777" w:rsidR="00FE50C5" w:rsidRDefault="00FE50C5" w:rsidP="00FE50C5">
      <w:r>
        <w:rPr>
          <w:noProof/>
        </w:rPr>
        <w:drawing>
          <wp:inline distT="0" distB="0" distL="0" distR="0" wp14:anchorId="678B3FDD" wp14:editId="641DE6D0">
            <wp:extent cx="6080760" cy="3230880"/>
            <wp:effectExtent l="0" t="0" r="15240" b="7620"/>
            <wp:docPr id="16" name="Chart 16">
              <a:extLst xmlns:a="http://schemas.openxmlformats.org/drawingml/2006/main">
                <a:ext uri="{FF2B5EF4-FFF2-40B4-BE49-F238E27FC236}">
                  <a16:creationId xmlns:a16="http://schemas.microsoft.com/office/drawing/2014/main" id="{546E02A7-9E77-4131-972D-E0DC419D0C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A8A67E0" w14:textId="264E7E2A" w:rsidR="00FE50C5" w:rsidRDefault="00FE50C5" w:rsidP="00FE50C5">
      <w:pPr>
        <w:pStyle w:val="Caption"/>
        <w:rPr>
          <w:b/>
          <w:sz w:val="24"/>
          <w:szCs w:val="24"/>
        </w:rPr>
      </w:pPr>
      <w:r>
        <w:t xml:space="preserve">Figure </w:t>
      </w:r>
      <w:r w:rsidR="0053739C">
        <w:t>3</w:t>
      </w:r>
      <w:r>
        <w:t xml:space="preserve"> </w:t>
      </w:r>
      <w:r w:rsidR="0053739C">
        <w:t xml:space="preserve">- </w:t>
      </w:r>
      <w:r>
        <w:t>Percentage</w:t>
      </w:r>
      <w:r w:rsidRPr="007D46ED">
        <w:t xml:space="preserve"> turnover generated by the LCGS – analysis by size</w:t>
      </w:r>
    </w:p>
    <w:p w14:paraId="10FEFA50" w14:textId="11952585" w:rsidR="00FE50C5" w:rsidRDefault="00FE50C5" w:rsidP="002B7122">
      <w:pPr>
        <w:pStyle w:val="Heading2"/>
      </w:pPr>
      <w:r>
        <w:t>Comparative analysis of pro-environmental goods and services turnover (2015 – 2021)</w:t>
      </w:r>
    </w:p>
    <w:p w14:paraId="5096E364" w14:textId="6DA38B67" w:rsidR="00FE50C5" w:rsidRDefault="00FE50C5" w:rsidP="002E6927">
      <w:pPr>
        <w:spacing w:after="0"/>
      </w:pPr>
      <w:r>
        <w:t xml:space="preserve">A similar survey exploring </w:t>
      </w:r>
      <w:r w:rsidR="002E6927">
        <w:t>LC</w:t>
      </w:r>
      <w:r>
        <w:t xml:space="preserve">EGS trends was carried out in 2015, 2017, 2018 and 2020. Figure </w:t>
      </w:r>
      <w:r w:rsidR="00735688">
        <w:t>4</w:t>
      </w:r>
      <w:r>
        <w:t xml:space="preserve"> shows </w:t>
      </w:r>
      <w:r w:rsidR="008325DD">
        <w:t xml:space="preserve">that </w:t>
      </w:r>
      <w:r>
        <w:t>the percentage of businesses deriving some turnover from pro-environmental goods and services increas</w:t>
      </w:r>
      <w:r w:rsidR="008325DD">
        <w:t>ed</w:t>
      </w:r>
      <w:r>
        <w:t xml:space="preserve"> from 16% in 2015 to 37% in 2021, </w:t>
      </w:r>
      <w:r w:rsidR="008325DD">
        <w:t>with one quarter</w:t>
      </w:r>
      <w:r>
        <w:t xml:space="preserve"> of businesses deriving</w:t>
      </w:r>
      <w:r w:rsidR="008325DD">
        <w:t xml:space="preserve"> at least</w:t>
      </w:r>
      <w:r>
        <w:t xml:space="preserve"> 1-19% of their turnover from </w:t>
      </w:r>
      <w:r w:rsidR="00BE08A2">
        <w:t xml:space="preserve">the </w:t>
      </w:r>
      <w:r>
        <w:t>LC</w:t>
      </w:r>
      <w:r w:rsidR="00BE08A2">
        <w:t>E</w:t>
      </w:r>
      <w:r>
        <w:t xml:space="preserve">GS sector in 2021, compared with 8% in 2015. Given that this is a routine survey by the </w:t>
      </w:r>
      <w:r w:rsidR="00BE08A2">
        <w:t>East Midlands Chamber that</w:t>
      </w:r>
      <w:r>
        <w:t xml:space="preserve"> target</w:t>
      </w:r>
      <w:r w:rsidR="00BE08A2">
        <w:t>s</w:t>
      </w:r>
      <w:r>
        <w:t xml:space="preserve"> the whole range of businesses in the region, this trend reflects a positive shift towards low carbon goods and services provision over the past six years</w:t>
      </w:r>
      <w:r w:rsidR="008325DD">
        <w:t>.</w:t>
      </w:r>
    </w:p>
    <w:p w14:paraId="479E42C1" w14:textId="77777777" w:rsidR="00FE50C5" w:rsidRDefault="00FE50C5" w:rsidP="00FE50C5">
      <w:r w:rsidRPr="003E46D9">
        <w:rPr>
          <w:noProof/>
        </w:rPr>
        <w:lastRenderedPageBreak/>
        <w:drawing>
          <wp:inline distT="0" distB="0" distL="0" distR="0" wp14:anchorId="3BD462DB" wp14:editId="5DE15162">
            <wp:extent cx="6088380" cy="3177540"/>
            <wp:effectExtent l="0" t="0" r="7620" b="3810"/>
            <wp:docPr id="20" name="Chart 20">
              <a:extLst xmlns:a="http://schemas.openxmlformats.org/drawingml/2006/main">
                <a:ext uri="{FF2B5EF4-FFF2-40B4-BE49-F238E27FC236}">
                  <a16:creationId xmlns:a16="http://schemas.microsoft.com/office/drawing/2014/main" id="{F676E76C-1219-4875-ABFA-76051E5361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D73AE46" w14:textId="4E0AD3B5" w:rsidR="00FE50C5" w:rsidRDefault="00FE50C5" w:rsidP="00FE50C5">
      <w:pPr>
        <w:pStyle w:val="Caption"/>
      </w:pPr>
      <w:r>
        <w:t xml:space="preserve">Figure </w:t>
      </w:r>
      <w:r w:rsidR="0053739C">
        <w:t>4</w:t>
      </w:r>
      <w:r>
        <w:t xml:space="preserve"> </w:t>
      </w:r>
      <w:r w:rsidR="0053739C">
        <w:t xml:space="preserve">- </w:t>
      </w:r>
      <w:r>
        <w:t>Turnover generated by supplying low carbon good and services - Comparative analysis</w:t>
      </w:r>
    </w:p>
    <w:p w14:paraId="79F163D5" w14:textId="77777777" w:rsidR="00FE50C5" w:rsidRDefault="00FE50C5" w:rsidP="00FE50C5">
      <w:pPr>
        <w:pStyle w:val="Heading2"/>
      </w:pPr>
      <w:r>
        <w:rPr>
          <w:rFonts w:eastAsia="Times New Roman"/>
        </w:rPr>
        <w:t>Business views about the Clean Growth policy landscape</w:t>
      </w:r>
    </w:p>
    <w:p w14:paraId="7A4B85AF" w14:textId="34F17BD3" w:rsidR="00FE50C5" w:rsidRDefault="00FE50C5" w:rsidP="00FE50C5">
      <w:r>
        <w:t xml:space="preserve">Respondents were asked to respond to a series of statements about the clean growth policy landscape on a scale between ‘totally agree’ to ‘totally disagree’ (Figure </w:t>
      </w:r>
      <w:r w:rsidR="00735688">
        <w:t>5</w:t>
      </w:r>
      <w:r>
        <w:t>)</w:t>
      </w:r>
      <w:r w:rsidR="008325DD">
        <w:t xml:space="preserve"> that </w:t>
      </w:r>
      <w:r>
        <w:t xml:space="preserve">provided some </w:t>
      </w:r>
      <w:r w:rsidRPr="00CA6943">
        <w:rPr>
          <w:color w:val="000000" w:themeColor="text1"/>
        </w:rPr>
        <w:t xml:space="preserve">interesting </w:t>
      </w:r>
      <w:r w:rsidR="008325DD" w:rsidRPr="00CA6943">
        <w:rPr>
          <w:color w:val="000000" w:themeColor="text1"/>
        </w:rPr>
        <w:t>findings</w:t>
      </w:r>
      <w:r w:rsidRPr="00CA6943">
        <w:rPr>
          <w:color w:val="000000" w:themeColor="text1"/>
        </w:rPr>
        <w:t xml:space="preserve">. </w:t>
      </w:r>
      <w:r w:rsidR="002B7122">
        <w:t xml:space="preserve"> </w:t>
      </w:r>
      <w:r w:rsidR="00AE570B">
        <w:t>43% of the businesses revealed they have used business support in the past or currently (23%)</w:t>
      </w:r>
      <w:r w:rsidR="00CA6943">
        <w:t>, b</w:t>
      </w:r>
      <w:r w:rsidR="00AE570B">
        <w:t>ut w</w:t>
      </w:r>
      <w:r>
        <w:t>hilst nearly half (49%) of businesses said they knew how to access business support in their locality</w:t>
      </w:r>
      <w:r w:rsidR="00AE570B">
        <w:t xml:space="preserve">, </w:t>
      </w:r>
      <w:r w:rsidR="00AE570B" w:rsidRPr="00CA6943">
        <w:t>only 21% of the companies said they were well informed about support available for clean growth.</w:t>
      </w:r>
      <w:r w:rsidR="00AE570B">
        <w:t xml:space="preserve"> </w:t>
      </w:r>
      <w:r>
        <w:t xml:space="preserve"> </w:t>
      </w:r>
      <w:r w:rsidR="00AE570B">
        <w:t>Similarly, whilst</w:t>
      </w:r>
      <w:r>
        <w:t xml:space="preserve"> 42% of businesses confirmed they have a good understanding about clean growth policy, </w:t>
      </w:r>
      <w:r w:rsidR="00AE570B">
        <w:t>o</w:t>
      </w:r>
      <w:r>
        <w:t>nly 19% of the survey respondents agreed th</w:t>
      </w:r>
      <w:r w:rsidR="008325DD">
        <w:t>a</w:t>
      </w:r>
      <w:r>
        <w:t>t the current policy landscape allows bu</w:t>
      </w:r>
      <w:r w:rsidR="00AE570B">
        <w:t>si</w:t>
      </w:r>
      <w:r>
        <w:t>nesses to effectively engage with the clean growth agenda.</w:t>
      </w:r>
      <w:r w:rsidR="00AE570B">
        <w:t xml:space="preserve"> </w:t>
      </w:r>
      <w:r>
        <w:t xml:space="preserve">These responses indicate there is more to be done to raise awareness and promote engagement with </w:t>
      </w:r>
      <w:r w:rsidR="008B2EB9">
        <w:t xml:space="preserve">the range of </w:t>
      </w:r>
      <w:r>
        <w:t xml:space="preserve">pro-environmental business support </w:t>
      </w:r>
      <w:r w:rsidR="008B2EB9">
        <w:t xml:space="preserve">across the region </w:t>
      </w:r>
      <w:r>
        <w:t xml:space="preserve">and the clean growth </w:t>
      </w:r>
      <w:r w:rsidR="00CA6943">
        <w:t xml:space="preserve">policy </w:t>
      </w:r>
      <w:r>
        <w:t>agenda</w:t>
      </w:r>
      <w:r w:rsidR="008B2EB9">
        <w:t xml:space="preserve"> more widely</w:t>
      </w:r>
      <w:r>
        <w:t>.</w:t>
      </w:r>
    </w:p>
    <w:p w14:paraId="638C18C1" w14:textId="2F280D0B" w:rsidR="00FE50C5" w:rsidRPr="002B7122" w:rsidRDefault="00FE50C5" w:rsidP="002B7122">
      <w:pPr>
        <w:jc w:val="right"/>
        <w:rPr>
          <w:i/>
          <w:iCs/>
          <w:sz w:val="18"/>
          <w:szCs w:val="18"/>
        </w:rPr>
      </w:pPr>
      <w:r>
        <w:rPr>
          <w:noProof/>
        </w:rPr>
        <w:drawing>
          <wp:inline distT="0" distB="0" distL="0" distR="0" wp14:anchorId="27FC1709" wp14:editId="0D0C8678">
            <wp:extent cx="6225540" cy="2750820"/>
            <wp:effectExtent l="0" t="0" r="3810" b="11430"/>
            <wp:docPr id="28" name="Chart 28">
              <a:extLst xmlns:a="http://schemas.openxmlformats.org/drawingml/2006/main">
                <a:ext uri="{FF2B5EF4-FFF2-40B4-BE49-F238E27FC236}">
                  <a16:creationId xmlns:a16="http://schemas.microsoft.com/office/drawing/2014/main" id="{472F100F-190C-4508-9984-FC472B2CC8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2B7122">
        <w:rPr>
          <w:i/>
          <w:iCs/>
          <w:color w:val="767171" w:themeColor="background2" w:themeShade="80"/>
          <w:sz w:val="18"/>
          <w:szCs w:val="18"/>
        </w:rPr>
        <w:t xml:space="preserve">Figure </w:t>
      </w:r>
      <w:r w:rsidR="0053739C">
        <w:rPr>
          <w:i/>
          <w:iCs/>
          <w:color w:val="767171" w:themeColor="background2" w:themeShade="80"/>
          <w:sz w:val="18"/>
          <w:szCs w:val="18"/>
        </w:rPr>
        <w:t>5 -</w:t>
      </w:r>
      <w:r w:rsidRPr="002B7122">
        <w:rPr>
          <w:i/>
          <w:iCs/>
          <w:color w:val="767171" w:themeColor="background2" w:themeShade="80"/>
          <w:sz w:val="18"/>
          <w:szCs w:val="18"/>
        </w:rPr>
        <w:t xml:space="preserve"> Clean growth policy landscape</w:t>
      </w:r>
    </w:p>
    <w:p w14:paraId="109E9F73" w14:textId="77777777" w:rsidR="00FE50C5" w:rsidRPr="00C325C6" w:rsidRDefault="00FE50C5" w:rsidP="00FE50C5">
      <w:pPr>
        <w:pStyle w:val="Heading2"/>
      </w:pPr>
      <w:r>
        <w:lastRenderedPageBreak/>
        <w:t>Clean</w:t>
      </w:r>
      <w:r w:rsidRPr="00C325C6">
        <w:t xml:space="preserve"> growth strategies</w:t>
      </w:r>
    </w:p>
    <w:p w14:paraId="3057B181" w14:textId="2BF6ADE5" w:rsidR="00FE50C5" w:rsidRDefault="00FE50C5" w:rsidP="00FE50C5">
      <w:r>
        <w:t>To explore the clean growth strategies of the companies in the East Midlands region, respondents were asked to answer a series of statements about the</w:t>
      </w:r>
      <w:r w:rsidR="00CA6943">
        <w:t>ir</w:t>
      </w:r>
      <w:r>
        <w:t xml:space="preserve"> clean growth strategies on a scale between ‘We have not considered this’ to ‘This is already part of our growth strategies’ (Figure </w:t>
      </w:r>
      <w:r w:rsidR="00735688">
        <w:t>6</w:t>
      </w:r>
      <w:r>
        <w:t xml:space="preserve">). 36% of the respondents indicated that they had either ‘considered </w:t>
      </w:r>
      <w:r w:rsidR="005530C3">
        <w:t>[clean growth]</w:t>
      </w:r>
      <w:r>
        <w:t xml:space="preserve"> and are starting to develop activity’ (15%) or</w:t>
      </w:r>
      <w:r w:rsidR="005530C3">
        <w:t xml:space="preserve"> clean growth</w:t>
      </w:r>
      <w:r>
        <w:t xml:space="preserve"> ‘is already part of our growth strategies’ (21%), which </w:t>
      </w:r>
      <w:r w:rsidR="00CA6943">
        <w:t xml:space="preserve">is </w:t>
      </w:r>
      <w:r w:rsidR="00B95C99">
        <w:t xml:space="preserve">an increase from 29% in 2020 and </w:t>
      </w:r>
      <w:r w:rsidR="00CA6943">
        <w:t>consistent with</w:t>
      </w:r>
      <w:r>
        <w:t xml:space="preserve"> the data from Figure 3 (</w:t>
      </w:r>
      <w:r w:rsidR="00B95C99">
        <w:t xml:space="preserve">which showed that </w:t>
      </w:r>
      <w:r>
        <w:t>37% of firms deriving some turnover from supplying pro-environmental goods or services).</w:t>
      </w:r>
    </w:p>
    <w:p w14:paraId="2F417A94" w14:textId="77777777" w:rsidR="00FE50C5" w:rsidRDefault="00FE50C5" w:rsidP="00FE50C5">
      <w:r>
        <w:rPr>
          <w:noProof/>
        </w:rPr>
        <w:drawing>
          <wp:inline distT="0" distB="0" distL="0" distR="0" wp14:anchorId="071DED78" wp14:editId="222BC812">
            <wp:extent cx="5730240" cy="2720340"/>
            <wp:effectExtent l="0" t="0" r="3810" b="3810"/>
            <wp:docPr id="3" name="Chart 3">
              <a:extLst xmlns:a="http://schemas.openxmlformats.org/drawingml/2006/main">
                <a:ext uri="{FF2B5EF4-FFF2-40B4-BE49-F238E27FC236}">
                  <a16:creationId xmlns:a16="http://schemas.microsoft.com/office/drawing/2014/main" id="{3907A1A4-0FDC-47F5-B271-79E811BAFA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E085C00" w14:textId="684F4F28" w:rsidR="00FE50C5" w:rsidRDefault="00FE50C5" w:rsidP="00FE50C5">
      <w:pPr>
        <w:pStyle w:val="Caption"/>
      </w:pPr>
      <w:r>
        <w:t xml:space="preserve">Figure </w:t>
      </w:r>
      <w:r w:rsidR="0053739C">
        <w:t>6</w:t>
      </w:r>
      <w:r>
        <w:t xml:space="preserve"> - Green growth strategies </w:t>
      </w:r>
    </w:p>
    <w:p w14:paraId="6DB714C3" w14:textId="5FF020C3" w:rsidR="008A4A12" w:rsidRDefault="00FE50C5" w:rsidP="00FE50C5">
      <w:r>
        <w:t>The</w:t>
      </w:r>
      <w:r w:rsidR="008A4A12">
        <w:t>re is also a clear positive trend</w:t>
      </w:r>
      <w:r w:rsidR="00735688">
        <w:t xml:space="preserve"> seen in</w:t>
      </w:r>
      <w:r w:rsidR="008A4A12">
        <w:t xml:space="preserve"> the</w:t>
      </w:r>
      <w:r>
        <w:t xml:space="preserve"> percentage of businesses </w:t>
      </w:r>
      <w:r w:rsidR="008A4A12">
        <w:t xml:space="preserve">already </w:t>
      </w:r>
      <w:r>
        <w:t>consider</w:t>
      </w:r>
      <w:r w:rsidR="008B2EB9">
        <w:t>ing</w:t>
      </w:r>
      <w:r>
        <w:t xml:space="preserve"> the green economy in their growth strategies</w:t>
      </w:r>
      <w:r w:rsidR="00735688">
        <w:t>,</w:t>
      </w:r>
      <w:r>
        <w:t xml:space="preserve"> increas</w:t>
      </w:r>
      <w:r w:rsidR="008B2EB9">
        <w:t>ing</w:t>
      </w:r>
      <w:r>
        <w:t xml:space="preserve"> from 10% </w:t>
      </w:r>
      <w:r w:rsidR="008A4A12">
        <w:t xml:space="preserve">in 2018 </w:t>
      </w:r>
      <w:r>
        <w:t xml:space="preserve">to 21% in 2021. </w:t>
      </w:r>
      <w:r w:rsidR="008A4A12">
        <w:t>Similarly, c</w:t>
      </w:r>
      <w:r>
        <w:t>ompanies that had never considered clean growth decreas</w:t>
      </w:r>
      <w:r w:rsidR="008A4A12">
        <w:t>ed</w:t>
      </w:r>
      <w:r>
        <w:t xml:space="preserve"> from 36% in 2018 to 23% in 2021</w:t>
      </w:r>
      <w:r w:rsidR="008A4A12">
        <w:t>.</w:t>
      </w:r>
    </w:p>
    <w:p w14:paraId="7597E09C" w14:textId="4AB54125" w:rsidR="008A4A12" w:rsidRDefault="005530C3" w:rsidP="00FE50C5">
      <w:r>
        <w:t>L</w:t>
      </w:r>
      <w:r w:rsidR="008A4A12">
        <w:t xml:space="preserve">ess positive is the data showing that in 2021, 23% of businesses surveyed have not considered the opportunities presented by clean growth at all and </w:t>
      </w:r>
      <w:r w:rsidR="008B2EB9">
        <w:t xml:space="preserve">that </w:t>
      </w:r>
      <w:r w:rsidR="008A4A12">
        <w:t>22% of the businesses surveyed had explored the opportunities but did not think they were worth pursuing</w:t>
      </w:r>
      <w:r>
        <w:t xml:space="preserve"> (up from 14% in 2018)</w:t>
      </w:r>
      <w:r w:rsidR="008A4A12">
        <w:t>.</w:t>
      </w:r>
    </w:p>
    <w:p w14:paraId="5AA8D9DB" w14:textId="62FCE904" w:rsidR="00FE50C5" w:rsidRDefault="00FE50C5" w:rsidP="00FE50C5">
      <w:r>
        <w:t xml:space="preserve">The analysis of these responses by company size </w:t>
      </w:r>
      <w:r w:rsidR="00735688">
        <w:t xml:space="preserve">(Figure 7) </w:t>
      </w:r>
      <w:r>
        <w:t xml:space="preserve">is also </w:t>
      </w:r>
      <w:r w:rsidR="005530C3">
        <w:t>insightful</w:t>
      </w:r>
      <w:r>
        <w:t xml:space="preserve"> and reflects trends described in the academic literature (Baranova et al., 2020). Namely, that larger companies appear to be well in advance of their smaller counterparts, in respect of their strategic approach to clean growth; with 62% of large companies either incorporating clean growth or developing clean growth strategies, compared with only 27% of micro businesses, 38% of small and 51% of medium-sized firms. </w:t>
      </w:r>
    </w:p>
    <w:p w14:paraId="1ABA92D5" w14:textId="77777777" w:rsidR="00FE50C5" w:rsidRDefault="00FE50C5" w:rsidP="00FE50C5">
      <w:r>
        <w:rPr>
          <w:noProof/>
        </w:rPr>
        <w:lastRenderedPageBreak/>
        <w:drawing>
          <wp:inline distT="0" distB="0" distL="0" distR="0" wp14:anchorId="04A72C37" wp14:editId="1C57ED02">
            <wp:extent cx="5731510" cy="4404360"/>
            <wp:effectExtent l="0" t="0" r="2540" b="15240"/>
            <wp:docPr id="4" name="Chart 4">
              <a:extLst xmlns:a="http://schemas.openxmlformats.org/drawingml/2006/main">
                <a:ext uri="{FF2B5EF4-FFF2-40B4-BE49-F238E27FC236}">
                  <a16:creationId xmlns:a16="http://schemas.microsoft.com/office/drawing/2014/main" id="{B3F404D0-6944-4775-B4B5-6F75A65DAC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29FBAEB" w14:textId="251C7BD7" w:rsidR="00FE50C5" w:rsidRDefault="00FE50C5" w:rsidP="00FE50C5">
      <w:pPr>
        <w:pStyle w:val="Caption"/>
      </w:pPr>
      <w:r>
        <w:t xml:space="preserve">Figure </w:t>
      </w:r>
      <w:r w:rsidR="0053739C">
        <w:t>7</w:t>
      </w:r>
      <w:r>
        <w:t xml:space="preserve"> - Green growth strategies by company size</w:t>
      </w:r>
    </w:p>
    <w:p w14:paraId="51BC14A3" w14:textId="77777777" w:rsidR="00FE50C5" w:rsidRDefault="00FE50C5" w:rsidP="00FE50C5">
      <w:pPr>
        <w:pStyle w:val="Heading3"/>
      </w:pPr>
      <w:r>
        <w:t>Areas of business that need strengthening</w:t>
      </w:r>
    </w:p>
    <w:p w14:paraId="05A712F4" w14:textId="057FBFED" w:rsidR="00C5716B" w:rsidRDefault="00735688">
      <w:r>
        <w:rPr>
          <w:noProof/>
        </w:rPr>
        <mc:AlternateContent>
          <mc:Choice Requires="wps">
            <w:drawing>
              <wp:anchor distT="0" distB="0" distL="114300" distR="114300" simplePos="0" relativeHeight="251666432" behindDoc="0" locked="0" layoutInCell="1" allowOverlap="1" wp14:anchorId="13D44D61" wp14:editId="5CFCC274">
                <wp:simplePos x="0" y="0"/>
                <wp:positionH relativeFrom="column">
                  <wp:posOffset>2781300</wp:posOffset>
                </wp:positionH>
                <wp:positionV relativeFrom="paragraph">
                  <wp:posOffset>3219450</wp:posOffset>
                </wp:positionV>
                <wp:extent cx="1828800" cy="248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248400"/>
                        </a:xfrm>
                        <a:prstGeom prst="rect">
                          <a:avLst/>
                        </a:prstGeom>
                        <a:noFill/>
                        <a:ln w="6350">
                          <a:noFill/>
                        </a:ln>
                      </wps:spPr>
                      <wps:txbx>
                        <w:txbxContent>
                          <w:p w14:paraId="0F54E280" w14:textId="77777777" w:rsidR="00735688" w:rsidRPr="00AC5234" w:rsidRDefault="00735688" w:rsidP="00AC5234">
                            <w:pPr>
                              <w:pStyle w:val="Caption"/>
                            </w:pPr>
                            <w:r>
                              <w:t xml:space="preserve">Table </w:t>
                            </w:r>
                            <w:r>
                              <w:fldChar w:fldCharType="begin"/>
                            </w:r>
                            <w:r>
                              <w:instrText xml:space="preserve"> SEQ Table \* ARABIC </w:instrText>
                            </w:r>
                            <w:r>
                              <w:fldChar w:fldCharType="separate"/>
                            </w:r>
                            <w:r>
                              <w:t>1</w:t>
                            </w:r>
                            <w:r>
                              <w:fldChar w:fldCharType="end"/>
                            </w:r>
                            <w:r w:rsidRPr="003B771E">
                              <w:t xml:space="preserve"> Pro-environmental business areas to be strengthened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D44D61" id="Text Box 1" o:spid="_x0000_s1028" type="#_x0000_t202" style="position:absolute;margin-left:219pt;margin-top:253.5pt;width:2in;height:19.5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" filled="f" stroked="f" strokeweight=".5pt">
                <v:fill o:detectmouseclick="t"/>
                <v:textbox>
                  <w:txbxContent>
                    <w:p w14:paraId="0F54E280" w14:textId="77777777" w:rsidR="00735688" w:rsidRPr="00AC5234" w:rsidRDefault="00735688" w:rsidP="00AC5234">
                      <w:pPr>
                        <w:pStyle w:val="Caption"/>
                      </w:pPr>
                      <w:r>
                        <w:t xml:space="preserve">Table </w:t>
                      </w:r>
                      <w:r>
                        <w:fldChar w:fldCharType="begin"/>
                      </w:r>
                      <w:r>
                        <w:instrText xml:space="preserve"> SEQ Table \* ARABIC </w:instrText>
                      </w:r>
                      <w:r>
                        <w:fldChar w:fldCharType="separate"/>
                      </w:r>
                      <w:r>
                        <w:t>1</w:t>
                      </w:r>
                      <w:r>
                        <w:fldChar w:fldCharType="end"/>
                      </w:r>
                      <w:r w:rsidRPr="003B771E">
                        <w:t xml:space="preserve"> Pro-environmental business areas to be strengthened</w:t>
                      </w:r>
                    </w:p>
                  </w:txbxContent>
                </v:textbox>
                <w10:wrap type="square"/>
              </v:shape>
            </w:pict>
          </mc:Fallback>
        </mc:AlternateContent>
      </w:r>
      <w:r w:rsidR="00FE50C5">
        <w:t>When asked which of 18 listed areas their own business needed to be strengthened to capitalise on clean growth opportunities, we found that there was a strong focus on within-business efficiencies. Resource efficiency, energy efficiency</w:t>
      </w:r>
      <w:r>
        <w:t>,</w:t>
      </w:r>
      <w:r w:rsidR="00FE50C5">
        <w:t xml:space="preserve"> use of renewables and waste were considered the most important areas needing to be strengthened</w:t>
      </w:r>
      <w:r w:rsidR="00C5716B">
        <w:t xml:space="preserve"> (Table 1)</w:t>
      </w:r>
      <w:r w:rsidR="00FE50C5">
        <w:t>. With ‘leadership’, ‘environmental strategy’</w:t>
      </w:r>
      <w:r w:rsidR="00B95C99">
        <w:t>,</w:t>
      </w:r>
      <w:r w:rsidR="00FE50C5">
        <w:t xml:space="preserve"> ‘innovation support and knowledge management’ following closely behind. </w:t>
      </w:r>
    </w:p>
    <w:tbl>
      <w:tblPr>
        <w:tblStyle w:val="TableGrid"/>
        <w:tblW w:w="9014" w:type="dxa"/>
        <w:tblLayout w:type="fixed"/>
        <w:tblLook w:val="04A0" w:firstRow="1" w:lastRow="0" w:firstColumn="1" w:lastColumn="0" w:noHBand="0" w:noVBand="1"/>
      </w:tblPr>
      <w:tblGrid>
        <w:gridCol w:w="3251"/>
        <w:gridCol w:w="1316"/>
        <w:gridCol w:w="3078"/>
        <w:gridCol w:w="1369"/>
      </w:tblGrid>
      <w:tr w:rsidR="00FE50C5" w14:paraId="7C129749" w14:textId="77777777" w:rsidTr="002B7122">
        <w:tc>
          <w:tcPr>
            <w:tcW w:w="3251" w:type="dxa"/>
            <w:tcBorders>
              <w:top w:val="single" w:sz="8" w:space="0" w:color="auto"/>
              <w:left w:val="single" w:sz="8" w:space="0" w:color="auto"/>
              <w:bottom w:val="single" w:sz="8" w:space="0" w:color="auto"/>
              <w:right w:val="single" w:sz="8" w:space="0" w:color="auto"/>
            </w:tcBorders>
            <w:shd w:val="clear" w:color="auto" w:fill="E7E6E6" w:themeFill="background2"/>
          </w:tcPr>
          <w:p w14:paraId="7348AD1E" w14:textId="77777777" w:rsidR="00FE50C5" w:rsidRPr="002B7122" w:rsidRDefault="00FE50C5" w:rsidP="00D73042">
            <w:pPr>
              <w:rPr>
                <w:b/>
                <w:bCs/>
              </w:rPr>
            </w:pPr>
            <w:r w:rsidRPr="002B7122">
              <w:rPr>
                <w:rFonts w:ascii="Calibri" w:eastAsia="Calibri" w:hAnsi="Calibri" w:cs="Calibri"/>
                <w:b/>
                <w:bCs/>
                <w:sz w:val="18"/>
                <w:szCs w:val="18"/>
              </w:rPr>
              <w:t>Competences</w:t>
            </w:r>
          </w:p>
        </w:tc>
        <w:tc>
          <w:tcPr>
            <w:tcW w:w="1316" w:type="dxa"/>
            <w:tcBorders>
              <w:top w:val="single" w:sz="8" w:space="0" w:color="auto"/>
              <w:left w:val="single" w:sz="8" w:space="0" w:color="auto"/>
              <w:bottom w:val="single" w:sz="8" w:space="0" w:color="auto"/>
              <w:right w:val="single" w:sz="8" w:space="0" w:color="auto"/>
            </w:tcBorders>
            <w:shd w:val="clear" w:color="auto" w:fill="E7E6E6" w:themeFill="background2"/>
          </w:tcPr>
          <w:p w14:paraId="46264FB5" w14:textId="63617D05" w:rsidR="00FE50C5" w:rsidRPr="002B7122" w:rsidRDefault="002B7122" w:rsidP="00D73042">
            <w:pPr>
              <w:rPr>
                <w:b/>
                <w:bCs/>
              </w:rPr>
            </w:pPr>
            <w:r w:rsidRPr="002B7122">
              <w:rPr>
                <w:rFonts w:ascii="Calibri" w:eastAsia="Calibri" w:hAnsi="Calibri" w:cs="Calibri"/>
                <w:b/>
                <w:bCs/>
                <w:sz w:val="18"/>
                <w:szCs w:val="18"/>
              </w:rPr>
              <w:t xml:space="preserve">% </w:t>
            </w:r>
            <w:r w:rsidR="00FE50C5" w:rsidRPr="002B7122">
              <w:rPr>
                <w:rFonts w:ascii="Calibri" w:eastAsia="Calibri" w:hAnsi="Calibri" w:cs="Calibri"/>
                <w:b/>
                <w:bCs/>
                <w:sz w:val="18"/>
                <w:szCs w:val="18"/>
              </w:rPr>
              <w:t xml:space="preserve">Agreement </w:t>
            </w:r>
          </w:p>
        </w:tc>
        <w:tc>
          <w:tcPr>
            <w:tcW w:w="3078" w:type="dxa"/>
            <w:tcBorders>
              <w:top w:val="single" w:sz="8" w:space="0" w:color="auto"/>
              <w:left w:val="single" w:sz="8" w:space="0" w:color="auto"/>
              <w:bottom w:val="single" w:sz="8" w:space="0" w:color="auto"/>
              <w:right w:val="single" w:sz="8" w:space="0" w:color="auto"/>
            </w:tcBorders>
            <w:shd w:val="clear" w:color="auto" w:fill="E7E6E6" w:themeFill="background2"/>
          </w:tcPr>
          <w:p w14:paraId="46CCBDAD" w14:textId="77777777" w:rsidR="00FE50C5" w:rsidRPr="002B7122" w:rsidRDefault="00FE50C5" w:rsidP="00D73042">
            <w:pPr>
              <w:rPr>
                <w:b/>
                <w:bCs/>
              </w:rPr>
            </w:pPr>
            <w:r w:rsidRPr="002B7122">
              <w:rPr>
                <w:rFonts w:ascii="Calibri" w:eastAsia="Calibri" w:hAnsi="Calibri" w:cs="Calibri"/>
                <w:b/>
                <w:bCs/>
                <w:sz w:val="18"/>
                <w:szCs w:val="18"/>
              </w:rPr>
              <w:t>Competences</w:t>
            </w:r>
          </w:p>
        </w:tc>
        <w:tc>
          <w:tcPr>
            <w:tcW w:w="1369" w:type="dxa"/>
            <w:tcBorders>
              <w:top w:val="single" w:sz="8" w:space="0" w:color="auto"/>
              <w:left w:val="single" w:sz="8" w:space="0" w:color="auto"/>
              <w:bottom w:val="single" w:sz="8" w:space="0" w:color="auto"/>
              <w:right w:val="single" w:sz="8" w:space="0" w:color="auto"/>
            </w:tcBorders>
            <w:shd w:val="clear" w:color="auto" w:fill="E7E6E6" w:themeFill="background2"/>
          </w:tcPr>
          <w:p w14:paraId="37957768" w14:textId="45FEF933" w:rsidR="00FE50C5" w:rsidRPr="002B7122" w:rsidRDefault="002B7122" w:rsidP="00D73042">
            <w:pPr>
              <w:jc w:val="center"/>
              <w:rPr>
                <w:rFonts w:ascii="Calibri" w:eastAsia="Calibri" w:hAnsi="Calibri" w:cs="Calibri"/>
                <w:b/>
                <w:bCs/>
                <w:sz w:val="18"/>
                <w:szCs w:val="18"/>
              </w:rPr>
            </w:pPr>
            <w:r w:rsidRPr="002B7122">
              <w:rPr>
                <w:rFonts w:ascii="Calibri" w:eastAsia="Calibri" w:hAnsi="Calibri" w:cs="Calibri"/>
                <w:b/>
                <w:bCs/>
                <w:sz w:val="18"/>
                <w:szCs w:val="18"/>
              </w:rPr>
              <w:t xml:space="preserve">% </w:t>
            </w:r>
            <w:r w:rsidR="00FE50C5" w:rsidRPr="002B7122">
              <w:rPr>
                <w:rFonts w:ascii="Calibri" w:eastAsia="Calibri" w:hAnsi="Calibri" w:cs="Calibri"/>
                <w:b/>
                <w:bCs/>
                <w:sz w:val="18"/>
                <w:szCs w:val="18"/>
              </w:rPr>
              <w:t xml:space="preserve">Agreement </w:t>
            </w:r>
          </w:p>
        </w:tc>
      </w:tr>
      <w:tr w:rsidR="00FE50C5" w14:paraId="3E39AA3C" w14:textId="77777777" w:rsidTr="002B7122">
        <w:tc>
          <w:tcPr>
            <w:tcW w:w="3251" w:type="dxa"/>
            <w:tcBorders>
              <w:top w:val="single" w:sz="8" w:space="0" w:color="auto"/>
              <w:left w:val="single" w:sz="8" w:space="0" w:color="auto"/>
              <w:bottom w:val="single" w:sz="8" w:space="0" w:color="auto"/>
              <w:right w:val="single" w:sz="8" w:space="0" w:color="auto"/>
            </w:tcBorders>
            <w:vAlign w:val="center"/>
          </w:tcPr>
          <w:p w14:paraId="7042C8CC" w14:textId="77777777" w:rsidR="00FE50C5" w:rsidRDefault="00FE50C5" w:rsidP="00D73042">
            <w:pPr>
              <w:rPr>
                <w:rFonts w:ascii="Calibri" w:eastAsia="Calibri" w:hAnsi="Calibri" w:cs="Calibri"/>
                <w:sz w:val="16"/>
                <w:szCs w:val="16"/>
              </w:rPr>
            </w:pPr>
            <w:r w:rsidRPr="4FD7DEEE">
              <w:rPr>
                <w:rFonts w:ascii="Calibri" w:eastAsia="Calibri" w:hAnsi="Calibri" w:cs="Calibri"/>
                <w:sz w:val="16"/>
                <w:szCs w:val="16"/>
              </w:rPr>
              <w:t xml:space="preserve">Resource efficiency </w:t>
            </w:r>
          </w:p>
        </w:tc>
        <w:tc>
          <w:tcPr>
            <w:tcW w:w="1316" w:type="dxa"/>
            <w:tcBorders>
              <w:top w:val="single" w:sz="8" w:space="0" w:color="auto"/>
              <w:left w:val="single" w:sz="8" w:space="0" w:color="auto"/>
              <w:bottom w:val="single" w:sz="8" w:space="0" w:color="auto"/>
              <w:right w:val="single" w:sz="8" w:space="0" w:color="auto"/>
            </w:tcBorders>
          </w:tcPr>
          <w:p w14:paraId="4D1E2EEC" w14:textId="77777777" w:rsidR="00FE50C5" w:rsidRDefault="00FE50C5" w:rsidP="00D73042">
            <w:pPr>
              <w:jc w:val="center"/>
              <w:rPr>
                <w:rFonts w:ascii="Calibri" w:eastAsia="Calibri" w:hAnsi="Calibri" w:cs="Calibri"/>
              </w:rPr>
            </w:pPr>
            <w:r w:rsidRPr="4FD7DEEE">
              <w:rPr>
                <w:rFonts w:ascii="Calibri" w:eastAsia="Calibri" w:hAnsi="Calibri" w:cs="Calibri"/>
              </w:rPr>
              <w:t>54</w:t>
            </w:r>
          </w:p>
        </w:tc>
        <w:tc>
          <w:tcPr>
            <w:tcW w:w="3078" w:type="dxa"/>
            <w:tcBorders>
              <w:top w:val="single" w:sz="8" w:space="0" w:color="auto"/>
              <w:left w:val="single" w:sz="8" w:space="0" w:color="auto"/>
              <w:bottom w:val="single" w:sz="8" w:space="0" w:color="auto"/>
              <w:right w:val="single" w:sz="8" w:space="0" w:color="auto"/>
            </w:tcBorders>
          </w:tcPr>
          <w:p w14:paraId="19FAF478" w14:textId="77777777" w:rsidR="00FE50C5" w:rsidRDefault="00FE50C5" w:rsidP="00D73042">
            <w:r w:rsidRPr="4FD7DEEE">
              <w:rPr>
                <w:rFonts w:ascii="Calibri" w:eastAsia="Calibri" w:hAnsi="Calibri" w:cs="Calibri"/>
                <w:sz w:val="16"/>
                <w:szCs w:val="16"/>
              </w:rPr>
              <w:t xml:space="preserve">Access to green funding and finance </w:t>
            </w:r>
          </w:p>
        </w:tc>
        <w:tc>
          <w:tcPr>
            <w:tcW w:w="1369" w:type="dxa"/>
            <w:tcBorders>
              <w:top w:val="single" w:sz="8" w:space="0" w:color="auto"/>
              <w:left w:val="single" w:sz="8" w:space="0" w:color="auto"/>
              <w:bottom w:val="single" w:sz="8" w:space="0" w:color="auto"/>
              <w:right w:val="single" w:sz="8" w:space="0" w:color="auto"/>
            </w:tcBorders>
          </w:tcPr>
          <w:p w14:paraId="4B81662D" w14:textId="77777777" w:rsidR="00FE50C5" w:rsidRDefault="00FE50C5" w:rsidP="00D73042">
            <w:pPr>
              <w:jc w:val="center"/>
              <w:rPr>
                <w:rFonts w:ascii="Calibri" w:eastAsia="Calibri" w:hAnsi="Calibri" w:cs="Calibri"/>
              </w:rPr>
            </w:pPr>
            <w:r w:rsidRPr="4FD7DEEE">
              <w:rPr>
                <w:rFonts w:ascii="Calibri" w:eastAsia="Calibri" w:hAnsi="Calibri" w:cs="Calibri"/>
              </w:rPr>
              <w:t>38</w:t>
            </w:r>
          </w:p>
        </w:tc>
      </w:tr>
      <w:tr w:rsidR="00FE50C5" w14:paraId="38FDEC22" w14:textId="77777777" w:rsidTr="002B7122">
        <w:tc>
          <w:tcPr>
            <w:tcW w:w="3251" w:type="dxa"/>
            <w:tcBorders>
              <w:top w:val="single" w:sz="8" w:space="0" w:color="auto"/>
              <w:left w:val="single" w:sz="8" w:space="0" w:color="auto"/>
              <w:bottom w:val="single" w:sz="8" w:space="0" w:color="auto"/>
              <w:right w:val="single" w:sz="8" w:space="0" w:color="auto"/>
            </w:tcBorders>
          </w:tcPr>
          <w:p w14:paraId="45448A20" w14:textId="77777777" w:rsidR="00FE50C5" w:rsidRDefault="00FE50C5" w:rsidP="00D73042">
            <w:r w:rsidRPr="4FD7DEEE">
              <w:rPr>
                <w:rFonts w:ascii="Calibri" w:eastAsia="Calibri" w:hAnsi="Calibri" w:cs="Calibri"/>
                <w:sz w:val="16"/>
                <w:szCs w:val="16"/>
              </w:rPr>
              <w:t xml:space="preserve">Energy efficiency and use of renewables </w:t>
            </w:r>
          </w:p>
        </w:tc>
        <w:tc>
          <w:tcPr>
            <w:tcW w:w="1316" w:type="dxa"/>
            <w:tcBorders>
              <w:top w:val="single" w:sz="8" w:space="0" w:color="auto"/>
              <w:left w:val="single" w:sz="8" w:space="0" w:color="auto"/>
              <w:bottom w:val="single" w:sz="8" w:space="0" w:color="auto"/>
              <w:right w:val="single" w:sz="8" w:space="0" w:color="auto"/>
            </w:tcBorders>
          </w:tcPr>
          <w:p w14:paraId="7173CEA8" w14:textId="77777777" w:rsidR="00FE50C5" w:rsidRDefault="00FE50C5" w:rsidP="00D73042">
            <w:pPr>
              <w:jc w:val="center"/>
              <w:rPr>
                <w:rFonts w:ascii="Calibri" w:eastAsia="Calibri" w:hAnsi="Calibri" w:cs="Calibri"/>
              </w:rPr>
            </w:pPr>
            <w:r w:rsidRPr="4FD7DEEE">
              <w:rPr>
                <w:rFonts w:ascii="Calibri" w:eastAsia="Calibri" w:hAnsi="Calibri" w:cs="Calibri"/>
              </w:rPr>
              <w:t>49</w:t>
            </w:r>
          </w:p>
        </w:tc>
        <w:tc>
          <w:tcPr>
            <w:tcW w:w="3078" w:type="dxa"/>
            <w:tcBorders>
              <w:top w:val="single" w:sz="8" w:space="0" w:color="auto"/>
              <w:left w:val="single" w:sz="8" w:space="0" w:color="auto"/>
              <w:bottom w:val="single" w:sz="8" w:space="0" w:color="auto"/>
              <w:right w:val="single" w:sz="8" w:space="0" w:color="auto"/>
            </w:tcBorders>
            <w:vAlign w:val="center"/>
          </w:tcPr>
          <w:p w14:paraId="02CBE57E" w14:textId="77777777" w:rsidR="00FE50C5" w:rsidRDefault="00FE50C5" w:rsidP="00D73042">
            <w:pPr>
              <w:rPr>
                <w:rFonts w:ascii="Calibri" w:eastAsia="Calibri" w:hAnsi="Calibri" w:cs="Calibri"/>
                <w:sz w:val="16"/>
                <w:szCs w:val="16"/>
              </w:rPr>
            </w:pPr>
            <w:r w:rsidRPr="4FD7DEEE">
              <w:rPr>
                <w:rFonts w:ascii="Calibri" w:eastAsia="Calibri" w:hAnsi="Calibri" w:cs="Calibri"/>
                <w:sz w:val="16"/>
                <w:szCs w:val="16"/>
              </w:rPr>
              <w:t xml:space="preserve">Access to business support that drives environmental performance and growth </w:t>
            </w:r>
          </w:p>
        </w:tc>
        <w:tc>
          <w:tcPr>
            <w:tcW w:w="1369" w:type="dxa"/>
            <w:tcBorders>
              <w:top w:val="single" w:sz="8" w:space="0" w:color="auto"/>
              <w:left w:val="single" w:sz="8" w:space="0" w:color="auto"/>
              <w:bottom w:val="single" w:sz="8" w:space="0" w:color="auto"/>
              <w:right w:val="single" w:sz="8" w:space="0" w:color="auto"/>
            </w:tcBorders>
          </w:tcPr>
          <w:p w14:paraId="632FB9F6" w14:textId="77777777" w:rsidR="00FE50C5" w:rsidRDefault="00FE50C5" w:rsidP="00D73042">
            <w:pPr>
              <w:jc w:val="center"/>
              <w:rPr>
                <w:rFonts w:ascii="Calibri" w:eastAsia="Calibri" w:hAnsi="Calibri" w:cs="Calibri"/>
              </w:rPr>
            </w:pPr>
            <w:r w:rsidRPr="4FD7DEEE">
              <w:rPr>
                <w:rFonts w:ascii="Calibri" w:eastAsia="Calibri" w:hAnsi="Calibri" w:cs="Calibri"/>
              </w:rPr>
              <w:t>36</w:t>
            </w:r>
          </w:p>
        </w:tc>
      </w:tr>
      <w:tr w:rsidR="00FE50C5" w14:paraId="4790789E" w14:textId="77777777" w:rsidTr="002B7122">
        <w:tc>
          <w:tcPr>
            <w:tcW w:w="3251" w:type="dxa"/>
            <w:tcBorders>
              <w:top w:val="single" w:sz="8" w:space="0" w:color="auto"/>
              <w:left w:val="single" w:sz="8" w:space="0" w:color="auto"/>
              <w:bottom w:val="single" w:sz="8" w:space="0" w:color="auto"/>
              <w:right w:val="single" w:sz="8" w:space="0" w:color="auto"/>
            </w:tcBorders>
          </w:tcPr>
          <w:p w14:paraId="0058B610" w14:textId="77777777" w:rsidR="00FE50C5" w:rsidRDefault="00FE50C5" w:rsidP="00D73042">
            <w:r w:rsidRPr="4FD7DEEE">
              <w:rPr>
                <w:rFonts w:ascii="Calibri" w:eastAsia="Calibri" w:hAnsi="Calibri" w:cs="Calibri"/>
                <w:sz w:val="16"/>
                <w:szCs w:val="16"/>
              </w:rPr>
              <w:t xml:space="preserve">Waste management </w:t>
            </w:r>
          </w:p>
        </w:tc>
        <w:tc>
          <w:tcPr>
            <w:tcW w:w="1316" w:type="dxa"/>
            <w:tcBorders>
              <w:top w:val="single" w:sz="8" w:space="0" w:color="auto"/>
              <w:left w:val="single" w:sz="8" w:space="0" w:color="auto"/>
              <w:bottom w:val="single" w:sz="8" w:space="0" w:color="auto"/>
              <w:right w:val="single" w:sz="8" w:space="0" w:color="auto"/>
            </w:tcBorders>
          </w:tcPr>
          <w:p w14:paraId="664D31E4" w14:textId="77777777" w:rsidR="00FE50C5" w:rsidRDefault="00FE50C5" w:rsidP="00D73042">
            <w:pPr>
              <w:jc w:val="center"/>
              <w:rPr>
                <w:rFonts w:ascii="Calibri" w:eastAsia="Calibri" w:hAnsi="Calibri" w:cs="Calibri"/>
              </w:rPr>
            </w:pPr>
            <w:r w:rsidRPr="4FD7DEEE">
              <w:rPr>
                <w:rFonts w:ascii="Calibri" w:eastAsia="Calibri" w:hAnsi="Calibri" w:cs="Calibri"/>
              </w:rPr>
              <w:t>47</w:t>
            </w:r>
          </w:p>
        </w:tc>
        <w:tc>
          <w:tcPr>
            <w:tcW w:w="3078" w:type="dxa"/>
            <w:tcBorders>
              <w:top w:val="single" w:sz="8" w:space="0" w:color="auto"/>
              <w:left w:val="single" w:sz="8" w:space="0" w:color="auto"/>
              <w:bottom w:val="single" w:sz="8" w:space="0" w:color="auto"/>
              <w:right w:val="single" w:sz="8" w:space="0" w:color="auto"/>
            </w:tcBorders>
            <w:vAlign w:val="center"/>
          </w:tcPr>
          <w:p w14:paraId="3A7FECDE" w14:textId="77777777" w:rsidR="00FE50C5" w:rsidRDefault="00FE50C5" w:rsidP="00D73042">
            <w:pPr>
              <w:rPr>
                <w:rFonts w:ascii="Calibri" w:eastAsia="Calibri" w:hAnsi="Calibri" w:cs="Calibri"/>
                <w:sz w:val="16"/>
                <w:szCs w:val="16"/>
              </w:rPr>
            </w:pPr>
            <w:r w:rsidRPr="4FD7DEEE">
              <w:rPr>
                <w:rFonts w:ascii="Calibri" w:eastAsia="Calibri" w:hAnsi="Calibri" w:cs="Calibri"/>
                <w:sz w:val="16"/>
                <w:szCs w:val="16"/>
              </w:rPr>
              <w:t xml:space="preserve">Environmental management </w:t>
            </w:r>
          </w:p>
        </w:tc>
        <w:tc>
          <w:tcPr>
            <w:tcW w:w="1369" w:type="dxa"/>
            <w:tcBorders>
              <w:top w:val="single" w:sz="8" w:space="0" w:color="auto"/>
              <w:left w:val="single" w:sz="8" w:space="0" w:color="auto"/>
              <w:bottom w:val="single" w:sz="8" w:space="0" w:color="auto"/>
              <w:right w:val="single" w:sz="8" w:space="0" w:color="auto"/>
            </w:tcBorders>
          </w:tcPr>
          <w:p w14:paraId="58AEDE3C" w14:textId="77777777" w:rsidR="00FE50C5" w:rsidRDefault="00FE50C5" w:rsidP="00D73042">
            <w:pPr>
              <w:jc w:val="center"/>
              <w:rPr>
                <w:rFonts w:ascii="Calibri" w:eastAsia="Calibri" w:hAnsi="Calibri" w:cs="Calibri"/>
              </w:rPr>
            </w:pPr>
            <w:r w:rsidRPr="4FD7DEEE">
              <w:rPr>
                <w:rFonts w:ascii="Calibri" w:eastAsia="Calibri" w:hAnsi="Calibri" w:cs="Calibri"/>
              </w:rPr>
              <w:t>35</w:t>
            </w:r>
          </w:p>
        </w:tc>
      </w:tr>
      <w:tr w:rsidR="00FE50C5" w14:paraId="0F6A762E" w14:textId="77777777" w:rsidTr="002B7122">
        <w:tc>
          <w:tcPr>
            <w:tcW w:w="3251" w:type="dxa"/>
            <w:tcBorders>
              <w:top w:val="single" w:sz="8" w:space="0" w:color="auto"/>
              <w:left w:val="single" w:sz="8" w:space="0" w:color="auto"/>
              <w:bottom w:val="single" w:sz="8" w:space="0" w:color="auto"/>
              <w:right w:val="single" w:sz="8" w:space="0" w:color="auto"/>
            </w:tcBorders>
          </w:tcPr>
          <w:p w14:paraId="0C70108E" w14:textId="77777777" w:rsidR="00FE50C5" w:rsidRDefault="00FE50C5" w:rsidP="00D73042">
            <w:r w:rsidRPr="4FD7DEEE">
              <w:rPr>
                <w:rFonts w:ascii="Calibri" w:eastAsia="Calibri" w:hAnsi="Calibri" w:cs="Calibri"/>
                <w:sz w:val="16"/>
                <w:szCs w:val="16"/>
              </w:rPr>
              <w:t xml:space="preserve">Leadership for sustainability </w:t>
            </w:r>
          </w:p>
        </w:tc>
        <w:tc>
          <w:tcPr>
            <w:tcW w:w="1316" w:type="dxa"/>
            <w:tcBorders>
              <w:top w:val="single" w:sz="8" w:space="0" w:color="auto"/>
              <w:left w:val="single" w:sz="8" w:space="0" w:color="auto"/>
              <w:bottom w:val="single" w:sz="8" w:space="0" w:color="auto"/>
              <w:right w:val="single" w:sz="8" w:space="0" w:color="auto"/>
            </w:tcBorders>
          </w:tcPr>
          <w:p w14:paraId="4237D22E" w14:textId="77777777" w:rsidR="00FE50C5" w:rsidRDefault="00FE50C5" w:rsidP="00D73042">
            <w:pPr>
              <w:jc w:val="center"/>
              <w:rPr>
                <w:rFonts w:ascii="Calibri" w:eastAsia="Calibri" w:hAnsi="Calibri" w:cs="Calibri"/>
              </w:rPr>
            </w:pPr>
            <w:r w:rsidRPr="4FD7DEEE">
              <w:rPr>
                <w:rFonts w:ascii="Calibri" w:eastAsia="Calibri" w:hAnsi="Calibri" w:cs="Calibri"/>
              </w:rPr>
              <w:t>46</w:t>
            </w:r>
          </w:p>
        </w:tc>
        <w:tc>
          <w:tcPr>
            <w:tcW w:w="3078" w:type="dxa"/>
            <w:tcBorders>
              <w:top w:val="single" w:sz="8" w:space="0" w:color="auto"/>
              <w:left w:val="single" w:sz="8" w:space="0" w:color="auto"/>
              <w:bottom w:val="single" w:sz="8" w:space="0" w:color="auto"/>
              <w:right w:val="single" w:sz="8" w:space="0" w:color="auto"/>
            </w:tcBorders>
            <w:vAlign w:val="center"/>
          </w:tcPr>
          <w:p w14:paraId="72870A32" w14:textId="77777777" w:rsidR="00FE50C5" w:rsidRDefault="00FE50C5" w:rsidP="00D73042">
            <w:pPr>
              <w:rPr>
                <w:rFonts w:ascii="Calibri" w:eastAsia="Calibri" w:hAnsi="Calibri" w:cs="Calibri"/>
                <w:sz w:val="16"/>
                <w:szCs w:val="16"/>
              </w:rPr>
            </w:pPr>
            <w:r w:rsidRPr="4FD7DEEE">
              <w:rPr>
                <w:rFonts w:ascii="Calibri" w:eastAsia="Calibri" w:hAnsi="Calibri" w:cs="Calibri"/>
                <w:sz w:val="16"/>
                <w:szCs w:val="16"/>
              </w:rPr>
              <w:t xml:space="preserve">Supply-chain management </w:t>
            </w:r>
          </w:p>
        </w:tc>
        <w:tc>
          <w:tcPr>
            <w:tcW w:w="1369" w:type="dxa"/>
            <w:tcBorders>
              <w:top w:val="single" w:sz="8" w:space="0" w:color="auto"/>
              <w:left w:val="single" w:sz="8" w:space="0" w:color="auto"/>
              <w:bottom w:val="single" w:sz="8" w:space="0" w:color="auto"/>
              <w:right w:val="single" w:sz="8" w:space="0" w:color="auto"/>
            </w:tcBorders>
          </w:tcPr>
          <w:p w14:paraId="419F180D" w14:textId="77777777" w:rsidR="00FE50C5" w:rsidRDefault="00FE50C5" w:rsidP="00D73042">
            <w:pPr>
              <w:jc w:val="center"/>
              <w:rPr>
                <w:rFonts w:ascii="Calibri" w:eastAsia="Calibri" w:hAnsi="Calibri" w:cs="Calibri"/>
              </w:rPr>
            </w:pPr>
            <w:r w:rsidRPr="4FD7DEEE">
              <w:rPr>
                <w:rFonts w:ascii="Calibri" w:eastAsia="Calibri" w:hAnsi="Calibri" w:cs="Calibri"/>
              </w:rPr>
              <w:t>34</w:t>
            </w:r>
          </w:p>
        </w:tc>
      </w:tr>
      <w:tr w:rsidR="00FE50C5" w14:paraId="3CF2B894" w14:textId="77777777" w:rsidTr="002B7122">
        <w:tc>
          <w:tcPr>
            <w:tcW w:w="3251" w:type="dxa"/>
            <w:tcBorders>
              <w:top w:val="single" w:sz="8" w:space="0" w:color="auto"/>
              <w:left w:val="single" w:sz="8" w:space="0" w:color="auto"/>
              <w:bottom w:val="single" w:sz="8" w:space="0" w:color="auto"/>
              <w:right w:val="single" w:sz="8" w:space="0" w:color="auto"/>
            </w:tcBorders>
          </w:tcPr>
          <w:p w14:paraId="024472D2" w14:textId="77777777" w:rsidR="00FE50C5" w:rsidRDefault="00FE50C5" w:rsidP="00D73042">
            <w:r w:rsidRPr="4FD7DEEE">
              <w:rPr>
                <w:rFonts w:ascii="Calibri" w:eastAsia="Calibri" w:hAnsi="Calibri" w:cs="Calibri"/>
                <w:sz w:val="16"/>
                <w:szCs w:val="16"/>
              </w:rPr>
              <w:t xml:space="preserve">Environmental strategy </w:t>
            </w:r>
          </w:p>
        </w:tc>
        <w:tc>
          <w:tcPr>
            <w:tcW w:w="1316" w:type="dxa"/>
            <w:tcBorders>
              <w:top w:val="single" w:sz="8" w:space="0" w:color="auto"/>
              <w:left w:val="single" w:sz="8" w:space="0" w:color="auto"/>
              <w:bottom w:val="single" w:sz="8" w:space="0" w:color="auto"/>
              <w:right w:val="single" w:sz="8" w:space="0" w:color="auto"/>
            </w:tcBorders>
          </w:tcPr>
          <w:p w14:paraId="16F586EF" w14:textId="77777777" w:rsidR="00FE50C5" w:rsidRDefault="00FE50C5" w:rsidP="00D73042">
            <w:pPr>
              <w:jc w:val="center"/>
              <w:rPr>
                <w:rFonts w:ascii="Calibri" w:eastAsia="Calibri" w:hAnsi="Calibri" w:cs="Calibri"/>
              </w:rPr>
            </w:pPr>
            <w:r w:rsidRPr="4FD7DEEE">
              <w:rPr>
                <w:rFonts w:ascii="Calibri" w:eastAsia="Calibri" w:hAnsi="Calibri" w:cs="Calibri"/>
              </w:rPr>
              <w:t>45</w:t>
            </w:r>
          </w:p>
        </w:tc>
        <w:tc>
          <w:tcPr>
            <w:tcW w:w="3078" w:type="dxa"/>
            <w:tcBorders>
              <w:top w:val="single" w:sz="8" w:space="0" w:color="auto"/>
              <w:left w:val="single" w:sz="8" w:space="0" w:color="auto"/>
              <w:bottom w:val="single" w:sz="8" w:space="0" w:color="auto"/>
              <w:right w:val="single" w:sz="8" w:space="0" w:color="auto"/>
            </w:tcBorders>
            <w:vAlign w:val="center"/>
          </w:tcPr>
          <w:p w14:paraId="64462B7B" w14:textId="77777777" w:rsidR="00FE50C5" w:rsidRDefault="00FE50C5" w:rsidP="00D73042">
            <w:pPr>
              <w:rPr>
                <w:rFonts w:ascii="Calibri" w:eastAsia="Calibri" w:hAnsi="Calibri" w:cs="Calibri"/>
                <w:sz w:val="16"/>
                <w:szCs w:val="16"/>
              </w:rPr>
            </w:pPr>
            <w:r w:rsidRPr="4FD7DEEE">
              <w:rPr>
                <w:rFonts w:ascii="Calibri" w:eastAsia="Calibri" w:hAnsi="Calibri" w:cs="Calibri"/>
                <w:sz w:val="16"/>
                <w:szCs w:val="16"/>
              </w:rPr>
              <w:t xml:space="preserve">Green marketing and branding </w:t>
            </w:r>
          </w:p>
        </w:tc>
        <w:tc>
          <w:tcPr>
            <w:tcW w:w="1369" w:type="dxa"/>
            <w:tcBorders>
              <w:top w:val="single" w:sz="8" w:space="0" w:color="auto"/>
              <w:left w:val="single" w:sz="8" w:space="0" w:color="auto"/>
              <w:bottom w:val="single" w:sz="8" w:space="0" w:color="auto"/>
              <w:right w:val="single" w:sz="8" w:space="0" w:color="auto"/>
            </w:tcBorders>
          </w:tcPr>
          <w:p w14:paraId="72FF086A" w14:textId="77777777" w:rsidR="00FE50C5" w:rsidRDefault="00FE50C5" w:rsidP="00D73042">
            <w:pPr>
              <w:jc w:val="center"/>
              <w:rPr>
                <w:rFonts w:ascii="Calibri" w:eastAsia="Calibri" w:hAnsi="Calibri" w:cs="Calibri"/>
              </w:rPr>
            </w:pPr>
            <w:r w:rsidRPr="4FD7DEEE">
              <w:rPr>
                <w:rFonts w:ascii="Calibri" w:eastAsia="Calibri" w:hAnsi="Calibri" w:cs="Calibri"/>
              </w:rPr>
              <w:t>33</w:t>
            </w:r>
          </w:p>
        </w:tc>
      </w:tr>
      <w:tr w:rsidR="00FE50C5" w14:paraId="2AABBF61" w14:textId="77777777" w:rsidTr="002B7122">
        <w:tc>
          <w:tcPr>
            <w:tcW w:w="3251" w:type="dxa"/>
            <w:tcBorders>
              <w:top w:val="single" w:sz="8" w:space="0" w:color="auto"/>
              <w:left w:val="single" w:sz="8" w:space="0" w:color="auto"/>
              <w:bottom w:val="single" w:sz="8" w:space="0" w:color="auto"/>
              <w:right w:val="single" w:sz="8" w:space="0" w:color="auto"/>
            </w:tcBorders>
          </w:tcPr>
          <w:p w14:paraId="469FD929" w14:textId="77777777" w:rsidR="00FE50C5" w:rsidRDefault="00FE50C5" w:rsidP="00D73042">
            <w:r w:rsidRPr="4FD7DEEE">
              <w:rPr>
                <w:rFonts w:ascii="Calibri" w:eastAsia="Calibri" w:hAnsi="Calibri" w:cs="Calibri"/>
                <w:sz w:val="16"/>
                <w:szCs w:val="16"/>
              </w:rPr>
              <w:t xml:space="preserve">Innovation support and knowledge management </w:t>
            </w:r>
          </w:p>
        </w:tc>
        <w:tc>
          <w:tcPr>
            <w:tcW w:w="1316" w:type="dxa"/>
            <w:tcBorders>
              <w:top w:val="single" w:sz="8" w:space="0" w:color="auto"/>
              <w:left w:val="single" w:sz="8" w:space="0" w:color="auto"/>
              <w:bottom w:val="single" w:sz="8" w:space="0" w:color="auto"/>
              <w:right w:val="single" w:sz="8" w:space="0" w:color="auto"/>
            </w:tcBorders>
          </w:tcPr>
          <w:p w14:paraId="7D5ADA19" w14:textId="77777777" w:rsidR="00FE50C5" w:rsidRDefault="00FE50C5" w:rsidP="00D73042">
            <w:pPr>
              <w:jc w:val="center"/>
              <w:rPr>
                <w:rFonts w:ascii="Calibri" w:eastAsia="Calibri" w:hAnsi="Calibri" w:cs="Calibri"/>
              </w:rPr>
            </w:pPr>
            <w:r w:rsidRPr="4FD7DEEE">
              <w:rPr>
                <w:rFonts w:ascii="Calibri" w:eastAsia="Calibri" w:hAnsi="Calibri" w:cs="Calibri"/>
              </w:rPr>
              <w:t>43</w:t>
            </w:r>
          </w:p>
        </w:tc>
        <w:tc>
          <w:tcPr>
            <w:tcW w:w="3078" w:type="dxa"/>
            <w:tcBorders>
              <w:top w:val="single" w:sz="8" w:space="0" w:color="auto"/>
              <w:left w:val="single" w:sz="8" w:space="0" w:color="auto"/>
              <w:bottom w:val="single" w:sz="8" w:space="0" w:color="auto"/>
              <w:right w:val="single" w:sz="8" w:space="0" w:color="auto"/>
            </w:tcBorders>
            <w:vAlign w:val="center"/>
          </w:tcPr>
          <w:p w14:paraId="216DF9FA" w14:textId="77777777" w:rsidR="00FE50C5" w:rsidRDefault="00FE50C5" w:rsidP="00D73042">
            <w:pPr>
              <w:rPr>
                <w:rFonts w:ascii="Calibri" w:eastAsia="Calibri" w:hAnsi="Calibri" w:cs="Calibri"/>
                <w:sz w:val="16"/>
                <w:szCs w:val="16"/>
              </w:rPr>
            </w:pPr>
            <w:r w:rsidRPr="4FD7DEEE">
              <w:rPr>
                <w:rFonts w:ascii="Calibri" w:eastAsia="Calibri" w:hAnsi="Calibri" w:cs="Calibri"/>
                <w:sz w:val="16"/>
                <w:szCs w:val="16"/>
              </w:rPr>
              <w:t xml:space="preserve">Accreditation to an environmental standard </w:t>
            </w:r>
          </w:p>
        </w:tc>
        <w:tc>
          <w:tcPr>
            <w:tcW w:w="1369" w:type="dxa"/>
            <w:tcBorders>
              <w:top w:val="single" w:sz="8" w:space="0" w:color="auto"/>
              <w:left w:val="single" w:sz="8" w:space="0" w:color="auto"/>
              <w:bottom w:val="single" w:sz="8" w:space="0" w:color="auto"/>
              <w:right w:val="single" w:sz="8" w:space="0" w:color="auto"/>
            </w:tcBorders>
          </w:tcPr>
          <w:p w14:paraId="131BC044" w14:textId="77777777" w:rsidR="00FE50C5" w:rsidRDefault="00FE50C5" w:rsidP="00D73042">
            <w:pPr>
              <w:jc w:val="center"/>
              <w:rPr>
                <w:rFonts w:ascii="Calibri" w:eastAsia="Calibri" w:hAnsi="Calibri" w:cs="Calibri"/>
              </w:rPr>
            </w:pPr>
            <w:r w:rsidRPr="4FD7DEEE">
              <w:rPr>
                <w:rFonts w:ascii="Calibri" w:eastAsia="Calibri" w:hAnsi="Calibri" w:cs="Calibri"/>
              </w:rPr>
              <w:t>31</w:t>
            </w:r>
          </w:p>
        </w:tc>
      </w:tr>
      <w:tr w:rsidR="00FE50C5" w14:paraId="59199AC7" w14:textId="77777777" w:rsidTr="002B7122">
        <w:tc>
          <w:tcPr>
            <w:tcW w:w="3251" w:type="dxa"/>
            <w:tcBorders>
              <w:top w:val="single" w:sz="8" w:space="0" w:color="auto"/>
              <w:left w:val="single" w:sz="8" w:space="0" w:color="auto"/>
              <w:bottom w:val="single" w:sz="8" w:space="0" w:color="auto"/>
              <w:right w:val="single" w:sz="8" w:space="0" w:color="auto"/>
            </w:tcBorders>
            <w:vAlign w:val="center"/>
          </w:tcPr>
          <w:p w14:paraId="19D9BB71" w14:textId="77777777" w:rsidR="00FE50C5" w:rsidRDefault="00FE50C5" w:rsidP="00D73042">
            <w:pPr>
              <w:rPr>
                <w:rFonts w:ascii="Calibri" w:eastAsia="Calibri" w:hAnsi="Calibri" w:cs="Calibri"/>
                <w:sz w:val="16"/>
                <w:szCs w:val="16"/>
              </w:rPr>
            </w:pPr>
            <w:r w:rsidRPr="4FD7DEEE">
              <w:rPr>
                <w:rFonts w:ascii="Calibri" w:eastAsia="Calibri" w:hAnsi="Calibri" w:cs="Calibri"/>
                <w:sz w:val="16"/>
                <w:szCs w:val="16"/>
              </w:rPr>
              <w:t xml:space="preserve">Sustainable purchasing and procurement </w:t>
            </w:r>
          </w:p>
        </w:tc>
        <w:tc>
          <w:tcPr>
            <w:tcW w:w="1316" w:type="dxa"/>
            <w:tcBorders>
              <w:top w:val="single" w:sz="8" w:space="0" w:color="auto"/>
              <w:left w:val="single" w:sz="8" w:space="0" w:color="auto"/>
              <w:bottom w:val="single" w:sz="8" w:space="0" w:color="auto"/>
              <w:right w:val="single" w:sz="8" w:space="0" w:color="auto"/>
            </w:tcBorders>
          </w:tcPr>
          <w:p w14:paraId="50F8914D" w14:textId="77777777" w:rsidR="00FE50C5" w:rsidRDefault="00FE50C5" w:rsidP="00D73042">
            <w:pPr>
              <w:jc w:val="center"/>
              <w:rPr>
                <w:rFonts w:ascii="Calibri" w:eastAsia="Calibri" w:hAnsi="Calibri" w:cs="Calibri"/>
              </w:rPr>
            </w:pPr>
            <w:r w:rsidRPr="4FD7DEEE">
              <w:rPr>
                <w:rFonts w:ascii="Calibri" w:eastAsia="Calibri" w:hAnsi="Calibri" w:cs="Calibri"/>
              </w:rPr>
              <w:t>41</w:t>
            </w:r>
          </w:p>
        </w:tc>
        <w:tc>
          <w:tcPr>
            <w:tcW w:w="3078" w:type="dxa"/>
            <w:tcBorders>
              <w:top w:val="single" w:sz="8" w:space="0" w:color="auto"/>
              <w:left w:val="single" w:sz="8" w:space="0" w:color="auto"/>
              <w:bottom w:val="single" w:sz="8" w:space="0" w:color="auto"/>
              <w:right w:val="single" w:sz="8" w:space="0" w:color="auto"/>
            </w:tcBorders>
            <w:vAlign w:val="center"/>
          </w:tcPr>
          <w:p w14:paraId="6AEB1A1A" w14:textId="77777777" w:rsidR="00FE50C5" w:rsidRDefault="00FE50C5" w:rsidP="00D73042">
            <w:pPr>
              <w:rPr>
                <w:rFonts w:ascii="Calibri" w:eastAsia="Calibri" w:hAnsi="Calibri" w:cs="Calibri"/>
                <w:sz w:val="16"/>
                <w:szCs w:val="16"/>
              </w:rPr>
            </w:pPr>
            <w:r w:rsidRPr="4FD7DEEE">
              <w:rPr>
                <w:rFonts w:ascii="Calibri" w:eastAsia="Calibri" w:hAnsi="Calibri" w:cs="Calibri"/>
                <w:sz w:val="16"/>
                <w:szCs w:val="16"/>
              </w:rPr>
              <w:t xml:space="preserve">Access to green skills development opportunities for our workforce </w:t>
            </w:r>
          </w:p>
        </w:tc>
        <w:tc>
          <w:tcPr>
            <w:tcW w:w="1369" w:type="dxa"/>
            <w:tcBorders>
              <w:top w:val="single" w:sz="8" w:space="0" w:color="auto"/>
              <w:left w:val="single" w:sz="8" w:space="0" w:color="auto"/>
              <w:bottom w:val="single" w:sz="8" w:space="0" w:color="auto"/>
              <w:right w:val="single" w:sz="8" w:space="0" w:color="auto"/>
            </w:tcBorders>
          </w:tcPr>
          <w:p w14:paraId="58553D32" w14:textId="77777777" w:rsidR="00FE50C5" w:rsidRDefault="00FE50C5" w:rsidP="00D73042">
            <w:pPr>
              <w:jc w:val="center"/>
              <w:rPr>
                <w:rFonts w:ascii="Calibri" w:eastAsia="Calibri" w:hAnsi="Calibri" w:cs="Calibri"/>
              </w:rPr>
            </w:pPr>
            <w:r w:rsidRPr="4FD7DEEE">
              <w:rPr>
                <w:rFonts w:ascii="Calibri" w:eastAsia="Calibri" w:hAnsi="Calibri" w:cs="Calibri"/>
              </w:rPr>
              <w:t>31</w:t>
            </w:r>
          </w:p>
        </w:tc>
      </w:tr>
      <w:tr w:rsidR="00FE50C5" w14:paraId="4DCD06BF" w14:textId="77777777" w:rsidTr="002B7122">
        <w:tc>
          <w:tcPr>
            <w:tcW w:w="3251" w:type="dxa"/>
            <w:tcBorders>
              <w:top w:val="single" w:sz="8" w:space="0" w:color="auto"/>
              <w:left w:val="single" w:sz="8" w:space="0" w:color="auto"/>
              <w:bottom w:val="single" w:sz="8" w:space="0" w:color="auto"/>
              <w:right w:val="single" w:sz="8" w:space="0" w:color="auto"/>
            </w:tcBorders>
          </w:tcPr>
          <w:p w14:paraId="4653A88C" w14:textId="77777777" w:rsidR="00FE50C5" w:rsidRDefault="00FE50C5" w:rsidP="00D73042">
            <w:r w:rsidRPr="4FD7DEEE">
              <w:rPr>
                <w:rFonts w:ascii="Calibri" w:eastAsia="Calibri" w:hAnsi="Calibri" w:cs="Calibri"/>
                <w:sz w:val="16"/>
                <w:szCs w:val="16"/>
              </w:rPr>
              <w:t xml:space="preserve">Introducing low carbon technologies/processes </w:t>
            </w:r>
          </w:p>
        </w:tc>
        <w:tc>
          <w:tcPr>
            <w:tcW w:w="1316" w:type="dxa"/>
            <w:tcBorders>
              <w:top w:val="single" w:sz="8" w:space="0" w:color="auto"/>
              <w:left w:val="single" w:sz="8" w:space="0" w:color="auto"/>
              <w:bottom w:val="single" w:sz="8" w:space="0" w:color="auto"/>
              <w:right w:val="single" w:sz="8" w:space="0" w:color="auto"/>
            </w:tcBorders>
          </w:tcPr>
          <w:p w14:paraId="1275DE0D" w14:textId="77777777" w:rsidR="00FE50C5" w:rsidRDefault="00FE50C5" w:rsidP="00D73042">
            <w:pPr>
              <w:jc w:val="center"/>
              <w:rPr>
                <w:rFonts w:ascii="Calibri" w:eastAsia="Calibri" w:hAnsi="Calibri" w:cs="Calibri"/>
              </w:rPr>
            </w:pPr>
            <w:r w:rsidRPr="4FD7DEEE">
              <w:rPr>
                <w:rFonts w:ascii="Calibri" w:eastAsia="Calibri" w:hAnsi="Calibri" w:cs="Calibri"/>
              </w:rPr>
              <w:t>39</w:t>
            </w:r>
          </w:p>
        </w:tc>
        <w:tc>
          <w:tcPr>
            <w:tcW w:w="3078" w:type="dxa"/>
            <w:tcBorders>
              <w:top w:val="single" w:sz="8" w:space="0" w:color="auto"/>
              <w:left w:val="single" w:sz="8" w:space="0" w:color="auto"/>
              <w:bottom w:val="single" w:sz="8" w:space="0" w:color="auto"/>
              <w:right w:val="single" w:sz="8" w:space="0" w:color="auto"/>
            </w:tcBorders>
            <w:vAlign w:val="center"/>
          </w:tcPr>
          <w:p w14:paraId="4ED44E5F" w14:textId="77777777" w:rsidR="00FE50C5" w:rsidRDefault="00FE50C5" w:rsidP="00D73042">
            <w:pPr>
              <w:rPr>
                <w:rFonts w:ascii="Calibri" w:eastAsia="Calibri" w:hAnsi="Calibri" w:cs="Calibri"/>
                <w:sz w:val="16"/>
                <w:szCs w:val="16"/>
              </w:rPr>
            </w:pPr>
            <w:r w:rsidRPr="4FD7DEEE">
              <w:rPr>
                <w:rFonts w:ascii="Calibri" w:eastAsia="Calibri" w:hAnsi="Calibri" w:cs="Calibri"/>
                <w:sz w:val="16"/>
                <w:szCs w:val="16"/>
              </w:rPr>
              <w:t xml:space="preserve">Access to pro-environmental networks </w:t>
            </w:r>
          </w:p>
        </w:tc>
        <w:tc>
          <w:tcPr>
            <w:tcW w:w="1369" w:type="dxa"/>
            <w:tcBorders>
              <w:top w:val="single" w:sz="8" w:space="0" w:color="auto"/>
              <w:left w:val="single" w:sz="8" w:space="0" w:color="auto"/>
              <w:bottom w:val="single" w:sz="8" w:space="0" w:color="auto"/>
              <w:right w:val="single" w:sz="8" w:space="0" w:color="auto"/>
            </w:tcBorders>
          </w:tcPr>
          <w:p w14:paraId="41CF6E73" w14:textId="77777777" w:rsidR="00FE50C5" w:rsidRDefault="00FE50C5" w:rsidP="00D73042">
            <w:pPr>
              <w:jc w:val="center"/>
              <w:rPr>
                <w:rFonts w:ascii="Calibri" w:eastAsia="Calibri" w:hAnsi="Calibri" w:cs="Calibri"/>
              </w:rPr>
            </w:pPr>
            <w:r w:rsidRPr="4FD7DEEE">
              <w:rPr>
                <w:rFonts w:ascii="Calibri" w:eastAsia="Calibri" w:hAnsi="Calibri" w:cs="Calibri"/>
              </w:rPr>
              <w:t>29</w:t>
            </w:r>
          </w:p>
        </w:tc>
      </w:tr>
      <w:tr w:rsidR="00FE50C5" w14:paraId="1A24C15D" w14:textId="77777777" w:rsidTr="002B7122">
        <w:tc>
          <w:tcPr>
            <w:tcW w:w="3251" w:type="dxa"/>
            <w:tcBorders>
              <w:top w:val="single" w:sz="8" w:space="0" w:color="auto"/>
              <w:left w:val="single" w:sz="8" w:space="0" w:color="auto"/>
              <w:bottom w:val="single" w:sz="8" w:space="0" w:color="auto"/>
              <w:right w:val="single" w:sz="8" w:space="0" w:color="auto"/>
            </w:tcBorders>
          </w:tcPr>
          <w:p w14:paraId="4D88A67A" w14:textId="77777777" w:rsidR="00FE50C5" w:rsidRDefault="00FE50C5" w:rsidP="00D73042">
            <w:r w:rsidRPr="4FD7DEEE">
              <w:rPr>
                <w:rFonts w:ascii="Calibri" w:eastAsia="Calibri" w:hAnsi="Calibri" w:cs="Calibri"/>
                <w:sz w:val="16"/>
                <w:szCs w:val="16"/>
              </w:rPr>
              <w:t xml:space="preserve">Product service design and development </w:t>
            </w:r>
          </w:p>
        </w:tc>
        <w:tc>
          <w:tcPr>
            <w:tcW w:w="1316" w:type="dxa"/>
            <w:tcBorders>
              <w:top w:val="single" w:sz="8" w:space="0" w:color="auto"/>
              <w:left w:val="single" w:sz="8" w:space="0" w:color="auto"/>
              <w:bottom w:val="single" w:sz="8" w:space="0" w:color="auto"/>
              <w:right w:val="single" w:sz="8" w:space="0" w:color="auto"/>
            </w:tcBorders>
          </w:tcPr>
          <w:p w14:paraId="0E676F0A" w14:textId="77777777" w:rsidR="00FE50C5" w:rsidRDefault="00FE50C5" w:rsidP="00D73042">
            <w:pPr>
              <w:jc w:val="center"/>
              <w:rPr>
                <w:rFonts w:ascii="Calibri" w:eastAsia="Calibri" w:hAnsi="Calibri" w:cs="Calibri"/>
              </w:rPr>
            </w:pPr>
            <w:r w:rsidRPr="4FD7DEEE">
              <w:rPr>
                <w:rFonts w:ascii="Calibri" w:eastAsia="Calibri" w:hAnsi="Calibri" w:cs="Calibri"/>
              </w:rPr>
              <w:t>38</w:t>
            </w:r>
          </w:p>
        </w:tc>
        <w:tc>
          <w:tcPr>
            <w:tcW w:w="3078" w:type="dxa"/>
            <w:tcBorders>
              <w:top w:val="single" w:sz="8" w:space="0" w:color="auto"/>
              <w:left w:val="single" w:sz="8" w:space="0" w:color="auto"/>
              <w:bottom w:val="single" w:sz="8" w:space="0" w:color="auto"/>
              <w:right w:val="single" w:sz="8" w:space="0" w:color="auto"/>
            </w:tcBorders>
            <w:vAlign w:val="center"/>
          </w:tcPr>
          <w:p w14:paraId="311B8882" w14:textId="77777777" w:rsidR="00FE50C5" w:rsidRDefault="00FE50C5" w:rsidP="00D73042">
            <w:pPr>
              <w:rPr>
                <w:rFonts w:ascii="Calibri" w:eastAsia="Calibri" w:hAnsi="Calibri" w:cs="Calibri"/>
                <w:sz w:val="16"/>
                <w:szCs w:val="16"/>
              </w:rPr>
            </w:pPr>
            <w:r w:rsidRPr="4FD7DEEE">
              <w:rPr>
                <w:rFonts w:ascii="Calibri" w:eastAsia="Calibri" w:hAnsi="Calibri" w:cs="Calibri"/>
                <w:sz w:val="16"/>
                <w:szCs w:val="16"/>
              </w:rPr>
              <w:t xml:space="preserve">Engaging with local clean growth networks </w:t>
            </w:r>
          </w:p>
        </w:tc>
        <w:tc>
          <w:tcPr>
            <w:tcW w:w="1369" w:type="dxa"/>
            <w:tcBorders>
              <w:top w:val="single" w:sz="8" w:space="0" w:color="auto"/>
              <w:left w:val="single" w:sz="8" w:space="0" w:color="auto"/>
              <w:bottom w:val="single" w:sz="8" w:space="0" w:color="auto"/>
              <w:right w:val="single" w:sz="8" w:space="0" w:color="auto"/>
            </w:tcBorders>
          </w:tcPr>
          <w:p w14:paraId="0850ADB6" w14:textId="77777777" w:rsidR="00FE50C5" w:rsidRDefault="00FE50C5" w:rsidP="00D73042">
            <w:pPr>
              <w:jc w:val="center"/>
              <w:rPr>
                <w:rFonts w:ascii="Calibri" w:eastAsia="Calibri" w:hAnsi="Calibri" w:cs="Calibri"/>
              </w:rPr>
            </w:pPr>
            <w:r w:rsidRPr="4FD7DEEE">
              <w:rPr>
                <w:rFonts w:ascii="Calibri" w:eastAsia="Calibri" w:hAnsi="Calibri" w:cs="Calibri"/>
              </w:rPr>
              <w:t>28</w:t>
            </w:r>
          </w:p>
        </w:tc>
      </w:tr>
    </w:tbl>
    <w:p w14:paraId="66183F36" w14:textId="7ACF616B" w:rsidR="00735688" w:rsidRDefault="00735688" w:rsidP="00FE50C5">
      <w:pPr>
        <w:pStyle w:val="Heading2"/>
      </w:pPr>
    </w:p>
    <w:p w14:paraId="3FDC4E33" w14:textId="4B95DC22" w:rsidR="00FE50C5" w:rsidRDefault="00FE50C5" w:rsidP="00FE50C5">
      <w:pPr>
        <w:pStyle w:val="Heading2"/>
      </w:pPr>
      <w:r>
        <w:t>In Conclusion</w:t>
      </w:r>
    </w:p>
    <w:p w14:paraId="307D8AED" w14:textId="77777777" w:rsidR="00EE0E75" w:rsidRDefault="00FE50C5" w:rsidP="00FE50C5">
      <w:r>
        <w:t>Our analysis suggests a variety of key implications for firms, business support agencies and policy makers. Firstly</w:t>
      </w:r>
      <w:r w:rsidR="002B7122">
        <w:t>,</w:t>
      </w:r>
      <w:r>
        <w:t xml:space="preserve"> there is a clear positive trend in the proportion of businesses supplying pro-environmental goods and services over the past six years, and a similar positive trend for firms engaging with clean growth – although SMEs </w:t>
      </w:r>
      <w:r w:rsidR="00EE0E75">
        <w:t>lag behind</w:t>
      </w:r>
      <w:r>
        <w:t xml:space="preserve"> large companies in this respect. </w:t>
      </w:r>
      <w:r w:rsidR="009332ED">
        <w:t xml:space="preserve">This year </w:t>
      </w:r>
      <w:r w:rsidR="00EE0E75">
        <w:t xml:space="preserve">there was a significant jump in the proportion of </w:t>
      </w:r>
      <w:r w:rsidR="009332ED">
        <w:t>large companies</w:t>
      </w:r>
      <w:r w:rsidR="00EE0E75">
        <w:t xml:space="preserve"> deriving 80% or more of their turnover from LCEGS which flips the situation in 2020, when</w:t>
      </w:r>
      <w:r w:rsidR="009332ED">
        <w:t xml:space="preserve"> micro companies</w:t>
      </w:r>
      <w:r w:rsidR="009332ED">
        <w:t xml:space="preserve"> h</w:t>
      </w:r>
      <w:r w:rsidR="00EE0E75">
        <w:t>eld</w:t>
      </w:r>
      <w:r w:rsidR="009332ED">
        <w:t xml:space="preserve"> the highest proportion</w:t>
      </w:r>
      <w:r w:rsidR="00EE0E75">
        <w:t xml:space="preserve"> in this category</w:t>
      </w:r>
      <w:r w:rsidR="009332ED">
        <w:t>. Although the numbers in this category are small,</w:t>
      </w:r>
      <w:r>
        <w:t xml:space="preserve"> this trend </w:t>
      </w:r>
      <w:r w:rsidR="009332ED">
        <w:t>suggests a positive influence towards</w:t>
      </w:r>
      <w:r>
        <w:t xml:space="preserve"> greening of supply chains</w:t>
      </w:r>
      <w:r w:rsidR="009332ED">
        <w:t xml:space="preserve"> in general and opportunities for local LCEGS suppliers more specifically</w:t>
      </w:r>
      <w:r>
        <w:t xml:space="preserve">. </w:t>
      </w:r>
    </w:p>
    <w:p w14:paraId="01B0CDED" w14:textId="5C9040F0" w:rsidR="00FE50C5" w:rsidRDefault="00FE50C5" w:rsidP="00FE50C5">
      <w:r>
        <w:t xml:space="preserve">For business support agencies and policy makers </w:t>
      </w:r>
      <w:r w:rsidR="00EE0E75">
        <w:t>the data provides</w:t>
      </w:r>
      <w:r>
        <w:t xml:space="preserve"> an obvious call to re-double their efforts to promote the clean growth agenda amongst SMEs in particular. Further than that, our analysis makes the point that support provision needs to be nuanced and differentiated because the needs of our many micro firms are </w:t>
      </w:r>
      <w:r w:rsidR="009332ED">
        <w:t xml:space="preserve">clearly </w:t>
      </w:r>
      <w:r>
        <w:t>different from larger organisations</w:t>
      </w:r>
      <w:r w:rsidR="009332ED">
        <w:t>, with reference to strategic capability in particular</w:t>
      </w:r>
      <w:r>
        <w:t xml:space="preserve">. </w:t>
      </w:r>
    </w:p>
    <w:p w14:paraId="76D8B6F0" w14:textId="7CC9922D" w:rsidR="00FE50C5" w:rsidRDefault="00FE50C5" w:rsidP="00FE50C5"/>
    <w:p w14:paraId="60C6DD71" w14:textId="77777777" w:rsidR="00C5716B" w:rsidRDefault="00C5716B" w:rsidP="00C5716B">
      <w:pPr>
        <w:pStyle w:val="Heading2"/>
      </w:pPr>
      <w:r>
        <w:t>References</w:t>
      </w:r>
    </w:p>
    <w:p w14:paraId="1086CBE4" w14:textId="1A7D04E6" w:rsidR="00F33C90" w:rsidRPr="00F33C90" w:rsidRDefault="00F33C90" w:rsidP="00F33C90">
      <w:pPr>
        <w:spacing w:after="0" w:line="240" w:lineRule="auto"/>
        <w:rPr>
          <w:rFonts w:eastAsia="Times New Roman" w:cstheme="minorHAnsi"/>
          <w:lang w:eastAsia="en-GB"/>
        </w:rPr>
      </w:pPr>
      <w:r w:rsidRPr="00F33C90">
        <w:rPr>
          <w:rFonts w:eastAsia="Times New Roman" w:cstheme="minorHAnsi"/>
          <w:color w:val="333333"/>
          <w:shd w:val="clear" w:color="auto" w:fill="FFFFFF"/>
          <w:lang w:eastAsia="en-GB"/>
        </w:rPr>
        <w:t xml:space="preserve">Baranova, P, Paterson, F, </w:t>
      </w:r>
      <w:proofErr w:type="spellStart"/>
      <w:r w:rsidRPr="00F33C90">
        <w:rPr>
          <w:rFonts w:eastAsia="Times New Roman" w:cstheme="minorHAnsi"/>
          <w:color w:val="333333"/>
          <w:shd w:val="clear" w:color="auto" w:fill="FFFFFF"/>
          <w:lang w:eastAsia="en-GB"/>
        </w:rPr>
        <w:t>Gallotta</w:t>
      </w:r>
      <w:proofErr w:type="spellEnd"/>
      <w:r w:rsidRPr="00F33C90">
        <w:rPr>
          <w:rFonts w:eastAsia="Times New Roman" w:cstheme="minorHAnsi"/>
          <w:color w:val="333333"/>
          <w:shd w:val="clear" w:color="auto" w:fill="FFFFFF"/>
          <w:lang w:eastAsia="en-GB"/>
        </w:rPr>
        <w:t>, B (2020). 'Configuration of enterprise support towards the clean growth challenge: a place-based perspective'. Local Economy, pp. 1-25.</w:t>
      </w:r>
    </w:p>
    <w:p w14:paraId="7BD5BA79" w14:textId="77777777" w:rsidR="00BE08A2" w:rsidRDefault="00BE08A2" w:rsidP="00BE08A2">
      <w:r>
        <w:t xml:space="preserve">DBIS (2015) </w:t>
      </w:r>
      <w:r w:rsidRPr="00364DA9">
        <w:rPr>
          <w:i/>
          <w:iCs/>
        </w:rPr>
        <w:t>The Size and Performance of the UK Low Carbon Economy: Report for 2010 – 2013</w:t>
      </w:r>
      <w:r>
        <w:t>. HM Government.</w:t>
      </w:r>
    </w:p>
    <w:p w14:paraId="5EB3E7F2" w14:textId="55C9B03D" w:rsidR="00C146F3" w:rsidRDefault="00C146F3" w:rsidP="00C146F3"/>
    <w:p w14:paraId="357AF784" w14:textId="4976573F" w:rsidR="002B7122" w:rsidRDefault="002B7122" w:rsidP="00C146F3"/>
    <w:p w14:paraId="5BFDF2FD" w14:textId="385FAB5A" w:rsidR="002B7122" w:rsidRDefault="002B7122" w:rsidP="00C146F3"/>
    <w:p w14:paraId="493D748F" w14:textId="55AD7C1F" w:rsidR="002B7122" w:rsidRDefault="002B7122" w:rsidP="00C146F3"/>
    <w:p w14:paraId="7B7F99DC" w14:textId="693E7CA3" w:rsidR="002B7122" w:rsidRDefault="002B7122" w:rsidP="00C146F3"/>
    <w:p w14:paraId="1D4072D3" w14:textId="4C81DAEC" w:rsidR="002B7122" w:rsidRDefault="002B7122" w:rsidP="00C146F3"/>
    <w:p w14:paraId="2CB87A82" w14:textId="3C40A0D9" w:rsidR="002B7122" w:rsidRDefault="002B7122" w:rsidP="00C146F3"/>
    <w:p w14:paraId="16677396" w14:textId="19C9F14D" w:rsidR="002B7122" w:rsidRDefault="002B7122" w:rsidP="00C146F3"/>
    <w:p w14:paraId="733AC61A" w14:textId="30CEB6F4" w:rsidR="002B7122" w:rsidRDefault="002B7122" w:rsidP="00C146F3"/>
    <w:p w14:paraId="054D6A83" w14:textId="05FBDC17" w:rsidR="002B7122" w:rsidRDefault="002B7122" w:rsidP="00C146F3"/>
    <w:p w14:paraId="2A37102F" w14:textId="1D74ACE6" w:rsidR="002B7122" w:rsidRDefault="002B7122" w:rsidP="00C146F3"/>
    <w:p w14:paraId="2019B485" w14:textId="152F184D" w:rsidR="002B7122" w:rsidRDefault="002B7122" w:rsidP="00C146F3"/>
    <w:p w14:paraId="4AC40E79" w14:textId="5E6C2341" w:rsidR="002B7122" w:rsidRDefault="002B7122" w:rsidP="00C146F3"/>
    <w:p w14:paraId="4AC1F7D8" w14:textId="2EDBB39B" w:rsidR="002B7122" w:rsidRDefault="002B7122" w:rsidP="00CC787D">
      <w:pPr>
        <w:spacing w:before="100" w:beforeAutospacing="1" w:after="100" w:afterAutospacing="1" w:line="240" w:lineRule="auto"/>
      </w:pPr>
      <w:r w:rsidRPr="00D84682">
        <w:rPr>
          <w:rFonts w:ascii="Calibri" w:eastAsia="Times New Roman" w:hAnsi="Calibri" w:cs="Times New Roman"/>
          <w:lang w:eastAsia="en-GB"/>
        </w:rPr>
        <w:t xml:space="preserve">Produced in collaboration with the East Midlands Chamber. With thanks to Ian Bates and Chris Hobson. </w:t>
      </w:r>
    </w:p>
    <w:sectPr w:rsidR="002B7122" w:rsidSect="00BC2E0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94"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5F084" w14:textId="77777777" w:rsidR="00BD707A" w:rsidRDefault="00BD707A" w:rsidP="00886597">
      <w:pPr>
        <w:spacing w:after="0" w:line="240" w:lineRule="auto"/>
      </w:pPr>
      <w:r>
        <w:separator/>
      </w:r>
    </w:p>
  </w:endnote>
  <w:endnote w:type="continuationSeparator" w:id="0">
    <w:p w14:paraId="46DB8BF9" w14:textId="77777777" w:rsidR="00BD707A" w:rsidRDefault="00BD707A" w:rsidP="00886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011E2" w14:textId="77777777" w:rsidR="002B7122" w:rsidRDefault="002B7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7357425"/>
      <w:docPartObj>
        <w:docPartGallery w:val="Page Numbers (Bottom of Page)"/>
        <w:docPartUnique/>
      </w:docPartObj>
    </w:sdtPr>
    <w:sdtEndPr>
      <w:rPr>
        <w:noProof/>
      </w:rPr>
    </w:sdtEndPr>
    <w:sdtContent>
      <w:p w14:paraId="6D477626" w14:textId="0580FD13" w:rsidR="00C146F3" w:rsidRDefault="00C146F3">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761A62C1" w14:textId="222D760D" w:rsidR="00C146F3" w:rsidRDefault="00C146F3">
    <w:pPr>
      <w:pStyle w:val="Footer"/>
    </w:pPr>
    <w:r>
      <w:rPr>
        <w:noProof/>
        <w:lang w:eastAsia="en-GB"/>
      </w:rPr>
      <mc:AlternateContent>
        <mc:Choice Requires="wps">
          <w:drawing>
            <wp:anchor distT="0" distB="0" distL="114300" distR="114300" simplePos="0" relativeHeight="251657216" behindDoc="0" locked="0" layoutInCell="0" allowOverlap="1" wp14:anchorId="4516A35E" wp14:editId="7994ADDB">
              <wp:simplePos x="0" y="0"/>
              <wp:positionH relativeFrom="page">
                <wp:posOffset>0</wp:posOffset>
              </wp:positionH>
              <wp:positionV relativeFrom="page">
                <wp:posOffset>10227945</wp:posOffset>
              </wp:positionV>
              <wp:extent cx="7560310" cy="273050"/>
              <wp:effectExtent l="0" t="0" r="0" b="12700"/>
              <wp:wrapNone/>
              <wp:docPr id="6" name="MSIPCM9e1a4f6e98d16cf8b9489c55" descr="{&quot;HashCode&quot;:26965133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CF0FCF2" w14:textId="6684FAFD" w:rsidR="00C146F3" w:rsidRPr="00E65F3A" w:rsidRDefault="00C146F3" w:rsidP="00E65F3A">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16A35E" id="_x0000_t202" coordsize="21600,21600" o:spt="202" path="m,l,21600r21600,l21600,xe">
              <v:stroke joinstyle="miter"/>
              <v:path gradientshapeok="t" o:connecttype="rect"/>
            </v:shapetype>
            <v:shape id="MSIPCM9e1a4f6e98d16cf8b9489c55" o:spid="_x0000_s1029" type="#_x0000_t202" alt="{&quot;HashCode&quot;:269651335,&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" o:allowincell="f" filled="f" stroked="f" strokeweight=".5pt">
              <v:textbox inset="20pt,0,,0">
                <w:txbxContent>
                  <w:p w14:paraId="7CF0FCF2" w14:textId="6684FAFD" w:rsidR="00C146F3" w:rsidRPr="00E65F3A" w:rsidRDefault="00C146F3" w:rsidP="00E65F3A">
                    <w:pPr>
                      <w:spacing w:after="0"/>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7DD30" w14:textId="153B41BA" w:rsidR="00C146F3" w:rsidRDefault="00C146F3">
    <w:pPr>
      <w:pStyle w:val="Footer"/>
    </w:pPr>
    <w:r>
      <w:rPr>
        <w:noProof/>
        <w:lang w:eastAsia="en-GB"/>
      </w:rPr>
      <mc:AlternateContent>
        <mc:Choice Requires="wps">
          <w:drawing>
            <wp:anchor distT="0" distB="0" distL="114300" distR="114300" simplePos="0" relativeHeight="251658240" behindDoc="0" locked="0" layoutInCell="0" allowOverlap="1" wp14:anchorId="1D5535AB" wp14:editId="3370E2C8">
              <wp:simplePos x="0" y="0"/>
              <wp:positionH relativeFrom="page">
                <wp:posOffset>0</wp:posOffset>
              </wp:positionH>
              <wp:positionV relativeFrom="page">
                <wp:posOffset>10227945</wp:posOffset>
              </wp:positionV>
              <wp:extent cx="7560310" cy="273050"/>
              <wp:effectExtent l="0" t="0" r="0" b="12700"/>
              <wp:wrapNone/>
              <wp:docPr id="8" name="MSIPCMd00a44dfb543a73cb6e6322c" descr="{&quot;HashCode&quot;:26965133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7A00B0B" w14:textId="169DA8B5" w:rsidR="00C146F3" w:rsidRPr="00E65F3A" w:rsidRDefault="00C146F3" w:rsidP="00E65F3A">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D5535AB" id="_x0000_t202" coordsize="21600,21600" o:spt="202" path="m,l,21600r21600,l21600,xe">
              <v:stroke joinstyle="miter"/>
              <v:path gradientshapeok="t" o:connecttype="rect"/>
            </v:shapetype>
            <v:shape id="MSIPCMd00a44dfb543a73cb6e6322c" o:spid="_x0000_s1031" type="#_x0000_t202" alt="{&quot;HashCode&quot;:269651335,&quot;Height&quot;:841.0,&quot;Width&quot;:595.0,&quot;Placement&quot;:&quot;Footer&quot;,&quot;Index&quot;:&quot;FirstPage&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" o:allowincell="f" filled="f" stroked="f" strokeweight=".5pt">
              <v:textbox inset="20pt,0,,0">
                <w:txbxContent>
                  <w:p w14:paraId="17A00B0B" w14:textId="169DA8B5" w:rsidR="00C146F3" w:rsidRPr="00E65F3A" w:rsidRDefault="00C146F3" w:rsidP="00E65F3A">
                    <w:pPr>
                      <w:spacing w:after="0"/>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B5443" w14:textId="77777777" w:rsidR="00BD707A" w:rsidRDefault="00BD707A" w:rsidP="00886597">
      <w:pPr>
        <w:spacing w:after="0" w:line="240" w:lineRule="auto"/>
      </w:pPr>
      <w:r>
        <w:separator/>
      </w:r>
    </w:p>
  </w:footnote>
  <w:footnote w:type="continuationSeparator" w:id="0">
    <w:p w14:paraId="2858581B" w14:textId="77777777" w:rsidR="00BD707A" w:rsidRDefault="00BD707A" w:rsidP="00886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65ABD" w14:textId="77777777" w:rsidR="002B7122" w:rsidRDefault="002B7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19D1C" w14:textId="17754017" w:rsidR="00C146F3" w:rsidRDefault="00C146F3">
    <w:pPr>
      <w:pStyle w:val="Header"/>
    </w:pPr>
    <w:r>
      <w:t>Sustainable Business and Clean Growth Research Cluster</w:t>
    </w:r>
    <w:r>
      <w:tab/>
      <w:t>University of Derby</w:t>
    </w:r>
  </w:p>
  <w:p w14:paraId="3BD0937C" w14:textId="4BB6D91C" w:rsidR="00C146F3" w:rsidRDefault="00C146F3">
    <w:pPr>
      <w:pStyle w:val="Header"/>
    </w:pPr>
    <w:r>
      <w:t>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05432" w14:textId="48D9EADE" w:rsidR="00C146F3" w:rsidRPr="000C71D9" w:rsidRDefault="00C146F3" w:rsidP="00BA429B">
    <w:pPr>
      <w:pStyle w:val="Header"/>
      <w:jc w:val="right"/>
    </w:pPr>
    <w:r>
      <w:rPr>
        <w:noProof/>
        <w:lang w:eastAsia="en-GB"/>
      </w:rPr>
      <w:drawing>
        <wp:inline distT="0" distB="0" distL="0" distR="0" wp14:anchorId="13A40F34" wp14:editId="17E7E947">
          <wp:extent cx="4476750" cy="714375"/>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t="5824" r="32190" b="-15008"/>
                  <a:stretch/>
                </pic:blipFill>
                <pic:spPr bwMode="auto">
                  <a:xfrm>
                    <a:off x="0" y="0"/>
                    <a:ext cx="4476750" cy="71437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mc:AlternateContent>
        <mc:Choice Requires="wps">
          <w:drawing>
            <wp:anchor distT="45720" distB="45720" distL="114300" distR="114300" simplePos="0" relativeHeight="251656192" behindDoc="0" locked="0" layoutInCell="1" allowOverlap="1" wp14:anchorId="23528480" wp14:editId="210E9373">
              <wp:simplePos x="0" y="0"/>
              <wp:positionH relativeFrom="column">
                <wp:posOffset>4762500</wp:posOffset>
              </wp:positionH>
              <wp:positionV relativeFrom="paragraph">
                <wp:posOffset>635</wp:posOffset>
              </wp:positionV>
              <wp:extent cx="127635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904875"/>
                      </a:xfrm>
                      <a:prstGeom prst="rect">
                        <a:avLst/>
                      </a:prstGeom>
                      <a:solidFill>
                        <a:srgbClr val="FFFFFF"/>
                      </a:solidFill>
                      <a:ln w="9525">
                        <a:noFill/>
                        <a:miter lim="800000"/>
                        <a:headEnd/>
                        <a:tailEnd/>
                      </a:ln>
                    </wps:spPr>
                    <wps:txbx>
                      <w:txbxContent>
                        <w:p w14:paraId="01717D0E" w14:textId="15CF2BC3" w:rsidR="00C146F3" w:rsidRDefault="00C146F3" w:rsidP="00BA429B">
                          <w:pPr>
                            <w:jc w:val="both"/>
                          </w:pPr>
                          <w:r w:rsidRPr="00BA429B">
                            <w:rPr>
                              <w:noProof/>
                              <w:lang w:eastAsia="en-GB"/>
                            </w:rPr>
                            <w:drawing>
                              <wp:inline distT="0" distB="0" distL="0" distR="0" wp14:anchorId="01F1EB10" wp14:editId="517FC46D">
                                <wp:extent cx="917762"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611" cy="675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528480" id="_x0000_t202" coordsize="21600,21600" o:spt="202" path="m,l,21600r21600,l21600,xe">
              <v:stroke joinstyle="miter"/>
              <v:path gradientshapeok="t" o:connecttype="rect"/>
            </v:shapetype>
            <v:shape id="Text Box 2" o:spid="_x0000_s1030" type="#_x0000_t202" style="position:absolute;left:0;text-align:left;margin-left:375pt;margin-top:.05pt;width:100.5pt;height:71.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" stroked="f">
              <v:textbox>
                <w:txbxContent>
                  <w:p w14:paraId="01717D0E" w14:textId="15CF2BC3" w:rsidR="00C146F3" w:rsidRDefault="00C146F3" w:rsidP="00BA429B">
                    <w:pPr>
                      <w:jc w:val="both"/>
                    </w:pPr>
                    <w:r w:rsidRPr="00BA429B">
                      <w:rPr>
                        <w:noProof/>
                        <w:lang w:eastAsia="en-GB"/>
                      </w:rPr>
                      <w:drawing>
                        <wp:inline distT="0" distB="0" distL="0" distR="0" wp14:anchorId="01F1EB10" wp14:editId="517FC46D">
                          <wp:extent cx="917762"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611" cy="675359"/>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81800"/>
    <w:multiLevelType w:val="hybridMultilevel"/>
    <w:tmpl w:val="004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42859"/>
    <w:multiLevelType w:val="hybridMultilevel"/>
    <w:tmpl w:val="2B885B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7581BF6"/>
    <w:multiLevelType w:val="hybridMultilevel"/>
    <w:tmpl w:val="CC9E56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4FE2796"/>
    <w:multiLevelType w:val="hybridMultilevel"/>
    <w:tmpl w:val="563CB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945344"/>
    <w:multiLevelType w:val="hybridMultilevel"/>
    <w:tmpl w:val="2688A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010A1D"/>
    <w:multiLevelType w:val="multilevel"/>
    <w:tmpl w:val="5446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EA6560"/>
    <w:multiLevelType w:val="multilevel"/>
    <w:tmpl w:val="A930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B51C51"/>
    <w:multiLevelType w:val="hybridMultilevel"/>
    <w:tmpl w:val="F116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1A0A73"/>
    <w:multiLevelType w:val="hybridMultilevel"/>
    <w:tmpl w:val="24F29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8F5712"/>
    <w:multiLevelType w:val="hybridMultilevel"/>
    <w:tmpl w:val="E6C82302"/>
    <w:lvl w:ilvl="0" w:tplc="AAE6A3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9E7B12"/>
    <w:multiLevelType w:val="hybridMultilevel"/>
    <w:tmpl w:val="9E78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3670FE"/>
    <w:multiLevelType w:val="hybridMultilevel"/>
    <w:tmpl w:val="1DEE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B83F94"/>
    <w:multiLevelType w:val="multilevel"/>
    <w:tmpl w:val="A8A66B9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9"/>
  </w:num>
  <w:num w:numId="2">
    <w:abstractNumId w:val="0"/>
  </w:num>
  <w:num w:numId="3">
    <w:abstractNumId w:val="6"/>
  </w:num>
  <w:num w:numId="4">
    <w:abstractNumId w:val="5"/>
  </w:num>
  <w:num w:numId="5">
    <w:abstractNumId w:val="10"/>
  </w:num>
  <w:num w:numId="6">
    <w:abstractNumId w:val="8"/>
  </w:num>
  <w:num w:numId="7">
    <w:abstractNumId w:val="7"/>
  </w:num>
  <w:num w:numId="8">
    <w:abstractNumId w:val="4"/>
  </w:num>
  <w:num w:numId="9">
    <w:abstractNumId w:val="1"/>
  </w:num>
  <w:num w:numId="10">
    <w:abstractNumId w:val="2"/>
  </w:num>
  <w:num w:numId="11">
    <w:abstractNumId w:val="1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11F"/>
    <w:rsid w:val="000223B8"/>
    <w:rsid w:val="00032DAC"/>
    <w:rsid w:val="00035A2D"/>
    <w:rsid w:val="00046779"/>
    <w:rsid w:val="00050A98"/>
    <w:rsid w:val="00054818"/>
    <w:rsid w:val="0005637C"/>
    <w:rsid w:val="00062264"/>
    <w:rsid w:val="00064D21"/>
    <w:rsid w:val="000656F5"/>
    <w:rsid w:val="000667AD"/>
    <w:rsid w:val="0007685A"/>
    <w:rsid w:val="0008452B"/>
    <w:rsid w:val="000869D1"/>
    <w:rsid w:val="00092ED2"/>
    <w:rsid w:val="000A2B57"/>
    <w:rsid w:val="000A7B8A"/>
    <w:rsid w:val="000C0201"/>
    <w:rsid w:val="000C12F2"/>
    <w:rsid w:val="000C4B30"/>
    <w:rsid w:val="000C71D9"/>
    <w:rsid w:val="000D4833"/>
    <w:rsid w:val="000E0154"/>
    <w:rsid w:val="000E3613"/>
    <w:rsid w:val="000F0C9F"/>
    <w:rsid w:val="00102A46"/>
    <w:rsid w:val="00105CEE"/>
    <w:rsid w:val="0011165D"/>
    <w:rsid w:val="00124FE9"/>
    <w:rsid w:val="00130B1F"/>
    <w:rsid w:val="00134FED"/>
    <w:rsid w:val="001409DF"/>
    <w:rsid w:val="00142D4C"/>
    <w:rsid w:val="00166ABD"/>
    <w:rsid w:val="00166FB9"/>
    <w:rsid w:val="0017579F"/>
    <w:rsid w:val="001807D3"/>
    <w:rsid w:val="00183E4F"/>
    <w:rsid w:val="00184204"/>
    <w:rsid w:val="00192D8C"/>
    <w:rsid w:val="00195155"/>
    <w:rsid w:val="001C5107"/>
    <w:rsid w:val="001C6306"/>
    <w:rsid w:val="001C79E0"/>
    <w:rsid w:val="001D5DF6"/>
    <w:rsid w:val="001F57D6"/>
    <w:rsid w:val="00202C14"/>
    <w:rsid w:val="002108D4"/>
    <w:rsid w:val="00227B0C"/>
    <w:rsid w:val="0024707E"/>
    <w:rsid w:val="00274D4F"/>
    <w:rsid w:val="0028032E"/>
    <w:rsid w:val="002827ED"/>
    <w:rsid w:val="002870AE"/>
    <w:rsid w:val="002B7122"/>
    <w:rsid w:val="002C081E"/>
    <w:rsid w:val="002C4C00"/>
    <w:rsid w:val="002E297E"/>
    <w:rsid w:val="002E3360"/>
    <w:rsid w:val="002E6927"/>
    <w:rsid w:val="002F2903"/>
    <w:rsid w:val="002F4C47"/>
    <w:rsid w:val="00310D40"/>
    <w:rsid w:val="003203D7"/>
    <w:rsid w:val="00320B68"/>
    <w:rsid w:val="00333422"/>
    <w:rsid w:val="003625F1"/>
    <w:rsid w:val="00365D8E"/>
    <w:rsid w:val="00382259"/>
    <w:rsid w:val="003A5DCD"/>
    <w:rsid w:val="003A608F"/>
    <w:rsid w:val="003D0A47"/>
    <w:rsid w:val="003D7F01"/>
    <w:rsid w:val="004005FC"/>
    <w:rsid w:val="00405979"/>
    <w:rsid w:val="00411FCD"/>
    <w:rsid w:val="00421F6E"/>
    <w:rsid w:val="00431B83"/>
    <w:rsid w:val="00443071"/>
    <w:rsid w:val="004531FB"/>
    <w:rsid w:val="00490CDB"/>
    <w:rsid w:val="00490D70"/>
    <w:rsid w:val="0049155B"/>
    <w:rsid w:val="004A2AB5"/>
    <w:rsid w:val="004B682E"/>
    <w:rsid w:val="004C64A3"/>
    <w:rsid w:val="0050174E"/>
    <w:rsid w:val="005037EF"/>
    <w:rsid w:val="0051055F"/>
    <w:rsid w:val="00523FF6"/>
    <w:rsid w:val="0053739C"/>
    <w:rsid w:val="00542EEC"/>
    <w:rsid w:val="00552E4A"/>
    <w:rsid w:val="005530C3"/>
    <w:rsid w:val="00563145"/>
    <w:rsid w:val="005634BC"/>
    <w:rsid w:val="00587018"/>
    <w:rsid w:val="00587F61"/>
    <w:rsid w:val="005B3C59"/>
    <w:rsid w:val="005D4BA0"/>
    <w:rsid w:val="005D7647"/>
    <w:rsid w:val="005F3369"/>
    <w:rsid w:val="005F3CAA"/>
    <w:rsid w:val="0060277D"/>
    <w:rsid w:val="006426D0"/>
    <w:rsid w:val="00647EFA"/>
    <w:rsid w:val="006839C9"/>
    <w:rsid w:val="006A3029"/>
    <w:rsid w:val="006B211D"/>
    <w:rsid w:val="006B36E9"/>
    <w:rsid w:val="006C2BDD"/>
    <w:rsid w:val="006C5F0A"/>
    <w:rsid w:val="006C7580"/>
    <w:rsid w:val="006D3B6A"/>
    <w:rsid w:val="006F1738"/>
    <w:rsid w:val="00711AA9"/>
    <w:rsid w:val="00725654"/>
    <w:rsid w:val="00727DFF"/>
    <w:rsid w:val="00735688"/>
    <w:rsid w:val="00753E9B"/>
    <w:rsid w:val="00754030"/>
    <w:rsid w:val="007550CB"/>
    <w:rsid w:val="007621EA"/>
    <w:rsid w:val="00764194"/>
    <w:rsid w:val="00773D80"/>
    <w:rsid w:val="007900B3"/>
    <w:rsid w:val="007B32C2"/>
    <w:rsid w:val="007B41E2"/>
    <w:rsid w:val="007D10B7"/>
    <w:rsid w:val="007D3313"/>
    <w:rsid w:val="007D4326"/>
    <w:rsid w:val="007F3E7B"/>
    <w:rsid w:val="00810B3E"/>
    <w:rsid w:val="00811FBA"/>
    <w:rsid w:val="00814203"/>
    <w:rsid w:val="00830F4A"/>
    <w:rsid w:val="008325DD"/>
    <w:rsid w:val="008411CE"/>
    <w:rsid w:val="00843A64"/>
    <w:rsid w:val="008701F0"/>
    <w:rsid w:val="0088166C"/>
    <w:rsid w:val="008829C0"/>
    <w:rsid w:val="00886597"/>
    <w:rsid w:val="00887B2C"/>
    <w:rsid w:val="00890BD2"/>
    <w:rsid w:val="008A4A12"/>
    <w:rsid w:val="008A5E18"/>
    <w:rsid w:val="008A734B"/>
    <w:rsid w:val="008B2EB9"/>
    <w:rsid w:val="008B3515"/>
    <w:rsid w:val="008C2F82"/>
    <w:rsid w:val="008C3ACB"/>
    <w:rsid w:val="008D2FEF"/>
    <w:rsid w:val="008E0C5D"/>
    <w:rsid w:val="008E3EBA"/>
    <w:rsid w:val="008F6F18"/>
    <w:rsid w:val="00902DFF"/>
    <w:rsid w:val="00905807"/>
    <w:rsid w:val="00915318"/>
    <w:rsid w:val="00916F11"/>
    <w:rsid w:val="009233FA"/>
    <w:rsid w:val="00926745"/>
    <w:rsid w:val="009332ED"/>
    <w:rsid w:val="00943E57"/>
    <w:rsid w:val="00945D43"/>
    <w:rsid w:val="009467C1"/>
    <w:rsid w:val="009510E0"/>
    <w:rsid w:val="009545D4"/>
    <w:rsid w:val="009547A9"/>
    <w:rsid w:val="00965657"/>
    <w:rsid w:val="009674A6"/>
    <w:rsid w:val="0097050E"/>
    <w:rsid w:val="0098224C"/>
    <w:rsid w:val="00997499"/>
    <w:rsid w:val="009B6BE0"/>
    <w:rsid w:val="009B70D2"/>
    <w:rsid w:val="009E38DD"/>
    <w:rsid w:val="009F0643"/>
    <w:rsid w:val="00A07830"/>
    <w:rsid w:val="00A10765"/>
    <w:rsid w:val="00A10F86"/>
    <w:rsid w:val="00A142C5"/>
    <w:rsid w:val="00A16BCE"/>
    <w:rsid w:val="00A27DFB"/>
    <w:rsid w:val="00A309D7"/>
    <w:rsid w:val="00A30BD5"/>
    <w:rsid w:val="00A31CF6"/>
    <w:rsid w:val="00A33D02"/>
    <w:rsid w:val="00A37014"/>
    <w:rsid w:val="00A45F75"/>
    <w:rsid w:val="00A5062B"/>
    <w:rsid w:val="00A5515A"/>
    <w:rsid w:val="00A703D1"/>
    <w:rsid w:val="00A707DA"/>
    <w:rsid w:val="00A84D5D"/>
    <w:rsid w:val="00A9653A"/>
    <w:rsid w:val="00AB05BD"/>
    <w:rsid w:val="00AB7943"/>
    <w:rsid w:val="00AC33BE"/>
    <w:rsid w:val="00AD5414"/>
    <w:rsid w:val="00AE0D1E"/>
    <w:rsid w:val="00AE111F"/>
    <w:rsid w:val="00AE4DBA"/>
    <w:rsid w:val="00AE570B"/>
    <w:rsid w:val="00AE5959"/>
    <w:rsid w:val="00AE64CC"/>
    <w:rsid w:val="00AE6642"/>
    <w:rsid w:val="00AE7A83"/>
    <w:rsid w:val="00B12935"/>
    <w:rsid w:val="00B170ED"/>
    <w:rsid w:val="00B23922"/>
    <w:rsid w:val="00B445F4"/>
    <w:rsid w:val="00B45F2B"/>
    <w:rsid w:val="00B502CD"/>
    <w:rsid w:val="00B6524A"/>
    <w:rsid w:val="00B6621F"/>
    <w:rsid w:val="00B77DF1"/>
    <w:rsid w:val="00B81BEA"/>
    <w:rsid w:val="00B84979"/>
    <w:rsid w:val="00B85256"/>
    <w:rsid w:val="00B91753"/>
    <w:rsid w:val="00B93713"/>
    <w:rsid w:val="00B95C99"/>
    <w:rsid w:val="00BA27B5"/>
    <w:rsid w:val="00BA429B"/>
    <w:rsid w:val="00BA7189"/>
    <w:rsid w:val="00BB536E"/>
    <w:rsid w:val="00BC2E0C"/>
    <w:rsid w:val="00BD0AEA"/>
    <w:rsid w:val="00BD1B39"/>
    <w:rsid w:val="00BD35DE"/>
    <w:rsid w:val="00BD5F0B"/>
    <w:rsid w:val="00BD707A"/>
    <w:rsid w:val="00BD7D3D"/>
    <w:rsid w:val="00BE08A2"/>
    <w:rsid w:val="00BE4DD4"/>
    <w:rsid w:val="00C0618B"/>
    <w:rsid w:val="00C118D4"/>
    <w:rsid w:val="00C146F3"/>
    <w:rsid w:val="00C3407A"/>
    <w:rsid w:val="00C44141"/>
    <w:rsid w:val="00C541C4"/>
    <w:rsid w:val="00C5716B"/>
    <w:rsid w:val="00C70FF1"/>
    <w:rsid w:val="00C760B7"/>
    <w:rsid w:val="00C774A2"/>
    <w:rsid w:val="00CA2E6A"/>
    <w:rsid w:val="00CA3A82"/>
    <w:rsid w:val="00CA6943"/>
    <w:rsid w:val="00CB1EEC"/>
    <w:rsid w:val="00CB4D7D"/>
    <w:rsid w:val="00CB793C"/>
    <w:rsid w:val="00CC787D"/>
    <w:rsid w:val="00CE0AFD"/>
    <w:rsid w:val="00CE67DC"/>
    <w:rsid w:val="00CF2319"/>
    <w:rsid w:val="00CF7A1D"/>
    <w:rsid w:val="00D121DD"/>
    <w:rsid w:val="00D13C35"/>
    <w:rsid w:val="00D16EB5"/>
    <w:rsid w:val="00D22F36"/>
    <w:rsid w:val="00D25656"/>
    <w:rsid w:val="00D4109E"/>
    <w:rsid w:val="00D423BE"/>
    <w:rsid w:val="00D84682"/>
    <w:rsid w:val="00D84A8E"/>
    <w:rsid w:val="00D976D9"/>
    <w:rsid w:val="00D9771F"/>
    <w:rsid w:val="00DA72B2"/>
    <w:rsid w:val="00DB5D7F"/>
    <w:rsid w:val="00DC0334"/>
    <w:rsid w:val="00DC0E61"/>
    <w:rsid w:val="00DC2BD1"/>
    <w:rsid w:val="00DD2E2E"/>
    <w:rsid w:val="00DD5DD6"/>
    <w:rsid w:val="00DE339C"/>
    <w:rsid w:val="00DE4463"/>
    <w:rsid w:val="00DF1F3D"/>
    <w:rsid w:val="00E05335"/>
    <w:rsid w:val="00E22A47"/>
    <w:rsid w:val="00E3277A"/>
    <w:rsid w:val="00E373F6"/>
    <w:rsid w:val="00E435E1"/>
    <w:rsid w:val="00E65F3A"/>
    <w:rsid w:val="00E70607"/>
    <w:rsid w:val="00E74A8A"/>
    <w:rsid w:val="00E871B0"/>
    <w:rsid w:val="00EA4AF2"/>
    <w:rsid w:val="00EA7F78"/>
    <w:rsid w:val="00EC2E33"/>
    <w:rsid w:val="00EC6A0E"/>
    <w:rsid w:val="00EE0E75"/>
    <w:rsid w:val="00EE270E"/>
    <w:rsid w:val="00EE4003"/>
    <w:rsid w:val="00EE7071"/>
    <w:rsid w:val="00EF31C2"/>
    <w:rsid w:val="00EF7AFE"/>
    <w:rsid w:val="00F020B1"/>
    <w:rsid w:val="00F04F69"/>
    <w:rsid w:val="00F06C82"/>
    <w:rsid w:val="00F26FA4"/>
    <w:rsid w:val="00F27847"/>
    <w:rsid w:val="00F33C90"/>
    <w:rsid w:val="00F3468C"/>
    <w:rsid w:val="00F746F6"/>
    <w:rsid w:val="00F74D7F"/>
    <w:rsid w:val="00F82ACC"/>
    <w:rsid w:val="00F87629"/>
    <w:rsid w:val="00F943D5"/>
    <w:rsid w:val="00FA2DCE"/>
    <w:rsid w:val="00FE50C5"/>
    <w:rsid w:val="00FE7D15"/>
    <w:rsid w:val="00FE7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5B8D8"/>
  <w15:docId w15:val="{A98E2830-CF27-4DD4-BC2D-6777711D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597"/>
  </w:style>
  <w:style w:type="paragraph" w:styleId="Heading1">
    <w:name w:val="heading 1"/>
    <w:basedOn w:val="Normal"/>
    <w:next w:val="Normal"/>
    <w:link w:val="Heading1Char"/>
    <w:uiPriority w:val="9"/>
    <w:qFormat/>
    <w:rsid w:val="009674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6F3"/>
    <w:pPr>
      <w:keepNext/>
      <w:keepLines/>
      <w:spacing w:before="40" w:after="0"/>
      <w:jc w:val="both"/>
      <w:outlineLvl w:val="1"/>
    </w:pPr>
    <w:rPr>
      <w:rFonts w:asciiTheme="majorHAnsi" w:eastAsiaTheme="majorEastAsia" w:hAnsiTheme="majorHAnsi" w:cstheme="majorBidi"/>
      <w:noProof/>
      <w:color w:val="2E74B5" w:themeColor="accent1" w:themeShade="BF"/>
      <w:sz w:val="26"/>
      <w:szCs w:val="26"/>
      <w:lang w:eastAsia="en-GB"/>
    </w:rPr>
  </w:style>
  <w:style w:type="paragraph" w:styleId="Heading3">
    <w:name w:val="heading 3"/>
    <w:basedOn w:val="Normal"/>
    <w:next w:val="Normal"/>
    <w:link w:val="Heading3Char"/>
    <w:uiPriority w:val="9"/>
    <w:unhideWhenUsed/>
    <w:qFormat/>
    <w:rsid w:val="00C146F3"/>
    <w:pPr>
      <w:keepNext/>
      <w:keepLines/>
      <w:spacing w:before="40" w:after="0"/>
      <w:jc w:val="both"/>
      <w:outlineLvl w:val="2"/>
    </w:pPr>
    <w:rPr>
      <w:rFonts w:asciiTheme="majorHAnsi" w:eastAsiaTheme="majorEastAsia" w:hAnsiTheme="majorHAnsi" w:cstheme="majorBidi"/>
      <w:noProof/>
      <w:color w:val="1F4D78"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5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597"/>
  </w:style>
  <w:style w:type="paragraph" w:styleId="Footer">
    <w:name w:val="footer"/>
    <w:basedOn w:val="Normal"/>
    <w:link w:val="FooterChar"/>
    <w:uiPriority w:val="99"/>
    <w:unhideWhenUsed/>
    <w:rsid w:val="008865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597"/>
  </w:style>
  <w:style w:type="paragraph" w:styleId="BalloonText">
    <w:name w:val="Balloon Text"/>
    <w:basedOn w:val="Normal"/>
    <w:link w:val="BalloonTextChar"/>
    <w:uiPriority w:val="99"/>
    <w:semiHidden/>
    <w:unhideWhenUsed/>
    <w:rsid w:val="00210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8D4"/>
    <w:rPr>
      <w:rFonts w:ascii="Tahoma" w:hAnsi="Tahoma" w:cs="Tahoma"/>
      <w:sz w:val="16"/>
      <w:szCs w:val="16"/>
    </w:rPr>
  </w:style>
  <w:style w:type="paragraph" w:styleId="ListParagraph">
    <w:name w:val="List Paragraph"/>
    <w:basedOn w:val="Normal"/>
    <w:uiPriority w:val="34"/>
    <w:qFormat/>
    <w:rsid w:val="007900B3"/>
    <w:pPr>
      <w:ind w:left="720"/>
      <w:contextualSpacing/>
    </w:pPr>
  </w:style>
  <w:style w:type="character" w:styleId="CommentReference">
    <w:name w:val="annotation reference"/>
    <w:basedOn w:val="DefaultParagraphFont"/>
    <w:uiPriority w:val="99"/>
    <w:semiHidden/>
    <w:unhideWhenUsed/>
    <w:rsid w:val="006A3029"/>
    <w:rPr>
      <w:sz w:val="16"/>
      <w:szCs w:val="16"/>
    </w:rPr>
  </w:style>
  <w:style w:type="paragraph" w:styleId="CommentText">
    <w:name w:val="annotation text"/>
    <w:basedOn w:val="Normal"/>
    <w:link w:val="CommentTextChar"/>
    <w:uiPriority w:val="99"/>
    <w:unhideWhenUsed/>
    <w:rsid w:val="006A3029"/>
    <w:pPr>
      <w:spacing w:line="240" w:lineRule="auto"/>
    </w:pPr>
    <w:rPr>
      <w:sz w:val="20"/>
      <w:szCs w:val="20"/>
    </w:rPr>
  </w:style>
  <w:style w:type="character" w:customStyle="1" w:styleId="CommentTextChar">
    <w:name w:val="Comment Text Char"/>
    <w:basedOn w:val="DefaultParagraphFont"/>
    <w:link w:val="CommentText"/>
    <w:uiPriority w:val="99"/>
    <w:rsid w:val="006A3029"/>
    <w:rPr>
      <w:sz w:val="20"/>
      <w:szCs w:val="20"/>
    </w:rPr>
  </w:style>
  <w:style w:type="paragraph" w:styleId="CommentSubject">
    <w:name w:val="annotation subject"/>
    <w:basedOn w:val="CommentText"/>
    <w:next w:val="CommentText"/>
    <w:link w:val="CommentSubjectChar"/>
    <w:uiPriority w:val="99"/>
    <w:semiHidden/>
    <w:unhideWhenUsed/>
    <w:rsid w:val="006A3029"/>
    <w:rPr>
      <w:b/>
      <w:bCs/>
    </w:rPr>
  </w:style>
  <w:style w:type="character" w:customStyle="1" w:styleId="CommentSubjectChar">
    <w:name w:val="Comment Subject Char"/>
    <w:basedOn w:val="CommentTextChar"/>
    <w:link w:val="CommentSubject"/>
    <w:uiPriority w:val="99"/>
    <w:semiHidden/>
    <w:rsid w:val="006A3029"/>
    <w:rPr>
      <w:b/>
      <w:bCs/>
      <w:sz w:val="20"/>
      <w:szCs w:val="20"/>
    </w:rPr>
  </w:style>
  <w:style w:type="character" w:customStyle="1" w:styleId="Heading1Char">
    <w:name w:val="Heading 1 Char"/>
    <w:basedOn w:val="DefaultParagraphFont"/>
    <w:link w:val="Heading1"/>
    <w:uiPriority w:val="9"/>
    <w:rsid w:val="009674A6"/>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674A6"/>
    <w:pPr>
      <w:spacing w:after="0" w:line="240" w:lineRule="auto"/>
    </w:pPr>
  </w:style>
  <w:style w:type="paragraph" w:styleId="Subtitle">
    <w:name w:val="Subtitle"/>
    <w:basedOn w:val="Normal"/>
    <w:next w:val="Normal"/>
    <w:link w:val="SubtitleChar"/>
    <w:uiPriority w:val="11"/>
    <w:qFormat/>
    <w:rsid w:val="00BA429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A429B"/>
    <w:rPr>
      <w:rFonts w:eastAsiaTheme="minorEastAsia"/>
      <w:color w:val="5A5A5A" w:themeColor="text1" w:themeTint="A5"/>
      <w:spacing w:val="15"/>
    </w:rPr>
  </w:style>
  <w:style w:type="paragraph" w:styleId="NormalWeb">
    <w:name w:val="Normal (Web)"/>
    <w:basedOn w:val="Normal"/>
    <w:uiPriority w:val="99"/>
    <w:rsid w:val="000E0154"/>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FootnoteText">
    <w:name w:val="footnote text"/>
    <w:basedOn w:val="Normal"/>
    <w:link w:val="FootnoteTextChar"/>
    <w:uiPriority w:val="99"/>
    <w:semiHidden/>
    <w:unhideWhenUsed/>
    <w:rsid w:val="00DC2B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BD1"/>
    <w:rPr>
      <w:sz w:val="20"/>
      <w:szCs w:val="20"/>
    </w:rPr>
  </w:style>
  <w:style w:type="character" w:styleId="FootnoteReference">
    <w:name w:val="footnote reference"/>
    <w:basedOn w:val="DefaultParagraphFont"/>
    <w:uiPriority w:val="99"/>
    <w:semiHidden/>
    <w:unhideWhenUsed/>
    <w:rsid w:val="00DC2BD1"/>
    <w:rPr>
      <w:vertAlign w:val="superscript"/>
    </w:rPr>
  </w:style>
  <w:style w:type="character" w:customStyle="1" w:styleId="Heading2Char">
    <w:name w:val="Heading 2 Char"/>
    <w:basedOn w:val="DefaultParagraphFont"/>
    <w:link w:val="Heading2"/>
    <w:uiPriority w:val="9"/>
    <w:rsid w:val="00C146F3"/>
    <w:rPr>
      <w:rFonts w:asciiTheme="majorHAnsi" w:eastAsiaTheme="majorEastAsia" w:hAnsiTheme="majorHAnsi" w:cstheme="majorBidi"/>
      <w:noProof/>
      <w:color w:val="2E74B5" w:themeColor="accent1" w:themeShade="BF"/>
      <w:sz w:val="26"/>
      <w:szCs w:val="26"/>
      <w:lang w:eastAsia="en-GB"/>
    </w:rPr>
  </w:style>
  <w:style w:type="character" w:customStyle="1" w:styleId="Heading3Char">
    <w:name w:val="Heading 3 Char"/>
    <w:basedOn w:val="DefaultParagraphFont"/>
    <w:link w:val="Heading3"/>
    <w:uiPriority w:val="9"/>
    <w:rsid w:val="00C146F3"/>
    <w:rPr>
      <w:rFonts w:asciiTheme="majorHAnsi" w:eastAsiaTheme="majorEastAsia" w:hAnsiTheme="majorHAnsi" w:cstheme="majorBidi"/>
      <w:noProof/>
      <w:color w:val="1F4D78" w:themeColor="accent1" w:themeShade="7F"/>
      <w:sz w:val="24"/>
      <w:szCs w:val="24"/>
      <w:lang w:eastAsia="en-GB"/>
    </w:rPr>
  </w:style>
  <w:style w:type="paragraph" w:styleId="Caption">
    <w:name w:val="caption"/>
    <w:basedOn w:val="Normal"/>
    <w:next w:val="Normal"/>
    <w:uiPriority w:val="35"/>
    <w:unhideWhenUsed/>
    <w:qFormat/>
    <w:rsid w:val="00C146F3"/>
    <w:pPr>
      <w:keepNext/>
      <w:spacing w:after="200" w:line="240" w:lineRule="auto"/>
      <w:jc w:val="right"/>
    </w:pPr>
    <w:rPr>
      <w:i/>
      <w:iCs/>
      <w:noProof/>
      <w:color w:val="44546A" w:themeColor="text2"/>
      <w:sz w:val="18"/>
      <w:szCs w:val="18"/>
      <w:lang w:eastAsia="en-GB"/>
    </w:rPr>
  </w:style>
  <w:style w:type="table" w:styleId="TableGrid">
    <w:name w:val="Table Grid"/>
    <w:basedOn w:val="TableNormal"/>
    <w:uiPriority w:val="39"/>
    <w:rsid w:val="00C14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146F3"/>
    <w:pPr>
      <w:keepNext/>
      <w:spacing w:after="0" w:line="240" w:lineRule="auto"/>
      <w:jc w:val="both"/>
    </w:pPr>
    <w:rPr>
      <w:noProof/>
      <w:sz w:val="20"/>
      <w:szCs w:val="20"/>
      <w:lang w:eastAsia="en-GB"/>
    </w:rPr>
  </w:style>
  <w:style w:type="character" w:customStyle="1" w:styleId="EndnoteTextChar">
    <w:name w:val="Endnote Text Char"/>
    <w:basedOn w:val="DefaultParagraphFont"/>
    <w:link w:val="EndnoteText"/>
    <w:uiPriority w:val="99"/>
    <w:semiHidden/>
    <w:rsid w:val="00C146F3"/>
    <w:rPr>
      <w:noProof/>
      <w:sz w:val="20"/>
      <w:szCs w:val="20"/>
      <w:lang w:eastAsia="en-GB"/>
    </w:rPr>
  </w:style>
  <w:style w:type="character" w:styleId="EndnoteReference">
    <w:name w:val="endnote reference"/>
    <w:basedOn w:val="DefaultParagraphFont"/>
    <w:uiPriority w:val="99"/>
    <w:semiHidden/>
    <w:unhideWhenUsed/>
    <w:rsid w:val="00C146F3"/>
    <w:rPr>
      <w:vertAlign w:val="superscript"/>
    </w:rPr>
  </w:style>
  <w:style w:type="paragraph" w:styleId="Revision">
    <w:name w:val="Revision"/>
    <w:hidden/>
    <w:uiPriority w:val="99"/>
    <w:semiHidden/>
    <w:rsid w:val="00F33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9019">
      <w:bodyDiv w:val="1"/>
      <w:marLeft w:val="0"/>
      <w:marRight w:val="0"/>
      <w:marTop w:val="0"/>
      <w:marBottom w:val="0"/>
      <w:divBdr>
        <w:top w:val="none" w:sz="0" w:space="0" w:color="auto"/>
        <w:left w:val="none" w:sz="0" w:space="0" w:color="auto"/>
        <w:bottom w:val="none" w:sz="0" w:space="0" w:color="auto"/>
        <w:right w:val="none" w:sz="0" w:space="0" w:color="auto"/>
      </w:divBdr>
    </w:div>
    <w:div w:id="31006696">
      <w:bodyDiv w:val="1"/>
      <w:marLeft w:val="0"/>
      <w:marRight w:val="0"/>
      <w:marTop w:val="0"/>
      <w:marBottom w:val="0"/>
      <w:divBdr>
        <w:top w:val="none" w:sz="0" w:space="0" w:color="auto"/>
        <w:left w:val="none" w:sz="0" w:space="0" w:color="auto"/>
        <w:bottom w:val="none" w:sz="0" w:space="0" w:color="auto"/>
        <w:right w:val="none" w:sz="0" w:space="0" w:color="auto"/>
      </w:divBdr>
    </w:div>
    <w:div w:id="201751691">
      <w:bodyDiv w:val="1"/>
      <w:marLeft w:val="0"/>
      <w:marRight w:val="0"/>
      <w:marTop w:val="0"/>
      <w:marBottom w:val="0"/>
      <w:divBdr>
        <w:top w:val="none" w:sz="0" w:space="0" w:color="auto"/>
        <w:left w:val="none" w:sz="0" w:space="0" w:color="auto"/>
        <w:bottom w:val="none" w:sz="0" w:space="0" w:color="auto"/>
        <w:right w:val="none" w:sz="0" w:space="0" w:color="auto"/>
      </w:divBdr>
    </w:div>
    <w:div w:id="438722283">
      <w:bodyDiv w:val="1"/>
      <w:marLeft w:val="0"/>
      <w:marRight w:val="0"/>
      <w:marTop w:val="0"/>
      <w:marBottom w:val="0"/>
      <w:divBdr>
        <w:top w:val="none" w:sz="0" w:space="0" w:color="auto"/>
        <w:left w:val="none" w:sz="0" w:space="0" w:color="auto"/>
        <w:bottom w:val="none" w:sz="0" w:space="0" w:color="auto"/>
        <w:right w:val="none" w:sz="0" w:space="0" w:color="auto"/>
      </w:divBdr>
    </w:div>
    <w:div w:id="705833935">
      <w:bodyDiv w:val="1"/>
      <w:marLeft w:val="0"/>
      <w:marRight w:val="0"/>
      <w:marTop w:val="0"/>
      <w:marBottom w:val="0"/>
      <w:divBdr>
        <w:top w:val="none" w:sz="0" w:space="0" w:color="auto"/>
        <w:left w:val="none" w:sz="0" w:space="0" w:color="auto"/>
        <w:bottom w:val="none" w:sz="0" w:space="0" w:color="auto"/>
        <w:right w:val="none" w:sz="0" w:space="0" w:color="auto"/>
      </w:divBdr>
    </w:div>
    <w:div w:id="1054503301">
      <w:bodyDiv w:val="1"/>
      <w:marLeft w:val="0"/>
      <w:marRight w:val="0"/>
      <w:marTop w:val="0"/>
      <w:marBottom w:val="0"/>
      <w:divBdr>
        <w:top w:val="none" w:sz="0" w:space="0" w:color="auto"/>
        <w:left w:val="none" w:sz="0" w:space="0" w:color="auto"/>
        <w:bottom w:val="none" w:sz="0" w:space="0" w:color="auto"/>
        <w:right w:val="none" w:sz="0" w:space="0" w:color="auto"/>
      </w:divBdr>
    </w:div>
    <w:div w:id="1110707431">
      <w:bodyDiv w:val="1"/>
      <w:marLeft w:val="0"/>
      <w:marRight w:val="0"/>
      <w:marTop w:val="0"/>
      <w:marBottom w:val="0"/>
      <w:divBdr>
        <w:top w:val="none" w:sz="0" w:space="0" w:color="auto"/>
        <w:left w:val="none" w:sz="0" w:space="0" w:color="auto"/>
        <w:bottom w:val="none" w:sz="0" w:space="0" w:color="auto"/>
        <w:right w:val="none" w:sz="0" w:space="0" w:color="auto"/>
      </w:divBdr>
    </w:div>
    <w:div w:id="1192259876">
      <w:bodyDiv w:val="1"/>
      <w:marLeft w:val="0"/>
      <w:marRight w:val="0"/>
      <w:marTop w:val="0"/>
      <w:marBottom w:val="0"/>
      <w:divBdr>
        <w:top w:val="none" w:sz="0" w:space="0" w:color="auto"/>
        <w:left w:val="none" w:sz="0" w:space="0" w:color="auto"/>
        <w:bottom w:val="none" w:sz="0" w:space="0" w:color="auto"/>
        <w:right w:val="none" w:sz="0" w:space="0" w:color="auto"/>
      </w:divBdr>
    </w:div>
    <w:div w:id="1198467083">
      <w:bodyDiv w:val="1"/>
      <w:marLeft w:val="0"/>
      <w:marRight w:val="0"/>
      <w:marTop w:val="0"/>
      <w:marBottom w:val="0"/>
      <w:divBdr>
        <w:top w:val="none" w:sz="0" w:space="0" w:color="auto"/>
        <w:left w:val="none" w:sz="0" w:space="0" w:color="auto"/>
        <w:bottom w:val="none" w:sz="0" w:space="0" w:color="auto"/>
        <w:right w:val="none" w:sz="0" w:space="0" w:color="auto"/>
      </w:divBdr>
      <w:divsChild>
        <w:div w:id="792597414">
          <w:marLeft w:val="0"/>
          <w:marRight w:val="0"/>
          <w:marTop w:val="0"/>
          <w:marBottom w:val="0"/>
          <w:divBdr>
            <w:top w:val="none" w:sz="0" w:space="0" w:color="auto"/>
            <w:left w:val="none" w:sz="0" w:space="0" w:color="auto"/>
            <w:bottom w:val="none" w:sz="0" w:space="0" w:color="auto"/>
            <w:right w:val="none" w:sz="0" w:space="0" w:color="auto"/>
          </w:divBdr>
          <w:divsChild>
            <w:div w:id="539558780">
              <w:marLeft w:val="0"/>
              <w:marRight w:val="0"/>
              <w:marTop w:val="0"/>
              <w:marBottom w:val="0"/>
              <w:divBdr>
                <w:top w:val="none" w:sz="0" w:space="0" w:color="auto"/>
                <w:left w:val="none" w:sz="0" w:space="0" w:color="auto"/>
                <w:bottom w:val="none" w:sz="0" w:space="0" w:color="auto"/>
                <w:right w:val="none" w:sz="0" w:space="0" w:color="auto"/>
              </w:divBdr>
              <w:divsChild>
                <w:div w:id="177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5801">
      <w:bodyDiv w:val="1"/>
      <w:marLeft w:val="0"/>
      <w:marRight w:val="0"/>
      <w:marTop w:val="0"/>
      <w:marBottom w:val="0"/>
      <w:divBdr>
        <w:top w:val="none" w:sz="0" w:space="0" w:color="auto"/>
        <w:left w:val="none" w:sz="0" w:space="0" w:color="auto"/>
        <w:bottom w:val="none" w:sz="0" w:space="0" w:color="auto"/>
        <w:right w:val="none" w:sz="0" w:space="0" w:color="auto"/>
      </w:divBdr>
    </w:div>
    <w:div w:id="1257522527">
      <w:bodyDiv w:val="1"/>
      <w:marLeft w:val="0"/>
      <w:marRight w:val="0"/>
      <w:marTop w:val="0"/>
      <w:marBottom w:val="0"/>
      <w:divBdr>
        <w:top w:val="none" w:sz="0" w:space="0" w:color="auto"/>
        <w:left w:val="none" w:sz="0" w:space="0" w:color="auto"/>
        <w:bottom w:val="none" w:sz="0" w:space="0" w:color="auto"/>
        <w:right w:val="none" w:sz="0" w:space="0" w:color="auto"/>
      </w:divBdr>
    </w:div>
    <w:div w:id="1287736065">
      <w:bodyDiv w:val="1"/>
      <w:marLeft w:val="0"/>
      <w:marRight w:val="0"/>
      <w:marTop w:val="0"/>
      <w:marBottom w:val="0"/>
      <w:divBdr>
        <w:top w:val="none" w:sz="0" w:space="0" w:color="auto"/>
        <w:left w:val="none" w:sz="0" w:space="0" w:color="auto"/>
        <w:bottom w:val="none" w:sz="0" w:space="0" w:color="auto"/>
        <w:right w:val="none" w:sz="0" w:space="0" w:color="auto"/>
      </w:divBdr>
    </w:div>
    <w:div w:id="1295791763">
      <w:bodyDiv w:val="1"/>
      <w:marLeft w:val="0"/>
      <w:marRight w:val="0"/>
      <w:marTop w:val="0"/>
      <w:marBottom w:val="0"/>
      <w:divBdr>
        <w:top w:val="none" w:sz="0" w:space="0" w:color="auto"/>
        <w:left w:val="none" w:sz="0" w:space="0" w:color="auto"/>
        <w:bottom w:val="none" w:sz="0" w:space="0" w:color="auto"/>
        <w:right w:val="none" w:sz="0" w:space="0" w:color="auto"/>
      </w:divBdr>
    </w:div>
    <w:div w:id="1319964986">
      <w:bodyDiv w:val="1"/>
      <w:marLeft w:val="0"/>
      <w:marRight w:val="0"/>
      <w:marTop w:val="0"/>
      <w:marBottom w:val="0"/>
      <w:divBdr>
        <w:top w:val="none" w:sz="0" w:space="0" w:color="auto"/>
        <w:left w:val="none" w:sz="0" w:space="0" w:color="auto"/>
        <w:bottom w:val="none" w:sz="0" w:space="0" w:color="auto"/>
        <w:right w:val="none" w:sz="0" w:space="0" w:color="auto"/>
      </w:divBdr>
    </w:div>
    <w:div w:id="1368600175">
      <w:bodyDiv w:val="1"/>
      <w:marLeft w:val="0"/>
      <w:marRight w:val="0"/>
      <w:marTop w:val="0"/>
      <w:marBottom w:val="0"/>
      <w:divBdr>
        <w:top w:val="none" w:sz="0" w:space="0" w:color="auto"/>
        <w:left w:val="none" w:sz="0" w:space="0" w:color="auto"/>
        <w:bottom w:val="none" w:sz="0" w:space="0" w:color="auto"/>
        <w:right w:val="none" w:sz="0" w:space="0" w:color="auto"/>
      </w:divBdr>
    </w:div>
    <w:div w:id="1501310083">
      <w:bodyDiv w:val="1"/>
      <w:marLeft w:val="0"/>
      <w:marRight w:val="0"/>
      <w:marTop w:val="0"/>
      <w:marBottom w:val="0"/>
      <w:divBdr>
        <w:top w:val="none" w:sz="0" w:space="0" w:color="auto"/>
        <w:left w:val="none" w:sz="0" w:space="0" w:color="auto"/>
        <w:bottom w:val="none" w:sz="0" w:space="0" w:color="auto"/>
        <w:right w:val="none" w:sz="0" w:space="0" w:color="auto"/>
      </w:divBdr>
    </w:div>
    <w:div w:id="1524440039">
      <w:bodyDiv w:val="1"/>
      <w:marLeft w:val="0"/>
      <w:marRight w:val="0"/>
      <w:marTop w:val="0"/>
      <w:marBottom w:val="0"/>
      <w:divBdr>
        <w:top w:val="none" w:sz="0" w:space="0" w:color="auto"/>
        <w:left w:val="none" w:sz="0" w:space="0" w:color="auto"/>
        <w:bottom w:val="none" w:sz="0" w:space="0" w:color="auto"/>
        <w:right w:val="none" w:sz="0" w:space="0" w:color="auto"/>
      </w:divBdr>
    </w:div>
    <w:div w:id="1674726982">
      <w:bodyDiv w:val="1"/>
      <w:marLeft w:val="0"/>
      <w:marRight w:val="0"/>
      <w:marTop w:val="0"/>
      <w:marBottom w:val="0"/>
      <w:divBdr>
        <w:top w:val="none" w:sz="0" w:space="0" w:color="auto"/>
        <w:left w:val="none" w:sz="0" w:space="0" w:color="auto"/>
        <w:bottom w:val="none" w:sz="0" w:space="0" w:color="auto"/>
        <w:right w:val="none" w:sz="0" w:space="0" w:color="auto"/>
      </w:divBdr>
    </w:div>
    <w:div w:id="1679379819">
      <w:bodyDiv w:val="1"/>
      <w:marLeft w:val="0"/>
      <w:marRight w:val="0"/>
      <w:marTop w:val="0"/>
      <w:marBottom w:val="0"/>
      <w:divBdr>
        <w:top w:val="none" w:sz="0" w:space="0" w:color="auto"/>
        <w:left w:val="none" w:sz="0" w:space="0" w:color="auto"/>
        <w:bottom w:val="none" w:sz="0" w:space="0" w:color="auto"/>
        <w:right w:val="none" w:sz="0" w:space="0" w:color="auto"/>
      </w:divBdr>
    </w:div>
    <w:div w:id="1688675482">
      <w:bodyDiv w:val="1"/>
      <w:marLeft w:val="0"/>
      <w:marRight w:val="0"/>
      <w:marTop w:val="0"/>
      <w:marBottom w:val="0"/>
      <w:divBdr>
        <w:top w:val="none" w:sz="0" w:space="0" w:color="auto"/>
        <w:left w:val="none" w:sz="0" w:space="0" w:color="auto"/>
        <w:bottom w:val="none" w:sz="0" w:space="0" w:color="auto"/>
        <w:right w:val="none" w:sz="0" w:space="0" w:color="auto"/>
      </w:divBdr>
    </w:div>
    <w:div w:id="1704553088">
      <w:bodyDiv w:val="1"/>
      <w:marLeft w:val="0"/>
      <w:marRight w:val="0"/>
      <w:marTop w:val="0"/>
      <w:marBottom w:val="0"/>
      <w:divBdr>
        <w:top w:val="none" w:sz="0" w:space="0" w:color="auto"/>
        <w:left w:val="none" w:sz="0" w:space="0" w:color="auto"/>
        <w:bottom w:val="none" w:sz="0" w:space="0" w:color="auto"/>
        <w:right w:val="none" w:sz="0" w:space="0" w:color="auto"/>
      </w:divBdr>
    </w:div>
    <w:div w:id="1751194506">
      <w:bodyDiv w:val="1"/>
      <w:marLeft w:val="0"/>
      <w:marRight w:val="0"/>
      <w:marTop w:val="0"/>
      <w:marBottom w:val="0"/>
      <w:divBdr>
        <w:top w:val="none" w:sz="0" w:space="0" w:color="auto"/>
        <w:left w:val="none" w:sz="0" w:space="0" w:color="auto"/>
        <w:bottom w:val="none" w:sz="0" w:space="0" w:color="auto"/>
        <w:right w:val="none" w:sz="0" w:space="0" w:color="auto"/>
      </w:divBdr>
    </w:div>
    <w:div w:id="2036536049">
      <w:bodyDiv w:val="1"/>
      <w:marLeft w:val="0"/>
      <w:marRight w:val="0"/>
      <w:marTop w:val="0"/>
      <w:marBottom w:val="0"/>
      <w:divBdr>
        <w:top w:val="none" w:sz="0" w:space="0" w:color="auto"/>
        <w:left w:val="none" w:sz="0" w:space="0" w:color="auto"/>
        <w:bottom w:val="none" w:sz="0" w:space="0" w:color="auto"/>
        <w:right w:val="none" w:sz="0" w:space="0" w:color="auto"/>
      </w:divBdr>
    </w:div>
    <w:div w:id="205993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unimailderbyac-my.sharepoint.com/personal/786344_derby_ac_uk/Documents/QEs%20analysis/2021/QES%20Q1%202021%20-%20sustainability%20responses_bg.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unimailderbyac-my.sharepoint.com/personal/786344_derby_ac_uk/Documents/QEs%20analysis/2021/QES%20Q1%202021%20-%20sustainability%20responses_bg.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unimailderbyac-my.sharepoint.com/personal/786344_derby_ac_uk/Documents/QEs%20analysis/2021/QES%20Q1%202021%20-%20sustainability%20responses_bg.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unimailderbyac-my.sharepoint.com/personal/786344_derby_ac_uk/Documents/QEs%20analysis/2021/QES%20Q1%202021%20-%20sustainability%20responses_bg.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unimailderbyac-my.sharepoint.com/personal/786344_derby_ac_uk/Documents/QEs%20analysis/2021/QES%20Q1%202021%20-%20sustainability%20responses_bg.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unimailderbyac-my.sharepoint.com/personal/786344_derby_ac_uk/Documents/QEs%20analysis/2021/QES%20Q1%202021%20-%20sustainability%20responses_bg.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unimailderbyac-my.sharepoint.com/personal/786344_derby_ac_uk/Documents/QEs%20analysis/2021/QES%20Q1%202021%20-%20sustainability%20responses_bg.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'Size analysis'!$J$1</c:f>
              <c:strCache>
                <c:ptCount val="1"/>
                <c:pt idx="0">
                  <c:v>Number of companies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E21-E946-9BFD-2DAD725A433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E21-E946-9BFD-2DAD725A433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E21-E946-9BFD-2DAD725A433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E21-E946-9BFD-2DAD725A433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'Size analysis'!$I$2:$I$5</c:f>
              <c:strCache>
                <c:ptCount val="4"/>
                <c:pt idx="0">
                  <c:v>Micro</c:v>
                </c:pt>
                <c:pt idx="1">
                  <c:v>Small</c:v>
                </c:pt>
                <c:pt idx="2">
                  <c:v>Medium</c:v>
                </c:pt>
                <c:pt idx="3">
                  <c:v>Large</c:v>
                </c:pt>
              </c:strCache>
            </c:strRef>
          </c:cat>
          <c:val>
            <c:numRef>
              <c:f>'Size analysis'!$J$2:$J$5</c:f>
              <c:numCache>
                <c:formatCode>General</c:formatCode>
                <c:ptCount val="4"/>
                <c:pt idx="0">
                  <c:v>211</c:v>
                </c:pt>
                <c:pt idx="1">
                  <c:v>134</c:v>
                </c:pt>
                <c:pt idx="2">
                  <c:v>89</c:v>
                </c:pt>
                <c:pt idx="3">
                  <c:v>17</c:v>
                </c:pt>
              </c:numCache>
            </c:numRef>
          </c:val>
          <c:extLst>
            <c:ext xmlns:c16="http://schemas.microsoft.com/office/drawing/2014/chart" uri="{C3380CC4-5D6E-409C-BE32-E72D297353CC}">
              <c16:uniqueId val="{00000008-0E21-E946-9BFD-2DAD725A4338}"/>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1DC-ED49-9F9E-AB20B3D0FE0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1DC-ED49-9F9E-AB20B3D0FE0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1DC-ED49-9F9E-AB20B3D0FE0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1DC-ED49-9F9E-AB20B3D0FE0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1DC-ED49-9F9E-AB20B3D0FE0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61DC-ED49-9F9E-AB20B3D0FE0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'Turnover analysis'!$E$2:$E$7</c:f>
              <c:strCache>
                <c:ptCount val="6"/>
                <c:pt idx="0">
                  <c:v>No response</c:v>
                </c:pt>
                <c:pt idx="1">
                  <c:v>0%</c:v>
                </c:pt>
                <c:pt idx="2">
                  <c:v>1-19%</c:v>
                </c:pt>
                <c:pt idx="3">
                  <c:v>20-49%</c:v>
                </c:pt>
                <c:pt idx="4">
                  <c:v>50-79%</c:v>
                </c:pt>
                <c:pt idx="5">
                  <c:v>80-100%</c:v>
                </c:pt>
              </c:strCache>
            </c:strRef>
          </c:cat>
          <c:val>
            <c:numRef>
              <c:f>'Turnover analysis'!$F$2:$F$7</c:f>
              <c:numCache>
                <c:formatCode>General</c:formatCode>
                <c:ptCount val="6"/>
                <c:pt idx="0">
                  <c:v>36</c:v>
                </c:pt>
                <c:pt idx="1">
                  <c:v>245</c:v>
                </c:pt>
                <c:pt idx="2">
                  <c:v>113</c:v>
                </c:pt>
                <c:pt idx="3">
                  <c:v>28</c:v>
                </c:pt>
                <c:pt idx="4">
                  <c:v>10</c:v>
                </c:pt>
                <c:pt idx="5">
                  <c:v>19</c:v>
                </c:pt>
              </c:numCache>
            </c:numRef>
          </c:val>
          <c:extLst>
            <c:ext xmlns:c16="http://schemas.microsoft.com/office/drawing/2014/chart" uri="{C3380CC4-5D6E-409C-BE32-E72D297353CC}">
              <c16:uniqueId val="{0000000C-61DC-ED49-9F9E-AB20B3D0FE04}"/>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'Turnover analysis'!$F$146</c:f>
              <c:strCache>
                <c:ptCount val="1"/>
                <c:pt idx="0">
                  <c:v>Micro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'Turnover analysis'!$E$147:$E$152</c:f>
              <c:strCache>
                <c:ptCount val="6"/>
                <c:pt idx="0">
                  <c:v>No response</c:v>
                </c:pt>
                <c:pt idx="1">
                  <c:v>None of the turnover</c:v>
                </c:pt>
                <c:pt idx="2">
                  <c:v>1-19% of the turnover</c:v>
                </c:pt>
                <c:pt idx="3">
                  <c:v>20-49% of the turnover</c:v>
                </c:pt>
                <c:pt idx="4">
                  <c:v>50-79% of the turnover</c:v>
                </c:pt>
                <c:pt idx="5">
                  <c:v>80-100% of the turnover</c:v>
                </c:pt>
              </c:strCache>
            </c:strRef>
          </c:cat>
          <c:val>
            <c:numRef>
              <c:f>'Turnover analysis'!$F$147:$F$152</c:f>
              <c:numCache>
                <c:formatCode>0%</c:formatCode>
                <c:ptCount val="6"/>
                <c:pt idx="0">
                  <c:v>7.1770334928229665E-2</c:v>
                </c:pt>
                <c:pt idx="1">
                  <c:v>0.62200956937799046</c:v>
                </c:pt>
                <c:pt idx="2">
                  <c:v>0.18181818181818182</c:v>
                </c:pt>
                <c:pt idx="3">
                  <c:v>5.7416267942583733E-2</c:v>
                </c:pt>
                <c:pt idx="4">
                  <c:v>1.9138755980861243E-2</c:v>
                </c:pt>
                <c:pt idx="5">
                  <c:v>4.784688995215311E-2</c:v>
                </c:pt>
              </c:numCache>
            </c:numRef>
          </c:val>
          <c:extLst>
            <c:ext xmlns:c16="http://schemas.microsoft.com/office/drawing/2014/chart" uri="{C3380CC4-5D6E-409C-BE32-E72D297353CC}">
              <c16:uniqueId val="{00000000-64C4-B54F-BBFF-85597B7A94AA}"/>
            </c:ext>
          </c:extLst>
        </c:ser>
        <c:ser>
          <c:idx val="1"/>
          <c:order val="1"/>
          <c:tx>
            <c:strRef>
              <c:f>'Turnover analysis'!$G$146</c:f>
              <c:strCache>
                <c:ptCount val="1"/>
                <c:pt idx="0">
                  <c:v>Small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'Turnover analysis'!$E$147:$E$152</c:f>
              <c:strCache>
                <c:ptCount val="6"/>
                <c:pt idx="0">
                  <c:v>No response</c:v>
                </c:pt>
                <c:pt idx="1">
                  <c:v>None of the turnover</c:v>
                </c:pt>
                <c:pt idx="2">
                  <c:v>1-19% of the turnover</c:v>
                </c:pt>
                <c:pt idx="3">
                  <c:v>20-49% of the turnover</c:v>
                </c:pt>
                <c:pt idx="4">
                  <c:v>50-79% of the turnover</c:v>
                </c:pt>
                <c:pt idx="5">
                  <c:v>80-100% of the turnover</c:v>
                </c:pt>
              </c:strCache>
            </c:strRef>
          </c:cat>
          <c:val>
            <c:numRef>
              <c:f>'Turnover analysis'!$G$147:$G$152</c:f>
              <c:numCache>
                <c:formatCode>0%</c:formatCode>
                <c:ptCount val="6"/>
                <c:pt idx="0">
                  <c:v>8.2089552238805971E-2</c:v>
                </c:pt>
                <c:pt idx="1">
                  <c:v>0.53731343283582089</c:v>
                </c:pt>
                <c:pt idx="2">
                  <c:v>0.26865671641791045</c:v>
                </c:pt>
                <c:pt idx="3">
                  <c:v>5.9701492537313432E-2</c:v>
                </c:pt>
                <c:pt idx="4">
                  <c:v>2.2388059701492536E-2</c:v>
                </c:pt>
                <c:pt idx="5">
                  <c:v>2.9850746268656716E-2</c:v>
                </c:pt>
              </c:numCache>
            </c:numRef>
          </c:val>
          <c:extLst>
            <c:ext xmlns:c16="http://schemas.microsoft.com/office/drawing/2014/chart" uri="{C3380CC4-5D6E-409C-BE32-E72D297353CC}">
              <c16:uniqueId val="{00000001-64C4-B54F-BBFF-85597B7A94AA}"/>
            </c:ext>
          </c:extLst>
        </c:ser>
        <c:ser>
          <c:idx val="2"/>
          <c:order val="2"/>
          <c:tx>
            <c:strRef>
              <c:f>'Turnover analysis'!$H$146</c:f>
              <c:strCache>
                <c:ptCount val="1"/>
                <c:pt idx="0">
                  <c:v>Medium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'Turnover analysis'!$E$147:$E$152</c:f>
              <c:strCache>
                <c:ptCount val="6"/>
                <c:pt idx="0">
                  <c:v>No response</c:v>
                </c:pt>
                <c:pt idx="1">
                  <c:v>None of the turnover</c:v>
                </c:pt>
                <c:pt idx="2">
                  <c:v>1-19% of the turnover</c:v>
                </c:pt>
                <c:pt idx="3">
                  <c:v>20-49% of the turnover</c:v>
                </c:pt>
                <c:pt idx="4">
                  <c:v>50-79% of the turnover</c:v>
                </c:pt>
                <c:pt idx="5">
                  <c:v>80-100% of the turnover</c:v>
                </c:pt>
              </c:strCache>
            </c:strRef>
          </c:cat>
          <c:val>
            <c:numRef>
              <c:f>'Turnover analysis'!$H$147:$H$152</c:f>
              <c:numCache>
                <c:formatCode>0%</c:formatCode>
                <c:ptCount val="6"/>
                <c:pt idx="0">
                  <c:v>9.4117647058823528E-2</c:v>
                </c:pt>
                <c:pt idx="1">
                  <c:v>0.4</c:v>
                </c:pt>
                <c:pt idx="2">
                  <c:v>0.36470588235294116</c:v>
                </c:pt>
                <c:pt idx="3">
                  <c:v>9.4117647058823528E-2</c:v>
                </c:pt>
                <c:pt idx="4">
                  <c:v>2.3529411764705882E-2</c:v>
                </c:pt>
                <c:pt idx="5">
                  <c:v>2.3529411764705882E-2</c:v>
                </c:pt>
              </c:numCache>
            </c:numRef>
          </c:val>
          <c:extLst>
            <c:ext xmlns:c16="http://schemas.microsoft.com/office/drawing/2014/chart" uri="{C3380CC4-5D6E-409C-BE32-E72D297353CC}">
              <c16:uniqueId val="{00000002-64C4-B54F-BBFF-85597B7A94AA}"/>
            </c:ext>
          </c:extLst>
        </c:ser>
        <c:ser>
          <c:idx val="3"/>
          <c:order val="3"/>
          <c:tx>
            <c:strRef>
              <c:f>'Turnover analysis'!$I$146</c:f>
              <c:strCache>
                <c:ptCount val="1"/>
                <c:pt idx="0">
                  <c:v>Large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'Turnover analysis'!$E$147:$E$152</c:f>
              <c:strCache>
                <c:ptCount val="6"/>
                <c:pt idx="0">
                  <c:v>No response</c:v>
                </c:pt>
                <c:pt idx="1">
                  <c:v>None of the turnover</c:v>
                </c:pt>
                <c:pt idx="2">
                  <c:v>1-19% of the turnover</c:v>
                </c:pt>
                <c:pt idx="3">
                  <c:v>20-49% of the turnover</c:v>
                </c:pt>
                <c:pt idx="4">
                  <c:v>50-79% of the turnover</c:v>
                </c:pt>
                <c:pt idx="5">
                  <c:v>80-100% of the turnover</c:v>
                </c:pt>
              </c:strCache>
            </c:strRef>
          </c:cat>
          <c:val>
            <c:numRef>
              <c:f>'Turnover analysis'!$I$147:$I$152</c:f>
              <c:numCache>
                <c:formatCode>0%</c:formatCode>
                <c:ptCount val="6"/>
                <c:pt idx="0">
                  <c:v>4.7619047619047616E-2</c:v>
                </c:pt>
                <c:pt idx="1">
                  <c:v>0.42857142857142855</c:v>
                </c:pt>
                <c:pt idx="2">
                  <c:v>0.38095238095238093</c:v>
                </c:pt>
                <c:pt idx="3">
                  <c:v>0</c:v>
                </c:pt>
                <c:pt idx="4">
                  <c:v>0</c:v>
                </c:pt>
                <c:pt idx="5">
                  <c:v>0.14285714285714285</c:v>
                </c:pt>
              </c:numCache>
            </c:numRef>
          </c:val>
          <c:extLst>
            <c:ext xmlns:c16="http://schemas.microsoft.com/office/drawing/2014/chart" uri="{C3380CC4-5D6E-409C-BE32-E72D297353CC}">
              <c16:uniqueId val="{00000003-64C4-B54F-BBFF-85597B7A94AA}"/>
            </c:ext>
          </c:extLst>
        </c:ser>
        <c:dLbls>
          <c:dLblPos val="outEnd"/>
          <c:showLegendKey val="0"/>
          <c:showVal val="1"/>
          <c:showCatName val="0"/>
          <c:showSerName val="0"/>
          <c:showPercent val="0"/>
          <c:showBubbleSize val="0"/>
        </c:dLbls>
        <c:gapWidth val="219"/>
        <c:overlap val="-27"/>
        <c:axId val="800424072"/>
        <c:axId val="800427352"/>
      </c:barChart>
      <c:catAx>
        <c:axId val="800424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0427352"/>
        <c:crosses val="autoZero"/>
        <c:auto val="1"/>
        <c:lblAlgn val="ctr"/>
        <c:lblOffset val="100"/>
        <c:noMultiLvlLbl val="0"/>
      </c:catAx>
      <c:valAx>
        <c:axId val="8004273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0424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421304189291733E-2"/>
          <c:y val="4.6649703138252757E-2"/>
          <c:w val="0.91363334745860147"/>
          <c:h val="0.73251320684151111"/>
        </c:manualLayout>
      </c:layout>
      <c:barChart>
        <c:barDir val="col"/>
        <c:grouping val="clustered"/>
        <c:varyColors val="0"/>
        <c:ser>
          <c:idx val="0"/>
          <c:order val="0"/>
          <c:tx>
            <c:strRef>
              <c:f>'Turnover analysis'!$F$30</c:f>
              <c:strCache>
                <c:ptCount val="1"/>
                <c:pt idx="0">
                  <c:v>2015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'Turnover analysis'!$E$31:$E$36</c:f>
              <c:strCache>
                <c:ptCount val="6"/>
                <c:pt idx="0">
                  <c:v>No response</c:v>
                </c:pt>
                <c:pt idx="1">
                  <c:v>0%</c:v>
                </c:pt>
                <c:pt idx="2">
                  <c:v>1-19%</c:v>
                </c:pt>
                <c:pt idx="3">
                  <c:v>20-49%</c:v>
                </c:pt>
                <c:pt idx="4">
                  <c:v>50-79%</c:v>
                </c:pt>
                <c:pt idx="5">
                  <c:v>80-100%</c:v>
                </c:pt>
              </c:strCache>
            </c:strRef>
          </c:cat>
          <c:val>
            <c:numRef>
              <c:f>'Turnover analysis'!$F$31:$F$36</c:f>
              <c:numCache>
                <c:formatCode>0%</c:formatCode>
                <c:ptCount val="6"/>
                <c:pt idx="0">
                  <c:v>0.15606936416184972</c:v>
                </c:pt>
                <c:pt idx="1">
                  <c:v>0.68497109826589597</c:v>
                </c:pt>
                <c:pt idx="2">
                  <c:v>7.5144508670520235E-2</c:v>
                </c:pt>
                <c:pt idx="3">
                  <c:v>2.3121387283236993E-2</c:v>
                </c:pt>
                <c:pt idx="4">
                  <c:v>1.1560693641618497E-2</c:v>
                </c:pt>
                <c:pt idx="5">
                  <c:v>4.9132947976878616E-2</c:v>
                </c:pt>
              </c:numCache>
            </c:numRef>
          </c:val>
          <c:extLst>
            <c:ext xmlns:c16="http://schemas.microsoft.com/office/drawing/2014/chart" uri="{C3380CC4-5D6E-409C-BE32-E72D297353CC}">
              <c16:uniqueId val="{00000000-780F-C14C-84CF-AB868070CA9A}"/>
            </c:ext>
          </c:extLst>
        </c:ser>
        <c:ser>
          <c:idx val="1"/>
          <c:order val="1"/>
          <c:tx>
            <c:strRef>
              <c:f>'Turnover analysis'!$G$30</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'Turnover analysis'!$E$31:$E$36</c:f>
              <c:strCache>
                <c:ptCount val="6"/>
                <c:pt idx="0">
                  <c:v>No response</c:v>
                </c:pt>
                <c:pt idx="1">
                  <c:v>0%</c:v>
                </c:pt>
                <c:pt idx="2">
                  <c:v>1-19%</c:v>
                </c:pt>
                <c:pt idx="3">
                  <c:v>20-49%</c:v>
                </c:pt>
                <c:pt idx="4">
                  <c:v>50-79%</c:v>
                </c:pt>
                <c:pt idx="5">
                  <c:v>80-100%</c:v>
                </c:pt>
              </c:strCache>
            </c:strRef>
          </c:cat>
          <c:val>
            <c:numRef>
              <c:f>'Turnover analysis'!$G$31:$G$36</c:f>
              <c:numCache>
                <c:formatCode>0%</c:formatCode>
                <c:ptCount val="6"/>
                <c:pt idx="0">
                  <c:v>0.20183486238532111</c:v>
                </c:pt>
                <c:pt idx="1">
                  <c:v>0.55963302752293576</c:v>
                </c:pt>
                <c:pt idx="2">
                  <c:v>0.12232415902140673</c:v>
                </c:pt>
                <c:pt idx="3">
                  <c:v>3.3639143730886847E-2</c:v>
                </c:pt>
                <c:pt idx="4">
                  <c:v>3.0581039755351681E-2</c:v>
                </c:pt>
                <c:pt idx="5">
                  <c:v>5.1987767584097858E-2</c:v>
                </c:pt>
              </c:numCache>
            </c:numRef>
          </c:val>
          <c:extLst>
            <c:ext xmlns:c16="http://schemas.microsoft.com/office/drawing/2014/chart" uri="{C3380CC4-5D6E-409C-BE32-E72D297353CC}">
              <c16:uniqueId val="{00000001-780F-C14C-84CF-AB868070CA9A}"/>
            </c:ext>
          </c:extLst>
        </c:ser>
        <c:ser>
          <c:idx val="2"/>
          <c:order val="2"/>
          <c:tx>
            <c:strRef>
              <c:f>'Turnover analysis'!$H$30</c:f>
              <c:strCache>
                <c:ptCount val="1"/>
                <c:pt idx="0">
                  <c:v>2018</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'Turnover analysis'!$E$31:$E$36</c:f>
              <c:strCache>
                <c:ptCount val="6"/>
                <c:pt idx="0">
                  <c:v>No response</c:v>
                </c:pt>
                <c:pt idx="1">
                  <c:v>0%</c:v>
                </c:pt>
                <c:pt idx="2">
                  <c:v>1-19%</c:v>
                </c:pt>
                <c:pt idx="3">
                  <c:v>20-49%</c:v>
                </c:pt>
                <c:pt idx="4">
                  <c:v>50-79%</c:v>
                </c:pt>
                <c:pt idx="5">
                  <c:v>80-100%</c:v>
                </c:pt>
              </c:strCache>
            </c:strRef>
          </c:cat>
          <c:val>
            <c:numRef>
              <c:f>'Turnover analysis'!$H$31:$H$36</c:f>
              <c:numCache>
                <c:formatCode>0%</c:formatCode>
                <c:ptCount val="6"/>
                <c:pt idx="0">
                  <c:v>0.20711974110032363</c:v>
                </c:pt>
                <c:pt idx="1">
                  <c:v>0.39158576051779936</c:v>
                </c:pt>
                <c:pt idx="2">
                  <c:v>0.22653721682847897</c:v>
                </c:pt>
                <c:pt idx="3">
                  <c:v>7.1197411003236247E-2</c:v>
                </c:pt>
                <c:pt idx="4">
                  <c:v>3.5598705501618123E-2</c:v>
                </c:pt>
                <c:pt idx="5">
                  <c:v>6.7961165048543687E-2</c:v>
                </c:pt>
              </c:numCache>
            </c:numRef>
          </c:val>
          <c:extLst>
            <c:ext xmlns:c16="http://schemas.microsoft.com/office/drawing/2014/chart" uri="{C3380CC4-5D6E-409C-BE32-E72D297353CC}">
              <c16:uniqueId val="{00000002-780F-C14C-84CF-AB868070CA9A}"/>
            </c:ext>
          </c:extLst>
        </c:ser>
        <c:ser>
          <c:idx val="3"/>
          <c:order val="3"/>
          <c:tx>
            <c:strRef>
              <c:f>'Turnover analysis'!$I$30</c:f>
              <c:strCache>
                <c:ptCount val="1"/>
                <c:pt idx="0">
                  <c:v>2020</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'Turnover analysis'!$E$31:$E$36</c:f>
              <c:strCache>
                <c:ptCount val="6"/>
                <c:pt idx="0">
                  <c:v>No response</c:v>
                </c:pt>
                <c:pt idx="1">
                  <c:v>0%</c:v>
                </c:pt>
                <c:pt idx="2">
                  <c:v>1-19%</c:v>
                </c:pt>
                <c:pt idx="3">
                  <c:v>20-49%</c:v>
                </c:pt>
                <c:pt idx="4">
                  <c:v>50-79%</c:v>
                </c:pt>
                <c:pt idx="5">
                  <c:v>80-100%</c:v>
                </c:pt>
              </c:strCache>
            </c:strRef>
          </c:cat>
          <c:val>
            <c:numRef>
              <c:f>'Turnover analysis'!$I$31:$I$36</c:f>
              <c:numCache>
                <c:formatCode>0%</c:formatCode>
                <c:ptCount val="6"/>
                <c:pt idx="0">
                  <c:v>0.38423645320197042</c:v>
                </c:pt>
                <c:pt idx="1">
                  <c:v>0.31280788177339902</c:v>
                </c:pt>
                <c:pt idx="2">
                  <c:v>0.18965517241379309</c:v>
                </c:pt>
                <c:pt idx="3">
                  <c:v>4.1871921182266007E-2</c:v>
                </c:pt>
                <c:pt idx="4">
                  <c:v>2.9556650246305417E-2</c:v>
                </c:pt>
                <c:pt idx="5">
                  <c:v>4.1871921182266007E-2</c:v>
                </c:pt>
              </c:numCache>
            </c:numRef>
          </c:val>
          <c:extLst>
            <c:ext xmlns:c16="http://schemas.microsoft.com/office/drawing/2014/chart" uri="{C3380CC4-5D6E-409C-BE32-E72D297353CC}">
              <c16:uniqueId val="{00000003-780F-C14C-84CF-AB868070CA9A}"/>
            </c:ext>
          </c:extLst>
        </c:ser>
        <c:ser>
          <c:idx val="4"/>
          <c:order val="4"/>
          <c:tx>
            <c:strRef>
              <c:f>'Turnover analysis'!$J$30</c:f>
              <c:strCache>
                <c:ptCount val="1"/>
                <c:pt idx="0">
                  <c:v>2021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'Turnover analysis'!$E$31:$E$36</c:f>
              <c:strCache>
                <c:ptCount val="6"/>
                <c:pt idx="0">
                  <c:v>No response</c:v>
                </c:pt>
                <c:pt idx="1">
                  <c:v>0%</c:v>
                </c:pt>
                <c:pt idx="2">
                  <c:v>1-19%</c:v>
                </c:pt>
                <c:pt idx="3">
                  <c:v>20-49%</c:v>
                </c:pt>
                <c:pt idx="4">
                  <c:v>50-79%</c:v>
                </c:pt>
                <c:pt idx="5">
                  <c:v>80-100%</c:v>
                </c:pt>
              </c:strCache>
            </c:strRef>
          </c:cat>
          <c:val>
            <c:numRef>
              <c:f>'Turnover analysis'!$J$31:$J$36</c:f>
              <c:numCache>
                <c:formatCode>0%</c:formatCode>
                <c:ptCount val="6"/>
                <c:pt idx="0">
                  <c:v>7.9822616407982258E-2</c:v>
                </c:pt>
                <c:pt idx="1">
                  <c:v>0.5432372505543237</c:v>
                </c:pt>
                <c:pt idx="2">
                  <c:v>0.25055432372505543</c:v>
                </c:pt>
                <c:pt idx="3">
                  <c:v>6.2084257206208429E-2</c:v>
                </c:pt>
                <c:pt idx="4">
                  <c:v>2.2172949002217297E-2</c:v>
                </c:pt>
                <c:pt idx="5">
                  <c:v>4.2128603104212861E-2</c:v>
                </c:pt>
              </c:numCache>
            </c:numRef>
          </c:val>
          <c:extLst>
            <c:ext xmlns:c16="http://schemas.microsoft.com/office/drawing/2014/chart" uri="{C3380CC4-5D6E-409C-BE32-E72D297353CC}">
              <c16:uniqueId val="{00000004-780F-C14C-84CF-AB868070CA9A}"/>
            </c:ext>
          </c:extLst>
        </c:ser>
        <c:dLbls>
          <c:dLblPos val="outEnd"/>
          <c:showLegendKey val="0"/>
          <c:showVal val="1"/>
          <c:showCatName val="0"/>
          <c:showSerName val="0"/>
          <c:showPercent val="0"/>
          <c:showBubbleSize val="0"/>
        </c:dLbls>
        <c:gapWidth val="219"/>
        <c:overlap val="-27"/>
        <c:axId val="1145885624"/>
        <c:axId val="1145885952"/>
      </c:barChart>
      <c:catAx>
        <c:axId val="1145885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5885952"/>
        <c:crosses val="autoZero"/>
        <c:auto val="1"/>
        <c:lblAlgn val="ctr"/>
        <c:lblOffset val="100"/>
        <c:noMultiLvlLbl val="0"/>
      </c:catAx>
      <c:valAx>
        <c:axId val="11458859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5885624"/>
        <c:crosses val="autoZero"/>
        <c:crossBetween val="between"/>
      </c:valAx>
      <c:spPr>
        <a:noFill/>
        <a:ln>
          <a:noFill/>
        </a:ln>
        <a:effectLst/>
      </c:spPr>
    </c:plotArea>
    <c:legend>
      <c:legendPos val="b"/>
      <c:layout>
        <c:manualLayout>
          <c:xMode val="edge"/>
          <c:yMode val="edge"/>
          <c:x val="0.20629050749131952"/>
          <c:y val="0.91467812706617768"/>
          <c:w val="0.53812738363899748"/>
          <c:h val="8.484222277645159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Agreement!$L$30</c:f>
              <c:strCache>
                <c:ptCount val="1"/>
                <c:pt idx="0">
                  <c:v>No Response</c:v>
                </c:pt>
              </c:strCache>
            </c:strRef>
          </c:tx>
          <c:spPr>
            <a:solidFill>
              <a:schemeClr val="accent1"/>
            </a:solidFill>
            <a:ln>
              <a:noFill/>
            </a:ln>
            <a:effectLst/>
          </c:spPr>
          <c:invertIfNegative val="0"/>
          <c:cat>
            <c:strRef>
              <c:f>Agreement!$K$31:$K$37</c:f>
              <c:strCache>
                <c:ptCount val="7"/>
                <c:pt idx="0">
                  <c:v>Our firm's environmental strategy is strongly alligned with our business strategy</c:v>
                </c:pt>
                <c:pt idx="1">
                  <c:v>I have a good understanding on the policy on sustainable/clean growth in my locality</c:v>
                </c:pt>
                <c:pt idx="2">
                  <c:v>I know how to access business support in my locality</c:v>
                </c:pt>
                <c:pt idx="3">
                  <c:v>I have used business support in my locality previously</c:v>
                </c:pt>
                <c:pt idx="4">
                  <c:v>I am using business support in my locality at the moment</c:v>
                </c:pt>
                <c:pt idx="5">
                  <c:v>I am well informed about support available for clean growth</c:v>
                </c:pt>
                <c:pt idx="6">
                  <c:v>The current policy landscape allows our business to fully engage in the clean growth agenda</c:v>
                </c:pt>
              </c:strCache>
            </c:strRef>
          </c:cat>
          <c:val>
            <c:numRef>
              <c:f>Agreement!$L$31:$L$37</c:f>
              <c:numCache>
                <c:formatCode>0%</c:formatCode>
                <c:ptCount val="7"/>
                <c:pt idx="0">
                  <c:v>1.7699115044247787E-2</c:v>
                </c:pt>
                <c:pt idx="1">
                  <c:v>1.7699115044247787E-2</c:v>
                </c:pt>
                <c:pt idx="2">
                  <c:v>1.7699115044247787E-2</c:v>
                </c:pt>
                <c:pt idx="3">
                  <c:v>2.6548672566371681E-2</c:v>
                </c:pt>
                <c:pt idx="4">
                  <c:v>4.4247787610619468E-2</c:v>
                </c:pt>
                <c:pt idx="5">
                  <c:v>1.5486725663716814E-2</c:v>
                </c:pt>
                <c:pt idx="6">
                  <c:v>2.6548672566371681E-2</c:v>
                </c:pt>
              </c:numCache>
            </c:numRef>
          </c:val>
          <c:extLst>
            <c:ext xmlns:c16="http://schemas.microsoft.com/office/drawing/2014/chart" uri="{C3380CC4-5D6E-409C-BE32-E72D297353CC}">
              <c16:uniqueId val="{00000000-EE87-BF4D-AAA0-CD301591B97F}"/>
            </c:ext>
          </c:extLst>
        </c:ser>
        <c:ser>
          <c:idx val="1"/>
          <c:order val="1"/>
          <c:tx>
            <c:strRef>
              <c:f>Agreement!$M$30</c:f>
              <c:strCache>
                <c:ptCount val="1"/>
                <c:pt idx="0">
                  <c:v>Totally Disagree</c:v>
                </c:pt>
              </c:strCache>
            </c:strRef>
          </c:tx>
          <c:spPr>
            <a:solidFill>
              <a:schemeClr val="accent2"/>
            </a:solidFill>
            <a:ln>
              <a:noFill/>
            </a:ln>
            <a:effectLst/>
          </c:spPr>
          <c:invertIfNegative val="0"/>
          <c:cat>
            <c:strRef>
              <c:f>Agreement!$K$31:$K$37</c:f>
              <c:strCache>
                <c:ptCount val="7"/>
                <c:pt idx="0">
                  <c:v>Our firm's environmental strategy is strongly alligned with our business strategy</c:v>
                </c:pt>
                <c:pt idx="1">
                  <c:v>I have a good understanding on the policy on sustainable/clean growth in my locality</c:v>
                </c:pt>
                <c:pt idx="2">
                  <c:v>I know how to access business support in my locality</c:v>
                </c:pt>
                <c:pt idx="3">
                  <c:v>I have used business support in my locality previously</c:v>
                </c:pt>
                <c:pt idx="4">
                  <c:v>I am using business support in my locality at the moment</c:v>
                </c:pt>
                <c:pt idx="5">
                  <c:v>I am well informed about support available for clean growth</c:v>
                </c:pt>
                <c:pt idx="6">
                  <c:v>The current policy landscape allows our business to fully engage in the clean growth agenda</c:v>
                </c:pt>
              </c:strCache>
            </c:strRef>
          </c:cat>
          <c:val>
            <c:numRef>
              <c:f>Agreement!$M$31:$M$37</c:f>
              <c:numCache>
                <c:formatCode>0%</c:formatCode>
                <c:ptCount val="7"/>
                <c:pt idx="0">
                  <c:v>2.4336283185840708E-2</c:v>
                </c:pt>
                <c:pt idx="1">
                  <c:v>3.3185840707964605E-2</c:v>
                </c:pt>
                <c:pt idx="2">
                  <c:v>2.6548672566371681E-2</c:v>
                </c:pt>
                <c:pt idx="3">
                  <c:v>0.10619469026548672</c:v>
                </c:pt>
                <c:pt idx="4">
                  <c:v>0.1747787610619469</c:v>
                </c:pt>
                <c:pt idx="5">
                  <c:v>0.11946902654867257</c:v>
                </c:pt>
                <c:pt idx="6">
                  <c:v>9.7345132743362831E-2</c:v>
                </c:pt>
              </c:numCache>
            </c:numRef>
          </c:val>
          <c:extLst>
            <c:ext xmlns:c16="http://schemas.microsoft.com/office/drawing/2014/chart" uri="{C3380CC4-5D6E-409C-BE32-E72D297353CC}">
              <c16:uniqueId val="{00000001-EE87-BF4D-AAA0-CD301591B97F}"/>
            </c:ext>
          </c:extLst>
        </c:ser>
        <c:ser>
          <c:idx val="2"/>
          <c:order val="2"/>
          <c:tx>
            <c:strRef>
              <c:f>Agreement!$N$30</c:f>
              <c:strCache>
                <c:ptCount val="1"/>
                <c:pt idx="0">
                  <c:v>Disagree</c:v>
                </c:pt>
              </c:strCache>
            </c:strRef>
          </c:tx>
          <c:spPr>
            <a:solidFill>
              <a:schemeClr val="accent3"/>
            </a:solidFill>
            <a:ln>
              <a:noFill/>
            </a:ln>
            <a:effectLst/>
          </c:spPr>
          <c:invertIfNegative val="0"/>
          <c:cat>
            <c:strRef>
              <c:f>Agreement!$K$31:$K$37</c:f>
              <c:strCache>
                <c:ptCount val="7"/>
                <c:pt idx="0">
                  <c:v>Our firm's environmental strategy is strongly alligned with our business strategy</c:v>
                </c:pt>
                <c:pt idx="1">
                  <c:v>I have a good understanding on the policy on sustainable/clean growth in my locality</c:v>
                </c:pt>
                <c:pt idx="2">
                  <c:v>I know how to access business support in my locality</c:v>
                </c:pt>
                <c:pt idx="3">
                  <c:v>I have used business support in my locality previously</c:v>
                </c:pt>
                <c:pt idx="4">
                  <c:v>I am using business support in my locality at the moment</c:v>
                </c:pt>
                <c:pt idx="5">
                  <c:v>I am well informed about support available for clean growth</c:v>
                </c:pt>
                <c:pt idx="6">
                  <c:v>The current policy landscape allows our business to fully engage in the clean growth agenda</c:v>
                </c:pt>
              </c:strCache>
            </c:strRef>
          </c:cat>
          <c:val>
            <c:numRef>
              <c:f>Agreement!$N$31:$N$37</c:f>
              <c:numCache>
                <c:formatCode>0%</c:formatCode>
                <c:ptCount val="7"/>
                <c:pt idx="0">
                  <c:v>3.5398230088495575E-2</c:v>
                </c:pt>
                <c:pt idx="1">
                  <c:v>0.15707964601769911</c:v>
                </c:pt>
                <c:pt idx="2">
                  <c:v>0.16150442477876106</c:v>
                </c:pt>
                <c:pt idx="3">
                  <c:v>0.19469026548672566</c:v>
                </c:pt>
                <c:pt idx="4">
                  <c:v>0.26991150442477874</c:v>
                </c:pt>
                <c:pt idx="5">
                  <c:v>0.30309734513274339</c:v>
                </c:pt>
                <c:pt idx="6">
                  <c:v>0.19469026548672566</c:v>
                </c:pt>
              </c:numCache>
            </c:numRef>
          </c:val>
          <c:extLst>
            <c:ext xmlns:c16="http://schemas.microsoft.com/office/drawing/2014/chart" uri="{C3380CC4-5D6E-409C-BE32-E72D297353CC}">
              <c16:uniqueId val="{00000002-EE87-BF4D-AAA0-CD301591B97F}"/>
            </c:ext>
          </c:extLst>
        </c:ser>
        <c:ser>
          <c:idx val="3"/>
          <c:order val="3"/>
          <c:tx>
            <c:strRef>
              <c:f>Agreement!$O$30</c:f>
              <c:strCache>
                <c:ptCount val="1"/>
                <c:pt idx="0">
                  <c:v>Neutral </c:v>
                </c:pt>
              </c:strCache>
            </c:strRef>
          </c:tx>
          <c:spPr>
            <a:solidFill>
              <a:schemeClr val="accent4"/>
            </a:solidFill>
            <a:ln>
              <a:noFill/>
            </a:ln>
            <a:effectLst/>
          </c:spPr>
          <c:invertIfNegative val="0"/>
          <c:cat>
            <c:strRef>
              <c:f>Agreement!$K$31:$K$37</c:f>
              <c:strCache>
                <c:ptCount val="7"/>
                <c:pt idx="0">
                  <c:v>Our firm's environmental strategy is strongly alligned with our business strategy</c:v>
                </c:pt>
                <c:pt idx="1">
                  <c:v>I have a good understanding on the policy on sustainable/clean growth in my locality</c:v>
                </c:pt>
                <c:pt idx="2">
                  <c:v>I know how to access business support in my locality</c:v>
                </c:pt>
                <c:pt idx="3">
                  <c:v>I have used business support in my locality previously</c:v>
                </c:pt>
                <c:pt idx="4">
                  <c:v>I am using business support in my locality at the moment</c:v>
                </c:pt>
                <c:pt idx="5">
                  <c:v>I am well informed about support available for clean growth</c:v>
                </c:pt>
                <c:pt idx="6">
                  <c:v>The current policy landscape allows our business to fully engage in the clean growth agenda</c:v>
                </c:pt>
              </c:strCache>
            </c:strRef>
          </c:cat>
          <c:val>
            <c:numRef>
              <c:f>Agreement!$O$31:$O$37</c:f>
              <c:numCache>
                <c:formatCode>0%</c:formatCode>
                <c:ptCount val="7"/>
                <c:pt idx="0">
                  <c:v>0.42035398230088494</c:v>
                </c:pt>
                <c:pt idx="1">
                  <c:v>0.36946902654867259</c:v>
                </c:pt>
                <c:pt idx="2">
                  <c:v>0.30088495575221241</c:v>
                </c:pt>
                <c:pt idx="3">
                  <c:v>0.24115044247787609</c:v>
                </c:pt>
                <c:pt idx="4">
                  <c:v>0.29203539823008851</c:v>
                </c:pt>
                <c:pt idx="5">
                  <c:v>0.34955752212389379</c:v>
                </c:pt>
                <c:pt idx="6">
                  <c:v>0.48672566371681414</c:v>
                </c:pt>
              </c:numCache>
            </c:numRef>
          </c:val>
          <c:extLst>
            <c:ext xmlns:c16="http://schemas.microsoft.com/office/drawing/2014/chart" uri="{C3380CC4-5D6E-409C-BE32-E72D297353CC}">
              <c16:uniqueId val="{00000003-EE87-BF4D-AAA0-CD301591B97F}"/>
            </c:ext>
          </c:extLst>
        </c:ser>
        <c:ser>
          <c:idx val="4"/>
          <c:order val="4"/>
          <c:tx>
            <c:strRef>
              <c:f>Agreement!$P$30</c:f>
              <c:strCache>
                <c:ptCount val="1"/>
                <c:pt idx="0">
                  <c:v>Agree</c:v>
                </c:pt>
              </c:strCache>
            </c:strRef>
          </c:tx>
          <c:spPr>
            <a:solidFill>
              <a:schemeClr val="accent5"/>
            </a:solidFill>
            <a:ln>
              <a:noFill/>
            </a:ln>
            <a:effectLst/>
          </c:spPr>
          <c:invertIfNegative val="0"/>
          <c:cat>
            <c:strRef>
              <c:f>Agreement!$K$31:$K$37</c:f>
              <c:strCache>
                <c:ptCount val="7"/>
                <c:pt idx="0">
                  <c:v>Our firm's environmental strategy is strongly alligned with our business strategy</c:v>
                </c:pt>
                <c:pt idx="1">
                  <c:v>I have a good understanding on the policy on sustainable/clean growth in my locality</c:v>
                </c:pt>
                <c:pt idx="2">
                  <c:v>I know how to access business support in my locality</c:v>
                </c:pt>
                <c:pt idx="3">
                  <c:v>I have used business support in my locality previously</c:v>
                </c:pt>
                <c:pt idx="4">
                  <c:v>I am using business support in my locality at the moment</c:v>
                </c:pt>
                <c:pt idx="5">
                  <c:v>I am well informed about support available for clean growth</c:v>
                </c:pt>
                <c:pt idx="6">
                  <c:v>The current policy landscape allows our business to fully engage in the clean growth agenda</c:v>
                </c:pt>
              </c:strCache>
            </c:strRef>
          </c:cat>
          <c:val>
            <c:numRef>
              <c:f>Agreement!$P$31:$P$37</c:f>
              <c:numCache>
                <c:formatCode>0%</c:formatCode>
                <c:ptCount val="7"/>
                <c:pt idx="0">
                  <c:v>0.34292035398230086</c:v>
                </c:pt>
                <c:pt idx="1">
                  <c:v>0.33407079646017701</c:v>
                </c:pt>
                <c:pt idx="2">
                  <c:v>0.38495575221238937</c:v>
                </c:pt>
                <c:pt idx="3">
                  <c:v>0.33849557522123896</c:v>
                </c:pt>
                <c:pt idx="4">
                  <c:v>0.16371681415929204</c:v>
                </c:pt>
                <c:pt idx="5">
                  <c:v>0.17035398230088494</c:v>
                </c:pt>
                <c:pt idx="6">
                  <c:v>0.16371681415929204</c:v>
                </c:pt>
              </c:numCache>
            </c:numRef>
          </c:val>
          <c:extLst>
            <c:ext xmlns:c16="http://schemas.microsoft.com/office/drawing/2014/chart" uri="{C3380CC4-5D6E-409C-BE32-E72D297353CC}">
              <c16:uniqueId val="{00000004-EE87-BF4D-AAA0-CD301591B97F}"/>
            </c:ext>
          </c:extLst>
        </c:ser>
        <c:ser>
          <c:idx val="5"/>
          <c:order val="5"/>
          <c:tx>
            <c:strRef>
              <c:f>Agreement!$Q$30</c:f>
              <c:strCache>
                <c:ptCount val="1"/>
                <c:pt idx="0">
                  <c:v>Totally Agree</c:v>
                </c:pt>
              </c:strCache>
            </c:strRef>
          </c:tx>
          <c:spPr>
            <a:solidFill>
              <a:schemeClr val="accent6"/>
            </a:solidFill>
            <a:ln>
              <a:noFill/>
            </a:ln>
            <a:effectLst/>
          </c:spPr>
          <c:invertIfNegative val="0"/>
          <c:cat>
            <c:strRef>
              <c:f>Agreement!$K$31:$K$37</c:f>
              <c:strCache>
                <c:ptCount val="7"/>
                <c:pt idx="0">
                  <c:v>Our firm's environmental strategy is strongly alligned with our business strategy</c:v>
                </c:pt>
                <c:pt idx="1">
                  <c:v>I have a good understanding on the policy on sustainable/clean growth in my locality</c:v>
                </c:pt>
                <c:pt idx="2">
                  <c:v>I know how to access business support in my locality</c:v>
                </c:pt>
                <c:pt idx="3">
                  <c:v>I have used business support in my locality previously</c:v>
                </c:pt>
                <c:pt idx="4">
                  <c:v>I am using business support in my locality at the moment</c:v>
                </c:pt>
                <c:pt idx="5">
                  <c:v>I am well informed about support available for clean growth</c:v>
                </c:pt>
                <c:pt idx="6">
                  <c:v>The current policy landscape allows our business to fully engage in the clean growth agenda</c:v>
                </c:pt>
              </c:strCache>
            </c:strRef>
          </c:cat>
          <c:val>
            <c:numRef>
              <c:f>Agreement!$Q$31:$Q$37</c:f>
              <c:numCache>
                <c:formatCode>0%</c:formatCode>
                <c:ptCount val="7"/>
                <c:pt idx="0">
                  <c:v>0.15929203539823009</c:v>
                </c:pt>
                <c:pt idx="1">
                  <c:v>8.8495575221238937E-2</c:v>
                </c:pt>
                <c:pt idx="2">
                  <c:v>0.1084070796460177</c:v>
                </c:pt>
                <c:pt idx="3">
                  <c:v>9.2920353982300891E-2</c:v>
                </c:pt>
                <c:pt idx="4">
                  <c:v>5.5309734513274339E-2</c:v>
                </c:pt>
                <c:pt idx="5">
                  <c:v>4.2035398230088498E-2</c:v>
                </c:pt>
                <c:pt idx="6">
                  <c:v>3.0973451327433628E-2</c:v>
                </c:pt>
              </c:numCache>
            </c:numRef>
          </c:val>
          <c:extLst>
            <c:ext xmlns:c16="http://schemas.microsoft.com/office/drawing/2014/chart" uri="{C3380CC4-5D6E-409C-BE32-E72D297353CC}">
              <c16:uniqueId val="{00000005-EE87-BF4D-AAA0-CD301591B97F}"/>
            </c:ext>
          </c:extLst>
        </c:ser>
        <c:dLbls>
          <c:showLegendKey val="0"/>
          <c:showVal val="0"/>
          <c:showCatName val="0"/>
          <c:showSerName val="0"/>
          <c:showPercent val="0"/>
          <c:showBubbleSize val="0"/>
        </c:dLbls>
        <c:gapWidth val="150"/>
        <c:overlap val="100"/>
        <c:axId val="1773346728"/>
        <c:axId val="1773351976"/>
      </c:barChart>
      <c:catAx>
        <c:axId val="1773346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3351976"/>
        <c:crosses val="autoZero"/>
        <c:auto val="1"/>
        <c:lblAlgn val="ctr"/>
        <c:lblOffset val="100"/>
        <c:noMultiLvlLbl val="0"/>
      </c:catAx>
      <c:valAx>
        <c:axId val="177335197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3346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B60-C24E-99DB-D2BA8C7AA40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B60-C24E-99DB-D2BA8C7AA40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B60-C24E-99DB-D2BA8C7AA40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B60-C24E-99DB-D2BA8C7AA40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B60-C24E-99DB-D2BA8C7AA40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B60-C24E-99DB-D2BA8C7AA40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'Green Growth Strategies'!$M$7:$M$12</c:f>
              <c:strCache>
                <c:ptCount val="6"/>
                <c:pt idx="0">
                  <c:v>No response</c:v>
                </c:pt>
                <c:pt idx="1">
                  <c:v>We have not considered this</c:v>
                </c:pt>
                <c:pt idx="2">
                  <c:v>We have considered this but do not think there are opportunities for us</c:v>
                </c:pt>
                <c:pt idx="3">
                  <c:v>We have considered this and want to start developing plans</c:v>
                </c:pt>
                <c:pt idx="4">
                  <c:v>We have considered this and are starting to develop activity</c:v>
                </c:pt>
                <c:pt idx="5">
                  <c:v>This is already a part of our growth strategies</c:v>
                </c:pt>
              </c:strCache>
            </c:strRef>
          </c:cat>
          <c:val>
            <c:numRef>
              <c:f>'Green Growth Strategies'!$N$7:$N$12</c:f>
              <c:numCache>
                <c:formatCode>General</c:formatCode>
                <c:ptCount val="6"/>
                <c:pt idx="0">
                  <c:v>9</c:v>
                </c:pt>
                <c:pt idx="1">
                  <c:v>103</c:v>
                </c:pt>
                <c:pt idx="2">
                  <c:v>98</c:v>
                </c:pt>
                <c:pt idx="3">
                  <c:v>75</c:v>
                </c:pt>
                <c:pt idx="4">
                  <c:v>69</c:v>
                </c:pt>
                <c:pt idx="5">
                  <c:v>95</c:v>
                </c:pt>
              </c:numCache>
            </c:numRef>
          </c:val>
          <c:extLst>
            <c:ext xmlns:c16="http://schemas.microsoft.com/office/drawing/2014/chart" uri="{C3380CC4-5D6E-409C-BE32-E72D297353CC}">
              <c16:uniqueId val="{0000000C-EB60-C24E-99DB-D2BA8C7AA400}"/>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'Green Growth Strategies'!$M$31</c:f>
              <c:strCache>
                <c:ptCount val="1"/>
                <c:pt idx="0">
                  <c:v>No response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'Green Growth Strategies'!$N$30:$Q$30</c:f>
              <c:strCache>
                <c:ptCount val="4"/>
                <c:pt idx="0">
                  <c:v>Micro</c:v>
                </c:pt>
                <c:pt idx="1">
                  <c:v>Small</c:v>
                </c:pt>
                <c:pt idx="2">
                  <c:v>Medium</c:v>
                </c:pt>
                <c:pt idx="3">
                  <c:v>Large</c:v>
                </c:pt>
              </c:strCache>
            </c:strRef>
          </c:cat>
          <c:val>
            <c:numRef>
              <c:f>'Green Growth Strategies'!$N$31:$Q$31</c:f>
              <c:numCache>
                <c:formatCode>0%</c:formatCode>
                <c:ptCount val="4"/>
                <c:pt idx="0">
                  <c:v>1.9138755980861243E-2</c:v>
                </c:pt>
                <c:pt idx="1">
                  <c:v>2.2388059701492536E-2</c:v>
                </c:pt>
                <c:pt idx="2">
                  <c:v>2.3529411764705882E-2</c:v>
                </c:pt>
                <c:pt idx="3">
                  <c:v>0</c:v>
                </c:pt>
              </c:numCache>
            </c:numRef>
          </c:val>
          <c:extLst>
            <c:ext xmlns:c16="http://schemas.microsoft.com/office/drawing/2014/chart" uri="{C3380CC4-5D6E-409C-BE32-E72D297353CC}">
              <c16:uniqueId val="{00000000-34E0-6242-8CEA-B19807E12E9D}"/>
            </c:ext>
          </c:extLst>
        </c:ser>
        <c:ser>
          <c:idx val="1"/>
          <c:order val="1"/>
          <c:tx>
            <c:strRef>
              <c:f>'Green Growth Strategies'!$M$32</c:f>
              <c:strCache>
                <c:ptCount val="1"/>
                <c:pt idx="0">
                  <c:v>We have not considered this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'Green Growth Strategies'!$N$30:$Q$30</c:f>
              <c:strCache>
                <c:ptCount val="4"/>
                <c:pt idx="0">
                  <c:v>Micro</c:v>
                </c:pt>
                <c:pt idx="1">
                  <c:v>Small</c:v>
                </c:pt>
                <c:pt idx="2">
                  <c:v>Medium</c:v>
                </c:pt>
                <c:pt idx="3">
                  <c:v>Large</c:v>
                </c:pt>
              </c:strCache>
            </c:strRef>
          </c:cat>
          <c:val>
            <c:numRef>
              <c:f>'Green Growth Strategies'!$N$32:$Q$32</c:f>
              <c:numCache>
                <c:formatCode>0%</c:formatCode>
                <c:ptCount val="4"/>
                <c:pt idx="0">
                  <c:v>0.27272727272727271</c:v>
                </c:pt>
                <c:pt idx="1">
                  <c:v>0.2537313432835821</c:v>
                </c:pt>
                <c:pt idx="2">
                  <c:v>0.11764705882352941</c:v>
                </c:pt>
                <c:pt idx="3">
                  <c:v>9.5238095238095233E-2</c:v>
                </c:pt>
              </c:numCache>
            </c:numRef>
          </c:val>
          <c:extLst>
            <c:ext xmlns:c16="http://schemas.microsoft.com/office/drawing/2014/chart" uri="{C3380CC4-5D6E-409C-BE32-E72D297353CC}">
              <c16:uniqueId val="{00000001-34E0-6242-8CEA-B19807E12E9D}"/>
            </c:ext>
          </c:extLst>
        </c:ser>
        <c:ser>
          <c:idx val="2"/>
          <c:order val="2"/>
          <c:tx>
            <c:strRef>
              <c:f>'Green Growth Strategies'!$M$33</c:f>
              <c:strCache>
                <c:ptCount val="1"/>
                <c:pt idx="0">
                  <c:v>We have considered this but do not think there are opportunities for us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'Green Growth Strategies'!$N$30:$Q$30</c:f>
              <c:strCache>
                <c:ptCount val="4"/>
                <c:pt idx="0">
                  <c:v>Micro</c:v>
                </c:pt>
                <c:pt idx="1">
                  <c:v>Small</c:v>
                </c:pt>
                <c:pt idx="2">
                  <c:v>Medium</c:v>
                </c:pt>
                <c:pt idx="3">
                  <c:v>Large</c:v>
                </c:pt>
              </c:strCache>
            </c:strRef>
          </c:cat>
          <c:val>
            <c:numRef>
              <c:f>'Green Growth Strategies'!$N$33:$Q$33</c:f>
              <c:numCache>
                <c:formatCode>0%</c:formatCode>
                <c:ptCount val="4"/>
                <c:pt idx="0">
                  <c:v>0.30622009569377989</c:v>
                </c:pt>
                <c:pt idx="1">
                  <c:v>0.15671641791044777</c:v>
                </c:pt>
                <c:pt idx="2">
                  <c:v>0.12941176470588237</c:v>
                </c:pt>
                <c:pt idx="3">
                  <c:v>9.5238095238095233E-2</c:v>
                </c:pt>
              </c:numCache>
            </c:numRef>
          </c:val>
          <c:extLst>
            <c:ext xmlns:c16="http://schemas.microsoft.com/office/drawing/2014/chart" uri="{C3380CC4-5D6E-409C-BE32-E72D297353CC}">
              <c16:uniqueId val="{00000002-34E0-6242-8CEA-B19807E12E9D}"/>
            </c:ext>
          </c:extLst>
        </c:ser>
        <c:ser>
          <c:idx val="3"/>
          <c:order val="3"/>
          <c:tx>
            <c:strRef>
              <c:f>'Green Growth Strategies'!$M$34</c:f>
              <c:strCache>
                <c:ptCount val="1"/>
                <c:pt idx="0">
                  <c:v>We have considered this and want to start developing plans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'Green Growth Strategies'!$N$30:$Q$30</c:f>
              <c:strCache>
                <c:ptCount val="4"/>
                <c:pt idx="0">
                  <c:v>Micro</c:v>
                </c:pt>
                <c:pt idx="1">
                  <c:v>Small</c:v>
                </c:pt>
                <c:pt idx="2">
                  <c:v>Medium</c:v>
                </c:pt>
                <c:pt idx="3">
                  <c:v>Large</c:v>
                </c:pt>
              </c:strCache>
            </c:strRef>
          </c:cat>
          <c:val>
            <c:numRef>
              <c:f>'Green Growth Strategies'!$N$34:$Q$34</c:f>
              <c:numCache>
                <c:formatCode>0%</c:formatCode>
                <c:ptCount val="4"/>
                <c:pt idx="0">
                  <c:v>0.12918660287081341</c:v>
                </c:pt>
                <c:pt idx="1">
                  <c:v>0.18656716417910449</c:v>
                </c:pt>
                <c:pt idx="2">
                  <c:v>0.22352941176470589</c:v>
                </c:pt>
                <c:pt idx="3">
                  <c:v>0.19047619047619047</c:v>
                </c:pt>
              </c:numCache>
            </c:numRef>
          </c:val>
          <c:extLst>
            <c:ext xmlns:c16="http://schemas.microsoft.com/office/drawing/2014/chart" uri="{C3380CC4-5D6E-409C-BE32-E72D297353CC}">
              <c16:uniqueId val="{00000003-34E0-6242-8CEA-B19807E12E9D}"/>
            </c:ext>
          </c:extLst>
        </c:ser>
        <c:ser>
          <c:idx val="4"/>
          <c:order val="4"/>
          <c:tx>
            <c:strRef>
              <c:f>'Green Growth Strategies'!$M$35</c:f>
              <c:strCache>
                <c:ptCount val="1"/>
                <c:pt idx="0">
                  <c:v>We have considered this and are starting to develop activity</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'Green Growth Strategies'!$N$30:$Q$30</c:f>
              <c:strCache>
                <c:ptCount val="4"/>
                <c:pt idx="0">
                  <c:v>Micro</c:v>
                </c:pt>
                <c:pt idx="1">
                  <c:v>Small</c:v>
                </c:pt>
                <c:pt idx="2">
                  <c:v>Medium</c:v>
                </c:pt>
                <c:pt idx="3">
                  <c:v>Large</c:v>
                </c:pt>
              </c:strCache>
            </c:strRef>
          </c:cat>
          <c:val>
            <c:numRef>
              <c:f>'Green Growth Strategies'!$N$35:$Q$35</c:f>
              <c:numCache>
                <c:formatCode>0%</c:formatCode>
                <c:ptCount val="4"/>
                <c:pt idx="0">
                  <c:v>0.11004784688995216</c:v>
                </c:pt>
                <c:pt idx="1">
                  <c:v>0.1417910447761194</c:v>
                </c:pt>
                <c:pt idx="2">
                  <c:v>0.24705882352941178</c:v>
                </c:pt>
                <c:pt idx="3">
                  <c:v>0.2857142857142857</c:v>
                </c:pt>
              </c:numCache>
            </c:numRef>
          </c:val>
          <c:extLst>
            <c:ext xmlns:c16="http://schemas.microsoft.com/office/drawing/2014/chart" uri="{C3380CC4-5D6E-409C-BE32-E72D297353CC}">
              <c16:uniqueId val="{00000004-34E0-6242-8CEA-B19807E12E9D}"/>
            </c:ext>
          </c:extLst>
        </c:ser>
        <c:ser>
          <c:idx val="5"/>
          <c:order val="5"/>
          <c:tx>
            <c:strRef>
              <c:f>'Green Growth Strategies'!$M$36</c:f>
              <c:strCache>
                <c:ptCount val="1"/>
                <c:pt idx="0">
                  <c:v>This is already a part of our growth strategies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'Green Growth Strategies'!$N$30:$Q$30</c:f>
              <c:strCache>
                <c:ptCount val="4"/>
                <c:pt idx="0">
                  <c:v>Micro</c:v>
                </c:pt>
                <c:pt idx="1">
                  <c:v>Small</c:v>
                </c:pt>
                <c:pt idx="2">
                  <c:v>Medium</c:v>
                </c:pt>
                <c:pt idx="3">
                  <c:v>Large</c:v>
                </c:pt>
              </c:strCache>
            </c:strRef>
          </c:cat>
          <c:val>
            <c:numRef>
              <c:f>'Green Growth Strategies'!$N$36:$Q$36</c:f>
              <c:numCache>
                <c:formatCode>0%</c:formatCode>
                <c:ptCount val="4"/>
                <c:pt idx="0">
                  <c:v>0.16267942583732056</c:v>
                </c:pt>
                <c:pt idx="1">
                  <c:v>0.23880597014925373</c:v>
                </c:pt>
                <c:pt idx="2">
                  <c:v>0.25882352941176473</c:v>
                </c:pt>
                <c:pt idx="3">
                  <c:v>0.33333333333333331</c:v>
                </c:pt>
              </c:numCache>
            </c:numRef>
          </c:val>
          <c:extLst>
            <c:ext xmlns:c16="http://schemas.microsoft.com/office/drawing/2014/chart" uri="{C3380CC4-5D6E-409C-BE32-E72D297353CC}">
              <c16:uniqueId val="{00000005-34E0-6242-8CEA-B19807E12E9D}"/>
            </c:ext>
          </c:extLst>
        </c:ser>
        <c:dLbls>
          <c:dLblPos val="ctr"/>
          <c:showLegendKey val="0"/>
          <c:showVal val="1"/>
          <c:showCatName val="0"/>
          <c:showSerName val="0"/>
          <c:showPercent val="0"/>
          <c:showBubbleSize val="0"/>
        </c:dLbls>
        <c:gapWidth val="150"/>
        <c:overlap val="100"/>
        <c:axId val="1116248904"/>
        <c:axId val="1116249232"/>
      </c:barChart>
      <c:catAx>
        <c:axId val="1116248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6249232"/>
        <c:crosses val="autoZero"/>
        <c:auto val="1"/>
        <c:lblAlgn val="ctr"/>
        <c:lblOffset val="100"/>
        <c:noMultiLvlLbl val="0"/>
      </c:catAx>
      <c:valAx>
        <c:axId val="111624923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6248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ED46A-353A-4D7C-9862-1129811D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7</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 Baranova</dc:creator>
  <cp:lastModifiedBy>Fred Paterson</cp:lastModifiedBy>
  <cp:revision>15</cp:revision>
  <cp:lastPrinted>2021-06-09T13:04:00Z</cp:lastPrinted>
  <dcterms:created xsi:type="dcterms:W3CDTF">2021-06-08T12:07:00Z</dcterms:created>
  <dcterms:modified xsi:type="dcterms:W3CDTF">2021-06-10T09:42:00Z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Ref">
    <vt:lpwstr>https://api.informationprotection.azure.com/api/98f1bb3a-5efa-4782-88ba-bd897db60e62</vt:lpwstr>
  </property>
  <property fmtid="{D5CDD505-2E9C-101B-9397-08002B2CF9AE}" pid="5" name="MSIP_Label_b47d098f-2640-4837-b575-e0be04df0525_Owner">
    <vt:lpwstr>BDUN030@derby.ac.uk</vt:lpwstr>
  </property>
  <property fmtid="{D5CDD505-2E9C-101B-9397-08002B2CF9AE}" pid="6" name="MSIP_Label_b47d098f-2640-4837-b575-e0be04df0525_SetDate">
    <vt:lpwstr>2018-01-17T14:45:47.8976369+00:00</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Automatic</vt:lpwstr>
  </property>
  <property fmtid="{D5CDD505-2E9C-101B-9397-08002B2CF9AE}" pid="10" name="MSIP_Label_501a0944-9d81-4c75-b857-2ec7863455b7_Enabled">
    <vt:lpwstr>True</vt:lpwstr>
  </property>
  <property fmtid="{D5CDD505-2E9C-101B-9397-08002B2CF9AE}" pid="11" name="MSIP_Label_501a0944-9d81-4c75-b857-2ec7863455b7_SiteId">
    <vt:lpwstr>98f1bb3a-5efa-4782-88ba-bd897db60e62</vt:lpwstr>
  </property>
  <property fmtid="{D5CDD505-2E9C-101B-9397-08002B2CF9AE}" pid="12" name="MSIP_Label_501a0944-9d81-4c75-b857-2ec7863455b7_Ref">
    <vt:lpwstr>https://api.informationprotection.azure.com/api/98f1bb3a-5efa-4782-88ba-bd897db60e62</vt:lpwstr>
  </property>
  <property fmtid="{D5CDD505-2E9C-101B-9397-08002B2CF9AE}" pid="13" name="MSIP_Label_501a0944-9d81-4c75-b857-2ec7863455b7_Owner">
    <vt:lpwstr>BDUN030@derby.ac.uk</vt:lpwstr>
  </property>
  <property fmtid="{D5CDD505-2E9C-101B-9397-08002B2CF9AE}" pid="14" name="MSIP_Label_501a0944-9d81-4c75-b857-2ec7863455b7_SetDate">
    <vt:lpwstr>2018-01-17T14:45:47.8976369+00:00</vt:lpwstr>
  </property>
  <property fmtid="{D5CDD505-2E9C-101B-9397-08002B2CF9AE}" pid="15" name="MSIP_Label_501a0944-9d81-4c75-b857-2ec7863455b7_Name">
    <vt:lpwstr>Internal with visible marking</vt:lpwstr>
  </property>
  <property fmtid="{D5CDD505-2E9C-101B-9397-08002B2CF9AE}" pid="16" name="MSIP_Label_501a0944-9d81-4c75-b857-2ec7863455b7_Application">
    <vt:lpwstr>Microsoft Azure Information Protection</vt:lpwstr>
  </property>
  <property fmtid="{D5CDD505-2E9C-101B-9397-08002B2CF9AE}" pid="17" name="MSIP_Label_501a0944-9d81-4c75-b857-2ec7863455b7_Extended_MSFT_Method">
    <vt:lpwstr>Automatic</vt:lpwstr>
  </property>
  <property fmtid="{D5CDD505-2E9C-101B-9397-08002B2CF9AE}" pid="18" name="MSIP_Label_501a0944-9d81-4c75-b857-2ec7863455b7_Parent">
    <vt:lpwstr>b47d098f-2640-4837-b575-e0be04df0525</vt:lpwstr>
  </property>
  <property fmtid="{D5CDD505-2E9C-101B-9397-08002B2CF9AE}" pid="19" name="Sensitivity">
    <vt:lpwstr>Internal Internal with visible marking</vt:lpwstr>
  </property>
  <property fmtid="{D5CDD505-2E9C-101B-9397-08002B2CF9AE}" pid="20" name="Mendeley Document_1">
    <vt:lpwstr>True</vt:lpwstr>
  </property>
  <property fmtid="{D5CDD505-2E9C-101B-9397-08002B2CF9AE}" pid="21" name="Mendeley Unique User Id_1">
    <vt:lpwstr>ea5853eb-b884-3dc0-9722-3857e60c8c61</vt:lpwstr>
  </property>
  <property fmtid="{D5CDD505-2E9C-101B-9397-08002B2CF9AE}" pid="22" name="Mendeley Citation Style_1">
    <vt:lpwstr>http://www.zotero.org/styles/apa</vt:lpwstr>
  </property>
  <property fmtid="{D5CDD505-2E9C-101B-9397-08002B2CF9AE}" pid="23" name="Mendeley Recent Style Id 0_1">
    <vt:lpwstr>http://www.zotero.org/styles/american-medical-association</vt:lpwstr>
  </property>
  <property fmtid="{D5CDD505-2E9C-101B-9397-08002B2CF9AE}" pid="24" name="Mendeley Recent Style Name 0_1">
    <vt:lpwstr>American Medical Association 11th edition</vt:lpwstr>
  </property>
  <property fmtid="{D5CDD505-2E9C-101B-9397-08002B2CF9AE}" pid="25" name="Mendeley Recent Style Id 1_1">
    <vt:lpwstr>http://www.zotero.org/styles/american-political-science-association</vt:lpwstr>
  </property>
  <property fmtid="{D5CDD505-2E9C-101B-9397-08002B2CF9AE}" pid="26" name="Mendeley Recent Style Name 1_1">
    <vt:lpwstr>American Political Science Association</vt:lpwstr>
  </property>
  <property fmtid="{D5CDD505-2E9C-101B-9397-08002B2CF9AE}" pid="27" name="Mendeley Recent Style Id 2_1">
    <vt:lpwstr>http://www.zotero.org/styles/apa</vt:lpwstr>
  </property>
  <property fmtid="{D5CDD505-2E9C-101B-9397-08002B2CF9AE}" pid="28" name="Mendeley Recent Style Name 2_1">
    <vt:lpwstr>American Psychological Association 7th edition</vt:lpwstr>
  </property>
  <property fmtid="{D5CDD505-2E9C-101B-9397-08002B2CF9AE}" pid="29" name="Mendeley Recent Style Id 3_1">
    <vt:lpwstr>http://www.zotero.org/styles/american-sociological-association</vt:lpwstr>
  </property>
  <property fmtid="{D5CDD505-2E9C-101B-9397-08002B2CF9AE}" pid="30" name="Mendeley Recent Style Name 3_1">
    <vt:lpwstr>American Sociological Association 6th edition</vt:lpwstr>
  </property>
  <property fmtid="{D5CDD505-2E9C-101B-9397-08002B2CF9AE}" pid="31" name="Mendeley Recent Style Id 4_1">
    <vt:lpwstr>http://www.zotero.org/styles/chicago-author-date</vt:lpwstr>
  </property>
  <property fmtid="{D5CDD505-2E9C-101B-9397-08002B2CF9AE}" pid="32" name="Mendeley Recent Style Name 4_1">
    <vt:lpwstr>Chicago Manual of Style 17th edition (author-date)</vt:lpwstr>
  </property>
  <property fmtid="{D5CDD505-2E9C-101B-9397-08002B2CF9AE}" pid="33" name="Mendeley Recent Style Id 5_1">
    <vt:lpwstr>http://www.zotero.org/styles/harvard-cite-them-right</vt:lpwstr>
  </property>
  <property fmtid="{D5CDD505-2E9C-101B-9397-08002B2CF9AE}" pid="34" name="Mendeley Recent Style Name 5_1">
    <vt:lpwstr>Cite Them Right 10th edition - Harvard</vt:lpwstr>
  </property>
  <property fmtid="{D5CDD505-2E9C-101B-9397-08002B2CF9AE}" pid="35" name="Mendeley Recent Style Id 6_1">
    <vt:lpwstr>http://www.zotero.org/styles/ieee</vt:lpwstr>
  </property>
  <property fmtid="{D5CDD505-2E9C-101B-9397-08002B2CF9AE}" pid="36" name="Mendeley Recent Style Name 6_1">
    <vt:lpwstr>IEEE</vt:lpwstr>
  </property>
  <property fmtid="{D5CDD505-2E9C-101B-9397-08002B2CF9AE}" pid="37" name="Mendeley Recent Style Id 7_1">
    <vt:lpwstr>http://www.zotero.org/styles/modern-humanities-research-association</vt:lpwstr>
  </property>
  <property fmtid="{D5CDD505-2E9C-101B-9397-08002B2CF9AE}" pid="38" name="Mendeley Recent Style Name 7_1">
    <vt:lpwstr>Modern Humanities Research Association 3rd edition (note with bibliography)</vt:lpwstr>
  </property>
  <property fmtid="{D5CDD505-2E9C-101B-9397-08002B2CF9AE}" pid="39" name="Mendeley Recent Style Id 8_1">
    <vt:lpwstr>http://www.zotero.org/styles/modern-language-association</vt:lpwstr>
  </property>
  <property fmtid="{D5CDD505-2E9C-101B-9397-08002B2CF9AE}" pid="40" name="Mendeley Recent Style Name 8_1">
    <vt:lpwstr>Modern Language Association 8th edition</vt:lpwstr>
  </property>
  <property fmtid="{D5CDD505-2E9C-101B-9397-08002B2CF9AE}" pid="41" name="Mendeley Recent Style Id 9_1">
    <vt:lpwstr>http://www.zotero.org/styles/nature</vt:lpwstr>
  </property>
  <property fmtid="{D5CDD505-2E9C-101B-9397-08002B2CF9AE}" pid="42" name="Mendeley Recent Style Name 9_1">
    <vt:lpwstr>Nature</vt:lpwstr>
  </property>
</Properties>
</file>